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FC1E663" w14:textId="77777777" w:rsidTr="00BF1190">
        <w:trPr>
          <w:trHeight w:val="1863"/>
        </w:trPr>
        <w:tc>
          <w:tcPr>
            <w:tcW w:w="3652" w:type="dxa"/>
            <w:tcBorders>
              <w:top w:val="nil"/>
              <w:left w:val="nil"/>
              <w:bottom w:val="nil"/>
              <w:right w:val="nil"/>
            </w:tcBorders>
          </w:tcPr>
          <w:p w14:paraId="53CECE01" w14:textId="6E3D0D47" w:rsidR="008E7846" w:rsidRPr="00096AA7" w:rsidRDefault="00130BD1" w:rsidP="00096AA7">
            <w:pPr>
              <w:rPr>
                <w:rFonts w:ascii="Arial" w:hAnsi="Arial" w:cs="Arial"/>
                <w:b/>
                <w:color w:val="002C47"/>
                <w:sz w:val="36"/>
                <w:szCs w:val="36"/>
              </w:rPr>
            </w:pPr>
            <w:r>
              <w:rPr>
                <w:rFonts w:ascii="Arial" w:hAnsi="Arial" w:cs="Arial"/>
                <w:b/>
                <w:color w:val="002C47"/>
                <w:sz w:val="36"/>
                <w:szCs w:val="36"/>
              </w:rPr>
              <w:t>June</w:t>
            </w:r>
            <w:r w:rsidR="00A86397">
              <w:rPr>
                <w:rFonts w:ascii="Arial" w:hAnsi="Arial" w:cs="Arial"/>
                <w:b/>
                <w:color w:val="002C47"/>
                <w:sz w:val="36"/>
                <w:szCs w:val="36"/>
              </w:rPr>
              <w:t xml:space="preserve">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05F7815" w14:textId="77777777" w:rsidTr="0032583B">
        <w:trPr>
          <w:trHeight w:val="868"/>
        </w:trPr>
        <w:tc>
          <w:tcPr>
            <w:tcW w:w="9079" w:type="dxa"/>
          </w:tcPr>
          <w:p w14:paraId="0CB03EA2" w14:textId="30C616CB" w:rsidR="0032583B" w:rsidRPr="00A964D1" w:rsidRDefault="0032583B" w:rsidP="00460036">
            <w:pPr>
              <w:pStyle w:val="Title"/>
              <w:rPr>
                <w:color w:val="FFFFFF" w:themeColor="background1"/>
              </w:rPr>
            </w:pPr>
            <w:r w:rsidRPr="00A964D1">
              <w:rPr>
                <w:color w:val="FFFFFF" w:themeColor="background1"/>
              </w:rPr>
              <w:t xml:space="preserve">Australian Public Assessment Report for </w:t>
            </w:r>
            <w:r w:rsidR="00A86397" w:rsidRPr="00A86397">
              <w:rPr>
                <w:color w:val="FFFFFF" w:themeColor="background1"/>
              </w:rPr>
              <w:t>Human fibrinogen</w:t>
            </w:r>
            <w:r w:rsidR="00417CDF">
              <w:rPr>
                <w:color w:val="FFFFFF" w:themeColor="background1"/>
              </w:rPr>
              <w:t xml:space="preserve"> </w:t>
            </w:r>
            <w:r w:rsidR="00A86397" w:rsidRPr="00A86397">
              <w:rPr>
                <w:color w:val="FFFFFF" w:themeColor="background1"/>
              </w:rPr>
              <w:t>/</w:t>
            </w:r>
            <w:r w:rsidR="00417CDF">
              <w:rPr>
                <w:color w:val="FFFFFF" w:themeColor="background1"/>
              </w:rPr>
              <w:t xml:space="preserve"> </w:t>
            </w:r>
            <w:r w:rsidR="00767D08">
              <w:rPr>
                <w:color w:val="FFFFFF" w:themeColor="background1"/>
              </w:rPr>
              <w:t>H</w:t>
            </w:r>
            <w:r w:rsidR="00A86397" w:rsidRPr="00A86397">
              <w:rPr>
                <w:color w:val="FFFFFF" w:themeColor="background1"/>
              </w:rPr>
              <w:t>uman thrombin</w:t>
            </w:r>
          </w:p>
        </w:tc>
      </w:tr>
      <w:tr w:rsidR="0032583B" w:rsidRPr="00B64760" w14:paraId="02F8D2DC" w14:textId="77777777" w:rsidTr="0032583B">
        <w:tc>
          <w:tcPr>
            <w:tcW w:w="9079" w:type="dxa"/>
          </w:tcPr>
          <w:p w14:paraId="498EB66A" w14:textId="501E7E06" w:rsidR="0032583B" w:rsidRPr="008E7846" w:rsidRDefault="0032583B" w:rsidP="00460036">
            <w:pPr>
              <w:pStyle w:val="Subtitle"/>
              <w:rPr>
                <w:color w:val="FFFFFF" w:themeColor="background1"/>
              </w:rPr>
            </w:pPr>
            <w:r w:rsidRPr="008E7846">
              <w:rPr>
                <w:color w:val="FFFFFF" w:themeColor="background1"/>
              </w:rPr>
              <w:t xml:space="preserve">Proprietary Product Name: </w:t>
            </w:r>
            <w:proofErr w:type="spellStart"/>
            <w:r w:rsidR="00A86397" w:rsidRPr="00A86397">
              <w:rPr>
                <w:color w:val="FFFFFF" w:themeColor="background1"/>
              </w:rPr>
              <w:t>VeraSeal</w:t>
            </w:r>
            <w:proofErr w:type="spellEnd"/>
          </w:p>
        </w:tc>
      </w:tr>
      <w:tr w:rsidR="0032583B" w:rsidRPr="00B64760" w14:paraId="765154B0" w14:textId="77777777" w:rsidTr="0032583B">
        <w:trPr>
          <w:trHeight w:val="486"/>
        </w:trPr>
        <w:tc>
          <w:tcPr>
            <w:tcW w:w="9079" w:type="dxa"/>
          </w:tcPr>
          <w:p w14:paraId="1EBDE6F0" w14:textId="2408EA2D" w:rsidR="0032583B" w:rsidRPr="008E7846" w:rsidRDefault="00460036" w:rsidP="0032583B">
            <w:pPr>
              <w:pStyle w:val="Subtitle"/>
              <w:rPr>
                <w:color w:val="FFFFFF" w:themeColor="background1"/>
              </w:rPr>
            </w:pPr>
            <w:r>
              <w:rPr>
                <w:color w:val="FFFFFF" w:themeColor="background1"/>
              </w:rPr>
              <w:t xml:space="preserve">Sponsor: </w:t>
            </w:r>
            <w:r w:rsidR="00A86397" w:rsidRPr="00A86397">
              <w:rPr>
                <w:color w:val="FFFFFF" w:themeColor="background1"/>
              </w:rPr>
              <w:t>Grifols Australia Pty Ltd</w:t>
            </w:r>
          </w:p>
        </w:tc>
      </w:tr>
    </w:tbl>
    <w:p w14:paraId="292ACA11" w14:textId="77777777" w:rsidR="008E7846" w:rsidRPr="0085156D" w:rsidRDefault="008E7846" w:rsidP="0085156D">
      <w:r w:rsidRPr="0085156D">
        <w:br w:type="page"/>
      </w:r>
    </w:p>
    <w:p w14:paraId="6996B7D4" w14:textId="77777777" w:rsidR="008E7846" w:rsidRPr="001F6CBA" w:rsidRDefault="008E7846" w:rsidP="008E7846">
      <w:pPr>
        <w:pStyle w:val="NonTOCHeading2"/>
      </w:pPr>
      <w:r w:rsidRPr="001F6CBA">
        <w:lastRenderedPageBreak/>
        <w:t>About the Therapeutic Goods Administration (TGA)</w:t>
      </w:r>
    </w:p>
    <w:p w14:paraId="56172F0F"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27533A1"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754A97E1"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49B17E43"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39459CFE" w14:textId="07116333"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3EA48F25" w14:textId="77777777" w:rsidR="008E7846" w:rsidRDefault="008E7846" w:rsidP="00875A6B">
      <w:pPr>
        <w:pStyle w:val="NonTOCHeading2"/>
      </w:pPr>
      <w:r>
        <w:t xml:space="preserve">About </w:t>
      </w:r>
      <w:proofErr w:type="spellStart"/>
      <w:r>
        <w:t>AusPARs</w:t>
      </w:r>
      <w:proofErr w:type="spellEnd"/>
    </w:p>
    <w:p w14:paraId="4A14543C"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8F05AD1"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07D8AF50" w14:textId="77777777" w:rsidR="008E7846" w:rsidRDefault="008E7846" w:rsidP="008E7846">
      <w:pPr>
        <w:pStyle w:val="ListBullet"/>
        <w:numPr>
          <w:ilvl w:val="0"/>
          <w:numId w:val="3"/>
        </w:numPr>
        <w:ind w:left="357" w:hanging="357"/>
      </w:pPr>
      <w:r>
        <w:t xml:space="preserve">An AusPAR is prepared for submissions that relate to new chemical entities, generic medicines, major </w:t>
      </w:r>
      <w:proofErr w:type="gramStart"/>
      <w:r>
        <w:t>variations</w:t>
      </w:r>
      <w:proofErr w:type="gramEnd"/>
      <w:r>
        <w:t xml:space="preserve"> and extensions of indications.</w:t>
      </w:r>
    </w:p>
    <w:p w14:paraId="1ECA4A0F"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187EB8D"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666472B6" w14:textId="77777777" w:rsidR="00924482" w:rsidRPr="00DF1D7F" w:rsidRDefault="00924482" w:rsidP="00F54B65">
      <w:pPr>
        <w:pStyle w:val="LegalSubheading"/>
        <w:spacing w:before="3120"/>
      </w:pPr>
      <w:r w:rsidRPr="00DF1D7F">
        <w:t>Copyright</w:t>
      </w:r>
    </w:p>
    <w:p w14:paraId="36919EF0" w14:textId="411743FD"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86397">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proofErr w:type="gramStart"/>
      <w:r w:rsidRPr="00191B3B">
        <w:rPr>
          <w:rFonts w:cs="Arial"/>
          <w:lang w:val="en-GB"/>
        </w:rPr>
        <w:t>reserved</w:t>
      </w:r>
      <w:proofErr w:type="gramEnd"/>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0B8B2978"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4C2909F" w14:textId="77777777" w:rsidR="0089635C" w:rsidRPr="0089635C" w:rsidRDefault="0089635C" w:rsidP="0010788A">
          <w:pPr>
            <w:pStyle w:val="Contents"/>
          </w:pPr>
          <w:r w:rsidRPr="0010788A">
            <w:t>Contents</w:t>
          </w:r>
        </w:p>
        <w:p w14:paraId="570E2E00" w14:textId="24D5CE89" w:rsidR="00C61BB9"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06113645" w:history="1">
            <w:r w:rsidR="00C61BB9" w:rsidRPr="005D4D2E">
              <w:rPr>
                <w:rStyle w:val="Hyperlink"/>
                <w:noProof/>
              </w:rPr>
              <w:t>List of abbreviations</w:t>
            </w:r>
            <w:r w:rsidR="00C61BB9">
              <w:rPr>
                <w:noProof/>
                <w:webHidden/>
              </w:rPr>
              <w:tab/>
            </w:r>
            <w:r w:rsidR="00C61BB9">
              <w:rPr>
                <w:noProof/>
                <w:webHidden/>
              </w:rPr>
              <w:fldChar w:fldCharType="begin"/>
            </w:r>
            <w:r w:rsidR="00C61BB9">
              <w:rPr>
                <w:noProof/>
                <w:webHidden/>
              </w:rPr>
              <w:instrText xml:space="preserve"> PAGEREF _Toc106113645 \h </w:instrText>
            </w:r>
            <w:r w:rsidR="00C61BB9">
              <w:rPr>
                <w:noProof/>
                <w:webHidden/>
              </w:rPr>
            </w:r>
            <w:r w:rsidR="00C61BB9">
              <w:rPr>
                <w:noProof/>
                <w:webHidden/>
              </w:rPr>
              <w:fldChar w:fldCharType="separate"/>
            </w:r>
            <w:r w:rsidR="006E2654">
              <w:rPr>
                <w:noProof/>
                <w:webHidden/>
              </w:rPr>
              <w:t>4</w:t>
            </w:r>
            <w:r w:rsidR="00C61BB9">
              <w:rPr>
                <w:noProof/>
                <w:webHidden/>
              </w:rPr>
              <w:fldChar w:fldCharType="end"/>
            </w:r>
          </w:hyperlink>
        </w:p>
        <w:p w14:paraId="560798FB" w14:textId="2B6CB804" w:rsidR="00C61BB9" w:rsidRDefault="00746946">
          <w:pPr>
            <w:pStyle w:val="TOC1"/>
            <w:rPr>
              <w:rFonts w:asciiTheme="minorHAnsi" w:eastAsiaTheme="minorEastAsia" w:hAnsiTheme="minorHAnsi" w:cstheme="minorBidi"/>
              <w:b w:val="0"/>
              <w:noProof/>
              <w:sz w:val="22"/>
              <w:lang w:eastAsia="en-AU"/>
            </w:rPr>
          </w:pPr>
          <w:hyperlink w:anchor="_Toc106113646" w:history="1">
            <w:r w:rsidR="00C61BB9" w:rsidRPr="005D4D2E">
              <w:rPr>
                <w:rStyle w:val="Hyperlink"/>
                <w:noProof/>
              </w:rPr>
              <w:t>I. Introduction to product submission</w:t>
            </w:r>
            <w:r w:rsidR="00C61BB9">
              <w:rPr>
                <w:noProof/>
                <w:webHidden/>
              </w:rPr>
              <w:tab/>
            </w:r>
            <w:r w:rsidR="00C61BB9">
              <w:rPr>
                <w:noProof/>
                <w:webHidden/>
              </w:rPr>
              <w:fldChar w:fldCharType="begin"/>
            </w:r>
            <w:r w:rsidR="00C61BB9">
              <w:rPr>
                <w:noProof/>
                <w:webHidden/>
              </w:rPr>
              <w:instrText xml:space="preserve"> PAGEREF _Toc106113646 \h </w:instrText>
            </w:r>
            <w:r w:rsidR="00C61BB9">
              <w:rPr>
                <w:noProof/>
                <w:webHidden/>
              </w:rPr>
            </w:r>
            <w:r w:rsidR="00C61BB9">
              <w:rPr>
                <w:noProof/>
                <w:webHidden/>
              </w:rPr>
              <w:fldChar w:fldCharType="separate"/>
            </w:r>
            <w:r w:rsidR="006E2654">
              <w:rPr>
                <w:noProof/>
                <w:webHidden/>
              </w:rPr>
              <w:t>6</w:t>
            </w:r>
            <w:r w:rsidR="00C61BB9">
              <w:rPr>
                <w:noProof/>
                <w:webHidden/>
              </w:rPr>
              <w:fldChar w:fldCharType="end"/>
            </w:r>
          </w:hyperlink>
        </w:p>
        <w:p w14:paraId="7C84ACFF" w14:textId="7A7B10C8" w:rsidR="00C61BB9" w:rsidRDefault="00746946">
          <w:pPr>
            <w:pStyle w:val="TOC2"/>
            <w:rPr>
              <w:rFonts w:asciiTheme="minorHAnsi" w:eastAsiaTheme="minorEastAsia" w:hAnsiTheme="minorHAnsi" w:cstheme="minorBidi"/>
              <w:b w:val="0"/>
              <w:noProof/>
              <w:sz w:val="22"/>
              <w:lang w:eastAsia="en-AU"/>
            </w:rPr>
          </w:pPr>
          <w:hyperlink w:anchor="_Toc106113647" w:history="1">
            <w:r w:rsidR="00C61BB9" w:rsidRPr="005D4D2E">
              <w:rPr>
                <w:rStyle w:val="Hyperlink"/>
                <w:noProof/>
                <w:lang w:eastAsia="en-AU"/>
              </w:rPr>
              <w:t>Submission details</w:t>
            </w:r>
            <w:r w:rsidR="00C61BB9">
              <w:rPr>
                <w:noProof/>
                <w:webHidden/>
              </w:rPr>
              <w:tab/>
            </w:r>
            <w:r w:rsidR="00C61BB9">
              <w:rPr>
                <w:noProof/>
                <w:webHidden/>
              </w:rPr>
              <w:fldChar w:fldCharType="begin"/>
            </w:r>
            <w:r w:rsidR="00C61BB9">
              <w:rPr>
                <w:noProof/>
                <w:webHidden/>
              </w:rPr>
              <w:instrText xml:space="preserve"> PAGEREF _Toc106113647 \h </w:instrText>
            </w:r>
            <w:r w:rsidR="00C61BB9">
              <w:rPr>
                <w:noProof/>
                <w:webHidden/>
              </w:rPr>
            </w:r>
            <w:r w:rsidR="00C61BB9">
              <w:rPr>
                <w:noProof/>
                <w:webHidden/>
              </w:rPr>
              <w:fldChar w:fldCharType="separate"/>
            </w:r>
            <w:r w:rsidR="006E2654">
              <w:rPr>
                <w:noProof/>
                <w:webHidden/>
              </w:rPr>
              <w:t>6</w:t>
            </w:r>
            <w:r w:rsidR="00C61BB9">
              <w:rPr>
                <w:noProof/>
                <w:webHidden/>
              </w:rPr>
              <w:fldChar w:fldCharType="end"/>
            </w:r>
          </w:hyperlink>
        </w:p>
        <w:p w14:paraId="08EDAE59" w14:textId="27170376" w:rsidR="00C61BB9" w:rsidRDefault="00746946">
          <w:pPr>
            <w:pStyle w:val="TOC2"/>
            <w:rPr>
              <w:rFonts w:asciiTheme="minorHAnsi" w:eastAsiaTheme="minorEastAsia" w:hAnsiTheme="minorHAnsi" w:cstheme="minorBidi"/>
              <w:b w:val="0"/>
              <w:noProof/>
              <w:sz w:val="22"/>
              <w:lang w:eastAsia="en-AU"/>
            </w:rPr>
          </w:pPr>
          <w:hyperlink w:anchor="_Toc106113648" w:history="1">
            <w:r w:rsidR="00C61BB9" w:rsidRPr="005D4D2E">
              <w:rPr>
                <w:rStyle w:val="Hyperlink"/>
                <w:noProof/>
              </w:rPr>
              <w:t>Product background</w:t>
            </w:r>
            <w:r w:rsidR="00C61BB9">
              <w:rPr>
                <w:noProof/>
                <w:webHidden/>
              </w:rPr>
              <w:tab/>
            </w:r>
            <w:r w:rsidR="00C61BB9">
              <w:rPr>
                <w:noProof/>
                <w:webHidden/>
              </w:rPr>
              <w:fldChar w:fldCharType="begin"/>
            </w:r>
            <w:r w:rsidR="00C61BB9">
              <w:rPr>
                <w:noProof/>
                <w:webHidden/>
              </w:rPr>
              <w:instrText xml:space="preserve"> PAGEREF _Toc106113648 \h </w:instrText>
            </w:r>
            <w:r w:rsidR="00C61BB9">
              <w:rPr>
                <w:noProof/>
                <w:webHidden/>
              </w:rPr>
            </w:r>
            <w:r w:rsidR="00C61BB9">
              <w:rPr>
                <w:noProof/>
                <w:webHidden/>
              </w:rPr>
              <w:fldChar w:fldCharType="separate"/>
            </w:r>
            <w:r w:rsidR="006E2654">
              <w:rPr>
                <w:noProof/>
                <w:webHidden/>
              </w:rPr>
              <w:t>7</w:t>
            </w:r>
            <w:r w:rsidR="00C61BB9">
              <w:rPr>
                <w:noProof/>
                <w:webHidden/>
              </w:rPr>
              <w:fldChar w:fldCharType="end"/>
            </w:r>
          </w:hyperlink>
        </w:p>
        <w:p w14:paraId="21463B9D" w14:textId="1C4DE483" w:rsidR="00C61BB9" w:rsidRDefault="00746946">
          <w:pPr>
            <w:pStyle w:val="TOC2"/>
            <w:rPr>
              <w:rFonts w:asciiTheme="minorHAnsi" w:eastAsiaTheme="minorEastAsia" w:hAnsiTheme="minorHAnsi" w:cstheme="minorBidi"/>
              <w:b w:val="0"/>
              <w:noProof/>
              <w:sz w:val="22"/>
              <w:lang w:eastAsia="en-AU"/>
            </w:rPr>
          </w:pPr>
          <w:hyperlink w:anchor="_Toc106113649" w:history="1">
            <w:r w:rsidR="00C61BB9" w:rsidRPr="005D4D2E">
              <w:rPr>
                <w:rStyle w:val="Hyperlink"/>
                <w:noProof/>
              </w:rPr>
              <w:t>Regulatory status</w:t>
            </w:r>
            <w:r w:rsidR="00C61BB9">
              <w:rPr>
                <w:noProof/>
                <w:webHidden/>
              </w:rPr>
              <w:tab/>
            </w:r>
            <w:r w:rsidR="00C61BB9">
              <w:rPr>
                <w:noProof/>
                <w:webHidden/>
              </w:rPr>
              <w:fldChar w:fldCharType="begin"/>
            </w:r>
            <w:r w:rsidR="00C61BB9">
              <w:rPr>
                <w:noProof/>
                <w:webHidden/>
              </w:rPr>
              <w:instrText xml:space="preserve"> PAGEREF _Toc106113649 \h </w:instrText>
            </w:r>
            <w:r w:rsidR="00C61BB9">
              <w:rPr>
                <w:noProof/>
                <w:webHidden/>
              </w:rPr>
            </w:r>
            <w:r w:rsidR="00C61BB9">
              <w:rPr>
                <w:noProof/>
                <w:webHidden/>
              </w:rPr>
              <w:fldChar w:fldCharType="separate"/>
            </w:r>
            <w:r w:rsidR="006E2654">
              <w:rPr>
                <w:noProof/>
                <w:webHidden/>
              </w:rPr>
              <w:t>9</w:t>
            </w:r>
            <w:r w:rsidR="00C61BB9">
              <w:rPr>
                <w:noProof/>
                <w:webHidden/>
              </w:rPr>
              <w:fldChar w:fldCharType="end"/>
            </w:r>
          </w:hyperlink>
        </w:p>
        <w:p w14:paraId="1E69C11E" w14:textId="7BE02AE7" w:rsidR="00C61BB9" w:rsidRDefault="00746946">
          <w:pPr>
            <w:pStyle w:val="TOC2"/>
            <w:rPr>
              <w:rFonts w:asciiTheme="minorHAnsi" w:eastAsiaTheme="minorEastAsia" w:hAnsiTheme="minorHAnsi" w:cstheme="minorBidi"/>
              <w:b w:val="0"/>
              <w:noProof/>
              <w:sz w:val="22"/>
              <w:lang w:eastAsia="en-AU"/>
            </w:rPr>
          </w:pPr>
          <w:hyperlink w:anchor="_Toc106113650" w:history="1">
            <w:r w:rsidR="00C61BB9" w:rsidRPr="005D4D2E">
              <w:rPr>
                <w:rStyle w:val="Hyperlink"/>
                <w:noProof/>
              </w:rPr>
              <w:t>Product Information</w:t>
            </w:r>
            <w:r w:rsidR="00C61BB9">
              <w:rPr>
                <w:noProof/>
                <w:webHidden/>
              </w:rPr>
              <w:tab/>
            </w:r>
            <w:r w:rsidR="00C61BB9">
              <w:rPr>
                <w:noProof/>
                <w:webHidden/>
              </w:rPr>
              <w:fldChar w:fldCharType="begin"/>
            </w:r>
            <w:r w:rsidR="00C61BB9">
              <w:rPr>
                <w:noProof/>
                <w:webHidden/>
              </w:rPr>
              <w:instrText xml:space="preserve"> PAGEREF _Toc106113650 \h </w:instrText>
            </w:r>
            <w:r w:rsidR="00C61BB9">
              <w:rPr>
                <w:noProof/>
                <w:webHidden/>
              </w:rPr>
            </w:r>
            <w:r w:rsidR="00C61BB9">
              <w:rPr>
                <w:noProof/>
                <w:webHidden/>
              </w:rPr>
              <w:fldChar w:fldCharType="separate"/>
            </w:r>
            <w:r w:rsidR="006E2654">
              <w:rPr>
                <w:noProof/>
                <w:webHidden/>
              </w:rPr>
              <w:t>10</w:t>
            </w:r>
            <w:r w:rsidR="00C61BB9">
              <w:rPr>
                <w:noProof/>
                <w:webHidden/>
              </w:rPr>
              <w:fldChar w:fldCharType="end"/>
            </w:r>
          </w:hyperlink>
        </w:p>
        <w:p w14:paraId="5A224F86" w14:textId="23DAE00C" w:rsidR="00C61BB9" w:rsidRDefault="00746946">
          <w:pPr>
            <w:pStyle w:val="TOC1"/>
            <w:rPr>
              <w:rFonts w:asciiTheme="minorHAnsi" w:eastAsiaTheme="minorEastAsia" w:hAnsiTheme="minorHAnsi" w:cstheme="minorBidi"/>
              <w:b w:val="0"/>
              <w:noProof/>
              <w:sz w:val="22"/>
              <w:lang w:eastAsia="en-AU"/>
            </w:rPr>
          </w:pPr>
          <w:hyperlink w:anchor="_Toc106113651" w:history="1">
            <w:r w:rsidR="00C61BB9" w:rsidRPr="005D4D2E">
              <w:rPr>
                <w:rStyle w:val="Hyperlink"/>
                <w:noProof/>
              </w:rPr>
              <w:t>II. Registration timeline</w:t>
            </w:r>
            <w:r w:rsidR="00C61BB9">
              <w:rPr>
                <w:noProof/>
                <w:webHidden/>
              </w:rPr>
              <w:tab/>
            </w:r>
            <w:r w:rsidR="00C61BB9">
              <w:rPr>
                <w:noProof/>
                <w:webHidden/>
              </w:rPr>
              <w:fldChar w:fldCharType="begin"/>
            </w:r>
            <w:r w:rsidR="00C61BB9">
              <w:rPr>
                <w:noProof/>
                <w:webHidden/>
              </w:rPr>
              <w:instrText xml:space="preserve"> PAGEREF _Toc106113651 \h </w:instrText>
            </w:r>
            <w:r w:rsidR="00C61BB9">
              <w:rPr>
                <w:noProof/>
                <w:webHidden/>
              </w:rPr>
            </w:r>
            <w:r w:rsidR="00C61BB9">
              <w:rPr>
                <w:noProof/>
                <w:webHidden/>
              </w:rPr>
              <w:fldChar w:fldCharType="separate"/>
            </w:r>
            <w:r w:rsidR="006E2654">
              <w:rPr>
                <w:noProof/>
                <w:webHidden/>
              </w:rPr>
              <w:t>10</w:t>
            </w:r>
            <w:r w:rsidR="00C61BB9">
              <w:rPr>
                <w:noProof/>
                <w:webHidden/>
              </w:rPr>
              <w:fldChar w:fldCharType="end"/>
            </w:r>
          </w:hyperlink>
        </w:p>
        <w:p w14:paraId="7151A749" w14:textId="32CC8401" w:rsidR="00C61BB9" w:rsidRDefault="00746946">
          <w:pPr>
            <w:pStyle w:val="TOC1"/>
            <w:rPr>
              <w:rFonts w:asciiTheme="minorHAnsi" w:eastAsiaTheme="minorEastAsia" w:hAnsiTheme="minorHAnsi" w:cstheme="minorBidi"/>
              <w:b w:val="0"/>
              <w:noProof/>
              <w:sz w:val="22"/>
              <w:lang w:eastAsia="en-AU"/>
            </w:rPr>
          </w:pPr>
          <w:hyperlink w:anchor="_Toc106113652" w:history="1">
            <w:r w:rsidR="00C61BB9" w:rsidRPr="005D4D2E">
              <w:rPr>
                <w:rStyle w:val="Hyperlink"/>
                <w:noProof/>
              </w:rPr>
              <w:t>III. Submission overview and risk/benefit assessment</w:t>
            </w:r>
            <w:r w:rsidR="00C61BB9">
              <w:rPr>
                <w:noProof/>
                <w:webHidden/>
              </w:rPr>
              <w:tab/>
            </w:r>
            <w:r w:rsidR="00C61BB9">
              <w:rPr>
                <w:noProof/>
                <w:webHidden/>
              </w:rPr>
              <w:fldChar w:fldCharType="begin"/>
            </w:r>
            <w:r w:rsidR="00C61BB9">
              <w:rPr>
                <w:noProof/>
                <w:webHidden/>
              </w:rPr>
              <w:instrText xml:space="preserve"> PAGEREF _Toc106113652 \h </w:instrText>
            </w:r>
            <w:r w:rsidR="00C61BB9">
              <w:rPr>
                <w:noProof/>
                <w:webHidden/>
              </w:rPr>
            </w:r>
            <w:r w:rsidR="00C61BB9">
              <w:rPr>
                <w:noProof/>
                <w:webHidden/>
              </w:rPr>
              <w:fldChar w:fldCharType="separate"/>
            </w:r>
            <w:r w:rsidR="006E2654">
              <w:rPr>
                <w:noProof/>
                <w:webHidden/>
              </w:rPr>
              <w:t>11</w:t>
            </w:r>
            <w:r w:rsidR="00C61BB9">
              <w:rPr>
                <w:noProof/>
                <w:webHidden/>
              </w:rPr>
              <w:fldChar w:fldCharType="end"/>
            </w:r>
          </w:hyperlink>
        </w:p>
        <w:p w14:paraId="648B9307" w14:textId="1998C529" w:rsidR="00C61BB9" w:rsidRDefault="00746946">
          <w:pPr>
            <w:pStyle w:val="TOC2"/>
            <w:rPr>
              <w:rFonts w:asciiTheme="minorHAnsi" w:eastAsiaTheme="minorEastAsia" w:hAnsiTheme="minorHAnsi" w:cstheme="minorBidi"/>
              <w:b w:val="0"/>
              <w:noProof/>
              <w:sz w:val="22"/>
              <w:lang w:eastAsia="en-AU"/>
            </w:rPr>
          </w:pPr>
          <w:hyperlink w:anchor="_Toc106113653" w:history="1">
            <w:r w:rsidR="00C61BB9" w:rsidRPr="005D4D2E">
              <w:rPr>
                <w:rStyle w:val="Hyperlink"/>
                <w:noProof/>
              </w:rPr>
              <w:t>Quality</w:t>
            </w:r>
            <w:r w:rsidR="00C61BB9">
              <w:rPr>
                <w:noProof/>
                <w:webHidden/>
              </w:rPr>
              <w:tab/>
            </w:r>
            <w:r w:rsidR="00C61BB9">
              <w:rPr>
                <w:noProof/>
                <w:webHidden/>
              </w:rPr>
              <w:fldChar w:fldCharType="begin"/>
            </w:r>
            <w:r w:rsidR="00C61BB9">
              <w:rPr>
                <w:noProof/>
                <w:webHidden/>
              </w:rPr>
              <w:instrText xml:space="preserve"> PAGEREF _Toc106113653 \h </w:instrText>
            </w:r>
            <w:r w:rsidR="00C61BB9">
              <w:rPr>
                <w:noProof/>
                <w:webHidden/>
              </w:rPr>
            </w:r>
            <w:r w:rsidR="00C61BB9">
              <w:rPr>
                <w:noProof/>
                <w:webHidden/>
              </w:rPr>
              <w:fldChar w:fldCharType="separate"/>
            </w:r>
            <w:r w:rsidR="006E2654">
              <w:rPr>
                <w:noProof/>
                <w:webHidden/>
              </w:rPr>
              <w:t>11</w:t>
            </w:r>
            <w:r w:rsidR="00C61BB9">
              <w:rPr>
                <w:noProof/>
                <w:webHidden/>
              </w:rPr>
              <w:fldChar w:fldCharType="end"/>
            </w:r>
          </w:hyperlink>
        </w:p>
        <w:p w14:paraId="599468F4" w14:textId="6FC842A6" w:rsidR="00C61BB9" w:rsidRDefault="00746946">
          <w:pPr>
            <w:pStyle w:val="TOC2"/>
            <w:rPr>
              <w:rFonts w:asciiTheme="minorHAnsi" w:eastAsiaTheme="minorEastAsia" w:hAnsiTheme="minorHAnsi" w:cstheme="minorBidi"/>
              <w:b w:val="0"/>
              <w:noProof/>
              <w:sz w:val="22"/>
              <w:lang w:eastAsia="en-AU"/>
            </w:rPr>
          </w:pPr>
          <w:hyperlink w:anchor="_Toc106113654" w:history="1">
            <w:r w:rsidR="00C61BB9" w:rsidRPr="005D4D2E">
              <w:rPr>
                <w:rStyle w:val="Hyperlink"/>
                <w:noProof/>
              </w:rPr>
              <w:t>Nonclinical</w:t>
            </w:r>
            <w:r w:rsidR="00C61BB9">
              <w:rPr>
                <w:noProof/>
                <w:webHidden/>
              </w:rPr>
              <w:tab/>
            </w:r>
            <w:r w:rsidR="00C61BB9">
              <w:rPr>
                <w:noProof/>
                <w:webHidden/>
              </w:rPr>
              <w:fldChar w:fldCharType="begin"/>
            </w:r>
            <w:r w:rsidR="00C61BB9">
              <w:rPr>
                <w:noProof/>
                <w:webHidden/>
              </w:rPr>
              <w:instrText xml:space="preserve"> PAGEREF _Toc106113654 \h </w:instrText>
            </w:r>
            <w:r w:rsidR="00C61BB9">
              <w:rPr>
                <w:noProof/>
                <w:webHidden/>
              </w:rPr>
            </w:r>
            <w:r w:rsidR="00C61BB9">
              <w:rPr>
                <w:noProof/>
                <w:webHidden/>
              </w:rPr>
              <w:fldChar w:fldCharType="separate"/>
            </w:r>
            <w:r w:rsidR="006E2654">
              <w:rPr>
                <w:noProof/>
                <w:webHidden/>
              </w:rPr>
              <w:t>13</w:t>
            </w:r>
            <w:r w:rsidR="00C61BB9">
              <w:rPr>
                <w:noProof/>
                <w:webHidden/>
              </w:rPr>
              <w:fldChar w:fldCharType="end"/>
            </w:r>
          </w:hyperlink>
        </w:p>
        <w:p w14:paraId="2D8B4AAF" w14:textId="5312EDAF" w:rsidR="00C61BB9" w:rsidRDefault="00746946">
          <w:pPr>
            <w:pStyle w:val="TOC2"/>
            <w:rPr>
              <w:rFonts w:asciiTheme="minorHAnsi" w:eastAsiaTheme="minorEastAsia" w:hAnsiTheme="minorHAnsi" w:cstheme="minorBidi"/>
              <w:b w:val="0"/>
              <w:noProof/>
              <w:sz w:val="22"/>
              <w:lang w:eastAsia="en-AU"/>
            </w:rPr>
          </w:pPr>
          <w:hyperlink w:anchor="_Toc106113655" w:history="1">
            <w:r w:rsidR="00C61BB9" w:rsidRPr="005D4D2E">
              <w:rPr>
                <w:rStyle w:val="Hyperlink"/>
                <w:noProof/>
              </w:rPr>
              <w:t>Clinical</w:t>
            </w:r>
            <w:r w:rsidR="00C61BB9">
              <w:rPr>
                <w:noProof/>
                <w:webHidden/>
              </w:rPr>
              <w:tab/>
            </w:r>
            <w:r w:rsidR="00C61BB9">
              <w:rPr>
                <w:noProof/>
                <w:webHidden/>
              </w:rPr>
              <w:fldChar w:fldCharType="begin"/>
            </w:r>
            <w:r w:rsidR="00C61BB9">
              <w:rPr>
                <w:noProof/>
                <w:webHidden/>
              </w:rPr>
              <w:instrText xml:space="preserve"> PAGEREF _Toc106113655 \h </w:instrText>
            </w:r>
            <w:r w:rsidR="00C61BB9">
              <w:rPr>
                <w:noProof/>
                <w:webHidden/>
              </w:rPr>
            </w:r>
            <w:r w:rsidR="00C61BB9">
              <w:rPr>
                <w:noProof/>
                <w:webHidden/>
              </w:rPr>
              <w:fldChar w:fldCharType="separate"/>
            </w:r>
            <w:r w:rsidR="006E2654">
              <w:rPr>
                <w:noProof/>
                <w:webHidden/>
              </w:rPr>
              <w:t>13</w:t>
            </w:r>
            <w:r w:rsidR="00C61BB9">
              <w:rPr>
                <w:noProof/>
                <w:webHidden/>
              </w:rPr>
              <w:fldChar w:fldCharType="end"/>
            </w:r>
          </w:hyperlink>
        </w:p>
        <w:p w14:paraId="53BCE095" w14:textId="42126CDD" w:rsidR="00C61BB9" w:rsidRDefault="00746946">
          <w:pPr>
            <w:pStyle w:val="TOC2"/>
            <w:rPr>
              <w:rFonts w:asciiTheme="minorHAnsi" w:eastAsiaTheme="minorEastAsia" w:hAnsiTheme="minorHAnsi" w:cstheme="minorBidi"/>
              <w:b w:val="0"/>
              <w:noProof/>
              <w:sz w:val="22"/>
              <w:lang w:eastAsia="en-AU"/>
            </w:rPr>
          </w:pPr>
          <w:hyperlink w:anchor="_Toc106113656" w:history="1">
            <w:r w:rsidR="00C61BB9" w:rsidRPr="005D4D2E">
              <w:rPr>
                <w:rStyle w:val="Hyperlink"/>
                <w:noProof/>
                <w:lang w:eastAsia="en-AU"/>
              </w:rPr>
              <w:t>Risk management plan</w:t>
            </w:r>
            <w:r w:rsidR="00C61BB9">
              <w:rPr>
                <w:noProof/>
                <w:webHidden/>
              </w:rPr>
              <w:tab/>
            </w:r>
            <w:r w:rsidR="00C61BB9">
              <w:rPr>
                <w:noProof/>
                <w:webHidden/>
              </w:rPr>
              <w:fldChar w:fldCharType="begin"/>
            </w:r>
            <w:r w:rsidR="00C61BB9">
              <w:rPr>
                <w:noProof/>
                <w:webHidden/>
              </w:rPr>
              <w:instrText xml:space="preserve"> PAGEREF _Toc106113656 \h </w:instrText>
            </w:r>
            <w:r w:rsidR="00C61BB9">
              <w:rPr>
                <w:noProof/>
                <w:webHidden/>
              </w:rPr>
            </w:r>
            <w:r w:rsidR="00C61BB9">
              <w:rPr>
                <w:noProof/>
                <w:webHidden/>
              </w:rPr>
              <w:fldChar w:fldCharType="separate"/>
            </w:r>
            <w:r w:rsidR="006E2654">
              <w:rPr>
                <w:noProof/>
                <w:webHidden/>
              </w:rPr>
              <w:t>24</w:t>
            </w:r>
            <w:r w:rsidR="00C61BB9">
              <w:rPr>
                <w:noProof/>
                <w:webHidden/>
              </w:rPr>
              <w:fldChar w:fldCharType="end"/>
            </w:r>
          </w:hyperlink>
        </w:p>
        <w:p w14:paraId="10009923" w14:textId="66AF5EB2" w:rsidR="00C61BB9" w:rsidRDefault="00746946">
          <w:pPr>
            <w:pStyle w:val="TOC2"/>
            <w:rPr>
              <w:rFonts w:asciiTheme="minorHAnsi" w:eastAsiaTheme="minorEastAsia" w:hAnsiTheme="minorHAnsi" w:cstheme="minorBidi"/>
              <w:b w:val="0"/>
              <w:noProof/>
              <w:sz w:val="22"/>
              <w:lang w:eastAsia="en-AU"/>
            </w:rPr>
          </w:pPr>
          <w:hyperlink w:anchor="_Toc106113657" w:history="1">
            <w:r w:rsidR="00C61BB9" w:rsidRPr="005D4D2E">
              <w:rPr>
                <w:rStyle w:val="Hyperlink"/>
                <w:noProof/>
              </w:rPr>
              <w:t>Risk-benefit analysis</w:t>
            </w:r>
            <w:r w:rsidR="00C61BB9">
              <w:rPr>
                <w:noProof/>
                <w:webHidden/>
              </w:rPr>
              <w:tab/>
            </w:r>
            <w:r w:rsidR="00C61BB9">
              <w:rPr>
                <w:noProof/>
                <w:webHidden/>
              </w:rPr>
              <w:fldChar w:fldCharType="begin"/>
            </w:r>
            <w:r w:rsidR="00C61BB9">
              <w:rPr>
                <w:noProof/>
                <w:webHidden/>
              </w:rPr>
              <w:instrText xml:space="preserve"> PAGEREF _Toc106113657 \h </w:instrText>
            </w:r>
            <w:r w:rsidR="00C61BB9">
              <w:rPr>
                <w:noProof/>
                <w:webHidden/>
              </w:rPr>
            </w:r>
            <w:r w:rsidR="00C61BB9">
              <w:rPr>
                <w:noProof/>
                <w:webHidden/>
              </w:rPr>
              <w:fldChar w:fldCharType="separate"/>
            </w:r>
            <w:r w:rsidR="006E2654">
              <w:rPr>
                <w:noProof/>
                <w:webHidden/>
              </w:rPr>
              <w:t>25</w:t>
            </w:r>
            <w:r w:rsidR="00C61BB9">
              <w:rPr>
                <w:noProof/>
                <w:webHidden/>
              </w:rPr>
              <w:fldChar w:fldCharType="end"/>
            </w:r>
          </w:hyperlink>
        </w:p>
        <w:p w14:paraId="01FF8180" w14:textId="3A2005A1" w:rsidR="00C61BB9" w:rsidRDefault="00746946">
          <w:pPr>
            <w:pStyle w:val="TOC2"/>
            <w:rPr>
              <w:rFonts w:asciiTheme="minorHAnsi" w:eastAsiaTheme="minorEastAsia" w:hAnsiTheme="minorHAnsi" w:cstheme="minorBidi"/>
              <w:b w:val="0"/>
              <w:noProof/>
              <w:sz w:val="22"/>
              <w:lang w:eastAsia="en-AU"/>
            </w:rPr>
          </w:pPr>
          <w:hyperlink w:anchor="_Toc106113658" w:history="1">
            <w:r w:rsidR="00C61BB9" w:rsidRPr="005D4D2E">
              <w:rPr>
                <w:rStyle w:val="Hyperlink"/>
                <w:noProof/>
              </w:rPr>
              <w:t>Outcome</w:t>
            </w:r>
            <w:r w:rsidR="00C61BB9">
              <w:rPr>
                <w:noProof/>
                <w:webHidden/>
              </w:rPr>
              <w:tab/>
            </w:r>
            <w:r w:rsidR="00C61BB9">
              <w:rPr>
                <w:noProof/>
                <w:webHidden/>
              </w:rPr>
              <w:fldChar w:fldCharType="begin"/>
            </w:r>
            <w:r w:rsidR="00C61BB9">
              <w:rPr>
                <w:noProof/>
                <w:webHidden/>
              </w:rPr>
              <w:instrText xml:space="preserve"> PAGEREF _Toc106113658 \h </w:instrText>
            </w:r>
            <w:r w:rsidR="00C61BB9">
              <w:rPr>
                <w:noProof/>
                <w:webHidden/>
              </w:rPr>
            </w:r>
            <w:r w:rsidR="00C61BB9">
              <w:rPr>
                <w:noProof/>
                <w:webHidden/>
              </w:rPr>
              <w:fldChar w:fldCharType="separate"/>
            </w:r>
            <w:r w:rsidR="006E2654">
              <w:rPr>
                <w:noProof/>
                <w:webHidden/>
              </w:rPr>
              <w:t>29</w:t>
            </w:r>
            <w:r w:rsidR="00C61BB9">
              <w:rPr>
                <w:noProof/>
                <w:webHidden/>
              </w:rPr>
              <w:fldChar w:fldCharType="end"/>
            </w:r>
          </w:hyperlink>
        </w:p>
        <w:p w14:paraId="4217BE4D" w14:textId="03800D33" w:rsidR="00C61BB9" w:rsidRDefault="00746946">
          <w:pPr>
            <w:pStyle w:val="TOC1"/>
            <w:rPr>
              <w:rFonts w:asciiTheme="minorHAnsi" w:eastAsiaTheme="minorEastAsia" w:hAnsiTheme="minorHAnsi" w:cstheme="minorBidi"/>
              <w:b w:val="0"/>
              <w:noProof/>
              <w:sz w:val="22"/>
              <w:lang w:eastAsia="en-AU"/>
            </w:rPr>
          </w:pPr>
          <w:hyperlink w:anchor="_Toc106113659" w:history="1">
            <w:r w:rsidR="00C61BB9" w:rsidRPr="005D4D2E">
              <w:rPr>
                <w:rStyle w:val="Hyperlink"/>
                <w:noProof/>
              </w:rPr>
              <w:t>Attachment 1. Product Information</w:t>
            </w:r>
            <w:r w:rsidR="00C61BB9">
              <w:rPr>
                <w:noProof/>
                <w:webHidden/>
              </w:rPr>
              <w:tab/>
            </w:r>
            <w:r w:rsidR="00C61BB9">
              <w:rPr>
                <w:noProof/>
                <w:webHidden/>
              </w:rPr>
              <w:fldChar w:fldCharType="begin"/>
            </w:r>
            <w:r w:rsidR="00C61BB9">
              <w:rPr>
                <w:noProof/>
                <w:webHidden/>
              </w:rPr>
              <w:instrText xml:space="preserve"> PAGEREF _Toc106113659 \h </w:instrText>
            </w:r>
            <w:r w:rsidR="00C61BB9">
              <w:rPr>
                <w:noProof/>
                <w:webHidden/>
              </w:rPr>
            </w:r>
            <w:r w:rsidR="00C61BB9">
              <w:rPr>
                <w:noProof/>
                <w:webHidden/>
              </w:rPr>
              <w:fldChar w:fldCharType="separate"/>
            </w:r>
            <w:r w:rsidR="006E2654">
              <w:rPr>
                <w:noProof/>
                <w:webHidden/>
              </w:rPr>
              <w:t>30</w:t>
            </w:r>
            <w:r w:rsidR="00C61BB9">
              <w:rPr>
                <w:noProof/>
                <w:webHidden/>
              </w:rPr>
              <w:fldChar w:fldCharType="end"/>
            </w:r>
          </w:hyperlink>
        </w:p>
        <w:p w14:paraId="7764CC51" w14:textId="23EC6FA9" w:rsidR="003A7F6C" w:rsidRPr="00B811C6" w:rsidRDefault="00C525A2" w:rsidP="00B811C6">
          <w:pPr>
            <w:pStyle w:val="TOC2"/>
          </w:pPr>
          <w:r>
            <w:fldChar w:fldCharType="end"/>
          </w:r>
        </w:p>
      </w:sdtContent>
    </w:sdt>
    <w:bookmarkStart w:id="2" w:name="_Toc314842482" w:displacedByCustomXml="prev"/>
    <w:p w14:paraId="70FF489E" w14:textId="77777777" w:rsidR="00FD119B" w:rsidRDefault="00FD119B">
      <w:pPr>
        <w:spacing w:before="0" w:after="200" w:line="0" w:lineRule="auto"/>
      </w:pPr>
      <w:r>
        <w:br w:type="page"/>
      </w:r>
    </w:p>
    <w:p w14:paraId="0C91C5B8" w14:textId="77777777" w:rsidR="00FD119B" w:rsidRDefault="00324E45" w:rsidP="004F0C4A">
      <w:pPr>
        <w:pStyle w:val="Heading2"/>
      </w:pPr>
      <w:bookmarkStart w:id="3" w:name="_Toc351716269"/>
      <w:bookmarkStart w:id="4" w:name="_Toc351718881"/>
      <w:bookmarkStart w:id="5" w:name="_Toc355338616"/>
      <w:bookmarkStart w:id="6" w:name="_Toc356306144"/>
      <w:bookmarkStart w:id="7" w:name="_Toc106113645"/>
      <w:r>
        <w:lastRenderedPageBreak/>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604"/>
      </w:tblGrid>
      <w:tr w:rsidR="00FD119B" w:rsidRPr="00FD119B" w14:paraId="06AE9D7B" w14:textId="77777777" w:rsidTr="00614949">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6CA123D6" w14:textId="77777777" w:rsidR="00FD119B" w:rsidRPr="00614949" w:rsidRDefault="00FD119B" w:rsidP="00614949">
            <w:bookmarkStart w:id="8" w:name="_Hlk103930755"/>
            <w:r w:rsidRPr="00614949">
              <w:t>Abbreviation</w:t>
            </w:r>
          </w:p>
        </w:tc>
        <w:tc>
          <w:tcPr>
            <w:tcW w:w="6604" w:type="dxa"/>
            <w:tcBorders>
              <w:top w:val="single" w:sz="4" w:space="0" w:color="auto"/>
              <w:left w:val="single" w:sz="4" w:space="0" w:color="auto"/>
              <w:bottom w:val="single" w:sz="4" w:space="0" w:color="auto"/>
              <w:right w:val="single" w:sz="4" w:space="0" w:color="auto"/>
            </w:tcBorders>
          </w:tcPr>
          <w:p w14:paraId="7CE8B682" w14:textId="77777777" w:rsidR="00FD119B" w:rsidRPr="00614949" w:rsidRDefault="00FD119B" w:rsidP="00614949">
            <w:r w:rsidRPr="00614949">
              <w:t>Meaning</w:t>
            </w:r>
          </w:p>
        </w:tc>
      </w:tr>
      <w:tr w:rsidR="00614949" w:rsidRPr="00FD119B" w14:paraId="1D7D7F97" w14:textId="77777777" w:rsidTr="00614949">
        <w:tc>
          <w:tcPr>
            <w:tcW w:w="1890" w:type="dxa"/>
            <w:tcBorders>
              <w:top w:val="single" w:sz="4" w:space="0" w:color="auto"/>
            </w:tcBorders>
          </w:tcPr>
          <w:p w14:paraId="73DC1BB9" w14:textId="2BE0A5DD" w:rsidR="00614949" w:rsidRPr="00614949" w:rsidRDefault="00614949" w:rsidP="00614949">
            <w:r w:rsidRPr="00614949">
              <w:t>ACM</w:t>
            </w:r>
          </w:p>
        </w:tc>
        <w:tc>
          <w:tcPr>
            <w:tcW w:w="6604" w:type="dxa"/>
            <w:tcBorders>
              <w:top w:val="single" w:sz="4" w:space="0" w:color="auto"/>
            </w:tcBorders>
          </w:tcPr>
          <w:p w14:paraId="5E207035" w14:textId="6447D903" w:rsidR="00614949" w:rsidRPr="00614949" w:rsidRDefault="00614949" w:rsidP="00614949">
            <w:r w:rsidRPr="00614949">
              <w:t>Advisory Committee on Medicines</w:t>
            </w:r>
          </w:p>
        </w:tc>
      </w:tr>
      <w:tr w:rsidR="00614949" w:rsidRPr="00FD119B" w14:paraId="4C762F4F" w14:textId="77777777" w:rsidTr="00614949">
        <w:tc>
          <w:tcPr>
            <w:tcW w:w="1890" w:type="dxa"/>
          </w:tcPr>
          <w:p w14:paraId="729491A1" w14:textId="335D3E1A" w:rsidR="00614949" w:rsidRPr="00614949" w:rsidRDefault="00614949" w:rsidP="00614949">
            <w:r w:rsidRPr="00614949">
              <w:t>ADR</w:t>
            </w:r>
          </w:p>
        </w:tc>
        <w:tc>
          <w:tcPr>
            <w:tcW w:w="6604" w:type="dxa"/>
          </w:tcPr>
          <w:p w14:paraId="48A3BC28" w14:textId="4EB1BC8C" w:rsidR="00614949" w:rsidRPr="00614949" w:rsidRDefault="00614949" w:rsidP="00614949">
            <w:bookmarkStart w:id="9" w:name="_Hlk103949965"/>
            <w:r w:rsidRPr="00614949">
              <w:t>Adverse drug reaction</w:t>
            </w:r>
            <w:bookmarkEnd w:id="9"/>
          </w:p>
        </w:tc>
      </w:tr>
      <w:tr w:rsidR="00614949" w:rsidRPr="00FD119B" w14:paraId="6A9CF290" w14:textId="77777777" w:rsidTr="00614949">
        <w:tc>
          <w:tcPr>
            <w:tcW w:w="1890" w:type="dxa"/>
          </w:tcPr>
          <w:p w14:paraId="490016BF" w14:textId="22126305" w:rsidR="00614949" w:rsidRPr="00614949" w:rsidRDefault="00614949" w:rsidP="00614949">
            <w:r w:rsidRPr="00614949">
              <w:t>AE</w:t>
            </w:r>
          </w:p>
        </w:tc>
        <w:tc>
          <w:tcPr>
            <w:tcW w:w="6604" w:type="dxa"/>
          </w:tcPr>
          <w:p w14:paraId="23756B2A" w14:textId="2FC0E9A2" w:rsidR="00614949" w:rsidRPr="00614949" w:rsidRDefault="00614949" w:rsidP="00614949">
            <w:r w:rsidRPr="00614949">
              <w:t>Adverse event</w:t>
            </w:r>
          </w:p>
        </w:tc>
      </w:tr>
      <w:tr w:rsidR="00614949" w:rsidRPr="00FD119B" w14:paraId="7E412A72" w14:textId="77777777" w:rsidTr="00614949">
        <w:tc>
          <w:tcPr>
            <w:tcW w:w="1890" w:type="dxa"/>
          </w:tcPr>
          <w:p w14:paraId="543FF40B" w14:textId="25066375" w:rsidR="00614949" w:rsidRPr="00614949" w:rsidRDefault="00614949" w:rsidP="00614949">
            <w:r w:rsidRPr="00614949">
              <w:t>ALT</w:t>
            </w:r>
          </w:p>
        </w:tc>
        <w:tc>
          <w:tcPr>
            <w:tcW w:w="6604" w:type="dxa"/>
          </w:tcPr>
          <w:p w14:paraId="34821A8C" w14:textId="4824AFA7" w:rsidR="00614949" w:rsidRPr="00614949" w:rsidRDefault="00614949">
            <w:r w:rsidRPr="00614949">
              <w:t xml:space="preserve">Alanine </w:t>
            </w:r>
            <w:r w:rsidR="00275A4D">
              <w:t>transaminase</w:t>
            </w:r>
          </w:p>
        </w:tc>
      </w:tr>
      <w:tr w:rsidR="00614949" w:rsidRPr="00FD119B" w14:paraId="3C255034" w14:textId="77777777" w:rsidTr="00614949">
        <w:tc>
          <w:tcPr>
            <w:tcW w:w="1890" w:type="dxa"/>
          </w:tcPr>
          <w:p w14:paraId="1513B0B3" w14:textId="7E82B07E" w:rsidR="00614949" w:rsidRPr="00614949" w:rsidRDefault="00614949" w:rsidP="00614949">
            <w:proofErr w:type="spellStart"/>
            <w:r w:rsidRPr="00614949">
              <w:t>aPTT</w:t>
            </w:r>
            <w:proofErr w:type="spellEnd"/>
          </w:p>
        </w:tc>
        <w:tc>
          <w:tcPr>
            <w:tcW w:w="6604" w:type="dxa"/>
          </w:tcPr>
          <w:p w14:paraId="2F6E7904" w14:textId="4518091C" w:rsidR="00614949" w:rsidRPr="00614949" w:rsidRDefault="00614949" w:rsidP="00614949">
            <w:r w:rsidRPr="00614949">
              <w:t>Activated partial thromboplastin time</w:t>
            </w:r>
          </w:p>
        </w:tc>
      </w:tr>
      <w:tr w:rsidR="00614949" w:rsidRPr="00FD119B" w14:paraId="2000A770" w14:textId="77777777" w:rsidTr="00614949">
        <w:tc>
          <w:tcPr>
            <w:tcW w:w="1890" w:type="dxa"/>
          </w:tcPr>
          <w:p w14:paraId="47CA97FD" w14:textId="54244309" w:rsidR="00614949" w:rsidRPr="00614949" w:rsidRDefault="00614949" w:rsidP="00614949">
            <w:r w:rsidRPr="00614949">
              <w:t>ARGPM</w:t>
            </w:r>
          </w:p>
        </w:tc>
        <w:tc>
          <w:tcPr>
            <w:tcW w:w="6604" w:type="dxa"/>
          </w:tcPr>
          <w:p w14:paraId="4235AB7D" w14:textId="0E2C97D3" w:rsidR="00614949" w:rsidRPr="00614949" w:rsidRDefault="00614949" w:rsidP="00614949">
            <w:r w:rsidRPr="00614949">
              <w:t>Australian Regulatory Guidelines for Prescription Medicines</w:t>
            </w:r>
          </w:p>
        </w:tc>
      </w:tr>
      <w:tr w:rsidR="00614949" w:rsidRPr="00FD119B" w14:paraId="6E2634CD" w14:textId="77777777" w:rsidTr="00614949">
        <w:tc>
          <w:tcPr>
            <w:tcW w:w="1890" w:type="dxa"/>
          </w:tcPr>
          <w:p w14:paraId="69932340" w14:textId="4AC4A13F" w:rsidR="00614949" w:rsidRPr="00614949" w:rsidRDefault="00614949" w:rsidP="00614949">
            <w:r w:rsidRPr="00614949">
              <w:t>ARTG</w:t>
            </w:r>
          </w:p>
        </w:tc>
        <w:tc>
          <w:tcPr>
            <w:tcW w:w="6604" w:type="dxa"/>
          </w:tcPr>
          <w:p w14:paraId="4CBC4815" w14:textId="746AC2A1" w:rsidR="00614949" w:rsidRPr="00614949" w:rsidRDefault="00614949" w:rsidP="00614949">
            <w:r w:rsidRPr="00614949">
              <w:t>Australian Register of Therapeutic Goods</w:t>
            </w:r>
          </w:p>
        </w:tc>
      </w:tr>
      <w:tr w:rsidR="00614949" w:rsidRPr="00FD119B" w14:paraId="54C40EC8" w14:textId="77777777" w:rsidTr="00614949">
        <w:tc>
          <w:tcPr>
            <w:tcW w:w="1890" w:type="dxa"/>
          </w:tcPr>
          <w:p w14:paraId="7E5AE42F" w14:textId="00780160" w:rsidR="00614949" w:rsidRPr="00614949" w:rsidRDefault="00614949" w:rsidP="00614949">
            <w:r w:rsidRPr="00614949">
              <w:t>ASA</w:t>
            </w:r>
          </w:p>
        </w:tc>
        <w:tc>
          <w:tcPr>
            <w:tcW w:w="6604" w:type="dxa"/>
          </w:tcPr>
          <w:p w14:paraId="7FF0D263" w14:textId="2CC172F9" w:rsidR="00614949" w:rsidRPr="00614949" w:rsidRDefault="00614949" w:rsidP="00614949">
            <w:r w:rsidRPr="00614949">
              <w:t>Australia specific annex</w:t>
            </w:r>
          </w:p>
        </w:tc>
      </w:tr>
      <w:tr w:rsidR="00614949" w:rsidRPr="00FD119B" w14:paraId="7B97A6FC" w14:textId="77777777" w:rsidTr="00614949">
        <w:tc>
          <w:tcPr>
            <w:tcW w:w="1890" w:type="dxa"/>
          </w:tcPr>
          <w:p w14:paraId="1274C20A" w14:textId="03EE0B62" w:rsidR="00614949" w:rsidRPr="00614949" w:rsidRDefault="00614949" w:rsidP="00614949">
            <w:r w:rsidRPr="00614949">
              <w:t>AST</w:t>
            </w:r>
          </w:p>
        </w:tc>
        <w:tc>
          <w:tcPr>
            <w:tcW w:w="6604" w:type="dxa"/>
          </w:tcPr>
          <w:p w14:paraId="2444B9C6" w14:textId="0C5ECE29" w:rsidR="00614949" w:rsidRPr="00614949" w:rsidRDefault="00614949" w:rsidP="00614949">
            <w:r w:rsidRPr="00614949">
              <w:t>Aspartate transaminase</w:t>
            </w:r>
          </w:p>
        </w:tc>
      </w:tr>
      <w:tr w:rsidR="00614949" w:rsidRPr="00FD119B" w14:paraId="68277CAD" w14:textId="77777777" w:rsidTr="00614949">
        <w:tc>
          <w:tcPr>
            <w:tcW w:w="1890" w:type="dxa"/>
          </w:tcPr>
          <w:p w14:paraId="0A062A7E" w14:textId="4DE6F800" w:rsidR="00614949" w:rsidRPr="00614949" w:rsidRDefault="00614949" w:rsidP="00614949">
            <w:r w:rsidRPr="00614949">
              <w:t>CI</w:t>
            </w:r>
          </w:p>
        </w:tc>
        <w:tc>
          <w:tcPr>
            <w:tcW w:w="6604" w:type="dxa"/>
          </w:tcPr>
          <w:p w14:paraId="2998DB72" w14:textId="57E59170" w:rsidR="00614949" w:rsidRPr="00614949" w:rsidRDefault="00614949" w:rsidP="00614949">
            <w:r w:rsidRPr="00614949">
              <w:t>Confidence interval</w:t>
            </w:r>
          </w:p>
        </w:tc>
      </w:tr>
      <w:tr w:rsidR="00614949" w:rsidRPr="00FD119B" w14:paraId="765A7F5A" w14:textId="77777777" w:rsidTr="00614949">
        <w:tc>
          <w:tcPr>
            <w:tcW w:w="1890" w:type="dxa"/>
          </w:tcPr>
          <w:p w14:paraId="2B6E1626" w14:textId="08D4A1D9" w:rsidR="00614949" w:rsidRPr="00614949" w:rsidRDefault="00614949" w:rsidP="00614949">
            <w:r w:rsidRPr="00614949">
              <w:t>CMI</w:t>
            </w:r>
          </w:p>
        </w:tc>
        <w:tc>
          <w:tcPr>
            <w:tcW w:w="6604" w:type="dxa"/>
          </w:tcPr>
          <w:p w14:paraId="3954695A" w14:textId="6C69A0AC" w:rsidR="00614949" w:rsidRPr="00614949" w:rsidRDefault="00614949" w:rsidP="00614949">
            <w:r w:rsidRPr="00614949">
              <w:t>Consumer Medicines Information</w:t>
            </w:r>
          </w:p>
        </w:tc>
      </w:tr>
      <w:tr w:rsidR="00614949" w:rsidRPr="00FD119B" w14:paraId="6D870C5E" w14:textId="77777777" w:rsidTr="00614949">
        <w:tc>
          <w:tcPr>
            <w:tcW w:w="1890" w:type="dxa"/>
          </w:tcPr>
          <w:p w14:paraId="11A29345" w14:textId="70F26935" w:rsidR="00614949" w:rsidRPr="00614949" w:rsidRDefault="00614949" w:rsidP="00614949">
            <w:r w:rsidRPr="00614949">
              <w:t>CPD</w:t>
            </w:r>
          </w:p>
        </w:tc>
        <w:tc>
          <w:tcPr>
            <w:tcW w:w="6604" w:type="dxa"/>
          </w:tcPr>
          <w:p w14:paraId="24F88806" w14:textId="1EBB0839" w:rsidR="00614949" w:rsidRPr="00614949" w:rsidRDefault="00614949" w:rsidP="00614949">
            <w:r w:rsidRPr="00614949">
              <w:t>Certified Product Details</w:t>
            </w:r>
          </w:p>
        </w:tc>
      </w:tr>
      <w:tr w:rsidR="00614949" w:rsidRPr="00FD119B" w14:paraId="784EDA77" w14:textId="77777777" w:rsidTr="00614949">
        <w:tc>
          <w:tcPr>
            <w:tcW w:w="1890" w:type="dxa"/>
          </w:tcPr>
          <w:p w14:paraId="1371F741" w14:textId="041FEF3C" w:rsidR="00614949" w:rsidRPr="00614949" w:rsidRDefault="00614949" w:rsidP="00614949">
            <w:r w:rsidRPr="00614949">
              <w:t>DLP</w:t>
            </w:r>
          </w:p>
        </w:tc>
        <w:tc>
          <w:tcPr>
            <w:tcW w:w="6604" w:type="dxa"/>
          </w:tcPr>
          <w:p w14:paraId="16272F50" w14:textId="533DA6DD" w:rsidR="00614949" w:rsidRPr="00614949" w:rsidRDefault="00614949" w:rsidP="00614949">
            <w:r w:rsidRPr="00614949">
              <w:t>Data lock point</w:t>
            </w:r>
          </w:p>
        </w:tc>
      </w:tr>
      <w:tr w:rsidR="00614949" w:rsidRPr="00FD119B" w14:paraId="1E7A8033" w14:textId="77777777" w:rsidTr="00614949">
        <w:tc>
          <w:tcPr>
            <w:tcW w:w="1890" w:type="dxa"/>
          </w:tcPr>
          <w:p w14:paraId="11E84D23" w14:textId="5C94DC59" w:rsidR="00614949" w:rsidRPr="00614949" w:rsidRDefault="00614949" w:rsidP="00614949">
            <w:r w:rsidRPr="00614949">
              <w:t>EMA</w:t>
            </w:r>
          </w:p>
        </w:tc>
        <w:tc>
          <w:tcPr>
            <w:tcW w:w="6604" w:type="dxa"/>
          </w:tcPr>
          <w:p w14:paraId="17E3EFFD" w14:textId="7F3745AC" w:rsidR="00614949" w:rsidRPr="00614949" w:rsidRDefault="00614949" w:rsidP="00614949">
            <w:r w:rsidRPr="00614949">
              <w:t>European Medicines Agency (European Union)</w:t>
            </w:r>
          </w:p>
        </w:tc>
      </w:tr>
      <w:tr w:rsidR="00614949" w:rsidRPr="00FD119B" w14:paraId="0D15794E" w14:textId="77777777" w:rsidTr="00614949">
        <w:tc>
          <w:tcPr>
            <w:tcW w:w="1890" w:type="dxa"/>
          </w:tcPr>
          <w:p w14:paraId="31D1D9EB" w14:textId="0BDB6208" w:rsidR="00614949" w:rsidRPr="00614949" w:rsidRDefault="00614949" w:rsidP="00614949">
            <w:r w:rsidRPr="00614949">
              <w:t>EU</w:t>
            </w:r>
          </w:p>
        </w:tc>
        <w:tc>
          <w:tcPr>
            <w:tcW w:w="6604" w:type="dxa"/>
          </w:tcPr>
          <w:p w14:paraId="5AA1D281" w14:textId="7A4C8553" w:rsidR="00614949" w:rsidRPr="00614949" w:rsidRDefault="00614949" w:rsidP="00614949">
            <w:r w:rsidRPr="00614949">
              <w:t>European Union</w:t>
            </w:r>
          </w:p>
        </w:tc>
      </w:tr>
      <w:tr w:rsidR="00614949" w:rsidRPr="00FD119B" w14:paraId="1375C74D" w14:textId="77777777" w:rsidTr="00614949">
        <w:tc>
          <w:tcPr>
            <w:tcW w:w="1890" w:type="dxa"/>
          </w:tcPr>
          <w:p w14:paraId="406AFAE6" w14:textId="286B8FCB" w:rsidR="00614949" w:rsidRPr="00614949" w:rsidRDefault="00614949" w:rsidP="00614949">
            <w:r w:rsidRPr="00614949">
              <w:t>FDA</w:t>
            </w:r>
          </w:p>
        </w:tc>
        <w:tc>
          <w:tcPr>
            <w:tcW w:w="6604" w:type="dxa"/>
          </w:tcPr>
          <w:p w14:paraId="63281335" w14:textId="417828C7" w:rsidR="00614949" w:rsidRPr="00614949" w:rsidRDefault="00614949" w:rsidP="00614949">
            <w:bookmarkStart w:id="10" w:name="_Hlk103950794"/>
            <w:r w:rsidRPr="00614949">
              <w:t xml:space="preserve">Food and Drug Administration </w:t>
            </w:r>
            <w:bookmarkEnd w:id="10"/>
            <w:r w:rsidRPr="00614949">
              <w:t>(United States of America)</w:t>
            </w:r>
          </w:p>
        </w:tc>
      </w:tr>
      <w:tr w:rsidR="00767542" w:rsidRPr="00FD119B" w14:paraId="5C856D9E" w14:textId="77777777" w:rsidTr="00614949">
        <w:tc>
          <w:tcPr>
            <w:tcW w:w="1890" w:type="dxa"/>
          </w:tcPr>
          <w:p w14:paraId="636A6E24" w14:textId="28C6D783" w:rsidR="00767542" w:rsidRPr="00614949" w:rsidRDefault="00767542" w:rsidP="00614949">
            <w:r w:rsidRPr="00767542">
              <w:t>FS</w:t>
            </w:r>
          </w:p>
        </w:tc>
        <w:tc>
          <w:tcPr>
            <w:tcW w:w="6604" w:type="dxa"/>
          </w:tcPr>
          <w:p w14:paraId="05104721" w14:textId="0C9D5F53" w:rsidR="00767542" w:rsidRPr="00614949" w:rsidRDefault="00767542" w:rsidP="00614949">
            <w:r w:rsidRPr="00767542">
              <w:t>Fibrin Sealant</w:t>
            </w:r>
          </w:p>
        </w:tc>
      </w:tr>
      <w:tr w:rsidR="00614949" w:rsidRPr="00FD119B" w14:paraId="22E15A9D" w14:textId="77777777" w:rsidTr="00614949">
        <w:tc>
          <w:tcPr>
            <w:tcW w:w="1890" w:type="dxa"/>
          </w:tcPr>
          <w:p w14:paraId="7D776BBE" w14:textId="3A5E0E4E" w:rsidR="00614949" w:rsidRPr="00614949" w:rsidRDefault="00614949" w:rsidP="00614949">
            <w:r w:rsidRPr="00614949">
              <w:t>GMP</w:t>
            </w:r>
          </w:p>
        </w:tc>
        <w:tc>
          <w:tcPr>
            <w:tcW w:w="6604" w:type="dxa"/>
          </w:tcPr>
          <w:p w14:paraId="696D584C" w14:textId="455794F0" w:rsidR="00614949" w:rsidRPr="00614949" w:rsidRDefault="00614949" w:rsidP="00614949">
            <w:r w:rsidRPr="00614949">
              <w:t>Good Manufacturing Practice</w:t>
            </w:r>
          </w:p>
        </w:tc>
      </w:tr>
      <w:tr w:rsidR="00614949" w:rsidRPr="00FD119B" w14:paraId="48C716B3" w14:textId="77777777" w:rsidTr="00614949">
        <w:tc>
          <w:tcPr>
            <w:tcW w:w="1890" w:type="dxa"/>
          </w:tcPr>
          <w:p w14:paraId="58668610" w14:textId="18BEA579" w:rsidR="00614949" w:rsidRPr="00614949" w:rsidRDefault="00614949" w:rsidP="00614949">
            <w:r w:rsidRPr="00614949">
              <w:t>IFU</w:t>
            </w:r>
          </w:p>
        </w:tc>
        <w:tc>
          <w:tcPr>
            <w:tcW w:w="6604" w:type="dxa"/>
          </w:tcPr>
          <w:p w14:paraId="7031FD16" w14:textId="64DEE1A1" w:rsidR="00614949" w:rsidRPr="00614949" w:rsidRDefault="00614949" w:rsidP="00614949">
            <w:bookmarkStart w:id="11" w:name="_Hlk103950575"/>
            <w:r w:rsidRPr="00614949">
              <w:t>Instruction for Use</w:t>
            </w:r>
            <w:bookmarkEnd w:id="11"/>
          </w:p>
        </w:tc>
      </w:tr>
      <w:tr w:rsidR="00614949" w:rsidRPr="00FD119B" w14:paraId="10C60CCF" w14:textId="77777777" w:rsidTr="00614949">
        <w:tc>
          <w:tcPr>
            <w:tcW w:w="1890" w:type="dxa"/>
          </w:tcPr>
          <w:p w14:paraId="48408D5F" w14:textId="18E6113B" w:rsidR="00614949" w:rsidRPr="00614949" w:rsidRDefault="00614949" w:rsidP="00614949">
            <w:r w:rsidRPr="00614949">
              <w:t>GVP</w:t>
            </w:r>
          </w:p>
        </w:tc>
        <w:tc>
          <w:tcPr>
            <w:tcW w:w="6604" w:type="dxa"/>
          </w:tcPr>
          <w:p w14:paraId="6F7C5B43" w14:textId="4D2FC878" w:rsidR="00614949" w:rsidRPr="00614949" w:rsidRDefault="00614949" w:rsidP="00614949">
            <w:r w:rsidRPr="00614949">
              <w:t>Good Pharmacovigilance Practices</w:t>
            </w:r>
          </w:p>
        </w:tc>
      </w:tr>
      <w:tr w:rsidR="00614949" w:rsidRPr="00FD119B" w14:paraId="073E160A" w14:textId="77777777" w:rsidTr="00614949">
        <w:tc>
          <w:tcPr>
            <w:tcW w:w="1890" w:type="dxa"/>
          </w:tcPr>
          <w:p w14:paraId="79B617F6" w14:textId="73E03022" w:rsidR="00614949" w:rsidRPr="00614949" w:rsidRDefault="00614949" w:rsidP="00614949">
            <w:r w:rsidRPr="00614949">
              <w:t>INR</w:t>
            </w:r>
          </w:p>
        </w:tc>
        <w:tc>
          <w:tcPr>
            <w:tcW w:w="6604" w:type="dxa"/>
          </w:tcPr>
          <w:p w14:paraId="59C21F78" w14:textId="787008CE" w:rsidR="00614949" w:rsidRPr="00614949" w:rsidRDefault="00614949" w:rsidP="00614949">
            <w:r w:rsidRPr="00614949">
              <w:t>International normalised ratio</w:t>
            </w:r>
          </w:p>
        </w:tc>
      </w:tr>
      <w:tr w:rsidR="00614949" w:rsidRPr="00FD119B" w14:paraId="30506370" w14:textId="77777777" w:rsidTr="00614949">
        <w:tc>
          <w:tcPr>
            <w:tcW w:w="1890" w:type="dxa"/>
          </w:tcPr>
          <w:p w14:paraId="57BD0498" w14:textId="17037B2F" w:rsidR="00614949" w:rsidRPr="00614949" w:rsidRDefault="00614949" w:rsidP="00614949">
            <w:r w:rsidRPr="00614949">
              <w:t>ITT</w:t>
            </w:r>
          </w:p>
        </w:tc>
        <w:tc>
          <w:tcPr>
            <w:tcW w:w="6604" w:type="dxa"/>
          </w:tcPr>
          <w:p w14:paraId="0966301C" w14:textId="7B997617" w:rsidR="00614949" w:rsidRPr="00614949" w:rsidRDefault="00614949" w:rsidP="00614949">
            <w:r w:rsidRPr="00614949">
              <w:t>Intent(ion) to-treat</w:t>
            </w:r>
          </w:p>
        </w:tc>
      </w:tr>
      <w:tr w:rsidR="00614949" w:rsidRPr="00FD119B" w14:paraId="7739B7F2" w14:textId="77777777" w:rsidTr="00614949">
        <w:tc>
          <w:tcPr>
            <w:tcW w:w="1890" w:type="dxa"/>
          </w:tcPr>
          <w:p w14:paraId="7CF53E77" w14:textId="7C52BC7E" w:rsidR="00614949" w:rsidRPr="00614949" w:rsidRDefault="00614949" w:rsidP="00614949">
            <w:r w:rsidRPr="00614949">
              <w:t>PDF</w:t>
            </w:r>
          </w:p>
        </w:tc>
        <w:tc>
          <w:tcPr>
            <w:tcW w:w="6604" w:type="dxa"/>
          </w:tcPr>
          <w:p w14:paraId="676A61E0" w14:textId="39A0B902" w:rsidR="00614949" w:rsidRPr="00614949" w:rsidRDefault="00614949" w:rsidP="00614949">
            <w:r w:rsidRPr="00614949">
              <w:t>Portable document format</w:t>
            </w:r>
          </w:p>
        </w:tc>
      </w:tr>
      <w:tr w:rsidR="00614949" w:rsidRPr="00FD119B" w14:paraId="7090A423" w14:textId="77777777" w:rsidTr="00614949">
        <w:tc>
          <w:tcPr>
            <w:tcW w:w="1890" w:type="dxa"/>
          </w:tcPr>
          <w:p w14:paraId="33D0602B" w14:textId="77F5BB76" w:rsidR="00614949" w:rsidRPr="00614949" w:rsidRDefault="00614949" w:rsidP="00614949">
            <w:r w:rsidRPr="00614949">
              <w:t>PI</w:t>
            </w:r>
          </w:p>
        </w:tc>
        <w:tc>
          <w:tcPr>
            <w:tcW w:w="6604" w:type="dxa"/>
          </w:tcPr>
          <w:p w14:paraId="5C061641" w14:textId="29259BAC" w:rsidR="00614949" w:rsidRPr="00614949" w:rsidRDefault="00614949" w:rsidP="00614949">
            <w:r w:rsidRPr="00614949">
              <w:t>Product Information</w:t>
            </w:r>
          </w:p>
        </w:tc>
      </w:tr>
      <w:tr w:rsidR="00614949" w:rsidRPr="00FD119B" w14:paraId="1158FE09" w14:textId="77777777" w:rsidTr="00614949">
        <w:tc>
          <w:tcPr>
            <w:tcW w:w="1890" w:type="dxa"/>
          </w:tcPr>
          <w:p w14:paraId="2CF9C55B" w14:textId="1E1655F8" w:rsidR="00614949" w:rsidRPr="00614949" w:rsidRDefault="00614949" w:rsidP="00614949">
            <w:r w:rsidRPr="00614949">
              <w:t>Ph. Eur</w:t>
            </w:r>
          </w:p>
        </w:tc>
        <w:tc>
          <w:tcPr>
            <w:tcW w:w="6604" w:type="dxa"/>
          </w:tcPr>
          <w:p w14:paraId="0514FDCB" w14:textId="59ECD57F" w:rsidR="00614949" w:rsidRPr="00614949" w:rsidRDefault="00614949" w:rsidP="00614949">
            <w:r w:rsidRPr="00614949">
              <w:t>European Pharmacopoeia</w:t>
            </w:r>
          </w:p>
        </w:tc>
      </w:tr>
      <w:tr w:rsidR="00614949" w:rsidRPr="00FD119B" w14:paraId="0B39FD6F" w14:textId="77777777" w:rsidTr="00614949">
        <w:tc>
          <w:tcPr>
            <w:tcW w:w="1890" w:type="dxa"/>
          </w:tcPr>
          <w:p w14:paraId="683CE292" w14:textId="4ABC43F9" w:rsidR="00614949" w:rsidRPr="00614949" w:rsidRDefault="00614949" w:rsidP="00614949">
            <w:r w:rsidRPr="00614949">
              <w:lastRenderedPageBreak/>
              <w:t>PMF</w:t>
            </w:r>
          </w:p>
        </w:tc>
        <w:tc>
          <w:tcPr>
            <w:tcW w:w="6604" w:type="dxa"/>
          </w:tcPr>
          <w:p w14:paraId="02CCF0AE" w14:textId="45BEC07E" w:rsidR="00614949" w:rsidRPr="00614949" w:rsidRDefault="00614949" w:rsidP="00614949">
            <w:r w:rsidRPr="00614949">
              <w:t>Plasma master file (European Union)</w:t>
            </w:r>
          </w:p>
        </w:tc>
      </w:tr>
      <w:tr w:rsidR="00614949" w:rsidRPr="00FD119B" w14:paraId="61E95DF3" w14:textId="77777777" w:rsidTr="00614949">
        <w:tc>
          <w:tcPr>
            <w:tcW w:w="1890" w:type="dxa"/>
          </w:tcPr>
          <w:p w14:paraId="3555E9F1" w14:textId="50C62DC9" w:rsidR="00614949" w:rsidRPr="00614949" w:rsidRDefault="00614949" w:rsidP="00614949">
            <w:r w:rsidRPr="00614949">
              <w:t>PP</w:t>
            </w:r>
          </w:p>
        </w:tc>
        <w:tc>
          <w:tcPr>
            <w:tcW w:w="6604" w:type="dxa"/>
          </w:tcPr>
          <w:p w14:paraId="3BFC878F" w14:textId="19AB57ED" w:rsidR="00614949" w:rsidRPr="00614949" w:rsidRDefault="00614949" w:rsidP="00614949">
            <w:r w:rsidRPr="00614949">
              <w:t>Per-protocol</w:t>
            </w:r>
          </w:p>
        </w:tc>
      </w:tr>
      <w:tr w:rsidR="00614949" w:rsidRPr="00FD119B" w14:paraId="51C2D363" w14:textId="77777777" w:rsidTr="00614949">
        <w:tc>
          <w:tcPr>
            <w:tcW w:w="1890" w:type="dxa"/>
          </w:tcPr>
          <w:p w14:paraId="0DFAE313" w14:textId="3A346F62" w:rsidR="00614949" w:rsidRPr="00614949" w:rsidRDefault="00614949" w:rsidP="00614949">
            <w:r w:rsidRPr="00614949">
              <w:t>PSUR</w:t>
            </w:r>
          </w:p>
        </w:tc>
        <w:tc>
          <w:tcPr>
            <w:tcW w:w="6604" w:type="dxa"/>
          </w:tcPr>
          <w:p w14:paraId="6CE6150F" w14:textId="37B22A9E" w:rsidR="00614949" w:rsidRPr="00614949" w:rsidRDefault="00614949" w:rsidP="00614949">
            <w:r w:rsidRPr="00614949">
              <w:t>Periodic safety update report</w:t>
            </w:r>
          </w:p>
        </w:tc>
      </w:tr>
      <w:tr w:rsidR="00614949" w:rsidRPr="00FD119B" w14:paraId="55131506" w14:textId="77777777" w:rsidTr="00614949">
        <w:tc>
          <w:tcPr>
            <w:tcW w:w="1890" w:type="dxa"/>
          </w:tcPr>
          <w:p w14:paraId="42CFFFE9" w14:textId="581A6D15" w:rsidR="00614949" w:rsidRPr="00614949" w:rsidRDefault="00614949" w:rsidP="00614949">
            <w:r w:rsidRPr="00614949">
              <w:t>RMP</w:t>
            </w:r>
          </w:p>
        </w:tc>
        <w:tc>
          <w:tcPr>
            <w:tcW w:w="6604" w:type="dxa"/>
          </w:tcPr>
          <w:p w14:paraId="40995307" w14:textId="6B8A4C61" w:rsidR="00614949" w:rsidRPr="00614949" w:rsidRDefault="00614949" w:rsidP="00614949">
            <w:r w:rsidRPr="00614949">
              <w:t>Risk management plan</w:t>
            </w:r>
          </w:p>
        </w:tc>
      </w:tr>
      <w:tr w:rsidR="00614949" w:rsidRPr="00FD119B" w14:paraId="00E06AAE" w14:textId="77777777" w:rsidTr="00614949">
        <w:tc>
          <w:tcPr>
            <w:tcW w:w="1890" w:type="dxa"/>
          </w:tcPr>
          <w:p w14:paraId="712DF92F" w14:textId="3C694E4F" w:rsidR="00614949" w:rsidRPr="00614949" w:rsidRDefault="00614949" w:rsidP="00614949">
            <w:r w:rsidRPr="00614949">
              <w:t>RR</w:t>
            </w:r>
          </w:p>
        </w:tc>
        <w:tc>
          <w:tcPr>
            <w:tcW w:w="6604" w:type="dxa"/>
          </w:tcPr>
          <w:p w14:paraId="0BBD8693" w14:textId="793AC429" w:rsidR="00614949" w:rsidRPr="00614949" w:rsidRDefault="00614949" w:rsidP="00614949">
            <w:r w:rsidRPr="00614949">
              <w:t>Risk ratio</w:t>
            </w:r>
          </w:p>
        </w:tc>
      </w:tr>
      <w:tr w:rsidR="00614949" w:rsidRPr="00FD119B" w14:paraId="25CF247A" w14:textId="77777777" w:rsidTr="00614949">
        <w:tc>
          <w:tcPr>
            <w:tcW w:w="1890" w:type="dxa"/>
          </w:tcPr>
          <w:p w14:paraId="15BBD856" w14:textId="16B719C4" w:rsidR="00614949" w:rsidRPr="00614949" w:rsidRDefault="00614949" w:rsidP="00614949">
            <w:r w:rsidRPr="00614949">
              <w:t>SAE</w:t>
            </w:r>
          </w:p>
        </w:tc>
        <w:tc>
          <w:tcPr>
            <w:tcW w:w="6604" w:type="dxa"/>
          </w:tcPr>
          <w:p w14:paraId="626708F2" w14:textId="5DE67866" w:rsidR="00614949" w:rsidRPr="00614949" w:rsidRDefault="00614949" w:rsidP="00614949">
            <w:r w:rsidRPr="00614949">
              <w:t>Serious adverse reaction</w:t>
            </w:r>
          </w:p>
        </w:tc>
      </w:tr>
      <w:tr w:rsidR="00614949" w:rsidRPr="00FD119B" w14:paraId="574D27B6" w14:textId="77777777" w:rsidTr="00614949">
        <w:tc>
          <w:tcPr>
            <w:tcW w:w="1890" w:type="dxa"/>
          </w:tcPr>
          <w:p w14:paraId="44332C52" w14:textId="45F94410" w:rsidR="00614949" w:rsidRPr="00614949" w:rsidRDefault="00614949" w:rsidP="00614949">
            <w:r w:rsidRPr="00614949">
              <w:t>SE</w:t>
            </w:r>
          </w:p>
        </w:tc>
        <w:tc>
          <w:tcPr>
            <w:tcW w:w="6604" w:type="dxa"/>
          </w:tcPr>
          <w:p w14:paraId="7A38276B" w14:textId="09789AF2" w:rsidR="00614949" w:rsidRPr="00614949" w:rsidRDefault="00614949" w:rsidP="00614949">
            <w:r w:rsidRPr="00614949">
              <w:t>Standard error</w:t>
            </w:r>
          </w:p>
        </w:tc>
      </w:tr>
      <w:tr w:rsidR="00614949" w:rsidRPr="00FD119B" w14:paraId="7FE65C1C" w14:textId="77777777" w:rsidTr="00614949">
        <w:tc>
          <w:tcPr>
            <w:tcW w:w="1890" w:type="dxa"/>
          </w:tcPr>
          <w:p w14:paraId="7D55ADC4" w14:textId="43688952" w:rsidR="00614949" w:rsidRPr="00614949" w:rsidRDefault="00614949" w:rsidP="00614949">
            <w:r w:rsidRPr="00614949">
              <w:t>T</w:t>
            </w:r>
            <w:r w:rsidRPr="00614949">
              <w:rPr>
                <w:vertAlign w:val="subscript"/>
              </w:rPr>
              <w:t>4/5/7/10</w:t>
            </w:r>
          </w:p>
        </w:tc>
        <w:tc>
          <w:tcPr>
            <w:tcW w:w="6604" w:type="dxa"/>
          </w:tcPr>
          <w:p w14:paraId="5AF83A6D" w14:textId="30E0E8F8" w:rsidR="00614949" w:rsidRPr="00614949" w:rsidRDefault="00F20E35" w:rsidP="00614949">
            <w:r>
              <w:t>H</w:t>
            </w:r>
            <w:r w:rsidR="00275A4D">
              <w:t>a</w:t>
            </w:r>
            <w:r w:rsidRPr="00F20E35">
              <w:t xml:space="preserve">emostatic assessment at </w:t>
            </w:r>
            <w:r>
              <w:t>4/5/7/10</w:t>
            </w:r>
            <w:r w:rsidRPr="00F20E35">
              <w:t xml:space="preserve"> minutes following </w:t>
            </w:r>
            <w:r>
              <w:t>t</w:t>
            </w:r>
            <w:r w:rsidRPr="00F20E35">
              <w:t xml:space="preserve">ime of start of initial study treatment (Fibrin Sealant Grifols, </w:t>
            </w:r>
            <w:proofErr w:type="spellStart"/>
            <w:r w:rsidRPr="00F20E35">
              <w:t>Surgicel</w:t>
            </w:r>
            <w:proofErr w:type="spellEnd"/>
            <w:r w:rsidRPr="00F20E35">
              <w:t>, or manual compression) application</w:t>
            </w:r>
          </w:p>
        </w:tc>
      </w:tr>
      <w:tr w:rsidR="00614949" w:rsidRPr="00FD119B" w14:paraId="6EE483EB" w14:textId="77777777" w:rsidTr="00614949">
        <w:tc>
          <w:tcPr>
            <w:tcW w:w="1890" w:type="dxa"/>
          </w:tcPr>
          <w:p w14:paraId="7C8274DD" w14:textId="4FA5CC66" w:rsidR="00614949" w:rsidRPr="00614949" w:rsidRDefault="00614949" w:rsidP="00614949">
            <w:r w:rsidRPr="00614949">
              <w:t>TBS</w:t>
            </w:r>
          </w:p>
        </w:tc>
        <w:tc>
          <w:tcPr>
            <w:tcW w:w="6604" w:type="dxa"/>
          </w:tcPr>
          <w:p w14:paraId="33CA31C8" w14:textId="6BB6CEB8" w:rsidR="00614949" w:rsidRPr="00614949" w:rsidRDefault="00614949" w:rsidP="00614949">
            <w:r w:rsidRPr="00614949">
              <w:t>Target bleeding site</w:t>
            </w:r>
          </w:p>
        </w:tc>
      </w:tr>
      <w:tr w:rsidR="00614949" w:rsidRPr="00FD119B" w14:paraId="40AD65EF" w14:textId="77777777" w:rsidTr="00614949">
        <w:tc>
          <w:tcPr>
            <w:tcW w:w="1890" w:type="dxa"/>
          </w:tcPr>
          <w:p w14:paraId="070F546B" w14:textId="572C6627" w:rsidR="00614949" w:rsidRPr="00614949" w:rsidRDefault="00614949" w:rsidP="00614949">
            <w:proofErr w:type="spellStart"/>
            <w:r w:rsidRPr="00614949">
              <w:t>T</w:t>
            </w:r>
            <w:r w:rsidRPr="00614949">
              <w:rPr>
                <w:vertAlign w:val="subscript"/>
              </w:rPr>
              <w:t>closure</w:t>
            </w:r>
            <w:proofErr w:type="spellEnd"/>
          </w:p>
        </w:tc>
        <w:tc>
          <w:tcPr>
            <w:tcW w:w="6604" w:type="dxa"/>
          </w:tcPr>
          <w:p w14:paraId="7226418B" w14:textId="425BC7C5" w:rsidR="00F20E35" w:rsidRPr="00614949" w:rsidRDefault="00F20E35" w:rsidP="00614949">
            <w:r>
              <w:t>T</w:t>
            </w:r>
            <w:r w:rsidRPr="00F20E35">
              <w:t>ime of completion of the surgical closure by layers of the exposed surgical field containing the target bleeding site</w:t>
            </w:r>
          </w:p>
        </w:tc>
      </w:tr>
      <w:tr w:rsidR="00614949" w:rsidRPr="00FD119B" w14:paraId="204D31A0" w14:textId="77777777" w:rsidTr="00614949">
        <w:tc>
          <w:tcPr>
            <w:tcW w:w="1890" w:type="dxa"/>
          </w:tcPr>
          <w:p w14:paraId="7EA25225" w14:textId="4C757954" w:rsidR="00614949" w:rsidRPr="00614949" w:rsidRDefault="00614949" w:rsidP="00614949">
            <w:proofErr w:type="spellStart"/>
            <w:r w:rsidRPr="00614949">
              <w:t>T</w:t>
            </w:r>
            <w:r w:rsidRPr="00614949">
              <w:rPr>
                <w:vertAlign w:val="subscript"/>
              </w:rPr>
              <w:t>completion</w:t>
            </w:r>
            <w:proofErr w:type="spellEnd"/>
          </w:p>
        </w:tc>
        <w:tc>
          <w:tcPr>
            <w:tcW w:w="6604" w:type="dxa"/>
          </w:tcPr>
          <w:p w14:paraId="3436404A" w14:textId="37817551" w:rsidR="00614949" w:rsidRPr="00614949" w:rsidRDefault="00F20E35" w:rsidP="00614949">
            <w:r>
              <w:t>T</w:t>
            </w:r>
            <w:r w:rsidRPr="00F20E35">
              <w:t>ime of end of initial Fibrin Sealant Grifols application before clamp release</w:t>
            </w:r>
          </w:p>
        </w:tc>
      </w:tr>
      <w:tr w:rsidR="00614949" w:rsidRPr="00FD119B" w14:paraId="548A5EBC" w14:textId="77777777" w:rsidTr="00614949">
        <w:tc>
          <w:tcPr>
            <w:tcW w:w="1890" w:type="dxa"/>
          </w:tcPr>
          <w:p w14:paraId="70230F26" w14:textId="5B612637" w:rsidR="00614949" w:rsidRPr="00614949" w:rsidRDefault="00614949" w:rsidP="00614949">
            <w:r w:rsidRPr="00614949">
              <w:t>TEAE</w:t>
            </w:r>
          </w:p>
        </w:tc>
        <w:tc>
          <w:tcPr>
            <w:tcW w:w="6604" w:type="dxa"/>
          </w:tcPr>
          <w:p w14:paraId="0C091C2B" w14:textId="3903F69B" w:rsidR="00614949" w:rsidRPr="00614949" w:rsidRDefault="00614949" w:rsidP="00614949">
            <w:bookmarkStart w:id="12" w:name="_Hlk103949917"/>
            <w:r w:rsidRPr="00614949">
              <w:t>Treatment-emergent adverse event</w:t>
            </w:r>
            <w:bookmarkEnd w:id="12"/>
          </w:p>
        </w:tc>
      </w:tr>
      <w:tr w:rsidR="00614949" w:rsidRPr="00FD119B" w14:paraId="62F47B76" w14:textId="77777777" w:rsidTr="00614949">
        <w:tc>
          <w:tcPr>
            <w:tcW w:w="1890" w:type="dxa"/>
          </w:tcPr>
          <w:p w14:paraId="25A8F620" w14:textId="58313C5A" w:rsidR="00614949" w:rsidRPr="00614949" w:rsidRDefault="00614949" w:rsidP="00614949">
            <w:r w:rsidRPr="00614949">
              <w:t>TGO 88</w:t>
            </w:r>
          </w:p>
        </w:tc>
        <w:tc>
          <w:tcPr>
            <w:tcW w:w="6604" w:type="dxa"/>
          </w:tcPr>
          <w:p w14:paraId="5DF6DFCC" w14:textId="73E52468" w:rsidR="00614949" w:rsidRPr="00614949" w:rsidRDefault="00614949" w:rsidP="00614949">
            <w:r w:rsidRPr="00614949">
              <w:t>Therapeutic Goods Order Number 88</w:t>
            </w:r>
          </w:p>
        </w:tc>
      </w:tr>
      <w:tr w:rsidR="00614949" w:rsidRPr="00FD119B" w14:paraId="454062B3" w14:textId="77777777" w:rsidTr="00614949">
        <w:tc>
          <w:tcPr>
            <w:tcW w:w="1890" w:type="dxa"/>
          </w:tcPr>
          <w:p w14:paraId="5203A537" w14:textId="521752DB" w:rsidR="00614949" w:rsidRPr="00614949" w:rsidRDefault="00614949" w:rsidP="00614949">
            <w:proofErr w:type="spellStart"/>
            <w:r w:rsidRPr="00614949">
              <w:t>T</w:t>
            </w:r>
            <w:r w:rsidRPr="00614949">
              <w:rPr>
                <w:vertAlign w:val="subscript"/>
              </w:rPr>
              <w:t>start</w:t>
            </w:r>
            <w:proofErr w:type="spellEnd"/>
          </w:p>
        </w:tc>
        <w:tc>
          <w:tcPr>
            <w:tcW w:w="6604" w:type="dxa"/>
          </w:tcPr>
          <w:p w14:paraId="70E611A9" w14:textId="343F59F5" w:rsidR="00614949" w:rsidRPr="00614949" w:rsidRDefault="00F20E35" w:rsidP="00614949">
            <w:r>
              <w:t>T</w:t>
            </w:r>
            <w:r w:rsidRPr="00F20E35">
              <w:t xml:space="preserve">ime of start of initial study treatment (Fibrin Sealant Grifols, </w:t>
            </w:r>
            <w:proofErr w:type="spellStart"/>
            <w:r w:rsidRPr="00F20E35">
              <w:t>Surgicel</w:t>
            </w:r>
            <w:proofErr w:type="spellEnd"/>
            <w:r w:rsidRPr="00F20E35">
              <w:t>, or manual compression) application</w:t>
            </w:r>
          </w:p>
        </w:tc>
      </w:tr>
      <w:tr w:rsidR="00614949" w:rsidRPr="00FD119B" w14:paraId="3FFB781A" w14:textId="77777777" w:rsidTr="00614949">
        <w:tc>
          <w:tcPr>
            <w:tcW w:w="1890" w:type="dxa"/>
          </w:tcPr>
          <w:p w14:paraId="421F16FB" w14:textId="2D3B5F87" w:rsidR="00614949" w:rsidRPr="00614949" w:rsidRDefault="00614949" w:rsidP="00614949">
            <w:r w:rsidRPr="00614949">
              <w:t>TTH</w:t>
            </w:r>
          </w:p>
        </w:tc>
        <w:tc>
          <w:tcPr>
            <w:tcW w:w="6604" w:type="dxa"/>
          </w:tcPr>
          <w:p w14:paraId="3DC1698F" w14:textId="0B8F1BA0" w:rsidR="00614949" w:rsidRPr="00614949" w:rsidRDefault="00614949" w:rsidP="00614949">
            <w:r w:rsidRPr="00614949">
              <w:t>Time to haemostasis</w:t>
            </w:r>
          </w:p>
        </w:tc>
      </w:tr>
      <w:tr w:rsidR="00614949" w:rsidRPr="00FD119B" w14:paraId="35616F5E" w14:textId="77777777" w:rsidTr="00614949">
        <w:tc>
          <w:tcPr>
            <w:tcW w:w="1890" w:type="dxa"/>
          </w:tcPr>
          <w:p w14:paraId="2CA17AE3" w14:textId="75FA2AEF" w:rsidR="00614949" w:rsidRPr="00614949" w:rsidRDefault="00614949" w:rsidP="00614949">
            <w:r w:rsidRPr="00614949">
              <w:t>US(A)</w:t>
            </w:r>
          </w:p>
        </w:tc>
        <w:tc>
          <w:tcPr>
            <w:tcW w:w="6604" w:type="dxa"/>
          </w:tcPr>
          <w:p w14:paraId="49F41F4B" w14:textId="194DFF19" w:rsidR="00614949" w:rsidRPr="00614949" w:rsidRDefault="00614949" w:rsidP="00614949">
            <w:r w:rsidRPr="00614949">
              <w:t>United States (of America)</w:t>
            </w:r>
          </w:p>
        </w:tc>
      </w:tr>
      <w:bookmarkEnd w:id="8"/>
    </w:tbl>
    <w:p w14:paraId="427EB5F9" w14:textId="77777777" w:rsidR="00FD119B" w:rsidRDefault="00FD119B" w:rsidP="00FD119B"/>
    <w:p w14:paraId="1217F138"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4C214E8" w14:textId="77777777" w:rsidR="008E7846" w:rsidRDefault="00F53C07" w:rsidP="008E7846">
      <w:pPr>
        <w:pStyle w:val="Heading2"/>
      </w:pPr>
      <w:bookmarkStart w:id="13" w:name="_Toc106113646"/>
      <w:r>
        <w:lastRenderedPageBreak/>
        <w:t>I.</w:t>
      </w:r>
      <w:r w:rsidR="008E7846">
        <w:t xml:space="preserve"> Introduction to product submission</w:t>
      </w:r>
      <w:bookmarkEnd w:id="13"/>
      <w:bookmarkEnd w:id="2"/>
      <w:bookmarkEnd w:id="0"/>
    </w:p>
    <w:p w14:paraId="64A8F41A" w14:textId="77777777" w:rsidR="008E7846" w:rsidRDefault="008E7846" w:rsidP="008E7846">
      <w:pPr>
        <w:pStyle w:val="Heading3"/>
        <w:rPr>
          <w:lang w:eastAsia="en-AU"/>
        </w:rPr>
      </w:pPr>
      <w:bookmarkStart w:id="14" w:name="_Toc247691502"/>
      <w:bookmarkStart w:id="15" w:name="_Toc314842483"/>
      <w:bookmarkStart w:id="16" w:name="_Toc106113647"/>
      <w:r>
        <w:rPr>
          <w:lang w:eastAsia="en-AU"/>
        </w:rPr>
        <w:t>Submission details</w:t>
      </w:r>
      <w:bookmarkEnd w:id="14"/>
      <w:bookmarkEnd w:id="15"/>
      <w:bookmarkEnd w:id="16"/>
    </w:p>
    <w:tbl>
      <w:tblPr>
        <w:tblW w:w="9214" w:type="dxa"/>
        <w:tblInd w:w="108" w:type="dxa"/>
        <w:tblLook w:val="01E0" w:firstRow="1" w:lastRow="1" w:firstColumn="1" w:lastColumn="1" w:noHBand="0" w:noVBand="0"/>
      </w:tblPr>
      <w:tblGrid>
        <w:gridCol w:w="2907"/>
        <w:gridCol w:w="6307"/>
      </w:tblGrid>
      <w:tr w:rsidR="008E7846" w:rsidRPr="003D1E62" w14:paraId="293A0EDF" w14:textId="77777777" w:rsidTr="003735BC">
        <w:tc>
          <w:tcPr>
            <w:tcW w:w="2907" w:type="dxa"/>
          </w:tcPr>
          <w:p w14:paraId="40A971E5"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3F833FF9" w14:textId="0955911E" w:rsidR="008E7846" w:rsidRPr="003D1E62" w:rsidRDefault="00A86397" w:rsidP="001B5C90">
            <w:r>
              <w:t>New biological entity</w:t>
            </w:r>
          </w:p>
        </w:tc>
      </w:tr>
      <w:tr w:rsidR="00460036" w:rsidRPr="003D1E62" w14:paraId="49997258" w14:textId="77777777" w:rsidTr="003735BC">
        <w:tc>
          <w:tcPr>
            <w:tcW w:w="2907" w:type="dxa"/>
          </w:tcPr>
          <w:p w14:paraId="33594B91" w14:textId="02626093" w:rsidR="00460036" w:rsidRPr="003D1E62" w:rsidRDefault="00460036" w:rsidP="003D1E62">
            <w:pPr>
              <w:rPr>
                <w:i/>
              </w:rPr>
            </w:pPr>
            <w:r w:rsidRPr="00460036">
              <w:rPr>
                <w:i/>
              </w:rPr>
              <w:t>Product name:</w:t>
            </w:r>
          </w:p>
        </w:tc>
        <w:tc>
          <w:tcPr>
            <w:tcW w:w="6307" w:type="dxa"/>
          </w:tcPr>
          <w:p w14:paraId="03B4C941" w14:textId="4404E7AD" w:rsidR="00460036" w:rsidRPr="003D1E62" w:rsidRDefault="00A86397" w:rsidP="001B5C90">
            <w:proofErr w:type="spellStart"/>
            <w:r w:rsidRPr="00A86397">
              <w:t>VeraSeal</w:t>
            </w:r>
            <w:proofErr w:type="spellEnd"/>
          </w:p>
        </w:tc>
      </w:tr>
      <w:tr w:rsidR="00460036" w:rsidRPr="003D1E62" w14:paraId="6E7BD7E9" w14:textId="77777777" w:rsidTr="003735BC">
        <w:tc>
          <w:tcPr>
            <w:tcW w:w="2907" w:type="dxa"/>
          </w:tcPr>
          <w:p w14:paraId="1EC4687F" w14:textId="3EE45725" w:rsidR="00460036" w:rsidRPr="003D1E62" w:rsidRDefault="00460036" w:rsidP="003D1E62">
            <w:pPr>
              <w:rPr>
                <w:i/>
              </w:rPr>
            </w:pPr>
            <w:r w:rsidRPr="00460036">
              <w:rPr>
                <w:i/>
              </w:rPr>
              <w:t>Active ingredients:</w:t>
            </w:r>
          </w:p>
        </w:tc>
        <w:tc>
          <w:tcPr>
            <w:tcW w:w="6307" w:type="dxa"/>
          </w:tcPr>
          <w:p w14:paraId="6FE99166" w14:textId="3A2EF969" w:rsidR="00460036" w:rsidRPr="003D1E62" w:rsidRDefault="00A86397" w:rsidP="001B5C90">
            <w:r w:rsidRPr="00A86397">
              <w:t>Human fibrinogen</w:t>
            </w:r>
            <w:r w:rsidR="00417CDF">
              <w:t xml:space="preserve"> </w:t>
            </w:r>
            <w:r w:rsidRPr="00A86397">
              <w:t>/</w:t>
            </w:r>
            <w:r w:rsidR="00417CDF">
              <w:t xml:space="preserve"> </w:t>
            </w:r>
            <w:r w:rsidRPr="00A86397">
              <w:t>human thrombin</w:t>
            </w:r>
          </w:p>
        </w:tc>
      </w:tr>
      <w:tr w:rsidR="008E7846" w:rsidRPr="003D1E62" w14:paraId="0C376C6D" w14:textId="77777777" w:rsidTr="003735BC">
        <w:tc>
          <w:tcPr>
            <w:tcW w:w="2907" w:type="dxa"/>
          </w:tcPr>
          <w:p w14:paraId="2016E82D" w14:textId="77777777" w:rsidR="008E7846" w:rsidRPr="003D1E62" w:rsidRDefault="008E7846" w:rsidP="003D1E62">
            <w:r w:rsidRPr="003D1E62">
              <w:rPr>
                <w:i/>
              </w:rPr>
              <w:t>Decision</w:t>
            </w:r>
            <w:r w:rsidRPr="003D1E62">
              <w:t>:</w:t>
            </w:r>
          </w:p>
        </w:tc>
        <w:tc>
          <w:tcPr>
            <w:tcW w:w="6307" w:type="dxa"/>
          </w:tcPr>
          <w:p w14:paraId="29D5DACB" w14:textId="258F1B64" w:rsidR="008E7846" w:rsidRPr="003D1E62" w:rsidRDefault="00460036" w:rsidP="001B5C90">
            <w:r w:rsidRPr="00460036">
              <w:t>Approved</w:t>
            </w:r>
          </w:p>
        </w:tc>
      </w:tr>
      <w:tr w:rsidR="008E7846" w:rsidRPr="003D1E62" w14:paraId="15E71352" w14:textId="77777777" w:rsidTr="003735BC">
        <w:tc>
          <w:tcPr>
            <w:tcW w:w="2907" w:type="dxa"/>
          </w:tcPr>
          <w:p w14:paraId="45473A6F"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58998DF0" w14:textId="5AFF3805" w:rsidR="008E7846" w:rsidRPr="003D1E62" w:rsidRDefault="00A86397" w:rsidP="001B5C90">
            <w:r>
              <w:t>29 October 2021</w:t>
            </w:r>
          </w:p>
        </w:tc>
      </w:tr>
      <w:tr w:rsidR="00ED2922" w:rsidRPr="003D1E62" w14:paraId="7441BEE1" w14:textId="77777777" w:rsidTr="003735BC">
        <w:tc>
          <w:tcPr>
            <w:tcW w:w="2907" w:type="dxa"/>
          </w:tcPr>
          <w:p w14:paraId="5CDCF02D" w14:textId="77777777" w:rsidR="00ED2922" w:rsidRPr="00441C3F" w:rsidRDefault="00ED2922" w:rsidP="001B5C90">
            <w:pPr>
              <w:rPr>
                <w:i/>
              </w:rPr>
            </w:pPr>
            <w:r w:rsidRPr="00441C3F">
              <w:rPr>
                <w:i/>
              </w:rPr>
              <w:t>Date of entry onto ARTG</w:t>
            </w:r>
            <w:r w:rsidR="00500337">
              <w:rPr>
                <w:i/>
              </w:rPr>
              <w:t>:</w:t>
            </w:r>
          </w:p>
        </w:tc>
        <w:tc>
          <w:tcPr>
            <w:tcW w:w="6307" w:type="dxa"/>
          </w:tcPr>
          <w:p w14:paraId="22F6E1D0" w14:textId="60CF64D8" w:rsidR="00ED2922" w:rsidRPr="00441C3F" w:rsidRDefault="00A86397" w:rsidP="00D153D8">
            <w:pPr>
              <w:rPr>
                <w:i/>
              </w:rPr>
            </w:pPr>
            <w:r>
              <w:t>2 and 3 November 2021</w:t>
            </w:r>
          </w:p>
        </w:tc>
      </w:tr>
      <w:tr w:rsidR="00500337" w:rsidRPr="003D1E62" w14:paraId="6F3BA5F3" w14:textId="77777777" w:rsidTr="003735BC">
        <w:tc>
          <w:tcPr>
            <w:tcW w:w="2907" w:type="dxa"/>
          </w:tcPr>
          <w:p w14:paraId="1944A12C" w14:textId="0A86D8FD" w:rsidR="00500337" w:rsidRPr="00441C3F" w:rsidRDefault="00500337" w:rsidP="001B5C90">
            <w:pPr>
              <w:rPr>
                <w:i/>
              </w:rPr>
            </w:pPr>
            <w:r>
              <w:rPr>
                <w:i/>
              </w:rPr>
              <w:t>ARTG numbers:</w:t>
            </w:r>
          </w:p>
        </w:tc>
        <w:tc>
          <w:tcPr>
            <w:tcW w:w="6307" w:type="dxa"/>
          </w:tcPr>
          <w:p w14:paraId="78E7C9F5" w14:textId="4E4F3015" w:rsidR="00500337" w:rsidRPr="00441C3F" w:rsidRDefault="00A86397" w:rsidP="00EC463D">
            <w:r>
              <w:t>335950, 336835, 336836, 336837</w:t>
            </w:r>
          </w:p>
        </w:tc>
      </w:tr>
      <w:tr w:rsidR="003735BC" w:rsidRPr="003D1E62" w14:paraId="6176E8BA" w14:textId="77777777" w:rsidTr="003735BC">
        <w:tc>
          <w:tcPr>
            <w:tcW w:w="2907" w:type="dxa"/>
          </w:tcPr>
          <w:p w14:paraId="5E5A557C"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4A8E59C7" w14:textId="23AB38E3" w:rsidR="003735BC" w:rsidRDefault="003735BC" w:rsidP="003735BC">
            <w:r>
              <w:t>Yes</w:t>
            </w:r>
            <w:r w:rsidR="00A86397">
              <w:t>.</w:t>
            </w:r>
          </w:p>
          <w:p w14:paraId="28D07DCD" w14:textId="132E7A6E" w:rsidR="003735BC" w:rsidRPr="00487162" w:rsidRDefault="003735BC" w:rsidP="003735BC">
            <w:r>
              <w:t xml:space="preserve">This product will remain in the scheme for 5 years, starting on the date the product is first supplied in </w:t>
            </w:r>
            <w:r w:rsidRPr="00D453FA">
              <w:t>Australia</w:t>
            </w:r>
            <w:r w:rsidR="00A86397">
              <w:t>.</w:t>
            </w:r>
          </w:p>
        </w:tc>
      </w:tr>
      <w:tr w:rsidR="008E7846" w:rsidRPr="00487162" w14:paraId="37C40780" w14:textId="77777777" w:rsidTr="00BF1190">
        <w:tc>
          <w:tcPr>
            <w:tcW w:w="2907" w:type="dxa"/>
          </w:tcPr>
          <w:p w14:paraId="704359CD"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CB5BE59" w14:textId="77777777" w:rsidR="008E7846" w:rsidRPr="006379F5" w:rsidRDefault="00A86397" w:rsidP="00E45619">
            <w:pPr>
              <w:rPr>
                <w:lang w:val="en-US"/>
              </w:rPr>
            </w:pPr>
            <w:r w:rsidRPr="006379F5">
              <w:rPr>
                <w:lang w:val="en-US"/>
              </w:rPr>
              <w:t>Grifols Australia Pty Ltd</w:t>
            </w:r>
          </w:p>
          <w:p w14:paraId="31556B50" w14:textId="77777777" w:rsidR="00A86397" w:rsidRPr="006379F5" w:rsidRDefault="00A86397" w:rsidP="00E45619">
            <w:pPr>
              <w:rPr>
                <w:lang w:val="en-US"/>
              </w:rPr>
            </w:pPr>
            <w:r w:rsidRPr="006379F5">
              <w:rPr>
                <w:lang w:val="en-US"/>
              </w:rPr>
              <w:t>5/80 Fairbank Road</w:t>
            </w:r>
          </w:p>
          <w:p w14:paraId="62D8F1E0" w14:textId="76628939" w:rsidR="00A86397" w:rsidRPr="00487162" w:rsidRDefault="00A86397" w:rsidP="00E45619">
            <w:r w:rsidRPr="00C9444F">
              <w:rPr>
                <w:lang w:val="es-ES"/>
              </w:rPr>
              <w:t>Clayton South,</w:t>
            </w:r>
            <w:r>
              <w:rPr>
                <w:lang w:val="es-ES"/>
              </w:rPr>
              <w:t xml:space="preserve"> </w:t>
            </w:r>
            <w:r w:rsidRPr="00C9444F">
              <w:rPr>
                <w:lang w:val="es-ES"/>
              </w:rPr>
              <w:t>VIC</w:t>
            </w:r>
            <w:r w:rsidR="00275A4D">
              <w:rPr>
                <w:lang w:val="es-ES"/>
              </w:rPr>
              <w:t>,</w:t>
            </w:r>
            <w:r w:rsidRPr="00C9444F">
              <w:rPr>
                <w:lang w:val="es-ES"/>
              </w:rPr>
              <w:t xml:space="preserve"> 3169</w:t>
            </w:r>
          </w:p>
        </w:tc>
      </w:tr>
      <w:tr w:rsidR="008E7846" w:rsidRPr="00487162" w14:paraId="5110F61D" w14:textId="77777777" w:rsidTr="00BF1190">
        <w:tc>
          <w:tcPr>
            <w:tcW w:w="2907" w:type="dxa"/>
          </w:tcPr>
          <w:p w14:paraId="76608D44" w14:textId="4B3403BF" w:rsidR="008E7846" w:rsidRPr="00487162" w:rsidRDefault="001B5C90" w:rsidP="00E45619">
            <w:pPr>
              <w:rPr>
                <w:i/>
              </w:rPr>
            </w:pPr>
            <w:r>
              <w:rPr>
                <w:i/>
              </w:rPr>
              <w:t>Dose form:</w:t>
            </w:r>
          </w:p>
        </w:tc>
        <w:tc>
          <w:tcPr>
            <w:tcW w:w="6307" w:type="dxa"/>
          </w:tcPr>
          <w:p w14:paraId="71186CC0" w14:textId="12C6F754" w:rsidR="008E7846" w:rsidRPr="00487162" w:rsidRDefault="00A86397" w:rsidP="00E45619">
            <w:r>
              <w:t>Solutions for sealant</w:t>
            </w:r>
          </w:p>
        </w:tc>
      </w:tr>
      <w:tr w:rsidR="008E7846" w:rsidRPr="00487162" w14:paraId="2651CF39" w14:textId="77777777" w:rsidTr="00BF1190">
        <w:tc>
          <w:tcPr>
            <w:tcW w:w="2907" w:type="dxa"/>
          </w:tcPr>
          <w:p w14:paraId="12BE93D3" w14:textId="513DC653" w:rsidR="008E7846" w:rsidRPr="00487162" w:rsidRDefault="00324E45" w:rsidP="00E45619">
            <w:pPr>
              <w:rPr>
                <w:i/>
              </w:rPr>
            </w:pPr>
            <w:r>
              <w:rPr>
                <w:i/>
              </w:rPr>
              <w:t>Strengths:</w:t>
            </w:r>
          </w:p>
        </w:tc>
        <w:tc>
          <w:tcPr>
            <w:tcW w:w="6307" w:type="dxa"/>
          </w:tcPr>
          <w:p w14:paraId="3439BE99" w14:textId="3CEB8E5D" w:rsidR="008E7846" w:rsidRPr="00487162" w:rsidRDefault="00A86397" w:rsidP="00E45619">
            <w:r>
              <w:t>80 mg/mL human fibrinogen and 500 IU/mL human thrombin</w:t>
            </w:r>
          </w:p>
        </w:tc>
      </w:tr>
      <w:tr w:rsidR="008E7846" w:rsidRPr="00487162" w14:paraId="2D6E2394" w14:textId="77777777" w:rsidTr="00BF1190">
        <w:tc>
          <w:tcPr>
            <w:tcW w:w="2907" w:type="dxa"/>
          </w:tcPr>
          <w:p w14:paraId="2B8776CE" w14:textId="08E2277A" w:rsidR="008E7846" w:rsidRPr="00487162" w:rsidRDefault="008E7846" w:rsidP="00E45619">
            <w:pPr>
              <w:rPr>
                <w:i/>
              </w:rPr>
            </w:pPr>
            <w:r w:rsidRPr="00487162">
              <w:rPr>
                <w:i/>
              </w:rPr>
              <w:t>Container:</w:t>
            </w:r>
          </w:p>
        </w:tc>
        <w:tc>
          <w:tcPr>
            <w:tcW w:w="6307" w:type="dxa"/>
          </w:tcPr>
          <w:p w14:paraId="06E5800D" w14:textId="6586D62B" w:rsidR="008E7846" w:rsidRPr="00487162" w:rsidRDefault="00A86397" w:rsidP="00E45619">
            <w:r>
              <w:t>Syringe</w:t>
            </w:r>
          </w:p>
        </w:tc>
      </w:tr>
      <w:tr w:rsidR="00A86397" w:rsidRPr="00487162" w14:paraId="33C5DBA6" w14:textId="77777777" w:rsidTr="00BF1190">
        <w:tc>
          <w:tcPr>
            <w:tcW w:w="2907" w:type="dxa"/>
          </w:tcPr>
          <w:p w14:paraId="7557A8B9" w14:textId="427385DD" w:rsidR="00A86397" w:rsidRPr="00487162" w:rsidRDefault="00A86397" w:rsidP="00A86397">
            <w:pPr>
              <w:rPr>
                <w:i/>
              </w:rPr>
            </w:pPr>
            <w:r w:rsidRPr="00487162">
              <w:rPr>
                <w:i/>
              </w:rPr>
              <w:t>Pack sizes:</w:t>
            </w:r>
          </w:p>
        </w:tc>
        <w:tc>
          <w:tcPr>
            <w:tcW w:w="6307" w:type="dxa"/>
          </w:tcPr>
          <w:p w14:paraId="2D592D18" w14:textId="77777777" w:rsidR="00A86397" w:rsidRDefault="00A86397" w:rsidP="00A86397">
            <w:r>
              <w:t>2 mL (1mL human fibrinogen and 1mL human thrombin)</w:t>
            </w:r>
          </w:p>
          <w:p w14:paraId="5123C244" w14:textId="77777777" w:rsidR="00A86397" w:rsidRDefault="00A86397" w:rsidP="00A86397">
            <w:r>
              <w:t>4 mL (2mL of human fibrinogen and 2mL human thrombin)</w:t>
            </w:r>
          </w:p>
          <w:p w14:paraId="63E08EA8" w14:textId="77777777" w:rsidR="00A86397" w:rsidRDefault="00A86397" w:rsidP="00A86397">
            <w:r>
              <w:t>6 mL (3mL human fibrinogen and 3mL human thrombin)</w:t>
            </w:r>
          </w:p>
          <w:p w14:paraId="3EF0B7BE" w14:textId="38CDA8B6" w:rsidR="00A86397" w:rsidRPr="00487162" w:rsidRDefault="00A86397" w:rsidP="00A86397">
            <w:r>
              <w:t>10 mL (5mL human fibrinogen and 5mL human thrombin)</w:t>
            </w:r>
          </w:p>
        </w:tc>
      </w:tr>
      <w:tr w:rsidR="00A86397" w:rsidRPr="00487162" w14:paraId="49DF8E3A" w14:textId="77777777" w:rsidTr="00BF1190">
        <w:tc>
          <w:tcPr>
            <w:tcW w:w="2907" w:type="dxa"/>
          </w:tcPr>
          <w:p w14:paraId="48885129" w14:textId="77777777" w:rsidR="00A86397" w:rsidRPr="00487162" w:rsidRDefault="00A86397" w:rsidP="00A86397">
            <w:pPr>
              <w:rPr>
                <w:i/>
              </w:rPr>
            </w:pPr>
            <w:r w:rsidRPr="00487162">
              <w:rPr>
                <w:i/>
              </w:rPr>
              <w:t xml:space="preserve">Approved </w:t>
            </w:r>
            <w:r>
              <w:rPr>
                <w:i/>
              </w:rPr>
              <w:t>t</w:t>
            </w:r>
            <w:r w:rsidRPr="00487162">
              <w:rPr>
                <w:i/>
              </w:rPr>
              <w:t>herapeutic use:</w:t>
            </w:r>
          </w:p>
        </w:tc>
        <w:tc>
          <w:tcPr>
            <w:tcW w:w="6307" w:type="dxa"/>
          </w:tcPr>
          <w:p w14:paraId="309E7447" w14:textId="407267C0" w:rsidR="00A86397" w:rsidRPr="00A86397" w:rsidRDefault="00A86397" w:rsidP="00A86397">
            <w:pPr>
              <w:rPr>
                <w:i/>
                <w:iCs/>
              </w:rPr>
            </w:pPr>
            <w:proofErr w:type="spellStart"/>
            <w:r w:rsidRPr="00BB05E7">
              <w:rPr>
                <w:i/>
                <w:iCs/>
              </w:rPr>
              <w:t>VeraSeal</w:t>
            </w:r>
            <w:proofErr w:type="spellEnd"/>
            <w:r w:rsidRPr="00BB05E7">
              <w:rPr>
                <w:i/>
                <w:iCs/>
              </w:rPr>
              <w:t xml:space="preserve"> is used as supportive treatment in adults where standard surgical techniques are insufficient, for improvement of </w:t>
            </w:r>
            <w:proofErr w:type="spellStart"/>
            <w:r w:rsidRPr="00BB05E7">
              <w:rPr>
                <w:i/>
                <w:iCs/>
              </w:rPr>
              <w:t>hemostasis</w:t>
            </w:r>
            <w:proofErr w:type="spellEnd"/>
            <w:r>
              <w:rPr>
                <w:i/>
                <w:iCs/>
              </w:rPr>
              <w:t>.</w:t>
            </w:r>
          </w:p>
        </w:tc>
      </w:tr>
      <w:tr w:rsidR="00A86397" w:rsidRPr="00487162" w14:paraId="7822CF3F" w14:textId="77777777" w:rsidTr="00BF1190">
        <w:tc>
          <w:tcPr>
            <w:tcW w:w="2907" w:type="dxa"/>
          </w:tcPr>
          <w:p w14:paraId="20601705" w14:textId="4A96957E" w:rsidR="00A86397" w:rsidRPr="00487162" w:rsidRDefault="00A86397" w:rsidP="00A86397">
            <w:pPr>
              <w:rPr>
                <w:i/>
              </w:rPr>
            </w:pPr>
            <w:r w:rsidRPr="00487162">
              <w:rPr>
                <w:i/>
              </w:rPr>
              <w:t>Route of administration:</w:t>
            </w:r>
          </w:p>
        </w:tc>
        <w:tc>
          <w:tcPr>
            <w:tcW w:w="6307" w:type="dxa"/>
          </w:tcPr>
          <w:p w14:paraId="215FED64" w14:textId="5DA603FE" w:rsidR="00A86397" w:rsidRPr="00487162" w:rsidRDefault="00A86397" w:rsidP="00A86397">
            <w:proofErr w:type="spellStart"/>
            <w:r>
              <w:t>Epilesional</w:t>
            </w:r>
            <w:proofErr w:type="spellEnd"/>
          </w:p>
        </w:tc>
      </w:tr>
      <w:tr w:rsidR="00A86397" w:rsidRPr="00487162" w14:paraId="3E4D7A9D" w14:textId="77777777" w:rsidTr="00BF1190">
        <w:tc>
          <w:tcPr>
            <w:tcW w:w="2907" w:type="dxa"/>
          </w:tcPr>
          <w:p w14:paraId="6A758D62" w14:textId="77777777" w:rsidR="00A86397" w:rsidRPr="00487162" w:rsidRDefault="00A86397" w:rsidP="00A86397">
            <w:pPr>
              <w:rPr>
                <w:i/>
              </w:rPr>
            </w:pPr>
            <w:r w:rsidRPr="00487162">
              <w:rPr>
                <w:i/>
              </w:rPr>
              <w:t>Dosage:</w:t>
            </w:r>
          </w:p>
        </w:tc>
        <w:tc>
          <w:tcPr>
            <w:tcW w:w="6307" w:type="dxa"/>
          </w:tcPr>
          <w:p w14:paraId="1B7A4ECD" w14:textId="77777777" w:rsidR="00A86397" w:rsidRDefault="00A86397" w:rsidP="00A86397">
            <w:r>
              <w:t xml:space="preserve">The use of </w:t>
            </w:r>
            <w:proofErr w:type="spellStart"/>
            <w:r>
              <w:t>VeraSeal</w:t>
            </w:r>
            <w:proofErr w:type="spellEnd"/>
            <w:r>
              <w:t xml:space="preserve"> is restricted to experienced surgeons who have been trained in the use of this medicinal product.</w:t>
            </w:r>
          </w:p>
          <w:p w14:paraId="3E2DBC08" w14:textId="77777777" w:rsidR="00A86397" w:rsidRDefault="00A86397" w:rsidP="00A86397">
            <w:r>
              <w:lastRenderedPageBreak/>
              <w:t xml:space="preserve">The volume of </w:t>
            </w:r>
            <w:proofErr w:type="spellStart"/>
            <w:r>
              <w:t>VeraSeal</w:t>
            </w:r>
            <w:proofErr w:type="spellEnd"/>
            <w:r>
              <w:t xml:space="preserve"> to be applied and the frequency of application should always be oriented towards the underlying clinical needs for the patient.</w:t>
            </w:r>
          </w:p>
          <w:p w14:paraId="7B93432A" w14:textId="77777777" w:rsidR="00A86397" w:rsidRDefault="00A86397" w:rsidP="00A86397">
            <w:r>
              <w:t>The dose to be applied is governed by variables including, but not limited to, the type of surgical intervention, the size of the area and the mode of intended application, and the number of applications.</w:t>
            </w:r>
          </w:p>
          <w:p w14:paraId="5B848E4E" w14:textId="77777777" w:rsidR="00A86397" w:rsidRDefault="00A86397" w:rsidP="00A86397">
            <w:r>
              <w:t xml:space="preserve">Application of the product must be individualised by the treating physician. In clinical trials, the individual dosages have typically ranged from 0.3 to 12 </w:t>
            </w:r>
            <w:proofErr w:type="spellStart"/>
            <w:r>
              <w:t>mL.</w:t>
            </w:r>
            <w:proofErr w:type="spellEnd"/>
            <w:r>
              <w:t xml:space="preserve"> For other procedures, larger volumes may be required.</w:t>
            </w:r>
          </w:p>
          <w:p w14:paraId="07541D7B" w14:textId="77777777" w:rsidR="00A86397" w:rsidRDefault="00A86397" w:rsidP="00A86397">
            <w:r>
              <w:t>The initial volume of the product to be applied at a chosen anatomic site or target surface area should be sufficient to entirely cover the intended application area. The application can be repeated, if necessary.</w:t>
            </w:r>
          </w:p>
          <w:p w14:paraId="40FBB4AD" w14:textId="774F508C" w:rsidR="00A86397" w:rsidRPr="00EF1311" w:rsidRDefault="00A86397" w:rsidP="00A86397">
            <w:pPr>
              <w:rPr>
                <w:i/>
              </w:rPr>
            </w:pPr>
            <w:r w:rsidRPr="00EF1311">
              <w:rPr>
                <w:i/>
              </w:rPr>
              <w:t>Paediatric population</w:t>
            </w:r>
            <w:r w:rsidR="009D5749">
              <w:rPr>
                <w:i/>
              </w:rPr>
              <w:t>:</w:t>
            </w:r>
          </w:p>
          <w:p w14:paraId="134F2525" w14:textId="77777777" w:rsidR="00A86397" w:rsidRDefault="00A86397" w:rsidP="00A86397">
            <w:r>
              <w:t xml:space="preserve">The safety and efficacy of </w:t>
            </w:r>
            <w:proofErr w:type="spellStart"/>
            <w:r>
              <w:t>VeraSeal</w:t>
            </w:r>
            <w:proofErr w:type="spellEnd"/>
            <w:r>
              <w:t xml:space="preserve"> in children aged 0 to 18 years has not yet been established. Currently available data are described in Section 5.1 of the Product Information, but no recommendation on a posology can be made.</w:t>
            </w:r>
          </w:p>
          <w:p w14:paraId="21290910" w14:textId="77777777" w:rsidR="00A86397" w:rsidRPr="00487162" w:rsidRDefault="00A86397" w:rsidP="00A86397">
            <w:r w:rsidRPr="00460036">
              <w:t>For further information regarding dosage, refer to the Product Information.</w:t>
            </w:r>
          </w:p>
        </w:tc>
      </w:tr>
      <w:tr w:rsidR="00A86397" w:rsidRPr="00487162" w14:paraId="311FB4D1" w14:textId="77777777" w:rsidTr="00BF1190">
        <w:tc>
          <w:tcPr>
            <w:tcW w:w="2907" w:type="dxa"/>
          </w:tcPr>
          <w:p w14:paraId="3D659DAC" w14:textId="77777777" w:rsidR="00A86397" w:rsidRPr="00487162" w:rsidRDefault="00A86397" w:rsidP="00A86397">
            <w:pPr>
              <w:rPr>
                <w:i/>
              </w:rPr>
            </w:pPr>
            <w:r w:rsidRPr="00460036">
              <w:rPr>
                <w:i/>
              </w:rPr>
              <w:lastRenderedPageBreak/>
              <w:t>Pregnancy category</w:t>
            </w:r>
            <w:r>
              <w:rPr>
                <w:i/>
              </w:rPr>
              <w:t>:</w:t>
            </w:r>
          </w:p>
        </w:tc>
        <w:tc>
          <w:tcPr>
            <w:tcW w:w="6307" w:type="dxa"/>
          </w:tcPr>
          <w:p w14:paraId="271062DE" w14:textId="77777777" w:rsidR="00A86397" w:rsidRPr="00BB05E7" w:rsidRDefault="00A86397" w:rsidP="00A86397">
            <w:r w:rsidRPr="00BB05E7">
              <w:t>B2</w:t>
            </w:r>
          </w:p>
          <w:p w14:paraId="3AADA801" w14:textId="77777777" w:rsidR="00A86397" w:rsidRPr="00BB05E7" w:rsidRDefault="00A86397" w:rsidP="00A86397">
            <w:r w:rsidRPr="00BB05E7">
              <w:t>Drugs which have been taken by only a limited number of pregnant women and women of childbearing age, without an increase in the frequency of malformation or other direct or indirect harmful effects on the human fetus having been observed.</w:t>
            </w:r>
          </w:p>
          <w:p w14:paraId="33130D09" w14:textId="77777777" w:rsidR="00A86397" w:rsidRPr="00BB05E7" w:rsidRDefault="00A86397" w:rsidP="00A86397">
            <w:r w:rsidRPr="00BB05E7">
              <w:t>Studies in animals are inadequate or may be lacking, but available data show no evidence of an increased occurrence of fetal damage.</w:t>
            </w:r>
          </w:p>
          <w:p w14:paraId="2B9FEBA4" w14:textId="658DE838" w:rsidR="00A86397" w:rsidRPr="00487162" w:rsidRDefault="00A86397" w:rsidP="00A86397">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8687F48" w14:textId="77777777" w:rsidR="008E7846" w:rsidRDefault="008E7846" w:rsidP="008E7846">
      <w:pPr>
        <w:pStyle w:val="Heading3"/>
      </w:pPr>
      <w:bookmarkStart w:id="17" w:name="_Toc247691503"/>
      <w:bookmarkStart w:id="18" w:name="_Toc314842484"/>
      <w:bookmarkStart w:id="19" w:name="_Toc106113648"/>
      <w:r>
        <w:t>Product background</w:t>
      </w:r>
      <w:bookmarkEnd w:id="17"/>
      <w:bookmarkEnd w:id="18"/>
      <w:bookmarkEnd w:id="19"/>
    </w:p>
    <w:p w14:paraId="4BE7C054" w14:textId="52C02161" w:rsidR="008E7846" w:rsidRDefault="00250271" w:rsidP="00940A89">
      <w:r w:rsidRPr="00250271">
        <w:t xml:space="preserve">This AusPAR describes the application by </w:t>
      </w:r>
      <w:r w:rsidR="00A86397" w:rsidRPr="00A86397">
        <w:t>Grifols Australia Pty Ltd</w:t>
      </w:r>
      <w:r w:rsidRPr="00250271">
        <w:t xml:space="preserve"> (the sponsor) to register </w:t>
      </w:r>
      <w:proofErr w:type="spellStart"/>
      <w:r w:rsidR="00A86397" w:rsidRPr="00A86397">
        <w:t>VeraSeal</w:t>
      </w:r>
      <w:proofErr w:type="spellEnd"/>
      <w:r w:rsidR="00A86397" w:rsidRPr="00A86397">
        <w:t xml:space="preserve"> </w:t>
      </w:r>
      <w:r w:rsidRPr="00250271">
        <w:t>(</w:t>
      </w:r>
      <w:r w:rsidR="00A86397">
        <w:t>h</w:t>
      </w:r>
      <w:r w:rsidR="00A86397" w:rsidRPr="00A86397">
        <w:t>uman fibrinogen</w:t>
      </w:r>
      <w:r w:rsidR="00417CDF">
        <w:t xml:space="preserve"> </w:t>
      </w:r>
      <w:r w:rsidR="00A86397" w:rsidRPr="00A86397">
        <w:t>/</w:t>
      </w:r>
      <w:r w:rsidR="00417CDF">
        <w:t xml:space="preserve"> </w:t>
      </w:r>
      <w:r w:rsidR="00A86397" w:rsidRPr="00A86397">
        <w:t>human thrombin</w:t>
      </w:r>
      <w:r w:rsidRPr="00250271">
        <w:t xml:space="preserve">) </w:t>
      </w:r>
      <w:r w:rsidR="00A86397" w:rsidRPr="00A86397">
        <w:t>80 mg/mL human fibrinogen and 500 IU/mL human thrombin</w:t>
      </w:r>
      <w:r w:rsidRPr="00250271">
        <w:t xml:space="preserve">, </w:t>
      </w:r>
      <w:r w:rsidR="00A86397">
        <w:t>solutions for sealant</w:t>
      </w:r>
      <w:r w:rsidRPr="00250271">
        <w:t xml:space="preserve"> for the following proposed indication</w:t>
      </w:r>
      <w:r w:rsidR="00CF5DAD">
        <w:t>:</w:t>
      </w:r>
    </w:p>
    <w:p w14:paraId="6D0F6EC8" w14:textId="77777777" w:rsidR="00A22E8E" w:rsidRPr="00A22E8E" w:rsidRDefault="00A22E8E" w:rsidP="00A22E8E">
      <w:pPr>
        <w:ind w:left="720"/>
        <w:rPr>
          <w:i/>
          <w:iCs/>
        </w:rPr>
      </w:pPr>
      <w:proofErr w:type="spellStart"/>
      <w:r w:rsidRPr="00A22E8E">
        <w:rPr>
          <w:i/>
          <w:iCs/>
        </w:rPr>
        <w:t>VeraSeal</w:t>
      </w:r>
      <w:proofErr w:type="spellEnd"/>
      <w:r w:rsidRPr="00A22E8E">
        <w:rPr>
          <w:i/>
          <w:iCs/>
        </w:rPr>
        <w:t xml:space="preserve"> is used as supportive treatment in adults where standard surgical techniques are insufficient, for improvement of haemostasis. In addition, </w:t>
      </w:r>
      <w:proofErr w:type="spellStart"/>
      <w:r w:rsidRPr="00A22E8E">
        <w:rPr>
          <w:i/>
          <w:iCs/>
        </w:rPr>
        <w:t>VeraSeal</w:t>
      </w:r>
      <w:proofErr w:type="spellEnd"/>
      <w:r w:rsidRPr="00A22E8E">
        <w:rPr>
          <w:i/>
          <w:iCs/>
        </w:rPr>
        <w:t xml:space="preserve"> is indicated for suture support in vascular surgery.</w:t>
      </w:r>
    </w:p>
    <w:p w14:paraId="0419E86B" w14:textId="77777777" w:rsidR="00A22E8E" w:rsidRPr="00A22E8E" w:rsidRDefault="00A22E8E" w:rsidP="00A22E8E">
      <w:pPr>
        <w:ind w:left="720"/>
        <w:rPr>
          <w:i/>
          <w:iCs/>
        </w:rPr>
      </w:pPr>
      <w:proofErr w:type="spellStart"/>
      <w:r w:rsidRPr="00A22E8E">
        <w:rPr>
          <w:i/>
          <w:iCs/>
        </w:rPr>
        <w:lastRenderedPageBreak/>
        <w:t>VeraSeal</w:t>
      </w:r>
      <w:proofErr w:type="spellEnd"/>
      <w:r w:rsidRPr="00A22E8E">
        <w:rPr>
          <w:i/>
          <w:iCs/>
        </w:rPr>
        <w:t xml:space="preserve"> is effective in </w:t>
      </w:r>
      <w:proofErr w:type="spellStart"/>
      <w:r w:rsidRPr="00A22E8E">
        <w:rPr>
          <w:i/>
          <w:iCs/>
        </w:rPr>
        <w:t>heparinized</w:t>
      </w:r>
      <w:proofErr w:type="spellEnd"/>
      <w:r w:rsidRPr="00A22E8E">
        <w:rPr>
          <w:i/>
          <w:iCs/>
        </w:rPr>
        <w:t xml:space="preserve"> patients.</w:t>
      </w:r>
    </w:p>
    <w:p w14:paraId="59B7E820" w14:textId="10F69F88" w:rsidR="001F5F0E" w:rsidRPr="001F5F0E" w:rsidRDefault="001F5F0E" w:rsidP="001F5F0E">
      <w:r w:rsidRPr="001F5F0E">
        <w:t>The human fibrin adhesion system constitutes the last phase of the physiological blood coagulation system leading to the formation of a semi-rigid fibrin clot. Fibrinogen, the main structural protein in the blood responsible for forming clots, is proteolytically cleaved and converted into fibrin monomers by thrombin. The fibrin monomers then polymeri</w:t>
      </w:r>
      <w:r w:rsidR="006A6BFB">
        <w:t>s</w:t>
      </w:r>
      <w:r w:rsidRPr="001F5F0E">
        <w:t xml:space="preserve">e to form insoluble fibrin. Thrombin also activates </w:t>
      </w:r>
      <w:r w:rsidRPr="003D241C">
        <w:t>endogenous factor XIII,</w:t>
      </w:r>
      <w:r w:rsidRPr="001F5F0E">
        <w:t xml:space="preserve"> which </w:t>
      </w:r>
      <w:r w:rsidR="00AE2CE1" w:rsidRPr="001F5F0E">
        <w:t>catalyses</w:t>
      </w:r>
      <w:r w:rsidRPr="001F5F0E">
        <w:t xml:space="preserve"> the formation of covalent bonds between molecules of fibrin to form a cross</w:t>
      </w:r>
      <w:r w:rsidR="006A6BFB">
        <w:t xml:space="preserve"> </w:t>
      </w:r>
      <w:r w:rsidRPr="001F5F0E">
        <w:t>linked clot capable of resisting dissolution. The fibrin clot also adheres to a variety of proteins, such as collagen, fibronectin, von Willebrand factor, and cell surface receptors, contributing to anchoring the clot to the injured site.</w:t>
      </w:r>
    </w:p>
    <w:p w14:paraId="4F1C3650" w14:textId="48DACED1" w:rsidR="00780D13" w:rsidRPr="001F5F0E" w:rsidRDefault="00780D13" w:rsidP="00780D13">
      <w:r w:rsidRPr="001F5F0E">
        <w:t>Conventional procedures used to control bleeding include the use of direct pressure, sutures, pledges, and/or electrocautery. Absorbable haemostatic agents such as bovine gelatine power and sponges, and haemostatic agents made from bovine collagen and oxidized cellulose are also used for stopping bleeding. Additionally, products containing thrombin and/or fibrinogen are used to assist body´s natural clotting mechanism to achieved haemostasis.</w:t>
      </w:r>
    </w:p>
    <w:p w14:paraId="60704BDB" w14:textId="50408291" w:rsidR="001F5F0E" w:rsidRPr="001F5F0E" w:rsidRDefault="001F5F0E" w:rsidP="001F5F0E">
      <w:r w:rsidRPr="001F5F0E">
        <w:t xml:space="preserve">The intended benefits of </w:t>
      </w:r>
      <w:r w:rsidR="002E563E" w:rsidRPr="001F5F0E">
        <w:t xml:space="preserve">fibrin sealant </w:t>
      </w:r>
      <w:r w:rsidRPr="001F5F0E">
        <w:t xml:space="preserve">application are to support local </w:t>
      </w:r>
      <w:r w:rsidR="00261EFC" w:rsidRPr="001F5F0E">
        <w:t>haemostasis</w:t>
      </w:r>
      <w:r w:rsidRPr="001F5F0E">
        <w:t xml:space="preserve"> and sutures, </w:t>
      </w:r>
      <w:r w:rsidR="00261EFC">
        <w:t>‘</w:t>
      </w:r>
      <w:r w:rsidRPr="001F5F0E">
        <w:t>glue</w:t>
      </w:r>
      <w:r w:rsidR="00261EFC">
        <w:t>’</w:t>
      </w:r>
      <w:r w:rsidRPr="001F5F0E">
        <w:t xml:space="preserve"> surfaces of injured tissues </w:t>
      </w:r>
      <w:proofErr w:type="gramStart"/>
      <w:r w:rsidRPr="001F5F0E">
        <w:t>in order to</w:t>
      </w:r>
      <w:proofErr w:type="gramEnd"/>
      <w:r w:rsidRPr="001F5F0E">
        <w:t xml:space="preserve"> obtain adaptation or sealing of surfaces, improve repair or healing.</w:t>
      </w:r>
      <w:r w:rsidR="00261EFC">
        <w:t xml:space="preserve"> </w:t>
      </w:r>
      <w:r w:rsidRPr="001F5F0E">
        <w:t xml:space="preserve">Fibrin </w:t>
      </w:r>
      <w:r w:rsidR="002E563E" w:rsidRPr="001F5F0E">
        <w:t xml:space="preserve">sealant products </w:t>
      </w:r>
      <w:r w:rsidRPr="001F5F0E">
        <w:t xml:space="preserve">may be used in a variety of clinical situations and surgical fields, including but not limited to, cardiac and vascular surgery, thoracic surgery, neurosurgery, plastic and reconstruction surgery, gastrointestinal surgery, hepatic and splenic surgery, and dental surgery. Practical applications of </w:t>
      </w:r>
      <w:r w:rsidR="002E563E" w:rsidRPr="001F5F0E">
        <w:t xml:space="preserve">fibrin sealant </w:t>
      </w:r>
      <w:r w:rsidRPr="001F5F0E">
        <w:t xml:space="preserve">products in </w:t>
      </w:r>
      <w:r w:rsidR="00261EFC" w:rsidRPr="001F5F0E">
        <w:t>orthopaedic</w:t>
      </w:r>
      <w:r w:rsidRPr="001F5F0E">
        <w:t xml:space="preserve"> surgery, interventional radiology and minimally invasive endoscopy are growing.</w:t>
      </w:r>
    </w:p>
    <w:p w14:paraId="37D964FC" w14:textId="0D3D073D" w:rsidR="00A22E8E" w:rsidRPr="001B086B" w:rsidRDefault="00A22E8E" w:rsidP="001B086B">
      <w:r w:rsidRPr="001B086B">
        <w:t>Fibrin Sealant Grifols</w:t>
      </w:r>
      <w:r w:rsidR="004444DA">
        <w:t xml:space="preserve"> (also </w:t>
      </w:r>
      <w:r w:rsidR="004444DA" w:rsidRPr="004444DA">
        <w:t>known as ‘</w:t>
      </w:r>
      <w:proofErr w:type="spellStart"/>
      <w:r w:rsidR="004444DA" w:rsidRPr="004444DA">
        <w:t>VeraSeal</w:t>
      </w:r>
      <w:proofErr w:type="spellEnd"/>
      <w:r w:rsidR="004444DA" w:rsidRPr="004444DA">
        <w:t xml:space="preserve">’ in this </w:t>
      </w:r>
      <w:r w:rsidR="004444DA">
        <w:t>submission)</w:t>
      </w:r>
      <w:r w:rsidRPr="001B086B">
        <w:t xml:space="preserve"> is a medic</w:t>
      </w:r>
      <w:r w:rsidR="009D5749">
        <w:t>al</w:t>
      </w:r>
      <w:r w:rsidR="001F5F0E">
        <w:t xml:space="preserve"> </w:t>
      </w:r>
      <w:r w:rsidRPr="001B086B">
        <w:t xml:space="preserve">device combination product consisting of </w:t>
      </w:r>
      <w:proofErr w:type="gramStart"/>
      <w:r w:rsidRPr="001B086B">
        <w:t>a two</w:t>
      </w:r>
      <w:r w:rsidR="001F5F0E">
        <w:t xml:space="preserve"> </w:t>
      </w:r>
      <w:r w:rsidRPr="001B086B">
        <w:t>component solutions</w:t>
      </w:r>
      <w:proofErr w:type="gramEnd"/>
      <w:r w:rsidRPr="001B086B">
        <w:t xml:space="preserve"> of human fibrinogen and human thrombin with calcium chloride; supplied in separate pre-filled syringes assembled on a syringe holder and a plunger link</w:t>
      </w:r>
      <w:r w:rsidR="00282E33">
        <w:t>, and co-packaged with an applicator tip</w:t>
      </w:r>
      <w:r w:rsidRPr="001B086B">
        <w:t xml:space="preserve"> (</w:t>
      </w:r>
      <w:r w:rsidR="001F5F0E" w:rsidRPr="001B086B">
        <w:t>dual applicator</w:t>
      </w:r>
      <w:r w:rsidRPr="001B086B">
        <w:t xml:space="preserve">). The </w:t>
      </w:r>
      <w:r w:rsidR="001F5F0E" w:rsidRPr="001B086B">
        <w:t xml:space="preserve">dual applicator </w:t>
      </w:r>
      <w:r w:rsidRPr="001B086B">
        <w:t xml:space="preserve">allows the simultaneous administration of equal amounts of fibrinogen and thrombin solutions by dripping or spraying without the requirement for the assistance of compressed gas. Of note, the </w:t>
      </w:r>
      <w:r w:rsidR="00780D13">
        <w:t>‘</w:t>
      </w:r>
      <w:r w:rsidR="002E563E" w:rsidRPr="001B086B">
        <w:t>dual applicator</w:t>
      </w:r>
      <w:r w:rsidR="002E563E">
        <w:t>’</w:t>
      </w:r>
      <w:r w:rsidR="002E563E" w:rsidRPr="001B086B">
        <w:t xml:space="preserve"> </w:t>
      </w:r>
      <w:r w:rsidRPr="001B086B">
        <w:t xml:space="preserve">was previously named </w:t>
      </w:r>
      <w:r w:rsidR="00780D13">
        <w:t>‘</w:t>
      </w:r>
      <w:r w:rsidR="002E563E" w:rsidRPr="001B086B">
        <w:t>airless spray accessory</w:t>
      </w:r>
      <w:r w:rsidR="002E563E">
        <w:t>’</w:t>
      </w:r>
      <w:r w:rsidRPr="001B086B">
        <w:t>. The single</w:t>
      </w:r>
      <w:r w:rsidR="002E563E">
        <w:t xml:space="preserve"> </w:t>
      </w:r>
      <w:r w:rsidRPr="001B086B">
        <w:t xml:space="preserve">use kit is also supplied with two additional </w:t>
      </w:r>
      <w:r w:rsidR="002E563E" w:rsidRPr="001B086B">
        <w:t xml:space="preserve">airless spray tips </w:t>
      </w:r>
      <w:r w:rsidRPr="001B086B">
        <w:t>for spraying application.</w:t>
      </w:r>
    </w:p>
    <w:p w14:paraId="28C83824" w14:textId="055ACF11" w:rsidR="00A22E8E" w:rsidRPr="001B086B" w:rsidRDefault="006B381B" w:rsidP="001B086B">
      <w:r w:rsidRPr="006B381B">
        <w:t>Fibrin Sealant</w:t>
      </w:r>
      <w:r w:rsidR="00A22E8E" w:rsidRPr="001B086B">
        <w:t xml:space="preserve"> Grifols is intended as an adjunct to haemostasis for local administration to surgical sites, in situations where haemostatic measures based on conventional surgical techniques, such as suture, ligature, or cautery, are ineffective or impractical and as suture support in vascular surgery.</w:t>
      </w:r>
    </w:p>
    <w:p w14:paraId="241E9472" w14:textId="3DDD0D7E" w:rsidR="00A22E8E" w:rsidRPr="003D241C" w:rsidRDefault="00A22E8E" w:rsidP="001B086B">
      <w:r w:rsidRPr="001B086B">
        <w:t xml:space="preserve">The dose regimen corresponds to a sufficient volume of </w:t>
      </w:r>
      <w:r w:rsidR="006B381B" w:rsidRPr="001B086B">
        <w:t>Fibrin Sealant</w:t>
      </w:r>
      <w:r w:rsidRPr="001B086B">
        <w:t xml:space="preserve"> Grifols applied by dripping or spraying </w:t>
      </w:r>
      <w:proofErr w:type="gramStart"/>
      <w:r w:rsidRPr="001B086B">
        <w:t>in order to</w:t>
      </w:r>
      <w:proofErr w:type="gramEnd"/>
      <w:r w:rsidRPr="001B086B">
        <w:t xml:space="preserve"> entirely cover the intended surface area by a thin (1</w:t>
      </w:r>
      <w:r w:rsidR="002E563E">
        <w:t> </w:t>
      </w:r>
      <w:r w:rsidRPr="001B086B">
        <w:t>mm thick), even layer. The application can be repeated if necessary, due to incomplete haemostasis. In clinical trials, the individual dosages have typically ranged from 0.3 to 12</w:t>
      </w:r>
      <w:r w:rsidR="002E563E">
        <w:t> </w:t>
      </w:r>
      <w:proofErr w:type="spellStart"/>
      <w:r w:rsidRPr="001B086B">
        <w:t>mL.</w:t>
      </w:r>
      <w:proofErr w:type="spellEnd"/>
      <w:r w:rsidRPr="001B086B">
        <w:t xml:space="preserve"> Larger volumes may be required for surgical procedures other than those included </w:t>
      </w:r>
      <w:r w:rsidRPr="003D241C">
        <w:t>in the clinical studies.</w:t>
      </w:r>
    </w:p>
    <w:p w14:paraId="2F355AE2" w14:textId="0308C9EB" w:rsidR="002E563E" w:rsidRPr="001B086B" w:rsidRDefault="002E563E" w:rsidP="002E563E">
      <w:bookmarkStart w:id="20" w:name="_Toc314842485"/>
      <w:bookmarkStart w:id="21" w:name="_Toc247691504"/>
      <w:proofErr w:type="spellStart"/>
      <w:r w:rsidRPr="003D241C">
        <w:t>Tisseel</w:t>
      </w:r>
      <w:proofErr w:type="spellEnd"/>
      <w:r w:rsidRPr="003D241C">
        <w:t>;</w:t>
      </w:r>
      <w:r w:rsidRPr="003D241C">
        <w:rPr>
          <w:rStyle w:val="FootnoteReference"/>
        </w:rPr>
        <w:footnoteReference w:id="2"/>
      </w:r>
      <w:r w:rsidRPr="003D241C">
        <w:t xml:space="preserve"> and </w:t>
      </w:r>
      <w:proofErr w:type="spellStart"/>
      <w:r w:rsidRPr="003D241C">
        <w:t>Evicel</w:t>
      </w:r>
      <w:proofErr w:type="spellEnd"/>
      <w:r w:rsidRPr="003D241C">
        <w:t>;</w:t>
      </w:r>
      <w:r w:rsidRPr="003D241C">
        <w:rPr>
          <w:rStyle w:val="FootnoteReference"/>
        </w:rPr>
        <w:footnoteReference w:id="3"/>
      </w:r>
      <w:r w:rsidRPr="003D241C">
        <w:t xml:space="preserve"> are both fibrin sealant products currently registered on the </w:t>
      </w:r>
      <w:r w:rsidR="003152A6" w:rsidRPr="003D241C">
        <w:t>Australian Register of Therapeutic Goods (</w:t>
      </w:r>
      <w:r w:rsidRPr="003D241C">
        <w:t>ARTG</w:t>
      </w:r>
      <w:r w:rsidR="003152A6" w:rsidRPr="003D241C">
        <w:t>)</w:t>
      </w:r>
      <w:r w:rsidRPr="003D241C">
        <w:t>.</w:t>
      </w:r>
      <w:r w:rsidRPr="001B086B">
        <w:t xml:space="preserve"> Both are derived from pooled human plasma and contain the same active ingredients as Fibrin Sealant Grifols. </w:t>
      </w:r>
      <w:proofErr w:type="spellStart"/>
      <w:r w:rsidRPr="001B086B">
        <w:t>Tisseel</w:t>
      </w:r>
      <w:proofErr w:type="spellEnd"/>
      <w:r w:rsidRPr="001B086B">
        <w:t xml:space="preserve"> also contains </w:t>
      </w:r>
      <w:r>
        <w:t xml:space="preserve">factor </w:t>
      </w:r>
      <w:r w:rsidRPr="001B086B">
        <w:t>XIII and aprotinin, which has been associated with anaphylaxis.</w:t>
      </w:r>
    </w:p>
    <w:p w14:paraId="24DC95C3" w14:textId="3AF3E6A2" w:rsidR="00A86397" w:rsidRPr="001B086B" w:rsidRDefault="00A86397" w:rsidP="001B086B">
      <w:r w:rsidRPr="001B086B">
        <w:lastRenderedPageBreak/>
        <w:t xml:space="preserve">This application was evaluated as part of </w:t>
      </w:r>
      <w:r w:rsidRPr="003152A6">
        <w:t>the Australia-Canada-Singapore-Switzerland- United Kingdom (ACCESS) Consortium,</w:t>
      </w:r>
      <w:r w:rsidR="00A01C3F">
        <w:rPr>
          <w:rStyle w:val="FootnoteReference"/>
        </w:rPr>
        <w:footnoteReference w:id="4"/>
      </w:r>
      <w:r w:rsidRPr="003152A6">
        <w:t xml:space="preserve"> with work-sharing between the TGA</w:t>
      </w:r>
      <w:r w:rsidRPr="001B086B">
        <w:t xml:space="preserve">, Health Canada, </w:t>
      </w:r>
      <w:proofErr w:type="spellStart"/>
      <w:r w:rsidRPr="001B086B">
        <w:t>Swissmedic</w:t>
      </w:r>
      <w:proofErr w:type="spellEnd"/>
      <w:r w:rsidRPr="001B086B">
        <w:t xml:space="preserve"> (Switzerland). Each regulator made independent decisions regarding approval (market authorisation) of the new medicine.</w:t>
      </w:r>
    </w:p>
    <w:p w14:paraId="38AD148B" w14:textId="77777777" w:rsidR="008E7846" w:rsidRPr="003F31A2" w:rsidRDefault="00386150" w:rsidP="008E7846">
      <w:pPr>
        <w:pStyle w:val="Heading3"/>
      </w:pPr>
      <w:bookmarkStart w:id="22" w:name="_Toc106113649"/>
      <w:r>
        <w:t>Regulatory s</w:t>
      </w:r>
      <w:r w:rsidR="008E7846">
        <w:t>tatus</w:t>
      </w:r>
      <w:bookmarkEnd w:id="20"/>
      <w:bookmarkEnd w:id="21"/>
      <w:bookmarkEnd w:id="22"/>
    </w:p>
    <w:p w14:paraId="62F9E4FF" w14:textId="79EEFE3C" w:rsidR="00940A89" w:rsidRDefault="00006FAB" w:rsidP="00940A89">
      <w:bookmarkStart w:id="23" w:name="_Toc247691505"/>
      <w:bookmarkStart w:id="24" w:name="_Toc314842486"/>
      <w:r w:rsidRPr="00006FAB">
        <w:t>This product is considered a new biological entity for Australian regulatory purposes.</w:t>
      </w:r>
    </w:p>
    <w:p w14:paraId="68CE013A" w14:textId="1B7EFA7C" w:rsidR="00006FAB" w:rsidRDefault="00006FAB" w:rsidP="00006FAB">
      <w:r>
        <w:t>At the time the TGA considered this application, similar application</w:t>
      </w:r>
      <w:r w:rsidR="00910561">
        <w:t>s</w:t>
      </w:r>
      <w:r>
        <w:t xml:space="preserve"> had been approved in </w:t>
      </w:r>
      <w:r w:rsidR="00910561">
        <w:t xml:space="preserve">the </w:t>
      </w:r>
      <w:r w:rsidR="00910561" w:rsidRPr="003D241C">
        <w:t xml:space="preserve">United States of America </w:t>
      </w:r>
      <w:r w:rsidR="003D241C">
        <w:t xml:space="preserve">(USA) </w:t>
      </w:r>
      <w:r w:rsidR="00910561" w:rsidRPr="003D241C">
        <w:t>on 1 November 2017, European Union</w:t>
      </w:r>
      <w:r w:rsidR="002E563E" w:rsidRPr="003D241C">
        <w:t xml:space="preserve"> (EU)</w:t>
      </w:r>
      <w:r w:rsidR="00910561">
        <w:t xml:space="preserve"> on 10</w:t>
      </w:r>
      <w:r w:rsidR="002E563E">
        <w:t> </w:t>
      </w:r>
      <w:r w:rsidR="00910561">
        <w:t xml:space="preserve">November 2017, </w:t>
      </w:r>
      <w:r w:rsidR="00910561" w:rsidRPr="001B086B">
        <w:t>Canada</w:t>
      </w:r>
      <w:r w:rsidR="00910561">
        <w:t xml:space="preserve"> on </w:t>
      </w:r>
      <w:r w:rsidR="00910561" w:rsidRPr="001B086B">
        <w:t>25</w:t>
      </w:r>
      <w:r w:rsidR="00910561">
        <w:t xml:space="preserve"> March </w:t>
      </w:r>
      <w:r w:rsidR="00910561" w:rsidRPr="001B086B">
        <w:t>2021</w:t>
      </w:r>
      <w:r w:rsidR="00910561">
        <w:t xml:space="preserve">, </w:t>
      </w:r>
      <w:r w:rsidR="00910561" w:rsidRPr="00910561">
        <w:t>Singapore</w:t>
      </w:r>
      <w:r w:rsidR="00910561">
        <w:t xml:space="preserve"> on </w:t>
      </w:r>
      <w:r w:rsidR="00910561" w:rsidRPr="00910561">
        <w:t>1</w:t>
      </w:r>
      <w:r w:rsidR="00910561">
        <w:t xml:space="preserve"> April </w:t>
      </w:r>
      <w:r w:rsidR="00910561" w:rsidRPr="00910561">
        <w:t>2021</w:t>
      </w:r>
      <w:r w:rsidR="00910561">
        <w:t xml:space="preserve"> and </w:t>
      </w:r>
      <w:r w:rsidR="00910561" w:rsidRPr="00910561">
        <w:t>Switzerland</w:t>
      </w:r>
      <w:r w:rsidR="00910561">
        <w:t xml:space="preserve"> on </w:t>
      </w:r>
      <w:r w:rsidR="00910561" w:rsidRPr="00910561">
        <w:t>20</w:t>
      </w:r>
      <w:r w:rsidR="00910561">
        <w:t xml:space="preserve"> May </w:t>
      </w:r>
      <w:r w:rsidR="00910561" w:rsidRPr="00910561">
        <w:t>2021</w:t>
      </w:r>
      <w:r w:rsidR="00910561">
        <w:t>. Similar applications were</w:t>
      </w:r>
      <w:r>
        <w:t xml:space="preserve"> under consideration in </w:t>
      </w:r>
      <w:r w:rsidR="00910561" w:rsidRPr="00910561">
        <w:t>Brazil</w:t>
      </w:r>
      <w:r w:rsidR="00910561">
        <w:t xml:space="preserve"> (Submitted on </w:t>
      </w:r>
      <w:r w:rsidR="00910561" w:rsidRPr="00910561">
        <w:t>5</w:t>
      </w:r>
      <w:r w:rsidR="002E563E">
        <w:t> </w:t>
      </w:r>
      <w:r w:rsidR="00910561">
        <w:t xml:space="preserve">August </w:t>
      </w:r>
      <w:r w:rsidR="00910561" w:rsidRPr="00910561">
        <w:t>2020</w:t>
      </w:r>
      <w:r>
        <w:t>)</w:t>
      </w:r>
      <w:r w:rsidR="00910561">
        <w:t xml:space="preserve"> and </w:t>
      </w:r>
      <w:r w:rsidR="00910561" w:rsidRPr="00910561">
        <w:t>Israel</w:t>
      </w:r>
      <w:r w:rsidR="00910561">
        <w:t xml:space="preserve"> (submitted on </w:t>
      </w:r>
      <w:r w:rsidR="00910561" w:rsidRPr="00910561">
        <w:t>4</w:t>
      </w:r>
      <w:r w:rsidR="00910561">
        <w:t xml:space="preserve"> January </w:t>
      </w:r>
      <w:r w:rsidR="00910561" w:rsidRPr="00910561">
        <w:t>2021</w:t>
      </w:r>
      <w:r w:rsidR="00910561">
        <w:t>).</w:t>
      </w:r>
    </w:p>
    <w:p w14:paraId="4561F727" w14:textId="7EE27652" w:rsidR="00324E45" w:rsidRPr="00B64840" w:rsidRDefault="00324E45" w:rsidP="00B64840">
      <w:pPr>
        <w:pStyle w:val="TableTitle"/>
      </w:pPr>
      <w:r w:rsidRPr="00B64840">
        <w:t xml:space="preserve">Table </w:t>
      </w:r>
      <w:r w:rsidR="006379F5">
        <w:rPr>
          <w:noProof/>
        </w:rPr>
        <w:fldChar w:fldCharType="begin"/>
      </w:r>
      <w:r w:rsidR="006379F5">
        <w:rPr>
          <w:noProof/>
        </w:rPr>
        <w:instrText xml:space="preserve"> SEQ Table \* ARABIC </w:instrText>
      </w:r>
      <w:r w:rsidR="006379F5">
        <w:rPr>
          <w:noProof/>
        </w:rPr>
        <w:fldChar w:fldCharType="separate"/>
      </w:r>
      <w:r w:rsidR="00C61BB9">
        <w:rPr>
          <w:noProof/>
        </w:rPr>
        <w:t>1</w:t>
      </w:r>
      <w:r w:rsidR="006379F5">
        <w:rPr>
          <w:noProof/>
        </w:rPr>
        <w:fldChar w:fldCharType="end"/>
      </w:r>
      <w:r w:rsidRPr="00B64840">
        <w:t>: International regulatory status</w:t>
      </w:r>
    </w:p>
    <w:tbl>
      <w:tblPr>
        <w:tblStyle w:val="TableTGAblue"/>
        <w:tblW w:w="8815" w:type="dxa"/>
        <w:tblLayout w:type="fixed"/>
        <w:tblLook w:val="04A0" w:firstRow="1" w:lastRow="0" w:firstColumn="1" w:lastColumn="0" w:noHBand="0" w:noVBand="1"/>
      </w:tblPr>
      <w:tblGrid>
        <w:gridCol w:w="1525"/>
        <w:gridCol w:w="2070"/>
        <w:gridCol w:w="2070"/>
        <w:gridCol w:w="3150"/>
      </w:tblGrid>
      <w:tr w:rsidR="009D5749" w14:paraId="6D2ED14E" w14:textId="77777777" w:rsidTr="00EF1311">
        <w:trPr>
          <w:cnfStyle w:val="100000000000" w:firstRow="1" w:lastRow="0" w:firstColumn="0" w:lastColumn="0" w:oddVBand="0" w:evenVBand="0" w:oddHBand="0" w:evenHBand="0" w:firstRowFirstColumn="0" w:firstRowLastColumn="0" w:lastRowFirstColumn="0" w:lastRowLastColumn="0"/>
        </w:trPr>
        <w:tc>
          <w:tcPr>
            <w:tcW w:w="1525" w:type="dxa"/>
            <w:tcBorders>
              <w:top w:val="single" w:sz="4" w:space="0" w:color="auto"/>
              <w:left w:val="single" w:sz="4" w:space="0" w:color="auto"/>
              <w:bottom w:val="single" w:sz="4" w:space="0" w:color="auto"/>
              <w:right w:val="single" w:sz="4" w:space="0" w:color="auto"/>
            </w:tcBorders>
          </w:tcPr>
          <w:p w14:paraId="5A535C26" w14:textId="77777777" w:rsidR="00006FAB" w:rsidRDefault="00006FAB" w:rsidP="00006FAB">
            <w:pPr>
              <w:ind w:left="0" w:right="0"/>
            </w:pPr>
            <w:r>
              <w:t>Region</w:t>
            </w:r>
          </w:p>
        </w:tc>
        <w:tc>
          <w:tcPr>
            <w:tcW w:w="2070" w:type="dxa"/>
            <w:tcBorders>
              <w:top w:val="single" w:sz="4" w:space="0" w:color="auto"/>
              <w:left w:val="single" w:sz="4" w:space="0" w:color="auto"/>
              <w:bottom w:val="single" w:sz="4" w:space="0" w:color="auto"/>
              <w:right w:val="single" w:sz="4" w:space="0" w:color="auto"/>
            </w:tcBorders>
          </w:tcPr>
          <w:p w14:paraId="4B02F47F" w14:textId="77777777" w:rsidR="00006FAB" w:rsidRDefault="00006FAB" w:rsidP="00006FAB">
            <w:pPr>
              <w:ind w:left="0" w:right="0"/>
            </w:pPr>
            <w:r>
              <w:t>Submission date</w:t>
            </w:r>
          </w:p>
        </w:tc>
        <w:tc>
          <w:tcPr>
            <w:tcW w:w="2070" w:type="dxa"/>
            <w:tcBorders>
              <w:top w:val="single" w:sz="4" w:space="0" w:color="auto"/>
              <w:left w:val="single" w:sz="4" w:space="0" w:color="auto"/>
              <w:bottom w:val="single" w:sz="4" w:space="0" w:color="auto"/>
              <w:right w:val="single" w:sz="4" w:space="0" w:color="auto"/>
            </w:tcBorders>
          </w:tcPr>
          <w:p w14:paraId="4B6A8C0B" w14:textId="77777777" w:rsidR="00006FAB" w:rsidRDefault="00006FAB" w:rsidP="00006FAB">
            <w:pPr>
              <w:ind w:left="0" w:right="0"/>
            </w:pPr>
            <w:r>
              <w:t>Status</w:t>
            </w:r>
          </w:p>
        </w:tc>
        <w:tc>
          <w:tcPr>
            <w:tcW w:w="3150" w:type="dxa"/>
            <w:tcBorders>
              <w:top w:val="single" w:sz="4" w:space="0" w:color="auto"/>
              <w:left w:val="single" w:sz="4" w:space="0" w:color="auto"/>
              <w:bottom w:val="single" w:sz="4" w:space="0" w:color="auto"/>
              <w:right w:val="single" w:sz="4" w:space="0" w:color="auto"/>
            </w:tcBorders>
          </w:tcPr>
          <w:p w14:paraId="518B6F04" w14:textId="77777777" w:rsidR="00006FAB" w:rsidRDefault="00006FAB" w:rsidP="00006FAB">
            <w:pPr>
              <w:ind w:left="0" w:right="0"/>
            </w:pPr>
            <w:r>
              <w:t>Approved indications</w:t>
            </w:r>
          </w:p>
        </w:tc>
      </w:tr>
      <w:tr w:rsidR="009D5749" w14:paraId="334757E4" w14:textId="77777777" w:rsidTr="00EF1311">
        <w:tc>
          <w:tcPr>
            <w:tcW w:w="1525" w:type="dxa"/>
            <w:tcBorders>
              <w:top w:val="single" w:sz="4" w:space="0" w:color="auto"/>
            </w:tcBorders>
          </w:tcPr>
          <w:p w14:paraId="382089E8" w14:textId="34D37760" w:rsidR="00006FAB" w:rsidRDefault="001B086B" w:rsidP="00006FAB">
            <w:pPr>
              <w:ind w:left="0" w:right="0"/>
            </w:pPr>
            <w:r w:rsidRPr="001B086B">
              <w:t>United States of America</w:t>
            </w:r>
          </w:p>
        </w:tc>
        <w:tc>
          <w:tcPr>
            <w:tcW w:w="2070" w:type="dxa"/>
            <w:tcBorders>
              <w:top w:val="single" w:sz="4" w:space="0" w:color="auto"/>
            </w:tcBorders>
          </w:tcPr>
          <w:p w14:paraId="53576AC3" w14:textId="04A4D2F6" w:rsidR="00006FAB" w:rsidRDefault="001B086B" w:rsidP="00006FAB">
            <w:pPr>
              <w:ind w:left="0" w:right="0"/>
            </w:pPr>
            <w:r w:rsidRPr="001B086B">
              <w:t>4</w:t>
            </w:r>
            <w:r w:rsidR="00910561">
              <w:t xml:space="preserve"> November </w:t>
            </w:r>
            <w:r w:rsidRPr="001B086B">
              <w:t>2016</w:t>
            </w:r>
          </w:p>
        </w:tc>
        <w:tc>
          <w:tcPr>
            <w:tcW w:w="2070" w:type="dxa"/>
            <w:tcBorders>
              <w:top w:val="single" w:sz="4" w:space="0" w:color="auto"/>
            </w:tcBorders>
          </w:tcPr>
          <w:p w14:paraId="5BA7A0BE" w14:textId="5277EC52" w:rsidR="00006FAB" w:rsidRDefault="00006FAB" w:rsidP="00006FAB">
            <w:pPr>
              <w:ind w:left="0" w:right="0"/>
            </w:pPr>
            <w:r w:rsidRPr="00006FAB">
              <w:t xml:space="preserve">Approved on </w:t>
            </w:r>
            <w:r w:rsidR="001B086B" w:rsidRPr="001B086B">
              <w:t>1</w:t>
            </w:r>
            <w:r w:rsidR="009D5749">
              <w:t> </w:t>
            </w:r>
            <w:r w:rsidR="00910561">
              <w:t xml:space="preserve">November </w:t>
            </w:r>
            <w:r w:rsidR="001B086B" w:rsidRPr="001B086B">
              <w:t>2017</w:t>
            </w:r>
          </w:p>
        </w:tc>
        <w:tc>
          <w:tcPr>
            <w:tcW w:w="3150" w:type="dxa"/>
            <w:tcBorders>
              <w:top w:val="single" w:sz="4" w:space="0" w:color="auto"/>
            </w:tcBorders>
          </w:tcPr>
          <w:p w14:paraId="48CE7410" w14:textId="0D45D038" w:rsidR="00006FAB" w:rsidRPr="00910561" w:rsidRDefault="00910561" w:rsidP="00006FAB">
            <w:pPr>
              <w:ind w:left="0" w:right="0"/>
              <w:rPr>
                <w:i/>
                <w:iCs/>
              </w:rPr>
            </w:pPr>
            <w:proofErr w:type="spellStart"/>
            <w:r w:rsidRPr="00910561">
              <w:rPr>
                <w:i/>
                <w:iCs/>
              </w:rPr>
              <w:t>VistaSeal</w:t>
            </w:r>
            <w:proofErr w:type="spellEnd"/>
            <w:r w:rsidRPr="00910561">
              <w:rPr>
                <w:i/>
                <w:iCs/>
              </w:rPr>
              <w:t xml:space="preserve"> </w:t>
            </w:r>
            <w:r w:rsidR="001B086B" w:rsidRPr="00910561">
              <w:rPr>
                <w:i/>
                <w:iCs/>
              </w:rPr>
              <w:t xml:space="preserve">is indicated as an adjunct to </w:t>
            </w:r>
            <w:proofErr w:type="spellStart"/>
            <w:r w:rsidR="001B086B" w:rsidRPr="00910561">
              <w:rPr>
                <w:i/>
                <w:iCs/>
              </w:rPr>
              <w:t>hemostasis</w:t>
            </w:r>
            <w:proofErr w:type="spellEnd"/>
            <w:r w:rsidR="001B086B" w:rsidRPr="00910561">
              <w:rPr>
                <w:i/>
                <w:iCs/>
              </w:rPr>
              <w:t xml:space="preserve"> for mild to moderate bleeding in adults undergoing surgery when control of bleeding by standard surgical techniques (such as suture, ligature, and cautery) is ineffective or impractical. </w:t>
            </w:r>
            <w:proofErr w:type="spellStart"/>
            <w:r w:rsidRPr="00910561">
              <w:rPr>
                <w:i/>
                <w:iCs/>
              </w:rPr>
              <w:t>VistaSeal</w:t>
            </w:r>
            <w:proofErr w:type="spellEnd"/>
            <w:r w:rsidRPr="00910561">
              <w:rPr>
                <w:i/>
                <w:iCs/>
              </w:rPr>
              <w:t xml:space="preserve"> </w:t>
            </w:r>
            <w:r w:rsidR="001B086B" w:rsidRPr="00910561">
              <w:rPr>
                <w:i/>
                <w:iCs/>
              </w:rPr>
              <w:t xml:space="preserve">is effective in </w:t>
            </w:r>
            <w:proofErr w:type="spellStart"/>
            <w:r w:rsidR="001B086B" w:rsidRPr="00910561">
              <w:rPr>
                <w:i/>
                <w:iCs/>
              </w:rPr>
              <w:t>heparinized</w:t>
            </w:r>
            <w:proofErr w:type="spellEnd"/>
            <w:r w:rsidR="001B086B" w:rsidRPr="00910561">
              <w:rPr>
                <w:i/>
                <w:iCs/>
              </w:rPr>
              <w:t xml:space="preserve"> patients.</w:t>
            </w:r>
          </w:p>
        </w:tc>
      </w:tr>
      <w:tr w:rsidR="009D5749" w14:paraId="7F6CD24C" w14:textId="77777777" w:rsidTr="00EF1311">
        <w:tc>
          <w:tcPr>
            <w:tcW w:w="1525" w:type="dxa"/>
          </w:tcPr>
          <w:p w14:paraId="530383A5" w14:textId="63AE1838" w:rsidR="00006FAB" w:rsidRDefault="001B086B" w:rsidP="00006FAB">
            <w:pPr>
              <w:ind w:left="0" w:right="0"/>
            </w:pPr>
            <w:r w:rsidRPr="001B086B">
              <w:t>European Union</w:t>
            </w:r>
          </w:p>
        </w:tc>
        <w:tc>
          <w:tcPr>
            <w:tcW w:w="2070" w:type="dxa"/>
          </w:tcPr>
          <w:p w14:paraId="48DE2529" w14:textId="1D1907F5" w:rsidR="001B086B" w:rsidRPr="001B086B" w:rsidRDefault="001B086B" w:rsidP="00910561">
            <w:pPr>
              <w:ind w:left="0" w:right="0"/>
            </w:pPr>
            <w:r w:rsidRPr="001B086B">
              <w:t>28</w:t>
            </w:r>
            <w:r w:rsidR="00910561">
              <w:t xml:space="preserve"> November </w:t>
            </w:r>
            <w:r w:rsidRPr="001B086B">
              <w:t>2016</w:t>
            </w:r>
          </w:p>
        </w:tc>
        <w:tc>
          <w:tcPr>
            <w:tcW w:w="2070" w:type="dxa"/>
          </w:tcPr>
          <w:p w14:paraId="0D447608" w14:textId="5DB1F641" w:rsidR="00006FAB" w:rsidRDefault="00910561" w:rsidP="00EF1311">
            <w:pPr>
              <w:ind w:left="0" w:right="0"/>
            </w:pPr>
            <w:r w:rsidRPr="00006FAB">
              <w:t xml:space="preserve">Approved on </w:t>
            </w:r>
            <w:r w:rsidR="001B086B">
              <w:t>10</w:t>
            </w:r>
            <w:r w:rsidR="009D5749">
              <w:t> </w:t>
            </w:r>
            <w:r>
              <w:t xml:space="preserve">November </w:t>
            </w:r>
            <w:r w:rsidR="001B086B">
              <w:t>2017</w:t>
            </w:r>
          </w:p>
        </w:tc>
        <w:tc>
          <w:tcPr>
            <w:tcW w:w="3150" w:type="dxa"/>
          </w:tcPr>
          <w:p w14:paraId="05045D9E" w14:textId="77777777" w:rsidR="00EF1311" w:rsidRDefault="001B086B" w:rsidP="00EF1311">
            <w:pPr>
              <w:ind w:left="0"/>
              <w:rPr>
                <w:i/>
                <w:iCs/>
              </w:rPr>
            </w:pPr>
            <w:r w:rsidRPr="009D5749">
              <w:rPr>
                <w:i/>
                <w:iCs/>
              </w:rPr>
              <w:t>Supportive treatment in adults where standard surgical techniques are insufficient:</w:t>
            </w:r>
          </w:p>
          <w:p w14:paraId="1670C61C" w14:textId="045326CE" w:rsidR="00006FAB" w:rsidRPr="00EF1311" w:rsidRDefault="001B086B" w:rsidP="00EF1311">
            <w:pPr>
              <w:ind w:left="0"/>
              <w:rPr>
                <w:i/>
              </w:rPr>
            </w:pPr>
            <w:r w:rsidRPr="00EF1311">
              <w:rPr>
                <w:i/>
              </w:rPr>
              <w:t>for improvement of haemostasis</w:t>
            </w:r>
            <w:r w:rsidR="00284CE0">
              <w:rPr>
                <w:i/>
              </w:rPr>
              <w:t xml:space="preserve">; </w:t>
            </w:r>
            <w:r w:rsidRPr="00EF1311">
              <w:rPr>
                <w:i/>
              </w:rPr>
              <w:t>as suture support: in vascular surgery.</w:t>
            </w:r>
          </w:p>
        </w:tc>
      </w:tr>
      <w:tr w:rsidR="009D5749" w14:paraId="3B1BFD2D" w14:textId="77777777" w:rsidTr="00EF1311">
        <w:tc>
          <w:tcPr>
            <w:tcW w:w="1525" w:type="dxa"/>
          </w:tcPr>
          <w:p w14:paraId="0FC3D6AE" w14:textId="18ED72A8" w:rsidR="001B086B" w:rsidRPr="001B086B" w:rsidRDefault="001B086B" w:rsidP="00910561">
            <w:pPr>
              <w:ind w:left="0"/>
            </w:pPr>
            <w:r w:rsidRPr="001B086B">
              <w:t>Canada</w:t>
            </w:r>
          </w:p>
        </w:tc>
        <w:tc>
          <w:tcPr>
            <w:tcW w:w="2070" w:type="dxa"/>
          </w:tcPr>
          <w:p w14:paraId="670F886E" w14:textId="13F06C38" w:rsidR="001B086B" w:rsidRPr="001B086B" w:rsidRDefault="001B086B" w:rsidP="00910561">
            <w:pPr>
              <w:ind w:left="0"/>
            </w:pPr>
            <w:r w:rsidRPr="001B086B">
              <w:t>30</w:t>
            </w:r>
            <w:r w:rsidR="00910561">
              <w:t xml:space="preserve"> April </w:t>
            </w:r>
            <w:r w:rsidRPr="001B086B">
              <w:t>2020</w:t>
            </w:r>
          </w:p>
        </w:tc>
        <w:tc>
          <w:tcPr>
            <w:tcW w:w="2070" w:type="dxa"/>
          </w:tcPr>
          <w:p w14:paraId="59F1DF24" w14:textId="13883365" w:rsidR="001B086B" w:rsidRDefault="00910561" w:rsidP="00910561">
            <w:pPr>
              <w:ind w:left="0"/>
            </w:pPr>
            <w:r w:rsidRPr="00006FAB">
              <w:t xml:space="preserve">Approved on </w:t>
            </w:r>
            <w:r w:rsidR="001B086B" w:rsidRPr="001B086B">
              <w:t>25</w:t>
            </w:r>
            <w:r w:rsidR="009D5749">
              <w:t> </w:t>
            </w:r>
            <w:r>
              <w:t xml:space="preserve">March </w:t>
            </w:r>
            <w:r w:rsidR="001B086B" w:rsidRPr="001B086B">
              <w:t>2021</w:t>
            </w:r>
          </w:p>
        </w:tc>
        <w:tc>
          <w:tcPr>
            <w:tcW w:w="3150" w:type="dxa"/>
          </w:tcPr>
          <w:p w14:paraId="58965C1D" w14:textId="3D268C5A" w:rsidR="001B086B" w:rsidRPr="00910561" w:rsidRDefault="00910561" w:rsidP="00910561">
            <w:pPr>
              <w:ind w:left="0"/>
              <w:rPr>
                <w:i/>
                <w:iCs/>
              </w:rPr>
            </w:pPr>
            <w:proofErr w:type="spellStart"/>
            <w:r w:rsidRPr="00910561">
              <w:rPr>
                <w:i/>
                <w:iCs/>
              </w:rPr>
              <w:t>VistaSeal</w:t>
            </w:r>
            <w:proofErr w:type="spellEnd"/>
            <w:r w:rsidRPr="00910561">
              <w:rPr>
                <w:i/>
                <w:iCs/>
              </w:rPr>
              <w:t xml:space="preserve"> </w:t>
            </w:r>
            <w:r w:rsidR="001B086B" w:rsidRPr="00910561">
              <w:rPr>
                <w:i/>
                <w:iCs/>
              </w:rPr>
              <w:t xml:space="preserve">is indicated in adults for supportive treatment in surgery for improvement of </w:t>
            </w:r>
            <w:proofErr w:type="spellStart"/>
            <w:r w:rsidR="001B086B" w:rsidRPr="00910561">
              <w:rPr>
                <w:i/>
                <w:iCs/>
              </w:rPr>
              <w:t>hemostasis</w:t>
            </w:r>
            <w:proofErr w:type="spellEnd"/>
            <w:r w:rsidR="001B086B" w:rsidRPr="00910561">
              <w:rPr>
                <w:i/>
                <w:iCs/>
              </w:rPr>
              <w:t>, and for suture support in vascular surgery, where standard techniques are insufficient.</w:t>
            </w:r>
          </w:p>
          <w:p w14:paraId="2F0A5999" w14:textId="4A91F25F" w:rsidR="001B086B" w:rsidRDefault="00910561" w:rsidP="00910561">
            <w:pPr>
              <w:ind w:left="0"/>
            </w:pPr>
            <w:proofErr w:type="spellStart"/>
            <w:r w:rsidRPr="00910561">
              <w:rPr>
                <w:i/>
                <w:iCs/>
              </w:rPr>
              <w:lastRenderedPageBreak/>
              <w:t>VistaSeal</w:t>
            </w:r>
            <w:proofErr w:type="spellEnd"/>
            <w:r w:rsidRPr="00910561">
              <w:rPr>
                <w:i/>
                <w:iCs/>
              </w:rPr>
              <w:t xml:space="preserve"> </w:t>
            </w:r>
            <w:r w:rsidR="001B086B" w:rsidRPr="00910561">
              <w:rPr>
                <w:i/>
                <w:iCs/>
              </w:rPr>
              <w:t xml:space="preserve">is effective in </w:t>
            </w:r>
            <w:proofErr w:type="spellStart"/>
            <w:r w:rsidR="001B086B" w:rsidRPr="00910561">
              <w:rPr>
                <w:i/>
                <w:iCs/>
              </w:rPr>
              <w:t>heparinized</w:t>
            </w:r>
            <w:proofErr w:type="spellEnd"/>
            <w:r w:rsidR="001B086B" w:rsidRPr="00910561">
              <w:rPr>
                <w:i/>
                <w:iCs/>
              </w:rPr>
              <w:t xml:space="preserve"> patients.</w:t>
            </w:r>
          </w:p>
        </w:tc>
      </w:tr>
      <w:tr w:rsidR="009D5749" w14:paraId="6B1B621E" w14:textId="77777777" w:rsidTr="00EF1311">
        <w:tc>
          <w:tcPr>
            <w:tcW w:w="1525" w:type="dxa"/>
          </w:tcPr>
          <w:p w14:paraId="5E9A0907" w14:textId="1C71C2EC" w:rsidR="001B086B" w:rsidRPr="001B086B" w:rsidRDefault="00910561" w:rsidP="00910561">
            <w:pPr>
              <w:ind w:left="0"/>
            </w:pPr>
            <w:r w:rsidRPr="00910561">
              <w:lastRenderedPageBreak/>
              <w:t>Singapore</w:t>
            </w:r>
          </w:p>
        </w:tc>
        <w:tc>
          <w:tcPr>
            <w:tcW w:w="2070" w:type="dxa"/>
          </w:tcPr>
          <w:p w14:paraId="56593652" w14:textId="22EBF381" w:rsidR="001B086B" w:rsidRPr="001B086B" w:rsidRDefault="00910561" w:rsidP="00910561">
            <w:pPr>
              <w:ind w:left="0"/>
            </w:pPr>
            <w:r w:rsidRPr="00910561">
              <w:t>20</w:t>
            </w:r>
            <w:r>
              <w:t xml:space="preserve"> July </w:t>
            </w:r>
            <w:r w:rsidRPr="00910561">
              <w:t>2020</w:t>
            </w:r>
          </w:p>
        </w:tc>
        <w:tc>
          <w:tcPr>
            <w:tcW w:w="2070" w:type="dxa"/>
          </w:tcPr>
          <w:p w14:paraId="3785CD65" w14:textId="6B28579F" w:rsidR="001B086B" w:rsidRPr="001B086B" w:rsidRDefault="00910561" w:rsidP="00910561">
            <w:pPr>
              <w:ind w:left="0"/>
            </w:pPr>
            <w:r w:rsidRPr="00006FAB">
              <w:t xml:space="preserve">Approved on </w:t>
            </w:r>
            <w:r w:rsidRPr="00910561">
              <w:t>1</w:t>
            </w:r>
            <w:r w:rsidR="00284CE0">
              <w:t> </w:t>
            </w:r>
            <w:r>
              <w:t xml:space="preserve">April </w:t>
            </w:r>
            <w:r w:rsidRPr="00910561">
              <w:t>2021</w:t>
            </w:r>
          </w:p>
        </w:tc>
        <w:tc>
          <w:tcPr>
            <w:tcW w:w="3150" w:type="dxa"/>
          </w:tcPr>
          <w:p w14:paraId="1CDAB799" w14:textId="77777777" w:rsidR="00910561" w:rsidRPr="00910561" w:rsidRDefault="00910561" w:rsidP="00910561">
            <w:pPr>
              <w:ind w:left="0"/>
              <w:rPr>
                <w:i/>
                <w:iCs/>
              </w:rPr>
            </w:pPr>
            <w:proofErr w:type="spellStart"/>
            <w:r w:rsidRPr="00910561">
              <w:rPr>
                <w:i/>
                <w:iCs/>
              </w:rPr>
              <w:t>VeraSeal</w:t>
            </w:r>
            <w:proofErr w:type="spellEnd"/>
            <w:r w:rsidRPr="00910561">
              <w:rPr>
                <w:i/>
                <w:iCs/>
              </w:rPr>
              <w:t xml:space="preserve"> is indicated as supportive treatment in adults where standard surgical techniques are insufficient:</w:t>
            </w:r>
          </w:p>
          <w:p w14:paraId="0DC23623" w14:textId="44C0C37E" w:rsidR="00910561" w:rsidRPr="00910561" w:rsidRDefault="00910561" w:rsidP="00910561">
            <w:pPr>
              <w:pStyle w:val="ListBullet"/>
              <w:rPr>
                <w:i/>
                <w:iCs/>
              </w:rPr>
            </w:pPr>
            <w:r w:rsidRPr="00910561">
              <w:rPr>
                <w:i/>
                <w:iCs/>
              </w:rPr>
              <w:t>for improvement of haemostasis.</w:t>
            </w:r>
          </w:p>
          <w:p w14:paraId="23255ADC" w14:textId="7607C852" w:rsidR="001B086B" w:rsidRDefault="00910561" w:rsidP="00910561">
            <w:pPr>
              <w:pStyle w:val="ListBullet"/>
            </w:pPr>
            <w:r w:rsidRPr="00910561">
              <w:rPr>
                <w:i/>
                <w:iCs/>
              </w:rPr>
              <w:t>as suture support: in vascular surgery.</w:t>
            </w:r>
          </w:p>
        </w:tc>
      </w:tr>
      <w:tr w:rsidR="009D5749" w14:paraId="52AEF05E" w14:textId="77777777" w:rsidTr="00EF1311">
        <w:tc>
          <w:tcPr>
            <w:tcW w:w="1525" w:type="dxa"/>
          </w:tcPr>
          <w:p w14:paraId="7752A598" w14:textId="307D929F" w:rsidR="00910561" w:rsidRPr="00910561" w:rsidRDefault="00910561" w:rsidP="00910561">
            <w:pPr>
              <w:ind w:left="0"/>
            </w:pPr>
            <w:r w:rsidRPr="00910561">
              <w:t>Switzerland</w:t>
            </w:r>
          </w:p>
        </w:tc>
        <w:tc>
          <w:tcPr>
            <w:tcW w:w="2070" w:type="dxa"/>
          </w:tcPr>
          <w:p w14:paraId="38A7B50D" w14:textId="01268439" w:rsidR="00910561" w:rsidRPr="00910561" w:rsidRDefault="00910561" w:rsidP="00910561">
            <w:pPr>
              <w:ind w:left="0"/>
            </w:pPr>
            <w:r w:rsidRPr="00910561">
              <w:t>1</w:t>
            </w:r>
            <w:r>
              <w:t xml:space="preserve"> May </w:t>
            </w:r>
            <w:r w:rsidRPr="00910561">
              <w:t>2020</w:t>
            </w:r>
          </w:p>
        </w:tc>
        <w:tc>
          <w:tcPr>
            <w:tcW w:w="2070" w:type="dxa"/>
          </w:tcPr>
          <w:p w14:paraId="14D97EE1" w14:textId="43250B34" w:rsidR="00910561" w:rsidRPr="00910561" w:rsidRDefault="00910561" w:rsidP="00910561">
            <w:pPr>
              <w:ind w:left="0"/>
            </w:pPr>
            <w:r w:rsidRPr="00006FAB">
              <w:t xml:space="preserve">Approved on </w:t>
            </w:r>
            <w:r w:rsidRPr="00910561">
              <w:t>20</w:t>
            </w:r>
            <w:r>
              <w:t xml:space="preserve"> May </w:t>
            </w:r>
            <w:r w:rsidRPr="00910561">
              <w:t>2021</w:t>
            </w:r>
          </w:p>
        </w:tc>
        <w:tc>
          <w:tcPr>
            <w:tcW w:w="3150" w:type="dxa"/>
          </w:tcPr>
          <w:p w14:paraId="74062AB7" w14:textId="77777777" w:rsidR="00910561" w:rsidRPr="00910561" w:rsidRDefault="00910561" w:rsidP="00910561">
            <w:pPr>
              <w:ind w:left="0"/>
              <w:rPr>
                <w:i/>
                <w:iCs/>
              </w:rPr>
            </w:pPr>
            <w:proofErr w:type="spellStart"/>
            <w:r w:rsidRPr="00910561">
              <w:rPr>
                <w:i/>
                <w:iCs/>
              </w:rPr>
              <w:t>VeraSeal</w:t>
            </w:r>
            <w:proofErr w:type="spellEnd"/>
            <w:r w:rsidRPr="00910561">
              <w:rPr>
                <w:i/>
                <w:iCs/>
              </w:rPr>
              <w:t xml:space="preserve"> is used as supportive treatment in adults where standard surgical techniques are insufficient, for improvement of haemostasis. In addition, </w:t>
            </w:r>
            <w:proofErr w:type="spellStart"/>
            <w:r w:rsidRPr="00910561">
              <w:rPr>
                <w:i/>
                <w:iCs/>
              </w:rPr>
              <w:t>VeraSeal</w:t>
            </w:r>
            <w:proofErr w:type="spellEnd"/>
            <w:r w:rsidRPr="00910561">
              <w:rPr>
                <w:i/>
                <w:iCs/>
              </w:rPr>
              <w:t xml:space="preserve"> is indicated as suture support in vascular surgery.</w:t>
            </w:r>
          </w:p>
          <w:p w14:paraId="76E53854" w14:textId="2BA19ECD" w:rsidR="00910561" w:rsidRPr="00910561" w:rsidRDefault="00910561" w:rsidP="00910561">
            <w:pPr>
              <w:ind w:left="0"/>
              <w:rPr>
                <w:i/>
                <w:iCs/>
              </w:rPr>
            </w:pPr>
            <w:proofErr w:type="spellStart"/>
            <w:r w:rsidRPr="00910561">
              <w:rPr>
                <w:i/>
                <w:iCs/>
              </w:rPr>
              <w:t>VeraSeal</w:t>
            </w:r>
            <w:proofErr w:type="spellEnd"/>
            <w:r w:rsidRPr="00910561">
              <w:rPr>
                <w:i/>
                <w:iCs/>
              </w:rPr>
              <w:t xml:space="preserve"> is effective in </w:t>
            </w:r>
            <w:proofErr w:type="spellStart"/>
            <w:r w:rsidRPr="00910561">
              <w:rPr>
                <w:i/>
                <w:iCs/>
              </w:rPr>
              <w:t>heparinized</w:t>
            </w:r>
            <w:proofErr w:type="spellEnd"/>
            <w:r w:rsidRPr="00910561">
              <w:rPr>
                <w:i/>
                <w:iCs/>
              </w:rPr>
              <w:t xml:space="preserve"> patients.</w:t>
            </w:r>
          </w:p>
        </w:tc>
      </w:tr>
      <w:tr w:rsidR="009D5749" w14:paraId="3B686CA8" w14:textId="77777777" w:rsidTr="00EF1311">
        <w:tc>
          <w:tcPr>
            <w:tcW w:w="1525" w:type="dxa"/>
          </w:tcPr>
          <w:p w14:paraId="275F19AA" w14:textId="39B63036" w:rsidR="00910561" w:rsidRPr="00910561" w:rsidRDefault="00910561" w:rsidP="00910561">
            <w:pPr>
              <w:ind w:left="0"/>
            </w:pPr>
            <w:r w:rsidRPr="00910561">
              <w:t>Brazil</w:t>
            </w:r>
          </w:p>
        </w:tc>
        <w:tc>
          <w:tcPr>
            <w:tcW w:w="2070" w:type="dxa"/>
          </w:tcPr>
          <w:p w14:paraId="06685618" w14:textId="2F7F6DCE" w:rsidR="00910561" w:rsidRPr="00910561" w:rsidRDefault="00910561" w:rsidP="00910561">
            <w:pPr>
              <w:ind w:left="0"/>
            </w:pPr>
            <w:r w:rsidRPr="00910561">
              <w:t>5</w:t>
            </w:r>
            <w:r>
              <w:t xml:space="preserve"> August </w:t>
            </w:r>
            <w:r w:rsidRPr="00910561">
              <w:t>2020</w:t>
            </w:r>
          </w:p>
        </w:tc>
        <w:tc>
          <w:tcPr>
            <w:tcW w:w="2070" w:type="dxa"/>
          </w:tcPr>
          <w:p w14:paraId="6BBB8732" w14:textId="759E3AAC" w:rsidR="00910561" w:rsidRPr="00910561" w:rsidRDefault="00910561" w:rsidP="00910561">
            <w:pPr>
              <w:ind w:left="0"/>
            </w:pPr>
            <w:r>
              <w:t>Under consideration</w:t>
            </w:r>
          </w:p>
        </w:tc>
        <w:tc>
          <w:tcPr>
            <w:tcW w:w="3150" w:type="dxa"/>
          </w:tcPr>
          <w:p w14:paraId="143E7703" w14:textId="2A63C19D" w:rsidR="00910561" w:rsidRDefault="00910561" w:rsidP="00910561">
            <w:pPr>
              <w:ind w:left="0"/>
            </w:pPr>
            <w:r>
              <w:t>Under consideration</w:t>
            </w:r>
          </w:p>
        </w:tc>
      </w:tr>
      <w:tr w:rsidR="009D5749" w14:paraId="6191CE93" w14:textId="77777777" w:rsidTr="00EF1311">
        <w:tc>
          <w:tcPr>
            <w:tcW w:w="1525" w:type="dxa"/>
          </w:tcPr>
          <w:p w14:paraId="328ABB5D" w14:textId="3451F2B8" w:rsidR="00910561" w:rsidRPr="00910561" w:rsidRDefault="00910561" w:rsidP="00910561">
            <w:pPr>
              <w:ind w:left="0"/>
            </w:pPr>
            <w:r w:rsidRPr="00910561">
              <w:t>Israel</w:t>
            </w:r>
          </w:p>
        </w:tc>
        <w:tc>
          <w:tcPr>
            <w:tcW w:w="2070" w:type="dxa"/>
          </w:tcPr>
          <w:p w14:paraId="0F42A9CB" w14:textId="29CA8125" w:rsidR="00910561" w:rsidRPr="00910561" w:rsidRDefault="00910561" w:rsidP="00910561">
            <w:pPr>
              <w:ind w:left="0"/>
            </w:pPr>
            <w:r w:rsidRPr="00910561">
              <w:t>4</w:t>
            </w:r>
            <w:r>
              <w:t xml:space="preserve"> January </w:t>
            </w:r>
            <w:r w:rsidRPr="00910561">
              <w:t>2021</w:t>
            </w:r>
          </w:p>
        </w:tc>
        <w:tc>
          <w:tcPr>
            <w:tcW w:w="2070" w:type="dxa"/>
          </w:tcPr>
          <w:p w14:paraId="0B787D68" w14:textId="1C836478" w:rsidR="00910561" w:rsidRDefault="00910561" w:rsidP="00910561">
            <w:pPr>
              <w:ind w:left="0"/>
            </w:pPr>
            <w:r>
              <w:t>Under consideration</w:t>
            </w:r>
          </w:p>
        </w:tc>
        <w:tc>
          <w:tcPr>
            <w:tcW w:w="3150" w:type="dxa"/>
          </w:tcPr>
          <w:p w14:paraId="286FBC26" w14:textId="77B20DC8" w:rsidR="00910561" w:rsidRDefault="00910561" w:rsidP="00910561">
            <w:pPr>
              <w:ind w:left="0"/>
            </w:pPr>
            <w:r>
              <w:t>Under consideration</w:t>
            </w:r>
          </w:p>
        </w:tc>
      </w:tr>
    </w:tbl>
    <w:p w14:paraId="0CCC9B4F" w14:textId="77777777" w:rsidR="008E7846" w:rsidRDefault="008E7846" w:rsidP="00940A89">
      <w:pPr>
        <w:pStyle w:val="Heading3"/>
      </w:pPr>
      <w:bookmarkStart w:id="25" w:name="_Toc106113650"/>
      <w:r>
        <w:t>Product Information</w:t>
      </w:r>
      <w:bookmarkEnd w:id="23"/>
      <w:bookmarkEnd w:id="24"/>
      <w:bookmarkEnd w:id="25"/>
    </w:p>
    <w:p w14:paraId="206ED62E" w14:textId="7E11DD3B" w:rsidR="00940A89" w:rsidRDefault="006136D7" w:rsidP="00940A89">
      <w:bookmarkStart w:id="26" w:name="_Toc247691506"/>
      <w:bookmarkStart w:id="27" w:name="_Toc314842487"/>
      <w:r w:rsidRPr="00940A89">
        <w:t xml:space="preserve">The </w:t>
      </w:r>
      <w:r w:rsidRPr="003D241C">
        <w:t>Product Information (PI)</w:t>
      </w:r>
      <w:r w:rsidRPr="00940A89">
        <w:t xml:space="preserve">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940A89" w:rsidRPr="00940A89">
        <w:t>.</w:t>
      </w:r>
    </w:p>
    <w:p w14:paraId="51C5BE94" w14:textId="77777777" w:rsidR="00500337" w:rsidRDefault="00500337" w:rsidP="00500337">
      <w:pPr>
        <w:pStyle w:val="Heading2"/>
      </w:pPr>
      <w:bookmarkStart w:id="28" w:name="_Toc504480011"/>
      <w:bookmarkStart w:id="29" w:name="_Toc106113651"/>
      <w:r>
        <w:t>II. Registration timeline</w:t>
      </w:r>
      <w:bookmarkEnd w:id="28"/>
      <w:bookmarkEnd w:id="29"/>
    </w:p>
    <w:p w14:paraId="2A2D195F" w14:textId="77777777" w:rsidR="00500337" w:rsidRDefault="00500337" w:rsidP="00500337">
      <w:r>
        <w:t xml:space="preserve">The following table captures the key steps and dates for this </w:t>
      </w:r>
      <w:proofErr w:type="gramStart"/>
      <w:r>
        <w:t>application</w:t>
      </w:r>
      <w:proofErr w:type="gramEnd"/>
      <w:r>
        <w:t xml:space="preserve"> and which are detailed and discussed in this AusPAR.</w:t>
      </w:r>
    </w:p>
    <w:p w14:paraId="5C3DC776" w14:textId="0771FF7C" w:rsidR="00500337" w:rsidRPr="00B64840" w:rsidRDefault="002E563E">
      <w:pPr>
        <w:pStyle w:val="TableTitle"/>
      </w:pPr>
      <w:r w:rsidRPr="00B64840">
        <w:lastRenderedPageBreak/>
        <w:t xml:space="preserve">Table </w:t>
      </w:r>
      <w:r w:rsidR="006379F5">
        <w:rPr>
          <w:noProof/>
        </w:rPr>
        <w:fldChar w:fldCharType="begin"/>
      </w:r>
      <w:r w:rsidR="006379F5">
        <w:rPr>
          <w:noProof/>
        </w:rPr>
        <w:instrText xml:space="preserve"> SEQ Table \* ARABIC </w:instrText>
      </w:r>
      <w:r w:rsidR="006379F5">
        <w:rPr>
          <w:noProof/>
        </w:rPr>
        <w:fldChar w:fldCharType="separate"/>
      </w:r>
      <w:r w:rsidR="00C61BB9">
        <w:rPr>
          <w:noProof/>
        </w:rPr>
        <w:t>2</w:t>
      </w:r>
      <w:r w:rsidR="006379F5">
        <w:rPr>
          <w:noProof/>
        </w:rPr>
        <w:fldChar w:fldCharType="end"/>
      </w:r>
      <w:r w:rsidR="00006FAB" w:rsidRPr="00B64840">
        <w:t>:</w:t>
      </w:r>
      <w:r w:rsidR="006A58A8" w:rsidRPr="00B64840">
        <w:t xml:space="preserve"> Timeline for Submission </w:t>
      </w:r>
      <w:r w:rsidR="00A86397" w:rsidRPr="00B64840">
        <w:t>PM-2020-01828-1-6</w:t>
      </w:r>
    </w:p>
    <w:tbl>
      <w:tblPr>
        <w:tblStyle w:val="TableTGAblue"/>
        <w:tblW w:w="0" w:type="auto"/>
        <w:tblLook w:val="04A0" w:firstRow="1" w:lastRow="0" w:firstColumn="1" w:lastColumn="0" w:noHBand="0" w:noVBand="1"/>
      </w:tblPr>
      <w:tblGrid>
        <w:gridCol w:w="4263"/>
        <w:gridCol w:w="4231"/>
      </w:tblGrid>
      <w:tr w:rsidR="00500337" w14:paraId="768824A1" w14:textId="77777777" w:rsidTr="00A86397">
        <w:trPr>
          <w:cnfStyle w:val="100000000000" w:firstRow="1" w:lastRow="0" w:firstColumn="0" w:lastColumn="0" w:oddVBand="0" w:evenVBand="0" w:oddHBand="0" w:evenHBand="0" w:firstRowFirstColumn="0" w:firstRowLastColumn="0" w:lastRowFirstColumn="0" w:lastRowLastColumn="0"/>
          <w:cantSplit/>
        </w:trPr>
        <w:tc>
          <w:tcPr>
            <w:tcW w:w="4263" w:type="dxa"/>
            <w:tcBorders>
              <w:top w:val="single" w:sz="4" w:space="0" w:color="auto"/>
              <w:left w:val="single" w:sz="4" w:space="0" w:color="auto"/>
              <w:bottom w:val="single" w:sz="4" w:space="0" w:color="auto"/>
              <w:right w:val="single" w:sz="4" w:space="0" w:color="auto"/>
            </w:tcBorders>
          </w:tcPr>
          <w:p w14:paraId="4919DC2C" w14:textId="77777777" w:rsidR="00500337" w:rsidRDefault="00500337">
            <w:pPr>
              <w:ind w:left="0" w:right="0"/>
            </w:pPr>
            <w:r>
              <w:t>Description</w:t>
            </w:r>
          </w:p>
        </w:tc>
        <w:tc>
          <w:tcPr>
            <w:tcW w:w="4231" w:type="dxa"/>
            <w:tcBorders>
              <w:top w:val="single" w:sz="4" w:space="0" w:color="auto"/>
              <w:left w:val="single" w:sz="4" w:space="0" w:color="auto"/>
              <w:bottom w:val="single" w:sz="4" w:space="0" w:color="auto"/>
              <w:right w:val="single" w:sz="4" w:space="0" w:color="auto"/>
            </w:tcBorders>
          </w:tcPr>
          <w:p w14:paraId="002069D1" w14:textId="77777777" w:rsidR="00500337" w:rsidRDefault="00500337">
            <w:pPr>
              <w:ind w:left="0" w:right="0"/>
            </w:pPr>
            <w:r>
              <w:t>Date</w:t>
            </w:r>
          </w:p>
        </w:tc>
      </w:tr>
      <w:tr w:rsidR="00A86397" w14:paraId="53122F0A" w14:textId="77777777" w:rsidTr="00A86397">
        <w:tc>
          <w:tcPr>
            <w:tcW w:w="4263" w:type="dxa"/>
            <w:tcBorders>
              <w:top w:val="single" w:sz="4" w:space="0" w:color="auto"/>
            </w:tcBorders>
          </w:tcPr>
          <w:p w14:paraId="5FF22D0C" w14:textId="77777777" w:rsidR="00A86397" w:rsidRDefault="00A86397" w:rsidP="00EF1311">
            <w:pPr>
              <w:keepNext/>
              <w:ind w:left="0" w:right="0"/>
            </w:pPr>
            <w:r>
              <w:t>Submission dossier accepted and first round evaluation commenced</w:t>
            </w:r>
          </w:p>
        </w:tc>
        <w:tc>
          <w:tcPr>
            <w:tcW w:w="4231" w:type="dxa"/>
            <w:tcBorders>
              <w:top w:val="single" w:sz="4" w:space="0" w:color="auto"/>
            </w:tcBorders>
          </w:tcPr>
          <w:p w14:paraId="68B7179F" w14:textId="2C593792" w:rsidR="00A86397" w:rsidRDefault="00A86397" w:rsidP="00EF1311">
            <w:pPr>
              <w:keepNext/>
              <w:ind w:left="0" w:right="0"/>
            </w:pPr>
            <w:r w:rsidRPr="00D912D1">
              <w:t>2 June 2020</w:t>
            </w:r>
          </w:p>
        </w:tc>
      </w:tr>
      <w:tr w:rsidR="00A86397" w14:paraId="771A6EC6" w14:textId="77777777" w:rsidTr="00A86397">
        <w:tc>
          <w:tcPr>
            <w:tcW w:w="4263" w:type="dxa"/>
          </w:tcPr>
          <w:p w14:paraId="7BA36B45" w14:textId="77777777" w:rsidR="00A86397" w:rsidRDefault="00A86397" w:rsidP="00EF1311">
            <w:pPr>
              <w:keepNext/>
              <w:ind w:left="0" w:right="0"/>
            </w:pPr>
            <w:r>
              <w:t>First round evaluation completed</w:t>
            </w:r>
          </w:p>
        </w:tc>
        <w:tc>
          <w:tcPr>
            <w:tcW w:w="4231" w:type="dxa"/>
          </w:tcPr>
          <w:p w14:paraId="475731B3" w14:textId="75B5A7A4" w:rsidR="00A86397" w:rsidRDefault="00A86397" w:rsidP="00EF1311">
            <w:pPr>
              <w:keepNext/>
              <w:ind w:left="0" w:right="0"/>
            </w:pPr>
            <w:r w:rsidRPr="00D912D1">
              <w:t>27 November 2020</w:t>
            </w:r>
          </w:p>
        </w:tc>
      </w:tr>
      <w:tr w:rsidR="00A86397" w14:paraId="4AC86EAB" w14:textId="77777777" w:rsidTr="00A86397">
        <w:tc>
          <w:tcPr>
            <w:tcW w:w="4263" w:type="dxa"/>
          </w:tcPr>
          <w:p w14:paraId="4C189E76" w14:textId="77777777" w:rsidR="00A86397" w:rsidRDefault="00A86397" w:rsidP="00A86397">
            <w:pPr>
              <w:ind w:left="0" w:right="0"/>
            </w:pPr>
            <w:r>
              <w:t>Sponsor provides responses on questions raised in first round evaluation</w:t>
            </w:r>
          </w:p>
        </w:tc>
        <w:tc>
          <w:tcPr>
            <w:tcW w:w="4231" w:type="dxa"/>
          </w:tcPr>
          <w:p w14:paraId="6783EA82" w14:textId="54ED22FB" w:rsidR="00A86397" w:rsidRDefault="00A86397" w:rsidP="00A86397">
            <w:pPr>
              <w:ind w:left="0" w:right="0"/>
            </w:pPr>
            <w:r>
              <w:t>9 February 2021</w:t>
            </w:r>
          </w:p>
        </w:tc>
      </w:tr>
      <w:tr w:rsidR="00A86397" w14:paraId="6E05E6CD" w14:textId="77777777" w:rsidTr="00A86397">
        <w:tc>
          <w:tcPr>
            <w:tcW w:w="4263" w:type="dxa"/>
          </w:tcPr>
          <w:p w14:paraId="064A701D" w14:textId="77777777" w:rsidR="00A86397" w:rsidRDefault="00A86397" w:rsidP="00A86397">
            <w:pPr>
              <w:ind w:left="0" w:right="0"/>
            </w:pPr>
            <w:r>
              <w:t>Second round evaluation completed</w:t>
            </w:r>
          </w:p>
        </w:tc>
        <w:tc>
          <w:tcPr>
            <w:tcW w:w="4231" w:type="dxa"/>
          </w:tcPr>
          <w:p w14:paraId="70BBC1C7" w14:textId="2863E04F" w:rsidR="00A86397" w:rsidRDefault="00A86397" w:rsidP="00A86397">
            <w:pPr>
              <w:ind w:left="0" w:right="0"/>
            </w:pPr>
            <w:r w:rsidRPr="00D912D1">
              <w:t>26 March 2021</w:t>
            </w:r>
          </w:p>
        </w:tc>
      </w:tr>
      <w:tr w:rsidR="00A86397" w14:paraId="68C81365" w14:textId="77777777" w:rsidTr="00A86397">
        <w:tc>
          <w:tcPr>
            <w:tcW w:w="4263" w:type="dxa"/>
          </w:tcPr>
          <w:p w14:paraId="73743BE2" w14:textId="4AB2B9FB" w:rsidR="00A86397" w:rsidRDefault="00A86397" w:rsidP="00A86397">
            <w:pPr>
              <w:ind w:left="0" w:right="0"/>
            </w:pPr>
            <w:r>
              <w:t>Dele</w:t>
            </w:r>
            <w:r w:rsidRPr="00A86397">
              <w:t>gate’s Overall benefit-risk assessment and request for Advisory Committee advice</w:t>
            </w:r>
          </w:p>
        </w:tc>
        <w:tc>
          <w:tcPr>
            <w:tcW w:w="4231" w:type="dxa"/>
          </w:tcPr>
          <w:p w14:paraId="4D2A3F38" w14:textId="1AA10A79" w:rsidR="00A86397" w:rsidRDefault="00A86397" w:rsidP="00A86397">
            <w:pPr>
              <w:ind w:left="0" w:right="0"/>
            </w:pPr>
            <w:r w:rsidRPr="00D912D1">
              <w:t>23 July 2021</w:t>
            </w:r>
          </w:p>
        </w:tc>
      </w:tr>
      <w:tr w:rsidR="00A86397" w14:paraId="6AE5F435" w14:textId="77777777" w:rsidTr="00A86397">
        <w:tc>
          <w:tcPr>
            <w:tcW w:w="4263" w:type="dxa"/>
          </w:tcPr>
          <w:p w14:paraId="5E9CF18A" w14:textId="77777777" w:rsidR="00A86397" w:rsidRDefault="00A86397" w:rsidP="00A86397">
            <w:pPr>
              <w:ind w:left="0" w:right="0"/>
            </w:pPr>
            <w:r>
              <w:t>Sponsor’s pre-Advisory Committee response</w:t>
            </w:r>
          </w:p>
        </w:tc>
        <w:tc>
          <w:tcPr>
            <w:tcW w:w="4231" w:type="dxa"/>
          </w:tcPr>
          <w:p w14:paraId="45EB31E5" w14:textId="2F1B7A48" w:rsidR="00A86397" w:rsidRDefault="00A86397" w:rsidP="00A86397">
            <w:pPr>
              <w:ind w:left="0" w:right="0"/>
            </w:pPr>
            <w:r w:rsidRPr="00D912D1">
              <w:t>10 September 2021</w:t>
            </w:r>
          </w:p>
        </w:tc>
      </w:tr>
      <w:tr w:rsidR="00A86397" w14:paraId="3CD83949" w14:textId="77777777" w:rsidTr="00A86397">
        <w:tc>
          <w:tcPr>
            <w:tcW w:w="4263" w:type="dxa"/>
          </w:tcPr>
          <w:p w14:paraId="12D6832D" w14:textId="77777777" w:rsidR="00A86397" w:rsidRDefault="00A86397" w:rsidP="00A86397">
            <w:pPr>
              <w:ind w:left="0" w:right="0"/>
            </w:pPr>
            <w:r>
              <w:t>Advisory Committee meeting</w:t>
            </w:r>
          </w:p>
        </w:tc>
        <w:tc>
          <w:tcPr>
            <w:tcW w:w="4231" w:type="dxa"/>
          </w:tcPr>
          <w:p w14:paraId="4A731ACE" w14:textId="4C2EEA15" w:rsidR="00A86397" w:rsidRDefault="00A86397" w:rsidP="00A86397">
            <w:pPr>
              <w:ind w:left="0" w:right="0"/>
            </w:pPr>
            <w:r w:rsidRPr="00D912D1">
              <w:t>30 September and 1 October 2021</w:t>
            </w:r>
          </w:p>
        </w:tc>
      </w:tr>
      <w:tr w:rsidR="00A86397" w14:paraId="33755085" w14:textId="77777777" w:rsidTr="00A86397">
        <w:tc>
          <w:tcPr>
            <w:tcW w:w="4263" w:type="dxa"/>
          </w:tcPr>
          <w:p w14:paraId="4E1A874D" w14:textId="77777777" w:rsidR="00A86397" w:rsidRDefault="00A86397" w:rsidP="00A86397">
            <w:pPr>
              <w:ind w:left="0" w:right="0"/>
            </w:pPr>
            <w:r>
              <w:t>Registration decision (Outcome)</w:t>
            </w:r>
          </w:p>
        </w:tc>
        <w:tc>
          <w:tcPr>
            <w:tcW w:w="4231" w:type="dxa"/>
          </w:tcPr>
          <w:p w14:paraId="6AC57062" w14:textId="3ED6FDDF" w:rsidR="00A86397" w:rsidRDefault="00A86397" w:rsidP="00A86397">
            <w:pPr>
              <w:ind w:left="0" w:right="0"/>
            </w:pPr>
            <w:r w:rsidRPr="00D912D1">
              <w:t>29 October 2021</w:t>
            </w:r>
          </w:p>
        </w:tc>
      </w:tr>
      <w:tr w:rsidR="00A86397" w14:paraId="76918B26" w14:textId="77777777" w:rsidTr="00A86397">
        <w:tc>
          <w:tcPr>
            <w:tcW w:w="4263" w:type="dxa"/>
          </w:tcPr>
          <w:p w14:paraId="369ECDF7" w14:textId="77777777" w:rsidR="00A86397" w:rsidRDefault="00A86397" w:rsidP="00A86397">
            <w:pPr>
              <w:ind w:left="0" w:right="0"/>
            </w:pPr>
            <w:r>
              <w:t>Completion of administrative activities and registration on the ARTG</w:t>
            </w:r>
          </w:p>
        </w:tc>
        <w:tc>
          <w:tcPr>
            <w:tcW w:w="4231" w:type="dxa"/>
          </w:tcPr>
          <w:p w14:paraId="055059CC" w14:textId="58D63079" w:rsidR="00A86397" w:rsidRDefault="00A86397" w:rsidP="00A86397">
            <w:pPr>
              <w:ind w:left="0" w:right="0"/>
            </w:pPr>
            <w:r>
              <w:t>2 and 3</w:t>
            </w:r>
            <w:r w:rsidRPr="00D912D1">
              <w:t xml:space="preserve"> November 2021</w:t>
            </w:r>
          </w:p>
        </w:tc>
      </w:tr>
      <w:tr w:rsidR="00A86397" w14:paraId="3203E6C3" w14:textId="77777777" w:rsidTr="00A86397">
        <w:tc>
          <w:tcPr>
            <w:tcW w:w="4263" w:type="dxa"/>
          </w:tcPr>
          <w:p w14:paraId="489418CE" w14:textId="77777777" w:rsidR="00A86397" w:rsidRDefault="00A86397" w:rsidP="00A86397">
            <w:pPr>
              <w:ind w:left="0" w:right="0"/>
            </w:pPr>
            <w:r>
              <w:t>Number of working days from submission dossier acceptance to registration decision*</w:t>
            </w:r>
          </w:p>
        </w:tc>
        <w:tc>
          <w:tcPr>
            <w:tcW w:w="4231" w:type="dxa"/>
          </w:tcPr>
          <w:p w14:paraId="7488752B" w14:textId="2C0E7158" w:rsidR="00A86397" w:rsidRDefault="00A86397" w:rsidP="00A86397">
            <w:pPr>
              <w:ind w:left="0" w:right="0"/>
            </w:pPr>
            <w:r w:rsidRPr="00D912D1">
              <w:t>251</w:t>
            </w:r>
          </w:p>
        </w:tc>
      </w:tr>
    </w:tbl>
    <w:p w14:paraId="5AB88F4B"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2047B289" w14:textId="77777777" w:rsidR="008E7846" w:rsidRPr="00792A32" w:rsidRDefault="00456765" w:rsidP="008E7846">
      <w:pPr>
        <w:pStyle w:val="Heading2"/>
      </w:pPr>
      <w:bookmarkStart w:id="30" w:name="_Toc196046504"/>
      <w:bookmarkStart w:id="31" w:name="_Toc247691527"/>
      <w:bookmarkStart w:id="32" w:name="_Toc314842510"/>
      <w:bookmarkStart w:id="33" w:name="_Toc106113652"/>
      <w:bookmarkStart w:id="34" w:name="_Toc163441390"/>
      <w:bookmarkEnd w:id="26"/>
      <w:bookmarkEnd w:id="27"/>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0"/>
      <w:bookmarkEnd w:id="31"/>
      <w:bookmarkEnd w:id="32"/>
      <w:bookmarkEnd w:id="33"/>
    </w:p>
    <w:p w14:paraId="79990490" w14:textId="77777777" w:rsidR="00006FAB" w:rsidRDefault="00006FAB" w:rsidP="00006FAB">
      <w:bookmarkStart w:id="35" w:name="_Toc247691528"/>
      <w:r>
        <w:t>The submission was summarised in the following Delegate’s overview and recommendations.</w:t>
      </w:r>
    </w:p>
    <w:p w14:paraId="0419F4A4" w14:textId="77777777" w:rsidR="00006FAB" w:rsidRDefault="00006FAB" w:rsidP="00006FAB">
      <w:r>
        <w:t>This section is a TGA summary of wording used in TGA’s evaluation report, which discussed numerous aspects of overseas evaluation reports and included some information that was commercial-in-confidence.</w:t>
      </w:r>
    </w:p>
    <w:p w14:paraId="2B825174" w14:textId="0D607954" w:rsidR="008E7846" w:rsidRDefault="008E7846" w:rsidP="008E7846">
      <w:pPr>
        <w:pStyle w:val="Heading3"/>
      </w:pPr>
      <w:bookmarkStart w:id="36" w:name="_Toc314842511"/>
      <w:bookmarkStart w:id="37" w:name="_Toc106113653"/>
      <w:r>
        <w:t>Quality</w:t>
      </w:r>
      <w:bookmarkEnd w:id="35"/>
      <w:bookmarkEnd w:id="36"/>
      <w:bookmarkEnd w:id="37"/>
    </w:p>
    <w:p w14:paraId="1A8DCCAC" w14:textId="06D072BE" w:rsidR="00834FAF" w:rsidRPr="009F7C8F" w:rsidRDefault="00834FAF" w:rsidP="009F7C8F">
      <w:r w:rsidRPr="009F7C8F">
        <w:t xml:space="preserve">The quality evaluator had no objections to the approval of </w:t>
      </w:r>
      <w:proofErr w:type="spellStart"/>
      <w:r w:rsidR="00284CE0">
        <w:t>VeraSeal</w:t>
      </w:r>
      <w:proofErr w:type="spellEnd"/>
      <w:r w:rsidRPr="009F7C8F">
        <w:t>, provided the proposed conditions of registration are agreed to by the sponsor. Notably, the sponsor was required to address numerous issues during the first two rounds of evaluation, and a third round was needed before these issues were resolved to the satisfaction of the quality evaluator.</w:t>
      </w:r>
    </w:p>
    <w:p w14:paraId="4CF1998E" w14:textId="138C51AE" w:rsidR="00834FAF" w:rsidRPr="009F7C8F" w:rsidRDefault="00834FAF" w:rsidP="009F7C8F">
      <w:pPr>
        <w:pStyle w:val="Heading4"/>
      </w:pPr>
      <w:r w:rsidRPr="009F7C8F">
        <w:lastRenderedPageBreak/>
        <w:t>Manufacturing</w:t>
      </w:r>
    </w:p>
    <w:p w14:paraId="6B9CC9D4" w14:textId="22CDCF3C" w:rsidR="00834FAF" w:rsidRPr="009F7C8F" w:rsidRDefault="00834FAF" w:rsidP="009F7C8F">
      <w:r w:rsidRPr="009F7C8F">
        <w:t xml:space="preserve">The manufacturing site for this product </w:t>
      </w:r>
      <w:proofErr w:type="gramStart"/>
      <w:r w:rsidRPr="009F7C8F">
        <w:t>is located in</w:t>
      </w:r>
      <w:proofErr w:type="gramEnd"/>
      <w:r w:rsidRPr="009F7C8F">
        <w:t xml:space="preserve"> Barcelona, Spain, and has </w:t>
      </w:r>
      <w:r w:rsidR="003D241C" w:rsidRPr="003D241C">
        <w:t>Good Manufacturing Practice (</w:t>
      </w:r>
      <w:r w:rsidRPr="003D241C">
        <w:t>GMP</w:t>
      </w:r>
      <w:r w:rsidR="003D241C" w:rsidRPr="003D241C">
        <w:t>)</w:t>
      </w:r>
      <w:r w:rsidR="00A01C3F">
        <w:rPr>
          <w:rStyle w:val="FootnoteReference"/>
        </w:rPr>
        <w:footnoteReference w:id="5"/>
      </w:r>
      <w:r w:rsidRPr="009F7C8F">
        <w:t xml:space="preserve"> clearance expiring on 31 December 2021. There were no outstanding issues regarding manufacturing.</w:t>
      </w:r>
    </w:p>
    <w:p w14:paraId="78F7C3C5" w14:textId="5A6298CA" w:rsidR="00834FAF" w:rsidRPr="009F7C8F" w:rsidRDefault="00834FAF" w:rsidP="009F7C8F">
      <w:pPr>
        <w:pStyle w:val="Heading4"/>
      </w:pPr>
      <w:r w:rsidRPr="009F7C8F">
        <w:t>Specifications</w:t>
      </w:r>
    </w:p>
    <w:p w14:paraId="2CD0F831" w14:textId="381ADEF3" w:rsidR="00834FAF" w:rsidRPr="002E563E" w:rsidRDefault="00834FAF" w:rsidP="002E563E">
      <w:r w:rsidRPr="009F7C8F">
        <w:t xml:space="preserve">The quality evaluator </w:t>
      </w:r>
      <w:r w:rsidR="005075EE">
        <w:t>has</w:t>
      </w:r>
      <w:r w:rsidRPr="002E563E">
        <w:t xml:space="preserve"> no outstanding issues pertaining to specifications.</w:t>
      </w:r>
    </w:p>
    <w:p w14:paraId="67CE4704" w14:textId="6B0C854C" w:rsidR="00834FAF" w:rsidRPr="009F7C8F" w:rsidRDefault="00834FAF" w:rsidP="009F7C8F">
      <w:pPr>
        <w:pStyle w:val="Heading4"/>
      </w:pPr>
      <w:r w:rsidRPr="009F7C8F">
        <w:t>Stability</w:t>
      </w:r>
    </w:p>
    <w:p w14:paraId="6F874EC6" w14:textId="5513A2C3" w:rsidR="00834FAF" w:rsidRPr="009F7C8F" w:rsidRDefault="00834FAF" w:rsidP="009F7C8F">
      <w:r w:rsidRPr="009F7C8F">
        <w:t xml:space="preserve">There were no issues pertaining to stability of </w:t>
      </w:r>
      <w:r w:rsidR="008022EE" w:rsidRPr="009F7C8F">
        <w:t>fibrinogen or thrombin drug substance and drug produc</w:t>
      </w:r>
      <w:r w:rsidRPr="009F7C8F">
        <w:t xml:space="preserve">t. Submitted data are supportive of the proposed shelf life of 2 years when stored at ≤ -18°C and protected from light, and proposed storage conditions of 48 hours at 2°C </w:t>
      </w:r>
      <w:r w:rsidR="008022EE">
        <w:t xml:space="preserve">to </w:t>
      </w:r>
      <w:r w:rsidRPr="009F7C8F">
        <w:t xml:space="preserve">8°C or 24 hours at room temperature (20°C </w:t>
      </w:r>
      <w:r w:rsidR="008022EE">
        <w:t>to</w:t>
      </w:r>
      <w:r w:rsidRPr="009F7C8F">
        <w:t xml:space="preserve"> 25°C) before use.</w:t>
      </w:r>
    </w:p>
    <w:p w14:paraId="34E5F878" w14:textId="61E8D7D4" w:rsidR="00834FAF" w:rsidRPr="009F7C8F" w:rsidRDefault="00834FAF" w:rsidP="009F7C8F">
      <w:pPr>
        <w:pStyle w:val="Heading4"/>
      </w:pPr>
      <w:r w:rsidRPr="009F7C8F">
        <w:t xml:space="preserve">Viral </w:t>
      </w:r>
      <w:r w:rsidR="008022EE" w:rsidRPr="009F7C8F">
        <w:t>safety</w:t>
      </w:r>
    </w:p>
    <w:p w14:paraId="7579D4DA" w14:textId="7ACFAB86" w:rsidR="00834FAF" w:rsidRPr="009F7C8F" w:rsidRDefault="00834FAF" w:rsidP="009F7C8F">
      <w:r w:rsidRPr="009F7C8F">
        <w:t xml:space="preserve">The viral safety evaluation was reassuring in its conclusion that sufficient evidence has been provided to demonstrate that the risks related to adventitious agents in the manufacturing of </w:t>
      </w:r>
      <w:proofErr w:type="spellStart"/>
      <w:r w:rsidRPr="009F7C8F">
        <w:t>VeraSeal</w:t>
      </w:r>
      <w:proofErr w:type="spellEnd"/>
      <w:r w:rsidRPr="009F7C8F">
        <w:t xml:space="preserve"> have been managed to an acceptable level.</w:t>
      </w:r>
    </w:p>
    <w:p w14:paraId="5DE7B76A" w14:textId="66F30864" w:rsidR="00834FAF" w:rsidRPr="009F7C8F" w:rsidRDefault="00834FAF" w:rsidP="009F7C8F">
      <w:r w:rsidRPr="009F7C8F">
        <w:t xml:space="preserve">Biological medicines derived from </w:t>
      </w:r>
      <w:r w:rsidRPr="003D241C">
        <w:t xml:space="preserve">plasma must be obtained from plasma which complies with the requirements of </w:t>
      </w:r>
      <w:r w:rsidR="00780D13" w:rsidRPr="003D241C">
        <w:t>‘</w:t>
      </w:r>
      <w:r w:rsidR="008022EE" w:rsidRPr="003D241C">
        <w:t>human plasma for fractionation</w:t>
      </w:r>
      <w:r w:rsidR="00780D13" w:rsidRPr="003D241C">
        <w:t>’</w:t>
      </w:r>
      <w:r w:rsidRPr="003D241C">
        <w:t>.</w:t>
      </w:r>
      <w:r w:rsidR="003D241C" w:rsidRPr="003D241C">
        <w:rPr>
          <w:rStyle w:val="FootnoteReference"/>
        </w:rPr>
        <w:footnoteReference w:id="6"/>
      </w:r>
      <w:r w:rsidRPr="003D241C">
        <w:t xml:space="preserve"> Compliance to </w:t>
      </w:r>
      <w:r w:rsidR="003D241C" w:rsidRPr="003D241C">
        <w:t xml:space="preserve">European Pharmacopoeia (Ph. Eur.) </w:t>
      </w:r>
      <w:r w:rsidRPr="003D241C">
        <w:t xml:space="preserve">0853 was demonstrated in the </w:t>
      </w:r>
      <w:r w:rsidR="00614949" w:rsidRPr="003D241C">
        <w:t xml:space="preserve">plasma master file </w:t>
      </w:r>
      <w:r w:rsidR="003D241C" w:rsidRPr="003D241C">
        <w:t>(PMF)</w:t>
      </w:r>
      <w:r w:rsidRPr="003D241C">
        <w:t xml:space="preserve"> for this product (Grifols Type I PMF), which was</w:t>
      </w:r>
      <w:r w:rsidRPr="009F7C8F">
        <w:t xml:space="preserve"> assessed separately and approved by the TGA on 5 </w:t>
      </w:r>
      <w:r w:rsidR="00282E33">
        <w:t xml:space="preserve">February </w:t>
      </w:r>
      <w:r w:rsidRPr="009F7C8F">
        <w:t>20</w:t>
      </w:r>
      <w:r w:rsidR="00282E33">
        <w:t>21</w:t>
      </w:r>
      <w:r w:rsidRPr="009F7C8F">
        <w:t>.</w:t>
      </w:r>
    </w:p>
    <w:p w14:paraId="1D74400A" w14:textId="0E709DED" w:rsidR="00834FAF" w:rsidRPr="009F7C8F" w:rsidRDefault="00834FAF" w:rsidP="009F7C8F">
      <w:r w:rsidRPr="00B64840">
        <w:t xml:space="preserve">The sponsor has provided the details of the donor deferral criteria used, which are equivalent to the requirements of </w:t>
      </w:r>
      <w:r w:rsidR="003D241C" w:rsidRPr="00B64840">
        <w:t>Therapeutic Goods Order Number 88 (</w:t>
      </w:r>
      <w:r w:rsidRPr="00B64840">
        <w:t>TGO 88</w:t>
      </w:r>
      <w:r w:rsidR="003D241C" w:rsidRPr="00B64840">
        <w:t>)</w:t>
      </w:r>
      <w:r w:rsidRPr="00B64840">
        <w:t>.</w:t>
      </w:r>
      <w:r w:rsidR="00A01C3F" w:rsidRPr="00B64840">
        <w:rPr>
          <w:rStyle w:val="FootnoteReference"/>
        </w:rPr>
        <w:footnoteReference w:id="7"/>
      </w:r>
    </w:p>
    <w:p w14:paraId="0FC99401" w14:textId="67F87047" w:rsidR="00834FAF" w:rsidRPr="009F7C8F" w:rsidRDefault="00834FAF" w:rsidP="009F7C8F">
      <w:pPr>
        <w:pStyle w:val="Heading4"/>
      </w:pPr>
      <w:r w:rsidRPr="009F7C8F">
        <w:t>Conclusion</w:t>
      </w:r>
    </w:p>
    <w:p w14:paraId="7D9F2FDB" w14:textId="4F0500B9" w:rsidR="00834FAF" w:rsidRPr="009F7C8F" w:rsidRDefault="00834FAF" w:rsidP="009F7C8F">
      <w:r w:rsidRPr="009F7C8F">
        <w:t xml:space="preserve">There are no objections to the registration of this product from </w:t>
      </w:r>
      <w:r w:rsidR="008022EE" w:rsidRPr="009F7C8F">
        <w:t>sterility,</w:t>
      </w:r>
      <w:r w:rsidRPr="009F7C8F">
        <w:t xml:space="preserve"> endotoxin, container safety and viral safety related aspects.</w:t>
      </w:r>
    </w:p>
    <w:p w14:paraId="006CDFA0" w14:textId="25E5F71B" w:rsidR="00834FAF" w:rsidRDefault="00834FAF" w:rsidP="009F7C8F">
      <w:r w:rsidRPr="009F7C8F">
        <w:t xml:space="preserve">Overall, sufficient evidence has been provided to demonstrate that the risks related to the manufacturing quality of </w:t>
      </w:r>
      <w:proofErr w:type="spellStart"/>
      <w:r w:rsidRPr="009F7C8F">
        <w:t>VeraSeal</w:t>
      </w:r>
      <w:proofErr w:type="spellEnd"/>
      <w:r w:rsidRPr="009F7C8F">
        <w:t xml:space="preserve"> have been controlled to an acceptable level.</w:t>
      </w:r>
    </w:p>
    <w:p w14:paraId="6BCBB1B9" w14:textId="62445728" w:rsidR="00834FAF" w:rsidRPr="009F7C8F" w:rsidRDefault="00834FAF" w:rsidP="008022EE">
      <w:pPr>
        <w:pStyle w:val="Heading4"/>
      </w:pPr>
      <w:r w:rsidRPr="009F7C8F">
        <w:t>Quality related proposed conditions of registration</w:t>
      </w:r>
    </w:p>
    <w:p w14:paraId="006DF3AF" w14:textId="1D072905" w:rsidR="00834FAF" w:rsidRPr="003D241C" w:rsidRDefault="00834FAF" w:rsidP="009F7C8F">
      <w:pPr>
        <w:pStyle w:val="ListBullet"/>
      </w:pPr>
      <w:r w:rsidRPr="00A3775B">
        <w:t xml:space="preserve">Laboratory </w:t>
      </w:r>
      <w:r w:rsidRPr="003D241C">
        <w:t>Testing &amp; Compliance with Certified Product Details</w:t>
      </w:r>
    </w:p>
    <w:p w14:paraId="152A27C4" w14:textId="77777777" w:rsidR="00834FAF" w:rsidRPr="003D241C" w:rsidRDefault="00834FAF" w:rsidP="009F7C8F">
      <w:pPr>
        <w:pStyle w:val="ListBullet2"/>
      </w:pPr>
      <w:r w:rsidRPr="003D241C">
        <w:t xml:space="preserve">All batches of </w:t>
      </w:r>
      <w:proofErr w:type="spellStart"/>
      <w:r w:rsidRPr="003D241C">
        <w:t>VeraSeal</w:t>
      </w:r>
      <w:proofErr w:type="spellEnd"/>
      <w:r w:rsidRPr="003D241C">
        <w:t xml:space="preserve"> supplied in Australia must comply with the product details and specifications approved during evaluation and detailed in the Certified Product Details (CPD).</w:t>
      </w:r>
    </w:p>
    <w:p w14:paraId="0D443D9C" w14:textId="7DF6729B" w:rsidR="00834FAF" w:rsidRPr="003D241C" w:rsidRDefault="00834FAF" w:rsidP="009F7C8F">
      <w:pPr>
        <w:pStyle w:val="ListBullet2"/>
      </w:pPr>
      <w:r w:rsidRPr="003D241C">
        <w:t xml:space="preserve">When requested by the TGA, the </w:t>
      </w:r>
      <w:r w:rsidR="008022EE" w:rsidRPr="003D241C">
        <w:t>sponsor</w:t>
      </w:r>
      <w:r w:rsidRPr="003D241C">
        <w:t xml:space="preserve"> should be prepared to provide product samples, specified reference materials and documentary evidence to enable the TGA to conduct laboratory testing on the </w:t>
      </w:r>
      <w:r w:rsidR="008022EE" w:rsidRPr="003D241C">
        <w:t>product</w:t>
      </w:r>
      <w:r w:rsidRPr="003D241C">
        <w:t xml:space="preserve">. Outcomes of laboratory testing </w:t>
      </w:r>
      <w:r w:rsidRPr="003D241C">
        <w:lastRenderedPageBreak/>
        <w:t xml:space="preserve">are published biannually in the TGA Database of Laboratory Testing Results </w:t>
      </w:r>
      <w:hyperlink r:id="rId14" w:history="1">
        <w:r w:rsidRPr="003D241C">
          <w:rPr>
            <w:rStyle w:val="Hyperlink"/>
          </w:rPr>
          <w:t>http://www.tga.gov.au/ws-labs-index</w:t>
        </w:r>
      </w:hyperlink>
      <w:r w:rsidRPr="003D241C">
        <w:t xml:space="preserve"> and periodically in testing reports on the TGA website.</w:t>
      </w:r>
    </w:p>
    <w:p w14:paraId="0DFC3984" w14:textId="77777777" w:rsidR="00834FAF" w:rsidRPr="003D241C" w:rsidRDefault="00834FAF" w:rsidP="008022EE">
      <w:pPr>
        <w:pStyle w:val="ListBullet"/>
      </w:pPr>
      <w:bookmarkStart w:id="38" w:name="_Toc75783046"/>
      <w:r w:rsidRPr="003D241C">
        <w:t>Certified Product Details</w:t>
      </w:r>
      <w:bookmarkEnd w:id="38"/>
    </w:p>
    <w:p w14:paraId="203742C0" w14:textId="72979D8A" w:rsidR="00834FAF" w:rsidRPr="009F7C8F" w:rsidRDefault="00834FAF" w:rsidP="008022EE">
      <w:pPr>
        <w:pStyle w:val="ListBullet"/>
        <w:numPr>
          <w:ilvl w:val="0"/>
          <w:numId w:val="0"/>
        </w:numPr>
        <w:ind w:left="360"/>
      </w:pPr>
      <w:r w:rsidRPr="003D241C">
        <w:t>The Certified Product Details (CPD), as described</w:t>
      </w:r>
      <w:r w:rsidRPr="009F7C8F">
        <w:t xml:space="preserve"> in Guidance 7: Certified Product Details of the </w:t>
      </w:r>
      <w:r w:rsidRPr="003D241C">
        <w:t>Australian Regulatory Guidelines for Prescription Medicines (ARGPM)</w:t>
      </w:r>
      <w:r w:rsidRPr="009F7C8F">
        <w:t xml:space="preserve"> </w:t>
      </w:r>
      <w:r w:rsidR="001F4ACA">
        <w:t>(</w:t>
      </w:r>
      <w:hyperlink r:id="rId15" w:history="1">
        <w:r w:rsidRPr="009F7C8F">
          <w:rPr>
            <w:rStyle w:val="Hyperlink"/>
          </w:rPr>
          <w:t>http://www.tga.gov.au/industry/pm-argpm-guidance-7.htm</w:t>
        </w:r>
      </w:hyperlink>
      <w:r w:rsidR="001F4ACA">
        <w:t>)</w:t>
      </w:r>
      <w:r w:rsidRPr="009F7C8F">
        <w:t xml:space="preserve">, in </w:t>
      </w:r>
      <w:r w:rsidR="003D241C" w:rsidRPr="003D241C">
        <w:t>portable document format (</w:t>
      </w:r>
      <w:r w:rsidRPr="003D241C">
        <w:t>PDF</w:t>
      </w:r>
      <w:r w:rsidR="003D241C" w:rsidRPr="003D241C">
        <w:t>)</w:t>
      </w:r>
      <w:r w:rsidRPr="009F7C8F">
        <w: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0B3CE344" w14:textId="3D83B370" w:rsidR="00834FAF" w:rsidRPr="00E13757" w:rsidRDefault="00834FAF" w:rsidP="00EF1311">
      <w:pPr>
        <w:pStyle w:val="ListBullet"/>
        <w:numPr>
          <w:ilvl w:val="0"/>
          <w:numId w:val="0"/>
        </w:numPr>
        <w:ind w:left="360"/>
        <w:rPr>
          <w:b/>
        </w:rPr>
      </w:pPr>
      <w:r w:rsidRPr="009F7C8F">
        <w:t xml:space="preserve">The CPD should be emailed post </w:t>
      </w:r>
      <w:r w:rsidR="008022EE" w:rsidRPr="009F7C8F">
        <w:t xml:space="preserve">approval to </w:t>
      </w:r>
      <w:hyperlink r:id="rId16" w:history="1">
        <w:r w:rsidR="008022EE" w:rsidRPr="009F7C8F">
          <w:rPr>
            <w:rStyle w:val="Hyperlink"/>
          </w:rPr>
          <w:t>biochemistry.testing@health.gov.au</w:t>
        </w:r>
      </w:hyperlink>
      <w:r w:rsidRPr="009F7C8F">
        <w:t xml:space="preserve"> as a single PDF document.</w:t>
      </w:r>
    </w:p>
    <w:p w14:paraId="55C5A216" w14:textId="77777777" w:rsidR="008E7846" w:rsidRDefault="008E7846" w:rsidP="008E7846">
      <w:pPr>
        <w:pStyle w:val="Heading3"/>
      </w:pPr>
      <w:bookmarkStart w:id="39" w:name="_Toc314842512"/>
      <w:bookmarkStart w:id="40" w:name="_Toc106113654"/>
      <w:r>
        <w:t>Nonclinical</w:t>
      </w:r>
      <w:bookmarkEnd w:id="39"/>
      <w:bookmarkEnd w:id="40"/>
    </w:p>
    <w:p w14:paraId="4458A22F" w14:textId="6586BE8A" w:rsidR="00F957F3" w:rsidRPr="00F957F3" w:rsidRDefault="00F957F3" w:rsidP="00F957F3">
      <w:r w:rsidRPr="00F957F3">
        <w:t xml:space="preserve">The nonclinical data submitted in support of this application consisted of </w:t>
      </w:r>
      <w:r w:rsidRPr="008022EE">
        <w:rPr>
          <w:i/>
          <w:iCs/>
        </w:rPr>
        <w:t>in vitro</w:t>
      </w:r>
      <w:r w:rsidRPr="00F957F3">
        <w:t xml:space="preserve"> studies and </w:t>
      </w:r>
      <w:r w:rsidRPr="008022EE">
        <w:rPr>
          <w:i/>
          <w:iCs/>
        </w:rPr>
        <w:t>in vivo</w:t>
      </w:r>
      <w:r w:rsidRPr="00F957F3">
        <w:t xml:space="preserve"> animal studies. </w:t>
      </w:r>
      <w:r w:rsidRPr="008022EE">
        <w:rPr>
          <w:i/>
          <w:iCs/>
        </w:rPr>
        <w:t>In vitro</w:t>
      </w:r>
      <w:r w:rsidRPr="00F957F3">
        <w:t xml:space="preserve"> studies demonstrated that coagulation occurred within 5</w:t>
      </w:r>
      <w:r w:rsidR="008022EE">
        <w:t> </w:t>
      </w:r>
      <w:r w:rsidRPr="00F957F3">
        <w:t>seconds independent from the lot, fill volume, thawing temperature or storage up to 24</w:t>
      </w:r>
      <w:r w:rsidR="008022EE">
        <w:t> </w:t>
      </w:r>
      <w:r w:rsidRPr="00F957F3">
        <w:t>hours.</w:t>
      </w:r>
    </w:p>
    <w:p w14:paraId="1752C835" w14:textId="77777777" w:rsidR="00F957F3" w:rsidRPr="00F957F3" w:rsidRDefault="00F957F3" w:rsidP="00F957F3">
      <w:r w:rsidRPr="00F957F3">
        <w:t xml:space="preserve">In </w:t>
      </w:r>
      <w:r w:rsidRPr="008022EE">
        <w:rPr>
          <w:i/>
          <w:iCs/>
        </w:rPr>
        <w:t>in vivo</w:t>
      </w:r>
      <w:r w:rsidRPr="00F957F3">
        <w:t xml:space="preserve"> pharmacology studies in hepatic (spray) and cardiovascular (drip administration) surgery in swine and minipigs, respectively, and vascular surgery in rabbits (drip administration), the fibrin sealant was well tolerated, did not change vital functions (cardiac, respiratory</w:t>
      </w:r>
      <w:proofErr w:type="gramStart"/>
      <w:r w:rsidRPr="00F957F3">
        <w:t>)</w:t>
      </w:r>
      <w:proofErr w:type="gramEnd"/>
      <w:r w:rsidRPr="00F957F3">
        <w:t xml:space="preserve"> and reduced surgical time, number of stitches and bleeding.</w:t>
      </w:r>
    </w:p>
    <w:p w14:paraId="5DD758A4" w14:textId="77777777" w:rsidR="00F957F3" w:rsidRPr="00F957F3" w:rsidRDefault="00F957F3" w:rsidP="00F957F3">
      <w:r w:rsidRPr="00F957F3">
        <w:t xml:space="preserve">The pharmacological effects were </w:t>
      </w:r>
      <w:proofErr w:type="gramStart"/>
      <w:r w:rsidRPr="00F957F3">
        <w:t>similar to</w:t>
      </w:r>
      <w:proofErr w:type="gramEnd"/>
      <w:r w:rsidRPr="00F957F3">
        <w:t xml:space="preserve"> those of other marketed fibrin sealants.</w:t>
      </w:r>
    </w:p>
    <w:p w14:paraId="29707F0B" w14:textId="5C33DE16" w:rsidR="00F957F3" w:rsidRPr="00F957F3" w:rsidRDefault="00F957F3" w:rsidP="00F957F3">
      <w:r w:rsidRPr="00F957F3">
        <w:t xml:space="preserve">The non-gas assisted device of the presented </w:t>
      </w:r>
      <w:proofErr w:type="spellStart"/>
      <w:r w:rsidRPr="00F957F3">
        <w:t>VeraSeal</w:t>
      </w:r>
      <w:proofErr w:type="spellEnd"/>
      <w:r w:rsidRPr="00F957F3">
        <w:t xml:space="preserve"> product performed similarly to the gas assisted device.</w:t>
      </w:r>
    </w:p>
    <w:p w14:paraId="5BC69F50" w14:textId="3D978878" w:rsidR="00F957F3" w:rsidRPr="00F957F3" w:rsidRDefault="00F957F3" w:rsidP="00F957F3">
      <w:r w:rsidRPr="00F957F3">
        <w:t xml:space="preserve">The </w:t>
      </w:r>
      <w:r w:rsidR="008022EE">
        <w:t xml:space="preserve">nonclinical </w:t>
      </w:r>
      <w:r w:rsidRPr="00F957F3">
        <w:t>evaluator concluded:</w:t>
      </w:r>
    </w:p>
    <w:p w14:paraId="05584D3F" w14:textId="472B3DD1" w:rsidR="00F957F3" w:rsidRPr="00F957F3" w:rsidRDefault="00F957F3" w:rsidP="008022EE">
      <w:r w:rsidRPr="00F957F3">
        <w:t xml:space="preserve">Overall, the submitted non-clinical documentation is considered to be sufficient to support the approval of </w:t>
      </w:r>
      <w:proofErr w:type="spellStart"/>
      <w:r w:rsidRPr="00F957F3">
        <w:t>VeraSeal</w:t>
      </w:r>
      <w:proofErr w:type="spellEnd"/>
      <w:r w:rsidRPr="00F957F3">
        <w:t xml:space="preserve"> with the known active pharmaceutical </w:t>
      </w:r>
      <w:proofErr w:type="gramStart"/>
      <w:r w:rsidRPr="00F957F3">
        <w:t>ingredients</w:t>
      </w:r>
      <w:proofErr w:type="gramEnd"/>
      <w:r w:rsidRPr="00F957F3">
        <w:t xml:space="preserve"> fibrinogen and thrombin in the proposed indication. The pharmaco-toxicological profile is considered well established and was sufficiently characterised. The nonclinical data are appropriately described in the </w:t>
      </w:r>
      <w:r w:rsidRPr="003D241C">
        <w:t>risk management plan</w:t>
      </w:r>
      <w:r w:rsidR="003D241C" w:rsidRPr="003D241C">
        <w:t xml:space="preserve"> (RMP)</w:t>
      </w:r>
      <w:r w:rsidRPr="00F957F3">
        <w:t xml:space="preserve"> and in the information for healthcare professionals.</w:t>
      </w:r>
    </w:p>
    <w:p w14:paraId="178B2C9C" w14:textId="77777777" w:rsidR="008E7846" w:rsidRDefault="008E7846" w:rsidP="008E7846">
      <w:pPr>
        <w:pStyle w:val="Heading3"/>
      </w:pPr>
      <w:bookmarkStart w:id="41" w:name="_Toc247691530"/>
      <w:bookmarkStart w:id="42" w:name="_Toc314842513"/>
      <w:bookmarkStart w:id="43" w:name="_Toc106113655"/>
      <w:r>
        <w:t>Clinical</w:t>
      </w:r>
      <w:bookmarkEnd w:id="41"/>
      <w:bookmarkEnd w:id="42"/>
      <w:bookmarkEnd w:id="43"/>
    </w:p>
    <w:p w14:paraId="10D16D48" w14:textId="5B3AFA9E" w:rsidR="00F957F3" w:rsidRPr="00F45745" w:rsidRDefault="00A03DB5" w:rsidP="00F45745">
      <w:bookmarkStart w:id="44" w:name="_Toc314842514"/>
      <w:r w:rsidRPr="00A03DB5">
        <w:t xml:space="preserve">The clinical dossier consisted of </w:t>
      </w:r>
      <w:r>
        <w:t>3 Phase III</w:t>
      </w:r>
      <w:r w:rsidRPr="00A03DB5">
        <w:t xml:space="preserve"> studies:</w:t>
      </w:r>
      <w:r>
        <w:t xml:space="preserve"> Study</w:t>
      </w:r>
      <w:r w:rsidR="00F957F3" w:rsidRPr="00F45745">
        <w:t xml:space="preserve"> IG1101, </w:t>
      </w:r>
      <w:r>
        <w:t xml:space="preserve">Study </w:t>
      </w:r>
      <w:r w:rsidR="00F957F3" w:rsidRPr="00F45745">
        <w:t xml:space="preserve">IG1102, and </w:t>
      </w:r>
      <w:r>
        <w:t>Study </w:t>
      </w:r>
      <w:r w:rsidR="00F957F3" w:rsidRPr="00F45745">
        <w:t>IG1103.</w:t>
      </w:r>
    </w:p>
    <w:p w14:paraId="4D5A241F" w14:textId="77777777" w:rsidR="00F957F3" w:rsidRPr="00EA5011" w:rsidRDefault="00F957F3" w:rsidP="00EA5011">
      <w:pPr>
        <w:pStyle w:val="Heading4"/>
      </w:pPr>
      <w:r w:rsidRPr="00EA5011">
        <w:t>Efficacy</w:t>
      </w:r>
    </w:p>
    <w:p w14:paraId="16288D9D" w14:textId="5F222449" w:rsidR="00F957F3" w:rsidRPr="00E3378D" w:rsidRDefault="00F957F3" w:rsidP="00EA5011">
      <w:pPr>
        <w:pStyle w:val="Heading5"/>
      </w:pPr>
      <w:r>
        <w:t>Study IG1101</w:t>
      </w:r>
    </w:p>
    <w:p w14:paraId="2CCD8F9C" w14:textId="5FF72A63" w:rsidR="00F957F3" w:rsidRPr="00F45745" w:rsidRDefault="008B78B6" w:rsidP="00F45745">
      <w:r w:rsidRPr="008B78B6">
        <w:t>Study IG1101</w:t>
      </w:r>
      <w:r>
        <w:t xml:space="preserve"> </w:t>
      </w:r>
      <w:r w:rsidR="00F957F3" w:rsidRPr="00F45745">
        <w:t>was a prospective, single</w:t>
      </w:r>
      <w:r w:rsidR="00A03DB5">
        <w:t xml:space="preserve"> </w:t>
      </w:r>
      <w:r w:rsidR="00F957F3" w:rsidRPr="00F45745">
        <w:t xml:space="preserve">blinded, randomised, </w:t>
      </w:r>
      <w:r w:rsidR="00A03DB5" w:rsidRPr="00F45745">
        <w:t>Phase</w:t>
      </w:r>
      <w:r w:rsidR="00F957F3" w:rsidRPr="00F45745">
        <w:t xml:space="preserve"> III superiority study comparing the haemostatic efficacy of </w:t>
      </w:r>
      <w:r w:rsidR="006B381B" w:rsidRPr="001B086B">
        <w:t>Fibrin Sealant</w:t>
      </w:r>
      <w:r w:rsidR="00F957F3" w:rsidRPr="00F45745">
        <w:t xml:space="preserve"> Grifols with that of manual compression in peripheral vascular surgery. Eligible patients were adult and paediatric patients undergoing elective open </w:t>
      </w:r>
      <w:r w:rsidR="00F957F3" w:rsidRPr="00317797">
        <w:t xml:space="preserve">peripheral vascular surgery, where a target bleeding site (TBS) requiring a topical haemostatic agent was identified by the investigator </w:t>
      </w:r>
      <w:r w:rsidR="00F957F3" w:rsidRPr="00317797">
        <w:lastRenderedPageBreak/>
        <w:t xml:space="preserve">(surgeon). Only patients with a TBS rated moderate intensity on the proximal anastomosis were enrolled. The study was conducted in two parts: a preliminary part (I) in which all patients were treated with </w:t>
      </w:r>
      <w:r w:rsidR="006B381B" w:rsidRPr="00317797">
        <w:t>Fibrin Sealant</w:t>
      </w:r>
      <w:r w:rsidR="00F957F3" w:rsidRPr="00317797">
        <w:t xml:space="preserve"> Grifols to familiarise the study teams with the application procedure; and a primary part (II) in</w:t>
      </w:r>
      <w:r w:rsidR="00F957F3" w:rsidRPr="00F45745">
        <w:t xml:space="preserve"> which patients were randomised 2:1 to </w:t>
      </w:r>
      <w:r w:rsidR="006B381B" w:rsidRPr="001B086B">
        <w:t>Fibrin Sealant</w:t>
      </w:r>
      <w:r w:rsidR="00F957F3" w:rsidRPr="00F45745">
        <w:t xml:space="preserve"> Grifols or </w:t>
      </w:r>
      <w:r w:rsidR="00A03DB5" w:rsidRPr="00F45745">
        <w:t>manual compression</w:t>
      </w:r>
      <w:r w:rsidR="00F957F3" w:rsidRPr="00F45745">
        <w:t>.</w:t>
      </w:r>
    </w:p>
    <w:p w14:paraId="650B29C3" w14:textId="58B98869" w:rsidR="00F957F3" w:rsidRPr="00F45745" w:rsidRDefault="00F957F3" w:rsidP="00F45745">
      <w:r w:rsidRPr="00F45745">
        <w:t>The surgical procedure was peripheral arterial bypass or upper extremity vascular access for haemodialysis (maximum 15% of patients). For the intervention group, 2 kits of 6</w:t>
      </w:r>
      <w:r w:rsidR="00A03DB5">
        <w:t> </w:t>
      </w:r>
      <w:r w:rsidRPr="00F45745">
        <w:t xml:space="preserve">mL each of </w:t>
      </w:r>
      <w:r w:rsidR="006B381B" w:rsidRPr="001B086B">
        <w:t>Fibrin Sealant</w:t>
      </w:r>
      <w:r w:rsidRPr="00F45745">
        <w:t xml:space="preserve"> Grifols were allocated for peripheral vascular procedures. Application of </w:t>
      </w:r>
      <w:r w:rsidR="006B381B" w:rsidRPr="001B086B">
        <w:t>Fibrin Sealant</w:t>
      </w:r>
      <w:r w:rsidRPr="00F45745">
        <w:t xml:space="preserve"> Grifols was by dripping. </w:t>
      </w:r>
      <w:r w:rsidR="00284CE0">
        <w:t>Five</w:t>
      </w:r>
      <w:r w:rsidR="00284CE0" w:rsidRPr="00F45745">
        <w:t xml:space="preserve"> </w:t>
      </w:r>
      <w:r w:rsidRPr="00F45745">
        <w:t>applicator tips were made available for each patient. The control group received manual compression with gauzes/laparotomy pads normally available at the study centre.</w:t>
      </w:r>
    </w:p>
    <w:p w14:paraId="784E12BA" w14:textId="702537C9" w:rsidR="00F957F3" w:rsidRPr="00F45745" w:rsidRDefault="00F957F3" w:rsidP="00F45745">
      <w:r w:rsidRPr="00F45745">
        <w:t>The surgeon performed the surgical intervention according to his</w:t>
      </w:r>
      <w:r w:rsidR="00A03DB5">
        <w:t xml:space="preserve"> or </w:t>
      </w:r>
      <w:r w:rsidRPr="00F45745">
        <w:t>her standards as well as the respective institution’s standards. The use of polypropylene sutures (3-0, 4-0, 5-0 or 6-0) with 13 or 26</w:t>
      </w:r>
      <w:r w:rsidR="00A03DB5">
        <w:t> </w:t>
      </w:r>
      <w:r w:rsidRPr="00F45745">
        <w:t>mm 3/8 or 1/2 circle taper point needles for the proximal anastomosis was required.</w:t>
      </w:r>
    </w:p>
    <w:p w14:paraId="66315132" w14:textId="463B7E1B" w:rsidR="00F957F3" w:rsidRPr="00F45745" w:rsidRDefault="00F957F3" w:rsidP="00F45745">
      <w:r w:rsidRPr="00F45745">
        <w:t xml:space="preserve">Anticoagulation with heparin before arterial clamping was required. Heparin reversal with protamine, if </w:t>
      </w:r>
      <w:r w:rsidR="00A03DB5" w:rsidRPr="00F45745">
        <w:t>necessary,</w:t>
      </w:r>
      <w:r w:rsidRPr="00F45745">
        <w:t xml:space="preserve"> according to surgeon's judgment, was only allowed after the primary endpoint assessment at </w:t>
      </w:r>
      <w:r w:rsidR="00317797" w:rsidRPr="00317797">
        <w:t>haemostatic assessment at 4 minutes following time of start of initial study treatment application (</w:t>
      </w:r>
      <w:r w:rsidRPr="00317797">
        <w:t>T</w:t>
      </w:r>
      <w:r w:rsidRPr="00317797">
        <w:rPr>
          <w:vertAlign w:val="subscript"/>
        </w:rPr>
        <w:t>4</w:t>
      </w:r>
      <w:r w:rsidR="00317797" w:rsidRPr="00317797">
        <w:t>)</w:t>
      </w:r>
      <w:r w:rsidRPr="00F45745">
        <w:t>.</w:t>
      </w:r>
    </w:p>
    <w:p w14:paraId="0C3CFB12" w14:textId="6E656234" w:rsidR="00F957F3" w:rsidRDefault="00F957F3" w:rsidP="00F45745">
      <w:r w:rsidRPr="00F45745">
        <w:t xml:space="preserve">The study design is shown in </w:t>
      </w:r>
      <w:r w:rsidR="00A03DB5">
        <w:fldChar w:fldCharType="begin"/>
      </w:r>
      <w:r w:rsidR="00A03DB5">
        <w:instrText xml:space="preserve"> REF _Ref103698199 \h </w:instrText>
      </w:r>
      <w:r w:rsidR="00A03DB5">
        <w:fldChar w:fldCharType="separate"/>
      </w:r>
      <w:r w:rsidR="00C61BB9" w:rsidRPr="00B64840">
        <w:t xml:space="preserve">Figure </w:t>
      </w:r>
      <w:r w:rsidR="00C61BB9">
        <w:rPr>
          <w:noProof/>
        </w:rPr>
        <w:t>1</w:t>
      </w:r>
      <w:r w:rsidR="00A03DB5">
        <w:fldChar w:fldCharType="end"/>
      </w:r>
      <w:r w:rsidRPr="00F45745">
        <w:t xml:space="preserve"> below</w:t>
      </w:r>
      <w:r w:rsidR="00A03DB5">
        <w:t>.</w:t>
      </w:r>
    </w:p>
    <w:p w14:paraId="1A78A3DA" w14:textId="5D8658A0" w:rsidR="00F957F3" w:rsidRPr="00B64840" w:rsidRDefault="00A03DB5" w:rsidP="00B64840">
      <w:pPr>
        <w:pStyle w:val="FigureTitle"/>
      </w:pPr>
      <w:bookmarkStart w:id="45" w:name="_Ref103698199"/>
      <w:r w:rsidRPr="00B64840">
        <w:lastRenderedPageBreak/>
        <w:t xml:space="preserve">Figure </w:t>
      </w:r>
      <w:r w:rsidR="006379F5">
        <w:rPr>
          <w:noProof/>
        </w:rPr>
        <w:fldChar w:fldCharType="begin"/>
      </w:r>
      <w:r w:rsidR="006379F5">
        <w:rPr>
          <w:noProof/>
        </w:rPr>
        <w:instrText xml:space="preserve"> SEQ Figure \* ARABIC </w:instrText>
      </w:r>
      <w:r w:rsidR="006379F5">
        <w:rPr>
          <w:noProof/>
        </w:rPr>
        <w:fldChar w:fldCharType="separate"/>
      </w:r>
      <w:r w:rsidR="00C61BB9">
        <w:rPr>
          <w:noProof/>
        </w:rPr>
        <w:t>1</w:t>
      </w:r>
      <w:r w:rsidR="006379F5">
        <w:rPr>
          <w:noProof/>
        </w:rPr>
        <w:fldChar w:fldCharType="end"/>
      </w:r>
      <w:bookmarkEnd w:id="45"/>
      <w:r w:rsidR="00F957F3" w:rsidRPr="00B64840">
        <w:t xml:space="preserve">: </w:t>
      </w:r>
      <w:r w:rsidRPr="00B64840">
        <w:t xml:space="preserve">Study IG1101 </w:t>
      </w:r>
      <w:r w:rsidR="00F957F3" w:rsidRPr="00B64840">
        <w:t xml:space="preserve">Diagram of </w:t>
      </w:r>
      <w:r w:rsidRPr="00B64840">
        <w:t>study treatment application and primary efficacy endpoint assessment</w:t>
      </w:r>
    </w:p>
    <w:p w14:paraId="2132B285" w14:textId="5252DEC6" w:rsidR="00F957F3" w:rsidRDefault="00F957F3" w:rsidP="00B64840">
      <w:r>
        <w:rPr>
          <w:noProof/>
          <w:lang w:val="en-GB" w:eastAsia="en-GB"/>
        </w:rPr>
        <w:drawing>
          <wp:inline distT="0" distB="0" distL="0" distR="0" wp14:anchorId="05D5D554" wp14:editId="7FD17D94">
            <wp:extent cx="4919345" cy="6400800"/>
            <wp:effectExtent l="0" t="0" r="0" b="0"/>
            <wp:docPr id="6" name="Picture 6" descr="Figure 1: Study IG1101 Diagram of study treatment application and primary efficacy endpoint assessment&#10;&#10;The initial clamp was released to identify suitable target bleeding site. Once identified, arterial clamps were re-applied. Study IG1101 consisted of 2 parts: a preliminary part (Part I) and a primary part (Part II). All subjects enrolled in the preliminary part were to be treated with Fibrin Sealant Grifols. Randomisation is applicable to the primary part of the study only.&#10;Subjects in the Primary Part were to be randomised in 2:1 ratio into Fibrin Sealant Grifols or manual compression treatment groups. This part of the clinical study had two main objectives: to assess the safety and the efficacy of Fibrin Sealant Grifols.&#10;&#10;In both the preliminary and primary parts, the target bleeding site was observed for a period following the time of the start of treatment.&#10;&#10;For the Fibrin Sealant Grifols group, if the hemostatic effect was incomplete once clamps were released after the initial application of Fibrin Sealant Grifols and before the assessment of the primary efficacy endpoint at hemostatic assessment at 4 minutes following time of the start of treatment (T4), Fibrin Sealant Grifols could be reapplied. Clamps stay off during the reapplication.&#10;If continuous bleeding was observed at the target bleeding site T4 and re-bleeding occurred before time of completion of the surgical closure by layers of the exposed surgical field containing the target bleeding site, the patient was considered a treatment failure.&#10;&#10;For the manual compression treatment group, immediately after re-clamping direct manual compression was applied to the target bleeding site. If no bleeding was observed at the target bleeding site at T4 and no re-bleeding until time of completion of the surgical closure by layers of the exposed surgical field containing the target bleeding site, the patient was considered a treatment success."/>
            <wp:cNvGraphicFramePr/>
            <a:graphic xmlns:a="http://schemas.openxmlformats.org/drawingml/2006/main">
              <a:graphicData uri="http://schemas.openxmlformats.org/drawingml/2006/picture">
                <pic:pic xmlns:pic="http://schemas.openxmlformats.org/drawingml/2006/picture">
                  <pic:nvPicPr>
                    <pic:cNvPr id="6" name="Picture 6" descr="Figure 1: Study IG1101 Diagram of study treatment application and primary efficacy endpoint assessment&#10;&#10;The initial clamp was released to identify suitable target bleeding site. Once identified, arterial clamps were re-applied. Study IG1101 consisted of 2 parts: a preliminary part (Part I) and a primary part (Part II). All subjects enrolled in the preliminary part were to be treated with Fibrin Sealant Grifols. Randomisation is applicable to the primary part of the study only.&#10;Subjects in the Primary Part were to be randomised in 2:1 ratio into Fibrin Sealant Grifols or manual compression treatment groups. This part of the clinical study had two main objectives: to assess the safety and the efficacy of Fibrin Sealant Grifols.&#10;&#10;In both the preliminary and primary parts, the target bleeding site was observed for a period following the time of the start of treatment.&#10;&#10;For the Fibrin Sealant Grifols group, if the hemostatic effect was incomplete once clamps were released after the initial application of Fibrin Sealant Grifols and before the assessment of the primary efficacy endpoint at hemostatic assessment at 4 minutes following time of the start of treatment (T4), Fibrin Sealant Grifols could be reapplied. Clamps stay off during the reapplication.&#10;If continuous bleeding was observed at the target bleeding site T4 and re-bleeding occurred before time of completion of the surgical closure by layers of the exposed surgical field containing the target bleeding site, the patient was considered a treatment failure.&#10;&#10;For the manual compression treatment group, immediately after re-clamping direct manual compression was applied to the target bleeding site. If no bleeding was observed at the target bleeding site at T4 and no re-bleeding until time of completion of the surgical closure by layers of the exposed surgical field containing the target bleeding site, the patient was considered a treatment success."/>
                    <pic:cNvPicPr/>
                  </pic:nvPicPr>
                  <pic:blipFill>
                    <a:blip r:embed="rId17"/>
                    <a:stretch>
                      <a:fillRect/>
                    </a:stretch>
                  </pic:blipFill>
                  <pic:spPr>
                    <a:xfrm>
                      <a:off x="0" y="0"/>
                      <a:ext cx="4919345" cy="6400800"/>
                    </a:xfrm>
                    <a:prstGeom prst="rect">
                      <a:avLst/>
                    </a:prstGeom>
                  </pic:spPr>
                </pic:pic>
              </a:graphicData>
            </a:graphic>
          </wp:inline>
        </w:drawing>
      </w:r>
    </w:p>
    <w:p w14:paraId="0E37DD7D" w14:textId="63463D5C" w:rsidR="00B64840" w:rsidRPr="00767542" w:rsidRDefault="00767542" w:rsidP="00767542">
      <w:pPr>
        <w:pStyle w:val="FigureDescription"/>
      </w:pPr>
      <w:r w:rsidRPr="00767542">
        <w:t xml:space="preserve">FS = </w:t>
      </w:r>
      <w:bookmarkStart w:id="46" w:name="_Hlk104200545"/>
      <w:r w:rsidRPr="00767542">
        <w:t>Fibrin Sealant</w:t>
      </w:r>
      <w:bookmarkEnd w:id="46"/>
      <w:r>
        <w:t xml:space="preserve">; </w:t>
      </w:r>
      <w:r w:rsidR="00B64840" w:rsidRPr="00767542">
        <w:t>T</w:t>
      </w:r>
      <w:r w:rsidR="00B64840" w:rsidRPr="00767542">
        <w:rPr>
          <w:vertAlign w:val="subscript"/>
        </w:rPr>
        <w:t>4</w:t>
      </w:r>
      <w:r w:rsidR="00B64840" w:rsidRPr="00767542">
        <w:t xml:space="preserve"> = </w:t>
      </w:r>
      <w:r w:rsidR="00F20E35">
        <w:t>h</w:t>
      </w:r>
      <w:r w:rsidR="00F20E35" w:rsidRPr="00F20E35">
        <w:t xml:space="preserve">aemostatic assessment at 4 minutes following time of start of initial study treatment (Fibrin Sealant Grifols, </w:t>
      </w:r>
      <w:proofErr w:type="spellStart"/>
      <w:r w:rsidR="00F20E35" w:rsidRPr="00F20E35">
        <w:t>Surgicel</w:t>
      </w:r>
      <w:proofErr w:type="spellEnd"/>
      <w:r w:rsidR="00F20E35" w:rsidRPr="00F20E35">
        <w:t>, or manual compression) application</w:t>
      </w:r>
      <w:r>
        <w:t xml:space="preserve">; </w:t>
      </w:r>
      <w:r w:rsidRPr="00767542">
        <w:t>TBS = target bleeding site</w:t>
      </w:r>
      <w:r>
        <w:t xml:space="preserve">; </w:t>
      </w:r>
      <w:proofErr w:type="spellStart"/>
      <w:r w:rsidR="00B64840" w:rsidRPr="00767542">
        <w:t>T</w:t>
      </w:r>
      <w:r w:rsidR="00B64840" w:rsidRPr="00767542">
        <w:rPr>
          <w:vertAlign w:val="subscript"/>
        </w:rPr>
        <w:t>closure</w:t>
      </w:r>
      <w:proofErr w:type="spellEnd"/>
      <w:r w:rsidR="00B64840" w:rsidRPr="00767542">
        <w:t xml:space="preserve"> =</w:t>
      </w:r>
      <w:r w:rsidRPr="00767542">
        <w:t xml:space="preserve"> </w:t>
      </w:r>
      <w:bookmarkStart w:id="47" w:name="_Hlk104204581"/>
      <w:r w:rsidR="00F20E35">
        <w:t>t</w:t>
      </w:r>
      <w:r w:rsidR="00F20E35" w:rsidRPr="00F20E35">
        <w:t>ime of completion of the surgical closure by layers of the exposed surgical field containing the target bleeding site</w:t>
      </w:r>
      <w:bookmarkEnd w:id="47"/>
      <w:r>
        <w:t>.</w:t>
      </w:r>
    </w:p>
    <w:p w14:paraId="63A12606" w14:textId="77C1ABC8" w:rsidR="00F957F3" w:rsidRPr="00F45745" w:rsidRDefault="00F957F3" w:rsidP="00F45745">
      <w:r w:rsidRPr="00317797">
        <w:t>Time to haemostasis (TTH) was measured in minutes at the start of treatment application (</w:t>
      </w:r>
      <w:proofErr w:type="spellStart"/>
      <w:r w:rsidRPr="00317797">
        <w:t>T</w:t>
      </w:r>
      <w:r w:rsidRPr="00317797">
        <w:rPr>
          <w:vertAlign w:val="subscript"/>
        </w:rPr>
        <w:t>start</w:t>
      </w:r>
      <w:proofErr w:type="spellEnd"/>
      <w:r w:rsidRPr="00317797">
        <w:t>), four minutes (T</w:t>
      </w:r>
      <w:r w:rsidRPr="00317797">
        <w:rPr>
          <w:vertAlign w:val="subscript"/>
        </w:rPr>
        <w:t>4</w:t>
      </w:r>
      <w:r w:rsidRPr="00317797">
        <w:t>), five minutes (T</w:t>
      </w:r>
      <w:r w:rsidRPr="00317797">
        <w:rPr>
          <w:vertAlign w:val="subscript"/>
        </w:rPr>
        <w:t>5</w:t>
      </w:r>
      <w:r w:rsidRPr="00317797">
        <w:t>), seven minutes (T</w:t>
      </w:r>
      <w:r w:rsidRPr="00317797">
        <w:rPr>
          <w:vertAlign w:val="subscript"/>
        </w:rPr>
        <w:t>7</w:t>
      </w:r>
      <w:r w:rsidRPr="00317797">
        <w:t>) and ten minutes (T</w:t>
      </w:r>
      <w:r w:rsidRPr="00317797">
        <w:rPr>
          <w:vertAlign w:val="subscript"/>
        </w:rPr>
        <w:t>10</w:t>
      </w:r>
      <w:r w:rsidRPr="00317797">
        <w:t xml:space="preserve">). The TTH was the time from </w:t>
      </w:r>
      <w:proofErr w:type="spellStart"/>
      <w:r w:rsidRPr="00317797">
        <w:t>T</w:t>
      </w:r>
      <w:r w:rsidR="008B78B6" w:rsidRPr="00317797">
        <w:rPr>
          <w:vertAlign w:val="subscript"/>
        </w:rPr>
        <w:t>s</w:t>
      </w:r>
      <w:r w:rsidRPr="00317797">
        <w:rPr>
          <w:vertAlign w:val="subscript"/>
        </w:rPr>
        <w:t>tart</w:t>
      </w:r>
      <w:proofErr w:type="spellEnd"/>
      <w:r w:rsidRPr="00317797">
        <w:t xml:space="preserve"> to the last effective haemostatic time point.</w:t>
      </w:r>
    </w:p>
    <w:p w14:paraId="383C992F" w14:textId="60B30806" w:rsidR="00F957F3" w:rsidRPr="00F45745" w:rsidRDefault="00F957F3" w:rsidP="00F45745">
      <w:r w:rsidRPr="00F45745">
        <w:t xml:space="preserve">The primary efficacy endpoint was the proportion of patients in the </w:t>
      </w:r>
      <w:r w:rsidR="008B78B6">
        <w:t>p</w:t>
      </w:r>
      <w:r w:rsidRPr="00F45745">
        <w:t xml:space="preserve">rimary </w:t>
      </w:r>
      <w:r w:rsidR="008B78B6">
        <w:t>p</w:t>
      </w:r>
      <w:r w:rsidRPr="00F45745">
        <w:t>art (</w:t>
      </w:r>
      <w:r w:rsidR="008B78B6">
        <w:t xml:space="preserve">Part </w:t>
      </w:r>
      <w:r w:rsidRPr="00F45745">
        <w:t>II) of the study achieving haemostasis (</w:t>
      </w:r>
      <w:r w:rsidR="008B78B6" w:rsidRPr="00F45745">
        <w:t>yes/no</w:t>
      </w:r>
      <w:r w:rsidRPr="00F45745">
        <w:t>) at the TBS by T</w:t>
      </w:r>
      <w:r w:rsidRPr="008B78B6">
        <w:rPr>
          <w:vertAlign w:val="subscript"/>
        </w:rPr>
        <w:t>4</w:t>
      </w:r>
      <w:r w:rsidRPr="00F45745">
        <w:t xml:space="preserve"> without occurrence of re</w:t>
      </w:r>
      <w:r w:rsidR="008B78B6">
        <w:noBreakHyphen/>
      </w:r>
      <w:r w:rsidRPr="00F45745">
        <w:t>bleeding and reapplication of study treatment after T</w:t>
      </w:r>
      <w:r w:rsidRPr="008B78B6">
        <w:rPr>
          <w:vertAlign w:val="subscript"/>
        </w:rPr>
        <w:t>4</w:t>
      </w:r>
      <w:r w:rsidRPr="00F45745">
        <w:t xml:space="preserve"> and until surgical closure (</w:t>
      </w:r>
      <w:proofErr w:type="spellStart"/>
      <w:r w:rsidRPr="00F45745">
        <w:t>T</w:t>
      </w:r>
      <w:r w:rsidR="008B78B6">
        <w:rPr>
          <w:vertAlign w:val="subscript"/>
        </w:rPr>
        <w:t>c</w:t>
      </w:r>
      <w:r w:rsidRPr="008B78B6">
        <w:rPr>
          <w:vertAlign w:val="subscript"/>
        </w:rPr>
        <w:t>losure</w:t>
      </w:r>
      <w:proofErr w:type="spellEnd"/>
      <w:r w:rsidRPr="00F45745">
        <w:t xml:space="preserve">), and without brisk bleeding and use of alternative haemostatic treatment after </w:t>
      </w:r>
      <w:proofErr w:type="spellStart"/>
      <w:r w:rsidRPr="00F45745">
        <w:t>T</w:t>
      </w:r>
      <w:r w:rsidR="008B78B6" w:rsidRPr="008B78B6">
        <w:rPr>
          <w:vertAlign w:val="subscript"/>
        </w:rPr>
        <w:t>s</w:t>
      </w:r>
      <w:r w:rsidRPr="008B78B6">
        <w:rPr>
          <w:vertAlign w:val="subscript"/>
        </w:rPr>
        <w:t>tart</w:t>
      </w:r>
      <w:proofErr w:type="spellEnd"/>
      <w:r w:rsidRPr="00F45745">
        <w:t xml:space="preserve"> and until </w:t>
      </w:r>
      <w:proofErr w:type="spellStart"/>
      <w:r w:rsidRPr="00F45745">
        <w:t>T</w:t>
      </w:r>
      <w:r w:rsidR="008B78B6" w:rsidRPr="008B78B6">
        <w:rPr>
          <w:vertAlign w:val="subscript"/>
        </w:rPr>
        <w:t>c</w:t>
      </w:r>
      <w:r w:rsidRPr="008B78B6">
        <w:rPr>
          <w:vertAlign w:val="subscript"/>
        </w:rPr>
        <w:t>losure</w:t>
      </w:r>
      <w:proofErr w:type="spellEnd"/>
      <w:r w:rsidRPr="00F45745">
        <w:t>.</w:t>
      </w:r>
    </w:p>
    <w:p w14:paraId="07CD7439" w14:textId="77777777" w:rsidR="00F957F3" w:rsidRPr="00F45745" w:rsidRDefault="00F957F3" w:rsidP="00F45745">
      <w:r w:rsidRPr="00F45745">
        <w:lastRenderedPageBreak/>
        <w:t>Secondary efficacy variables included TTH, the proportion of patients achieving haemostasis at the TBS at T</w:t>
      </w:r>
      <w:r w:rsidRPr="008B78B6">
        <w:rPr>
          <w:vertAlign w:val="subscript"/>
        </w:rPr>
        <w:t>5</w:t>
      </w:r>
      <w:r w:rsidRPr="00F45745">
        <w:t>, T</w:t>
      </w:r>
      <w:r w:rsidRPr="008B78B6">
        <w:rPr>
          <w:vertAlign w:val="subscript"/>
        </w:rPr>
        <w:t>7</w:t>
      </w:r>
      <w:r w:rsidRPr="00F45745">
        <w:t>, and T</w:t>
      </w:r>
      <w:r w:rsidRPr="008B78B6">
        <w:rPr>
          <w:vertAlign w:val="subscript"/>
        </w:rPr>
        <w:t>10</w:t>
      </w:r>
      <w:r w:rsidRPr="00F45745">
        <w:t>, and the prevalence of treatment failures.</w:t>
      </w:r>
    </w:p>
    <w:p w14:paraId="6FF06181" w14:textId="77777777" w:rsidR="00F957F3" w:rsidRPr="00F45745" w:rsidRDefault="00F957F3" w:rsidP="00F45745">
      <w:r w:rsidRPr="00F45745">
        <w:t xml:space="preserve">Safety variables included clinical safety, viral </w:t>
      </w:r>
      <w:proofErr w:type="gramStart"/>
      <w:r w:rsidRPr="00F45745">
        <w:t>safety</w:t>
      </w:r>
      <w:proofErr w:type="gramEnd"/>
      <w:r w:rsidRPr="00F45745">
        <w:t xml:space="preserve"> and immunogenicity.</w:t>
      </w:r>
    </w:p>
    <w:p w14:paraId="73D997E8" w14:textId="720D5617" w:rsidR="00F957F3" w:rsidRPr="00F45745" w:rsidRDefault="00F957F3" w:rsidP="00F45745">
      <w:r w:rsidRPr="00F45745">
        <w:t xml:space="preserve">In </w:t>
      </w:r>
      <w:r w:rsidR="008B78B6">
        <w:t>P</w:t>
      </w:r>
      <w:r w:rsidRPr="00F45745">
        <w:t xml:space="preserve">art I of the study, 59 patients were enrolled. In </w:t>
      </w:r>
      <w:r w:rsidR="008B78B6">
        <w:t>P</w:t>
      </w:r>
      <w:r w:rsidRPr="00F45745">
        <w:t xml:space="preserve">art II, 166 patients were </w:t>
      </w:r>
      <w:proofErr w:type="gramStart"/>
      <w:r w:rsidRPr="00F45745">
        <w:t>randomised;</w:t>
      </w:r>
      <w:proofErr w:type="gramEnd"/>
      <w:r w:rsidRPr="00F45745">
        <w:t xml:space="preserve"> 109 to </w:t>
      </w:r>
      <w:r w:rsidR="006B381B" w:rsidRPr="001B086B">
        <w:t>Fibrin Sealant</w:t>
      </w:r>
      <w:r w:rsidRPr="00F45745">
        <w:t xml:space="preserve"> Grifols and 57 to </w:t>
      </w:r>
      <w:r w:rsidR="00A03DB5" w:rsidRPr="00F45745">
        <w:t>manual compression</w:t>
      </w:r>
      <w:r w:rsidRPr="00F45745">
        <w:t>. The rate of haemostasis by T</w:t>
      </w:r>
      <w:r w:rsidRPr="008B78B6">
        <w:rPr>
          <w:vertAlign w:val="subscript"/>
        </w:rPr>
        <w:t>4</w:t>
      </w:r>
      <w:r w:rsidRPr="00F45745">
        <w:t xml:space="preserve"> was 76.1% (83/109 patients) in </w:t>
      </w:r>
      <w:r w:rsidRPr="006E6E7E">
        <w:t xml:space="preserve">the </w:t>
      </w:r>
      <w:r w:rsidR="006B381B" w:rsidRPr="006E6E7E">
        <w:t>Fibrin Sealant</w:t>
      </w:r>
      <w:r w:rsidRPr="006E6E7E">
        <w:t xml:space="preserve"> Grifols treatment group and was 22.8% (13/57 patients) in the </w:t>
      </w:r>
      <w:r w:rsidR="00A03DB5" w:rsidRPr="006E6E7E">
        <w:t>manual compression</w:t>
      </w:r>
      <w:r w:rsidRPr="006E6E7E">
        <w:t xml:space="preserve"> treatment group (</w:t>
      </w:r>
      <w:r w:rsidR="006E6E7E" w:rsidRPr="006E6E7E">
        <w:t>risk ratio (</w:t>
      </w:r>
      <w:r w:rsidR="001F4ACA" w:rsidRPr="006E6E7E">
        <w:t>RR</w:t>
      </w:r>
      <w:r w:rsidR="006E6E7E" w:rsidRPr="006E6E7E">
        <w:t>)</w:t>
      </w:r>
      <w:r w:rsidR="001F4ACA" w:rsidRPr="006E6E7E">
        <w:t> = </w:t>
      </w:r>
      <w:r w:rsidRPr="006E6E7E">
        <w:t xml:space="preserve">3.339 (95% </w:t>
      </w:r>
      <w:r w:rsidR="006E6E7E" w:rsidRPr="006E6E7E">
        <w:t>confidence interval (</w:t>
      </w:r>
      <w:r w:rsidRPr="006E6E7E">
        <w:t>CI</w:t>
      </w:r>
      <w:r w:rsidR="006E6E7E" w:rsidRPr="006E6E7E">
        <w:t>)</w:t>
      </w:r>
      <w:r w:rsidRPr="006E6E7E">
        <w:t>:</w:t>
      </w:r>
      <w:r w:rsidR="001F4ACA" w:rsidRPr="006E6E7E">
        <w:t xml:space="preserve"> </w:t>
      </w:r>
      <w:r w:rsidRPr="006E6E7E">
        <w:t>2.047, 5.445, p</w:t>
      </w:r>
      <w:r w:rsidR="008B78B6" w:rsidRPr="006E6E7E">
        <w:t xml:space="preserve"> </w:t>
      </w:r>
      <w:r w:rsidRPr="006E6E7E">
        <w:t>&lt;</w:t>
      </w:r>
      <w:r w:rsidR="008B78B6" w:rsidRPr="006E6E7E">
        <w:t xml:space="preserve"> </w:t>
      </w:r>
      <w:r w:rsidRPr="006E6E7E">
        <w:t xml:space="preserve">0.001)). The mean TTH was 5.1 (± 0.21 </w:t>
      </w:r>
      <w:r w:rsidR="006E6E7E" w:rsidRPr="006E6E7E">
        <w:t>standard error (</w:t>
      </w:r>
      <w:r w:rsidRPr="006E6E7E">
        <w:t>SE</w:t>
      </w:r>
      <w:r w:rsidR="006E6E7E" w:rsidRPr="006E6E7E">
        <w:t>)</w:t>
      </w:r>
      <w:r w:rsidRPr="006E6E7E">
        <w:t xml:space="preserve">) in the </w:t>
      </w:r>
      <w:r w:rsidR="006B381B" w:rsidRPr="006E6E7E">
        <w:t>Fibrin Sealant</w:t>
      </w:r>
      <w:r w:rsidRPr="006E6E7E">
        <w:t xml:space="preserve"> Grifols group and 8.2 (± 0.35 SE) in the </w:t>
      </w:r>
      <w:r w:rsidR="00A03DB5" w:rsidRPr="006E6E7E">
        <w:t>manual compression</w:t>
      </w:r>
      <w:r w:rsidRPr="006E6E7E">
        <w:t xml:space="preserve"> treatment group. The rates of haemostasis at the TBS by T</w:t>
      </w:r>
      <w:r w:rsidRPr="006E6E7E">
        <w:rPr>
          <w:vertAlign w:val="subscript"/>
        </w:rPr>
        <w:t>5</w:t>
      </w:r>
      <w:r w:rsidRPr="006E6E7E">
        <w:t>, T</w:t>
      </w:r>
      <w:r w:rsidRPr="006E6E7E">
        <w:rPr>
          <w:vertAlign w:val="subscript"/>
        </w:rPr>
        <w:t>7</w:t>
      </w:r>
      <w:r w:rsidRPr="006E6E7E">
        <w:t xml:space="preserve"> and T</w:t>
      </w:r>
      <w:r w:rsidRPr="006E6E7E">
        <w:rPr>
          <w:vertAlign w:val="subscript"/>
        </w:rPr>
        <w:t>10</w:t>
      </w:r>
      <w:r w:rsidRPr="006E6E7E">
        <w:t xml:space="preserve"> were significantly higher in the </w:t>
      </w:r>
      <w:r w:rsidR="006B381B" w:rsidRPr="006E6E7E">
        <w:t>Fibrin Sealant</w:t>
      </w:r>
      <w:r w:rsidRPr="006E6E7E">
        <w:t xml:space="preserve"> Grifols treatment gro</w:t>
      </w:r>
      <w:r w:rsidRPr="00F45745">
        <w:t xml:space="preserve">up compared to the </w:t>
      </w:r>
      <w:r w:rsidR="00A03DB5" w:rsidRPr="00F45745">
        <w:t>manual compression</w:t>
      </w:r>
      <w:r w:rsidRPr="00F45745">
        <w:t xml:space="preserve"> treatment group (p &lt;</w:t>
      </w:r>
      <w:r w:rsidR="008B78B6">
        <w:t xml:space="preserve"> </w:t>
      </w:r>
      <w:r w:rsidRPr="00F45745">
        <w:t xml:space="preserve">0.001), indicating that </w:t>
      </w:r>
      <w:r w:rsidR="006B381B" w:rsidRPr="001B086B">
        <w:t>Fibrin Sealant</w:t>
      </w:r>
      <w:r w:rsidRPr="00F45745">
        <w:t xml:space="preserve"> Grifols was superior to </w:t>
      </w:r>
      <w:r w:rsidR="00A03DB5" w:rsidRPr="00F45745">
        <w:t>manual compression</w:t>
      </w:r>
      <w:r w:rsidRPr="00F45745">
        <w:t>.</w:t>
      </w:r>
    </w:p>
    <w:p w14:paraId="7DA59DD5" w14:textId="07E8B6B2" w:rsidR="00F957F3" w:rsidRPr="00F45745" w:rsidRDefault="00F957F3" w:rsidP="00F45745">
      <w:r w:rsidRPr="00F45745">
        <w:t xml:space="preserve">In the </w:t>
      </w:r>
      <w:r w:rsidR="006B381B" w:rsidRPr="001B086B">
        <w:t>Fibrin Sealant</w:t>
      </w:r>
      <w:r w:rsidRPr="00F45745">
        <w:t xml:space="preserve"> Grifols treatment group, the most common cause of treatment failure was persistent bleeding (22.9%, 25/109 patients). Of the 26 patients with treatment failure in the </w:t>
      </w:r>
      <w:r w:rsidR="006B381B" w:rsidRPr="001B086B">
        <w:t>Fibrin Sealant</w:t>
      </w:r>
      <w:r w:rsidRPr="00F45745">
        <w:t xml:space="preserve"> Grifols treatment group, 96.2% (25/26) of the patients had persistent bleeding. In accordance with the protocol, no </w:t>
      </w:r>
      <w:r w:rsidR="006B381B" w:rsidRPr="001B086B">
        <w:t>Fibrin Sealant</w:t>
      </w:r>
      <w:r w:rsidRPr="00F45745">
        <w:t xml:space="preserve"> Grifols-treated patients had treatment re-applied after T</w:t>
      </w:r>
      <w:r w:rsidRPr="008B78B6">
        <w:rPr>
          <w:vertAlign w:val="subscript"/>
        </w:rPr>
        <w:t>4</w:t>
      </w:r>
      <w:r w:rsidRPr="00F45745">
        <w:t xml:space="preserve"> and before </w:t>
      </w:r>
      <w:proofErr w:type="spellStart"/>
      <w:r w:rsidRPr="00F45745">
        <w:t>T</w:t>
      </w:r>
      <w:r w:rsidR="008B78B6" w:rsidRPr="008B78B6">
        <w:rPr>
          <w:vertAlign w:val="subscript"/>
        </w:rPr>
        <w:t>c</w:t>
      </w:r>
      <w:r w:rsidRPr="008B78B6">
        <w:rPr>
          <w:vertAlign w:val="subscript"/>
        </w:rPr>
        <w:t>losure</w:t>
      </w:r>
      <w:proofErr w:type="spellEnd"/>
      <w:r w:rsidRPr="00F45745">
        <w:t>.</w:t>
      </w:r>
    </w:p>
    <w:p w14:paraId="33171796" w14:textId="275E06A1" w:rsidR="00F957F3" w:rsidRPr="00F45745" w:rsidRDefault="00F957F3" w:rsidP="00F45745">
      <w:r w:rsidRPr="00F45745">
        <w:t xml:space="preserve">In the </w:t>
      </w:r>
      <w:r w:rsidR="00A03DB5" w:rsidRPr="00F45745">
        <w:t>manual compression</w:t>
      </w:r>
      <w:r w:rsidRPr="00F45745">
        <w:t xml:space="preserve"> treatment group, the most common causes of treatment failure were persistent</w:t>
      </w:r>
      <w:r w:rsidR="008B78B6">
        <w:t xml:space="preserve"> </w:t>
      </w:r>
      <w:r w:rsidRPr="00F45745">
        <w:t>bleeding (77.2%, 44/57 patients) and re-applied treatment after T</w:t>
      </w:r>
      <w:r w:rsidRPr="008B78B6">
        <w:rPr>
          <w:vertAlign w:val="subscript"/>
        </w:rPr>
        <w:t>4</w:t>
      </w:r>
      <w:r w:rsidRPr="00F45745">
        <w:t xml:space="preserve"> and before </w:t>
      </w:r>
      <w:proofErr w:type="spellStart"/>
      <w:r w:rsidRPr="00F45745">
        <w:t>T</w:t>
      </w:r>
      <w:r w:rsidR="008B78B6" w:rsidRPr="008B78B6">
        <w:rPr>
          <w:vertAlign w:val="subscript"/>
        </w:rPr>
        <w:t>c</w:t>
      </w:r>
      <w:r w:rsidRPr="008B78B6">
        <w:rPr>
          <w:vertAlign w:val="subscript"/>
        </w:rPr>
        <w:t>losure</w:t>
      </w:r>
      <w:proofErr w:type="spellEnd"/>
      <w:r w:rsidRPr="00F45745">
        <w:t xml:space="preserve"> (42.1%, 24/57 patients). Of the 44 patients with treatment failure in the </w:t>
      </w:r>
      <w:r w:rsidR="00A03DB5" w:rsidRPr="00F45745">
        <w:t>manual compression</w:t>
      </w:r>
      <w:r w:rsidRPr="00F45745">
        <w:t xml:space="preserve"> treatment group, 44/44 (100.0%) patients had persistent bleeding.</w:t>
      </w:r>
    </w:p>
    <w:p w14:paraId="04F69EE9" w14:textId="77777777" w:rsidR="00F957F3" w:rsidRPr="00F45745" w:rsidRDefault="00F957F3" w:rsidP="00F45745">
      <w:r w:rsidRPr="00F45745">
        <w:t>Subgroup analyses of efficacy for the types of vascular surgeries were inconclusive due to insufficient number of patients per types of vascular surgeries within each treatment group.</w:t>
      </w:r>
    </w:p>
    <w:p w14:paraId="693EF23B" w14:textId="77777777" w:rsidR="00F957F3" w:rsidRPr="00E867F5" w:rsidRDefault="00F957F3" w:rsidP="00EA5011">
      <w:pPr>
        <w:pStyle w:val="Heading5"/>
      </w:pPr>
      <w:r w:rsidRPr="00E867F5">
        <w:t>Study IG1102</w:t>
      </w:r>
    </w:p>
    <w:p w14:paraId="2EDFAD55" w14:textId="705CC273" w:rsidR="00F957F3" w:rsidRPr="00F45745" w:rsidRDefault="008B78B6" w:rsidP="00F45745">
      <w:r w:rsidRPr="008B78B6">
        <w:t>Study IG1102</w:t>
      </w:r>
      <w:r>
        <w:t xml:space="preserve"> </w:t>
      </w:r>
      <w:r w:rsidR="00F957F3" w:rsidRPr="00F45745">
        <w:t xml:space="preserve">was a prospective, single-blinded, randomised, </w:t>
      </w:r>
      <w:r w:rsidR="00A03DB5" w:rsidRPr="00F45745">
        <w:t>Phase</w:t>
      </w:r>
      <w:r w:rsidR="00F957F3" w:rsidRPr="00F45745">
        <w:t xml:space="preserve"> III non-inferiority study comparing </w:t>
      </w:r>
      <w:r w:rsidR="006B381B" w:rsidRPr="001B086B">
        <w:t>Fibrin Sealant</w:t>
      </w:r>
      <w:r w:rsidR="00F957F3" w:rsidRPr="00F45745">
        <w:t xml:space="preserve"> Grifols with a commercially available oxidised regenerated cellulose product </w:t>
      </w:r>
      <w:proofErr w:type="spellStart"/>
      <w:r w:rsidR="00F957F3" w:rsidRPr="00F45745">
        <w:t>Surgicel</w:t>
      </w:r>
      <w:proofErr w:type="spellEnd"/>
      <w:r w:rsidR="0075669B">
        <w:t>,</w:t>
      </w:r>
      <w:r w:rsidR="0075669B">
        <w:rPr>
          <w:rStyle w:val="FootnoteReference"/>
        </w:rPr>
        <w:footnoteReference w:id="8"/>
      </w:r>
      <w:r w:rsidR="00F957F3" w:rsidRPr="00F45745">
        <w:t xml:space="preserve"> in </w:t>
      </w:r>
      <w:proofErr w:type="spellStart"/>
      <w:r w:rsidR="00F957F3" w:rsidRPr="00F45745">
        <w:t>parenchymous</w:t>
      </w:r>
      <w:proofErr w:type="spellEnd"/>
      <w:r w:rsidR="00F957F3" w:rsidRPr="00F45745">
        <w:t xml:space="preserve"> tissue open surgeries. </w:t>
      </w:r>
      <w:proofErr w:type="spellStart"/>
      <w:r w:rsidR="00F957F3" w:rsidRPr="00F45745">
        <w:t>Surgicel</w:t>
      </w:r>
      <w:proofErr w:type="spellEnd"/>
      <w:r w:rsidR="00F957F3" w:rsidRPr="00F45745">
        <w:t xml:space="preserve"> is currently registered on the ARTG</w:t>
      </w:r>
      <w:r w:rsidR="008C0A99">
        <w:t xml:space="preserve"> </w:t>
      </w:r>
      <w:r w:rsidR="008C0A99" w:rsidRPr="00E867F5">
        <w:rPr>
          <w:rFonts w:asciiTheme="minorHAnsi" w:eastAsia="Times New Roman" w:hAnsiTheme="minorHAnsi"/>
        </w:rPr>
        <w:t>(177702, 171589)</w:t>
      </w:r>
      <w:r w:rsidR="00F957F3" w:rsidRPr="00F45745">
        <w:t xml:space="preserve">. Eligible patients were adult and paediatric patients undergoing elective open </w:t>
      </w:r>
      <w:proofErr w:type="spellStart"/>
      <w:r w:rsidR="00F957F3" w:rsidRPr="00F45745">
        <w:t>parenchymous</w:t>
      </w:r>
      <w:proofErr w:type="spellEnd"/>
      <w:r w:rsidR="00F957F3" w:rsidRPr="00F45745">
        <w:t xml:space="preserve"> tissue surgery of the liver, where a TBS requiring a topical haemostatic agent was identified by the investigator (surgeon).</w:t>
      </w:r>
    </w:p>
    <w:p w14:paraId="56095EEF" w14:textId="3C1C25CB" w:rsidR="00F957F3" w:rsidRPr="00F45745" w:rsidRDefault="00F957F3" w:rsidP="00F45745">
      <w:r w:rsidRPr="00F45745">
        <w:t xml:space="preserve">The surgical procedure was elective, open hepatic resection (wedge or anatomic resections of a least one anatomical hepatic segment, or equivalent tissue volume) procedure. Application of </w:t>
      </w:r>
      <w:r w:rsidR="006B381B" w:rsidRPr="001B086B">
        <w:t>Fibrin Sealant</w:t>
      </w:r>
      <w:r w:rsidRPr="00F45745">
        <w:t xml:space="preserve"> Grifols was by spraying with the assistance of gas pressure.</w:t>
      </w:r>
    </w:p>
    <w:p w14:paraId="4F6374D5" w14:textId="726A0A3E" w:rsidR="00F957F3" w:rsidRDefault="00F957F3" w:rsidP="00F45745">
      <w:pPr>
        <w:rPr>
          <w:rFonts w:asciiTheme="minorHAnsi" w:hAnsiTheme="minorHAnsi"/>
        </w:rPr>
      </w:pPr>
      <w:r w:rsidRPr="00F45745">
        <w:t xml:space="preserve">Again, this study was in two parts: the preliminary part (I) randomised patients 1:1 to </w:t>
      </w:r>
      <w:r w:rsidR="006B381B" w:rsidRPr="001B086B">
        <w:t>Fibrin Sealant</w:t>
      </w:r>
      <w:r w:rsidRPr="00F45745">
        <w:t xml:space="preserve"> Grifols or </w:t>
      </w:r>
      <w:proofErr w:type="spellStart"/>
      <w:r w:rsidRPr="00F45745">
        <w:t>Surgicel</w:t>
      </w:r>
      <w:proofErr w:type="spellEnd"/>
      <w:r w:rsidRPr="00F45745">
        <w:t xml:space="preserve"> to allow study teams to familiarise themselves with the product. In the primary part (II), patients were also randomised 1:1 to </w:t>
      </w:r>
      <w:r w:rsidR="006B381B" w:rsidRPr="001B086B">
        <w:t>Fibrin Sealant</w:t>
      </w:r>
      <w:r w:rsidRPr="00F45745">
        <w:t xml:space="preserve"> Grifols or </w:t>
      </w:r>
      <w:proofErr w:type="spellStart"/>
      <w:r w:rsidRPr="00F45745">
        <w:t>Surgicel</w:t>
      </w:r>
      <w:proofErr w:type="spellEnd"/>
      <w:r w:rsidRPr="00F45745">
        <w:t xml:space="preserve">. The study design is shown </w:t>
      </w:r>
      <w:r w:rsidR="008B78B6">
        <w:t xml:space="preserve">in </w:t>
      </w:r>
      <w:r w:rsidR="008B78B6">
        <w:fldChar w:fldCharType="begin"/>
      </w:r>
      <w:r w:rsidR="008B78B6">
        <w:instrText xml:space="preserve"> REF _Ref103700831 \h </w:instrText>
      </w:r>
      <w:r w:rsidR="008B78B6">
        <w:fldChar w:fldCharType="separate"/>
      </w:r>
      <w:r w:rsidR="00C61BB9" w:rsidRPr="00E867F5">
        <w:t xml:space="preserve">Figure </w:t>
      </w:r>
      <w:r w:rsidR="00C61BB9">
        <w:rPr>
          <w:noProof/>
        </w:rPr>
        <w:t>2</w:t>
      </w:r>
      <w:r w:rsidR="008B78B6">
        <w:fldChar w:fldCharType="end"/>
      </w:r>
      <w:r w:rsidR="008B78B6">
        <w:t xml:space="preserve"> </w:t>
      </w:r>
      <w:r w:rsidRPr="00F45745">
        <w:t>below</w:t>
      </w:r>
      <w:r w:rsidR="008B78B6">
        <w:t>.</w:t>
      </w:r>
    </w:p>
    <w:p w14:paraId="3585FCC6" w14:textId="6517AB03" w:rsidR="00F957F3" w:rsidRPr="00E867F5" w:rsidRDefault="00F957F3" w:rsidP="00B64840">
      <w:pPr>
        <w:pStyle w:val="FigureTitle"/>
        <w:rPr>
          <w:rFonts w:eastAsia="Times New Roman"/>
        </w:rPr>
      </w:pPr>
      <w:bookmarkStart w:id="48" w:name="_Ref103700831"/>
      <w:r w:rsidRPr="00E867F5">
        <w:lastRenderedPageBreak/>
        <w:t xml:space="preserve">Figure </w:t>
      </w:r>
      <w:r w:rsidR="006379F5">
        <w:rPr>
          <w:noProof/>
        </w:rPr>
        <w:fldChar w:fldCharType="begin"/>
      </w:r>
      <w:r w:rsidR="006379F5">
        <w:rPr>
          <w:noProof/>
        </w:rPr>
        <w:instrText xml:space="preserve"> SEQ Figure \* ARABIC </w:instrText>
      </w:r>
      <w:r w:rsidR="006379F5">
        <w:rPr>
          <w:noProof/>
        </w:rPr>
        <w:fldChar w:fldCharType="separate"/>
      </w:r>
      <w:r w:rsidR="00C61BB9">
        <w:rPr>
          <w:noProof/>
        </w:rPr>
        <w:t>2</w:t>
      </w:r>
      <w:r w:rsidR="006379F5">
        <w:rPr>
          <w:noProof/>
        </w:rPr>
        <w:fldChar w:fldCharType="end"/>
      </w:r>
      <w:bookmarkEnd w:id="48"/>
      <w:r w:rsidRPr="00E867F5">
        <w:t xml:space="preserve">: </w:t>
      </w:r>
      <w:r w:rsidR="008B78B6" w:rsidRPr="008B78B6">
        <w:t>Study IG1102</w:t>
      </w:r>
      <w:r w:rsidR="008B78B6">
        <w:t xml:space="preserve"> </w:t>
      </w:r>
      <w:r w:rsidRPr="00E867F5">
        <w:t xml:space="preserve">Diagram </w:t>
      </w:r>
      <w:r w:rsidR="008B78B6" w:rsidRPr="00E867F5">
        <w:t>of study treatment application and primary efficacy endpoint assessment</w:t>
      </w:r>
    </w:p>
    <w:p w14:paraId="703F1942" w14:textId="5D6FC103" w:rsidR="00F957F3" w:rsidRDefault="00F957F3" w:rsidP="00B64840">
      <w:pPr>
        <w:rPr>
          <w:rFonts w:ascii="Times New Roman" w:eastAsia="Times New Roman" w:hAnsi="Times New Roman"/>
        </w:rPr>
      </w:pPr>
      <w:r>
        <w:rPr>
          <w:noProof/>
          <w:lang w:val="en-GB" w:eastAsia="en-GB"/>
        </w:rPr>
        <w:drawing>
          <wp:inline distT="0" distB="0" distL="0" distR="0" wp14:anchorId="11079357" wp14:editId="67823F89">
            <wp:extent cx="5723255" cy="7018655"/>
            <wp:effectExtent l="0" t="0" r="0" b="0"/>
            <wp:docPr id="22" name="Picture 22" descr="Figure 2: Study IG1102 Diagram of study treatment application and primary efficacy endpoint assessment&#10;&#10;Suitable target bleeding site was identified and randomised into Fibrin Sealant Grifols or Surgicel treatment groups. In both groups, the target bleeding site was observed for a period following the time of the start of treatment.&#10;For the Fibrin Sealant Grifols group, if the hemostatic effect was incomplete after the time of start of initial study treatment application and before the primary efficacy endpoint assessment time point, hemostatic assessment at 4 minutes (T4), Fibrin Sealant Grifols could be reapplied. If continuous bleeding was observed at the target bleeding site T4 and re-bleeding occurred before time of completion of the surgical closure by layers of the exposed surgical field containing the target bleeding site, the patient was considered a treatment failure.&#10;&#10;For the Surgicel group, if the hemostatic effect was incomplete after the time of start of initial study treatment and before T4, additional sheets of Surgicel Original may have been applied, if deemed necessary by the surgeon. No additional Surgicel Original sheets could be applied at the target bleeding site beyond T4. If no bleeding was observed at the target bleeding site at T4 and no re-bleeding until the completion of surgical closure by layers of the exposed surgical field containing the target bleeding site, the patient was considered a treatment success."/>
            <wp:cNvGraphicFramePr/>
            <a:graphic xmlns:a="http://schemas.openxmlformats.org/drawingml/2006/main">
              <a:graphicData uri="http://schemas.openxmlformats.org/drawingml/2006/picture">
                <pic:pic xmlns:pic="http://schemas.openxmlformats.org/drawingml/2006/picture">
                  <pic:nvPicPr>
                    <pic:cNvPr id="22" name="Picture 22" descr="Figure 2: Study IG1102 Diagram of study treatment application and primary efficacy endpoint assessment&#10;&#10;Suitable target bleeding site was identified and randomised into Fibrin Sealant Grifols or Surgicel treatment groups. In both groups, the target bleeding site was observed for a period following the time of the start of treatment.&#10;For the Fibrin Sealant Grifols group, if the hemostatic effect was incomplete after the time of start of initial study treatment application and before the primary efficacy endpoint assessment time point, hemostatic assessment at 4 minutes (T4), Fibrin Sealant Grifols could be reapplied. If continuous bleeding was observed at the target bleeding site T4 and re-bleeding occurred before time of completion of the surgical closure by layers of the exposed surgical field containing the target bleeding site, the patient was considered a treatment failure.&#10;&#10;For the Surgicel group, if the hemostatic effect was incomplete after the time of start of initial study treatment and before T4, additional sheets of Surgicel Original may have been applied, if deemed necessary by the surgeon. No additional Surgicel Original sheets could be applied at the target bleeding site beyond T4. If no bleeding was observed at the target bleeding site at T4 and no re-bleeding until the completion of surgical closure by layers of the exposed surgical field containing the target bleeding site, the patient was considered a treatment success."/>
                    <pic:cNvPicPr/>
                  </pic:nvPicPr>
                  <pic:blipFill>
                    <a:blip r:embed="rId18"/>
                    <a:stretch>
                      <a:fillRect/>
                    </a:stretch>
                  </pic:blipFill>
                  <pic:spPr>
                    <a:xfrm>
                      <a:off x="0" y="0"/>
                      <a:ext cx="5723255" cy="7018655"/>
                    </a:xfrm>
                    <a:prstGeom prst="rect">
                      <a:avLst/>
                    </a:prstGeom>
                  </pic:spPr>
                </pic:pic>
              </a:graphicData>
            </a:graphic>
          </wp:inline>
        </w:drawing>
      </w:r>
    </w:p>
    <w:p w14:paraId="234C668F" w14:textId="7CF3E118" w:rsidR="00B64840" w:rsidRPr="00767542" w:rsidRDefault="00B64840" w:rsidP="00767542">
      <w:pPr>
        <w:pStyle w:val="FigureDescription"/>
      </w:pPr>
      <w:r w:rsidRPr="00767542">
        <w:t>FS =</w:t>
      </w:r>
      <w:r w:rsidR="00767542" w:rsidRPr="00767542">
        <w:t xml:space="preserve"> Fibrin Sealant</w:t>
      </w:r>
      <w:r w:rsidR="00767542">
        <w:t xml:space="preserve">; </w:t>
      </w:r>
      <w:r w:rsidRPr="00767542">
        <w:t>T</w:t>
      </w:r>
      <w:r w:rsidRPr="00767542">
        <w:rPr>
          <w:vertAlign w:val="subscript"/>
        </w:rPr>
        <w:t>4</w:t>
      </w:r>
      <w:r w:rsidRPr="00767542">
        <w:t xml:space="preserve"> = </w:t>
      </w:r>
      <w:r w:rsidR="00F20E35" w:rsidRPr="00F20E35">
        <w:t xml:space="preserve">haemostatic assessment at 4 minutes following time of start of initial study treatment (Fibrin Sealant Grifols, </w:t>
      </w:r>
      <w:proofErr w:type="spellStart"/>
      <w:r w:rsidR="00F20E35" w:rsidRPr="00F20E35">
        <w:t>Surgicel</w:t>
      </w:r>
      <w:proofErr w:type="spellEnd"/>
      <w:r w:rsidR="00F20E35" w:rsidRPr="00F20E35">
        <w:t>, or manual compression) application</w:t>
      </w:r>
      <w:r w:rsidR="00767542">
        <w:t xml:space="preserve">; </w:t>
      </w:r>
      <w:r w:rsidR="00767542" w:rsidRPr="00767542">
        <w:t>TBS = target bleeding site</w:t>
      </w:r>
      <w:r w:rsidR="00767542">
        <w:t xml:space="preserve">; </w:t>
      </w:r>
      <w:proofErr w:type="spellStart"/>
      <w:r w:rsidRPr="00767542">
        <w:t>T</w:t>
      </w:r>
      <w:r w:rsidRPr="00767542">
        <w:rPr>
          <w:vertAlign w:val="subscript"/>
        </w:rPr>
        <w:t>closure</w:t>
      </w:r>
      <w:proofErr w:type="spellEnd"/>
      <w:r w:rsidRPr="00767542">
        <w:t xml:space="preserve"> =</w:t>
      </w:r>
      <w:r w:rsidR="00767542" w:rsidRPr="00767542">
        <w:t xml:space="preserve"> </w:t>
      </w:r>
      <w:r w:rsidR="00F20E35">
        <w:t>t</w:t>
      </w:r>
      <w:r w:rsidR="00F20E35" w:rsidRPr="00F20E35">
        <w:t>ime of completion of the surgical closure by layers of the exposed surgical field containing the target bleeding site</w:t>
      </w:r>
      <w:r w:rsidR="00767542">
        <w:t>.</w:t>
      </w:r>
    </w:p>
    <w:p w14:paraId="787E9076" w14:textId="36B67ABD" w:rsidR="00F957F3" w:rsidRPr="00F45745" w:rsidRDefault="00F957F3" w:rsidP="00F45745">
      <w:r w:rsidRPr="00F45745">
        <w:t xml:space="preserve">The primary efficacy variable was the proportion of patients in the </w:t>
      </w:r>
      <w:r w:rsidR="008B78B6" w:rsidRPr="00F45745">
        <w:t xml:space="preserve">primary part </w:t>
      </w:r>
      <w:r w:rsidRPr="00F45745">
        <w:t>(II) of the study achieving haemostasis (</w:t>
      </w:r>
      <w:r w:rsidR="008B78B6" w:rsidRPr="00F45745">
        <w:t>yes/no</w:t>
      </w:r>
      <w:r w:rsidRPr="00F45745">
        <w:t>) at the TBS by T</w:t>
      </w:r>
      <w:r w:rsidRPr="008B78B6">
        <w:rPr>
          <w:vertAlign w:val="subscript"/>
        </w:rPr>
        <w:t>4</w:t>
      </w:r>
      <w:r w:rsidRPr="00F45745">
        <w:t xml:space="preserve"> without occurrence of re-bleeding and re-application of study treatment after T</w:t>
      </w:r>
      <w:r w:rsidRPr="008B78B6">
        <w:rPr>
          <w:vertAlign w:val="subscript"/>
        </w:rPr>
        <w:t>4</w:t>
      </w:r>
      <w:r w:rsidRPr="00F45745">
        <w:t xml:space="preserve"> and until </w:t>
      </w:r>
      <w:proofErr w:type="spellStart"/>
      <w:r w:rsidRPr="00F45745">
        <w:t>T</w:t>
      </w:r>
      <w:r w:rsidR="008B78B6" w:rsidRPr="008B78B6">
        <w:rPr>
          <w:vertAlign w:val="subscript"/>
        </w:rPr>
        <w:t>c</w:t>
      </w:r>
      <w:r w:rsidRPr="008B78B6">
        <w:rPr>
          <w:vertAlign w:val="subscript"/>
        </w:rPr>
        <w:t>losure</w:t>
      </w:r>
      <w:proofErr w:type="spellEnd"/>
      <w:r w:rsidRPr="00F45745">
        <w:t xml:space="preserve">, and without brisk bleeding and use of alternative haemostatic treatment after </w:t>
      </w:r>
      <w:proofErr w:type="spellStart"/>
      <w:r w:rsidRPr="00F45745">
        <w:t>T</w:t>
      </w:r>
      <w:r w:rsidR="008B78B6" w:rsidRPr="008B78B6">
        <w:rPr>
          <w:vertAlign w:val="subscript"/>
        </w:rPr>
        <w:t>s</w:t>
      </w:r>
      <w:r w:rsidRPr="008B78B6">
        <w:rPr>
          <w:vertAlign w:val="subscript"/>
        </w:rPr>
        <w:t>tart</w:t>
      </w:r>
      <w:proofErr w:type="spellEnd"/>
      <w:r w:rsidRPr="00F45745">
        <w:t xml:space="preserve"> and until </w:t>
      </w:r>
      <w:proofErr w:type="spellStart"/>
      <w:r w:rsidRPr="00F45745">
        <w:t>T</w:t>
      </w:r>
      <w:r w:rsidR="008B78B6" w:rsidRPr="008B78B6">
        <w:rPr>
          <w:vertAlign w:val="subscript"/>
        </w:rPr>
        <w:t>c</w:t>
      </w:r>
      <w:r w:rsidRPr="008B78B6">
        <w:rPr>
          <w:vertAlign w:val="subscript"/>
        </w:rPr>
        <w:t>losure</w:t>
      </w:r>
      <w:proofErr w:type="spellEnd"/>
      <w:r w:rsidRPr="00F45745">
        <w:t>.</w:t>
      </w:r>
    </w:p>
    <w:p w14:paraId="2A790836" w14:textId="26108BF6" w:rsidR="00F957F3" w:rsidRPr="00F45745" w:rsidRDefault="00F957F3" w:rsidP="00F45745">
      <w:r w:rsidRPr="00F45745">
        <w:lastRenderedPageBreak/>
        <w:t>Secondary efficacy endpoints included TTH, the proportion of patients achieving haemostasis at other time points, and prevalence of treatment failures.</w:t>
      </w:r>
    </w:p>
    <w:p w14:paraId="003CD783" w14:textId="4DF68E54" w:rsidR="00F957F3" w:rsidRPr="00F45745" w:rsidRDefault="00F957F3" w:rsidP="00F45745">
      <w:r w:rsidRPr="00F45745">
        <w:t xml:space="preserve">In the statistical analysis plan, it was determined that </w:t>
      </w:r>
      <w:r w:rsidR="006B381B" w:rsidRPr="001B086B">
        <w:t>Fibrin Sealant</w:t>
      </w:r>
      <w:r w:rsidRPr="00F45745">
        <w:t xml:space="preserve"> Grifols would be deemed non-inferior to </w:t>
      </w:r>
      <w:proofErr w:type="spellStart"/>
      <w:r w:rsidRPr="00F45745">
        <w:t>Surgicel</w:t>
      </w:r>
      <w:proofErr w:type="spellEnd"/>
      <w:r w:rsidRPr="00F45745">
        <w:t xml:space="preserve"> if the lower limit of the 95% CI exceeded 0.8. If non</w:t>
      </w:r>
      <w:r w:rsidR="008B78B6">
        <w:noBreakHyphen/>
      </w:r>
      <w:r w:rsidRPr="00F45745">
        <w:t xml:space="preserve">inferiority was established, superiority may have been additionally claimed if the 95% CI was entirely above </w:t>
      </w:r>
      <w:r w:rsidR="008B78B6">
        <w:t>one</w:t>
      </w:r>
      <w:r w:rsidRPr="00F45745">
        <w:t>.</w:t>
      </w:r>
    </w:p>
    <w:p w14:paraId="3924728A" w14:textId="74623622" w:rsidR="00F957F3" w:rsidRPr="00F45745" w:rsidRDefault="008B78B6" w:rsidP="00F45745">
      <w:r>
        <w:t>One hundred and one (</w:t>
      </w:r>
      <w:r w:rsidR="00F957F3" w:rsidRPr="00F45745">
        <w:t>101</w:t>
      </w:r>
      <w:r>
        <w:t>)</w:t>
      </w:r>
      <w:r w:rsidR="00F957F3" w:rsidRPr="00F45745">
        <w:t xml:space="preserve"> </w:t>
      </w:r>
      <w:r w:rsidR="00F957F3" w:rsidRPr="006E6E7E">
        <w:t>patients were enrolled in the preliminary part (I) intent</w:t>
      </w:r>
      <w:r w:rsidRPr="006E6E7E">
        <w:noBreakHyphen/>
      </w:r>
      <w:r w:rsidR="00F957F3" w:rsidRPr="006E6E7E">
        <w:t>to-treat</w:t>
      </w:r>
      <w:r w:rsidR="006E6E7E" w:rsidRPr="006E6E7E">
        <w:t xml:space="preserve"> </w:t>
      </w:r>
      <w:r w:rsidR="00F957F3" w:rsidRPr="006E6E7E">
        <w:t>(ITT)</w:t>
      </w:r>
      <w:r w:rsidR="00A01C3F">
        <w:rPr>
          <w:rStyle w:val="FootnoteReference"/>
        </w:rPr>
        <w:footnoteReference w:id="9"/>
      </w:r>
      <w:r w:rsidR="00F957F3" w:rsidRPr="006E6E7E">
        <w:t xml:space="preserve"> population, 52 of 101 patients were randomi</w:t>
      </w:r>
      <w:r w:rsidRPr="006E6E7E">
        <w:t>s</w:t>
      </w:r>
      <w:r w:rsidR="00F957F3" w:rsidRPr="006E6E7E">
        <w:t xml:space="preserve">ed to </w:t>
      </w:r>
      <w:r w:rsidR="006B381B" w:rsidRPr="006E6E7E">
        <w:t>Fibrin Sealant</w:t>
      </w:r>
      <w:r w:rsidR="00F957F3" w:rsidRPr="006E6E7E">
        <w:t xml:space="preserve"> Grifols, and 49 of 101 patients were randomi</w:t>
      </w:r>
      <w:r w:rsidRPr="006E6E7E">
        <w:t>s</w:t>
      </w:r>
      <w:r w:rsidR="00F957F3" w:rsidRPr="006E6E7E">
        <w:t xml:space="preserve">ed to </w:t>
      </w:r>
      <w:proofErr w:type="spellStart"/>
      <w:r w:rsidR="00F957F3" w:rsidRPr="006E6E7E">
        <w:t>Surgicel</w:t>
      </w:r>
      <w:proofErr w:type="spellEnd"/>
      <w:r w:rsidR="00F957F3" w:rsidRPr="006E6E7E">
        <w:t>.</w:t>
      </w:r>
    </w:p>
    <w:p w14:paraId="464AE995" w14:textId="14ECD740" w:rsidR="00F957F3" w:rsidRPr="00F45745" w:rsidRDefault="00F957F3" w:rsidP="00F45745">
      <w:r w:rsidRPr="00F45745">
        <w:t xml:space="preserve">In the primary part there were 224 patients in </w:t>
      </w:r>
      <w:r w:rsidRPr="006E6E7E">
        <w:t xml:space="preserve">the ITT population, 111 in the </w:t>
      </w:r>
      <w:r w:rsidR="006B381B" w:rsidRPr="006E6E7E">
        <w:t>Fibrin Sealant</w:t>
      </w:r>
      <w:r w:rsidRPr="006E6E7E">
        <w:t xml:space="preserve"> Grifols group and 113 in the </w:t>
      </w:r>
      <w:proofErr w:type="spellStart"/>
      <w:r w:rsidRPr="006E6E7E">
        <w:t>Surgicel</w:t>
      </w:r>
      <w:proofErr w:type="spellEnd"/>
      <w:r w:rsidRPr="006E6E7E">
        <w:t xml:space="preserve"> group. The per</w:t>
      </w:r>
      <w:r w:rsidR="008B78B6" w:rsidRPr="006E6E7E">
        <w:t>-</w:t>
      </w:r>
      <w:r w:rsidRPr="006E6E7E">
        <w:t>protocol (PP)</w:t>
      </w:r>
      <w:r w:rsidR="00A01C3F">
        <w:rPr>
          <w:rStyle w:val="FootnoteReference"/>
        </w:rPr>
        <w:footnoteReference w:id="10"/>
      </w:r>
      <w:r w:rsidRPr="006E6E7E">
        <w:t xml:space="preserve"> population in the </w:t>
      </w:r>
      <w:r w:rsidR="006B381B" w:rsidRPr="006E6E7E">
        <w:t>Fibrin Sealant</w:t>
      </w:r>
      <w:r w:rsidRPr="006E6E7E">
        <w:t xml:space="preserve"> Grifols treatment group included 87 (87/111, 78.4%) patients, with twenty-four (24/111, 21.6%) patients having at least </w:t>
      </w:r>
      <w:r w:rsidR="008B78B6" w:rsidRPr="006E6E7E">
        <w:t>one</w:t>
      </w:r>
      <w:r w:rsidRPr="006E6E7E">
        <w:t xml:space="preserve"> major protocol deviation th</w:t>
      </w:r>
      <w:r w:rsidRPr="00F45745">
        <w:t xml:space="preserve">at might have an impact on the primary efficacy assessment were excluded from the PP </w:t>
      </w:r>
      <w:r w:rsidR="008B78B6" w:rsidRPr="00F45745">
        <w:t>population</w:t>
      </w:r>
      <w:r w:rsidRPr="00F45745">
        <w:t xml:space="preserve">. The PP population in the </w:t>
      </w:r>
      <w:proofErr w:type="spellStart"/>
      <w:r w:rsidRPr="00F45745">
        <w:t>Surgicel</w:t>
      </w:r>
      <w:proofErr w:type="spellEnd"/>
      <w:r w:rsidRPr="00F45745">
        <w:t xml:space="preserve"> treatment group included 100 (100/113, 88.5%), with thirteen (13/113, 11.5%) patients having at least </w:t>
      </w:r>
      <w:r w:rsidR="008B78B6">
        <w:t>one</w:t>
      </w:r>
      <w:r w:rsidRPr="00F45745">
        <w:t xml:space="preserve"> major protocol deviation that might have an impact on the primary efficacy assessment were excluded from the PP population.</w:t>
      </w:r>
    </w:p>
    <w:p w14:paraId="42EFCC00" w14:textId="0571301C" w:rsidR="00F957F3" w:rsidRPr="001F4ACA" w:rsidRDefault="00F957F3" w:rsidP="00F45745">
      <w:r w:rsidRPr="00F45745">
        <w:t>In the ITT population, the rate of haemostasis by T</w:t>
      </w:r>
      <w:r w:rsidRPr="008B78B6">
        <w:rPr>
          <w:vertAlign w:val="subscript"/>
        </w:rPr>
        <w:t>4</w:t>
      </w:r>
      <w:r w:rsidRPr="00F45745">
        <w:t xml:space="preserve"> was 92.8% (103/111 patients) in the </w:t>
      </w:r>
      <w:r w:rsidR="006B381B" w:rsidRPr="001F4ACA">
        <w:t>Fibrin Sealant</w:t>
      </w:r>
      <w:r w:rsidRPr="001F4ACA">
        <w:t xml:space="preserve"> Grifols treatment group and was 80.5% (91/113) in the </w:t>
      </w:r>
      <w:proofErr w:type="spellStart"/>
      <w:r w:rsidRPr="001F4ACA">
        <w:t>Surgicel</w:t>
      </w:r>
      <w:proofErr w:type="spellEnd"/>
      <w:r w:rsidRPr="001F4ACA">
        <w:t xml:space="preserve"> group (RR</w:t>
      </w:r>
      <w:r w:rsidR="008B78B6" w:rsidRPr="001F4ACA">
        <w:t> </w:t>
      </w:r>
      <w:r w:rsidRPr="001F4ACA">
        <w:t>=</w:t>
      </w:r>
      <w:r w:rsidR="008B78B6" w:rsidRPr="001F4ACA">
        <w:t> </w:t>
      </w:r>
      <w:r w:rsidRPr="001F4ACA">
        <w:t>1.152</w:t>
      </w:r>
      <w:r w:rsidR="008B78B6" w:rsidRPr="001F4ACA">
        <w:t>,</w:t>
      </w:r>
      <w:r w:rsidRPr="001F4ACA">
        <w:t xml:space="preserve"> 95% CI: 1.038</w:t>
      </w:r>
      <w:r w:rsidR="008B78B6" w:rsidRPr="001F4ACA">
        <w:t xml:space="preserve">, </w:t>
      </w:r>
      <w:r w:rsidRPr="001F4ACA">
        <w:t>1.279, p</w:t>
      </w:r>
      <w:r w:rsidR="008B78B6" w:rsidRPr="001F4ACA">
        <w:t xml:space="preserve"> </w:t>
      </w:r>
      <w:r w:rsidRPr="001F4ACA">
        <w:t>=</w:t>
      </w:r>
      <w:r w:rsidR="008B78B6" w:rsidRPr="001F4ACA">
        <w:t xml:space="preserve"> </w:t>
      </w:r>
      <w:r w:rsidRPr="001F4ACA">
        <w:t xml:space="preserve">0.10). </w:t>
      </w:r>
      <w:r w:rsidR="006B381B" w:rsidRPr="001F4ACA">
        <w:t>Fibrin Sealant</w:t>
      </w:r>
      <w:r w:rsidRPr="001F4ACA">
        <w:t xml:space="preserve"> Grifols was non-inferior to </w:t>
      </w:r>
      <w:proofErr w:type="spellStart"/>
      <w:r w:rsidRPr="001F4ACA">
        <w:t>Surgicel</w:t>
      </w:r>
      <w:proofErr w:type="spellEnd"/>
      <w:r w:rsidRPr="001F4ACA">
        <w:t xml:space="preserve"> and in addition, the lower limit of the 95% CI is above </w:t>
      </w:r>
      <w:r w:rsidR="001F4ACA" w:rsidRPr="001F4ACA">
        <w:t>one</w:t>
      </w:r>
      <w:r w:rsidRPr="001F4ACA">
        <w:t xml:space="preserve">, indicating that </w:t>
      </w:r>
      <w:r w:rsidR="006B381B" w:rsidRPr="001F4ACA">
        <w:t>Fibrin Sealant</w:t>
      </w:r>
      <w:r w:rsidRPr="001F4ACA">
        <w:t xml:space="preserve"> Grifols was superior to </w:t>
      </w:r>
      <w:proofErr w:type="spellStart"/>
      <w:r w:rsidRPr="001F4ACA">
        <w:t>Surgicel</w:t>
      </w:r>
      <w:proofErr w:type="spellEnd"/>
      <w:r w:rsidRPr="001F4ACA">
        <w:t>. In the PP population, the rate of haemostasis by T</w:t>
      </w:r>
      <w:r w:rsidRPr="001F4ACA">
        <w:rPr>
          <w:vertAlign w:val="subscript"/>
        </w:rPr>
        <w:t>4</w:t>
      </w:r>
      <w:r w:rsidRPr="001F4ACA">
        <w:t xml:space="preserve"> was 98.9% (86/87 patients) in the </w:t>
      </w:r>
      <w:r w:rsidR="006B381B" w:rsidRPr="001F4ACA">
        <w:t>Fibrin Sealant</w:t>
      </w:r>
      <w:r w:rsidRPr="001F4ACA">
        <w:t xml:space="preserve"> Grifols treatment group and 85.0% (85/100 patients) in the </w:t>
      </w:r>
      <w:proofErr w:type="spellStart"/>
      <w:r w:rsidRPr="001F4ACA">
        <w:t>Surgicel</w:t>
      </w:r>
      <w:proofErr w:type="spellEnd"/>
      <w:r w:rsidRPr="001F4ACA">
        <w:t xml:space="preserve"> treatment group (</w:t>
      </w:r>
      <w:r w:rsidR="001F4ACA" w:rsidRPr="001F4ACA">
        <w:t>RR = </w:t>
      </w:r>
      <w:r w:rsidRPr="001F4ACA">
        <w:t>1.163, 95% CI</w:t>
      </w:r>
      <w:r w:rsidR="001F4ACA" w:rsidRPr="001F4ACA">
        <w:t>:</w:t>
      </w:r>
      <w:r w:rsidRPr="001F4ACA">
        <w:t xml:space="preserve"> 1.068</w:t>
      </w:r>
      <w:r w:rsidR="001F4ACA" w:rsidRPr="001F4ACA">
        <w:t xml:space="preserve">. </w:t>
      </w:r>
      <w:r w:rsidRPr="001F4ACA">
        <w:t>1.267, p</w:t>
      </w:r>
      <w:r w:rsidR="001F4ACA" w:rsidRPr="001F4ACA">
        <w:t> </w:t>
      </w:r>
      <w:r w:rsidRPr="001F4ACA">
        <w:t>&lt;</w:t>
      </w:r>
      <w:r w:rsidR="001F4ACA" w:rsidRPr="001F4ACA">
        <w:t> </w:t>
      </w:r>
      <w:r w:rsidRPr="001F4ACA">
        <w:t>0.001).</w:t>
      </w:r>
    </w:p>
    <w:p w14:paraId="2255D1C3" w14:textId="792528A1" w:rsidR="00F957F3" w:rsidRPr="00F45745" w:rsidRDefault="00F957F3" w:rsidP="00F45745">
      <w:r w:rsidRPr="001F4ACA">
        <w:t>In terms of secondary endpoints, the rate of haemostasis by T</w:t>
      </w:r>
      <w:r w:rsidRPr="001F4ACA">
        <w:rPr>
          <w:vertAlign w:val="subscript"/>
        </w:rPr>
        <w:t>3</w:t>
      </w:r>
      <w:r w:rsidRPr="001F4ACA">
        <w:t xml:space="preserve"> in the ITT population of the </w:t>
      </w:r>
      <w:r w:rsidR="001F4ACA" w:rsidRPr="001F4ACA">
        <w:t xml:space="preserve">primary part </w:t>
      </w:r>
      <w:r w:rsidRPr="001F4ACA">
        <w:t xml:space="preserve">(II) of the study was 85.6% (95/111) in the </w:t>
      </w:r>
      <w:r w:rsidR="006B381B" w:rsidRPr="001F4ACA">
        <w:t>Fibrin Sealant</w:t>
      </w:r>
      <w:r w:rsidRPr="001F4ACA">
        <w:t xml:space="preserve"> Grifols treatment group compared to 62.8% (71/113) in the </w:t>
      </w:r>
      <w:proofErr w:type="spellStart"/>
      <w:r w:rsidRPr="001F4ACA">
        <w:t>Surgicel</w:t>
      </w:r>
      <w:proofErr w:type="spellEnd"/>
      <w:r w:rsidRPr="001F4ACA">
        <w:t xml:space="preserve"> group (</w:t>
      </w:r>
      <w:r w:rsidR="001F4ACA" w:rsidRPr="001F4ACA">
        <w:t>RR = </w:t>
      </w:r>
      <w:r w:rsidRPr="001F4ACA">
        <w:t>1.362, 95% CI:</w:t>
      </w:r>
      <w:r w:rsidR="001F4ACA" w:rsidRPr="001F4ACA">
        <w:t xml:space="preserve"> </w:t>
      </w:r>
      <w:r w:rsidRPr="001F4ACA">
        <w:t>1.160, 1.600, p</w:t>
      </w:r>
      <w:r w:rsidR="001F4ACA">
        <w:t xml:space="preserve"> </w:t>
      </w:r>
      <w:r w:rsidRPr="001F4ACA">
        <w:t>&lt;</w:t>
      </w:r>
      <w:r w:rsidR="001F4ACA">
        <w:t xml:space="preserve"> </w:t>
      </w:r>
      <w:r w:rsidRPr="001F4ACA">
        <w:t>0.001). The median TTH was statistically and significantly shorter (p</w:t>
      </w:r>
      <w:r w:rsidR="001F4ACA">
        <w:t> </w:t>
      </w:r>
      <w:r w:rsidRPr="001F4ACA">
        <w:t>&lt;</w:t>
      </w:r>
      <w:r w:rsidR="001F4ACA">
        <w:t> </w:t>
      </w:r>
      <w:r w:rsidRPr="001F4ACA">
        <w:t xml:space="preserve">0.001) in the </w:t>
      </w:r>
      <w:r w:rsidR="006B381B" w:rsidRPr="001F4ACA">
        <w:t>Fibrin Sealant</w:t>
      </w:r>
      <w:r w:rsidRPr="001F4ACA">
        <w:t xml:space="preserve"> Grifols treatment group (2.0 minutes) compared</w:t>
      </w:r>
      <w:r w:rsidRPr="00F45745">
        <w:t xml:space="preserve"> to the </w:t>
      </w:r>
      <w:proofErr w:type="spellStart"/>
      <w:r w:rsidRPr="00F45745">
        <w:t>Surgicel</w:t>
      </w:r>
      <w:proofErr w:type="spellEnd"/>
      <w:r w:rsidRPr="00F45745">
        <w:t xml:space="preserve"> treatment group (3.0 minutes). The rates of haemostasis by T</w:t>
      </w:r>
      <w:r w:rsidRPr="001F4ACA">
        <w:rPr>
          <w:vertAlign w:val="subscript"/>
        </w:rPr>
        <w:t>2</w:t>
      </w:r>
      <w:r w:rsidRPr="00F45745">
        <w:t>, T</w:t>
      </w:r>
      <w:r w:rsidRPr="001F4ACA">
        <w:rPr>
          <w:vertAlign w:val="subscript"/>
        </w:rPr>
        <w:t>5</w:t>
      </w:r>
      <w:r w:rsidRPr="00F45745">
        <w:t xml:space="preserve"> and T</w:t>
      </w:r>
      <w:r w:rsidRPr="001F4ACA">
        <w:rPr>
          <w:vertAlign w:val="subscript"/>
        </w:rPr>
        <w:t>7</w:t>
      </w:r>
      <w:r w:rsidRPr="00F45745">
        <w:t xml:space="preserve"> were higher and statistically superior in the </w:t>
      </w:r>
      <w:r w:rsidR="006B381B">
        <w:t>Fibrin Sealant</w:t>
      </w:r>
      <w:r w:rsidRPr="00F45745">
        <w:t xml:space="preserve"> Grifols treatment groups compared to the </w:t>
      </w:r>
      <w:proofErr w:type="spellStart"/>
      <w:r w:rsidRPr="00F45745">
        <w:t>Surgicel</w:t>
      </w:r>
      <w:proofErr w:type="spellEnd"/>
      <w:r w:rsidRPr="00F45745">
        <w:t xml:space="preserve"> treatment groups. By T</w:t>
      </w:r>
      <w:r w:rsidRPr="001F4ACA">
        <w:rPr>
          <w:vertAlign w:val="subscript"/>
        </w:rPr>
        <w:t>10</w:t>
      </w:r>
      <w:r w:rsidRPr="00F45745">
        <w:t xml:space="preserve">, both </w:t>
      </w:r>
      <w:r w:rsidR="006B381B">
        <w:t>Fibrin Sealant</w:t>
      </w:r>
      <w:r w:rsidRPr="00F45745">
        <w:t xml:space="preserve"> Grifols and </w:t>
      </w:r>
      <w:proofErr w:type="spellStart"/>
      <w:r w:rsidRPr="00F45745">
        <w:t>Surgicel</w:t>
      </w:r>
      <w:proofErr w:type="spellEnd"/>
      <w:r w:rsidRPr="00F45745">
        <w:t xml:space="preserve"> had similar rates of haemostasis. The estimated ratio of proportion of treatment failure in patients receiving </w:t>
      </w:r>
      <w:r w:rsidR="006B381B">
        <w:t>Fibrin Sealant</w:t>
      </w:r>
      <w:r w:rsidRPr="00F45745">
        <w:t xml:space="preserve"> Grifols relative to </w:t>
      </w:r>
      <w:proofErr w:type="spellStart"/>
      <w:r w:rsidRPr="00F45745">
        <w:t>Surgicel</w:t>
      </w:r>
      <w:proofErr w:type="spellEnd"/>
      <w:r w:rsidRPr="00F45745">
        <w:t xml:space="preserve"> was 0.370 (0.172, 0.796, p</w:t>
      </w:r>
      <w:r w:rsidR="001F4ACA">
        <w:t> </w:t>
      </w:r>
      <w:r w:rsidRPr="00F45745">
        <w:t>=</w:t>
      </w:r>
      <w:r w:rsidR="001F4ACA">
        <w:t> </w:t>
      </w:r>
      <w:r w:rsidRPr="00F45745">
        <w:t>0.010).</w:t>
      </w:r>
    </w:p>
    <w:p w14:paraId="769315D9" w14:textId="77777777" w:rsidR="00F957F3" w:rsidRPr="00F45745" w:rsidRDefault="00F957F3" w:rsidP="00F45745">
      <w:r w:rsidRPr="00F45745">
        <w:t>Subgroup analyses of efficacy by the size of the TBS suggest similar efficacy between treatment groups for large (&gt; 100 cm</w:t>
      </w:r>
      <w:r w:rsidRPr="001F4ACA">
        <w:rPr>
          <w:vertAlign w:val="superscript"/>
        </w:rPr>
        <w:t>2</w:t>
      </w:r>
      <w:r w:rsidRPr="00F45745">
        <w:t>) bleeding surfaces although sample size was too small to conclude.</w:t>
      </w:r>
    </w:p>
    <w:p w14:paraId="14F6542D" w14:textId="77777777" w:rsidR="00F957F3" w:rsidRDefault="00F957F3" w:rsidP="00EA5011">
      <w:pPr>
        <w:pStyle w:val="Heading5"/>
      </w:pPr>
      <w:r>
        <w:t>Study IG1103</w:t>
      </w:r>
    </w:p>
    <w:p w14:paraId="490811C5" w14:textId="42659032" w:rsidR="00F957F3" w:rsidRPr="00F45745" w:rsidRDefault="00F957F3" w:rsidP="00F45745">
      <w:r w:rsidRPr="00F45745">
        <w:t>This was a prospective, single</w:t>
      </w:r>
      <w:r w:rsidR="001F4ACA">
        <w:t xml:space="preserve"> </w:t>
      </w:r>
      <w:r w:rsidRPr="00F45745">
        <w:t xml:space="preserve">blinded, randomised, non-inferiority </w:t>
      </w:r>
      <w:r w:rsidR="00A03DB5" w:rsidRPr="00F45745">
        <w:t>Phase</w:t>
      </w:r>
      <w:r w:rsidRPr="00F45745">
        <w:t xml:space="preserve"> III study comparing </w:t>
      </w:r>
      <w:r w:rsidR="006B381B">
        <w:t>Fibrin Sealant</w:t>
      </w:r>
      <w:r w:rsidRPr="00F45745">
        <w:t xml:space="preserve"> Grifols with </w:t>
      </w:r>
      <w:proofErr w:type="spellStart"/>
      <w:r w:rsidRPr="00F45745">
        <w:t>Surgicel</w:t>
      </w:r>
      <w:proofErr w:type="spellEnd"/>
      <w:r w:rsidRPr="00F45745">
        <w:t xml:space="preserve"> during soft tissue open surgeries. The study design and duration were identical to Study IG1102. Adult and paediatric patients </w:t>
      </w:r>
      <w:r w:rsidRPr="00F45745">
        <w:lastRenderedPageBreak/>
        <w:t xml:space="preserve">undergoing urologic, </w:t>
      </w:r>
      <w:r w:rsidR="001F4ACA" w:rsidRPr="00F45745">
        <w:t>gynaecologic,</w:t>
      </w:r>
      <w:r w:rsidRPr="00F45745">
        <w:t xml:space="preserve"> or general surgery procedures were eligible. Primary and secondary efficacy variables were the same as for Study IG1102.</w:t>
      </w:r>
    </w:p>
    <w:p w14:paraId="559EA116" w14:textId="77777777" w:rsidR="00F957F3" w:rsidRPr="00F45745" w:rsidRDefault="00F957F3" w:rsidP="00F45745">
      <w:r w:rsidRPr="00F45745">
        <w:t>The following elective, open surgical procedures were included:</w:t>
      </w:r>
    </w:p>
    <w:p w14:paraId="41969FC2" w14:textId="472309E6" w:rsidR="00F957F3" w:rsidRPr="00F45745" w:rsidRDefault="00F957F3" w:rsidP="00F45745">
      <w:pPr>
        <w:pStyle w:val="ListBullet"/>
      </w:pPr>
      <w:r w:rsidRPr="00F45745">
        <w:t>Simple or radical nephrectomies</w:t>
      </w:r>
    </w:p>
    <w:p w14:paraId="4A7BBC5A" w14:textId="263F96FF" w:rsidR="00F957F3" w:rsidRPr="00F45745" w:rsidRDefault="00F957F3" w:rsidP="00F45745">
      <w:pPr>
        <w:pStyle w:val="ListBullet"/>
      </w:pPr>
      <w:r w:rsidRPr="00F45745">
        <w:t>Total adrenalectomies</w:t>
      </w:r>
    </w:p>
    <w:p w14:paraId="07F5B199" w14:textId="70907153" w:rsidR="00F957F3" w:rsidRPr="00F45745" w:rsidRDefault="00F957F3" w:rsidP="00F45745">
      <w:pPr>
        <w:pStyle w:val="ListBullet"/>
      </w:pPr>
      <w:r w:rsidRPr="00F45745">
        <w:t>Radical prostatectomies</w:t>
      </w:r>
    </w:p>
    <w:p w14:paraId="77AAF972" w14:textId="7058824C" w:rsidR="00F957F3" w:rsidRPr="00F45745" w:rsidRDefault="00F957F3" w:rsidP="00F45745">
      <w:pPr>
        <w:pStyle w:val="ListBullet"/>
      </w:pPr>
      <w:proofErr w:type="spellStart"/>
      <w:r w:rsidRPr="00F45745">
        <w:t>Pyeloplasties</w:t>
      </w:r>
      <w:proofErr w:type="spellEnd"/>
    </w:p>
    <w:p w14:paraId="75307376" w14:textId="0E8B9546" w:rsidR="00F957F3" w:rsidRPr="00F45745" w:rsidRDefault="00F957F3" w:rsidP="00F45745">
      <w:pPr>
        <w:pStyle w:val="ListBullet"/>
      </w:pPr>
      <w:r w:rsidRPr="00F45745">
        <w:t>Radical cystectomies</w:t>
      </w:r>
    </w:p>
    <w:p w14:paraId="5ECA692E" w14:textId="1BEA550E" w:rsidR="00F957F3" w:rsidRPr="00F45745" w:rsidRDefault="00F957F3" w:rsidP="00F45745">
      <w:pPr>
        <w:pStyle w:val="ListBullet"/>
      </w:pPr>
      <w:r w:rsidRPr="00F45745">
        <w:t>Simple or radical hysterectomies</w:t>
      </w:r>
    </w:p>
    <w:p w14:paraId="1631F888" w14:textId="083E45DA" w:rsidR="00F957F3" w:rsidRPr="00F45745" w:rsidRDefault="00F957F3" w:rsidP="00F45745">
      <w:pPr>
        <w:pStyle w:val="ListBullet"/>
      </w:pPr>
      <w:r w:rsidRPr="00F45745">
        <w:t>Lymphadenectomies were permitted in the retroperitoneal or pelvic region, only</w:t>
      </w:r>
    </w:p>
    <w:p w14:paraId="161845B0" w14:textId="4574FE71" w:rsidR="00F957F3" w:rsidRPr="00F45745" w:rsidRDefault="00F957F3" w:rsidP="00F45745">
      <w:pPr>
        <w:pStyle w:val="ListBullet"/>
      </w:pPr>
      <w:r w:rsidRPr="00F45745">
        <w:t xml:space="preserve">Retroperitoneal </w:t>
      </w:r>
      <w:r w:rsidR="001F4ACA" w:rsidRPr="00F45745">
        <w:t>tumour</w:t>
      </w:r>
      <w:r w:rsidRPr="00F45745">
        <w:t xml:space="preserve"> resections. Additional soft tissue surgical types beyond the retroperitoneal and pelvic regions were permitted, resulting in the inclusion of mastopexies and abdominoplasties. The percentage of subjects enrolled with mastopexies and abdominoplasties could not have been &gt;</w:t>
      </w:r>
      <w:r w:rsidR="00F141FF">
        <w:t xml:space="preserve"> </w:t>
      </w:r>
      <w:r w:rsidRPr="00F45745">
        <w:t xml:space="preserve">35% in the </w:t>
      </w:r>
      <w:r w:rsidR="001F4ACA" w:rsidRPr="00F45745">
        <w:t xml:space="preserve">primary part </w:t>
      </w:r>
      <w:r w:rsidRPr="00F45745">
        <w:t>(II) of the study.</w:t>
      </w:r>
    </w:p>
    <w:p w14:paraId="3C3620F8" w14:textId="4F867583" w:rsidR="00F957F3" w:rsidRPr="00F45745" w:rsidRDefault="00F957F3" w:rsidP="00F45745">
      <w:r w:rsidRPr="00F45745">
        <w:t xml:space="preserve">Application of </w:t>
      </w:r>
      <w:r w:rsidR="006B381B">
        <w:t>Fibrin Sealant</w:t>
      </w:r>
      <w:r w:rsidRPr="00F45745">
        <w:t xml:space="preserve"> Grifols was by dripping and/or spraying with gas pressure assistance.</w:t>
      </w:r>
    </w:p>
    <w:p w14:paraId="039B8E22" w14:textId="0FEBD30B" w:rsidR="00F957F3" w:rsidRPr="001F4ACA" w:rsidRDefault="00F957F3" w:rsidP="00F45745">
      <w:r w:rsidRPr="00F45745">
        <w:t xml:space="preserve">In the preliminary part of the study (I), the ITT population consisted of 103 </w:t>
      </w:r>
      <w:proofErr w:type="gramStart"/>
      <w:r w:rsidRPr="00F45745">
        <w:t>patients;</w:t>
      </w:r>
      <w:proofErr w:type="gramEnd"/>
      <w:r w:rsidRPr="00F45745">
        <w:t xml:space="preserve"> 51</w:t>
      </w:r>
      <w:r w:rsidR="001F4ACA">
        <w:t> </w:t>
      </w:r>
      <w:r w:rsidRPr="00F45745">
        <w:t xml:space="preserve">randomised to </w:t>
      </w:r>
      <w:r w:rsidR="006B381B">
        <w:t>Fibrin Sealant</w:t>
      </w:r>
      <w:r w:rsidRPr="00F45745">
        <w:t xml:space="preserve"> Grifols and 52 to </w:t>
      </w:r>
      <w:proofErr w:type="spellStart"/>
      <w:r w:rsidRPr="00F45745">
        <w:t>Surgicel</w:t>
      </w:r>
      <w:proofErr w:type="spellEnd"/>
      <w:r w:rsidRPr="00F45745">
        <w:t xml:space="preserve">. In the primary part (II), there were 224 patients in the ITT population, 116 randomised to </w:t>
      </w:r>
      <w:r w:rsidR="006B381B">
        <w:t>Fibrin Sealant</w:t>
      </w:r>
      <w:r w:rsidRPr="00F45745">
        <w:t xml:space="preserve"> Grifols and 108 to </w:t>
      </w:r>
      <w:proofErr w:type="spellStart"/>
      <w:r w:rsidRPr="001F4ACA">
        <w:t>Surgicel</w:t>
      </w:r>
      <w:proofErr w:type="spellEnd"/>
      <w:r w:rsidRPr="001F4ACA">
        <w:t xml:space="preserve">. The PP population of the </w:t>
      </w:r>
      <w:r w:rsidR="006B381B" w:rsidRPr="001F4ACA">
        <w:t>Fibrin Sealant</w:t>
      </w:r>
      <w:r w:rsidRPr="001F4ACA">
        <w:t xml:space="preserve"> Grifols group included 104/116 (89.7%) patients. The PP population in the </w:t>
      </w:r>
      <w:proofErr w:type="spellStart"/>
      <w:r w:rsidRPr="001F4ACA">
        <w:t>Surgicel</w:t>
      </w:r>
      <w:proofErr w:type="spellEnd"/>
      <w:r w:rsidRPr="001F4ACA">
        <w:t xml:space="preserve"> group included 102/108 (94.4%) patients.</w:t>
      </w:r>
    </w:p>
    <w:p w14:paraId="01A85F22" w14:textId="6402C085" w:rsidR="00F957F3" w:rsidRPr="001F4ACA" w:rsidRDefault="00F957F3" w:rsidP="00F45745">
      <w:r w:rsidRPr="001F4ACA">
        <w:t>In the ITT population, the rate of haemostasis by T</w:t>
      </w:r>
      <w:r w:rsidRPr="001F4ACA">
        <w:rPr>
          <w:vertAlign w:val="subscript"/>
        </w:rPr>
        <w:t>4</w:t>
      </w:r>
      <w:r w:rsidRPr="001F4ACA">
        <w:t xml:space="preserve"> was 82.8% (96/116 patients) in the </w:t>
      </w:r>
      <w:r w:rsidR="006B381B" w:rsidRPr="001F4ACA">
        <w:t>Fibrin Sealant</w:t>
      </w:r>
      <w:r w:rsidRPr="001F4ACA">
        <w:t xml:space="preserve"> Grifols treatment group and was 77.8% (84/108 patients) in the </w:t>
      </w:r>
      <w:proofErr w:type="spellStart"/>
      <w:r w:rsidRPr="001F4ACA">
        <w:t>Surgicel</w:t>
      </w:r>
      <w:proofErr w:type="spellEnd"/>
      <w:r w:rsidRPr="001F4ACA">
        <w:t xml:space="preserve"> treatment group (</w:t>
      </w:r>
      <w:r w:rsidR="001F4ACA" w:rsidRPr="001F4ACA">
        <w:t>RR = </w:t>
      </w:r>
      <w:r w:rsidRPr="001F4ACA">
        <w:t xml:space="preserve">1.064, 95% CI: 0.934, 1.213, p = 0.401). In the PP population, the primary efficacy endpoint of haemostasis by </w:t>
      </w:r>
      <w:r w:rsidR="001F4ACA" w:rsidRPr="00F45745">
        <w:t>T</w:t>
      </w:r>
      <w:r w:rsidR="001F4ACA" w:rsidRPr="008B78B6">
        <w:rPr>
          <w:vertAlign w:val="subscript"/>
        </w:rPr>
        <w:t>4</w:t>
      </w:r>
      <w:r w:rsidRPr="001F4ACA">
        <w:t xml:space="preserve"> was also achieved by 87/104 (83.7%) patients in the </w:t>
      </w:r>
      <w:r w:rsidR="006B381B" w:rsidRPr="001F4ACA">
        <w:t>Fibrin Sealant</w:t>
      </w:r>
      <w:r w:rsidRPr="001F4ACA">
        <w:t xml:space="preserve"> Grifols group and 78/102 (76.5%) in the </w:t>
      </w:r>
      <w:proofErr w:type="spellStart"/>
      <w:r w:rsidRPr="001F4ACA">
        <w:t>Surgicel</w:t>
      </w:r>
      <w:proofErr w:type="spellEnd"/>
      <w:r w:rsidRPr="001F4ACA">
        <w:t xml:space="preserve"> group (</w:t>
      </w:r>
      <w:r w:rsidR="001F4ACA" w:rsidRPr="001F4ACA">
        <w:t>RR = </w:t>
      </w:r>
      <w:r w:rsidRPr="001F4ACA">
        <w:t>1.094, 95%CI</w:t>
      </w:r>
      <w:r w:rsidR="001F4ACA" w:rsidRPr="001F4ACA">
        <w:t>:</w:t>
      </w:r>
      <w:r w:rsidRPr="001F4ACA">
        <w:t xml:space="preserve"> 0.954</w:t>
      </w:r>
      <w:r w:rsidR="001F4ACA" w:rsidRPr="001F4ACA">
        <w:t xml:space="preserve">, </w:t>
      </w:r>
      <w:r w:rsidRPr="001F4ACA">
        <w:t>1.255, p</w:t>
      </w:r>
      <w:r w:rsidR="001F4ACA">
        <w:t xml:space="preserve"> </w:t>
      </w:r>
      <w:r w:rsidRPr="001F4ACA">
        <w:t>=</w:t>
      </w:r>
      <w:r w:rsidR="001F4ACA">
        <w:t xml:space="preserve"> </w:t>
      </w:r>
      <w:r w:rsidRPr="001F4ACA">
        <w:t>0.224).</w:t>
      </w:r>
    </w:p>
    <w:p w14:paraId="33565858" w14:textId="3E4F5994" w:rsidR="00F957F3" w:rsidRPr="00F45745" w:rsidRDefault="00F957F3" w:rsidP="00F45745">
      <w:r w:rsidRPr="001F4ACA">
        <w:t xml:space="preserve">The rate of haemostasis in the ITT population of the </w:t>
      </w:r>
      <w:r w:rsidR="001F4ACA" w:rsidRPr="001F4ACA">
        <w:t xml:space="preserve">primary part </w:t>
      </w:r>
      <w:r w:rsidRPr="001F4ACA">
        <w:t xml:space="preserve">(II) of the study was significantly higher (p = 0.015) in the </w:t>
      </w:r>
      <w:r w:rsidR="006B381B" w:rsidRPr="001F4ACA">
        <w:t>Fibrin Sealant</w:t>
      </w:r>
      <w:r w:rsidRPr="001F4ACA">
        <w:t xml:space="preserve"> Grifols treatment group (75.9%, 88/116 patients) compared to the </w:t>
      </w:r>
      <w:proofErr w:type="spellStart"/>
      <w:r w:rsidRPr="001F4ACA">
        <w:t>Surgicel</w:t>
      </w:r>
      <w:proofErr w:type="spellEnd"/>
      <w:r w:rsidRPr="001F4ACA">
        <w:t xml:space="preserve"> treatment group (60.2%, 65/108 patients) only at T</w:t>
      </w:r>
      <w:r w:rsidRPr="001F4ACA">
        <w:rPr>
          <w:vertAlign w:val="subscript"/>
        </w:rPr>
        <w:t>3</w:t>
      </w:r>
      <w:r w:rsidRPr="001F4ACA">
        <w:t>. Inferential analyses of the ratio and 95% CI of proportion of patients achieving haemostasis at the TBS by T</w:t>
      </w:r>
      <w:r w:rsidRPr="001F4ACA">
        <w:rPr>
          <w:vertAlign w:val="subscript"/>
        </w:rPr>
        <w:t>3</w:t>
      </w:r>
      <w:r w:rsidRPr="001F4ACA">
        <w:t xml:space="preserve"> in patients receiving </w:t>
      </w:r>
      <w:r w:rsidR="006B381B" w:rsidRPr="001F4ACA">
        <w:t>Fibrin Sealant</w:t>
      </w:r>
      <w:r w:rsidRPr="001F4ACA">
        <w:t xml:space="preserve"> Grifols relative to </w:t>
      </w:r>
      <w:proofErr w:type="spellStart"/>
      <w:r w:rsidRPr="001F4ACA">
        <w:t>Surgicel</w:t>
      </w:r>
      <w:proofErr w:type="spellEnd"/>
      <w:r w:rsidRPr="001F4ACA">
        <w:t xml:space="preserve"> was 1.260 (1.048, 1.516), indicating that </w:t>
      </w:r>
      <w:r w:rsidR="006B381B" w:rsidRPr="001F4ACA">
        <w:t>Fibrin Sealant</w:t>
      </w:r>
      <w:r w:rsidRPr="001F4ACA">
        <w:t xml:space="preserve"> Grifols was superior to </w:t>
      </w:r>
      <w:proofErr w:type="spellStart"/>
      <w:r w:rsidRPr="001F4ACA">
        <w:t>Surgicel</w:t>
      </w:r>
      <w:proofErr w:type="spellEnd"/>
      <w:r w:rsidRPr="001F4ACA">
        <w:t xml:space="preserve"> at </w:t>
      </w:r>
      <w:r w:rsidR="001F4ACA" w:rsidRPr="001F4ACA">
        <w:t>T</w:t>
      </w:r>
      <w:r w:rsidR="001F4ACA" w:rsidRPr="001F4ACA">
        <w:rPr>
          <w:vertAlign w:val="subscript"/>
        </w:rPr>
        <w:t>3</w:t>
      </w:r>
      <w:r w:rsidRPr="001F4ACA">
        <w:t>.</w:t>
      </w:r>
    </w:p>
    <w:p w14:paraId="05E588F2" w14:textId="0F1F8573" w:rsidR="00F957F3" w:rsidRPr="001F4ACA" w:rsidRDefault="00F957F3" w:rsidP="00F45745">
      <w:r w:rsidRPr="00F45745">
        <w:t xml:space="preserve">The median TTH was 2.0 minutes in the </w:t>
      </w:r>
      <w:r w:rsidR="006B381B">
        <w:t>Fibrin Sealant</w:t>
      </w:r>
      <w:r w:rsidRPr="00F45745">
        <w:t xml:space="preserve"> Grifols treatment group and 3.0</w:t>
      </w:r>
      <w:r w:rsidR="001F4ACA">
        <w:t> </w:t>
      </w:r>
      <w:r w:rsidRPr="00F45745">
        <w:t>minutes in the</w:t>
      </w:r>
      <w:r w:rsidR="001F4ACA">
        <w:t xml:space="preserve"> </w:t>
      </w:r>
      <w:proofErr w:type="spellStart"/>
      <w:r w:rsidRPr="00F45745">
        <w:t>Surgicel</w:t>
      </w:r>
      <w:proofErr w:type="spellEnd"/>
      <w:r w:rsidRPr="00F45745">
        <w:t xml:space="preserve"> treatment group, but not significantly different (p = 0.06). Inferential analyses of the ratio and 95% CI of proportion of patients achieving haemostasis at the TBS by T</w:t>
      </w:r>
      <w:r w:rsidRPr="001F4ACA">
        <w:rPr>
          <w:vertAlign w:val="subscript"/>
        </w:rPr>
        <w:t>2</w:t>
      </w:r>
      <w:r w:rsidRPr="00F45745">
        <w:t xml:space="preserve">, </w:t>
      </w:r>
      <w:r w:rsidR="001F4ACA" w:rsidRPr="00F45745">
        <w:t>T</w:t>
      </w:r>
      <w:r w:rsidR="001F4ACA" w:rsidRPr="008B78B6">
        <w:rPr>
          <w:vertAlign w:val="subscript"/>
        </w:rPr>
        <w:t>5</w:t>
      </w:r>
      <w:r w:rsidRPr="00F45745">
        <w:t>, T</w:t>
      </w:r>
      <w:r w:rsidRPr="001F4ACA">
        <w:rPr>
          <w:vertAlign w:val="subscript"/>
        </w:rPr>
        <w:t>7</w:t>
      </w:r>
      <w:r w:rsidRPr="00F45745">
        <w:t>, and T</w:t>
      </w:r>
      <w:r w:rsidRPr="001F4ACA">
        <w:rPr>
          <w:vertAlign w:val="subscript"/>
        </w:rPr>
        <w:t>10</w:t>
      </w:r>
      <w:r w:rsidRPr="00F45745">
        <w:t xml:space="preserve"> in patients receiving </w:t>
      </w:r>
      <w:r w:rsidR="006B381B">
        <w:t>Fibrin Sealant</w:t>
      </w:r>
      <w:r w:rsidRPr="00F45745">
        <w:t xml:space="preserve"> Grifols relative to </w:t>
      </w:r>
      <w:proofErr w:type="spellStart"/>
      <w:r w:rsidRPr="00F45745">
        <w:t>Surgicel</w:t>
      </w:r>
      <w:proofErr w:type="spellEnd"/>
      <w:r w:rsidRPr="00F45745">
        <w:t xml:space="preserve"> indicated that </w:t>
      </w:r>
      <w:r w:rsidR="006B381B">
        <w:t>Fibrin Sealant</w:t>
      </w:r>
      <w:r w:rsidRPr="00F45745">
        <w:t xml:space="preserve"> Grifols was non-inferior to </w:t>
      </w:r>
      <w:proofErr w:type="spellStart"/>
      <w:r w:rsidRPr="00F45745">
        <w:t>Surgicel</w:t>
      </w:r>
      <w:proofErr w:type="spellEnd"/>
      <w:r w:rsidRPr="00F45745">
        <w:t xml:space="preserve">. The rates of haemostasis were not statistically different between treatment groups at all time points. The rate of </w:t>
      </w:r>
      <w:r w:rsidRPr="001F4ACA">
        <w:t xml:space="preserve">treatment failure was lower, but not statistically significant in the </w:t>
      </w:r>
      <w:r w:rsidR="006B381B" w:rsidRPr="001F4ACA">
        <w:t>Fibrin Sealant</w:t>
      </w:r>
      <w:r w:rsidRPr="001F4ACA">
        <w:t xml:space="preserve"> Grifols treatment group (20/116 </w:t>
      </w:r>
      <w:r w:rsidR="001F4ACA" w:rsidRPr="001F4ACA">
        <w:t>(</w:t>
      </w:r>
      <w:r w:rsidRPr="001F4ACA">
        <w:t>17.2%</w:t>
      </w:r>
      <w:r w:rsidR="001F4ACA" w:rsidRPr="001F4ACA">
        <w:t>)</w:t>
      </w:r>
      <w:r w:rsidRPr="001F4ACA">
        <w:t xml:space="preserve">) compared to the </w:t>
      </w:r>
      <w:proofErr w:type="spellStart"/>
      <w:r w:rsidRPr="001F4ACA">
        <w:t>Surgicel</w:t>
      </w:r>
      <w:proofErr w:type="spellEnd"/>
      <w:r w:rsidRPr="001F4ACA">
        <w:t xml:space="preserve"> treatment group (24/108 </w:t>
      </w:r>
      <w:r w:rsidR="001F4ACA" w:rsidRPr="001F4ACA">
        <w:t>(</w:t>
      </w:r>
      <w:r w:rsidRPr="001F4ACA">
        <w:t>22.2%</w:t>
      </w:r>
      <w:r w:rsidR="001F4ACA" w:rsidRPr="001F4ACA">
        <w:t>)</w:t>
      </w:r>
      <w:r w:rsidRPr="001F4ACA">
        <w:t xml:space="preserve">), </w:t>
      </w:r>
      <w:r w:rsidR="001F4ACA" w:rsidRPr="001F4ACA">
        <w:t>RR = </w:t>
      </w:r>
      <w:r w:rsidRPr="001F4ACA">
        <w:t>0.776, 95%CI: 0.456, 1.321, p=0.401).</w:t>
      </w:r>
    </w:p>
    <w:p w14:paraId="51054BDB" w14:textId="4F47ACE3" w:rsidR="00F957F3" w:rsidRPr="00F45745" w:rsidRDefault="00F957F3" w:rsidP="00F45745">
      <w:r w:rsidRPr="001F4ACA">
        <w:t>Subgroup analyses of efficacy by the size of the TBS suggest similar efficacy between treatment groups for large (&gt; 100 cm</w:t>
      </w:r>
      <w:r w:rsidRPr="001F4ACA">
        <w:rPr>
          <w:vertAlign w:val="superscript"/>
        </w:rPr>
        <w:t>2</w:t>
      </w:r>
      <w:r w:rsidRPr="001F4ACA">
        <w:t>) and m</w:t>
      </w:r>
      <w:r w:rsidRPr="00F45745">
        <w:t>edium (&gt;</w:t>
      </w:r>
      <w:r w:rsidR="001F4ACA">
        <w:t xml:space="preserve"> </w:t>
      </w:r>
      <w:r w:rsidRPr="00F45745">
        <w:t>10 cm</w:t>
      </w:r>
      <w:r w:rsidRPr="001F4ACA">
        <w:rPr>
          <w:vertAlign w:val="superscript"/>
        </w:rPr>
        <w:t>2</w:t>
      </w:r>
      <w:r w:rsidRPr="00F45745">
        <w:t xml:space="preserve"> and ≤</w:t>
      </w:r>
      <w:r w:rsidR="001F4ACA">
        <w:t xml:space="preserve"> </w:t>
      </w:r>
      <w:r w:rsidRPr="00F45745">
        <w:t>100 cm</w:t>
      </w:r>
      <w:r w:rsidRPr="001F4ACA">
        <w:rPr>
          <w:vertAlign w:val="superscript"/>
        </w:rPr>
        <w:t>2</w:t>
      </w:r>
      <w:r w:rsidRPr="00F45745">
        <w:t xml:space="preserve">) size </w:t>
      </w:r>
      <w:r w:rsidRPr="00F45745">
        <w:lastRenderedPageBreak/>
        <w:t>bleeding surfaces, but with a higher proportion of small (≤</w:t>
      </w:r>
      <w:r w:rsidR="001F4ACA">
        <w:t xml:space="preserve"> </w:t>
      </w:r>
      <w:r w:rsidRPr="00F45745">
        <w:t>10 cm</w:t>
      </w:r>
      <w:r w:rsidRPr="001F4ACA">
        <w:rPr>
          <w:vertAlign w:val="superscript"/>
        </w:rPr>
        <w:t>2</w:t>
      </w:r>
      <w:r w:rsidRPr="00F45745">
        <w:t xml:space="preserve">) bleeding surfaces achieving haemostasis in the </w:t>
      </w:r>
      <w:r w:rsidR="006B381B">
        <w:t>Fibrin Sealant</w:t>
      </w:r>
      <w:r w:rsidRPr="00F45745">
        <w:t xml:space="preserve"> Grifols (85.2%) v</w:t>
      </w:r>
      <w:r w:rsidR="0041131B">
        <w:t>ersus</w:t>
      </w:r>
      <w:r w:rsidRPr="00F45745">
        <w:t xml:space="preserve"> </w:t>
      </w:r>
      <w:proofErr w:type="spellStart"/>
      <w:r w:rsidRPr="00F45745">
        <w:t>Surgicel</w:t>
      </w:r>
      <w:proofErr w:type="spellEnd"/>
      <w:r w:rsidRPr="00F45745">
        <w:t xml:space="preserve"> group (74%). Sub</w:t>
      </w:r>
      <w:r w:rsidR="001F4ACA">
        <w:noBreakHyphen/>
      </w:r>
      <w:r w:rsidRPr="00F45745">
        <w:t>analysis by surgical procedure was inconclusive due to insufficient sample size for each type of surgery.</w:t>
      </w:r>
    </w:p>
    <w:p w14:paraId="3C2C01C5" w14:textId="4816EAF1" w:rsidR="00F957F3" w:rsidRDefault="00F957F3" w:rsidP="00EA5011">
      <w:pPr>
        <w:pStyle w:val="Heading5"/>
      </w:pPr>
      <w:r>
        <w:t xml:space="preserve">Integrated </w:t>
      </w:r>
      <w:r w:rsidR="001F4ACA">
        <w:t>summary of efficacy</w:t>
      </w:r>
    </w:p>
    <w:p w14:paraId="7F4CC338" w14:textId="328BFC63" w:rsidR="00F957F3" w:rsidRPr="00F45745" w:rsidRDefault="00F957F3" w:rsidP="00F45745">
      <w:r w:rsidRPr="00F45745">
        <w:t xml:space="preserve">The sponsor provided an integrated analysis of </w:t>
      </w:r>
      <w:r w:rsidR="001F4ACA">
        <w:t>S</w:t>
      </w:r>
      <w:r w:rsidRPr="00F45745">
        <w:t>tudies IG1102 and IG1103. Study</w:t>
      </w:r>
      <w:r w:rsidR="001F4ACA">
        <w:t> </w:t>
      </w:r>
      <w:r w:rsidRPr="00F45745">
        <w:t xml:space="preserve">IG1101 was excluded due to differences in the study design and surgical procedure. The integrated analysis showed a statistically significant difference between the rate of haemostasis at the TBS by </w:t>
      </w:r>
      <w:r w:rsidR="001F4ACA" w:rsidRPr="00F45745">
        <w:t>T</w:t>
      </w:r>
      <w:r w:rsidR="001F4ACA" w:rsidRPr="008B78B6">
        <w:rPr>
          <w:vertAlign w:val="subscript"/>
        </w:rPr>
        <w:t>4</w:t>
      </w:r>
      <w:r w:rsidRPr="00F45745">
        <w:t xml:space="preserve"> in the </w:t>
      </w:r>
      <w:r w:rsidR="006B381B">
        <w:t>Fibrin Sealant</w:t>
      </w:r>
      <w:r w:rsidRPr="00F45745">
        <w:t xml:space="preserve"> Grifols (87.7% </w:t>
      </w:r>
      <w:r w:rsidR="001F4ACA">
        <w:t>(</w:t>
      </w:r>
      <w:r w:rsidRPr="00F45745">
        <w:t>199/227 subjects</w:t>
      </w:r>
      <w:r w:rsidR="001F4ACA">
        <w:t>)</w:t>
      </w:r>
      <w:r w:rsidRPr="00F45745">
        <w:t xml:space="preserve">) and </w:t>
      </w:r>
      <w:proofErr w:type="spellStart"/>
      <w:r w:rsidRPr="00F45745">
        <w:t>Surgicel</w:t>
      </w:r>
      <w:proofErr w:type="spellEnd"/>
      <w:r w:rsidRPr="00F45745">
        <w:t xml:space="preserve"> (79.2% </w:t>
      </w:r>
      <w:r w:rsidR="001F4ACA">
        <w:t>(</w:t>
      </w:r>
      <w:r w:rsidRPr="00F45745">
        <w:t>175/221 subjects</w:t>
      </w:r>
      <w:r w:rsidR="001F4ACA">
        <w:t>)</w:t>
      </w:r>
      <w:r w:rsidRPr="00F45745">
        <w:t xml:space="preserve">) treatment </w:t>
      </w:r>
      <w:r w:rsidRPr="006E6E7E">
        <w:t>groups (</w:t>
      </w:r>
      <w:r w:rsidR="001F4ACA" w:rsidRPr="006E6E7E">
        <w:t>RR = </w:t>
      </w:r>
      <w:r w:rsidRPr="006E6E7E">
        <w:t>1.10</w:t>
      </w:r>
      <w:r w:rsidRPr="00F45745">
        <w:t>9, 95%CI</w:t>
      </w:r>
      <w:r w:rsidR="001F4ACA">
        <w:t>:</w:t>
      </w:r>
      <w:r w:rsidRPr="00F45745">
        <w:t xml:space="preserve"> 1.021</w:t>
      </w:r>
      <w:r w:rsidR="001F4ACA">
        <w:t xml:space="preserve">, </w:t>
      </w:r>
      <w:r w:rsidRPr="00F45745">
        <w:t>1.205, p</w:t>
      </w:r>
      <w:r w:rsidR="001F4ACA">
        <w:t> </w:t>
      </w:r>
      <w:r w:rsidRPr="00F45745">
        <w:t>= 0.014)).</w:t>
      </w:r>
    </w:p>
    <w:p w14:paraId="3EEA47AF" w14:textId="77777777" w:rsidR="00F957F3" w:rsidRPr="00EA5011" w:rsidRDefault="00F957F3" w:rsidP="00EA5011">
      <w:pPr>
        <w:pStyle w:val="Heading4"/>
      </w:pPr>
      <w:r w:rsidRPr="00EA5011">
        <w:t>Safety</w:t>
      </w:r>
    </w:p>
    <w:p w14:paraId="3CCCE6A8" w14:textId="3E7ED130" w:rsidR="00F957F3" w:rsidRDefault="00F957F3" w:rsidP="00EA5011">
      <w:pPr>
        <w:pStyle w:val="Heading5"/>
      </w:pPr>
      <w:r>
        <w:t>Study IG1101</w:t>
      </w:r>
    </w:p>
    <w:p w14:paraId="1BB98BF5" w14:textId="19953CBA" w:rsidR="00F957F3" w:rsidRPr="006E6E7E" w:rsidRDefault="00F957F3" w:rsidP="00F45745">
      <w:r w:rsidRPr="00F45745">
        <w:t xml:space="preserve">In </w:t>
      </w:r>
      <w:r w:rsidRPr="006E6E7E">
        <w:t xml:space="preserve">the peripheral vascular surgery </w:t>
      </w:r>
      <w:r w:rsidR="001F4ACA" w:rsidRPr="006E6E7E">
        <w:t xml:space="preserve">Study </w:t>
      </w:r>
      <w:r w:rsidRPr="006E6E7E">
        <w:t xml:space="preserve">IG1101, safety variables included clinical safety, viral </w:t>
      </w:r>
      <w:proofErr w:type="gramStart"/>
      <w:r w:rsidRPr="006E6E7E">
        <w:t>safety</w:t>
      </w:r>
      <w:proofErr w:type="gramEnd"/>
      <w:r w:rsidRPr="006E6E7E">
        <w:t xml:space="preserve"> and immunogenicity, as follows:</w:t>
      </w:r>
    </w:p>
    <w:p w14:paraId="383AF013" w14:textId="6F11C324" w:rsidR="00F957F3" w:rsidRPr="006E6E7E" w:rsidRDefault="00F957F3" w:rsidP="00F45745">
      <w:pPr>
        <w:pStyle w:val="ListBullet"/>
      </w:pPr>
      <w:r w:rsidRPr="006E6E7E">
        <w:t xml:space="preserve">adverse events (AEs), adverse drug reactions (ADRs), and serious </w:t>
      </w:r>
      <w:r w:rsidR="006E6E7E" w:rsidRPr="006E6E7E">
        <w:t>adverse reaction</w:t>
      </w:r>
      <w:r w:rsidRPr="006E6E7E">
        <w:t>s (SAEs</w:t>
      </w:r>
      <w:proofErr w:type="gramStart"/>
      <w:r w:rsidRPr="006E6E7E">
        <w:t>)</w:t>
      </w:r>
      <w:r w:rsidR="001F4ACA" w:rsidRPr="006E6E7E">
        <w:t>;</w:t>
      </w:r>
      <w:proofErr w:type="gramEnd"/>
    </w:p>
    <w:p w14:paraId="4818D9F9" w14:textId="51B87595" w:rsidR="00F957F3" w:rsidRDefault="00F957F3" w:rsidP="00F45745">
      <w:pPr>
        <w:pStyle w:val="ListBullet"/>
      </w:pPr>
      <w:r>
        <w:t>vital signs (heart rate, respiration rate, systolic and diastolic blood pressure, and temperature</w:t>
      </w:r>
      <w:proofErr w:type="gramStart"/>
      <w:r>
        <w:t>);</w:t>
      </w:r>
      <w:proofErr w:type="gramEnd"/>
    </w:p>
    <w:p w14:paraId="7C6F13D3" w14:textId="5135A4C7" w:rsidR="00F957F3" w:rsidRDefault="00F957F3" w:rsidP="00F45745">
      <w:pPr>
        <w:pStyle w:val="ListBullet"/>
      </w:pPr>
      <w:r>
        <w:t>physical assessments (classified physical abnormalities as clinically relevant or not</w:t>
      </w:r>
      <w:proofErr w:type="gramStart"/>
      <w:r>
        <w:t>);</w:t>
      </w:r>
      <w:proofErr w:type="gramEnd"/>
    </w:p>
    <w:p w14:paraId="4C5874D8" w14:textId="4F4C1D48" w:rsidR="00F957F3" w:rsidRPr="006E6E7E" w:rsidRDefault="00F957F3" w:rsidP="00F45745">
      <w:pPr>
        <w:pStyle w:val="ListBullet"/>
      </w:pPr>
      <w:r w:rsidRPr="006E6E7E">
        <w:t>laboratory tests (serum clinical chemistry, complete blood count, coagulation panel (prothrombin international normali</w:t>
      </w:r>
      <w:r w:rsidR="001F4ACA" w:rsidRPr="006E6E7E">
        <w:t>s</w:t>
      </w:r>
      <w:r w:rsidRPr="006E6E7E">
        <w:t xml:space="preserve">ed ratio </w:t>
      </w:r>
      <w:r w:rsidR="001F4ACA" w:rsidRPr="006E6E7E">
        <w:t>(</w:t>
      </w:r>
      <w:r w:rsidRPr="006E6E7E">
        <w:t>INR</w:t>
      </w:r>
      <w:r w:rsidR="001F4ACA" w:rsidRPr="006E6E7E">
        <w:t>)</w:t>
      </w:r>
      <w:r w:rsidRPr="006E6E7E">
        <w:t xml:space="preserve">, activated partial thromboplastin time </w:t>
      </w:r>
      <w:r w:rsidR="001F4ACA" w:rsidRPr="006E6E7E">
        <w:t>(</w:t>
      </w:r>
      <w:proofErr w:type="spellStart"/>
      <w:r w:rsidRPr="006E6E7E">
        <w:t>aPTT</w:t>
      </w:r>
      <w:proofErr w:type="spellEnd"/>
      <w:r w:rsidR="001F4ACA" w:rsidRPr="006E6E7E">
        <w:t>)</w:t>
      </w:r>
      <w:r w:rsidRPr="006E6E7E">
        <w:t xml:space="preserve"> ratio</w:t>
      </w:r>
      <w:proofErr w:type="gramStart"/>
      <w:r w:rsidRPr="006E6E7E">
        <w:t>);</w:t>
      </w:r>
      <w:proofErr w:type="gramEnd"/>
    </w:p>
    <w:p w14:paraId="78877196" w14:textId="27A46C03" w:rsidR="00F957F3" w:rsidRPr="00A67C0D" w:rsidRDefault="00F957F3" w:rsidP="00F45745">
      <w:pPr>
        <w:pStyle w:val="ListBullet"/>
      </w:pPr>
      <w:r>
        <w:t xml:space="preserve">viral panel: </w:t>
      </w:r>
      <w:r w:rsidR="001F4ACA" w:rsidRPr="00EE054B">
        <w:t>hepatitis</w:t>
      </w:r>
      <w:r w:rsidRPr="00EE054B">
        <w:t xml:space="preserve"> A </w:t>
      </w:r>
      <w:r w:rsidR="001F4ACA" w:rsidRPr="00EE054B">
        <w:t>virus</w:t>
      </w:r>
      <w:r>
        <w:t xml:space="preserve">, </w:t>
      </w:r>
      <w:r w:rsidR="00340F44" w:rsidRPr="00EE054B">
        <w:t xml:space="preserve">hepatitis </w:t>
      </w:r>
      <w:r w:rsidR="00340F44">
        <w:t>B</w:t>
      </w:r>
      <w:r w:rsidR="00340F44" w:rsidRPr="00EE054B">
        <w:t xml:space="preserve"> virus</w:t>
      </w:r>
      <w:r w:rsidR="00340F44">
        <w:t xml:space="preserve">, </w:t>
      </w:r>
      <w:r w:rsidR="00340F44" w:rsidRPr="00EE054B">
        <w:t xml:space="preserve">hepatitis </w:t>
      </w:r>
      <w:r w:rsidR="00340F44">
        <w:t>C</w:t>
      </w:r>
      <w:r w:rsidR="00340F44" w:rsidRPr="00EE054B">
        <w:t xml:space="preserve"> virus</w:t>
      </w:r>
      <w:r w:rsidR="00340F44">
        <w:t>, human immunodeficiency virus type 1 and 2</w:t>
      </w:r>
      <w:r>
        <w:t xml:space="preserve">, </w:t>
      </w:r>
      <w:r w:rsidRPr="00A67C0D">
        <w:t xml:space="preserve">and </w:t>
      </w:r>
      <w:r w:rsidR="00340F44" w:rsidRPr="00A67C0D">
        <w:t xml:space="preserve">parvovirus </w:t>
      </w:r>
      <w:proofErr w:type="gramStart"/>
      <w:r w:rsidRPr="00A67C0D">
        <w:t>B19;</w:t>
      </w:r>
      <w:proofErr w:type="gramEnd"/>
    </w:p>
    <w:p w14:paraId="7F1D6FA4" w14:textId="6DE1C29A" w:rsidR="00F957F3" w:rsidRPr="00A67C0D" w:rsidRDefault="00F957F3" w:rsidP="00F45745">
      <w:pPr>
        <w:pStyle w:val="ListBullet"/>
      </w:pPr>
      <w:r w:rsidRPr="00A67C0D">
        <w:t xml:space="preserve">immunogenicity panel: antibodies against human </w:t>
      </w:r>
      <w:r w:rsidR="00340F44" w:rsidRPr="00A67C0D">
        <w:t xml:space="preserve">factor </w:t>
      </w:r>
      <w:r w:rsidRPr="00A67C0D">
        <w:t xml:space="preserve">V, human </w:t>
      </w:r>
      <w:proofErr w:type="gramStart"/>
      <w:r w:rsidRPr="00A67C0D">
        <w:t>thrombin</w:t>
      </w:r>
      <w:proofErr w:type="gramEnd"/>
      <w:r w:rsidRPr="00A67C0D">
        <w:t xml:space="preserve"> and human fibrinogen. The testing for antibodies would be necessary under the following conditions: inexplicable INR ≥</w:t>
      </w:r>
      <w:r w:rsidR="00340F44" w:rsidRPr="00A67C0D">
        <w:t xml:space="preserve"> </w:t>
      </w:r>
      <w:r w:rsidRPr="00A67C0D">
        <w:t xml:space="preserve">2.0, or </w:t>
      </w:r>
      <w:proofErr w:type="spellStart"/>
      <w:r w:rsidRPr="00A67C0D">
        <w:t>aPTT</w:t>
      </w:r>
      <w:proofErr w:type="spellEnd"/>
      <w:r w:rsidRPr="00A67C0D">
        <w:t xml:space="preserve"> ratio ≥</w:t>
      </w:r>
      <w:r w:rsidR="00340F44" w:rsidRPr="00A67C0D">
        <w:t xml:space="preserve"> </w:t>
      </w:r>
      <w:r w:rsidRPr="00A67C0D">
        <w:t>1.5 at postoperative Day 14 or Week</w:t>
      </w:r>
      <w:r w:rsidR="00340F44" w:rsidRPr="00A67C0D">
        <w:t> </w:t>
      </w:r>
      <w:r w:rsidRPr="00A67C0D">
        <w:t>6.</w:t>
      </w:r>
    </w:p>
    <w:p w14:paraId="62BB7A8B" w14:textId="14CF91C0" w:rsidR="00F957F3" w:rsidRPr="00F45745" w:rsidRDefault="00F957F3" w:rsidP="00F45745">
      <w:r w:rsidRPr="00A67C0D">
        <w:t xml:space="preserve">Safety assessments were made at the following time points: </w:t>
      </w:r>
      <w:r w:rsidR="00340F44" w:rsidRPr="00A67C0D">
        <w:t>screening visit, baseline visit, surgical procedur</w:t>
      </w:r>
      <w:r w:rsidRPr="00A67C0D">
        <w:t xml:space="preserve">e (Day 0; within 6 hours after surgical incision closure </w:t>
      </w:r>
      <w:r w:rsidR="001F4ACA" w:rsidRPr="00A67C0D">
        <w:t>(</w:t>
      </w:r>
      <w:proofErr w:type="spellStart"/>
      <w:r w:rsidRPr="00A67C0D">
        <w:t>T</w:t>
      </w:r>
      <w:r w:rsidR="00340F44" w:rsidRPr="00A67C0D">
        <w:rPr>
          <w:vertAlign w:val="subscript"/>
        </w:rPr>
        <w:t>completion</w:t>
      </w:r>
      <w:proofErr w:type="spellEnd"/>
      <w:r w:rsidR="001F4ACA" w:rsidRPr="00A67C0D">
        <w:t>)</w:t>
      </w:r>
      <w:r w:rsidRPr="00A67C0D">
        <w:t xml:space="preserve">), </w:t>
      </w:r>
      <w:r w:rsidR="00340F44" w:rsidRPr="00A67C0D">
        <w:t>p</w:t>
      </w:r>
      <w:r w:rsidRPr="00A67C0D">
        <w:t>ost</w:t>
      </w:r>
      <w:r w:rsidR="00340F44" w:rsidRPr="00A67C0D">
        <w:noBreakHyphen/>
      </w:r>
      <w:r w:rsidRPr="00A67C0D">
        <w:t>operation Day 2 (± 1 day), Day 7 (± 1 day), Day 14 (± 2 days), Week 6 (± 4 days) and Month 3 (± 7 days). Study duration was approximately 4 months</w:t>
      </w:r>
      <w:r w:rsidRPr="00F45745">
        <w:t xml:space="preserve"> from the screening visit to the last viral safety follow-up at the </w:t>
      </w:r>
      <w:r w:rsidR="00340F44">
        <w:t>M</w:t>
      </w:r>
      <w:r w:rsidRPr="00F45745">
        <w:t>onth 3 visit.</w:t>
      </w:r>
    </w:p>
    <w:p w14:paraId="4D5914A4" w14:textId="3FEC972F" w:rsidR="00F957F3" w:rsidRPr="00932630" w:rsidRDefault="00F957F3" w:rsidP="00EA5011">
      <w:pPr>
        <w:pStyle w:val="Heading6"/>
      </w:pPr>
      <w:r w:rsidRPr="00932630">
        <w:t xml:space="preserve">Summary of </w:t>
      </w:r>
      <w:r w:rsidR="00340F44">
        <w:t>adverse events</w:t>
      </w:r>
    </w:p>
    <w:p w14:paraId="6D79B1DD" w14:textId="7AB2A2B9" w:rsidR="00F957F3" w:rsidRPr="00A67C0D" w:rsidRDefault="00F957F3" w:rsidP="00F45745">
      <w:r w:rsidRPr="00F45745">
        <w:t xml:space="preserve">The pooled safety population for </w:t>
      </w:r>
      <w:r w:rsidR="006B381B">
        <w:t>Fibrin Sealant</w:t>
      </w:r>
      <w:r w:rsidRPr="00F45745">
        <w:t xml:space="preserve"> Grifols consisted of 168 patients (</w:t>
      </w:r>
      <w:r w:rsidR="00340F44">
        <w:t>P</w:t>
      </w:r>
      <w:r w:rsidRPr="00F45745">
        <w:t>art</w:t>
      </w:r>
      <w:r w:rsidR="00340F44">
        <w:t> </w:t>
      </w:r>
      <w:r w:rsidRPr="00F45745">
        <w:t xml:space="preserve">I and II combined). The following comments are based on the pooled safety population. </w:t>
      </w:r>
      <w:r w:rsidRPr="00A67C0D">
        <w:t>Treatment</w:t>
      </w:r>
      <w:r w:rsidR="00A67C0D" w:rsidRPr="00A67C0D">
        <w:t>-</w:t>
      </w:r>
      <w:r w:rsidRPr="00A67C0D">
        <w:t>emergent adverse events (TEAEs)</w:t>
      </w:r>
      <w:r w:rsidRPr="00F45745">
        <w:t xml:space="preserve"> were similar between </w:t>
      </w:r>
      <w:r w:rsidR="006B381B">
        <w:t>Fibrin Sealant</w:t>
      </w:r>
      <w:r w:rsidRPr="00F45745">
        <w:t xml:space="preserve"> Grifols pooled safety population (139/168 patients, 81.0%) and </w:t>
      </w:r>
      <w:r w:rsidR="00A03DB5" w:rsidRPr="00F45745">
        <w:t>manual compression</w:t>
      </w:r>
      <w:r w:rsidRPr="00F45745">
        <w:t xml:space="preserve"> (44/57 </w:t>
      </w:r>
      <w:r w:rsidRPr="00A67C0D">
        <w:t>patients 77.2%) treatment groups. None of the patients had an AE leading to study withdrawal.</w:t>
      </w:r>
    </w:p>
    <w:p w14:paraId="70A966C4" w14:textId="0BC07116" w:rsidR="00F957F3" w:rsidRPr="00F45745" w:rsidRDefault="00F957F3" w:rsidP="00F45745">
      <w:r w:rsidRPr="00A67C0D">
        <w:t>Treatment</w:t>
      </w:r>
      <w:r w:rsidR="00A67C0D" w:rsidRPr="00A67C0D">
        <w:t>-</w:t>
      </w:r>
      <w:r w:rsidRPr="00A67C0D">
        <w:t xml:space="preserve">emergent SAEs were reported for 34 (20.2%) </w:t>
      </w:r>
      <w:r w:rsidR="006B381B" w:rsidRPr="00A67C0D">
        <w:t>Fibrin Sealant</w:t>
      </w:r>
      <w:r w:rsidRPr="00A67C0D">
        <w:t xml:space="preserve"> Grifols patients and 11 (19.3%) </w:t>
      </w:r>
      <w:r w:rsidR="00A03DB5" w:rsidRPr="00A67C0D">
        <w:t>manual compression</w:t>
      </w:r>
      <w:r w:rsidRPr="00F45745">
        <w:t xml:space="preserve"> patients. Most SAEs were considered unrelated to study treatment, except 2 cases of post</w:t>
      </w:r>
      <w:r w:rsidR="00340F44">
        <w:t>-</w:t>
      </w:r>
      <w:r w:rsidRPr="00F45745">
        <w:t xml:space="preserve">operative wound infection in the </w:t>
      </w:r>
      <w:r w:rsidR="006B381B">
        <w:t>Fibrin Sealant</w:t>
      </w:r>
      <w:r w:rsidRPr="00F45745">
        <w:t xml:space="preserve"> Grifols group that were considered ‘unlikely’ related to study treatment, and one case of cellulitis also in the </w:t>
      </w:r>
      <w:r w:rsidR="006B381B">
        <w:t>Fibrin Sealant</w:t>
      </w:r>
      <w:r w:rsidRPr="00F45745">
        <w:t xml:space="preserve"> Grifols group considered ‘possibly’ related. One case of </w:t>
      </w:r>
      <w:r w:rsidRPr="00F45745">
        <w:lastRenderedPageBreak/>
        <w:t xml:space="preserve">sepsis in the </w:t>
      </w:r>
      <w:r w:rsidR="00A03DB5" w:rsidRPr="00F45745">
        <w:t>manual compression</w:t>
      </w:r>
      <w:r w:rsidRPr="00F45745">
        <w:t xml:space="preserve"> group was considered possibly related. There were 4</w:t>
      </w:r>
      <w:r w:rsidR="0041131B">
        <w:t> </w:t>
      </w:r>
      <w:r w:rsidRPr="00F45745">
        <w:t xml:space="preserve">SAEs with the outcome of death in </w:t>
      </w:r>
      <w:r w:rsidR="006B381B">
        <w:t>Fibrin Sealant</w:t>
      </w:r>
      <w:r w:rsidRPr="00F45745">
        <w:t xml:space="preserve"> Grifols group (myocardial infarction, gastrointestinal haemorrhage, multi-organ failure, and cause unknown) and none in the </w:t>
      </w:r>
      <w:r w:rsidR="00A03DB5" w:rsidRPr="00F45745">
        <w:t>manual compression</w:t>
      </w:r>
      <w:r w:rsidRPr="00F45745">
        <w:t xml:space="preserve"> group. The 4 SAEs leading to death were considered not related to study treatment and started several days to weeks after surgery, except the case of multi-organ failure which started on </w:t>
      </w:r>
      <w:r w:rsidR="00340F44">
        <w:t>D</w:t>
      </w:r>
      <w:r w:rsidRPr="00F45745">
        <w:t>ay 3.</w:t>
      </w:r>
    </w:p>
    <w:p w14:paraId="2DD8543B" w14:textId="0B31220A" w:rsidR="00F957F3" w:rsidRPr="00F45745" w:rsidRDefault="00F957F3" w:rsidP="00F45745">
      <w:r w:rsidRPr="00A67C0D">
        <w:t>Adverse drug reactions (ADRs</w:t>
      </w:r>
      <w:r w:rsidR="00A67C0D">
        <w:t>)</w:t>
      </w:r>
      <w:r w:rsidRPr="00F45745">
        <w:t xml:space="preserve"> assessed as definitely, probably, possibly, or unlikely related to study treatment) were reported for 12.5% (21/168) of </w:t>
      </w:r>
      <w:r w:rsidR="006B381B">
        <w:t>Fibrin Sealant</w:t>
      </w:r>
      <w:r w:rsidRPr="00F45745">
        <w:t xml:space="preserve"> Grifols patients and 5.3% (3/57) of </w:t>
      </w:r>
      <w:r w:rsidR="00A03DB5" w:rsidRPr="00F45745">
        <w:t>manual compression</w:t>
      </w:r>
      <w:r w:rsidRPr="00F45745">
        <w:t xml:space="preserve"> patients. In the </w:t>
      </w:r>
      <w:r w:rsidR="001F4ACA" w:rsidRPr="00F45745">
        <w:t xml:space="preserve">primary part </w:t>
      </w:r>
      <w:r w:rsidRPr="00F45745">
        <w:t xml:space="preserve">(II) of the study, the incidence rates of ADRs were similar in the 2 treatment groups (7.3% in the </w:t>
      </w:r>
      <w:r w:rsidR="006B381B">
        <w:t>Fibrin Sealant</w:t>
      </w:r>
      <w:r w:rsidRPr="00F45745">
        <w:t xml:space="preserve"> Grifols group and 5.3% in the </w:t>
      </w:r>
      <w:r w:rsidR="00A03DB5" w:rsidRPr="00F45745">
        <w:t>manual compression</w:t>
      </w:r>
      <w:r w:rsidRPr="00F45745">
        <w:t xml:space="preserve"> </w:t>
      </w:r>
      <w:r w:rsidRPr="00A67C0D">
        <w:t xml:space="preserve">group). </w:t>
      </w:r>
      <w:proofErr w:type="gramStart"/>
      <w:r w:rsidRPr="00A67C0D">
        <w:t>Adverse drug reactions (ADRs),</w:t>
      </w:r>
      <w:proofErr w:type="gramEnd"/>
      <w:r w:rsidRPr="00A67C0D">
        <w:t xml:space="preserve"> assessed for causal relationship to study treatment by</w:t>
      </w:r>
      <w:r w:rsidRPr="00F45745">
        <w:t xml:space="preserve"> the investigator were reported for a higher proportion of </w:t>
      </w:r>
      <w:r w:rsidR="006B381B">
        <w:t>Fibrin Sealant</w:t>
      </w:r>
      <w:r w:rsidRPr="00F45745">
        <w:t xml:space="preserve"> Grifols patients (21/168, 12.5%) compared to </w:t>
      </w:r>
      <w:r w:rsidR="00A03DB5" w:rsidRPr="00F45745">
        <w:t>manual compression</w:t>
      </w:r>
      <w:r w:rsidRPr="00F45745">
        <w:t xml:space="preserve"> patients (3/57, 5.3%). Serious ADRs were reported for 4 (2.4%) </w:t>
      </w:r>
      <w:r w:rsidR="006B381B">
        <w:t>Fibrin Sealant</w:t>
      </w:r>
      <w:r w:rsidRPr="00F45745">
        <w:t xml:space="preserve"> Grifols patients and </w:t>
      </w:r>
      <w:r w:rsidR="00340F44">
        <w:t>one</w:t>
      </w:r>
      <w:r w:rsidRPr="00F45745">
        <w:t xml:space="preserve"> (1.8%) </w:t>
      </w:r>
      <w:r w:rsidR="00A03DB5" w:rsidRPr="00F45745">
        <w:t>manual compression</w:t>
      </w:r>
      <w:r w:rsidRPr="00F45745">
        <w:t xml:space="preserve"> patient. None of the patients had an ADR attributable to the application technique. The majority of ADRs were reported by single patients within the treatment groups and most were considered unlikely related to study treatment. Only in the </w:t>
      </w:r>
      <w:r w:rsidR="006B381B">
        <w:t>Fibrin Sealant</w:t>
      </w:r>
      <w:r w:rsidRPr="00F45745">
        <w:t xml:space="preserve"> Grifols treatment group were ADRs reported by more than </w:t>
      </w:r>
      <w:r w:rsidR="00340F44">
        <w:t>one</w:t>
      </w:r>
      <w:r w:rsidRPr="00F45745">
        <w:t xml:space="preserve"> patient, including procedural pain (4/168 </w:t>
      </w:r>
      <w:r w:rsidR="001F4ACA">
        <w:t>(</w:t>
      </w:r>
      <w:r w:rsidRPr="00F45745">
        <w:t>2.4%</w:t>
      </w:r>
      <w:r w:rsidR="001F4ACA">
        <w:t>)</w:t>
      </w:r>
      <w:r w:rsidRPr="00F45745">
        <w:t xml:space="preserve"> patients) and nausea, pyrexia, vascular graft complication, </w:t>
      </w:r>
      <w:r w:rsidR="00A67C0D" w:rsidRPr="00A67C0D">
        <w:t>parvovirus B19</w:t>
      </w:r>
      <w:r w:rsidRPr="00F45745">
        <w:t xml:space="preserve"> test positive, and urinary retention (2/168 </w:t>
      </w:r>
      <w:r w:rsidR="001F4ACA">
        <w:t>(</w:t>
      </w:r>
      <w:r w:rsidRPr="00F45745">
        <w:t>1.2%</w:t>
      </w:r>
      <w:r w:rsidR="001F4ACA">
        <w:t>)</w:t>
      </w:r>
      <w:r w:rsidRPr="00F45745">
        <w:t xml:space="preserve"> patients each). In the </w:t>
      </w:r>
      <w:r w:rsidR="006B381B">
        <w:t>Fibrin Sealant</w:t>
      </w:r>
      <w:r w:rsidRPr="00F45745">
        <w:t xml:space="preserve"> Grifols pooled safety population, 2 ADRs were considered possibly related to study treatment: cellulitis and vascular graft complication (</w:t>
      </w:r>
      <w:r w:rsidR="00340F44">
        <w:t>one</w:t>
      </w:r>
      <w:r w:rsidRPr="00F45745">
        <w:t xml:space="preserve"> patient each </w:t>
      </w:r>
      <w:r w:rsidR="001F4ACA">
        <w:t>(</w:t>
      </w:r>
      <w:r w:rsidRPr="00F45745">
        <w:t>0.6%</w:t>
      </w:r>
      <w:r w:rsidR="001F4ACA">
        <w:t>)</w:t>
      </w:r>
      <w:r w:rsidRPr="00F45745">
        <w:t>).</w:t>
      </w:r>
    </w:p>
    <w:p w14:paraId="5F242BFB" w14:textId="4B97E27D" w:rsidR="00F957F3" w:rsidRPr="00F45745" w:rsidRDefault="00F957F3" w:rsidP="00F45745">
      <w:r w:rsidRPr="00F45745">
        <w:t xml:space="preserve">For the 2 patients with an ADR for </w:t>
      </w:r>
      <w:r w:rsidR="00A67C0D" w:rsidRPr="00A67C0D">
        <w:t>parvovirus B19</w:t>
      </w:r>
      <w:r w:rsidRPr="00F45745">
        <w:t xml:space="preserve"> antibody IgG detected, it was determined through additional evaluations (including scheduled and unscheduled testing) that there was no treatment</w:t>
      </w:r>
      <w:r w:rsidR="00A67C0D">
        <w:t>-</w:t>
      </w:r>
      <w:r w:rsidRPr="00F45745">
        <w:t xml:space="preserve">emergent infection with </w:t>
      </w:r>
      <w:r w:rsidR="00A67C0D" w:rsidRPr="00A67C0D">
        <w:t>parvovirus B19</w:t>
      </w:r>
      <w:r w:rsidRPr="00F45745">
        <w:t>.</w:t>
      </w:r>
    </w:p>
    <w:p w14:paraId="09B82024" w14:textId="218BE1BF" w:rsidR="00F957F3" w:rsidRPr="00F45745" w:rsidRDefault="00F957F3" w:rsidP="00F45745">
      <w:r w:rsidRPr="00F45745">
        <w:t xml:space="preserve">No immunogenicity response was observed in patients treated with </w:t>
      </w:r>
      <w:r w:rsidR="006B381B">
        <w:t>Fibrin Sealant</w:t>
      </w:r>
      <w:r w:rsidRPr="00F45745">
        <w:t xml:space="preserve"> Grifols or </w:t>
      </w:r>
      <w:r w:rsidR="00A03DB5" w:rsidRPr="00F45745">
        <w:t>manual compression</w:t>
      </w:r>
      <w:r w:rsidRPr="00F45745">
        <w:t xml:space="preserve"> in the clinical study, demonstrating a comparable safety profile with respect to immunogenicity.</w:t>
      </w:r>
    </w:p>
    <w:p w14:paraId="133C1CD4" w14:textId="77777777" w:rsidR="00F957F3" w:rsidRDefault="00F957F3" w:rsidP="00EA5011">
      <w:pPr>
        <w:pStyle w:val="Heading5"/>
      </w:pPr>
      <w:r>
        <w:t>Study IG1102</w:t>
      </w:r>
    </w:p>
    <w:p w14:paraId="042AA518" w14:textId="1E038B56" w:rsidR="00F957F3" w:rsidRPr="00F45745" w:rsidRDefault="00F957F3" w:rsidP="00F45745">
      <w:r w:rsidRPr="00F45745">
        <w:t xml:space="preserve">Safety variables in this study were the same as for </w:t>
      </w:r>
      <w:r w:rsidR="00340F44" w:rsidRPr="00F45745">
        <w:t xml:space="preserve">Study </w:t>
      </w:r>
      <w:r w:rsidRPr="00F45745">
        <w:t xml:space="preserve">IG1101. The following relates to the pooled safety population which includes data from </w:t>
      </w:r>
      <w:r w:rsidR="00720E19">
        <w:t>P</w:t>
      </w:r>
      <w:r w:rsidRPr="00F45745">
        <w:t>art</w:t>
      </w:r>
      <w:r w:rsidR="00720E19">
        <w:t>s</w:t>
      </w:r>
      <w:r w:rsidRPr="00F45745">
        <w:t xml:space="preserve"> I and II of </w:t>
      </w:r>
      <w:r w:rsidR="00720E19">
        <w:t>S</w:t>
      </w:r>
      <w:r w:rsidRPr="00F45745">
        <w:t>tudy IG1102.</w:t>
      </w:r>
    </w:p>
    <w:p w14:paraId="730C4668" w14:textId="65C19D07" w:rsidR="00F957F3" w:rsidRPr="00932630" w:rsidRDefault="00F957F3" w:rsidP="00EA5011">
      <w:pPr>
        <w:pStyle w:val="Heading6"/>
      </w:pPr>
      <w:r w:rsidRPr="00932630">
        <w:t xml:space="preserve">Summary of </w:t>
      </w:r>
      <w:r w:rsidR="00720E19">
        <w:t>adverse events</w:t>
      </w:r>
    </w:p>
    <w:p w14:paraId="38F608EE" w14:textId="77777777" w:rsidR="00F957F3" w:rsidRPr="00F45745" w:rsidRDefault="00F957F3" w:rsidP="00F45745">
      <w:r w:rsidRPr="00F45745">
        <w:t>None of the patients had an AE leading to withdrawal.</w:t>
      </w:r>
    </w:p>
    <w:p w14:paraId="51C163C2" w14:textId="425CDB98" w:rsidR="00F957F3" w:rsidRPr="00F45745" w:rsidRDefault="00A67C0D" w:rsidP="00F45745">
      <w:r w:rsidRPr="00A67C0D">
        <w:t>Treatment-emergent adverse events (</w:t>
      </w:r>
      <w:r w:rsidR="00F957F3" w:rsidRPr="00A67C0D">
        <w:t>TEAEs</w:t>
      </w:r>
      <w:r w:rsidRPr="00A67C0D">
        <w:t>)</w:t>
      </w:r>
      <w:r w:rsidR="00F957F3" w:rsidRPr="00A67C0D">
        <w:t xml:space="preserve"> occurred in similar proportions in each treatment group (82.2% in </w:t>
      </w:r>
      <w:r w:rsidR="006B381B" w:rsidRPr="00A67C0D">
        <w:t>Fibrin Sealant</w:t>
      </w:r>
      <w:r w:rsidR="00F957F3" w:rsidRPr="00A67C0D">
        <w:t xml:space="preserve"> Grifols</w:t>
      </w:r>
      <w:r w:rsidR="00F957F3" w:rsidRPr="00F45745">
        <w:t xml:space="preserve">; 85.8% in </w:t>
      </w:r>
      <w:proofErr w:type="spellStart"/>
      <w:r w:rsidR="00F957F3" w:rsidRPr="00F45745">
        <w:t>Surgicel</w:t>
      </w:r>
      <w:proofErr w:type="spellEnd"/>
      <w:r w:rsidR="00F957F3" w:rsidRPr="00F45745">
        <w:t xml:space="preserve">). SAEs were reported for 18.4% of </w:t>
      </w:r>
      <w:r w:rsidR="006B381B">
        <w:t>Fibrin Sealant</w:t>
      </w:r>
      <w:r w:rsidR="00F957F3" w:rsidRPr="00F45745">
        <w:t xml:space="preserve"> Grifols treated patients and 14.2% of </w:t>
      </w:r>
      <w:proofErr w:type="spellStart"/>
      <w:r w:rsidR="00F957F3" w:rsidRPr="00F45745">
        <w:t>Surgicel</w:t>
      </w:r>
      <w:proofErr w:type="spellEnd"/>
      <w:r w:rsidR="00F957F3" w:rsidRPr="00F45745">
        <w:t xml:space="preserve"> treated patients. SAEs in the </w:t>
      </w:r>
      <w:r w:rsidR="006B381B">
        <w:t>Fibrin Sealant</w:t>
      </w:r>
      <w:r w:rsidR="00F957F3" w:rsidRPr="00F45745">
        <w:t xml:space="preserve"> Grifols treatment group were mostly considered unrelated to study treatment except in 4</w:t>
      </w:r>
      <w:r w:rsidR="00720E19">
        <w:t> </w:t>
      </w:r>
      <w:r w:rsidR="00F957F3" w:rsidRPr="00F45745">
        <w:t xml:space="preserve">patients. All the SAEs in the 4 patients were considered ADRs unlikely related to study treatment, and include abscess, deep vein thrombosis (right femoral vein), deep vein thrombosis (left peroneal vein), and pulmonary embolism in </w:t>
      </w:r>
      <w:r w:rsidR="00720E19">
        <w:t>one</w:t>
      </w:r>
      <w:r w:rsidR="00F957F3" w:rsidRPr="00F45745">
        <w:t xml:space="preserve"> patient; deep vein thrombosis, post-procedural bile leak, and pulmonary embolism in </w:t>
      </w:r>
      <w:r w:rsidR="00720E19">
        <w:t>one</w:t>
      </w:r>
      <w:r w:rsidR="00F957F3" w:rsidRPr="00F45745">
        <w:t xml:space="preserve"> patient; liver abscess in </w:t>
      </w:r>
      <w:r w:rsidR="00720E19">
        <w:t>one</w:t>
      </w:r>
      <w:r w:rsidR="00F957F3" w:rsidRPr="00F45745">
        <w:t xml:space="preserve"> patient; and post-procedural bile leak in </w:t>
      </w:r>
      <w:r w:rsidR="00720E19">
        <w:t>one</w:t>
      </w:r>
      <w:r w:rsidR="00F957F3" w:rsidRPr="00F45745">
        <w:t xml:space="preserve"> patient. </w:t>
      </w:r>
      <w:proofErr w:type="gramStart"/>
      <w:r w:rsidR="00F957F3" w:rsidRPr="00F45745">
        <w:t>All of</w:t>
      </w:r>
      <w:proofErr w:type="gramEnd"/>
      <w:r w:rsidR="00F957F3" w:rsidRPr="00F45745">
        <w:t xml:space="preserve"> the SAEs in the </w:t>
      </w:r>
      <w:proofErr w:type="spellStart"/>
      <w:r w:rsidR="00F957F3" w:rsidRPr="00F45745">
        <w:t>Surgicel</w:t>
      </w:r>
      <w:proofErr w:type="spellEnd"/>
      <w:r w:rsidR="00F957F3" w:rsidRPr="00F45745">
        <w:t xml:space="preserve"> group were considered unrelated to study treatment. Ten deaths were reported during the study (7 </w:t>
      </w:r>
      <w:r w:rsidR="006B381B">
        <w:t>Fibrin Sealant</w:t>
      </w:r>
      <w:r w:rsidR="00F957F3" w:rsidRPr="00F45745">
        <w:t xml:space="preserve"> Grifols patients and 3 </w:t>
      </w:r>
      <w:proofErr w:type="spellStart"/>
      <w:r w:rsidR="00F957F3" w:rsidRPr="00F45745">
        <w:t>Surgicel</w:t>
      </w:r>
      <w:proofErr w:type="spellEnd"/>
      <w:r w:rsidR="00F957F3" w:rsidRPr="00F45745">
        <w:t xml:space="preserve"> patients). All of these were the outcome of AEs considered not related to study treatment.</w:t>
      </w:r>
    </w:p>
    <w:p w14:paraId="06BF46CD" w14:textId="68FA4084" w:rsidR="00F957F3" w:rsidRPr="00F45745" w:rsidRDefault="00A67C0D" w:rsidP="00F45745">
      <w:r w:rsidRPr="00A67C0D">
        <w:t>Adverse drug reactions (</w:t>
      </w:r>
      <w:r w:rsidR="00F957F3" w:rsidRPr="00A67C0D">
        <w:t>ADRs</w:t>
      </w:r>
      <w:r w:rsidRPr="00A67C0D">
        <w:t>)</w:t>
      </w:r>
      <w:r w:rsidR="00F957F3" w:rsidRPr="00A67C0D">
        <w:t xml:space="preserve"> were reported for a higher proportion of </w:t>
      </w:r>
      <w:r w:rsidR="006B381B" w:rsidRPr="00A67C0D">
        <w:t>Fibrin Sealant</w:t>
      </w:r>
      <w:r w:rsidR="00F957F3" w:rsidRPr="00A67C0D">
        <w:t xml:space="preserve"> Grifols treated patients (11/163, 6.7%) compared to </w:t>
      </w:r>
      <w:proofErr w:type="spellStart"/>
      <w:r w:rsidR="00F957F3" w:rsidRPr="00A67C0D">
        <w:t>Surgicel</w:t>
      </w:r>
      <w:proofErr w:type="spellEnd"/>
      <w:r w:rsidR="00F957F3" w:rsidRPr="00A67C0D">
        <w:t xml:space="preserve"> treated patients (3/162, 1.9%). The majority of ADRs occurred in si</w:t>
      </w:r>
      <w:r w:rsidR="00F957F3" w:rsidRPr="00F45745">
        <w:t xml:space="preserve">ngle patients within the treatment groups and most were considered unlikely related to study treatment. In the </w:t>
      </w:r>
      <w:r w:rsidR="006B381B">
        <w:t>Fibrin Sealant</w:t>
      </w:r>
      <w:r w:rsidR="00F957F3" w:rsidRPr="00F45745">
        <w:t xml:space="preserve"> Grifols </w:t>
      </w:r>
      <w:r w:rsidR="00F957F3" w:rsidRPr="00F45745">
        <w:lastRenderedPageBreak/>
        <w:t xml:space="preserve">treatment group, </w:t>
      </w:r>
      <w:r w:rsidR="00720E19">
        <w:t>one</w:t>
      </w:r>
      <w:r w:rsidR="00F957F3" w:rsidRPr="00F45745">
        <w:t xml:space="preserve"> ADR (procedural pain) was considered </w:t>
      </w:r>
      <w:proofErr w:type="gramStart"/>
      <w:r w:rsidR="00F957F3" w:rsidRPr="00F45745">
        <w:t>definitely related</w:t>
      </w:r>
      <w:proofErr w:type="gramEnd"/>
      <w:r w:rsidR="00F957F3" w:rsidRPr="00F45745">
        <w:t xml:space="preserve"> to study treatment, and 3 ADRs (hyperthermia, contusion, and procedural pain) were considered possibly related to study treatment. In the </w:t>
      </w:r>
      <w:proofErr w:type="spellStart"/>
      <w:r w:rsidR="00F957F3" w:rsidRPr="00F45745">
        <w:t>Surgicel</w:t>
      </w:r>
      <w:proofErr w:type="spellEnd"/>
      <w:r w:rsidR="00F957F3" w:rsidRPr="00F45745">
        <w:t xml:space="preserve"> treatment group, 2 ADRs (procedural pain and pancreatitis) were considered possibly related to study treatment. No ADRs were attributed to the application technique.</w:t>
      </w:r>
    </w:p>
    <w:p w14:paraId="730BC9FD" w14:textId="14CDE646" w:rsidR="00F957F3" w:rsidRPr="00F45745" w:rsidRDefault="00F957F3" w:rsidP="00F45745">
      <w:r w:rsidRPr="00F45745">
        <w:t xml:space="preserve">Immunogenicity to </w:t>
      </w:r>
      <w:r w:rsidR="006B381B" w:rsidRPr="00B64840">
        <w:t>Fibrin Sealant</w:t>
      </w:r>
      <w:r w:rsidRPr="00B64840">
        <w:t xml:space="preserve"> Grifols was not detected for antibodies to human factor</w:t>
      </w:r>
      <w:r w:rsidR="00720E19" w:rsidRPr="00B64840">
        <w:t> </w:t>
      </w:r>
      <w:r w:rsidRPr="00B64840">
        <w:t>V, human thrombin, and human fibrinogen. No treatment</w:t>
      </w:r>
      <w:r w:rsidR="00A67C0D" w:rsidRPr="00B64840">
        <w:t>-</w:t>
      </w:r>
      <w:r w:rsidRPr="00B64840">
        <w:t xml:space="preserve">emergent viral infection was detected by </w:t>
      </w:r>
      <w:r w:rsidR="00A67C0D" w:rsidRPr="00B64840">
        <w:t xml:space="preserve">deoxyribonucleic acid </w:t>
      </w:r>
      <w:r w:rsidRPr="00B64840">
        <w:t>or viral</w:t>
      </w:r>
      <w:r w:rsidRPr="00F45745">
        <w:t xml:space="preserve"> serology testing.</w:t>
      </w:r>
    </w:p>
    <w:p w14:paraId="08341565" w14:textId="77777777" w:rsidR="00F957F3" w:rsidRDefault="00F957F3" w:rsidP="00EA5011">
      <w:pPr>
        <w:pStyle w:val="Heading5"/>
      </w:pPr>
      <w:r>
        <w:t>Study IG1103</w:t>
      </w:r>
    </w:p>
    <w:p w14:paraId="51257525" w14:textId="12FC1166" w:rsidR="00F957F3" w:rsidRPr="00F45745" w:rsidRDefault="00F957F3" w:rsidP="00F45745">
      <w:r w:rsidRPr="00F45745">
        <w:t xml:space="preserve">The safety endpoints were the same as for the previous studies, and the following refers to the pooled safety population consisting of patients in </w:t>
      </w:r>
      <w:r w:rsidR="00720E19">
        <w:t>P</w:t>
      </w:r>
      <w:r w:rsidRPr="00F45745">
        <w:t xml:space="preserve">arts I and II of </w:t>
      </w:r>
      <w:r w:rsidR="00720E19">
        <w:t>S</w:t>
      </w:r>
      <w:r w:rsidRPr="00F45745">
        <w:t>tudy IG1103.</w:t>
      </w:r>
    </w:p>
    <w:p w14:paraId="250BE1C9" w14:textId="386F7DD5" w:rsidR="00F957F3" w:rsidRPr="00BF55A6" w:rsidRDefault="00F957F3" w:rsidP="00EA5011">
      <w:pPr>
        <w:pStyle w:val="Heading6"/>
      </w:pPr>
      <w:r>
        <w:t xml:space="preserve">Summary of </w:t>
      </w:r>
      <w:r w:rsidR="00720E19">
        <w:t>adverse events</w:t>
      </w:r>
    </w:p>
    <w:p w14:paraId="53E1B196" w14:textId="20045D50" w:rsidR="00F957F3" w:rsidRPr="00F45745" w:rsidRDefault="00F957F3" w:rsidP="00F45745">
      <w:r w:rsidRPr="00F45745">
        <w:t>Although none of the patients had an AE leading to withdrawal, one patient withdrew from the study at Day 7 after being diagnosed with a deep vein thrombosis the day before.</w:t>
      </w:r>
    </w:p>
    <w:p w14:paraId="1466B1F8" w14:textId="235E9B58" w:rsidR="00F957F3" w:rsidRPr="00A67C0D" w:rsidRDefault="00A67C0D" w:rsidP="00F45745">
      <w:r w:rsidRPr="00A67C0D">
        <w:t>Treatment-emergent adverse event (</w:t>
      </w:r>
      <w:r w:rsidR="00F957F3" w:rsidRPr="00A67C0D">
        <w:t>TEAE</w:t>
      </w:r>
      <w:r w:rsidRPr="00A67C0D">
        <w:t>)</w:t>
      </w:r>
      <w:r w:rsidR="00F957F3" w:rsidRPr="00A67C0D">
        <w:t xml:space="preserve"> rates were similar between treatment groups (88.2% in </w:t>
      </w:r>
      <w:r w:rsidR="006B381B" w:rsidRPr="00A67C0D">
        <w:t>Fibrin Sealant</w:t>
      </w:r>
      <w:r w:rsidR="00F957F3" w:rsidRPr="00A67C0D">
        <w:t xml:space="preserve"> Grifols; 88.0% in </w:t>
      </w:r>
      <w:proofErr w:type="spellStart"/>
      <w:r w:rsidR="00F957F3" w:rsidRPr="00A67C0D">
        <w:t>Surgicel</w:t>
      </w:r>
      <w:proofErr w:type="spellEnd"/>
      <w:r w:rsidR="00F957F3" w:rsidRPr="00A67C0D">
        <w:t xml:space="preserve">, pooled safety population). SAEs were reported for 17/169 (10.1%) </w:t>
      </w:r>
      <w:r w:rsidR="006B381B" w:rsidRPr="00A67C0D">
        <w:t>Fibrin Sealant</w:t>
      </w:r>
      <w:r w:rsidR="00F957F3" w:rsidRPr="00A67C0D">
        <w:t xml:space="preserve"> Grifols treated patients and 18/158 (11.4%) </w:t>
      </w:r>
      <w:proofErr w:type="spellStart"/>
      <w:r w:rsidR="00F957F3" w:rsidRPr="00A67C0D">
        <w:t>Surgicel</w:t>
      </w:r>
      <w:proofErr w:type="spellEnd"/>
      <w:r w:rsidR="00F957F3" w:rsidRPr="00A67C0D">
        <w:t xml:space="preserve"> treated patients. SAEs in the </w:t>
      </w:r>
      <w:r w:rsidR="006B381B" w:rsidRPr="00A67C0D">
        <w:t>Fibrin Sealant</w:t>
      </w:r>
      <w:r w:rsidR="00F957F3" w:rsidRPr="00A67C0D">
        <w:t xml:space="preserve"> Grifols treatment group were considered unrelated to study treatment except for one patient with 2 SAEs of abdominal wound dehiscence and peritonitis, which were considered possibly related to the study treatment </w:t>
      </w:r>
      <w:proofErr w:type="gramStart"/>
      <w:r w:rsidR="00F957F3" w:rsidRPr="00A67C0D">
        <w:t>and also</w:t>
      </w:r>
      <w:proofErr w:type="gramEnd"/>
      <w:r w:rsidR="00F957F3" w:rsidRPr="00A67C0D">
        <w:t xml:space="preserve"> attributable to application technique. Three deaths were reported in the study (2 </w:t>
      </w:r>
      <w:r w:rsidR="006B381B" w:rsidRPr="00A67C0D">
        <w:t>Fibrin Sealant</w:t>
      </w:r>
      <w:r w:rsidR="00F957F3" w:rsidRPr="00A67C0D">
        <w:t xml:space="preserve"> Grifols patients and </w:t>
      </w:r>
      <w:r w:rsidR="00720E19" w:rsidRPr="00A67C0D">
        <w:t>one</w:t>
      </w:r>
      <w:r w:rsidR="00F957F3" w:rsidRPr="00A67C0D">
        <w:t xml:space="preserve"> </w:t>
      </w:r>
      <w:proofErr w:type="spellStart"/>
      <w:r w:rsidR="00F957F3" w:rsidRPr="00A67C0D">
        <w:t>Surgicel</w:t>
      </w:r>
      <w:proofErr w:type="spellEnd"/>
      <w:r w:rsidR="00F957F3" w:rsidRPr="00A67C0D">
        <w:t xml:space="preserve"> patient), all considered not related to treatment.</w:t>
      </w:r>
    </w:p>
    <w:p w14:paraId="47FFCD57" w14:textId="58652CD7" w:rsidR="00F957F3" w:rsidRPr="00F45745" w:rsidRDefault="00A67C0D" w:rsidP="00F45745">
      <w:r>
        <w:t>A</w:t>
      </w:r>
      <w:r w:rsidRPr="00A67C0D">
        <w:t>dverse drug reaction</w:t>
      </w:r>
      <w:r>
        <w:t>s (</w:t>
      </w:r>
      <w:r w:rsidR="00F957F3" w:rsidRPr="00A67C0D">
        <w:t>ADRs</w:t>
      </w:r>
      <w:r>
        <w:t>)</w:t>
      </w:r>
      <w:r w:rsidR="00F957F3" w:rsidRPr="00A67C0D">
        <w:t xml:space="preserve"> were reported for a slightly greater proportion of </w:t>
      </w:r>
      <w:r w:rsidR="006B381B" w:rsidRPr="00A67C0D">
        <w:t>Fibrin Sealant</w:t>
      </w:r>
      <w:r w:rsidR="00F957F3" w:rsidRPr="00A67C0D">
        <w:t xml:space="preserve"> Grifols treated patients (32/169 </w:t>
      </w:r>
      <w:r w:rsidR="001F4ACA" w:rsidRPr="00A67C0D">
        <w:t>(</w:t>
      </w:r>
      <w:r w:rsidR="00F957F3" w:rsidRPr="00A67C0D">
        <w:t>18.9</w:t>
      </w:r>
      <w:r w:rsidR="00F957F3" w:rsidRPr="00F45745">
        <w:t>%</w:t>
      </w:r>
      <w:r w:rsidR="001F4ACA">
        <w:t>)</w:t>
      </w:r>
      <w:r w:rsidR="00F957F3" w:rsidRPr="00F45745">
        <w:t xml:space="preserve"> patients) compared with </w:t>
      </w:r>
      <w:proofErr w:type="spellStart"/>
      <w:r w:rsidR="00F957F3" w:rsidRPr="00F45745">
        <w:t>Surgicel</w:t>
      </w:r>
      <w:proofErr w:type="spellEnd"/>
      <w:r w:rsidR="00F957F3" w:rsidRPr="00F45745">
        <w:t xml:space="preserve"> patients (24/158 </w:t>
      </w:r>
      <w:r w:rsidR="001F4ACA">
        <w:t>(</w:t>
      </w:r>
      <w:r w:rsidR="00F957F3" w:rsidRPr="00F45745">
        <w:t>15.2%</w:t>
      </w:r>
      <w:r w:rsidR="001F4ACA">
        <w:t>)</w:t>
      </w:r>
      <w:r w:rsidR="00F957F3" w:rsidRPr="00F45745">
        <w:t xml:space="preserve"> patients). The majority of ADRs occurred in single patients. In the </w:t>
      </w:r>
      <w:r w:rsidR="006B381B">
        <w:t>Fibrin Sealant</w:t>
      </w:r>
      <w:r w:rsidR="00F957F3" w:rsidRPr="00F45745">
        <w:t xml:space="preserve"> Grifols group, exceptions were procedural pain, </w:t>
      </w:r>
      <w:proofErr w:type="gramStart"/>
      <w:r w:rsidR="00F957F3" w:rsidRPr="00F45745">
        <w:t>pruritus</w:t>
      </w:r>
      <w:proofErr w:type="gramEnd"/>
      <w:r w:rsidR="00F957F3" w:rsidRPr="00F45745">
        <w:t xml:space="preserve"> and nausea (occurred in 4 </w:t>
      </w:r>
      <w:r w:rsidR="00F957F3" w:rsidRPr="00A67C0D">
        <w:t xml:space="preserve">patients each </w:t>
      </w:r>
      <w:r w:rsidR="001F4ACA" w:rsidRPr="00A67C0D">
        <w:t>(</w:t>
      </w:r>
      <w:r w:rsidR="00F957F3" w:rsidRPr="00A67C0D">
        <w:t>2.4%</w:t>
      </w:r>
      <w:r w:rsidR="001F4ACA" w:rsidRPr="00A67C0D">
        <w:t>)</w:t>
      </w:r>
      <w:r w:rsidR="00F957F3" w:rsidRPr="00A67C0D">
        <w:t>); and, an</w:t>
      </w:r>
      <w:r w:rsidR="0041131B">
        <w:t>a</w:t>
      </w:r>
      <w:r w:rsidR="00F957F3" w:rsidRPr="00A67C0D">
        <w:t xml:space="preserve">emia, insomnia, hypertension, </w:t>
      </w:r>
      <w:proofErr w:type="spellStart"/>
      <w:r w:rsidR="00F957F3" w:rsidRPr="00A67C0D">
        <w:t>leukocytosis</w:t>
      </w:r>
      <w:proofErr w:type="spellEnd"/>
      <w:r w:rsidR="00F957F3" w:rsidRPr="00A67C0D">
        <w:t xml:space="preserve">, ileus, prothrombin time prolonged, </w:t>
      </w:r>
      <w:r w:rsidRPr="00A67C0D">
        <w:t xml:space="preserve">alanine </w:t>
      </w:r>
      <w:r w:rsidR="0041131B">
        <w:t>transaminase</w:t>
      </w:r>
      <w:r w:rsidR="0041131B" w:rsidRPr="00A67C0D">
        <w:t xml:space="preserve"> </w:t>
      </w:r>
      <w:r w:rsidRPr="00A67C0D">
        <w:t>(</w:t>
      </w:r>
      <w:r w:rsidR="00F957F3" w:rsidRPr="00A67C0D">
        <w:t>ALT</w:t>
      </w:r>
      <w:r w:rsidRPr="00A67C0D">
        <w:t>)</w:t>
      </w:r>
      <w:r w:rsidR="00F957F3" w:rsidRPr="00A67C0D">
        <w:t xml:space="preserve"> increased, </w:t>
      </w:r>
      <w:r w:rsidRPr="00A67C0D">
        <w:t>aspartate transaminase (</w:t>
      </w:r>
      <w:r w:rsidR="00F957F3" w:rsidRPr="00A67C0D">
        <w:t>AST</w:t>
      </w:r>
      <w:r w:rsidRPr="00A67C0D">
        <w:t>)</w:t>
      </w:r>
      <w:r w:rsidR="00F957F3" w:rsidRPr="00A67C0D">
        <w:t xml:space="preserve"> increased, </w:t>
      </w:r>
      <w:proofErr w:type="spellStart"/>
      <w:r w:rsidR="00F957F3" w:rsidRPr="00A67C0D">
        <w:t>hypocalcemia</w:t>
      </w:r>
      <w:proofErr w:type="spellEnd"/>
      <w:r w:rsidR="00F957F3" w:rsidRPr="00A67C0D">
        <w:t xml:space="preserve">, </w:t>
      </w:r>
      <w:proofErr w:type="spellStart"/>
      <w:r w:rsidR="00F957F3" w:rsidRPr="00A67C0D">
        <w:t>hypokalemia</w:t>
      </w:r>
      <w:proofErr w:type="spellEnd"/>
      <w:r w:rsidR="00F957F3" w:rsidRPr="00A67C0D">
        <w:t xml:space="preserve">, hyponatremia, and headache (2 patients each </w:t>
      </w:r>
      <w:r w:rsidR="001F4ACA" w:rsidRPr="00A67C0D">
        <w:t>(</w:t>
      </w:r>
      <w:r w:rsidR="00F957F3" w:rsidRPr="00A67C0D">
        <w:t>1.2%</w:t>
      </w:r>
      <w:r w:rsidR="001F4ACA" w:rsidRPr="00A67C0D">
        <w:t>)</w:t>
      </w:r>
      <w:r w:rsidR="00F957F3" w:rsidRPr="00A67C0D">
        <w:t xml:space="preserve">). In the </w:t>
      </w:r>
      <w:proofErr w:type="spellStart"/>
      <w:r w:rsidR="00F957F3" w:rsidRPr="00A67C0D">
        <w:t>Surgicel</w:t>
      </w:r>
      <w:proofErr w:type="spellEnd"/>
      <w:r w:rsidR="00F957F3" w:rsidRPr="00A67C0D">
        <w:t xml:space="preserve"> group, the exceptions were: an</w:t>
      </w:r>
      <w:r w:rsidR="0041131B">
        <w:t>a</w:t>
      </w:r>
      <w:r w:rsidR="00F957F3" w:rsidRPr="00A67C0D">
        <w:t xml:space="preserve">emia and pyrexia (5 patients each </w:t>
      </w:r>
      <w:r w:rsidR="001F4ACA" w:rsidRPr="00A67C0D">
        <w:t>(</w:t>
      </w:r>
      <w:r w:rsidR="00F957F3" w:rsidRPr="00A67C0D">
        <w:t>3.2%</w:t>
      </w:r>
      <w:r w:rsidR="001F4ACA" w:rsidRPr="00A67C0D">
        <w:t>)</w:t>
      </w:r>
      <w:r w:rsidR="00F957F3" w:rsidRPr="00A67C0D">
        <w:t>); procedural pain (4 patients</w:t>
      </w:r>
      <w:r w:rsidR="00F957F3" w:rsidRPr="00F45745">
        <w:t xml:space="preserve"> each </w:t>
      </w:r>
      <w:r w:rsidR="001F4ACA">
        <w:t>(</w:t>
      </w:r>
      <w:r w:rsidR="00F957F3" w:rsidRPr="00F45745">
        <w:t>2.5%</w:t>
      </w:r>
      <w:r w:rsidR="001F4ACA">
        <w:t>)</w:t>
      </w:r>
      <w:r w:rsidR="00F957F3" w:rsidRPr="00F45745">
        <w:t>), constipation (3</w:t>
      </w:r>
      <w:r w:rsidR="0041131B">
        <w:t> </w:t>
      </w:r>
      <w:r w:rsidR="00F957F3" w:rsidRPr="00F45745">
        <w:t xml:space="preserve">patients </w:t>
      </w:r>
      <w:r w:rsidR="001F4ACA">
        <w:t>(</w:t>
      </w:r>
      <w:r w:rsidR="00F957F3" w:rsidRPr="00F45745">
        <w:t>1.9%</w:t>
      </w:r>
      <w:r w:rsidR="001F4ACA">
        <w:t>)</w:t>
      </w:r>
      <w:r w:rsidR="00F957F3" w:rsidRPr="00F45745">
        <w:t xml:space="preserve">); </w:t>
      </w:r>
      <w:proofErr w:type="gramStart"/>
      <w:r w:rsidR="00F957F3" w:rsidRPr="00F45745">
        <w:t>and,</w:t>
      </w:r>
      <w:proofErr w:type="gramEnd"/>
      <w:r w:rsidR="00F957F3" w:rsidRPr="00F45745">
        <w:t xml:space="preserve"> anxiety, insomnia, wheezing, pruritus, and hypertension (2</w:t>
      </w:r>
      <w:r w:rsidR="0041131B">
        <w:t> </w:t>
      </w:r>
      <w:r w:rsidR="00F957F3" w:rsidRPr="00F45745">
        <w:t xml:space="preserve">patients each </w:t>
      </w:r>
      <w:r w:rsidR="001F4ACA">
        <w:t>(</w:t>
      </w:r>
      <w:r w:rsidR="00F957F3" w:rsidRPr="00F45745">
        <w:t>1.3%</w:t>
      </w:r>
      <w:r w:rsidR="001F4ACA">
        <w:t>)</w:t>
      </w:r>
      <w:r w:rsidR="00F957F3" w:rsidRPr="00F45745">
        <w:t xml:space="preserve">). Most ADRs were considered unrelated to treatment. In the </w:t>
      </w:r>
      <w:r w:rsidR="006B381B">
        <w:t>Fibrin Sealant</w:t>
      </w:r>
      <w:r w:rsidR="00F957F3" w:rsidRPr="00F45745">
        <w:t xml:space="preserve"> Grifols group, 8 ADRs were considered possibly related to study treatment, including pruritus, prothrombin time prolonged (2 patients), pyrexia, peritonitis, abdominal wound dehiscence, </w:t>
      </w:r>
      <w:r w:rsidRPr="00A67C0D">
        <w:t>parvovirus B19</w:t>
      </w:r>
      <w:r w:rsidR="00F957F3" w:rsidRPr="00F45745">
        <w:t xml:space="preserve"> test positive (later attributed to blood transfusion), and somnolence.</w:t>
      </w:r>
    </w:p>
    <w:p w14:paraId="3B755746" w14:textId="365777B4" w:rsidR="00F957F3" w:rsidRPr="00F45745" w:rsidRDefault="00F957F3" w:rsidP="00F45745">
      <w:r w:rsidRPr="00F45745">
        <w:t xml:space="preserve">In the </w:t>
      </w:r>
      <w:proofErr w:type="spellStart"/>
      <w:r w:rsidRPr="00F45745">
        <w:t>Surgicel</w:t>
      </w:r>
      <w:proofErr w:type="spellEnd"/>
      <w:r w:rsidRPr="00F45745">
        <w:t xml:space="preserve"> group, 9 ADRs were considered possibly related to study treatment, including procedural pain, anaemia (2), prothrombin time prolonged, pyrexia (3), vaginal cellulitis, white blood cell </w:t>
      </w:r>
      <w:r w:rsidR="00720E19" w:rsidRPr="00F45745">
        <w:t>counts</w:t>
      </w:r>
      <w:r w:rsidRPr="00F45745">
        <w:t xml:space="preserve"> increased.</w:t>
      </w:r>
    </w:p>
    <w:p w14:paraId="244DC1EE" w14:textId="2BC30908" w:rsidR="00F957F3" w:rsidRPr="00F45745" w:rsidRDefault="00F957F3" w:rsidP="00F45745">
      <w:r w:rsidRPr="00F45745">
        <w:t xml:space="preserve">Immunogenicity to </w:t>
      </w:r>
      <w:bookmarkStart w:id="49" w:name="_Hlk104190667"/>
      <w:r w:rsidR="006B381B">
        <w:t>Fibrin Sealant</w:t>
      </w:r>
      <w:r w:rsidRPr="00F45745">
        <w:t xml:space="preserve"> </w:t>
      </w:r>
      <w:bookmarkEnd w:id="49"/>
      <w:r w:rsidRPr="00F45745">
        <w:t>Grifols was not detected for antibodies to human factor</w:t>
      </w:r>
      <w:r w:rsidR="00720E19">
        <w:t> </w:t>
      </w:r>
      <w:r w:rsidRPr="00F45745">
        <w:t>V, human thrombin, and human fibrinogen. No treatment</w:t>
      </w:r>
      <w:r w:rsidR="00A67C0D">
        <w:t>-</w:t>
      </w:r>
      <w:r w:rsidRPr="00F45745">
        <w:t>emergent viral infection was detected by DNA or viral serology testing.</w:t>
      </w:r>
    </w:p>
    <w:p w14:paraId="113C9950" w14:textId="27378F7E" w:rsidR="00F957F3" w:rsidRDefault="00F957F3" w:rsidP="00EA5011">
      <w:pPr>
        <w:pStyle w:val="Heading5"/>
      </w:pPr>
      <w:r>
        <w:t xml:space="preserve">Integrated </w:t>
      </w:r>
      <w:r w:rsidR="00720E19">
        <w:t>summary of safety</w:t>
      </w:r>
    </w:p>
    <w:p w14:paraId="0807E4B9" w14:textId="36C97814" w:rsidR="00F957F3" w:rsidRPr="00F45745" w:rsidRDefault="00F957F3" w:rsidP="00F45745">
      <w:r w:rsidRPr="00F45745">
        <w:t>The sponsor provided a summary containing integrated safety data from all three studies. The</w:t>
      </w:r>
      <w:r w:rsidR="00614169">
        <w:t xml:space="preserve"> overseas</w:t>
      </w:r>
      <w:r w:rsidRPr="00F45745">
        <w:t xml:space="preserve"> </w:t>
      </w:r>
      <w:r w:rsidR="00AC2EF5">
        <w:t xml:space="preserve">regulator </w:t>
      </w:r>
      <w:r w:rsidRPr="00F45745">
        <w:t>provided the following comments:</w:t>
      </w:r>
    </w:p>
    <w:p w14:paraId="39722812" w14:textId="5586A591" w:rsidR="00F957F3" w:rsidRPr="000D3981" w:rsidRDefault="000D3981" w:rsidP="00720E19">
      <w:pPr>
        <w:ind w:left="720"/>
        <w:rPr>
          <w:i/>
          <w:iCs/>
        </w:rPr>
      </w:pPr>
      <w:r w:rsidRPr="000D3981">
        <w:rPr>
          <w:i/>
          <w:iCs/>
        </w:rPr>
        <w:t>‘</w:t>
      </w:r>
      <w:r w:rsidR="00F957F3" w:rsidRPr="000D3981">
        <w:rPr>
          <w:i/>
          <w:iCs/>
        </w:rPr>
        <w:t xml:space="preserve">In the </w:t>
      </w:r>
      <w:r w:rsidR="00A67C0D" w:rsidRPr="000D3981">
        <w:rPr>
          <w:i/>
          <w:iCs/>
        </w:rPr>
        <w:t>integrated summary of safety</w:t>
      </w:r>
      <w:r w:rsidR="00F957F3" w:rsidRPr="000D3981">
        <w:rPr>
          <w:i/>
          <w:iCs/>
        </w:rPr>
        <w:t xml:space="preserve">, the incidence of TEAEs was mostly attributed to the surgical procedures or medical conditions of the patient. The 17 fatal cases </w:t>
      </w:r>
      <w:r w:rsidR="00F957F3" w:rsidRPr="000D3981">
        <w:rPr>
          <w:i/>
          <w:iCs/>
        </w:rPr>
        <w:lastRenderedPageBreak/>
        <w:t xml:space="preserve">reported in the </w:t>
      </w:r>
      <w:r w:rsidR="00F957F3" w:rsidRPr="000D3981">
        <w:rPr>
          <w:i/>
          <w:iCs/>
          <w:color w:val="000000" w:themeColor="text1"/>
        </w:rPr>
        <w:t xml:space="preserve">three studies </w:t>
      </w:r>
      <w:r w:rsidR="006B381B" w:rsidRPr="000D3981">
        <w:rPr>
          <w:i/>
          <w:iCs/>
          <w:color w:val="000000" w:themeColor="text1"/>
        </w:rPr>
        <w:t>Fibrin Sealant</w:t>
      </w:r>
      <w:r w:rsidR="00F957F3" w:rsidRPr="000D3981">
        <w:rPr>
          <w:i/>
          <w:iCs/>
          <w:color w:val="000000" w:themeColor="text1"/>
        </w:rPr>
        <w:t xml:space="preserve"> Grifols 13/500 </w:t>
      </w:r>
      <w:r w:rsidR="001F4ACA" w:rsidRPr="000D3981">
        <w:rPr>
          <w:i/>
          <w:iCs/>
          <w:color w:val="000000" w:themeColor="text1"/>
        </w:rPr>
        <w:t>(</w:t>
      </w:r>
      <w:r w:rsidR="00F957F3" w:rsidRPr="000D3981">
        <w:rPr>
          <w:i/>
          <w:iCs/>
          <w:color w:val="000000" w:themeColor="text1"/>
        </w:rPr>
        <w:t>2.6%</w:t>
      </w:r>
      <w:r w:rsidR="001F4ACA" w:rsidRPr="000D3981">
        <w:rPr>
          <w:i/>
          <w:iCs/>
          <w:color w:val="000000" w:themeColor="text1"/>
        </w:rPr>
        <w:t>)</w:t>
      </w:r>
      <w:r w:rsidR="00F957F3" w:rsidRPr="000D3981">
        <w:rPr>
          <w:i/>
          <w:iCs/>
          <w:color w:val="000000" w:themeColor="text1"/>
        </w:rPr>
        <w:t xml:space="preserve"> and </w:t>
      </w:r>
      <w:proofErr w:type="spellStart"/>
      <w:r w:rsidR="00F957F3" w:rsidRPr="000D3981">
        <w:rPr>
          <w:i/>
          <w:iCs/>
          <w:color w:val="000000" w:themeColor="text1"/>
        </w:rPr>
        <w:t>Surgicel</w:t>
      </w:r>
      <w:proofErr w:type="spellEnd"/>
      <w:r w:rsidR="00F957F3" w:rsidRPr="000D3981">
        <w:rPr>
          <w:i/>
          <w:iCs/>
          <w:color w:val="000000" w:themeColor="text1"/>
        </w:rPr>
        <w:t xml:space="preserve"> 4/320 </w:t>
      </w:r>
      <w:r w:rsidR="001F4ACA" w:rsidRPr="000D3981">
        <w:rPr>
          <w:i/>
          <w:iCs/>
          <w:color w:val="000000" w:themeColor="text1"/>
        </w:rPr>
        <w:t>(</w:t>
      </w:r>
      <w:r w:rsidR="00F957F3" w:rsidRPr="000D3981">
        <w:rPr>
          <w:i/>
          <w:iCs/>
          <w:color w:val="000000" w:themeColor="text1"/>
        </w:rPr>
        <w:t>1.3%</w:t>
      </w:r>
      <w:r w:rsidR="001F4ACA" w:rsidRPr="000D3981">
        <w:rPr>
          <w:i/>
          <w:iCs/>
          <w:color w:val="000000" w:themeColor="text1"/>
        </w:rPr>
        <w:t>)</w:t>
      </w:r>
      <w:r w:rsidR="00F957F3" w:rsidRPr="000D3981">
        <w:rPr>
          <w:i/>
          <w:iCs/>
          <w:color w:val="000000" w:themeColor="text1"/>
        </w:rPr>
        <w:t xml:space="preserve">) were not considered related </w:t>
      </w:r>
      <w:r w:rsidR="00F957F3" w:rsidRPr="000D3981">
        <w:rPr>
          <w:i/>
          <w:iCs/>
        </w:rPr>
        <w:t>to the study treatment. Overall, the summary of TEAEs suggest comparable surgical procedures</w:t>
      </w:r>
      <w:r w:rsidR="00720E19" w:rsidRPr="000D3981">
        <w:rPr>
          <w:i/>
          <w:iCs/>
        </w:rPr>
        <w:t xml:space="preserve"> and </w:t>
      </w:r>
      <w:r w:rsidR="00F957F3" w:rsidRPr="000D3981">
        <w:rPr>
          <w:i/>
          <w:iCs/>
        </w:rPr>
        <w:t>complications reported between the treatment groups. In contrast, the ADRs related to treatment application and study drug suggest an overall higher risk attributed to the use of FS</w:t>
      </w:r>
      <w:r w:rsidR="00767542" w:rsidRPr="000D3981">
        <w:rPr>
          <w:i/>
          <w:iCs/>
        </w:rPr>
        <w:t xml:space="preserve"> [Fibrin Sealant]</w:t>
      </w:r>
      <w:r w:rsidR="00F957F3" w:rsidRPr="000D3981">
        <w:rPr>
          <w:i/>
          <w:iCs/>
        </w:rPr>
        <w:t xml:space="preserve"> Grifols as compared to </w:t>
      </w:r>
      <w:proofErr w:type="spellStart"/>
      <w:r w:rsidR="00F957F3" w:rsidRPr="000D3981">
        <w:rPr>
          <w:i/>
          <w:iCs/>
        </w:rPr>
        <w:t>Surgicel</w:t>
      </w:r>
      <w:proofErr w:type="spellEnd"/>
      <w:r w:rsidR="00F957F3" w:rsidRPr="000D3981">
        <w:rPr>
          <w:i/>
          <w:iCs/>
        </w:rPr>
        <w:t xml:space="preserve">. Patients receiving </w:t>
      </w:r>
      <w:r w:rsidR="00A03DB5" w:rsidRPr="000D3981">
        <w:rPr>
          <w:i/>
          <w:iCs/>
        </w:rPr>
        <w:t>manual compression</w:t>
      </w:r>
      <w:r w:rsidR="00F957F3" w:rsidRPr="000D3981">
        <w:rPr>
          <w:i/>
          <w:iCs/>
        </w:rPr>
        <w:t xml:space="preserve"> were </w:t>
      </w:r>
      <w:proofErr w:type="gramStart"/>
      <w:r w:rsidR="00F957F3" w:rsidRPr="000D3981">
        <w:rPr>
          <w:i/>
          <w:iCs/>
        </w:rPr>
        <w:t>under represented</w:t>
      </w:r>
      <w:proofErr w:type="gramEnd"/>
      <w:r w:rsidR="00F957F3" w:rsidRPr="000D3981">
        <w:rPr>
          <w:i/>
          <w:iCs/>
        </w:rPr>
        <w:t>.</w:t>
      </w:r>
      <w:r w:rsidR="00720E19" w:rsidRPr="000D3981">
        <w:rPr>
          <w:i/>
          <w:iCs/>
        </w:rPr>
        <w:t xml:space="preserve"> The</w:t>
      </w:r>
      <w:r w:rsidR="00F957F3" w:rsidRPr="000D3981">
        <w:rPr>
          <w:i/>
          <w:iCs/>
        </w:rPr>
        <w:t xml:space="preserve"> </w:t>
      </w:r>
      <w:r w:rsidR="008022EE" w:rsidRPr="000D3981">
        <w:rPr>
          <w:i/>
          <w:iCs/>
        </w:rPr>
        <w:t>sponsor</w:t>
      </w:r>
      <w:r w:rsidR="00F957F3" w:rsidRPr="000D3981">
        <w:rPr>
          <w:i/>
          <w:iCs/>
        </w:rPr>
        <w:t xml:space="preserve"> was requested to ensure that the ADR causality assessments included all ADRs irrespective of their degree of severity as well as taking into consideration those with a reasonable relation to the known risks with the use of a fibrin sealant, with or with assistance of gas pressure. In fact, there is a higher incidence of thrombi and infections in the FS Grifols group compared to </w:t>
      </w:r>
      <w:proofErr w:type="spellStart"/>
      <w:r w:rsidR="00F957F3" w:rsidRPr="000D3981">
        <w:rPr>
          <w:i/>
          <w:iCs/>
        </w:rPr>
        <w:t>Surgicel</w:t>
      </w:r>
      <w:proofErr w:type="spellEnd"/>
      <w:r w:rsidR="00F957F3" w:rsidRPr="000D3981">
        <w:rPr>
          <w:i/>
          <w:iCs/>
        </w:rPr>
        <w:t>.</w:t>
      </w:r>
    </w:p>
    <w:p w14:paraId="6B780B89" w14:textId="16F8CD60" w:rsidR="00F957F3" w:rsidRPr="000D3981" w:rsidRDefault="00F957F3" w:rsidP="00720E19">
      <w:pPr>
        <w:ind w:left="720"/>
        <w:rPr>
          <w:i/>
          <w:iCs/>
        </w:rPr>
      </w:pPr>
      <w:r w:rsidRPr="000D3981">
        <w:rPr>
          <w:i/>
          <w:iCs/>
        </w:rPr>
        <w:t xml:space="preserve">The risk of viral transmission with the use of FS Grifols was obscured by an unusually high frequency of false viral testing results, and the presumably explanation for positive test arising during the clinical trials attributed to tainted blood products. </w:t>
      </w:r>
      <w:r w:rsidR="008022EE" w:rsidRPr="000D3981">
        <w:rPr>
          <w:i/>
          <w:iCs/>
        </w:rPr>
        <w:t>sponsor</w:t>
      </w:r>
      <w:r w:rsidRPr="000D3981">
        <w:rPr>
          <w:i/>
          <w:iCs/>
        </w:rPr>
        <w:t xml:space="preserve"> provided additional clarification about the cases of viral transmission during the clinical trials, which were considered related to the passive transfer of antibodies from blood components administered to the patients.</w:t>
      </w:r>
      <w:r w:rsidR="000D3981" w:rsidRPr="000D3981">
        <w:rPr>
          <w:i/>
          <w:iCs/>
        </w:rPr>
        <w:t>’</w:t>
      </w:r>
    </w:p>
    <w:p w14:paraId="148FA1BD" w14:textId="61742B59" w:rsidR="00F957F3" w:rsidRPr="00645A46" w:rsidRDefault="00F957F3" w:rsidP="00F45745">
      <w:r w:rsidRPr="00F45745">
        <w:t>Through additional questions and responses from the sponsor, all safety related concerns were resolved to the satisfaction of the clinical evaluator. Nevertheless, the known risks of thrombin sealants must be adequately mitigated by clear warnings in the PI.</w:t>
      </w:r>
    </w:p>
    <w:p w14:paraId="653C93C5" w14:textId="31DE3975" w:rsidR="00F957F3" w:rsidRDefault="00F957F3" w:rsidP="00EA5011">
      <w:pPr>
        <w:pStyle w:val="Heading4"/>
      </w:pPr>
      <w:r>
        <w:t xml:space="preserve">Drug </w:t>
      </w:r>
      <w:r w:rsidR="00614169">
        <w:t>delivery device</w:t>
      </w:r>
    </w:p>
    <w:p w14:paraId="5FFDCAAD" w14:textId="08029D6A" w:rsidR="00F957F3" w:rsidRPr="00F45745" w:rsidRDefault="00F957F3" w:rsidP="00F45745">
      <w:r w:rsidRPr="00F45745">
        <w:t xml:space="preserve">There are two devices currently included on the ARTG for use with </w:t>
      </w:r>
      <w:r w:rsidR="006B381B">
        <w:t>Fibrin Sealant</w:t>
      </w:r>
      <w:r w:rsidRPr="00F45745">
        <w:t xml:space="preserve"> Grifols. Both devices </w:t>
      </w:r>
      <w:r w:rsidRPr="00A67C0D">
        <w:t>are Class IIa</w:t>
      </w:r>
      <w:r w:rsidR="00F141FF">
        <w:t>;</w:t>
      </w:r>
      <w:r w:rsidR="00F141FF">
        <w:rPr>
          <w:rStyle w:val="FootnoteReference"/>
        </w:rPr>
        <w:footnoteReference w:id="11"/>
      </w:r>
      <w:r w:rsidRPr="00A67C0D">
        <w:t xml:space="preserve"> and were</w:t>
      </w:r>
      <w:r w:rsidRPr="00F45745">
        <w:t xml:space="preserve"> included in the ARTG without audit review. Essentially, the TGA assessed the </w:t>
      </w:r>
      <w:r w:rsidRPr="00614949">
        <w:t xml:space="preserve">application form and the </w:t>
      </w:r>
      <w:r w:rsidR="00A67C0D" w:rsidRPr="00614949">
        <w:t>quality management systems</w:t>
      </w:r>
      <w:r w:rsidRPr="00614949">
        <w:t xml:space="preserve"> certificate, but there was no clinical or nonclinical evaluation of these devices. This is standard procedure for Class</w:t>
      </w:r>
      <w:r w:rsidR="00614169" w:rsidRPr="00614949">
        <w:t> </w:t>
      </w:r>
      <w:r w:rsidRPr="00614949">
        <w:t>IIa devices. Both devices are CE</w:t>
      </w:r>
      <w:r w:rsidR="00614169" w:rsidRPr="00614949">
        <w:t>;</w:t>
      </w:r>
      <w:r w:rsidRPr="00614949">
        <w:rPr>
          <w:vertAlign w:val="superscript"/>
        </w:rPr>
        <w:footnoteReference w:id="12"/>
      </w:r>
      <w:r w:rsidRPr="00614949">
        <w:t xml:space="preserve"> marked and have </w:t>
      </w:r>
      <w:r w:rsidR="00614949" w:rsidRPr="00614949">
        <w:t>Food and Drug Administration (</w:t>
      </w:r>
      <w:r w:rsidRPr="00614949">
        <w:t>FDA</w:t>
      </w:r>
      <w:r w:rsidR="00614949" w:rsidRPr="00614949">
        <w:t>)</w:t>
      </w:r>
      <w:r w:rsidRPr="00614949">
        <w:t xml:space="preserve"> 510k</w:t>
      </w:r>
      <w:r w:rsidR="00614169" w:rsidRPr="00614949">
        <w:t>;</w:t>
      </w:r>
      <w:r w:rsidR="001F74CA" w:rsidRPr="00612735">
        <w:rPr>
          <w:rStyle w:val="FootnoteReference"/>
        </w:rPr>
        <w:footnoteReference w:id="13"/>
      </w:r>
      <w:r w:rsidR="00612735" w:rsidRPr="00612735">
        <w:rPr>
          <w:vertAlign w:val="superscript"/>
        </w:rPr>
        <w:t>,</w:t>
      </w:r>
      <w:r w:rsidRPr="00612735">
        <w:rPr>
          <w:vertAlign w:val="superscript"/>
        </w:rPr>
        <w:footnoteReference w:id="14"/>
      </w:r>
      <w:r w:rsidRPr="00614949">
        <w:t xml:space="preserve"> approval.</w:t>
      </w:r>
    </w:p>
    <w:p w14:paraId="26552E15" w14:textId="0BB6E47F" w:rsidR="00F957F3" w:rsidRPr="00F45745" w:rsidRDefault="00F957F3" w:rsidP="00EA5011">
      <w:pPr>
        <w:pStyle w:val="Heading5"/>
      </w:pPr>
      <w:r w:rsidRPr="00F45745">
        <w:t>ARTG 322484</w:t>
      </w:r>
    </w:p>
    <w:p w14:paraId="2CD5B04D" w14:textId="6B6E6319" w:rsidR="00F957F3" w:rsidRPr="00F45745" w:rsidRDefault="00F957F3" w:rsidP="00F45745">
      <w:r w:rsidRPr="00F45745">
        <w:t>This device was included in the ARTG on 30</w:t>
      </w:r>
      <w:r w:rsidR="00614169">
        <w:t xml:space="preserve"> August </w:t>
      </w:r>
      <w:r w:rsidRPr="00F45745">
        <w:t xml:space="preserve">2019 as ‘Johnson </w:t>
      </w:r>
      <w:r w:rsidR="00614169">
        <w:t xml:space="preserve">and </w:t>
      </w:r>
      <w:r w:rsidRPr="00F45745">
        <w:t xml:space="preserve">Johnson Medical Pty Ltd </w:t>
      </w:r>
      <w:r w:rsidR="00614169">
        <w:t>-</w:t>
      </w:r>
      <w:r w:rsidRPr="00F45745">
        <w:t xml:space="preserve"> </w:t>
      </w:r>
      <w:r w:rsidR="00614169" w:rsidRPr="00F45745">
        <w:t>haematological concentrate</w:t>
      </w:r>
      <w:r w:rsidRPr="00F45745">
        <w:t>/haemostatic agent cannula, open-surgery.’ The intended purpose is ‘</w:t>
      </w:r>
      <w:r w:rsidRPr="00614169">
        <w:rPr>
          <w:i/>
          <w:iCs/>
        </w:rPr>
        <w:t>a device intended to be used during a surgical procedure for the administration of a haemostatic agent to a bleeding surgical site, typically to facilitate haemostasis and healing</w:t>
      </w:r>
      <w:r w:rsidRPr="00F45745">
        <w:t xml:space="preserve">.’ In the clinical trials, an equivalent device was used to administer </w:t>
      </w:r>
      <w:r w:rsidR="006B381B">
        <w:t>Fibrin Sealant</w:t>
      </w:r>
      <w:r w:rsidRPr="00F45745">
        <w:t xml:space="preserve"> Grifols by dripping or by spraying with gas assistance. The </w:t>
      </w:r>
      <w:r w:rsidR="00614169">
        <w:t xml:space="preserve">overseas </w:t>
      </w:r>
      <w:r w:rsidR="004444DA">
        <w:t>regulator</w:t>
      </w:r>
      <w:r w:rsidRPr="00F45745">
        <w:t xml:space="preserve"> drew the following conclusion about this device:</w:t>
      </w:r>
    </w:p>
    <w:p w14:paraId="1CD93731" w14:textId="3788E561" w:rsidR="00F957F3" w:rsidRPr="000D3981" w:rsidRDefault="000D3981" w:rsidP="00614169">
      <w:pPr>
        <w:ind w:left="720"/>
        <w:rPr>
          <w:i/>
          <w:iCs/>
        </w:rPr>
      </w:pPr>
      <w:r w:rsidRPr="000D3981">
        <w:rPr>
          <w:i/>
          <w:iCs/>
        </w:rPr>
        <w:t>‘</w:t>
      </w:r>
      <w:r w:rsidR="00F957F3" w:rsidRPr="000D3981">
        <w:rPr>
          <w:i/>
          <w:iCs/>
        </w:rPr>
        <w:t xml:space="preserve">Although FS Grifols </w:t>
      </w:r>
      <w:r w:rsidR="00614169" w:rsidRPr="000D3981">
        <w:rPr>
          <w:i/>
          <w:iCs/>
        </w:rPr>
        <w:t xml:space="preserve">kit </w:t>
      </w:r>
      <w:r w:rsidR="00F957F3" w:rsidRPr="000D3981">
        <w:rPr>
          <w:i/>
          <w:iCs/>
        </w:rPr>
        <w:t xml:space="preserve">has the potential to contribute to a patient harm, the benefits that it provides in bleeding control clearly outweigh the risks. During the risk </w:t>
      </w:r>
      <w:r w:rsidR="00F957F3" w:rsidRPr="000D3981">
        <w:rPr>
          <w:i/>
          <w:iCs/>
        </w:rPr>
        <w:lastRenderedPageBreak/>
        <w:t xml:space="preserve">analysis some mitigations have been specified and applied </w:t>
      </w:r>
      <w:proofErr w:type="gramStart"/>
      <w:r w:rsidR="00F957F3" w:rsidRPr="000D3981">
        <w:rPr>
          <w:i/>
          <w:iCs/>
        </w:rPr>
        <w:t>so as to</w:t>
      </w:r>
      <w:proofErr w:type="gramEnd"/>
      <w:r w:rsidR="00F957F3" w:rsidRPr="000D3981">
        <w:rPr>
          <w:i/>
          <w:iCs/>
        </w:rPr>
        <w:t xml:space="preserve"> reduce the risks to acceptable levels for the patient, by greatly lowering the probability</w:t>
      </w:r>
      <w:r w:rsidR="00614169" w:rsidRPr="000D3981">
        <w:rPr>
          <w:i/>
          <w:iCs/>
        </w:rPr>
        <w:t>.</w:t>
      </w:r>
      <w:r w:rsidRPr="000D3981">
        <w:rPr>
          <w:i/>
          <w:iCs/>
        </w:rPr>
        <w:t>’</w:t>
      </w:r>
    </w:p>
    <w:p w14:paraId="7A75E8F3" w14:textId="3BF40E35" w:rsidR="00F957F3" w:rsidRPr="00F45745" w:rsidRDefault="00F957F3" w:rsidP="00F45745">
      <w:r w:rsidRPr="00F45745">
        <w:t xml:space="preserve">The </w:t>
      </w:r>
      <w:r w:rsidR="00614169">
        <w:t>overseas regulator’s</w:t>
      </w:r>
      <w:r w:rsidRPr="00F45745">
        <w:t xml:space="preserve"> toxicology evaluation compared the device without gas assistance to the equivalent device with gas assistance and found that:</w:t>
      </w:r>
    </w:p>
    <w:p w14:paraId="1876B135" w14:textId="0E5758D2" w:rsidR="00F957F3" w:rsidRPr="000D3981" w:rsidRDefault="000D3981" w:rsidP="00614169">
      <w:pPr>
        <w:ind w:left="720"/>
        <w:rPr>
          <w:i/>
          <w:iCs/>
        </w:rPr>
      </w:pPr>
      <w:r w:rsidRPr="000D3981">
        <w:rPr>
          <w:i/>
          <w:iCs/>
        </w:rPr>
        <w:t>‘</w:t>
      </w:r>
      <w:r w:rsidR="00614169" w:rsidRPr="000D3981">
        <w:rPr>
          <w:i/>
          <w:iCs/>
        </w:rPr>
        <w:t>T</w:t>
      </w:r>
      <w:r w:rsidR="00F957F3" w:rsidRPr="000D3981">
        <w:rPr>
          <w:i/>
          <w:iCs/>
        </w:rPr>
        <w:t>he new device was at least as efficacious as the gas-assisted spray devices for both drip and spray administration.</w:t>
      </w:r>
      <w:r w:rsidRPr="000D3981">
        <w:rPr>
          <w:i/>
          <w:iCs/>
        </w:rPr>
        <w:t>’</w:t>
      </w:r>
    </w:p>
    <w:p w14:paraId="6AE9360C" w14:textId="039EC614" w:rsidR="00F957F3" w:rsidRPr="00F45745" w:rsidRDefault="00F957F3" w:rsidP="00EA5011">
      <w:pPr>
        <w:pStyle w:val="Heading5"/>
      </w:pPr>
      <w:r w:rsidRPr="00F45745">
        <w:t>ARTG 322483</w:t>
      </w:r>
    </w:p>
    <w:p w14:paraId="0031C7FA" w14:textId="14037EB3" w:rsidR="00F957F3" w:rsidRPr="00F45745" w:rsidRDefault="00F957F3" w:rsidP="00F45745">
      <w:r w:rsidRPr="00F45745">
        <w:t>This device was included in the ARTG on 30</w:t>
      </w:r>
      <w:r w:rsidR="00614169">
        <w:t xml:space="preserve"> August </w:t>
      </w:r>
      <w:r w:rsidRPr="00F45745">
        <w:t xml:space="preserve">2019 as ‘Johnson </w:t>
      </w:r>
      <w:r w:rsidR="00614169">
        <w:t>and</w:t>
      </w:r>
      <w:r w:rsidRPr="00F45745">
        <w:t xml:space="preserve"> Johnson Medical Pty Ltd </w:t>
      </w:r>
      <w:r w:rsidR="00614169">
        <w:t>-</w:t>
      </w:r>
      <w:r w:rsidRPr="00F45745">
        <w:t xml:space="preserve"> </w:t>
      </w:r>
      <w:r w:rsidR="00614169">
        <w:t>h</w:t>
      </w:r>
      <w:r w:rsidRPr="00F45745">
        <w:t xml:space="preserve">aemostatic-agent </w:t>
      </w:r>
      <w:proofErr w:type="spellStart"/>
      <w:r w:rsidRPr="00F45745">
        <w:t>endotherapy</w:t>
      </w:r>
      <w:proofErr w:type="spellEnd"/>
      <w:r w:rsidRPr="00F45745">
        <w:t xml:space="preserve"> cannula.’ The intended purpose is ‘</w:t>
      </w:r>
      <w:r w:rsidRPr="00614169">
        <w:rPr>
          <w:i/>
          <w:iCs/>
        </w:rPr>
        <w:t>a device intended to be used during a laparoscopic procedure to provide access for the administration of a haematological concentrate and/or haemostatic agent to a bleeding surgical site, typically to facilitate haemostasis and healing.</w:t>
      </w:r>
      <w:r w:rsidRPr="00F45745">
        <w:t>’ This device was not used in the clinical trials, as there were no laparoscopic procedures included in the trials, therefore, evidence for this device in clinical use is lacking.</w:t>
      </w:r>
    </w:p>
    <w:p w14:paraId="06A8E269" w14:textId="77777777" w:rsidR="008E7846" w:rsidRDefault="00386150" w:rsidP="007B6132">
      <w:pPr>
        <w:pStyle w:val="Heading3"/>
        <w:rPr>
          <w:lang w:eastAsia="en-AU"/>
        </w:rPr>
      </w:pPr>
      <w:bookmarkStart w:id="50" w:name="_Toc106113656"/>
      <w:r>
        <w:rPr>
          <w:lang w:eastAsia="en-AU"/>
        </w:rPr>
        <w:t>Risk m</w:t>
      </w:r>
      <w:r w:rsidR="008E7846">
        <w:rPr>
          <w:lang w:eastAsia="en-AU"/>
        </w:rPr>
        <w:t xml:space="preserve">anagement </w:t>
      </w:r>
      <w:r>
        <w:rPr>
          <w:lang w:eastAsia="en-AU"/>
        </w:rPr>
        <w:t>p</w:t>
      </w:r>
      <w:r w:rsidR="008E7846">
        <w:rPr>
          <w:lang w:eastAsia="en-AU"/>
        </w:rPr>
        <w:t>lan</w:t>
      </w:r>
      <w:bookmarkEnd w:id="44"/>
      <w:bookmarkEnd w:id="50"/>
    </w:p>
    <w:p w14:paraId="300AF672" w14:textId="705989E7" w:rsidR="00F45745" w:rsidRPr="00F45745" w:rsidRDefault="00614169" w:rsidP="00F45745">
      <w:r>
        <w:t>The sponsor</w:t>
      </w:r>
      <w:r w:rsidR="00F45745" w:rsidRPr="00F45745">
        <w:t xml:space="preserve"> has </w:t>
      </w:r>
      <w:r w:rsidR="00F45745" w:rsidRPr="00A67C0D">
        <w:t>submitted EU-RMP version 4.2 (date</w:t>
      </w:r>
      <w:r w:rsidRPr="00A67C0D">
        <w:t>d</w:t>
      </w:r>
      <w:r w:rsidR="00F45745" w:rsidRPr="00A67C0D">
        <w:t xml:space="preserve"> 6 April 2020; </w:t>
      </w:r>
      <w:r w:rsidR="00A67C0D" w:rsidRPr="00A67C0D">
        <w:t>data lock point (</w:t>
      </w:r>
      <w:r w:rsidR="00F45745" w:rsidRPr="00A67C0D">
        <w:t>DLP</w:t>
      </w:r>
      <w:r w:rsidR="00A67C0D" w:rsidRPr="00A67C0D">
        <w:t>)</w:t>
      </w:r>
      <w:r w:rsidR="00F45745" w:rsidRPr="00A67C0D">
        <w:t xml:space="preserve"> 8 June 2018) and </w:t>
      </w:r>
      <w:r w:rsidR="00A67C0D" w:rsidRPr="00A67C0D">
        <w:t>Australia specific annex (</w:t>
      </w:r>
      <w:r w:rsidR="00F45745" w:rsidRPr="00A67C0D">
        <w:t>ASA</w:t>
      </w:r>
      <w:r w:rsidR="00A67C0D" w:rsidRPr="00A67C0D">
        <w:t>)</w:t>
      </w:r>
      <w:r w:rsidR="00F45745" w:rsidRPr="00A67C0D">
        <w:t xml:space="preserve"> version 1.0 (date</w:t>
      </w:r>
      <w:r w:rsidRPr="00A67C0D">
        <w:t>d</w:t>
      </w:r>
      <w:r w:rsidR="00F45745" w:rsidRPr="00A67C0D">
        <w:t xml:space="preserve"> 11 March 2020) in support of this application. At </w:t>
      </w:r>
      <w:r w:rsidRPr="00A67C0D">
        <w:t>the second round</w:t>
      </w:r>
      <w:r>
        <w:t xml:space="preserve"> of evaluation,</w:t>
      </w:r>
      <w:r w:rsidR="00F45745" w:rsidRPr="00F45745">
        <w:t xml:space="preserve"> the sponsor submitted EU-RMP version 4.3 (date</w:t>
      </w:r>
      <w:r>
        <w:t>d</w:t>
      </w:r>
      <w:r w:rsidR="00F45745" w:rsidRPr="00F45745">
        <w:t xml:space="preserve"> 17 December 2020; DLP 8 June 2018) and ASA version 2.0 (date</w:t>
      </w:r>
      <w:r>
        <w:t>d</w:t>
      </w:r>
      <w:r w:rsidR="00F45745" w:rsidRPr="00F45745">
        <w:t xml:space="preserve"> 17 December 2020). At </w:t>
      </w:r>
      <w:r>
        <w:t xml:space="preserve">the third </w:t>
      </w:r>
      <w:r w:rsidR="00F45745" w:rsidRPr="00F45745">
        <w:t xml:space="preserve">round </w:t>
      </w:r>
      <w:r>
        <w:t xml:space="preserve">of evaluation, </w:t>
      </w:r>
      <w:r w:rsidR="00F45745" w:rsidRPr="00F45745">
        <w:t>the sponsor submitted EU-RMP version 4.1 (date</w:t>
      </w:r>
      <w:r>
        <w:t>s</w:t>
      </w:r>
      <w:r w:rsidR="00F45745" w:rsidRPr="00F45745">
        <w:t xml:space="preserve"> 21 October 2019; DLP 8 June 2018) and ASA version 3.0 (date</w:t>
      </w:r>
      <w:r>
        <w:t>d</w:t>
      </w:r>
      <w:r w:rsidR="00F45745" w:rsidRPr="00F45745">
        <w:t xml:space="preserve"> 12 April 2021).</w:t>
      </w:r>
    </w:p>
    <w:p w14:paraId="352701C5" w14:textId="4C5CBFE2" w:rsidR="007D53B6" w:rsidRDefault="007D53B6" w:rsidP="007D53B6">
      <w:r>
        <w:t xml:space="preserve">The summary of safety concerns and their associated risk monitoring and mitigation strategies are summarised in </w:t>
      </w:r>
      <w:r w:rsidR="00614169">
        <w:fldChar w:fldCharType="begin"/>
      </w:r>
      <w:r w:rsidR="00614169">
        <w:instrText xml:space="preserve"> REF _Ref103703701 \h </w:instrText>
      </w:r>
      <w:r w:rsidR="00614169">
        <w:fldChar w:fldCharType="separate"/>
      </w:r>
      <w:r w:rsidR="00C61BB9" w:rsidRPr="00B64840">
        <w:t xml:space="preserve">Table </w:t>
      </w:r>
      <w:r w:rsidR="00C61BB9">
        <w:rPr>
          <w:noProof/>
        </w:rPr>
        <w:t>3</w:t>
      </w:r>
      <w:r w:rsidR="00614169">
        <w:fldChar w:fldCharType="end"/>
      </w:r>
      <w:r>
        <w:t>.</w:t>
      </w:r>
      <w:r>
        <w:rPr>
          <w:rStyle w:val="FootnoteReference"/>
        </w:rPr>
        <w:footnoteReference w:id="15"/>
      </w:r>
    </w:p>
    <w:p w14:paraId="01EA52AB" w14:textId="51E8660B" w:rsidR="00F45745" w:rsidRPr="00B64840" w:rsidRDefault="00F45745" w:rsidP="00B64840">
      <w:pPr>
        <w:pStyle w:val="TableTitle"/>
      </w:pPr>
      <w:bookmarkStart w:id="51" w:name="_Ref103703701"/>
      <w:r w:rsidRPr="00B64840">
        <w:t xml:space="preserve">Table </w:t>
      </w:r>
      <w:r w:rsidR="006379F5">
        <w:rPr>
          <w:noProof/>
        </w:rPr>
        <w:fldChar w:fldCharType="begin"/>
      </w:r>
      <w:r w:rsidR="006379F5">
        <w:rPr>
          <w:noProof/>
        </w:rPr>
        <w:instrText xml:space="preserve"> SEQ Table \* ARABIC </w:instrText>
      </w:r>
      <w:r w:rsidR="006379F5">
        <w:rPr>
          <w:noProof/>
        </w:rPr>
        <w:fldChar w:fldCharType="separate"/>
      </w:r>
      <w:r w:rsidR="00C61BB9">
        <w:rPr>
          <w:noProof/>
        </w:rPr>
        <w:t>3</w:t>
      </w:r>
      <w:r w:rsidR="006379F5">
        <w:rPr>
          <w:noProof/>
        </w:rPr>
        <w:fldChar w:fldCharType="end"/>
      </w:r>
      <w:bookmarkEnd w:id="51"/>
      <w:r w:rsidRPr="00B64840">
        <w:t xml:space="preserve">: </w:t>
      </w:r>
      <w:r w:rsidR="00EA5011" w:rsidRPr="00B64840">
        <w:t>S</w:t>
      </w:r>
      <w:r w:rsidRPr="00B64840">
        <w:t>ummary of safety concerns</w:t>
      </w:r>
    </w:p>
    <w:tbl>
      <w:tblPr>
        <w:tblStyle w:val="TableTGAblue"/>
        <w:tblW w:w="8359" w:type="dxa"/>
        <w:tblLayout w:type="fixed"/>
        <w:tblLook w:val="04A0" w:firstRow="1" w:lastRow="0" w:firstColumn="1" w:lastColumn="0" w:noHBand="0" w:noVBand="1"/>
      </w:tblPr>
      <w:tblGrid>
        <w:gridCol w:w="1327"/>
        <w:gridCol w:w="2779"/>
        <w:gridCol w:w="992"/>
        <w:gridCol w:w="1134"/>
        <w:gridCol w:w="993"/>
        <w:gridCol w:w="1134"/>
      </w:tblGrid>
      <w:tr w:rsidR="00F45745" w:rsidRPr="00F017D5" w14:paraId="407A2489" w14:textId="77777777" w:rsidTr="00F45745">
        <w:trPr>
          <w:cnfStyle w:val="100000000000" w:firstRow="1" w:lastRow="0" w:firstColumn="0" w:lastColumn="0" w:oddVBand="0" w:evenVBand="0" w:oddHBand="0" w:evenHBand="0" w:firstRowFirstColumn="0" w:firstRowLastColumn="0" w:lastRowFirstColumn="0" w:lastRowLastColumn="0"/>
          <w:trHeight w:val="131"/>
        </w:trPr>
        <w:tc>
          <w:tcPr>
            <w:tcW w:w="4106" w:type="dxa"/>
            <w:gridSpan w:val="2"/>
            <w:vMerge w:val="restart"/>
            <w:tcBorders>
              <w:top w:val="single" w:sz="4" w:space="0" w:color="auto"/>
              <w:left w:val="single" w:sz="4" w:space="0" w:color="auto"/>
              <w:bottom w:val="single" w:sz="4" w:space="0" w:color="auto"/>
              <w:right w:val="single" w:sz="4" w:space="0" w:color="auto"/>
            </w:tcBorders>
          </w:tcPr>
          <w:p w14:paraId="427F0B82" w14:textId="77777777" w:rsidR="00F45745" w:rsidRPr="00F45745" w:rsidRDefault="00F45745" w:rsidP="005F30C3">
            <w:pPr>
              <w:pStyle w:val="Tabletext"/>
            </w:pPr>
            <w:r w:rsidRPr="00F45745">
              <w:t>Summary of safety concerns</w:t>
            </w:r>
          </w:p>
        </w:tc>
        <w:tc>
          <w:tcPr>
            <w:tcW w:w="2126" w:type="dxa"/>
            <w:gridSpan w:val="2"/>
            <w:tcBorders>
              <w:top w:val="single" w:sz="4" w:space="0" w:color="auto"/>
              <w:left w:val="single" w:sz="4" w:space="0" w:color="auto"/>
              <w:bottom w:val="single" w:sz="4" w:space="0" w:color="auto"/>
              <w:right w:val="single" w:sz="4" w:space="0" w:color="auto"/>
            </w:tcBorders>
          </w:tcPr>
          <w:p w14:paraId="1EE9532B" w14:textId="77777777" w:rsidR="00F45745" w:rsidRPr="00F45745" w:rsidRDefault="00F45745" w:rsidP="00F45745">
            <w:pPr>
              <w:pStyle w:val="Tabletext"/>
              <w:ind w:left="0" w:right="0"/>
              <w:rPr>
                <w:sz w:val="18"/>
              </w:rPr>
            </w:pPr>
            <w:r w:rsidRPr="00F45745">
              <w:rPr>
                <w:sz w:val="18"/>
              </w:rPr>
              <w:t>Pharmacovigilance</w:t>
            </w:r>
          </w:p>
        </w:tc>
        <w:tc>
          <w:tcPr>
            <w:tcW w:w="2127" w:type="dxa"/>
            <w:gridSpan w:val="2"/>
            <w:tcBorders>
              <w:top w:val="single" w:sz="4" w:space="0" w:color="auto"/>
              <w:left w:val="single" w:sz="4" w:space="0" w:color="auto"/>
              <w:bottom w:val="single" w:sz="4" w:space="0" w:color="auto"/>
              <w:right w:val="single" w:sz="4" w:space="0" w:color="auto"/>
            </w:tcBorders>
          </w:tcPr>
          <w:p w14:paraId="78286365" w14:textId="77777777" w:rsidR="00F45745" w:rsidRPr="00F45745" w:rsidRDefault="00F45745" w:rsidP="00F45745">
            <w:pPr>
              <w:pStyle w:val="Tabletext"/>
              <w:ind w:left="0" w:right="0"/>
              <w:rPr>
                <w:sz w:val="18"/>
              </w:rPr>
            </w:pPr>
            <w:r w:rsidRPr="00F45745">
              <w:rPr>
                <w:sz w:val="18"/>
              </w:rPr>
              <w:t>Risk Minimisation</w:t>
            </w:r>
          </w:p>
        </w:tc>
      </w:tr>
      <w:tr w:rsidR="00F45745" w:rsidRPr="00F017D5" w14:paraId="2AAB7873" w14:textId="77777777" w:rsidTr="00F45745">
        <w:trPr>
          <w:trHeight w:val="150"/>
        </w:trPr>
        <w:tc>
          <w:tcPr>
            <w:tcW w:w="4106" w:type="dxa"/>
            <w:gridSpan w:val="2"/>
            <w:vMerge/>
            <w:tcBorders>
              <w:top w:val="single" w:sz="4" w:space="0" w:color="auto"/>
              <w:left w:val="single" w:sz="4" w:space="0" w:color="auto"/>
              <w:bottom w:val="single" w:sz="4" w:space="0" w:color="auto"/>
              <w:right w:val="single" w:sz="4" w:space="0" w:color="auto"/>
            </w:tcBorders>
            <w:shd w:val="clear" w:color="auto" w:fill="006DA7"/>
          </w:tcPr>
          <w:p w14:paraId="28D86593" w14:textId="77777777" w:rsidR="00F45745" w:rsidRPr="00F45745" w:rsidRDefault="00F45745" w:rsidP="00F45745">
            <w:pPr>
              <w:pStyle w:val="Tabletext"/>
              <w:ind w:left="0" w:right="0"/>
              <w:rPr>
                <w:b/>
                <w:color w:val="FFFFFF" w:themeColor="background1"/>
              </w:rPr>
            </w:pPr>
          </w:p>
        </w:tc>
        <w:tc>
          <w:tcPr>
            <w:tcW w:w="992" w:type="dxa"/>
            <w:tcBorders>
              <w:top w:val="single" w:sz="4" w:space="0" w:color="auto"/>
              <w:left w:val="single" w:sz="4" w:space="0" w:color="auto"/>
              <w:bottom w:val="single" w:sz="4" w:space="0" w:color="auto"/>
              <w:right w:val="single" w:sz="4" w:space="0" w:color="auto"/>
            </w:tcBorders>
            <w:shd w:val="clear" w:color="auto" w:fill="006DA7"/>
          </w:tcPr>
          <w:p w14:paraId="10BD8F06" w14:textId="77777777" w:rsidR="00F45745" w:rsidRPr="00F45745" w:rsidRDefault="00F45745" w:rsidP="00F45745">
            <w:pPr>
              <w:pStyle w:val="Tabletext"/>
              <w:ind w:left="0" w:right="0"/>
              <w:rPr>
                <w:b/>
                <w:color w:val="FFFFFF" w:themeColor="background1"/>
                <w:sz w:val="18"/>
              </w:rPr>
            </w:pPr>
            <w:r w:rsidRPr="00F45745">
              <w:rPr>
                <w:b/>
                <w:color w:val="FFFFFF" w:themeColor="background1"/>
                <w:sz w:val="18"/>
              </w:rPr>
              <w:t>Routine</w:t>
            </w:r>
          </w:p>
        </w:tc>
        <w:tc>
          <w:tcPr>
            <w:tcW w:w="1134" w:type="dxa"/>
            <w:tcBorders>
              <w:top w:val="single" w:sz="4" w:space="0" w:color="auto"/>
              <w:left w:val="single" w:sz="4" w:space="0" w:color="auto"/>
              <w:bottom w:val="single" w:sz="4" w:space="0" w:color="auto"/>
              <w:right w:val="single" w:sz="4" w:space="0" w:color="auto"/>
            </w:tcBorders>
            <w:shd w:val="clear" w:color="auto" w:fill="006DA7"/>
          </w:tcPr>
          <w:p w14:paraId="53248BC1" w14:textId="77777777" w:rsidR="00F45745" w:rsidRPr="00F45745" w:rsidRDefault="00F45745" w:rsidP="00F45745">
            <w:pPr>
              <w:pStyle w:val="Tabletext"/>
              <w:ind w:left="0" w:right="0"/>
              <w:rPr>
                <w:b/>
                <w:color w:val="FFFFFF" w:themeColor="background1"/>
                <w:sz w:val="18"/>
              </w:rPr>
            </w:pPr>
            <w:r w:rsidRPr="00F45745">
              <w:rPr>
                <w:b/>
                <w:color w:val="FFFFFF" w:themeColor="background1"/>
                <w:sz w:val="18"/>
              </w:rPr>
              <w:t>Additional</w:t>
            </w:r>
          </w:p>
        </w:tc>
        <w:tc>
          <w:tcPr>
            <w:tcW w:w="993" w:type="dxa"/>
            <w:tcBorders>
              <w:top w:val="single" w:sz="4" w:space="0" w:color="auto"/>
              <w:left w:val="single" w:sz="4" w:space="0" w:color="auto"/>
              <w:bottom w:val="single" w:sz="4" w:space="0" w:color="auto"/>
              <w:right w:val="single" w:sz="4" w:space="0" w:color="auto"/>
            </w:tcBorders>
            <w:shd w:val="clear" w:color="auto" w:fill="006DA7"/>
          </w:tcPr>
          <w:p w14:paraId="3C125C41" w14:textId="77777777" w:rsidR="00F45745" w:rsidRPr="00F45745" w:rsidRDefault="00F45745" w:rsidP="00F45745">
            <w:pPr>
              <w:pStyle w:val="Tabletext"/>
              <w:ind w:left="0" w:right="0"/>
              <w:rPr>
                <w:b/>
                <w:color w:val="FFFFFF" w:themeColor="background1"/>
                <w:sz w:val="18"/>
              </w:rPr>
            </w:pPr>
            <w:r w:rsidRPr="00F45745">
              <w:rPr>
                <w:b/>
                <w:color w:val="FFFFFF" w:themeColor="background1"/>
                <w:sz w:val="18"/>
              </w:rPr>
              <w:t>Routine</w:t>
            </w:r>
          </w:p>
        </w:tc>
        <w:tc>
          <w:tcPr>
            <w:tcW w:w="1134" w:type="dxa"/>
            <w:tcBorders>
              <w:top w:val="single" w:sz="4" w:space="0" w:color="auto"/>
              <w:left w:val="single" w:sz="4" w:space="0" w:color="auto"/>
              <w:bottom w:val="single" w:sz="4" w:space="0" w:color="auto"/>
              <w:right w:val="single" w:sz="4" w:space="0" w:color="auto"/>
            </w:tcBorders>
            <w:shd w:val="clear" w:color="auto" w:fill="006DA7"/>
          </w:tcPr>
          <w:p w14:paraId="276A0E18" w14:textId="77777777" w:rsidR="00F45745" w:rsidRPr="00F45745" w:rsidRDefault="00F45745" w:rsidP="00F45745">
            <w:pPr>
              <w:pStyle w:val="Tabletext"/>
              <w:ind w:left="0" w:right="0"/>
              <w:rPr>
                <w:b/>
                <w:color w:val="FFFFFF" w:themeColor="background1"/>
                <w:sz w:val="18"/>
              </w:rPr>
            </w:pPr>
            <w:r w:rsidRPr="00F45745">
              <w:rPr>
                <w:b/>
                <w:color w:val="FFFFFF" w:themeColor="background1"/>
                <w:sz w:val="18"/>
              </w:rPr>
              <w:t>Additional</w:t>
            </w:r>
          </w:p>
        </w:tc>
      </w:tr>
      <w:tr w:rsidR="00F45745" w:rsidRPr="00F017D5" w14:paraId="6D7C47AB" w14:textId="77777777" w:rsidTr="00F45745">
        <w:trPr>
          <w:trHeight w:val="159"/>
        </w:trPr>
        <w:tc>
          <w:tcPr>
            <w:tcW w:w="1327" w:type="dxa"/>
            <w:vMerge w:val="restart"/>
            <w:tcBorders>
              <w:top w:val="single" w:sz="4" w:space="0" w:color="auto"/>
            </w:tcBorders>
          </w:tcPr>
          <w:p w14:paraId="0F38A36E" w14:textId="77777777" w:rsidR="00F45745" w:rsidRPr="00F017D5" w:rsidRDefault="00F45745" w:rsidP="00F45745">
            <w:pPr>
              <w:pStyle w:val="Tabletext"/>
              <w:ind w:left="0" w:right="0"/>
              <w:rPr>
                <w:b/>
              </w:rPr>
            </w:pPr>
            <w:r w:rsidRPr="00F017D5">
              <w:rPr>
                <w:b/>
              </w:rPr>
              <w:t>Important potential risks</w:t>
            </w:r>
          </w:p>
        </w:tc>
        <w:tc>
          <w:tcPr>
            <w:tcW w:w="2779" w:type="dxa"/>
            <w:tcBorders>
              <w:top w:val="single" w:sz="4" w:space="0" w:color="auto"/>
            </w:tcBorders>
          </w:tcPr>
          <w:p w14:paraId="0AE269AA" w14:textId="77777777" w:rsidR="00F45745" w:rsidRPr="00F017D5" w:rsidRDefault="00F45745" w:rsidP="00F45745">
            <w:pPr>
              <w:pStyle w:val="Tabletext"/>
              <w:ind w:left="0" w:right="0"/>
            </w:pPr>
            <w:r w:rsidRPr="00F017D5">
              <w:t xml:space="preserve">Thromboembolic events </w:t>
            </w:r>
          </w:p>
        </w:tc>
        <w:tc>
          <w:tcPr>
            <w:tcW w:w="992" w:type="dxa"/>
            <w:tcBorders>
              <w:top w:val="single" w:sz="4" w:space="0" w:color="auto"/>
            </w:tcBorders>
          </w:tcPr>
          <w:p w14:paraId="2AFC42CD" w14:textId="77777777" w:rsidR="00F45745" w:rsidRPr="00F017D5" w:rsidRDefault="00F45745" w:rsidP="00F45745">
            <w:pPr>
              <w:pStyle w:val="Tabletext"/>
              <w:ind w:left="0" w:right="0"/>
              <w:jc w:val="center"/>
            </w:pPr>
            <w:r w:rsidRPr="00F017D5">
              <w:sym w:font="Wingdings" w:char="F0FC"/>
            </w:r>
          </w:p>
        </w:tc>
        <w:tc>
          <w:tcPr>
            <w:tcW w:w="1134" w:type="dxa"/>
            <w:tcBorders>
              <w:top w:val="single" w:sz="4" w:space="0" w:color="auto"/>
            </w:tcBorders>
          </w:tcPr>
          <w:p w14:paraId="2A9B741D" w14:textId="77777777" w:rsidR="00F45745" w:rsidRPr="00F017D5" w:rsidRDefault="00F45745" w:rsidP="00F45745">
            <w:pPr>
              <w:pStyle w:val="Tabletext"/>
              <w:ind w:left="0" w:right="0"/>
              <w:jc w:val="center"/>
            </w:pPr>
            <w:r w:rsidRPr="00F017D5">
              <w:t>–</w:t>
            </w:r>
          </w:p>
        </w:tc>
        <w:tc>
          <w:tcPr>
            <w:tcW w:w="993" w:type="dxa"/>
            <w:tcBorders>
              <w:top w:val="single" w:sz="4" w:space="0" w:color="auto"/>
            </w:tcBorders>
          </w:tcPr>
          <w:p w14:paraId="28C23482" w14:textId="77777777" w:rsidR="00F45745" w:rsidRPr="00F017D5" w:rsidRDefault="00F45745" w:rsidP="00F45745">
            <w:pPr>
              <w:pStyle w:val="Tabletext"/>
              <w:ind w:left="0" w:right="0"/>
              <w:jc w:val="center"/>
            </w:pPr>
            <w:r w:rsidRPr="00F017D5">
              <w:sym w:font="Wingdings" w:char="F0FC"/>
            </w:r>
          </w:p>
        </w:tc>
        <w:tc>
          <w:tcPr>
            <w:tcW w:w="1134" w:type="dxa"/>
            <w:tcBorders>
              <w:top w:val="single" w:sz="4" w:space="0" w:color="auto"/>
            </w:tcBorders>
          </w:tcPr>
          <w:p w14:paraId="3D652D01" w14:textId="77777777" w:rsidR="00F45745" w:rsidRPr="00F017D5" w:rsidRDefault="00F45745" w:rsidP="00F45745">
            <w:pPr>
              <w:pStyle w:val="Tabletext"/>
              <w:ind w:left="0" w:right="0"/>
              <w:jc w:val="center"/>
            </w:pPr>
            <w:r w:rsidRPr="00F017D5">
              <w:t>–</w:t>
            </w:r>
          </w:p>
        </w:tc>
      </w:tr>
      <w:tr w:rsidR="00F45745" w:rsidRPr="00F017D5" w14:paraId="06567AAB" w14:textId="77777777" w:rsidTr="00F45745">
        <w:trPr>
          <w:trHeight w:val="122"/>
        </w:trPr>
        <w:tc>
          <w:tcPr>
            <w:tcW w:w="1327" w:type="dxa"/>
            <w:vMerge/>
          </w:tcPr>
          <w:p w14:paraId="53D64FD3" w14:textId="77777777" w:rsidR="00F45745" w:rsidRPr="00F017D5" w:rsidRDefault="00F45745" w:rsidP="00F45745">
            <w:pPr>
              <w:pStyle w:val="Tabletext"/>
              <w:ind w:left="0" w:right="0"/>
              <w:rPr>
                <w:b/>
              </w:rPr>
            </w:pPr>
          </w:p>
        </w:tc>
        <w:tc>
          <w:tcPr>
            <w:tcW w:w="2779" w:type="dxa"/>
          </w:tcPr>
          <w:p w14:paraId="5FC13049" w14:textId="77777777" w:rsidR="00F45745" w:rsidRPr="00F017D5" w:rsidRDefault="00F45745" w:rsidP="00F45745">
            <w:pPr>
              <w:pStyle w:val="Tabletext"/>
              <w:ind w:left="0" w:right="0"/>
            </w:pPr>
            <w:r w:rsidRPr="00F017D5">
              <w:t xml:space="preserve">Transmission of infectious agents </w:t>
            </w:r>
          </w:p>
        </w:tc>
        <w:tc>
          <w:tcPr>
            <w:tcW w:w="992" w:type="dxa"/>
          </w:tcPr>
          <w:p w14:paraId="11664A2C" w14:textId="77777777" w:rsidR="00F45745" w:rsidRPr="00F017D5" w:rsidRDefault="00F45745" w:rsidP="00F45745">
            <w:pPr>
              <w:pStyle w:val="Tabletext"/>
              <w:ind w:left="0" w:right="0"/>
              <w:jc w:val="center"/>
            </w:pPr>
            <w:r w:rsidRPr="00F017D5">
              <w:sym w:font="Wingdings" w:char="F0FC"/>
            </w:r>
          </w:p>
        </w:tc>
        <w:tc>
          <w:tcPr>
            <w:tcW w:w="1134" w:type="dxa"/>
          </w:tcPr>
          <w:p w14:paraId="1C3831CF" w14:textId="77777777" w:rsidR="00F45745" w:rsidRPr="00F017D5" w:rsidRDefault="00F45745" w:rsidP="00F45745">
            <w:pPr>
              <w:pStyle w:val="Tabletext"/>
              <w:ind w:left="0" w:right="0"/>
              <w:jc w:val="center"/>
            </w:pPr>
            <w:r w:rsidRPr="00F017D5">
              <w:t>–</w:t>
            </w:r>
          </w:p>
        </w:tc>
        <w:tc>
          <w:tcPr>
            <w:tcW w:w="993" w:type="dxa"/>
          </w:tcPr>
          <w:p w14:paraId="32DB920A" w14:textId="77777777" w:rsidR="00F45745" w:rsidRPr="00F017D5" w:rsidRDefault="00F45745" w:rsidP="00F45745">
            <w:pPr>
              <w:pStyle w:val="Tabletext"/>
              <w:ind w:left="0" w:right="0"/>
              <w:jc w:val="center"/>
            </w:pPr>
            <w:r w:rsidRPr="00F017D5">
              <w:sym w:font="Wingdings" w:char="F0FC"/>
            </w:r>
          </w:p>
        </w:tc>
        <w:tc>
          <w:tcPr>
            <w:tcW w:w="1134" w:type="dxa"/>
          </w:tcPr>
          <w:p w14:paraId="2C7E5A2F" w14:textId="77777777" w:rsidR="00F45745" w:rsidRPr="00F017D5" w:rsidRDefault="00F45745" w:rsidP="00F45745">
            <w:pPr>
              <w:pStyle w:val="Tabletext"/>
              <w:ind w:left="0" w:right="0"/>
              <w:jc w:val="center"/>
            </w:pPr>
            <w:r w:rsidRPr="00F017D5">
              <w:t>–</w:t>
            </w:r>
          </w:p>
        </w:tc>
      </w:tr>
      <w:tr w:rsidR="00F45745" w:rsidRPr="00F017D5" w14:paraId="3AF81907" w14:textId="77777777" w:rsidTr="00F45745">
        <w:trPr>
          <w:trHeight w:val="112"/>
        </w:trPr>
        <w:tc>
          <w:tcPr>
            <w:tcW w:w="1327" w:type="dxa"/>
            <w:vMerge/>
          </w:tcPr>
          <w:p w14:paraId="3EACB170" w14:textId="77777777" w:rsidR="00F45745" w:rsidRPr="00F017D5" w:rsidRDefault="00F45745" w:rsidP="00F45745">
            <w:pPr>
              <w:pStyle w:val="Tabletext"/>
              <w:ind w:left="0" w:right="0"/>
              <w:rPr>
                <w:b/>
              </w:rPr>
            </w:pPr>
          </w:p>
        </w:tc>
        <w:tc>
          <w:tcPr>
            <w:tcW w:w="2779" w:type="dxa"/>
          </w:tcPr>
          <w:p w14:paraId="021FDBD3" w14:textId="77777777" w:rsidR="00F45745" w:rsidRPr="00F017D5" w:rsidRDefault="00F45745" w:rsidP="00F45745">
            <w:pPr>
              <w:pStyle w:val="Tabletext"/>
              <w:ind w:left="0" w:right="0"/>
            </w:pPr>
            <w:r w:rsidRPr="00F017D5">
              <w:t xml:space="preserve">Medication error </w:t>
            </w:r>
          </w:p>
        </w:tc>
        <w:tc>
          <w:tcPr>
            <w:tcW w:w="992" w:type="dxa"/>
          </w:tcPr>
          <w:p w14:paraId="1B40E1BB" w14:textId="77777777" w:rsidR="00F45745" w:rsidRPr="00F017D5" w:rsidRDefault="00F45745" w:rsidP="00F45745">
            <w:pPr>
              <w:pStyle w:val="Tabletext"/>
              <w:ind w:left="0" w:right="0"/>
              <w:jc w:val="center"/>
            </w:pPr>
            <w:r w:rsidRPr="00F017D5">
              <w:sym w:font="Wingdings" w:char="F0FC"/>
            </w:r>
          </w:p>
        </w:tc>
        <w:tc>
          <w:tcPr>
            <w:tcW w:w="1134" w:type="dxa"/>
          </w:tcPr>
          <w:p w14:paraId="23207FA1" w14:textId="77777777" w:rsidR="00F45745" w:rsidRPr="00F017D5" w:rsidRDefault="00F45745" w:rsidP="00F45745">
            <w:pPr>
              <w:pStyle w:val="Tabletext"/>
              <w:ind w:left="0" w:right="0"/>
              <w:jc w:val="center"/>
            </w:pPr>
            <w:r w:rsidRPr="00F017D5">
              <w:t>–</w:t>
            </w:r>
          </w:p>
        </w:tc>
        <w:tc>
          <w:tcPr>
            <w:tcW w:w="993" w:type="dxa"/>
          </w:tcPr>
          <w:p w14:paraId="30CD12EA" w14:textId="77777777" w:rsidR="00F45745" w:rsidRPr="00F017D5" w:rsidRDefault="00F45745" w:rsidP="00F45745">
            <w:pPr>
              <w:pStyle w:val="Tabletext"/>
              <w:ind w:left="0" w:right="0"/>
              <w:jc w:val="center"/>
            </w:pPr>
            <w:r w:rsidRPr="00F017D5">
              <w:sym w:font="Wingdings" w:char="F0FC"/>
            </w:r>
          </w:p>
        </w:tc>
        <w:tc>
          <w:tcPr>
            <w:tcW w:w="1134" w:type="dxa"/>
          </w:tcPr>
          <w:p w14:paraId="465B632A" w14:textId="77777777" w:rsidR="00F45745" w:rsidRPr="00F017D5" w:rsidRDefault="00F45745" w:rsidP="00F45745">
            <w:pPr>
              <w:pStyle w:val="Tabletext"/>
              <w:ind w:left="0" w:right="0"/>
              <w:jc w:val="center"/>
            </w:pPr>
            <w:r w:rsidRPr="006E69CA">
              <w:rPr>
                <w:color w:val="7030A0"/>
              </w:rPr>
              <w:sym w:font="Wingdings" w:char="F0FC"/>
            </w:r>
            <w:r w:rsidRPr="00F93C30">
              <w:rPr>
                <w:color w:val="7030A0"/>
              </w:rPr>
              <w:t>†</w:t>
            </w:r>
          </w:p>
        </w:tc>
      </w:tr>
      <w:tr w:rsidR="00F45745" w:rsidRPr="00F017D5" w14:paraId="48F6607B" w14:textId="77777777" w:rsidTr="00F45745">
        <w:trPr>
          <w:trHeight w:val="178"/>
        </w:trPr>
        <w:tc>
          <w:tcPr>
            <w:tcW w:w="1327" w:type="dxa"/>
            <w:vMerge w:val="restart"/>
          </w:tcPr>
          <w:p w14:paraId="5AE4E20E" w14:textId="77777777" w:rsidR="00F45745" w:rsidRPr="00F017D5" w:rsidRDefault="00F45745" w:rsidP="00F45745">
            <w:pPr>
              <w:pStyle w:val="Tabletext"/>
              <w:ind w:left="0" w:right="0"/>
              <w:rPr>
                <w:b/>
              </w:rPr>
            </w:pPr>
            <w:r w:rsidRPr="00F017D5">
              <w:rPr>
                <w:b/>
              </w:rPr>
              <w:t>Missing information</w:t>
            </w:r>
          </w:p>
        </w:tc>
        <w:tc>
          <w:tcPr>
            <w:tcW w:w="2779" w:type="dxa"/>
          </w:tcPr>
          <w:p w14:paraId="19C11BFD" w14:textId="77777777" w:rsidR="00F45745" w:rsidRPr="00F017D5" w:rsidRDefault="00F45745" w:rsidP="00F45745">
            <w:pPr>
              <w:pStyle w:val="Tabletext"/>
              <w:ind w:left="0" w:right="0"/>
            </w:pPr>
            <w:r w:rsidRPr="00F017D5">
              <w:t xml:space="preserve">Use in pediatric patients under the age of 18 </w:t>
            </w:r>
          </w:p>
        </w:tc>
        <w:tc>
          <w:tcPr>
            <w:tcW w:w="992" w:type="dxa"/>
          </w:tcPr>
          <w:p w14:paraId="205B77C7" w14:textId="77777777" w:rsidR="00F45745" w:rsidRPr="00F017D5" w:rsidRDefault="00F45745" w:rsidP="00F45745">
            <w:pPr>
              <w:pStyle w:val="Tabletext"/>
              <w:ind w:left="0" w:right="0"/>
              <w:jc w:val="center"/>
            </w:pPr>
            <w:r w:rsidRPr="00F017D5">
              <w:sym w:font="Wingdings" w:char="F0FC"/>
            </w:r>
          </w:p>
        </w:tc>
        <w:tc>
          <w:tcPr>
            <w:tcW w:w="1134" w:type="dxa"/>
          </w:tcPr>
          <w:p w14:paraId="700ECFFA" w14:textId="77777777" w:rsidR="00F45745" w:rsidRPr="00F017D5" w:rsidRDefault="00F45745" w:rsidP="00F45745">
            <w:pPr>
              <w:pStyle w:val="Tabletext"/>
              <w:ind w:left="0" w:right="0"/>
              <w:jc w:val="center"/>
            </w:pPr>
            <w:r w:rsidRPr="00F017D5">
              <w:sym w:font="Wingdings" w:char="F0FC"/>
            </w:r>
            <w:r w:rsidRPr="00F017D5">
              <w:rPr>
                <w:rFonts w:asciiTheme="majorHAnsi" w:hAnsiTheme="majorHAnsi"/>
                <w:szCs w:val="20"/>
              </w:rPr>
              <w:t>*</w:t>
            </w:r>
          </w:p>
        </w:tc>
        <w:tc>
          <w:tcPr>
            <w:tcW w:w="993" w:type="dxa"/>
          </w:tcPr>
          <w:p w14:paraId="034D9CFD" w14:textId="77777777" w:rsidR="00F45745" w:rsidRPr="00F017D5" w:rsidRDefault="00F45745" w:rsidP="00F45745">
            <w:pPr>
              <w:pStyle w:val="Tabletext"/>
              <w:ind w:left="0" w:right="0"/>
              <w:jc w:val="center"/>
            </w:pPr>
            <w:r w:rsidRPr="00F017D5">
              <w:sym w:font="Wingdings" w:char="F0FC"/>
            </w:r>
          </w:p>
        </w:tc>
        <w:tc>
          <w:tcPr>
            <w:tcW w:w="1134" w:type="dxa"/>
          </w:tcPr>
          <w:p w14:paraId="538C506E" w14:textId="77777777" w:rsidR="00F45745" w:rsidRPr="00F017D5" w:rsidRDefault="00F45745" w:rsidP="00F45745">
            <w:pPr>
              <w:pStyle w:val="Tabletext"/>
              <w:ind w:left="0" w:right="0"/>
              <w:jc w:val="center"/>
            </w:pPr>
            <w:r w:rsidRPr="00F017D5">
              <w:t>–</w:t>
            </w:r>
          </w:p>
        </w:tc>
      </w:tr>
      <w:tr w:rsidR="00F45745" w:rsidRPr="00F017D5" w14:paraId="639A442C" w14:textId="77777777" w:rsidTr="00F45745">
        <w:trPr>
          <w:trHeight w:val="103"/>
        </w:trPr>
        <w:tc>
          <w:tcPr>
            <w:tcW w:w="1327" w:type="dxa"/>
            <w:vMerge/>
          </w:tcPr>
          <w:p w14:paraId="2EE03B55" w14:textId="77777777" w:rsidR="00F45745" w:rsidRPr="00F017D5" w:rsidRDefault="00F45745" w:rsidP="00F45745">
            <w:pPr>
              <w:pStyle w:val="Tabletext"/>
              <w:ind w:left="0" w:right="0"/>
            </w:pPr>
          </w:p>
        </w:tc>
        <w:tc>
          <w:tcPr>
            <w:tcW w:w="2779" w:type="dxa"/>
          </w:tcPr>
          <w:p w14:paraId="6B50EDE3" w14:textId="77777777" w:rsidR="00F45745" w:rsidRPr="00F017D5" w:rsidRDefault="00F45745" w:rsidP="00F45745">
            <w:pPr>
              <w:pStyle w:val="Tabletext"/>
              <w:ind w:left="0" w:right="0"/>
            </w:pPr>
            <w:r w:rsidRPr="00F017D5">
              <w:t xml:space="preserve">Pregnant and breastfeeding women </w:t>
            </w:r>
          </w:p>
        </w:tc>
        <w:tc>
          <w:tcPr>
            <w:tcW w:w="992" w:type="dxa"/>
          </w:tcPr>
          <w:p w14:paraId="1AC31EA5" w14:textId="77777777" w:rsidR="00F45745" w:rsidRPr="00F017D5" w:rsidRDefault="00F45745" w:rsidP="00F45745">
            <w:pPr>
              <w:pStyle w:val="Tabletext"/>
              <w:ind w:left="0" w:right="0"/>
              <w:jc w:val="center"/>
            </w:pPr>
            <w:r w:rsidRPr="00F017D5">
              <w:sym w:font="Wingdings" w:char="F0FC"/>
            </w:r>
          </w:p>
        </w:tc>
        <w:tc>
          <w:tcPr>
            <w:tcW w:w="1134" w:type="dxa"/>
          </w:tcPr>
          <w:p w14:paraId="4A7B591D" w14:textId="77777777" w:rsidR="00F45745" w:rsidRPr="00F017D5" w:rsidRDefault="00F45745" w:rsidP="00F45745">
            <w:pPr>
              <w:pStyle w:val="Tabletext"/>
              <w:ind w:left="0" w:right="0"/>
              <w:jc w:val="center"/>
            </w:pPr>
            <w:r w:rsidRPr="00F017D5">
              <w:t>–</w:t>
            </w:r>
          </w:p>
        </w:tc>
        <w:tc>
          <w:tcPr>
            <w:tcW w:w="993" w:type="dxa"/>
          </w:tcPr>
          <w:p w14:paraId="791677B6" w14:textId="77777777" w:rsidR="00F45745" w:rsidRPr="00F017D5" w:rsidRDefault="00F45745" w:rsidP="00F45745">
            <w:pPr>
              <w:pStyle w:val="Tabletext"/>
              <w:ind w:left="0" w:right="0"/>
              <w:jc w:val="center"/>
            </w:pPr>
            <w:r w:rsidRPr="00F017D5">
              <w:sym w:font="Wingdings" w:char="F0FC"/>
            </w:r>
          </w:p>
        </w:tc>
        <w:tc>
          <w:tcPr>
            <w:tcW w:w="1134" w:type="dxa"/>
          </w:tcPr>
          <w:p w14:paraId="6DFB7A93" w14:textId="77777777" w:rsidR="00F45745" w:rsidRPr="00F017D5" w:rsidRDefault="00F45745" w:rsidP="00F45745">
            <w:pPr>
              <w:pStyle w:val="Tabletext"/>
              <w:ind w:left="0" w:right="0"/>
              <w:jc w:val="center"/>
            </w:pPr>
            <w:r w:rsidRPr="00F017D5">
              <w:t>–</w:t>
            </w:r>
          </w:p>
        </w:tc>
      </w:tr>
    </w:tbl>
    <w:p w14:paraId="3036460B" w14:textId="17F71779" w:rsidR="00F45745" w:rsidRPr="005A5FA0" w:rsidRDefault="00F45745" w:rsidP="00F45745">
      <w:pPr>
        <w:pStyle w:val="TableDescription"/>
      </w:pPr>
      <w:r w:rsidRPr="00F017D5">
        <w:t>*</w:t>
      </w:r>
      <w:r w:rsidR="00614169">
        <w:t xml:space="preserve"> </w:t>
      </w:r>
      <w:r w:rsidRPr="005A5FA0">
        <w:t>Paediatric investigation study (</w:t>
      </w:r>
      <w:r w:rsidR="00614169">
        <w:t>United States of America</w:t>
      </w:r>
      <w:r w:rsidRPr="005A5FA0">
        <w:t>, Europe)</w:t>
      </w:r>
    </w:p>
    <w:p w14:paraId="2D29E9B7" w14:textId="58AF87C7" w:rsidR="00F45745" w:rsidRPr="005A5FA0" w:rsidRDefault="00F45745" w:rsidP="00F45745">
      <w:pPr>
        <w:pStyle w:val="TableDescription"/>
      </w:pPr>
      <w:r w:rsidRPr="005A5FA0">
        <w:t>†</w:t>
      </w:r>
      <w:r w:rsidR="00614169">
        <w:t xml:space="preserve"> </w:t>
      </w:r>
      <w:r w:rsidRPr="005A5FA0">
        <w:t xml:space="preserve">Educational program for </w:t>
      </w:r>
      <w:r w:rsidR="00A67C0D">
        <w:t>h</w:t>
      </w:r>
      <w:r w:rsidR="00A67C0D" w:rsidRPr="00A67C0D">
        <w:t>ealthcare professionals</w:t>
      </w:r>
    </w:p>
    <w:p w14:paraId="2FE087E9" w14:textId="40C4CCD4" w:rsidR="00F45745" w:rsidRPr="00F45745" w:rsidRDefault="00F45745" w:rsidP="00F45745">
      <w:pPr>
        <w:pStyle w:val="ListBullet"/>
      </w:pPr>
      <w:r w:rsidRPr="00F45745">
        <w:t xml:space="preserve">At </w:t>
      </w:r>
      <w:r w:rsidR="00614169">
        <w:t xml:space="preserve">the first </w:t>
      </w:r>
      <w:r w:rsidRPr="00F45745">
        <w:t xml:space="preserve">round </w:t>
      </w:r>
      <w:r w:rsidR="00614169">
        <w:t xml:space="preserve">of evaluation, </w:t>
      </w:r>
      <w:r w:rsidRPr="00F45745">
        <w:t xml:space="preserve">no safety concerns were proposed. The sponsor was asked to include thromboembolic events, transmission of infections agents and medication error as important potential risks; and use in paediatric patients under the age of 18 and in pregnant and breastfeeding women as missing information in the summary of safety concerns. At </w:t>
      </w:r>
      <w:r w:rsidR="00614169">
        <w:t xml:space="preserve">the second </w:t>
      </w:r>
      <w:r w:rsidR="00614169" w:rsidRPr="00F45745">
        <w:t xml:space="preserve">round </w:t>
      </w:r>
      <w:r w:rsidR="00614169">
        <w:t>of evaluation</w:t>
      </w:r>
      <w:r w:rsidRPr="00F45745">
        <w:t>, the sponsor added the requested safety concerns to the ASA. The summary of safety concerns is now acceptable from an RMP perspective.</w:t>
      </w:r>
    </w:p>
    <w:p w14:paraId="53CAD5A0" w14:textId="6B6DB055" w:rsidR="00F45745" w:rsidRPr="00F45745" w:rsidRDefault="00F45745" w:rsidP="00F45745">
      <w:pPr>
        <w:pStyle w:val="ListBullet"/>
      </w:pPr>
      <w:r w:rsidRPr="00F45745">
        <w:t xml:space="preserve">At </w:t>
      </w:r>
      <w:r w:rsidR="00614169">
        <w:t xml:space="preserve">the first </w:t>
      </w:r>
      <w:r w:rsidR="00614169" w:rsidRPr="00F45745">
        <w:t xml:space="preserve">round </w:t>
      </w:r>
      <w:r w:rsidR="00614169">
        <w:t>of evaluation,</w:t>
      </w:r>
      <w:r w:rsidRPr="00F45745">
        <w:t xml:space="preserve"> pharmacovigilance activities were not listed as there were no safety concerns proposed, however the sponsor was requested to include a paediatric investigation study, as agreed with the </w:t>
      </w:r>
      <w:r w:rsidRPr="00A67C0D">
        <w:t xml:space="preserve">FDA and </w:t>
      </w:r>
      <w:r w:rsidR="00A67C0D" w:rsidRPr="00A67C0D">
        <w:t>European Medicines Agency (</w:t>
      </w:r>
      <w:r w:rsidRPr="00A67C0D">
        <w:t>EMA</w:t>
      </w:r>
      <w:r w:rsidR="00A67C0D" w:rsidRPr="00A67C0D">
        <w:t>)</w:t>
      </w:r>
      <w:r w:rsidRPr="00A67C0D">
        <w:t>,</w:t>
      </w:r>
      <w:r w:rsidRPr="00F45745">
        <w:t xml:space="preserve"> as an additional pharmacovigilance activity for the recommended paediatric safety concern. At </w:t>
      </w:r>
      <w:r w:rsidR="00614169">
        <w:t xml:space="preserve">the second </w:t>
      </w:r>
      <w:r w:rsidR="00614169" w:rsidRPr="00F45745">
        <w:t xml:space="preserve">round </w:t>
      </w:r>
      <w:r w:rsidR="00614169">
        <w:t>of evaluation</w:t>
      </w:r>
      <w:r w:rsidRPr="00F45745">
        <w:t xml:space="preserve"> the paediatric investigation study has been added to the ASA as an additional pharmacovigilance activity. Although no Australian patients are to be included in this study, the results are considered relevant to the Australian population. The pharmacovigilance plan is acceptable.</w:t>
      </w:r>
    </w:p>
    <w:p w14:paraId="27724F1E" w14:textId="025B855E" w:rsidR="00F45745" w:rsidRPr="00F45745" w:rsidRDefault="00F45745" w:rsidP="00F45745">
      <w:pPr>
        <w:pStyle w:val="ListBullet"/>
      </w:pPr>
      <w:r w:rsidRPr="00F45745">
        <w:t xml:space="preserve">Routine and additional risk minimisation activities were not proposed at </w:t>
      </w:r>
      <w:r w:rsidR="00614169">
        <w:t xml:space="preserve">the first </w:t>
      </w:r>
      <w:r w:rsidR="00614169" w:rsidRPr="00F45745">
        <w:t xml:space="preserve">round </w:t>
      </w:r>
      <w:r w:rsidR="00614169">
        <w:t>of evaluation</w:t>
      </w:r>
      <w:r w:rsidRPr="00F45745">
        <w:t xml:space="preserve"> as no safety concerns were proposed. Additional risk minimisation activities, in the form of health care professional education, were recommended for the requested important potential risks of medication error, thromboembolic events and transmission of infectious agents. At </w:t>
      </w:r>
      <w:r w:rsidR="00614169">
        <w:t xml:space="preserve">the second </w:t>
      </w:r>
      <w:r w:rsidR="00614169" w:rsidRPr="00F45745">
        <w:t xml:space="preserve">round </w:t>
      </w:r>
      <w:r w:rsidR="00614169">
        <w:t>of evaluation</w:t>
      </w:r>
      <w:r w:rsidRPr="00F45745">
        <w:t xml:space="preserve">, the sponsor proposes routine risk minimisation activities for all safety concerns. At </w:t>
      </w:r>
      <w:r w:rsidR="00614169">
        <w:t xml:space="preserve">the third </w:t>
      </w:r>
      <w:r w:rsidR="00614169" w:rsidRPr="00F45745">
        <w:t xml:space="preserve">round </w:t>
      </w:r>
      <w:r w:rsidR="00614169">
        <w:t xml:space="preserve">of </w:t>
      </w:r>
      <w:r w:rsidR="00614169" w:rsidRPr="00A67C0D">
        <w:t>evaluation</w:t>
      </w:r>
      <w:r w:rsidRPr="00A67C0D">
        <w:t xml:space="preserve">, the sponsor agreed to add an educational program for surgeons to the risk minimisation plan as recommended. Revision of the </w:t>
      </w:r>
      <w:r w:rsidR="00A67C0D" w:rsidRPr="00A67C0D">
        <w:t>Consumer Medicines Information (</w:t>
      </w:r>
      <w:r w:rsidRPr="00A67C0D">
        <w:t>CMI</w:t>
      </w:r>
      <w:r w:rsidR="00A67C0D" w:rsidRPr="00A67C0D">
        <w:t>)</w:t>
      </w:r>
      <w:r w:rsidRPr="00F45745">
        <w:t xml:space="preserve"> and the additional risk minimisation materials is required prior to </w:t>
      </w:r>
      <w:proofErr w:type="gramStart"/>
      <w:r w:rsidRPr="00F45745">
        <w:t>marketing,</w:t>
      </w:r>
      <w:proofErr w:type="gramEnd"/>
      <w:r w:rsidRPr="00F45745">
        <w:t xml:space="preserve"> however the risk minimisation plan is generally acceptable at </w:t>
      </w:r>
      <w:r w:rsidR="00614169">
        <w:t xml:space="preserve">the third </w:t>
      </w:r>
      <w:r w:rsidR="00614169" w:rsidRPr="00F45745">
        <w:t xml:space="preserve">round </w:t>
      </w:r>
      <w:r w:rsidR="00614169">
        <w:t>of evaluation</w:t>
      </w:r>
      <w:r w:rsidRPr="00F45745">
        <w:t>.</w:t>
      </w:r>
    </w:p>
    <w:p w14:paraId="509BA3EF" w14:textId="77777777" w:rsidR="008E7846" w:rsidRDefault="00AA0ED0" w:rsidP="008E7846">
      <w:pPr>
        <w:pStyle w:val="Heading3"/>
      </w:pPr>
      <w:bookmarkStart w:id="52" w:name="_Toc247691531"/>
      <w:bookmarkStart w:id="53" w:name="_Toc314842515"/>
      <w:bookmarkStart w:id="54" w:name="_Toc106113657"/>
      <w:bookmarkStart w:id="55" w:name="_Toc196046505"/>
      <w:bookmarkStart w:id="56" w:name="_Toc196046949"/>
      <w:r>
        <w:t>Risk-benefit a</w:t>
      </w:r>
      <w:r w:rsidR="008E7846">
        <w:t>nalysis</w:t>
      </w:r>
      <w:bookmarkEnd w:id="52"/>
      <w:bookmarkEnd w:id="53"/>
      <w:bookmarkEnd w:id="54"/>
    </w:p>
    <w:p w14:paraId="7DECF31E" w14:textId="77777777" w:rsidR="00D23139" w:rsidRDefault="007D53B6" w:rsidP="00D23139">
      <w:pPr>
        <w:pStyle w:val="Heading4"/>
      </w:pPr>
      <w:r>
        <w:t>Delegate’s considerations</w:t>
      </w:r>
    </w:p>
    <w:p w14:paraId="39A86F37" w14:textId="5777DB1E" w:rsidR="00F45745" w:rsidRPr="00F45745" w:rsidRDefault="00F45745" w:rsidP="00F45745">
      <w:r w:rsidRPr="00F45745">
        <w:t xml:space="preserve">The clinical evidence provided constitutes adequate evidence of the efficacy of </w:t>
      </w:r>
      <w:r w:rsidR="006B381B">
        <w:t>Fibrin Sealant</w:t>
      </w:r>
      <w:r w:rsidRPr="00F45745">
        <w:t xml:space="preserve"> Grifols. The key issues with this submission relate to uncertainty regarding the breadth of procedures for which </w:t>
      </w:r>
      <w:r w:rsidR="006B381B">
        <w:t>Fibrin Sealant</w:t>
      </w:r>
      <w:r w:rsidRPr="00F45745">
        <w:t xml:space="preserve"> Grifols is suitable, and safety concerns related to the application method and devices.</w:t>
      </w:r>
    </w:p>
    <w:p w14:paraId="027D76F5" w14:textId="2F4D1E3E" w:rsidR="00F45745" w:rsidRDefault="00F45745" w:rsidP="00EA5011">
      <w:pPr>
        <w:pStyle w:val="Heading5"/>
      </w:pPr>
      <w:r>
        <w:t>Indication</w:t>
      </w:r>
    </w:p>
    <w:p w14:paraId="22494D0D" w14:textId="511543B2" w:rsidR="00F45745" w:rsidRPr="00F45745" w:rsidRDefault="00F45745" w:rsidP="00F45745">
      <w:r w:rsidRPr="00F45745">
        <w:t xml:space="preserve">The proposed indication is </w:t>
      </w:r>
      <w:r w:rsidR="00614169" w:rsidRPr="00F45745">
        <w:t>broad and</w:t>
      </w:r>
      <w:r w:rsidRPr="00F45745">
        <w:t xml:space="preserve"> does not restrict use of </w:t>
      </w:r>
      <w:r w:rsidR="006B381B">
        <w:t>Fibrin Sealant</w:t>
      </w:r>
      <w:r w:rsidRPr="00F45745">
        <w:t xml:space="preserve"> Grifols to </w:t>
      </w:r>
      <w:proofErr w:type="gramStart"/>
      <w:r w:rsidRPr="00F45745">
        <w:t>particular types</w:t>
      </w:r>
      <w:proofErr w:type="gramEnd"/>
      <w:r w:rsidRPr="00F45745">
        <w:t xml:space="preserve"> of surgical procedures. According to the indication, the product could be used for open or laparoscopic surgery at a range of anatomical sites. The PI does include the following limitations:</w:t>
      </w:r>
    </w:p>
    <w:p w14:paraId="711DC077" w14:textId="707A195B" w:rsidR="00F45745" w:rsidRPr="00F45745" w:rsidRDefault="00780D13" w:rsidP="00F45745">
      <w:pPr>
        <w:ind w:left="720"/>
        <w:rPr>
          <w:i/>
          <w:iCs/>
        </w:rPr>
      </w:pPr>
      <w:r>
        <w:rPr>
          <w:i/>
          <w:iCs/>
        </w:rPr>
        <w:lastRenderedPageBreak/>
        <w:t>‘</w:t>
      </w:r>
      <w:r w:rsidR="00F45745" w:rsidRPr="00F45745">
        <w:rPr>
          <w:i/>
          <w:iCs/>
        </w:rPr>
        <w:t>Adequate data are not available to support the use of this product in tissue gluing, neurosurgery, application through a flexible endoscope for treatment of bleeding or in gastrointestinal anastomoses.</w:t>
      </w:r>
      <w:r>
        <w:rPr>
          <w:i/>
          <w:iCs/>
        </w:rPr>
        <w:t>’</w:t>
      </w:r>
    </w:p>
    <w:p w14:paraId="103E52BF" w14:textId="0473354F" w:rsidR="00F45745" w:rsidRPr="00F45745" w:rsidRDefault="00F45745" w:rsidP="00F45745">
      <w:r w:rsidRPr="00F45745">
        <w:t xml:space="preserve">The 3 clinical studies provided in support of this application covered a limited range of open surgical procedures including peripheral vascular surgery, open </w:t>
      </w:r>
      <w:proofErr w:type="spellStart"/>
      <w:r w:rsidRPr="00F45745">
        <w:t>parenchymous</w:t>
      </w:r>
      <w:proofErr w:type="spellEnd"/>
      <w:r w:rsidRPr="00F45745">
        <w:t xml:space="preserve"> tissue surgery of the liver, and open urological, </w:t>
      </w:r>
      <w:r w:rsidR="00614169" w:rsidRPr="00F45745">
        <w:t>gynaecological,</w:t>
      </w:r>
      <w:r w:rsidRPr="00F45745">
        <w:t xml:space="preserve"> or general surgeries. There was no laparoscopic surgery included in the trials.</w:t>
      </w:r>
    </w:p>
    <w:p w14:paraId="41F925EE" w14:textId="278DAD5F" w:rsidR="00F45745" w:rsidRPr="00F45745" w:rsidRDefault="00F45745" w:rsidP="00F45745">
      <w:r w:rsidRPr="00F45745">
        <w:t xml:space="preserve">The broad indication proposed by the sponsor relies upon the extrapolation of clinical trial data from a limited number of procedures to a wider range of surgical procedures. While this may be appropriate for some procedures, the sponsor acknowledges in the PI that evidence is lacking for neurosurgery, </w:t>
      </w:r>
      <w:proofErr w:type="gramStart"/>
      <w:r w:rsidRPr="00F45745">
        <w:t>endoscopy</w:t>
      </w:r>
      <w:proofErr w:type="gramEnd"/>
      <w:r w:rsidRPr="00F45745">
        <w:t xml:space="preserve"> and tissue gluing. The extent to which the clinical trial data can be extrapolated to other surgical procedures is uncertain. Depending on the advice from </w:t>
      </w:r>
      <w:r w:rsidR="00614169">
        <w:t xml:space="preserve">the </w:t>
      </w:r>
      <w:r w:rsidR="00A67C0D" w:rsidRPr="00A67C0D">
        <w:t>Advisory Committee on Medicines (</w:t>
      </w:r>
      <w:r w:rsidRPr="00A67C0D">
        <w:t>ACM</w:t>
      </w:r>
      <w:r w:rsidR="00A67C0D" w:rsidRPr="00A67C0D">
        <w:t>)</w:t>
      </w:r>
      <w:r w:rsidRPr="00A67C0D">
        <w:t>,</w:t>
      </w:r>
      <w:r w:rsidRPr="00F45745">
        <w:t xml:space="preserve"> it may be necessary to add further limitations to the indication and/or the PI.</w:t>
      </w:r>
    </w:p>
    <w:p w14:paraId="05E66C2B" w14:textId="4ACAA02D" w:rsidR="00F45745" w:rsidRDefault="00F45745" w:rsidP="00EA5011">
      <w:pPr>
        <w:pStyle w:val="Heading5"/>
      </w:pPr>
      <w:r>
        <w:t xml:space="preserve">Laparoscopic </w:t>
      </w:r>
      <w:r w:rsidR="00614169">
        <w:t>device</w:t>
      </w:r>
    </w:p>
    <w:p w14:paraId="73D05C73" w14:textId="2EBA4EA1" w:rsidR="00F45745" w:rsidRPr="00F45745" w:rsidRDefault="00F45745" w:rsidP="00F45745">
      <w:r w:rsidRPr="00F45745">
        <w:t xml:space="preserve">The ‘haemostatic-agent </w:t>
      </w:r>
      <w:proofErr w:type="spellStart"/>
      <w:r w:rsidRPr="00F45745">
        <w:t>endotherapy</w:t>
      </w:r>
      <w:proofErr w:type="spellEnd"/>
      <w:r w:rsidRPr="00F45745">
        <w:t xml:space="preserve"> cannula’ device currently included in the ARTG (322483) is intended to administer </w:t>
      </w:r>
      <w:r w:rsidR="006B381B">
        <w:t>Fibrin Sealant</w:t>
      </w:r>
      <w:r w:rsidRPr="00F45745">
        <w:t xml:space="preserve"> Grifols during laparoscopic procedures. No clinical evidence to support this device, or the use of </w:t>
      </w:r>
      <w:r w:rsidR="006B381B">
        <w:t>Fibrin Sealant</w:t>
      </w:r>
      <w:r w:rsidRPr="00F45745">
        <w:t xml:space="preserve"> Grifols in laparoscopic procedures has been provided to the TGA. Although the ARTG entry for this device does not include the name ‘</w:t>
      </w:r>
      <w:proofErr w:type="spellStart"/>
      <w:r w:rsidRPr="00F45745">
        <w:t>VeraSeal</w:t>
      </w:r>
      <w:proofErr w:type="spellEnd"/>
      <w:r w:rsidRPr="00F45745">
        <w:t xml:space="preserve">,’ the </w:t>
      </w:r>
      <w:r w:rsidR="00A67C0D" w:rsidRPr="00A67C0D">
        <w:t xml:space="preserve">Instructions for Use (IFU) </w:t>
      </w:r>
      <w:r w:rsidRPr="00F45745">
        <w:t>provided to TGA with the device application labels the device ‘</w:t>
      </w:r>
      <w:proofErr w:type="spellStart"/>
      <w:r w:rsidR="00614169" w:rsidRPr="00F45745">
        <w:t>Vera</w:t>
      </w:r>
      <w:r w:rsidR="00614169">
        <w:t>S</w:t>
      </w:r>
      <w:r w:rsidR="00614169" w:rsidRPr="00F45745">
        <w:t>eal</w:t>
      </w:r>
      <w:proofErr w:type="spellEnd"/>
      <w:r w:rsidR="00614169" w:rsidRPr="00F45745">
        <w:t xml:space="preserve"> </w:t>
      </w:r>
      <w:r w:rsidRPr="00F45745">
        <w:t>laparoscopic dual applicator,’ and the indication is ‘</w:t>
      </w:r>
      <w:r w:rsidRPr="00614169">
        <w:rPr>
          <w:i/>
          <w:iCs/>
        </w:rPr>
        <w:t xml:space="preserve">to be used for the simultaneous topical application of the two biological components of </w:t>
      </w:r>
      <w:proofErr w:type="spellStart"/>
      <w:r w:rsidR="00614169" w:rsidRPr="00614169">
        <w:rPr>
          <w:i/>
          <w:iCs/>
        </w:rPr>
        <w:t>VeraSeal</w:t>
      </w:r>
      <w:proofErr w:type="spellEnd"/>
      <w:r w:rsidR="00614169" w:rsidRPr="00614169">
        <w:rPr>
          <w:i/>
          <w:iCs/>
        </w:rPr>
        <w:t xml:space="preserve"> solutions for sealant </w:t>
      </w:r>
      <w:r w:rsidRPr="00614169">
        <w:rPr>
          <w:i/>
          <w:iCs/>
        </w:rPr>
        <w:t>onto the surface.</w:t>
      </w:r>
      <w:r w:rsidRPr="00F45745">
        <w:t xml:space="preserve">’ The device is clearly intended to be used with </w:t>
      </w:r>
      <w:r w:rsidR="006B381B">
        <w:t>Fibrin Sealant</w:t>
      </w:r>
      <w:r w:rsidRPr="00F45745">
        <w:t xml:space="preserve"> Grifols. There is substantial uncertainty regarding the safety and efficacy of this device, and the safety and efficacy of the use of </w:t>
      </w:r>
      <w:r w:rsidR="006B381B">
        <w:t>Fibrin Sealant</w:t>
      </w:r>
      <w:r w:rsidRPr="00F45745">
        <w:t xml:space="preserve"> Grifols in laparoscopic procedures.</w:t>
      </w:r>
    </w:p>
    <w:p w14:paraId="55B99948" w14:textId="5E676106" w:rsidR="00F45745" w:rsidRPr="004D3E52" w:rsidRDefault="00F45745" w:rsidP="00EA5011">
      <w:pPr>
        <w:pStyle w:val="Heading5"/>
      </w:pPr>
      <w:r>
        <w:t xml:space="preserve">Application </w:t>
      </w:r>
      <w:r w:rsidR="00614169">
        <w:t>method</w:t>
      </w:r>
    </w:p>
    <w:p w14:paraId="4C3A3C84" w14:textId="64BC625D" w:rsidR="00F45745" w:rsidRPr="00F45745" w:rsidRDefault="00F45745" w:rsidP="00F45745">
      <w:r w:rsidRPr="00F45745">
        <w:t xml:space="preserve">In the clinical trials, there were restrictions on the application technique used. </w:t>
      </w:r>
      <w:r w:rsidR="006B381B">
        <w:t>Fibrin Sealant</w:t>
      </w:r>
      <w:r w:rsidRPr="00F45745">
        <w:t xml:space="preserve"> Grifols had to be applied by dripping in vascular surgeries, and by spraying with gas assistance in other types of procedures. The PI provides instructions for application by dripping and by </w:t>
      </w:r>
      <w:proofErr w:type="gramStart"/>
      <w:r w:rsidRPr="00F45745">
        <w:t>spraying, but</w:t>
      </w:r>
      <w:proofErr w:type="gramEnd"/>
      <w:r w:rsidRPr="00F45745">
        <w:t xml:space="preserve"> does not specify which technique should be used for which procedures. Furthermore, the PI is silent on the use of gas assistance, implying but not explicitly stating that gas assistance is not necessary. The sponsor submitted some non-clinical evidence to suggest that application of </w:t>
      </w:r>
      <w:r w:rsidR="006B381B">
        <w:t>Fibrin Sealant</w:t>
      </w:r>
      <w:r w:rsidRPr="00F45745">
        <w:t xml:space="preserve"> Grifols by spraying with gas assistance was at least as efficacious as spraying without gas assistance and drip application. The use of gas assistance for spray application of fibrin sealants may increase the potentially fatal risk of air</w:t>
      </w:r>
      <w:r w:rsidR="00614169">
        <w:t xml:space="preserve"> </w:t>
      </w:r>
      <w:r w:rsidR="000F102A">
        <w:t>or</w:t>
      </w:r>
      <w:r w:rsidR="00614169">
        <w:t xml:space="preserve"> </w:t>
      </w:r>
      <w:r w:rsidRPr="00F45745">
        <w:t>gas embolism. Therefore, it may be prudent to warn against the use of gas assistance in the PI.</w:t>
      </w:r>
    </w:p>
    <w:p w14:paraId="6BCE00F3" w14:textId="4A9755AA" w:rsidR="00F45745" w:rsidRDefault="00F45745" w:rsidP="00EA5011">
      <w:pPr>
        <w:pStyle w:val="Heading5"/>
      </w:pPr>
      <w:r>
        <w:t xml:space="preserve">Safety and the </w:t>
      </w:r>
      <w:r w:rsidR="00614169">
        <w:t>Product Information</w:t>
      </w:r>
    </w:p>
    <w:p w14:paraId="59074A1C" w14:textId="4166FE5A" w:rsidR="00F45745" w:rsidRPr="00F45745" w:rsidRDefault="00F45745" w:rsidP="00F45745">
      <w:r w:rsidRPr="00F45745">
        <w:t>There are several serious risks associated with the use of fibrin sealant products including air</w:t>
      </w:r>
      <w:r w:rsidR="00614169">
        <w:t xml:space="preserve"> </w:t>
      </w:r>
      <w:r w:rsidR="000F102A">
        <w:t>or</w:t>
      </w:r>
      <w:r w:rsidR="00614169">
        <w:t xml:space="preserve"> </w:t>
      </w:r>
      <w:r w:rsidRPr="00F45745">
        <w:t>gas embolism and other thromboembolic complications, infectious disease transmission, immunogenicity and allergy</w:t>
      </w:r>
      <w:r w:rsidR="00614169">
        <w:t xml:space="preserve"> </w:t>
      </w:r>
      <w:r w:rsidR="000F102A">
        <w:t xml:space="preserve">or </w:t>
      </w:r>
      <w:r w:rsidRPr="00F45745">
        <w:t xml:space="preserve">anaphylaxis. In the clinical trials, the rates of ADRs were higher in the </w:t>
      </w:r>
      <w:r w:rsidR="006B381B">
        <w:t>Fibrin Sealant</w:t>
      </w:r>
      <w:r w:rsidRPr="00F45745">
        <w:t xml:space="preserve"> Grifols groups compared to the control groups, including higher rates of infection and thromboembolic events. The proposed PI lists thromboembolic complications in the ‘</w:t>
      </w:r>
      <w:r w:rsidR="000F102A">
        <w:t>S</w:t>
      </w:r>
      <w:r w:rsidRPr="00F45745">
        <w:t xml:space="preserve">pecial warnings and precautions’ </w:t>
      </w:r>
      <w:proofErr w:type="gramStart"/>
      <w:r w:rsidRPr="00F45745">
        <w:t>section, and</w:t>
      </w:r>
      <w:proofErr w:type="gramEnd"/>
      <w:r w:rsidRPr="00F45745">
        <w:t xml:space="preserve"> has subheadings and text for hypersensitivity reactions and transmissible agents. The summary of the safety profile includes a sentence stating that antibodies against components of fibrin sealant</w:t>
      </w:r>
      <w:r w:rsidR="000F102A">
        <w:t xml:space="preserve"> or </w:t>
      </w:r>
      <w:r w:rsidRPr="00F45745">
        <w:t xml:space="preserve">haemostatic products may occur rarely. These warnings are buried in the body of the </w:t>
      </w:r>
      <w:proofErr w:type="gramStart"/>
      <w:r w:rsidRPr="00F45745">
        <w:t>PI, and</w:t>
      </w:r>
      <w:proofErr w:type="gramEnd"/>
      <w:r w:rsidRPr="00F45745">
        <w:t xml:space="preserve"> are not immediately obvious on the first page of the PI. Notably, the Canadian PI contains a box warning which highlights the risk of </w:t>
      </w:r>
      <w:r w:rsidRPr="00F45745">
        <w:lastRenderedPageBreak/>
        <w:t xml:space="preserve">thromboembolic complications and infectious agents. The </w:t>
      </w:r>
      <w:r w:rsidR="008022EE" w:rsidRPr="00F45745">
        <w:t>Delegate</w:t>
      </w:r>
      <w:r w:rsidRPr="00F45745">
        <w:t xml:space="preserve"> is suggesting a similar box warning should be added to the Australian PI, and </w:t>
      </w:r>
      <w:r w:rsidR="000F102A">
        <w:t xml:space="preserve">the </w:t>
      </w:r>
      <w:r w:rsidRPr="00F45745">
        <w:t>ACM</w:t>
      </w:r>
      <w:r w:rsidR="000F102A">
        <w:t>’s</w:t>
      </w:r>
      <w:r w:rsidRPr="00F45745">
        <w:t xml:space="preserve"> advice is sought on this.</w:t>
      </w:r>
    </w:p>
    <w:p w14:paraId="7839258D" w14:textId="22FD432E" w:rsidR="00F45745" w:rsidRDefault="00F45745" w:rsidP="00EA5011">
      <w:pPr>
        <w:pStyle w:val="Heading5"/>
      </w:pPr>
      <w:r>
        <w:t>Tradename</w:t>
      </w:r>
    </w:p>
    <w:p w14:paraId="43627A4C" w14:textId="4180E973" w:rsidR="00F45745" w:rsidRPr="00F45745" w:rsidRDefault="00F45745" w:rsidP="00F45745">
      <w:r w:rsidRPr="00F45745">
        <w:t>The proposed tradename for Australia is ‘</w:t>
      </w:r>
      <w:proofErr w:type="spellStart"/>
      <w:r w:rsidRPr="00F45745">
        <w:t>VeraSeal</w:t>
      </w:r>
      <w:proofErr w:type="spellEnd"/>
      <w:r w:rsidRPr="00F45745">
        <w:t>.’ The TGA tradenames committee considered that ‘Seal’ was promotional as it implies that the product seals the wound. Of note, there is another similar product registered on the ARTG with the name ‘</w:t>
      </w:r>
      <w:proofErr w:type="spellStart"/>
      <w:r w:rsidRPr="00F45745">
        <w:t>Tisseel</w:t>
      </w:r>
      <w:proofErr w:type="spellEnd"/>
      <w:r w:rsidRPr="00F45745">
        <w:t>’ (note the difference in spelling).</w:t>
      </w:r>
    </w:p>
    <w:p w14:paraId="33FA9AFD" w14:textId="05A62A31" w:rsidR="00F45745" w:rsidRPr="00F45745" w:rsidRDefault="004444DA" w:rsidP="00F45745">
      <w:r>
        <w:t>The</w:t>
      </w:r>
      <w:r w:rsidR="000F102A">
        <w:t xml:space="preserve"> overseas regulator</w:t>
      </w:r>
      <w:r w:rsidR="00F45745" w:rsidRPr="00F45745">
        <w:t xml:space="preserve"> raised the following issues with the ‘Vera’ part of the name, and ultimately rejected the name ‘</w:t>
      </w:r>
      <w:proofErr w:type="spellStart"/>
      <w:r w:rsidR="00F45745" w:rsidRPr="00F45745">
        <w:t>VeraSeal</w:t>
      </w:r>
      <w:proofErr w:type="spellEnd"/>
      <w:r w:rsidR="00F45745" w:rsidRPr="00F45745">
        <w:t>’ for the following reasons:</w:t>
      </w:r>
    </w:p>
    <w:p w14:paraId="3018AC89" w14:textId="1C6FFD79" w:rsidR="00F45745" w:rsidRPr="000D3981" w:rsidRDefault="00780D13" w:rsidP="00F45745">
      <w:pPr>
        <w:ind w:left="720"/>
        <w:rPr>
          <w:i/>
          <w:iCs/>
        </w:rPr>
      </w:pPr>
      <w:r w:rsidRPr="000D3981">
        <w:rPr>
          <w:i/>
          <w:iCs/>
        </w:rPr>
        <w:t>‘</w:t>
      </w:r>
      <w:r w:rsidR="000F102A" w:rsidRPr="000D3981">
        <w:rPr>
          <w:i/>
          <w:iCs/>
        </w:rPr>
        <w:t>[</w:t>
      </w:r>
      <w:r w:rsidR="000D3981">
        <w:rPr>
          <w:i/>
          <w:iCs/>
        </w:rPr>
        <w:t>T</w:t>
      </w:r>
      <w:r w:rsidR="000F102A" w:rsidRPr="000D3981">
        <w:rPr>
          <w:i/>
          <w:iCs/>
        </w:rPr>
        <w:t xml:space="preserve">he </w:t>
      </w:r>
      <w:r w:rsidR="000D3981">
        <w:rPr>
          <w:i/>
          <w:iCs/>
        </w:rPr>
        <w:t xml:space="preserve">overseas </w:t>
      </w:r>
      <w:r w:rsidR="000F102A" w:rsidRPr="000D3981">
        <w:rPr>
          <w:i/>
          <w:iCs/>
        </w:rPr>
        <w:t>regulator’s]</w:t>
      </w:r>
      <w:r w:rsidR="00F45745" w:rsidRPr="000D3981">
        <w:rPr>
          <w:i/>
          <w:iCs/>
        </w:rPr>
        <w:t xml:space="preserve"> brand name review considers the proposed brand name </w:t>
      </w:r>
      <w:r w:rsidRPr="000D3981">
        <w:rPr>
          <w:i/>
          <w:iCs/>
        </w:rPr>
        <w:t>‘</w:t>
      </w:r>
      <w:proofErr w:type="spellStart"/>
      <w:r w:rsidR="00F45745" w:rsidRPr="000D3981">
        <w:rPr>
          <w:i/>
          <w:iCs/>
        </w:rPr>
        <w:t>VeraSeal</w:t>
      </w:r>
      <w:proofErr w:type="spellEnd"/>
      <w:r w:rsidRPr="000D3981">
        <w:rPr>
          <w:i/>
          <w:iCs/>
        </w:rPr>
        <w:t>’</w:t>
      </w:r>
      <w:r w:rsidR="00F45745" w:rsidRPr="000D3981">
        <w:rPr>
          <w:i/>
          <w:iCs/>
        </w:rPr>
        <w:t xml:space="preserve"> implies unique </w:t>
      </w:r>
      <w:proofErr w:type="gramStart"/>
      <w:r w:rsidR="00F45745" w:rsidRPr="000D3981">
        <w:rPr>
          <w:i/>
          <w:iCs/>
        </w:rPr>
        <w:t>effectiveness</w:t>
      </w:r>
      <w:proofErr w:type="gramEnd"/>
      <w:r w:rsidR="00F45745" w:rsidRPr="000D3981">
        <w:rPr>
          <w:i/>
          <w:iCs/>
        </w:rPr>
        <w:t xml:space="preserve"> and the product has a superior </w:t>
      </w:r>
      <w:r w:rsidR="000F102A" w:rsidRPr="000D3981">
        <w:rPr>
          <w:i/>
          <w:iCs/>
        </w:rPr>
        <w:t>and</w:t>
      </w:r>
      <w:r w:rsidR="00F45745" w:rsidRPr="000D3981">
        <w:rPr>
          <w:i/>
          <w:iCs/>
        </w:rPr>
        <w:t xml:space="preserve"> better efficacy compared to other products in the same therapeutic class. The name exaggerates the product efficacy by implying it is the best sealant with the inclusion of the prefix </w:t>
      </w:r>
      <w:r w:rsidRPr="000D3981">
        <w:rPr>
          <w:i/>
          <w:iCs/>
        </w:rPr>
        <w:t>‘</w:t>
      </w:r>
      <w:r w:rsidR="00F45745" w:rsidRPr="000D3981">
        <w:rPr>
          <w:i/>
          <w:iCs/>
        </w:rPr>
        <w:t>Vera</w:t>
      </w:r>
      <w:r w:rsidRPr="000D3981">
        <w:rPr>
          <w:i/>
          <w:iCs/>
        </w:rPr>
        <w:t>’</w:t>
      </w:r>
      <w:r w:rsidR="00F45745" w:rsidRPr="000D3981">
        <w:rPr>
          <w:i/>
          <w:iCs/>
        </w:rPr>
        <w:t xml:space="preserve"> </w:t>
      </w:r>
      <w:proofErr w:type="gramStart"/>
      <w:r w:rsidR="00F45745" w:rsidRPr="000D3981">
        <w:rPr>
          <w:i/>
          <w:iCs/>
        </w:rPr>
        <w:t>similar to</w:t>
      </w:r>
      <w:proofErr w:type="gramEnd"/>
      <w:r w:rsidR="00F45745" w:rsidRPr="000D3981">
        <w:rPr>
          <w:i/>
          <w:iCs/>
        </w:rPr>
        <w:t xml:space="preserve"> </w:t>
      </w:r>
      <w:r w:rsidRPr="000D3981">
        <w:rPr>
          <w:i/>
          <w:iCs/>
        </w:rPr>
        <w:t>‘</w:t>
      </w:r>
      <w:r w:rsidR="00F45745" w:rsidRPr="000D3981">
        <w:rPr>
          <w:i/>
          <w:iCs/>
        </w:rPr>
        <w:t>very</w:t>
      </w:r>
      <w:r w:rsidRPr="000D3981">
        <w:rPr>
          <w:i/>
          <w:iCs/>
        </w:rPr>
        <w:t>’</w:t>
      </w:r>
      <w:r w:rsidR="00F45745" w:rsidRPr="000D3981">
        <w:rPr>
          <w:i/>
          <w:iCs/>
        </w:rPr>
        <w:t xml:space="preserve">. In addition, </w:t>
      </w:r>
      <w:r w:rsidRPr="000D3981">
        <w:rPr>
          <w:i/>
          <w:iCs/>
        </w:rPr>
        <w:t>‘</w:t>
      </w:r>
      <w:r w:rsidR="00F45745" w:rsidRPr="000D3981">
        <w:rPr>
          <w:i/>
          <w:iCs/>
        </w:rPr>
        <w:t>Vera</w:t>
      </w:r>
      <w:r w:rsidRPr="000D3981">
        <w:rPr>
          <w:i/>
          <w:iCs/>
        </w:rPr>
        <w:t>’</w:t>
      </w:r>
      <w:r w:rsidR="00F45745" w:rsidRPr="000D3981">
        <w:rPr>
          <w:i/>
          <w:iCs/>
        </w:rPr>
        <w:t xml:space="preserve"> in Latin means </w:t>
      </w:r>
      <w:r w:rsidRPr="000D3981">
        <w:rPr>
          <w:i/>
          <w:iCs/>
        </w:rPr>
        <w:t>‘</w:t>
      </w:r>
      <w:r w:rsidR="000F102A" w:rsidRPr="000D3981">
        <w:rPr>
          <w:i/>
          <w:iCs/>
        </w:rPr>
        <w:t xml:space="preserve">true’, ‘real’ or ‘genuine’ </w:t>
      </w:r>
      <w:r w:rsidR="00F45745" w:rsidRPr="000D3981">
        <w:rPr>
          <w:i/>
          <w:iCs/>
        </w:rPr>
        <w:t xml:space="preserve">that can relate </w:t>
      </w:r>
      <w:proofErr w:type="spellStart"/>
      <w:r w:rsidR="00F45745" w:rsidRPr="000D3981">
        <w:rPr>
          <w:i/>
          <w:iCs/>
        </w:rPr>
        <w:t>VeraSeal</w:t>
      </w:r>
      <w:proofErr w:type="spellEnd"/>
      <w:r w:rsidR="00F45745" w:rsidRPr="000D3981">
        <w:rPr>
          <w:i/>
          <w:iCs/>
        </w:rPr>
        <w:t xml:space="preserve"> to </w:t>
      </w:r>
      <w:r w:rsidRPr="000D3981">
        <w:rPr>
          <w:i/>
          <w:iCs/>
        </w:rPr>
        <w:t>‘</w:t>
      </w:r>
      <w:r w:rsidR="00F45745" w:rsidRPr="000D3981">
        <w:rPr>
          <w:i/>
          <w:iCs/>
        </w:rPr>
        <w:t>True Seal</w:t>
      </w:r>
      <w:r w:rsidRPr="000D3981">
        <w:rPr>
          <w:i/>
          <w:iCs/>
        </w:rPr>
        <w:t>’</w:t>
      </w:r>
      <w:r w:rsidR="00F45745" w:rsidRPr="000D3981">
        <w:rPr>
          <w:i/>
          <w:iCs/>
        </w:rPr>
        <w:t xml:space="preserve"> in comparison with other products in same therapeutic class and can be interpreted a better product. </w:t>
      </w:r>
      <w:proofErr w:type="spellStart"/>
      <w:r w:rsidR="00F45745" w:rsidRPr="000D3981">
        <w:rPr>
          <w:i/>
          <w:iCs/>
        </w:rPr>
        <w:t>VeraSeal</w:t>
      </w:r>
      <w:proofErr w:type="spellEnd"/>
      <w:r w:rsidR="00F45745" w:rsidRPr="000D3981">
        <w:rPr>
          <w:i/>
          <w:iCs/>
        </w:rPr>
        <w:t xml:space="preserve"> interpreted as </w:t>
      </w:r>
      <w:r w:rsidRPr="000D3981">
        <w:rPr>
          <w:i/>
          <w:iCs/>
        </w:rPr>
        <w:t>‘</w:t>
      </w:r>
      <w:r w:rsidR="00F45745" w:rsidRPr="000D3981">
        <w:rPr>
          <w:i/>
          <w:iCs/>
        </w:rPr>
        <w:t>True Seal</w:t>
      </w:r>
      <w:r w:rsidRPr="000D3981">
        <w:rPr>
          <w:i/>
          <w:iCs/>
        </w:rPr>
        <w:t>’</w:t>
      </w:r>
      <w:r w:rsidR="00F45745" w:rsidRPr="000D3981">
        <w:rPr>
          <w:i/>
          <w:iCs/>
        </w:rPr>
        <w:t xml:space="preserve"> may imply exaggerated efficacy in comparison with other products in same therapeutic class.</w:t>
      </w:r>
      <w:r w:rsidRPr="000D3981">
        <w:rPr>
          <w:i/>
          <w:iCs/>
        </w:rPr>
        <w:t>’</w:t>
      </w:r>
    </w:p>
    <w:p w14:paraId="35D52013" w14:textId="4ED43EA4" w:rsidR="00F45745" w:rsidRPr="00F45745" w:rsidRDefault="00F45745" w:rsidP="00F45745">
      <w:r w:rsidRPr="00F45745">
        <w:t>The sponsor’s reply to the issues raised by the TGA tradenames committee states that the devices currently included on the ARTG are already labelled ‘</w:t>
      </w:r>
      <w:proofErr w:type="spellStart"/>
      <w:r w:rsidRPr="00F45745">
        <w:t>VeraSeal</w:t>
      </w:r>
      <w:proofErr w:type="spellEnd"/>
      <w:r w:rsidRPr="00F45745">
        <w:t>’ and they are designed to be cross</w:t>
      </w:r>
      <w:r w:rsidR="000F102A">
        <w:t xml:space="preserve"> </w:t>
      </w:r>
      <w:r w:rsidRPr="00F45745">
        <w:t>labelled with the medicinal product. Notably, ARTG summaries 322483 and 322484 do not contain the name ‘</w:t>
      </w:r>
      <w:proofErr w:type="spellStart"/>
      <w:r w:rsidRPr="00F45745">
        <w:t>VeraSeal</w:t>
      </w:r>
      <w:proofErr w:type="spellEnd"/>
      <w:r w:rsidRPr="00F45745">
        <w:t xml:space="preserve">,’ </w:t>
      </w:r>
      <w:r w:rsidRPr="00614949">
        <w:t>however, the IFUs are labelled ‘</w:t>
      </w:r>
      <w:proofErr w:type="spellStart"/>
      <w:r w:rsidRPr="00614949">
        <w:t>VeraSeal</w:t>
      </w:r>
      <w:proofErr w:type="spellEnd"/>
      <w:r w:rsidRPr="00614949">
        <w:t>’ and the indications in the IFUs specify that the device is for administ</w:t>
      </w:r>
      <w:r w:rsidRPr="00F45745">
        <w:t>ration of ‘</w:t>
      </w:r>
      <w:proofErr w:type="spellStart"/>
      <w:r w:rsidR="004444DA" w:rsidRPr="00F45745">
        <w:t>Vera</w:t>
      </w:r>
      <w:r w:rsidR="004444DA">
        <w:t>S</w:t>
      </w:r>
      <w:r w:rsidR="004444DA" w:rsidRPr="00F45745">
        <w:t>eal</w:t>
      </w:r>
      <w:proofErr w:type="spellEnd"/>
      <w:r w:rsidR="004444DA" w:rsidRPr="00F45745">
        <w:t xml:space="preserve"> solutions for sealant’ </w:t>
      </w:r>
      <w:r w:rsidRPr="00F45745">
        <w:t>despite this being an unregistered good at present.</w:t>
      </w:r>
    </w:p>
    <w:p w14:paraId="4C3C3F69" w14:textId="07270F53" w:rsidR="00F45745" w:rsidRPr="00F45745" w:rsidRDefault="00F45745" w:rsidP="00F45745">
      <w:r w:rsidRPr="00F45745">
        <w:t>The name ‘</w:t>
      </w:r>
      <w:proofErr w:type="spellStart"/>
      <w:r w:rsidRPr="00F45745">
        <w:t>VeraSeal</w:t>
      </w:r>
      <w:proofErr w:type="spellEnd"/>
      <w:r w:rsidRPr="00F45745">
        <w:t xml:space="preserve">’ has been accepted in the EU and Switzerland; </w:t>
      </w:r>
      <w:proofErr w:type="gramStart"/>
      <w:r w:rsidRPr="00F45745">
        <w:t>however</w:t>
      </w:r>
      <w:proofErr w:type="gramEnd"/>
      <w:r w:rsidRPr="00F45745">
        <w:t xml:space="preserve"> the alternative name ‘</w:t>
      </w:r>
      <w:proofErr w:type="spellStart"/>
      <w:r w:rsidRPr="00F45745">
        <w:t>VistaSeal</w:t>
      </w:r>
      <w:proofErr w:type="spellEnd"/>
      <w:r w:rsidRPr="00F45745">
        <w:t>’ was required by the FDA and Health Canada.</w:t>
      </w:r>
    </w:p>
    <w:p w14:paraId="25589DF4" w14:textId="77777777" w:rsidR="00D23139" w:rsidRDefault="00D23139" w:rsidP="00D23139">
      <w:pPr>
        <w:pStyle w:val="Heading4"/>
      </w:pPr>
      <w:r w:rsidRPr="00D23139">
        <w:t>Proposed action</w:t>
      </w:r>
    </w:p>
    <w:p w14:paraId="674EA7C9" w14:textId="7154B0AE" w:rsidR="00F45745" w:rsidRPr="00F45745" w:rsidRDefault="00F45745" w:rsidP="00F45745">
      <w:r w:rsidRPr="00F45745">
        <w:t>After three rounds of evaluation, most issues have been resolved to the satisfaction of the quality, nonclinical, and clinical evaluators. ACM advice is requested on the outstanding issues and their relevance in the Australian context.</w:t>
      </w:r>
    </w:p>
    <w:p w14:paraId="2E6E5F5B" w14:textId="77777777" w:rsidR="007D53B6" w:rsidRDefault="007D53B6" w:rsidP="007D53B6">
      <w:pPr>
        <w:pStyle w:val="Heading4"/>
      </w:pPr>
      <w:r>
        <w:t xml:space="preserve">Questions for </w:t>
      </w:r>
      <w:r w:rsidR="00744121">
        <w:t xml:space="preserve">the </w:t>
      </w:r>
      <w:r>
        <w:t>sponsor</w:t>
      </w:r>
    </w:p>
    <w:p w14:paraId="5B4CECCA" w14:textId="77777777" w:rsidR="00744121" w:rsidRPr="00955A16" w:rsidRDefault="00744121" w:rsidP="00744121">
      <w:r>
        <w:t>The sponsor provided the following response to questions from the Delegate.</w:t>
      </w:r>
    </w:p>
    <w:p w14:paraId="0737751E" w14:textId="7CE60743" w:rsidR="00091E78" w:rsidRPr="00091E78" w:rsidRDefault="00091E78" w:rsidP="00091E78">
      <w:pPr>
        <w:pStyle w:val="Numberbullet0"/>
        <w:rPr>
          <w:b/>
          <w:bCs/>
          <w:i/>
          <w:iCs/>
        </w:rPr>
      </w:pPr>
      <w:r w:rsidRPr="00091E78">
        <w:rPr>
          <w:b/>
          <w:bCs/>
          <w:i/>
          <w:iCs/>
        </w:rPr>
        <w:t xml:space="preserve">Please provide the </w:t>
      </w:r>
      <w:r w:rsidR="00A67C0D" w:rsidRPr="00A67C0D">
        <w:rPr>
          <w:b/>
          <w:bCs/>
          <w:i/>
          <w:iCs/>
        </w:rPr>
        <w:t xml:space="preserve">Instructions for Use </w:t>
      </w:r>
      <w:r w:rsidRPr="00091E78">
        <w:rPr>
          <w:b/>
          <w:bCs/>
          <w:i/>
          <w:iCs/>
        </w:rPr>
        <w:t xml:space="preserve">for all devices intended to be used to administer </w:t>
      </w:r>
      <w:proofErr w:type="spellStart"/>
      <w:r w:rsidRPr="00091E78">
        <w:rPr>
          <w:b/>
          <w:bCs/>
          <w:i/>
          <w:iCs/>
        </w:rPr>
        <w:t>VeraSeal</w:t>
      </w:r>
      <w:proofErr w:type="spellEnd"/>
      <w:r w:rsidRPr="00091E78">
        <w:rPr>
          <w:b/>
          <w:bCs/>
          <w:i/>
          <w:iCs/>
        </w:rPr>
        <w:t>.</w:t>
      </w:r>
    </w:p>
    <w:p w14:paraId="38289060" w14:textId="7B9083DA" w:rsidR="00091E78" w:rsidRPr="00091E78" w:rsidRDefault="00091E78" w:rsidP="00091E78">
      <w:r w:rsidRPr="00091E78">
        <w:t xml:space="preserve">The IFUs of </w:t>
      </w:r>
      <w:proofErr w:type="spellStart"/>
      <w:r w:rsidRPr="00091E78">
        <w:t>VeraSeal</w:t>
      </w:r>
      <w:proofErr w:type="spellEnd"/>
      <w:r w:rsidRPr="00091E78">
        <w:t xml:space="preserve"> Dual Applicator Assembly Guide </w:t>
      </w:r>
      <w:r w:rsidR="000F102A">
        <w:t>a</w:t>
      </w:r>
      <w:r w:rsidRPr="00091E78">
        <w:t xml:space="preserve">nd of </w:t>
      </w:r>
      <w:proofErr w:type="spellStart"/>
      <w:r w:rsidRPr="00091E78">
        <w:t>VeraSeal</w:t>
      </w:r>
      <w:proofErr w:type="spellEnd"/>
      <w:r w:rsidRPr="00091E78">
        <w:t xml:space="preserve"> Laparoscopic Dual Applicator Assembly Guide are provided </w:t>
      </w:r>
      <w:r w:rsidR="000F102A">
        <w:t>to the TGA</w:t>
      </w:r>
      <w:r w:rsidRPr="00091E78">
        <w:t>.</w:t>
      </w:r>
    </w:p>
    <w:p w14:paraId="355BE836"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6"/>
      </w:r>
    </w:p>
    <w:p w14:paraId="21E83616" w14:textId="77777777" w:rsidR="00744121" w:rsidRDefault="00744121" w:rsidP="00744121">
      <w:pPr>
        <w:rPr>
          <w:bCs/>
        </w:rPr>
      </w:pPr>
      <w:bookmarkStart w:id="57" w:name="_Toc247691532"/>
      <w:bookmarkStart w:id="58" w:name="_Toc314842516"/>
      <w:bookmarkEnd w:id="34"/>
      <w:bookmarkEnd w:id="55"/>
      <w:bookmarkEnd w:id="56"/>
      <w:r w:rsidRPr="00614949">
        <w:rPr>
          <w:bCs/>
        </w:rPr>
        <w:t>The Advisory Committee on Medicines (ACM), having considered the evaluations and the Delegate’s overview, as well as the sponsor’s</w:t>
      </w:r>
      <w:r w:rsidRPr="00456765">
        <w:rPr>
          <w:bCs/>
        </w:rPr>
        <w:t xml:space="preserve"> response to these documents, advised the following</w:t>
      </w:r>
      <w:r>
        <w:rPr>
          <w:bCs/>
        </w:rPr>
        <w:t>.</w:t>
      </w:r>
    </w:p>
    <w:p w14:paraId="646FB4FE" w14:textId="77777777" w:rsidR="00744121" w:rsidRDefault="00744121" w:rsidP="00744121">
      <w:pPr>
        <w:pStyle w:val="Heading5"/>
      </w:pPr>
      <w:r>
        <w:lastRenderedPageBreak/>
        <w:t>Specific advice to the Delegate</w:t>
      </w:r>
    </w:p>
    <w:p w14:paraId="1DBA3F0F" w14:textId="77777777" w:rsidR="00091E78" w:rsidRPr="00091E78" w:rsidRDefault="00091E78" w:rsidP="00091E78">
      <w:pPr>
        <w:pStyle w:val="Numberbullet0"/>
        <w:numPr>
          <w:ilvl w:val="0"/>
          <w:numId w:val="26"/>
        </w:numPr>
        <w:rPr>
          <w:b/>
          <w:bCs/>
          <w:i/>
          <w:iCs/>
        </w:rPr>
      </w:pPr>
      <w:r w:rsidRPr="00091E78">
        <w:rPr>
          <w:b/>
          <w:bCs/>
          <w:i/>
          <w:iCs/>
        </w:rPr>
        <w:t xml:space="preserve">Should the indication be restricted to </w:t>
      </w:r>
      <w:proofErr w:type="gramStart"/>
      <w:r w:rsidRPr="00091E78">
        <w:rPr>
          <w:b/>
          <w:bCs/>
          <w:i/>
          <w:iCs/>
        </w:rPr>
        <w:t>particular types</w:t>
      </w:r>
      <w:proofErr w:type="gramEnd"/>
      <w:r w:rsidRPr="00091E78">
        <w:rPr>
          <w:b/>
          <w:bCs/>
          <w:i/>
          <w:iCs/>
        </w:rPr>
        <w:t xml:space="preserve"> of surgical procedures? If so, what should the restrictions be?</w:t>
      </w:r>
    </w:p>
    <w:p w14:paraId="0D11F745" w14:textId="77777777" w:rsidR="00091E78" w:rsidRPr="00091E78" w:rsidRDefault="00091E78" w:rsidP="00091E78">
      <w:r w:rsidRPr="00091E78">
        <w:t xml:space="preserve">The ACM agreed that the indication should not be restricted to </w:t>
      </w:r>
      <w:proofErr w:type="gramStart"/>
      <w:r w:rsidRPr="00091E78">
        <w:t>particular types</w:t>
      </w:r>
      <w:proofErr w:type="gramEnd"/>
      <w:r w:rsidRPr="00091E78">
        <w:t xml:space="preserve"> of surgical procedures, commenting that the use of the product should be left to clinical discretion. Further discussion of the indication is included in the response to Question 6, below.</w:t>
      </w:r>
    </w:p>
    <w:p w14:paraId="0547DD39" w14:textId="272AC4DD" w:rsidR="00091E78" w:rsidRPr="00091E78" w:rsidRDefault="00091E78" w:rsidP="00091E78">
      <w:pPr>
        <w:pStyle w:val="Numberbullet0"/>
        <w:rPr>
          <w:b/>
          <w:bCs/>
          <w:i/>
          <w:iCs/>
        </w:rPr>
      </w:pPr>
      <w:r w:rsidRPr="00091E78">
        <w:rPr>
          <w:b/>
          <w:bCs/>
          <w:i/>
          <w:iCs/>
        </w:rPr>
        <w:t xml:space="preserve">Is it appropriate to extrapolate the evidence for use of </w:t>
      </w:r>
      <w:r w:rsidR="006B381B" w:rsidRPr="006B381B">
        <w:rPr>
          <w:b/>
          <w:bCs/>
          <w:i/>
          <w:iCs/>
        </w:rPr>
        <w:t xml:space="preserve">Fibrin Sealant </w:t>
      </w:r>
      <w:r w:rsidRPr="00091E78">
        <w:rPr>
          <w:b/>
          <w:bCs/>
          <w:i/>
          <w:iCs/>
        </w:rPr>
        <w:t>Grifols [known as ‘</w:t>
      </w:r>
      <w:proofErr w:type="spellStart"/>
      <w:r w:rsidRPr="00091E78">
        <w:rPr>
          <w:b/>
          <w:bCs/>
          <w:i/>
          <w:iCs/>
        </w:rPr>
        <w:t>VeraSeal</w:t>
      </w:r>
      <w:proofErr w:type="spellEnd"/>
      <w:r w:rsidRPr="00091E78">
        <w:rPr>
          <w:b/>
          <w:bCs/>
          <w:i/>
          <w:iCs/>
        </w:rPr>
        <w:t>’ in this application] in open surgery to laparoscopic surgery with the laparoscopic device?</w:t>
      </w:r>
    </w:p>
    <w:p w14:paraId="30FE8E4D" w14:textId="4E3AF942" w:rsidR="00091E78" w:rsidRPr="00091E78" w:rsidRDefault="00091E78" w:rsidP="00091E78">
      <w:r w:rsidRPr="00091E78">
        <w:t xml:space="preserve">The ACM considered it appropriate to extrapolate the evidence for use of </w:t>
      </w:r>
      <w:r w:rsidR="006B381B" w:rsidRPr="001B086B">
        <w:t>Fibrin Sealant</w:t>
      </w:r>
      <w:r w:rsidR="006B381B">
        <w:t xml:space="preserve"> </w:t>
      </w:r>
      <w:r w:rsidRPr="00091E78">
        <w:t xml:space="preserve">Grifols in open surgery to laparoscopic surgery with the laparoscopic device, as they were of the view that that the laparoscopic device/applicator will have similar safety and efficacy to the open surgery device, and to other similar devices on the ARTG. The ACM commented that it can be challenging to manage bleeding in laparoscopic surgery as pressure cannot be applied, therefore </w:t>
      </w:r>
      <w:proofErr w:type="spellStart"/>
      <w:r w:rsidRPr="00091E78">
        <w:t>VeraSeal</w:t>
      </w:r>
      <w:proofErr w:type="spellEnd"/>
      <w:r w:rsidRPr="00091E78">
        <w:t xml:space="preserve"> could have utility in laparoscopic surgery.</w:t>
      </w:r>
    </w:p>
    <w:p w14:paraId="30A5FB76" w14:textId="77777777" w:rsidR="00091E78" w:rsidRPr="00091E78" w:rsidRDefault="00091E78" w:rsidP="00091E78">
      <w:pPr>
        <w:pStyle w:val="Numberbullet0"/>
        <w:rPr>
          <w:b/>
          <w:bCs/>
          <w:i/>
          <w:iCs/>
        </w:rPr>
      </w:pPr>
      <w:r w:rsidRPr="00091E78">
        <w:rPr>
          <w:b/>
          <w:bCs/>
          <w:i/>
          <w:iCs/>
        </w:rPr>
        <w:t>Is it necessary to specify a particular application technique for certain procedures? That is, dripping for vascular surgery?</w:t>
      </w:r>
    </w:p>
    <w:p w14:paraId="6AACAF63" w14:textId="77777777" w:rsidR="00091E78" w:rsidRPr="00091E78" w:rsidRDefault="00091E78" w:rsidP="00091E78">
      <w:r w:rsidRPr="00091E78">
        <w:t>The ACM was of the view that it is not necessary to specify a particular application technique for certain procedures as this would be adequately managed by the surgeon.</w:t>
      </w:r>
    </w:p>
    <w:p w14:paraId="7DD15AC7" w14:textId="10D2DFC3" w:rsidR="00091E78" w:rsidRPr="00091E78" w:rsidRDefault="00091E78" w:rsidP="00091E78">
      <w:r w:rsidRPr="00091E78">
        <w:t>The ACM discussed that the application technique would only be a concern with a gas</w:t>
      </w:r>
      <w:r w:rsidR="000F102A">
        <w:t xml:space="preserve"> </w:t>
      </w:r>
      <w:r w:rsidRPr="00091E78">
        <w:t>generated spray leading to a risk of gas embolism and were reassured that the sponsor has noted that gas assistance cannot be used with this product.</w:t>
      </w:r>
    </w:p>
    <w:p w14:paraId="6394811F" w14:textId="5F1CC482" w:rsidR="00091E78" w:rsidRPr="00091E78" w:rsidRDefault="00091E78" w:rsidP="00091E78">
      <w:pPr>
        <w:pStyle w:val="Numberbullet0"/>
        <w:rPr>
          <w:b/>
          <w:bCs/>
          <w:i/>
          <w:iCs/>
        </w:rPr>
      </w:pPr>
      <w:r w:rsidRPr="00091E78">
        <w:rPr>
          <w:b/>
          <w:bCs/>
          <w:i/>
          <w:iCs/>
        </w:rPr>
        <w:t xml:space="preserve">Does the </w:t>
      </w:r>
      <w:r w:rsidRPr="00614949">
        <w:rPr>
          <w:b/>
          <w:bCs/>
          <w:i/>
          <w:iCs/>
        </w:rPr>
        <w:t xml:space="preserve">risk of thromboembolic disease warrant a box warning in the </w:t>
      </w:r>
      <w:r w:rsidR="00614949" w:rsidRPr="00614949">
        <w:rPr>
          <w:b/>
          <w:bCs/>
          <w:i/>
          <w:iCs/>
        </w:rPr>
        <w:t>Product Information</w:t>
      </w:r>
      <w:r w:rsidRPr="00614949">
        <w:rPr>
          <w:b/>
          <w:bCs/>
          <w:i/>
          <w:iCs/>
        </w:rPr>
        <w:t xml:space="preserve">? Are there other risks that should be included in the box warning or elsewhere in the </w:t>
      </w:r>
      <w:r w:rsidR="00614949" w:rsidRPr="00614949">
        <w:rPr>
          <w:b/>
          <w:bCs/>
          <w:i/>
          <w:iCs/>
        </w:rPr>
        <w:t>Product Information</w:t>
      </w:r>
      <w:r w:rsidRPr="00614949">
        <w:rPr>
          <w:b/>
          <w:bCs/>
          <w:i/>
          <w:iCs/>
        </w:rPr>
        <w:t>?</w:t>
      </w:r>
    </w:p>
    <w:p w14:paraId="532A73C7" w14:textId="77777777" w:rsidR="00091E78" w:rsidRPr="00091E78" w:rsidRDefault="00091E78" w:rsidP="00091E78">
      <w:r w:rsidRPr="00091E78">
        <w:t>The ACM agreed that the risk of thromboembolic disease was not a significant concern and that this risk does not warrant a box warning in the PI. In providing this advice, the ACM commented that the risk of thromboembolic disease is much higher from the surgical procedure itself.</w:t>
      </w:r>
    </w:p>
    <w:p w14:paraId="1EA87A41" w14:textId="77777777" w:rsidR="00091E78" w:rsidRPr="00091E78" w:rsidRDefault="00091E78" w:rsidP="00091E78">
      <w:r w:rsidRPr="00091E78">
        <w:t>The ACM did not raise any other substantive risks that need to be included in the PI.</w:t>
      </w:r>
    </w:p>
    <w:p w14:paraId="4066C4BD" w14:textId="77777777" w:rsidR="00091E78" w:rsidRPr="00E773B7" w:rsidRDefault="00091E78" w:rsidP="00091E78">
      <w:pPr>
        <w:pStyle w:val="Numberbullet0"/>
        <w:numPr>
          <w:ilvl w:val="0"/>
          <w:numId w:val="25"/>
        </w:numPr>
        <w:rPr>
          <w:b/>
          <w:bCs/>
          <w:i/>
          <w:iCs/>
          <w:lang w:eastAsia="en-AU"/>
        </w:rPr>
      </w:pPr>
      <w:r w:rsidRPr="00E773B7">
        <w:rPr>
          <w:b/>
          <w:bCs/>
          <w:i/>
          <w:iCs/>
          <w:lang w:eastAsia="en-AU"/>
        </w:rPr>
        <w:t>Is the proposed tradename ‘</w:t>
      </w:r>
      <w:proofErr w:type="spellStart"/>
      <w:r w:rsidRPr="00E773B7">
        <w:rPr>
          <w:b/>
          <w:bCs/>
          <w:i/>
          <w:iCs/>
          <w:lang w:eastAsia="en-AU"/>
        </w:rPr>
        <w:t>VeraSeal</w:t>
      </w:r>
      <w:proofErr w:type="spellEnd"/>
      <w:r w:rsidRPr="00E773B7">
        <w:rPr>
          <w:b/>
          <w:bCs/>
          <w:i/>
          <w:iCs/>
          <w:lang w:eastAsia="en-AU"/>
        </w:rPr>
        <w:t>’ acceptable for Australia?</w:t>
      </w:r>
    </w:p>
    <w:p w14:paraId="4196582F" w14:textId="552A99A8" w:rsidR="00091E78" w:rsidRPr="00091E78" w:rsidRDefault="00091E78" w:rsidP="00091E78">
      <w:r w:rsidRPr="00091E78">
        <w:t>The ACM noted the reasoning for approval of the alternative name ‘</w:t>
      </w:r>
      <w:proofErr w:type="spellStart"/>
      <w:r w:rsidRPr="00091E78">
        <w:t>VistaSeal</w:t>
      </w:r>
      <w:proofErr w:type="spellEnd"/>
      <w:r w:rsidRPr="00091E78">
        <w:t>’ in Canada, and the view of the TGA tradenames committee, however the ACM did not have any significant concerns with the proposed Australian tradename of ‘</w:t>
      </w:r>
      <w:proofErr w:type="spellStart"/>
      <w:r w:rsidRPr="00091E78">
        <w:t>VeraSeal</w:t>
      </w:r>
      <w:proofErr w:type="spellEnd"/>
      <w:r w:rsidRPr="00091E78">
        <w:t>’.</w:t>
      </w:r>
    </w:p>
    <w:p w14:paraId="3FC1CE87" w14:textId="77777777" w:rsidR="00091E78" w:rsidRPr="00E773B7" w:rsidRDefault="00091E78" w:rsidP="00091E78">
      <w:pPr>
        <w:pStyle w:val="Numberbullet0"/>
        <w:numPr>
          <w:ilvl w:val="0"/>
          <w:numId w:val="25"/>
        </w:numPr>
        <w:rPr>
          <w:b/>
          <w:bCs/>
          <w:i/>
          <w:iCs/>
        </w:rPr>
      </w:pPr>
      <w:r w:rsidRPr="00E773B7">
        <w:rPr>
          <w:b/>
          <w:bCs/>
          <w:i/>
          <w:iCs/>
          <w:lang w:eastAsia="en-AU"/>
        </w:rPr>
        <w:t>The committee is invited to comment on any other issues it deems relevant to this submission.</w:t>
      </w:r>
    </w:p>
    <w:p w14:paraId="091CE784" w14:textId="77777777" w:rsidR="00091E78" w:rsidRPr="00091E78" w:rsidRDefault="00091E78" w:rsidP="00091E78">
      <w:r w:rsidRPr="00091E78">
        <w:t>The ACM advised that the most appropriate indication wording to reflect the use of the product is:</w:t>
      </w:r>
    </w:p>
    <w:p w14:paraId="34EA5798" w14:textId="77777777" w:rsidR="00091E78" w:rsidRPr="00091E78" w:rsidRDefault="00091E78" w:rsidP="00091E78">
      <w:pPr>
        <w:ind w:left="720"/>
        <w:rPr>
          <w:i/>
          <w:iCs/>
        </w:rPr>
      </w:pPr>
      <w:proofErr w:type="spellStart"/>
      <w:r w:rsidRPr="00091E78">
        <w:rPr>
          <w:i/>
          <w:iCs/>
        </w:rPr>
        <w:t>VeraSeal</w:t>
      </w:r>
      <w:proofErr w:type="spellEnd"/>
      <w:r w:rsidRPr="00091E78">
        <w:rPr>
          <w:i/>
          <w:iCs/>
        </w:rPr>
        <w:t xml:space="preserve"> is used as supportive treatment in adults where standard surgical techniques are insufficient, for improvement of haemostasis.</w:t>
      </w:r>
    </w:p>
    <w:p w14:paraId="1D2F353E" w14:textId="77777777" w:rsidR="00091E78" w:rsidRPr="00091E78" w:rsidRDefault="00091E78" w:rsidP="00091E78">
      <w:r w:rsidRPr="00091E78">
        <w:t>The ACM was of the view that the additional proposed sentences, ‘</w:t>
      </w:r>
      <w:r w:rsidRPr="000F102A">
        <w:rPr>
          <w:i/>
          <w:iCs/>
        </w:rPr>
        <w:t xml:space="preserve">In addition, </w:t>
      </w:r>
      <w:proofErr w:type="spellStart"/>
      <w:r w:rsidRPr="000F102A">
        <w:rPr>
          <w:i/>
          <w:iCs/>
        </w:rPr>
        <w:t>VeraSeal</w:t>
      </w:r>
      <w:proofErr w:type="spellEnd"/>
      <w:r w:rsidRPr="000F102A">
        <w:rPr>
          <w:i/>
          <w:iCs/>
        </w:rPr>
        <w:t xml:space="preserve"> is indicated for suture support in vascular surgery. </w:t>
      </w:r>
      <w:proofErr w:type="spellStart"/>
      <w:r w:rsidRPr="000F102A">
        <w:rPr>
          <w:i/>
          <w:iCs/>
        </w:rPr>
        <w:t>VeraSeal</w:t>
      </w:r>
      <w:proofErr w:type="spellEnd"/>
      <w:r w:rsidRPr="000F102A">
        <w:rPr>
          <w:i/>
          <w:iCs/>
        </w:rPr>
        <w:t xml:space="preserve"> is effective in </w:t>
      </w:r>
      <w:proofErr w:type="spellStart"/>
      <w:r w:rsidRPr="000F102A">
        <w:rPr>
          <w:i/>
          <w:iCs/>
        </w:rPr>
        <w:t>heparinized</w:t>
      </w:r>
      <w:proofErr w:type="spellEnd"/>
      <w:r w:rsidRPr="000F102A">
        <w:rPr>
          <w:i/>
          <w:iCs/>
        </w:rPr>
        <w:t xml:space="preserve"> patients.</w:t>
      </w:r>
      <w:r w:rsidRPr="00091E78">
        <w:t>’, were not necessary to include in the indication. In providing this advice, the ACM commented that inclusion of these two sentences could promote overutilisation of the product in settings where other products or techniques might be more appropriate. The ACM advised that vascular surgeons would be unlikely to use this product for suture support in vascular surgery.</w:t>
      </w:r>
    </w:p>
    <w:p w14:paraId="3FD32CDC" w14:textId="484BB256" w:rsidR="00091E78" w:rsidRPr="00091E78" w:rsidRDefault="00091E78" w:rsidP="00091E78">
      <w:r w:rsidRPr="00091E78">
        <w:lastRenderedPageBreak/>
        <w:t xml:space="preserve">The ACM noted that the sponsor has </w:t>
      </w:r>
      <w:r w:rsidRPr="00614949">
        <w:t xml:space="preserve">agreed to put a warning in the PI about the low potential risk of infectious disease transmission of </w:t>
      </w:r>
      <w:r w:rsidR="00614949">
        <w:t>p</w:t>
      </w:r>
      <w:r w:rsidRPr="00614949">
        <w:t xml:space="preserve">arvovirus B19, </w:t>
      </w:r>
      <w:r w:rsidR="00614949" w:rsidRPr="00614949">
        <w:t>Creutzfeldt-Jakob disease</w:t>
      </w:r>
      <w:r w:rsidRPr="00614949">
        <w:t>, and unknown pathogens. The ACM was supportive of the inclusion of this warning as the product is comprised of pooled human plasma. The ACM emphasised</w:t>
      </w:r>
      <w:r w:rsidRPr="00091E78">
        <w:t xml:space="preserve"> the importance of the batch number being recorded in the patient’s medical records for tracing purposes in case of transmitted infection.</w:t>
      </w:r>
    </w:p>
    <w:p w14:paraId="2F9EA9C3" w14:textId="302544F9" w:rsidR="00744121" w:rsidRDefault="00744121" w:rsidP="00744121">
      <w:pPr>
        <w:pStyle w:val="Heading5"/>
      </w:pPr>
      <w:r>
        <w:t>Conclusion</w:t>
      </w:r>
    </w:p>
    <w:p w14:paraId="791291A7" w14:textId="77777777" w:rsidR="00EA5011" w:rsidRPr="00EA5011" w:rsidRDefault="00EA5011" w:rsidP="00EA5011">
      <w:r w:rsidRPr="00EA5011">
        <w:t>The ACM considered this product to have an overall positive benefit-risk profile for the indication:</w:t>
      </w:r>
    </w:p>
    <w:p w14:paraId="20D3D156" w14:textId="4F4D5A8D" w:rsidR="00EA5011" w:rsidRPr="00EA5011" w:rsidRDefault="00EA5011" w:rsidP="00EA5011">
      <w:pPr>
        <w:ind w:left="720"/>
        <w:rPr>
          <w:i/>
          <w:iCs/>
        </w:rPr>
      </w:pPr>
      <w:proofErr w:type="spellStart"/>
      <w:r w:rsidRPr="00EA5011">
        <w:rPr>
          <w:i/>
          <w:iCs/>
        </w:rPr>
        <w:t>VeraSeal</w:t>
      </w:r>
      <w:proofErr w:type="spellEnd"/>
      <w:r w:rsidRPr="00EA5011">
        <w:rPr>
          <w:i/>
          <w:iCs/>
        </w:rPr>
        <w:t xml:space="preserve"> is used as supportive treatment in adults where standard surgical techniques are insufficient, for improvement of haemostasis.</w:t>
      </w:r>
    </w:p>
    <w:p w14:paraId="7C30A3FE" w14:textId="77777777" w:rsidR="008E7846" w:rsidRPr="002E238E" w:rsidRDefault="008E7846" w:rsidP="008E7846">
      <w:pPr>
        <w:pStyle w:val="Heading3"/>
      </w:pPr>
      <w:bookmarkStart w:id="59" w:name="_Toc106113658"/>
      <w:r>
        <w:t>Outcome</w:t>
      </w:r>
      <w:bookmarkEnd w:id="57"/>
      <w:bookmarkEnd w:id="58"/>
      <w:bookmarkEnd w:id="59"/>
    </w:p>
    <w:p w14:paraId="7110399D" w14:textId="74F7306B" w:rsidR="00744121" w:rsidRDefault="00744121" w:rsidP="00744121">
      <w:bookmarkStart w:id="60" w:name="_Toc247691533"/>
      <w:bookmarkStart w:id="61" w:name="_Toc314842517"/>
      <w:r>
        <w:t xml:space="preserve">Based on a review of quality, </w:t>
      </w:r>
      <w:proofErr w:type="gramStart"/>
      <w:r>
        <w:t>safety</w:t>
      </w:r>
      <w:proofErr w:type="gramEnd"/>
      <w:r>
        <w:t xml:space="preserve"> and efficacy, the TGA approved the registration of </w:t>
      </w:r>
      <w:proofErr w:type="spellStart"/>
      <w:r w:rsidR="00A86397" w:rsidRPr="00A86397">
        <w:t>VeraSeal</w:t>
      </w:r>
      <w:proofErr w:type="spellEnd"/>
      <w:r w:rsidR="00A86397" w:rsidRPr="00A86397">
        <w:t xml:space="preserve"> </w:t>
      </w:r>
      <w:r w:rsidRPr="00250271">
        <w:t>(</w:t>
      </w:r>
      <w:r w:rsidR="00A86397">
        <w:t>h</w:t>
      </w:r>
      <w:r w:rsidR="00A86397" w:rsidRPr="00A86397">
        <w:t>uman fibrinogen</w:t>
      </w:r>
      <w:r w:rsidR="00417CDF">
        <w:t xml:space="preserve"> </w:t>
      </w:r>
      <w:r w:rsidR="00A86397" w:rsidRPr="00A86397">
        <w:t>/</w:t>
      </w:r>
      <w:r w:rsidR="00417CDF">
        <w:t xml:space="preserve"> </w:t>
      </w:r>
      <w:r w:rsidR="00A86397" w:rsidRPr="00A86397">
        <w:t>human thrombin</w:t>
      </w:r>
      <w:r w:rsidRPr="00250271">
        <w:t xml:space="preserve">) </w:t>
      </w:r>
      <w:r w:rsidR="00EA5011" w:rsidRPr="00EA5011">
        <w:t>80 mg/mL human fibrinogen and 500</w:t>
      </w:r>
      <w:r w:rsidR="000F102A">
        <w:t> </w:t>
      </w:r>
      <w:r w:rsidR="00EA5011" w:rsidRPr="00EA5011">
        <w:t>IU/mL human thrombin</w:t>
      </w:r>
      <w:r w:rsidRPr="00250271">
        <w:t xml:space="preserve">, </w:t>
      </w:r>
      <w:r w:rsidR="00EA5011">
        <w:t>s</w:t>
      </w:r>
      <w:r w:rsidR="00EA5011" w:rsidRPr="00EA5011">
        <w:t>olutions for sealant</w:t>
      </w:r>
      <w:r>
        <w:t xml:space="preserve">, </w:t>
      </w:r>
      <w:r w:rsidR="00EA5011">
        <w:t>s</w:t>
      </w:r>
      <w:r w:rsidR="00EA5011" w:rsidRPr="00EA5011">
        <w:t>yringe</w:t>
      </w:r>
      <w:r>
        <w:t>, indicated for:</w:t>
      </w:r>
    </w:p>
    <w:p w14:paraId="3F5B9A10" w14:textId="41FE7B0F" w:rsidR="00EA5011" w:rsidRPr="00EA5011" w:rsidRDefault="00EA5011" w:rsidP="00EA5011">
      <w:pPr>
        <w:ind w:left="720"/>
        <w:rPr>
          <w:i/>
          <w:iCs/>
        </w:rPr>
      </w:pPr>
      <w:proofErr w:type="spellStart"/>
      <w:r>
        <w:rPr>
          <w:i/>
          <w:iCs/>
        </w:rPr>
        <w:t>V</w:t>
      </w:r>
      <w:r w:rsidRPr="00BB05E7">
        <w:rPr>
          <w:i/>
          <w:iCs/>
        </w:rPr>
        <w:t>eraSeal</w:t>
      </w:r>
      <w:proofErr w:type="spellEnd"/>
      <w:r w:rsidRPr="00BB05E7">
        <w:rPr>
          <w:i/>
          <w:iCs/>
        </w:rPr>
        <w:t xml:space="preserve"> is used as supportive treatment in adults where standard surgical techniques are insufficient, for improvement of </w:t>
      </w:r>
      <w:proofErr w:type="spellStart"/>
      <w:r w:rsidRPr="00BB05E7">
        <w:rPr>
          <w:i/>
          <w:iCs/>
        </w:rPr>
        <w:t>hemostasis</w:t>
      </w:r>
      <w:proofErr w:type="spellEnd"/>
      <w:r>
        <w:rPr>
          <w:i/>
          <w:iCs/>
        </w:rPr>
        <w:t>.</w:t>
      </w:r>
    </w:p>
    <w:p w14:paraId="704DA3C4" w14:textId="77777777" w:rsidR="00D23139" w:rsidRPr="00D23139" w:rsidRDefault="00D23139" w:rsidP="00D23139">
      <w:pPr>
        <w:pStyle w:val="Heading4"/>
      </w:pPr>
      <w:r w:rsidRPr="00D23139">
        <w:t>Specific conditions of registration applying to these goods</w:t>
      </w:r>
    </w:p>
    <w:p w14:paraId="278391AD" w14:textId="65ECFCE0" w:rsidR="00EA5011" w:rsidRPr="001C7DD8" w:rsidRDefault="00EA5011" w:rsidP="00EA5011">
      <w:pPr>
        <w:pStyle w:val="ListBullet"/>
      </w:pPr>
      <w:proofErr w:type="spellStart"/>
      <w:r w:rsidRPr="001C7DD8">
        <w:t>VeraSeal</w:t>
      </w:r>
      <w:proofErr w:type="spellEnd"/>
      <w:r w:rsidRPr="001C7DD8">
        <w:t xml:space="preserve"> (human fibrinogen</w:t>
      </w:r>
      <w:r w:rsidR="00417CDF">
        <w:t xml:space="preserve"> </w:t>
      </w:r>
      <w:r w:rsidRPr="001C7DD8">
        <w:t>/</w:t>
      </w:r>
      <w:r w:rsidR="00417CDF">
        <w:t xml:space="preserve"> </w:t>
      </w:r>
      <w:r w:rsidRPr="001C7DD8">
        <w:t xml:space="preserve">human thrombin) is to be included in the Black Triangle Scheme. The PI and CMI for </w:t>
      </w:r>
      <w:proofErr w:type="spellStart"/>
      <w:r w:rsidRPr="001C7DD8">
        <w:t>VeraSeal</w:t>
      </w:r>
      <w:proofErr w:type="spellEnd"/>
      <w:r w:rsidRPr="001C7DD8">
        <w:t xml:space="preserve"> must include the black triangle symbol and mandatory accompanying text for five years, which starts from the date that the sponsor notifies the TGA of supply of the product.</w:t>
      </w:r>
    </w:p>
    <w:p w14:paraId="7D7853FD" w14:textId="13114EDF" w:rsidR="00EA5011" w:rsidRPr="00614949" w:rsidRDefault="00EA5011" w:rsidP="00EA5011">
      <w:pPr>
        <w:pStyle w:val="ListBullet"/>
      </w:pPr>
      <w:r w:rsidRPr="001C7DD8">
        <w:t xml:space="preserve">The </w:t>
      </w:r>
      <w:proofErr w:type="spellStart"/>
      <w:r w:rsidRPr="001C7DD8">
        <w:t>VeraSeal</w:t>
      </w:r>
      <w:proofErr w:type="spellEnd"/>
      <w:r w:rsidRPr="001C7DD8">
        <w:t xml:space="preserve"> EU-risk management plan (RMP) (version 4.1, dated 21 October 2019, data lock point 8 June 2018</w:t>
      </w:r>
      <w:r w:rsidRPr="00614949">
        <w:t xml:space="preserve">), with Australian </w:t>
      </w:r>
      <w:r w:rsidR="000F102A" w:rsidRPr="00614949">
        <w:t xml:space="preserve">specific annex </w:t>
      </w:r>
      <w:r w:rsidRPr="00614949">
        <w:t xml:space="preserve">(version 3.0, dated 12 April 2021), included with </w:t>
      </w:r>
      <w:r w:rsidR="000F102A" w:rsidRPr="00614949">
        <w:t>S</w:t>
      </w:r>
      <w:r w:rsidRPr="00614949">
        <w:t>ubmission PM-2020-01828-1-6, and any subsequent revisions, as agreed with the TGA will be implemented in Australia.</w:t>
      </w:r>
    </w:p>
    <w:p w14:paraId="0C3B0F51" w14:textId="77777777" w:rsidR="00EA5011" w:rsidRPr="00614949" w:rsidRDefault="00EA5011" w:rsidP="00EA5011">
      <w:pPr>
        <w:pStyle w:val="ListBullet"/>
        <w:numPr>
          <w:ilvl w:val="0"/>
          <w:numId w:val="0"/>
        </w:numPr>
        <w:ind w:left="360"/>
      </w:pPr>
      <w:r w:rsidRPr="00614949">
        <w:t>An obligatory component of risk management plans is routine pharmacovigilance. Routine pharmacovigilance includes the submission of periodic safety update reports (PSURs).</w:t>
      </w:r>
    </w:p>
    <w:p w14:paraId="50C75A63" w14:textId="77777777" w:rsidR="00EA5011" w:rsidRPr="00614949" w:rsidRDefault="00EA5011" w:rsidP="00EA5011">
      <w:pPr>
        <w:pStyle w:val="ListBullet"/>
        <w:numPr>
          <w:ilvl w:val="0"/>
          <w:numId w:val="0"/>
        </w:numPr>
        <w:ind w:left="360"/>
      </w:pPr>
      <w:r w:rsidRPr="00614949">
        <w:t>Reports are to be provided in line with the current published list of EU reference dates and frequency of submission of PSURs until the period covered by such reports is not less than three years from the date of the approval letter.</w:t>
      </w:r>
    </w:p>
    <w:p w14:paraId="0AE35824" w14:textId="77777777" w:rsidR="00EA5011" w:rsidRPr="001C7DD8" w:rsidRDefault="00EA5011" w:rsidP="00EA5011">
      <w:pPr>
        <w:pStyle w:val="ListBullet"/>
        <w:numPr>
          <w:ilvl w:val="0"/>
          <w:numId w:val="0"/>
        </w:numPr>
        <w:ind w:left="360"/>
      </w:pPr>
      <w:r w:rsidRPr="00614949">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w:t>
      </w:r>
      <w:r w:rsidRPr="001C7DD8">
        <w:t xml:space="preserve"> to vary the registration.</w:t>
      </w:r>
    </w:p>
    <w:p w14:paraId="4EB91E31" w14:textId="77777777" w:rsidR="00EA5011" w:rsidRDefault="00EA5011" w:rsidP="00EA5011">
      <w:pPr>
        <w:pStyle w:val="ListBullet"/>
        <w:rPr>
          <w:lang w:eastAsia="en-AU"/>
        </w:rPr>
      </w:pPr>
      <w:r w:rsidRPr="00363B80">
        <w:t>Additional</w:t>
      </w:r>
      <w:r w:rsidRPr="001C7DD8">
        <w:t xml:space="preserve"> conditions:</w:t>
      </w:r>
    </w:p>
    <w:p w14:paraId="2EC811B9" w14:textId="77777777" w:rsidR="00EA5011" w:rsidRDefault="00EA5011" w:rsidP="00EA5011">
      <w:pPr>
        <w:pStyle w:val="ListBullet"/>
        <w:numPr>
          <w:ilvl w:val="0"/>
          <w:numId w:val="0"/>
        </w:numPr>
        <w:ind w:left="360"/>
        <w:rPr>
          <w:lang w:eastAsia="en-AU"/>
        </w:rPr>
      </w:pPr>
      <w:r>
        <w:rPr>
          <w:lang w:eastAsia="en-AU"/>
        </w:rPr>
        <w:t xml:space="preserve">All batches of </w:t>
      </w:r>
      <w:proofErr w:type="spellStart"/>
      <w:r>
        <w:rPr>
          <w:lang w:eastAsia="en-AU"/>
        </w:rPr>
        <w:t>VeraSeal</w:t>
      </w:r>
      <w:proofErr w:type="spellEnd"/>
      <w:r>
        <w:rPr>
          <w:lang w:eastAsia="en-AU"/>
        </w:rPr>
        <w:t xml:space="preserve"> supplied in Australia must comply with the product details and specifications approved during evaluation and detailed in the </w:t>
      </w:r>
      <w:r w:rsidRPr="003D241C">
        <w:rPr>
          <w:lang w:eastAsia="en-AU"/>
        </w:rPr>
        <w:t>Certified Product Details (CPD).</w:t>
      </w:r>
    </w:p>
    <w:p w14:paraId="4C5CAA77" w14:textId="76CB6EC1" w:rsidR="00EA5011" w:rsidRPr="003D241C" w:rsidRDefault="00EA5011" w:rsidP="00EA5011">
      <w:pPr>
        <w:pStyle w:val="ListBullet"/>
        <w:numPr>
          <w:ilvl w:val="0"/>
          <w:numId w:val="0"/>
        </w:numPr>
        <w:ind w:left="360"/>
        <w:rPr>
          <w:lang w:eastAsia="en-AU"/>
        </w:rPr>
      </w:pPr>
      <w:r>
        <w:rPr>
          <w:lang w:eastAsia="en-AU"/>
        </w:rPr>
        <w:t xml:space="preserve">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w:t>
      </w:r>
      <w:r w:rsidR="005F30C3">
        <w:rPr>
          <w:lang w:eastAsia="en-AU"/>
        </w:rPr>
        <w:lastRenderedPageBreak/>
        <w:t>&lt;</w:t>
      </w:r>
      <w:hyperlink r:id="rId19" w:history="1">
        <w:r w:rsidR="005F30C3" w:rsidRPr="007C5DC9">
          <w:rPr>
            <w:rStyle w:val="Hyperlink"/>
            <w:lang w:eastAsia="en-AU"/>
          </w:rPr>
          <w:t>https://www.tga.gov.au/ws-labs-index</w:t>
        </w:r>
      </w:hyperlink>
      <w:r w:rsidR="005F30C3">
        <w:rPr>
          <w:lang w:eastAsia="en-AU"/>
        </w:rPr>
        <w:t>&gt;</w:t>
      </w:r>
      <w:r>
        <w:rPr>
          <w:lang w:eastAsia="en-AU"/>
        </w:rPr>
        <w:t xml:space="preserve"> and periodically in testing reports on the TGA </w:t>
      </w:r>
      <w:r w:rsidRPr="003D241C">
        <w:rPr>
          <w:lang w:eastAsia="en-AU"/>
        </w:rPr>
        <w:t>website.</w:t>
      </w:r>
    </w:p>
    <w:p w14:paraId="1A048348" w14:textId="5C207ED7" w:rsidR="00EA5011" w:rsidRDefault="00EA5011" w:rsidP="00EA5011">
      <w:pPr>
        <w:pStyle w:val="ListBullet"/>
        <w:numPr>
          <w:ilvl w:val="0"/>
          <w:numId w:val="0"/>
        </w:numPr>
        <w:ind w:left="360"/>
        <w:rPr>
          <w:lang w:eastAsia="en-AU"/>
        </w:rPr>
      </w:pPr>
      <w:r w:rsidRPr="003D241C">
        <w:rPr>
          <w:lang w:eastAsia="en-AU"/>
        </w:rPr>
        <w:t xml:space="preserve">The Certified Product Details (CPD), as described in Guidance 7: Certified Product Details of the Australian Regulatory Guidelines for Prescription Medicines (ARGPM) </w:t>
      </w:r>
      <w:r w:rsidR="005F30C3">
        <w:rPr>
          <w:lang w:eastAsia="en-AU"/>
        </w:rPr>
        <w:t>&lt;</w:t>
      </w:r>
      <w:hyperlink r:id="rId20" w:history="1">
        <w:r w:rsidR="005F30C3" w:rsidRPr="007C5DC9">
          <w:rPr>
            <w:rStyle w:val="Hyperlink"/>
            <w:lang w:eastAsia="en-AU"/>
          </w:rPr>
          <w:t>https://www.tga.gov.au/industry/pm-argpm-guidance-7.htm</w:t>
        </w:r>
      </w:hyperlink>
      <w:r w:rsidR="005F30C3">
        <w:rPr>
          <w:lang w:eastAsia="en-AU"/>
        </w:rPr>
        <w:t>&gt;,</w:t>
      </w:r>
      <w:r w:rsidRPr="003D241C">
        <w:rPr>
          <w:lang w:eastAsia="en-AU"/>
        </w:rPr>
        <w:t xml:space="preserve"> in PDF format,</w:t>
      </w:r>
      <w:r>
        <w:rPr>
          <w:lang w:eastAsia="en-AU"/>
        </w:rPr>
        <w:t xml:space="preserve">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3A2D11C9" w14:textId="77777777" w:rsidR="00EA5011" w:rsidRDefault="00EA5011" w:rsidP="00EA5011">
      <w:pPr>
        <w:pStyle w:val="ListBullet"/>
        <w:numPr>
          <w:ilvl w:val="0"/>
          <w:numId w:val="0"/>
        </w:numPr>
        <w:ind w:left="360"/>
        <w:rPr>
          <w:lang w:eastAsia="en-AU"/>
        </w:rPr>
      </w:pPr>
      <w:r>
        <w:rPr>
          <w:lang w:eastAsia="en-AU"/>
        </w:rPr>
        <w:t>The CPD should be emailed post approval to biochemistry.testing@health.gov.au as a single PDF document.</w:t>
      </w:r>
    </w:p>
    <w:p w14:paraId="6E10216F" w14:textId="0AAAFF3F" w:rsidR="00EA5011" w:rsidRDefault="00EA5011" w:rsidP="00EA5011">
      <w:pPr>
        <w:pStyle w:val="ListBullet"/>
        <w:numPr>
          <w:ilvl w:val="0"/>
          <w:numId w:val="0"/>
        </w:numPr>
        <w:ind w:left="360"/>
        <w:rPr>
          <w:lang w:eastAsia="en-AU"/>
        </w:rPr>
      </w:pPr>
      <w:r>
        <w:rPr>
          <w:lang w:eastAsia="en-AU"/>
        </w:rPr>
        <w:t xml:space="preserve">Any changes to the </w:t>
      </w:r>
      <w:proofErr w:type="spellStart"/>
      <w:r>
        <w:rPr>
          <w:lang w:eastAsia="en-AU"/>
        </w:rPr>
        <w:t>VeraSeal</w:t>
      </w:r>
      <w:proofErr w:type="spellEnd"/>
      <w:r>
        <w:rPr>
          <w:lang w:eastAsia="en-AU"/>
        </w:rPr>
        <w:t xml:space="preserve"> fibrinogen manufacturing process post-approval that potentially result in further removal of endogenous fibrin stabilising factor XIII must be submitted to the TGA as a Category 3 application with justification (including supporting data) as to why the change will not affect product quality.</w:t>
      </w:r>
    </w:p>
    <w:p w14:paraId="78F46FC1" w14:textId="77777777" w:rsidR="008E7846" w:rsidRDefault="00A80B5B" w:rsidP="00D23139">
      <w:pPr>
        <w:pStyle w:val="Heading2"/>
      </w:pPr>
      <w:bookmarkStart w:id="62" w:name="_Toc106113659"/>
      <w:r>
        <w:t xml:space="preserve">Attachment 1. </w:t>
      </w:r>
      <w:r w:rsidR="008E7846">
        <w:t xml:space="preserve">Product </w:t>
      </w:r>
      <w:r w:rsidR="00AA0ED0">
        <w:t>I</w:t>
      </w:r>
      <w:r w:rsidR="008E7846">
        <w:t>nformation</w:t>
      </w:r>
      <w:bookmarkEnd w:id="60"/>
      <w:bookmarkEnd w:id="61"/>
      <w:bookmarkEnd w:id="62"/>
    </w:p>
    <w:p w14:paraId="514AC18B" w14:textId="0B4A1F77" w:rsidR="00744121" w:rsidRPr="006B381B" w:rsidRDefault="006136D7" w:rsidP="006B381B">
      <w:pPr>
        <w:rPr>
          <w:color w:val="000000"/>
          <w:lang w:eastAsia="en-AU"/>
        </w:rPr>
      </w:pPr>
      <w:r w:rsidRPr="002B3624">
        <w:t xml:space="preserve">The </w:t>
      </w:r>
      <w:r>
        <w:t>PI</w:t>
      </w:r>
      <w:r w:rsidRPr="002B3624">
        <w:t xml:space="preserve"> for </w:t>
      </w:r>
      <w:proofErr w:type="spellStart"/>
      <w:r w:rsidR="00A86397" w:rsidRPr="00A86397">
        <w:t>VeraSeal</w:t>
      </w:r>
      <w:proofErr w:type="spellEnd"/>
      <w:r w:rsidR="00A86397" w:rsidRPr="00A86397">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7C6B9B" w:rsidRPr="007C6B9B">
        <w:t>&gt;.</w:t>
      </w:r>
    </w:p>
    <w:p w14:paraId="3BEFD4C7"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180BCFA0" w14:textId="77777777" w:rsidTr="00A05FA4">
        <w:trPr>
          <w:trHeight w:hRule="exact" w:val="704"/>
        </w:trPr>
        <w:tc>
          <w:tcPr>
            <w:tcW w:w="9175" w:type="dxa"/>
          </w:tcPr>
          <w:p w14:paraId="7AC2A39E" w14:textId="77777777" w:rsidR="001C32CD" w:rsidRPr="00487162" w:rsidRDefault="001C32CD" w:rsidP="00A05FA4">
            <w:pPr>
              <w:pStyle w:val="TGASignoff"/>
            </w:pPr>
            <w:r w:rsidRPr="00487162">
              <w:lastRenderedPageBreak/>
              <w:t>Therapeutic Goods Administration</w:t>
            </w:r>
          </w:p>
        </w:tc>
      </w:tr>
      <w:tr w:rsidR="001C32CD" w:rsidRPr="004C239D" w14:paraId="1EA4A763" w14:textId="77777777" w:rsidTr="00A05FA4">
        <w:trPr>
          <w:trHeight w:val="1221"/>
        </w:trPr>
        <w:tc>
          <w:tcPr>
            <w:tcW w:w="9175" w:type="dxa"/>
            <w:tcMar>
              <w:top w:w="28" w:type="dxa"/>
            </w:tcMar>
          </w:tcPr>
          <w:p w14:paraId="1828DDE8" w14:textId="77777777" w:rsidR="001C32CD" w:rsidRPr="00487162" w:rsidRDefault="001C32CD" w:rsidP="00A05FA4">
            <w:pPr>
              <w:pStyle w:val="Address"/>
            </w:pPr>
            <w:r w:rsidRPr="00487162">
              <w:t>PO Box 100 Woden ACT 2606 Australia</w:t>
            </w:r>
          </w:p>
          <w:p w14:paraId="72D5CA45" w14:textId="35A5C6D6" w:rsidR="001C32CD" w:rsidRPr="00487162" w:rsidRDefault="001C32CD" w:rsidP="00A05FA4">
            <w:pPr>
              <w:pStyle w:val="Address"/>
            </w:pPr>
            <w:r w:rsidRPr="00487162">
              <w:t xml:space="preserve">Email: </w:t>
            </w:r>
            <w:hyperlink r:id="rId26"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0EBDB3BA" w14:textId="33C9D8D5" w:rsidR="001C32CD" w:rsidRPr="004C239D" w:rsidRDefault="00746946"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2DB63903"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3AB66" w14:textId="77777777" w:rsidR="00767D08" w:rsidRDefault="00767D08" w:rsidP="00C40A36">
      <w:pPr>
        <w:spacing w:after="0"/>
      </w:pPr>
      <w:r>
        <w:separator/>
      </w:r>
    </w:p>
  </w:endnote>
  <w:endnote w:type="continuationSeparator" w:id="0">
    <w:p w14:paraId="2B0D1E12" w14:textId="77777777" w:rsidR="00767D08" w:rsidRDefault="00767D0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67D08" w:rsidRPr="00487162" w14:paraId="3D5CD8EA" w14:textId="77777777" w:rsidTr="00DB750B">
      <w:trPr>
        <w:trHeight w:val="269"/>
      </w:trPr>
      <w:tc>
        <w:tcPr>
          <w:tcW w:w="7371" w:type="dxa"/>
          <w:tcMar>
            <w:top w:w="142" w:type="dxa"/>
            <w:bottom w:w="0" w:type="dxa"/>
          </w:tcMar>
        </w:tcPr>
        <w:p w14:paraId="536BFD6B" w14:textId="264435CB" w:rsidR="00767D08" w:rsidRPr="00487162" w:rsidRDefault="00767D08" w:rsidP="00460036">
          <w:pPr>
            <w:pStyle w:val="Footer"/>
          </w:pPr>
          <w:proofErr w:type="spellStart"/>
          <w:r w:rsidRPr="00487162">
            <w:t>AusPA</w:t>
          </w:r>
          <w:r>
            <w:t>R</w:t>
          </w:r>
          <w:proofErr w:type="spellEnd"/>
          <w:r>
            <w:t xml:space="preserve"> - </w:t>
          </w:r>
          <w:proofErr w:type="spellStart"/>
          <w:r w:rsidRPr="00A86397">
            <w:t>VeraSeal</w:t>
          </w:r>
          <w:proofErr w:type="spellEnd"/>
          <w:r w:rsidRPr="00A86397">
            <w:t xml:space="preserve"> </w:t>
          </w:r>
          <w:r>
            <w:t>-</w:t>
          </w:r>
          <w:r w:rsidRPr="00460036">
            <w:t xml:space="preserve"> </w:t>
          </w:r>
          <w:r>
            <w:t>h</w:t>
          </w:r>
          <w:r w:rsidRPr="00A22E8E">
            <w:t>uman fibrinogen</w:t>
          </w:r>
          <w:r>
            <w:t xml:space="preserve"> </w:t>
          </w:r>
          <w:r w:rsidRPr="00A22E8E">
            <w:t>/</w:t>
          </w:r>
          <w:r>
            <w:t xml:space="preserve"> </w:t>
          </w:r>
          <w:r w:rsidRPr="00A22E8E">
            <w:t xml:space="preserve">human thrombin </w:t>
          </w:r>
          <w:r>
            <w:t xml:space="preserve">- </w:t>
          </w:r>
          <w:r w:rsidRPr="00A86397">
            <w:t xml:space="preserve">Grifols Australia Pty Ltd </w:t>
          </w:r>
          <w:r>
            <w:t xml:space="preserve">- </w:t>
          </w:r>
          <w:r>
            <w:br/>
          </w:r>
          <w:r w:rsidRPr="00A86397">
            <w:t>PM-2020-01828-1-6</w:t>
          </w:r>
          <w:r>
            <w:t xml:space="preserve"> Final 14 June 2022</w:t>
          </w:r>
        </w:p>
      </w:tc>
      <w:tc>
        <w:tcPr>
          <w:tcW w:w="1490" w:type="dxa"/>
          <w:tcMar>
            <w:top w:w="142" w:type="dxa"/>
            <w:bottom w:w="0" w:type="dxa"/>
          </w:tcMar>
        </w:tcPr>
        <w:p w14:paraId="70E5DD04" w14:textId="7E1FA0CC" w:rsidR="00767D08" w:rsidRPr="00487162" w:rsidRDefault="00767D08" w:rsidP="00DB750B">
          <w:pPr>
            <w:pStyle w:val="Footer"/>
            <w:jc w:val="right"/>
          </w:pPr>
          <w:r w:rsidRPr="00487162">
            <w:t xml:space="preserve">Page </w:t>
          </w:r>
          <w:r>
            <w:fldChar w:fldCharType="begin"/>
          </w:r>
          <w:r>
            <w:instrText xml:space="preserve"> PAGE  \* Arabic </w:instrText>
          </w:r>
          <w:r>
            <w:fldChar w:fldCharType="separate"/>
          </w:r>
          <w:r>
            <w:rPr>
              <w:noProof/>
            </w:rPr>
            <w:t>29</w:t>
          </w:r>
          <w:r>
            <w:fldChar w:fldCharType="end"/>
          </w:r>
          <w:r w:rsidRPr="00487162">
            <w:t xml:space="preserve"> of </w:t>
          </w:r>
          <w:r>
            <w:rPr>
              <w:noProof/>
            </w:rPr>
            <w:fldChar w:fldCharType="begin"/>
          </w:r>
          <w:r>
            <w:rPr>
              <w:noProof/>
            </w:rPr>
            <w:instrText xml:space="preserve"> NUMPAGES  \* Arabic </w:instrText>
          </w:r>
          <w:r>
            <w:rPr>
              <w:noProof/>
            </w:rPr>
            <w:fldChar w:fldCharType="separate"/>
          </w:r>
          <w:r>
            <w:rPr>
              <w:noProof/>
            </w:rPr>
            <w:t>31</w:t>
          </w:r>
          <w:r>
            <w:rPr>
              <w:noProof/>
            </w:rPr>
            <w:fldChar w:fldCharType="end"/>
          </w:r>
        </w:p>
      </w:tc>
    </w:tr>
  </w:tbl>
  <w:p w14:paraId="2DFA6998" w14:textId="77777777" w:rsidR="00767D08" w:rsidRDefault="00767D08"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67D08" w:rsidRPr="00487162" w14:paraId="10377A32" w14:textId="77777777" w:rsidTr="00E45619">
      <w:trPr>
        <w:trHeight w:val="269"/>
      </w:trPr>
      <w:tc>
        <w:tcPr>
          <w:tcW w:w="4519" w:type="dxa"/>
          <w:tcBorders>
            <w:top w:val="single" w:sz="4" w:space="0" w:color="auto"/>
          </w:tcBorders>
          <w:tcMar>
            <w:top w:w="142" w:type="dxa"/>
            <w:bottom w:w="0" w:type="dxa"/>
          </w:tcMar>
        </w:tcPr>
        <w:p w14:paraId="49DF93C0" w14:textId="77777777" w:rsidR="00767D08" w:rsidRPr="00487162" w:rsidRDefault="00767D08" w:rsidP="00FE1DEE">
          <w:pPr>
            <w:pStyle w:val="Footer"/>
          </w:pPr>
          <w:r w:rsidRPr="00487162">
            <w:t>Document title, Part #, Section # - Section title</w:t>
          </w:r>
        </w:p>
        <w:p w14:paraId="21341893" w14:textId="77777777" w:rsidR="00767D08" w:rsidRPr="00487162" w:rsidRDefault="00767D08" w:rsidP="00FE1DEE">
          <w:pPr>
            <w:pStyle w:val="Footer"/>
          </w:pPr>
          <w:r w:rsidRPr="00487162">
            <w:t>V1.0 October 2010</w:t>
          </w:r>
        </w:p>
      </w:tc>
      <w:tc>
        <w:tcPr>
          <w:tcW w:w="4342" w:type="dxa"/>
          <w:tcBorders>
            <w:top w:val="single" w:sz="4" w:space="0" w:color="auto"/>
          </w:tcBorders>
          <w:tcMar>
            <w:top w:w="142" w:type="dxa"/>
            <w:bottom w:w="0" w:type="dxa"/>
          </w:tcMar>
        </w:tcPr>
        <w:p w14:paraId="669F817D" w14:textId="77777777" w:rsidR="00767D08" w:rsidRPr="00487162" w:rsidRDefault="00767D0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p>
      </w:tc>
    </w:tr>
  </w:tbl>
  <w:p w14:paraId="3B578537" w14:textId="77777777" w:rsidR="00767D08" w:rsidRDefault="00767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3B2B8" w14:textId="77777777" w:rsidR="00767D08" w:rsidRPr="001C32CD" w:rsidRDefault="00767D08"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67D08" w14:paraId="0444A374" w14:textId="77777777" w:rsidTr="0010601F">
      <w:trPr>
        <w:trHeight w:val="108"/>
      </w:trPr>
      <w:tc>
        <w:tcPr>
          <w:tcW w:w="8875" w:type="dxa"/>
          <w:gridSpan w:val="2"/>
          <w:tcBorders>
            <w:bottom w:val="single" w:sz="4" w:space="0" w:color="auto"/>
          </w:tcBorders>
          <w:tcMar>
            <w:right w:w="284" w:type="dxa"/>
          </w:tcMar>
        </w:tcPr>
        <w:p w14:paraId="2747896D" w14:textId="77777777" w:rsidR="00767D08" w:rsidRDefault="00767D08" w:rsidP="006E08B3">
          <w:pPr>
            <w:pStyle w:val="Heading3"/>
          </w:pPr>
          <w:r>
            <w:t>Copyright</w:t>
          </w:r>
        </w:p>
        <w:p w14:paraId="7E6FDC15" w14:textId="77777777" w:rsidR="00767D08" w:rsidRDefault="00767D08" w:rsidP="006E08B3">
          <w:r>
            <w:rPr>
              <w:rFonts w:cs="Arial"/>
            </w:rPr>
            <w:t>©</w:t>
          </w:r>
          <w:r>
            <w:t xml:space="preserve"> Commonwealth of Australia [add year]</w:t>
          </w:r>
        </w:p>
        <w:p w14:paraId="245B0864" w14:textId="77777777" w:rsidR="00767D08" w:rsidRDefault="00767D08" w:rsidP="006E08B3"/>
        <w:p w14:paraId="535DBA6B" w14:textId="77777777" w:rsidR="00767D08" w:rsidRDefault="00767D0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4DC58FC2" w14:textId="77777777" w:rsidR="00767D08" w:rsidRDefault="00767D08" w:rsidP="006E08B3"/>
        <w:p w14:paraId="2F28ED1B" w14:textId="77777777" w:rsidR="00767D08" w:rsidRDefault="00767D08" w:rsidP="006E08B3">
          <w:pPr>
            <w:pStyle w:val="Heading3"/>
          </w:pPr>
          <w:r>
            <w:t>Confidentiality</w:t>
          </w:r>
        </w:p>
        <w:p w14:paraId="501CE04D" w14:textId="0269E932" w:rsidR="00767D08" w:rsidRDefault="00767D0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ED5CC5A" w14:textId="77777777" w:rsidR="00767D08" w:rsidRDefault="00767D08" w:rsidP="006E08B3"/>
        <w:p w14:paraId="6B0D857D" w14:textId="77777777" w:rsidR="00767D08" w:rsidRDefault="00767D08" w:rsidP="006E08B3">
          <w:r>
            <w:t>For submission made by individuals, all personal details, other than your name, will be removed from your submission before it is published on the TGA’s Internet site.</w:t>
          </w:r>
        </w:p>
        <w:p w14:paraId="00C702BA" w14:textId="77777777" w:rsidR="00767D08" w:rsidRDefault="00767D08" w:rsidP="006E08B3"/>
        <w:p w14:paraId="6DC045DA" w14:textId="77777777" w:rsidR="00767D08" w:rsidRDefault="00767D0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67D08" w14:paraId="70AF4152" w14:textId="77777777" w:rsidTr="0010601F">
      <w:trPr>
        <w:trHeight w:val="417"/>
      </w:trPr>
      <w:tc>
        <w:tcPr>
          <w:tcW w:w="4519" w:type="dxa"/>
          <w:tcBorders>
            <w:top w:val="single" w:sz="4" w:space="0" w:color="auto"/>
          </w:tcBorders>
          <w:tcMar>
            <w:top w:w="142" w:type="dxa"/>
            <w:bottom w:w="0" w:type="dxa"/>
          </w:tcMar>
        </w:tcPr>
        <w:p w14:paraId="583F3D54" w14:textId="77777777" w:rsidR="00767D08" w:rsidRDefault="00767D08" w:rsidP="006E08B3">
          <w:r>
            <w:t>Document title, Part #, Section # - Section title</w:t>
          </w:r>
        </w:p>
        <w:p w14:paraId="0D20B575" w14:textId="77777777" w:rsidR="00767D08" w:rsidRDefault="00767D08" w:rsidP="006E08B3">
          <w:r>
            <w:t>V1.0 October 2010</w:t>
          </w:r>
        </w:p>
      </w:tc>
      <w:tc>
        <w:tcPr>
          <w:tcW w:w="4356" w:type="dxa"/>
          <w:tcBorders>
            <w:top w:val="single" w:sz="4" w:space="0" w:color="auto"/>
          </w:tcBorders>
          <w:tcMar>
            <w:top w:w="142" w:type="dxa"/>
            <w:bottom w:w="0" w:type="dxa"/>
          </w:tcMar>
        </w:tcPr>
        <w:p w14:paraId="3ADDF93C" w14:textId="77777777" w:rsidR="00767D08" w:rsidRDefault="00767D0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Pr>
              <w:noProof/>
            </w:rPr>
            <w:fldChar w:fldCharType="begin"/>
          </w:r>
          <w:r>
            <w:rPr>
              <w:noProof/>
            </w:rPr>
            <w:instrText xml:space="preserve"> NUMPAGES  \* Arabic </w:instrText>
          </w:r>
          <w:r>
            <w:rPr>
              <w:noProof/>
            </w:rPr>
            <w:fldChar w:fldCharType="separate"/>
          </w:r>
          <w:r>
            <w:rPr>
              <w:noProof/>
            </w:rPr>
            <w:t>21</w:t>
          </w:r>
          <w:r>
            <w:rPr>
              <w:noProof/>
            </w:rPr>
            <w:fldChar w:fldCharType="end"/>
          </w:r>
          <w:r>
            <w:t xml:space="preserve">  </w:t>
          </w:r>
        </w:p>
      </w:tc>
    </w:tr>
  </w:tbl>
  <w:p w14:paraId="0E69CE6B" w14:textId="77777777" w:rsidR="00767D08" w:rsidRDefault="00767D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6C7FB" w14:textId="77777777" w:rsidR="00767D08" w:rsidRDefault="00767D08" w:rsidP="00C40A36">
      <w:pPr>
        <w:spacing w:after="0"/>
      </w:pPr>
      <w:r>
        <w:separator/>
      </w:r>
    </w:p>
  </w:footnote>
  <w:footnote w:type="continuationSeparator" w:id="0">
    <w:p w14:paraId="6DF4DFD5" w14:textId="77777777" w:rsidR="00767D08" w:rsidRDefault="00767D08" w:rsidP="00C40A36">
      <w:pPr>
        <w:spacing w:after="0"/>
      </w:pPr>
      <w:r>
        <w:continuationSeparator/>
      </w:r>
    </w:p>
  </w:footnote>
  <w:footnote w:id="1">
    <w:p w14:paraId="3D487436" w14:textId="77777777" w:rsidR="00767D08" w:rsidRDefault="00767D08">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52C3331D" w14:textId="3D9DF807" w:rsidR="00767D08" w:rsidRDefault="00767D08">
      <w:pPr>
        <w:pStyle w:val="FootnoteText"/>
      </w:pPr>
      <w:r>
        <w:rPr>
          <w:rStyle w:val="FootnoteReference"/>
        </w:rPr>
        <w:footnoteRef/>
      </w:r>
      <w:r>
        <w:t xml:space="preserve"> </w:t>
      </w:r>
      <w:r w:rsidRPr="008C0A99">
        <w:t>Tisseel</w:t>
      </w:r>
      <w:r>
        <w:t xml:space="preserve"> </w:t>
      </w:r>
      <w:r w:rsidRPr="008C0A99">
        <w:t>was first registered on the ARTG on 13</w:t>
      </w:r>
      <w:r>
        <w:t xml:space="preserve"> March </w:t>
      </w:r>
      <w:r w:rsidRPr="008C0A99">
        <w:t>2009 (ARTG number: 147141).</w:t>
      </w:r>
    </w:p>
  </w:footnote>
  <w:footnote w:id="3">
    <w:p w14:paraId="649074A1" w14:textId="6805A0AF" w:rsidR="00767D08" w:rsidRDefault="00767D08">
      <w:pPr>
        <w:pStyle w:val="FootnoteText"/>
      </w:pPr>
      <w:r>
        <w:rPr>
          <w:rStyle w:val="FootnoteReference"/>
        </w:rPr>
        <w:footnoteRef/>
      </w:r>
      <w:r>
        <w:t xml:space="preserve"> </w:t>
      </w:r>
      <w:r w:rsidRPr="008C0A99">
        <w:t>Evicel</w:t>
      </w:r>
      <w:r>
        <w:t xml:space="preserve"> </w:t>
      </w:r>
      <w:r w:rsidRPr="008C0A99">
        <w:t>was first registered on the ARTG on 22</w:t>
      </w:r>
      <w:r>
        <w:t xml:space="preserve"> October </w:t>
      </w:r>
      <w:r w:rsidRPr="008C0A99">
        <w:t>2012 (ARTG number</w:t>
      </w:r>
      <w:r>
        <w:t>s</w:t>
      </w:r>
      <w:r w:rsidRPr="008C0A99">
        <w:t xml:space="preserve">: </w:t>
      </w:r>
      <w:r w:rsidRPr="002E563E">
        <w:t>181318</w:t>
      </w:r>
      <w:r>
        <w:t xml:space="preserve"> and </w:t>
      </w:r>
      <w:r w:rsidRPr="002E563E">
        <w:t>181319</w:t>
      </w:r>
      <w:r>
        <w:t>).</w:t>
      </w:r>
    </w:p>
  </w:footnote>
  <w:footnote w:id="4">
    <w:p w14:paraId="39E3AD58" w14:textId="41B4852D" w:rsidR="00767D08" w:rsidRDefault="00767D08">
      <w:pPr>
        <w:pStyle w:val="FootnoteText"/>
      </w:pPr>
      <w:r>
        <w:rPr>
          <w:rStyle w:val="FootnoteReference"/>
        </w:rPr>
        <w:footnoteRef/>
      </w:r>
      <w:r>
        <w:t xml:space="preserve"> </w:t>
      </w:r>
      <w:r w:rsidRPr="00A01C3F">
        <w:t xml:space="preserve">The </w:t>
      </w:r>
      <w:r w:rsidRPr="00A01C3F">
        <w:rPr>
          <w:b/>
          <w:bCs/>
        </w:rPr>
        <w:t>Australia-Canada-Singapore-Switzerland-United Kingdom (ACCESS) Consortium</w:t>
      </w:r>
      <w:r w:rsidRPr="00A01C3F">
        <w:t xml:space="preserve"> is a medium-sized coalition, which was formed in 2007 by 'like-minded' regulatory authorities to promote greater regulatory collaboration and alignment of regulatory requirements. Its goal is to maximise international cooperation, reduce duplication, and increase each agency's capacity to ensure consumers have timely access to high quality, safe and effective therapeutic products. For further information visit: https://www.tga.gov.au/australia-canada-singapore-switzerland-united-kingdom-access-consortium.</w:t>
      </w:r>
    </w:p>
  </w:footnote>
  <w:footnote w:id="5">
    <w:p w14:paraId="4C94035E" w14:textId="46C7A719" w:rsidR="00767D08" w:rsidRDefault="00767D08">
      <w:pPr>
        <w:pStyle w:val="FootnoteText"/>
      </w:pPr>
      <w:r>
        <w:rPr>
          <w:rStyle w:val="FootnoteReference"/>
        </w:rPr>
        <w:footnoteRef/>
      </w:r>
      <w:r>
        <w:t xml:space="preserve"> </w:t>
      </w:r>
      <w:r w:rsidRPr="00A01C3F">
        <w:rPr>
          <w:b/>
          <w:bCs/>
        </w:rPr>
        <w:t>Good Manufacturing Practice (GMP)</w:t>
      </w:r>
      <w:r w:rsidRPr="00A01C3F">
        <w:t xml:space="preserve"> describes a set of principles and procedures that when followed helps ensure that therapeutic goods are of high quality.</w:t>
      </w:r>
    </w:p>
  </w:footnote>
  <w:footnote w:id="6">
    <w:p w14:paraId="290F9E62" w14:textId="5C6EEB01" w:rsidR="00767D08" w:rsidRPr="006379F5" w:rsidRDefault="00767D08">
      <w:pPr>
        <w:pStyle w:val="FootnoteText"/>
        <w:rPr>
          <w:lang w:val="fr-FR"/>
        </w:rPr>
      </w:pPr>
      <w:r>
        <w:rPr>
          <w:rStyle w:val="FootnoteReference"/>
        </w:rPr>
        <w:footnoteRef/>
      </w:r>
      <w:r w:rsidRPr="006379F5">
        <w:rPr>
          <w:lang w:val="fr-FR"/>
        </w:rPr>
        <w:t xml:space="preserve"> </w:t>
      </w:r>
      <w:r w:rsidRPr="006379F5">
        <w:rPr>
          <w:lang w:val="fr-FR"/>
        </w:rPr>
        <w:t>European Pharmacopoeia (Ph. Eur.) Monograph 0853.</w:t>
      </w:r>
    </w:p>
  </w:footnote>
  <w:footnote w:id="7">
    <w:p w14:paraId="5C7CF22C" w14:textId="498842CF" w:rsidR="00767D08" w:rsidRDefault="00767D08" w:rsidP="00A01C3F">
      <w:pPr>
        <w:pStyle w:val="FootnoteText"/>
      </w:pPr>
      <w:r>
        <w:rPr>
          <w:rStyle w:val="FootnoteReference"/>
        </w:rPr>
        <w:footnoteRef/>
      </w:r>
      <w:r>
        <w:t xml:space="preserve"> </w:t>
      </w:r>
      <w:r w:rsidRPr="00A01C3F">
        <w:rPr>
          <w:b/>
          <w:bCs/>
        </w:rPr>
        <w:t>Therapeutic Goods Order Number 88 (TGO 88)</w:t>
      </w:r>
      <w:r>
        <w:t xml:space="preserve"> described the s</w:t>
      </w:r>
      <w:r w:rsidRPr="00A01C3F">
        <w:t xml:space="preserve">tandards for donor selection, testing and minimising infectious disease transmission via therapeutic goods that are human blood and blood components, human </w:t>
      </w:r>
      <w:r w:rsidRPr="00A01C3F">
        <w:t>tissues and human cellular therapy products</w:t>
      </w:r>
      <w:r>
        <w:t xml:space="preserve">. </w:t>
      </w:r>
      <w:r w:rsidRPr="00A01C3F">
        <w:t xml:space="preserve">For further information, visit the TGA website: </w:t>
      </w:r>
      <w:hyperlink r:id="rId1" w:history="1">
        <w:r w:rsidRPr="005A2502">
          <w:rPr>
            <w:rStyle w:val="Hyperlink"/>
          </w:rPr>
          <w:t>https://www.tga.gov.au/therapeutic-goods-orders</w:t>
        </w:r>
      </w:hyperlink>
      <w:r>
        <w:t>.</w:t>
      </w:r>
    </w:p>
  </w:footnote>
  <w:footnote w:id="8">
    <w:p w14:paraId="55C22300" w14:textId="4E2A7EED" w:rsidR="00767D08" w:rsidRDefault="00767D08">
      <w:pPr>
        <w:pStyle w:val="FootnoteText"/>
      </w:pPr>
      <w:r>
        <w:rPr>
          <w:rStyle w:val="FootnoteReference"/>
        </w:rPr>
        <w:footnoteRef/>
      </w:r>
      <w:r>
        <w:t xml:space="preserve"> </w:t>
      </w:r>
      <w:r w:rsidRPr="0075669B">
        <w:t>Surgicel</w:t>
      </w:r>
      <w:r>
        <w:t xml:space="preserve"> </w:t>
      </w:r>
      <w:r w:rsidRPr="0075669B">
        <w:t xml:space="preserve">was first registered on the ARTG on </w:t>
      </w:r>
      <w:r w:rsidRPr="00F141FF">
        <w:t>21</w:t>
      </w:r>
      <w:r>
        <w:t xml:space="preserve"> October </w:t>
      </w:r>
      <w:r w:rsidRPr="00F141FF">
        <w:t>2009</w:t>
      </w:r>
      <w:r w:rsidRPr="0075669B">
        <w:t xml:space="preserve"> (ARTG number: </w:t>
      </w:r>
      <w:r w:rsidRPr="00F141FF">
        <w:t>166221</w:t>
      </w:r>
      <w:r w:rsidRPr="0075669B">
        <w:t>).</w:t>
      </w:r>
    </w:p>
  </w:footnote>
  <w:footnote w:id="9">
    <w:p w14:paraId="76C39E33" w14:textId="72E34C23" w:rsidR="00767D08" w:rsidRDefault="00767D08">
      <w:pPr>
        <w:pStyle w:val="FootnoteText"/>
      </w:pPr>
      <w:r>
        <w:rPr>
          <w:rStyle w:val="FootnoteReference"/>
        </w:rPr>
        <w:footnoteRef/>
      </w:r>
      <w:r>
        <w:t xml:space="preserve"> </w:t>
      </w:r>
      <w:r w:rsidRPr="00A01C3F">
        <w:t xml:space="preserve">Randomised clinical trials analysed by the </w:t>
      </w:r>
      <w:r w:rsidRPr="00A01C3F">
        <w:rPr>
          <w:b/>
          <w:bCs/>
        </w:rPr>
        <w:t>intent-to-treat (ITT)</w:t>
      </w:r>
      <w:r w:rsidRPr="00A01C3F">
        <w:t xml:space="preserve"> approach provide the unbiased comparisons among the treatment groups. In the ITT population, none of the patients are excluded and the patients are analysed according to the randomisation scheme.</w:t>
      </w:r>
    </w:p>
  </w:footnote>
  <w:footnote w:id="10">
    <w:p w14:paraId="5D0A6187" w14:textId="73D266BA" w:rsidR="00767D08" w:rsidRDefault="00767D08">
      <w:pPr>
        <w:pStyle w:val="FootnoteText"/>
      </w:pPr>
      <w:r>
        <w:rPr>
          <w:rStyle w:val="FootnoteReference"/>
        </w:rPr>
        <w:footnoteRef/>
      </w:r>
      <w:r>
        <w:t xml:space="preserve"> </w:t>
      </w:r>
      <w:r w:rsidRPr="00A01C3F">
        <w:t xml:space="preserve">The </w:t>
      </w:r>
      <w:r w:rsidRPr="00A01C3F">
        <w:rPr>
          <w:b/>
          <w:bCs/>
        </w:rPr>
        <w:t>per-protocol (PP)</w:t>
      </w:r>
      <w:r w:rsidRPr="00A01C3F">
        <w:t xml:space="preserve"> analysis is restricted to the participants who strictly adhered to the protocol. Also known as ‘on-treatment’ analysis.</w:t>
      </w:r>
    </w:p>
  </w:footnote>
  <w:footnote w:id="11">
    <w:p w14:paraId="32116A60" w14:textId="5DE00AB3" w:rsidR="00767D08" w:rsidRPr="00612735" w:rsidRDefault="00767D08" w:rsidP="00F141FF">
      <w:pPr>
        <w:pStyle w:val="FootnoteText"/>
        <w:rPr>
          <w:b/>
          <w:bCs/>
        </w:rPr>
      </w:pPr>
      <w:r>
        <w:rPr>
          <w:rStyle w:val="FootnoteReference"/>
        </w:rPr>
        <w:footnoteRef/>
      </w:r>
      <w:r>
        <w:t xml:space="preserve"> </w:t>
      </w:r>
      <w:r w:rsidRPr="00F71298">
        <w:t>Medical devices will be placed into one of the main classifications depending on the level of risk they pose. The higher classification level, the tougher the requirements will be.</w:t>
      </w:r>
      <w:r>
        <w:t xml:space="preserve"> </w:t>
      </w:r>
      <w:r>
        <w:rPr>
          <w:b/>
          <w:bCs/>
        </w:rPr>
        <w:t>M</w:t>
      </w:r>
      <w:r w:rsidRPr="001F74CA">
        <w:rPr>
          <w:b/>
          <w:bCs/>
        </w:rPr>
        <w:t xml:space="preserve">edical device Class IIa </w:t>
      </w:r>
      <w:r>
        <w:t>poses</w:t>
      </w:r>
      <w:r w:rsidRPr="00F71298">
        <w:t xml:space="preserve"> low public health risk or moderate personal risk.</w:t>
      </w:r>
    </w:p>
  </w:footnote>
  <w:footnote w:id="12">
    <w:p w14:paraId="4432E36C" w14:textId="5DC934BE" w:rsidR="00767D08" w:rsidRDefault="00767D08" w:rsidP="00AC2EF5">
      <w:pPr>
        <w:pStyle w:val="FootnoteText"/>
      </w:pPr>
      <w:r>
        <w:rPr>
          <w:rStyle w:val="FootnoteReference"/>
        </w:rPr>
        <w:footnoteRef/>
      </w:r>
      <w:r>
        <w:t xml:space="preserve"> The </w:t>
      </w:r>
      <w:r w:rsidRPr="008C0A99">
        <w:rPr>
          <w:b/>
          <w:bCs/>
        </w:rPr>
        <w:t>CE mark</w:t>
      </w:r>
      <w:r>
        <w:t xml:space="preserve"> signifies compliance with European standards, as assessed by a notified </w:t>
      </w:r>
      <w:r>
        <w:t>body; device images</w:t>
      </w:r>
    </w:p>
    <w:p w14:paraId="67A39A4D" w14:textId="7B444D82" w:rsidR="00767D08" w:rsidRDefault="00767D08" w:rsidP="00AC2EF5">
      <w:pPr>
        <w:pStyle w:val="FootnoteText"/>
      </w:pPr>
      <w:r>
        <w:t>In vivo distribution of radiopharmaceuticals in a patient; Device allows direct diagnosis or monitoring of vital physiological processes of a patient (does not indicate if patient is in immediate danger).</w:t>
      </w:r>
    </w:p>
  </w:footnote>
  <w:footnote w:id="13">
    <w:p w14:paraId="37168022" w14:textId="7D95979C" w:rsidR="00767D08" w:rsidRDefault="00767D08">
      <w:pPr>
        <w:pStyle w:val="FootnoteText"/>
      </w:pPr>
      <w:r>
        <w:rPr>
          <w:rStyle w:val="FootnoteReference"/>
        </w:rPr>
        <w:footnoteRef/>
      </w:r>
      <w:r>
        <w:t xml:space="preserve"> </w:t>
      </w:r>
      <w:r w:rsidRPr="001F74CA">
        <w:t>Food and Drug Administration (FDA</w:t>
      </w:r>
      <w:r>
        <w:t xml:space="preserve">) </w:t>
      </w:r>
      <w:r w:rsidRPr="008C0A99">
        <w:rPr>
          <w:b/>
          <w:bCs/>
        </w:rPr>
        <w:t>Section 510(k)</w:t>
      </w:r>
      <w:r w:rsidRPr="001F74CA">
        <w:t xml:space="preserve"> of the </w:t>
      </w:r>
      <w:r w:rsidRPr="001F74CA">
        <w:rPr>
          <w:i/>
          <w:iCs/>
        </w:rPr>
        <w:t>Food, Drug and Cosmetic Act</w:t>
      </w:r>
      <w:r w:rsidRPr="001F74CA">
        <w:t xml:space="preserve"> requires device manufacturers who must register, to notify </w:t>
      </w:r>
      <w:r>
        <w:t xml:space="preserve">the </w:t>
      </w:r>
      <w:r w:rsidRPr="001F74CA">
        <w:t>FDA of their intent to market a medical device at least 90 days in advance. This allows FDA to determine whether the device is equivalent to a device already placed into one of the three classification categories.</w:t>
      </w:r>
    </w:p>
  </w:footnote>
  <w:footnote w:id="14">
    <w:p w14:paraId="0A63670C" w14:textId="77777777" w:rsidR="00767D08" w:rsidRDefault="00767D08" w:rsidP="00F957F3">
      <w:pPr>
        <w:pStyle w:val="FootnoteText"/>
      </w:pPr>
      <w:r>
        <w:rPr>
          <w:rStyle w:val="FootnoteReference"/>
        </w:rPr>
        <w:footnoteRef/>
      </w:r>
      <w:r>
        <w:t xml:space="preserve"> Demonstration of substantial equivalence with a registered device is sufficient for 510k approval.</w:t>
      </w:r>
    </w:p>
  </w:footnote>
  <w:footnote w:id="15">
    <w:p w14:paraId="1F9F074C" w14:textId="77777777" w:rsidR="00767D08" w:rsidRDefault="00767D08"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32E7B39F" w14:textId="77777777" w:rsidR="00767D08" w:rsidRDefault="00767D08" w:rsidP="007D53B6">
      <w:pPr>
        <w:pStyle w:val="FootnoteText"/>
      </w:pPr>
      <w:r w:rsidRPr="007D53B6">
        <w:rPr>
          <w:i/>
        </w:rPr>
        <w:t>Routine pharmacovigilance</w:t>
      </w:r>
      <w:r>
        <w:t xml:space="preserve"> practices involve the following activities:</w:t>
      </w:r>
    </w:p>
    <w:p w14:paraId="7DE29966" w14:textId="77777777" w:rsidR="00767D08" w:rsidRDefault="00767D08" w:rsidP="007D53B6">
      <w:pPr>
        <w:pStyle w:val="FootnoteText"/>
        <w:numPr>
          <w:ilvl w:val="0"/>
          <w:numId w:val="32"/>
        </w:numPr>
        <w:ind w:left="284" w:hanging="284"/>
      </w:pPr>
      <w:r>
        <w:t xml:space="preserve">All suspected adverse reactions that are reported to the personnel of the company are collected and collated in an accessible </w:t>
      </w:r>
      <w:r>
        <w:t>manner;</w:t>
      </w:r>
    </w:p>
    <w:p w14:paraId="7923D88F" w14:textId="77777777" w:rsidR="00767D08" w:rsidRDefault="00767D08" w:rsidP="007D53B6">
      <w:pPr>
        <w:pStyle w:val="FootnoteText"/>
        <w:numPr>
          <w:ilvl w:val="0"/>
          <w:numId w:val="32"/>
        </w:numPr>
        <w:ind w:left="284" w:hanging="284"/>
      </w:pPr>
      <w:r>
        <w:t>Reporting to regulatory authorities;</w:t>
      </w:r>
    </w:p>
    <w:p w14:paraId="6F37E58D" w14:textId="77777777" w:rsidR="00767D08" w:rsidRDefault="00767D08" w:rsidP="007D53B6">
      <w:pPr>
        <w:pStyle w:val="FootnoteText"/>
        <w:numPr>
          <w:ilvl w:val="0"/>
          <w:numId w:val="32"/>
        </w:numPr>
        <w:ind w:left="284" w:hanging="284"/>
      </w:pPr>
      <w:r>
        <w:t>Continuous monitoring of the safety profiles of approved products including signal detection and updating of labelling;</w:t>
      </w:r>
    </w:p>
    <w:p w14:paraId="4E6E38F3" w14:textId="77777777" w:rsidR="00767D08" w:rsidRDefault="00767D08" w:rsidP="007D53B6">
      <w:pPr>
        <w:pStyle w:val="FootnoteText"/>
        <w:numPr>
          <w:ilvl w:val="0"/>
          <w:numId w:val="32"/>
        </w:numPr>
        <w:ind w:left="284" w:hanging="284"/>
      </w:pPr>
      <w:r>
        <w:t>Submission of PSURs;</w:t>
      </w:r>
    </w:p>
    <w:p w14:paraId="758B9D50" w14:textId="77777777" w:rsidR="00767D08" w:rsidRDefault="00767D08" w:rsidP="007D53B6">
      <w:pPr>
        <w:pStyle w:val="FootnoteText"/>
        <w:numPr>
          <w:ilvl w:val="0"/>
          <w:numId w:val="32"/>
        </w:numPr>
        <w:ind w:left="284" w:hanging="284"/>
      </w:pPr>
      <w:r>
        <w:t>Meeting other local regulatory agency requirements.</w:t>
      </w:r>
    </w:p>
  </w:footnote>
  <w:footnote w:id="16">
    <w:p w14:paraId="277CE4D5" w14:textId="77777777" w:rsidR="00767D08" w:rsidRPr="00456765" w:rsidRDefault="00767D08" w:rsidP="00FB369D">
      <w:pPr>
        <w:pStyle w:val="FootnoteText"/>
        <w:rPr>
          <w:lang w:val="en-US"/>
        </w:rPr>
      </w:pPr>
      <w:r>
        <w:rPr>
          <w:rStyle w:val="FootnoteReference"/>
        </w:rPr>
        <w:footnoteRef/>
      </w:r>
      <w:r>
        <w:t xml:space="preserve"> </w:t>
      </w:r>
      <w:r w:rsidRPr="00FB369D">
        <w:t xml:space="preserve">The </w:t>
      </w:r>
      <w:r w:rsidRPr="008C0A99">
        <w:rPr>
          <w:b/>
          <w:bCs/>
        </w:rPr>
        <w:t>ACM</w:t>
      </w:r>
      <w:r w:rsidRPr="00FB369D">
        <w:t xml:space="preserve"> provides independent medical and scientific advice to the Minister for Health and the TGA on issues relating to the safety, quality and efficacy of medicines supplied in Australia including issues relating to </w:t>
      </w:r>
      <w:r w:rsidRPr="00FB369D">
        <w:t xml:space="preserve">pre market and post-market functions for medicines. Further information can be found here: </w:t>
      </w:r>
      <w:hyperlink r:id="rId2" w:history="1">
        <w:r w:rsidRPr="0004151A">
          <w:rPr>
            <w:rStyle w:val="Hyperlink"/>
          </w:rPr>
          <w:t>https://www.tga.gov.au/committee/advisory-committee-medicines-acm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B5B2F" w14:textId="77777777" w:rsidR="00767D08" w:rsidRDefault="00767D08"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986A" w14:textId="77777777" w:rsidR="00767D08" w:rsidRDefault="00767D08">
    <w:pPr>
      <w:rPr>
        <w:noProof/>
        <w:lang w:eastAsia="en-AU"/>
      </w:rPr>
    </w:pPr>
    <w:r w:rsidRPr="00347824">
      <w:rPr>
        <w:noProof/>
        <w:lang w:val="en-GB" w:eastAsia="en-GB"/>
      </w:rPr>
      <w:drawing>
        <wp:anchor distT="0" distB="0" distL="114300" distR="114300" simplePos="0" relativeHeight="251659264" behindDoc="1" locked="0" layoutInCell="1" allowOverlap="1" wp14:anchorId="5A8ED5F1" wp14:editId="34B2753D">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6F9E42A" w14:textId="77777777" w:rsidR="00767D08" w:rsidRDefault="00767D08"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EE2A7" w14:textId="77777777" w:rsidR="00767D08" w:rsidRDefault="00767D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F13BA" w14:textId="77777777" w:rsidR="00767D08" w:rsidRDefault="00767D08">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477D8" w14:textId="77777777" w:rsidR="00767D08" w:rsidRDefault="00767D08">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AC59" w14:textId="77777777" w:rsidR="00767D08" w:rsidRDefault="00767D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6E56" w14:textId="77777777" w:rsidR="00767D08" w:rsidRDefault="00767D08"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5B758" w14:textId="77777777" w:rsidR="00767D08" w:rsidRDefault="00767D08" w:rsidP="006E08B3">
    <w:r>
      <w:t>Therapeutic Goods Administration</w:t>
    </w:r>
  </w:p>
  <w:p w14:paraId="6C377931" w14:textId="77777777" w:rsidR="00767D08" w:rsidRDefault="00767D08"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61746DE"/>
    <w:multiLevelType w:val="hybridMultilevel"/>
    <w:tmpl w:val="FB9AC604"/>
    <w:lvl w:ilvl="0" w:tplc="0409001B">
      <w:start w:val="1"/>
      <w:numFmt w:val="low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7381F4D"/>
    <w:multiLevelType w:val="hybridMultilevel"/>
    <w:tmpl w:val="6AB4E120"/>
    <w:lvl w:ilvl="0" w:tplc="4BC8A140">
      <w:start w:val="1"/>
      <w:numFmt w:val="decimal"/>
      <w:pStyle w:val="ListNumb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6614B0"/>
    <w:multiLevelType w:val="hybridMultilevel"/>
    <w:tmpl w:val="82D0E5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5A3D4F"/>
    <w:multiLevelType w:val="hybridMultilevel"/>
    <w:tmpl w:val="A43A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7"/>
  </w:num>
  <w:num w:numId="17">
    <w:abstractNumId w:val="7"/>
  </w:num>
  <w:num w:numId="18">
    <w:abstractNumId w:val="7"/>
  </w:num>
  <w:num w:numId="19">
    <w:abstractNumId w:val="9"/>
  </w:num>
  <w:num w:numId="20">
    <w:abstractNumId w:val="9"/>
  </w:num>
  <w:num w:numId="21">
    <w:abstractNumId w:val="9"/>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15"/>
  </w:num>
  <w:num w:numId="29">
    <w:abstractNumId w:val="8"/>
  </w:num>
  <w:num w:numId="30">
    <w:abstractNumId w:val="10"/>
  </w:num>
  <w:num w:numId="31">
    <w:abstractNumId w:val="5"/>
  </w:num>
  <w:num w:numId="32">
    <w:abstractNumId w:val="12"/>
  </w:num>
  <w:num w:numId="33">
    <w:abstractNumId w:val="13"/>
  </w:num>
  <w:num w:numId="34">
    <w:abstractNumId w:val="4"/>
  </w:num>
  <w:num w:numId="35">
    <w:abstractNumId w:val="6"/>
  </w:num>
  <w:num w:numId="36">
    <w:abstractNumId w:val="1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97"/>
    <w:rsid w:val="00002031"/>
    <w:rsid w:val="00004734"/>
    <w:rsid w:val="00006B22"/>
    <w:rsid w:val="00006FAB"/>
    <w:rsid w:val="0001276A"/>
    <w:rsid w:val="000246AE"/>
    <w:rsid w:val="00025C67"/>
    <w:rsid w:val="000427CF"/>
    <w:rsid w:val="00044772"/>
    <w:rsid w:val="0004541C"/>
    <w:rsid w:val="0005559E"/>
    <w:rsid w:val="000604D6"/>
    <w:rsid w:val="000734D8"/>
    <w:rsid w:val="00077775"/>
    <w:rsid w:val="00090471"/>
    <w:rsid w:val="00091E78"/>
    <w:rsid w:val="00096AA7"/>
    <w:rsid w:val="000A3AED"/>
    <w:rsid w:val="000B3532"/>
    <w:rsid w:val="000B3A75"/>
    <w:rsid w:val="000C00C2"/>
    <w:rsid w:val="000C690F"/>
    <w:rsid w:val="000D0CE6"/>
    <w:rsid w:val="000D1295"/>
    <w:rsid w:val="000D391B"/>
    <w:rsid w:val="000D3981"/>
    <w:rsid w:val="000D3D6D"/>
    <w:rsid w:val="000D4FC7"/>
    <w:rsid w:val="000E6196"/>
    <w:rsid w:val="000F102A"/>
    <w:rsid w:val="000F4869"/>
    <w:rsid w:val="000F5B42"/>
    <w:rsid w:val="000F6E6F"/>
    <w:rsid w:val="0010601F"/>
    <w:rsid w:val="0010788A"/>
    <w:rsid w:val="00107A31"/>
    <w:rsid w:val="00110EA5"/>
    <w:rsid w:val="00112F56"/>
    <w:rsid w:val="00122C2E"/>
    <w:rsid w:val="00124ACD"/>
    <w:rsid w:val="00125318"/>
    <w:rsid w:val="001305A2"/>
    <w:rsid w:val="00130BD1"/>
    <w:rsid w:val="00133238"/>
    <w:rsid w:val="00133A1B"/>
    <w:rsid w:val="0014197B"/>
    <w:rsid w:val="001447CD"/>
    <w:rsid w:val="001516B1"/>
    <w:rsid w:val="00154EBB"/>
    <w:rsid w:val="00156200"/>
    <w:rsid w:val="00156316"/>
    <w:rsid w:val="00161181"/>
    <w:rsid w:val="001623B9"/>
    <w:rsid w:val="00162D14"/>
    <w:rsid w:val="00163780"/>
    <w:rsid w:val="00165389"/>
    <w:rsid w:val="0017693F"/>
    <w:rsid w:val="0018110E"/>
    <w:rsid w:val="00181684"/>
    <w:rsid w:val="001843C6"/>
    <w:rsid w:val="001850E0"/>
    <w:rsid w:val="001A03AF"/>
    <w:rsid w:val="001A2158"/>
    <w:rsid w:val="001A525F"/>
    <w:rsid w:val="001B086B"/>
    <w:rsid w:val="001B09F9"/>
    <w:rsid w:val="001B5C90"/>
    <w:rsid w:val="001B6448"/>
    <w:rsid w:val="001C000A"/>
    <w:rsid w:val="001C32CD"/>
    <w:rsid w:val="001D2984"/>
    <w:rsid w:val="001E07CF"/>
    <w:rsid w:val="001E59F1"/>
    <w:rsid w:val="001F2CEE"/>
    <w:rsid w:val="001F49EB"/>
    <w:rsid w:val="001F4ACA"/>
    <w:rsid w:val="001F5F0E"/>
    <w:rsid w:val="001F6CBA"/>
    <w:rsid w:val="001F74CA"/>
    <w:rsid w:val="00201D4E"/>
    <w:rsid w:val="002076C9"/>
    <w:rsid w:val="00220B8A"/>
    <w:rsid w:val="002257F3"/>
    <w:rsid w:val="00225F3F"/>
    <w:rsid w:val="00233456"/>
    <w:rsid w:val="002339A5"/>
    <w:rsid w:val="00250271"/>
    <w:rsid w:val="00257848"/>
    <w:rsid w:val="002578E8"/>
    <w:rsid w:val="00261EFC"/>
    <w:rsid w:val="0027084A"/>
    <w:rsid w:val="00275A4D"/>
    <w:rsid w:val="00280265"/>
    <w:rsid w:val="00282E33"/>
    <w:rsid w:val="00284CE0"/>
    <w:rsid w:val="00286434"/>
    <w:rsid w:val="00286C59"/>
    <w:rsid w:val="00291957"/>
    <w:rsid w:val="002942D1"/>
    <w:rsid w:val="0029501A"/>
    <w:rsid w:val="00296656"/>
    <w:rsid w:val="002A3721"/>
    <w:rsid w:val="002A66C5"/>
    <w:rsid w:val="002B0A82"/>
    <w:rsid w:val="002B1638"/>
    <w:rsid w:val="002B3624"/>
    <w:rsid w:val="002B6F7F"/>
    <w:rsid w:val="002B70B6"/>
    <w:rsid w:val="002C5BFE"/>
    <w:rsid w:val="002D0952"/>
    <w:rsid w:val="002E40B3"/>
    <w:rsid w:val="002E45D8"/>
    <w:rsid w:val="002E4C9A"/>
    <w:rsid w:val="002E563E"/>
    <w:rsid w:val="002F11F8"/>
    <w:rsid w:val="002F3F56"/>
    <w:rsid w:val="002F44B5"/>
    <w:rsid w:val="002F5122"/>
    <w:rsid w:val="0031050D"/>
    <w:rsid w:val="00311AC0"/>
    <w:rsid w:val="00311D2A"/>
    <w:rsid w:val="003152A6"/>
    <w:rsid w:val="003176FC"/>
    <w:rsid w:val="00317797"/>
    <w:rsid w:val="00324E45"/>
    <w:rsid w:val="0032583B"/>
    <w:rsid w:val="00327883"/>
    <w:rsid w:val="00332CB1"/>
    <w:rsid w:val="00335504"/>
    <w:rsid w:val="00340C18"/>
    <w:rsid w:val="00340F44"/>
    <w:rsid w:val="003442FD"/>
    <w:rsid w:val="00347824"/>
    <w:rsid w:val="00350567"/>
    <w:rsid w:val="003521E8"/>
    <w:rsid w:val="00370CE3"/>
    <w:rsid w:val="003728F3"/>
    <w:rsid w:val="003735BC"/>
    <w:rsid w:val="0037496E"/>
    <w:rsid w:val="00383221"/>
    <w:rsid w:val="00386150"/>
    <w:rsid w:val="003874CE"/>
    <w:rsid w:val="00390900"/>
    <w:rsid w:val="00391692"/>
    <w:rsid w:val="003A7F6C"/>
    <w:rsid w:val="003B0EFA"/>
    <w:rsid w:val="003B4D60"/>
    <w:rsid w:val="003B7E39"/>
    <w:rsid w:val="003C58DC"/>
    <w:rsid w:val="003D1E62"/>
    <w:rsid w:val="003D241C"/>
    <w:rsid w:val="003E0B99"/>
    <w:rsid w:val="003E2486"/>
    <w:rsid w:val="003E3208"/>
    <w:rsid w:val="003F0B04"/>
    <w:rsid w:val="0040134E"/>
    <w:rsid w:val="0041131B"/>
    <w:rsid w:val="00417CDF"/>
    <w:rsid w:val="004334C7"/>
    <w:rsid w:val="004374CC"/>
    <w:rsid w:val="00440A2D"/>
    <w:rsid w:val="00441C3F"/>
    <w:rsid w:val="004444DA"/>
    <w:rsid w:val="00444D1A"/>
    <w:rsid w:val="00450C46"/>
    <w:rsid w:val="0045186A"/>
    <w:rsid w:val="004564A7"/>
    <w:rsid w:val="00456765"/>
    <w:rsid w:val="00460036"/>
    <w:rsid w:val="004617BF"/>
    <w:rsid w:val="00463658"/>
    <w:rsid w:val="004637A0"/>
    <w:rsid w:val="004722CC"/>
    <w:rsid w:val="00490483"/>
    <w:rsid w:val="004936E4"/>
    <w:rsid w:val="00494E60"/>
    <w:rsid w:val="00497487"/>
    <w:rsid w:val="004A2771"/>
    <w:rsid w:val="004A6189"/>
    <w:rsid w:val="004A7390"/>
    <w:rsid w:val="004B415A"/>
    <w:rsid w:val="004B7B76"/>
    <w:rsid w:val="004C239D"/>
    <w:rsid w:val="004C2DCA"/>
    <w:rsid w:val="004C4FBE"/>
    <w:rsid w:val="004C61D2"/>
    <w:rsid w:val="004F0C4A"/>
    <w:rsid w:val="004F0F38"/>
    <w:rsid w:val="004F47D6"/>
    <w:rsid w:val="00500337"/>
    <w:rsid w:val="00501921"/>
    <w:rsid w:val="005075EE"/>
    <w:rsid w:val="005252B2"/>
    <w:rsid w:val="00530354"/>
    <w:rsid w:val="0053625B"/>
    <w:rsid w:val="005434C6"/>
    <w:rsid w:val="00543B39"/>
    <w:rsid w:val="00546154"/>
    <w:rsid w:val="00550096"/>
    <w:rsid w:val="00555280"/>
    <w:rsid w:val="00557FF9"/>
    <w:rsid w:val="00562327"/>
    <w:rsid w:val="0056496C"/>
    <w:rsid w:val="005711D5"/>
    <w:rsid w:val="0057575D"/>
    <w:rsid w:val="00576378"/>
    <w:rsid w:val="00577130"/>
    <w:rsid w:val="00577945"/>
    <w:rsid w:val="00577E38"/>
    <w:rsid w:val="00585322"/>
    <w:rsid w:val="005857C6"/>
    <w:rsid w:val="0058663A"/>
    <w:rsid w:val="00592F6E"/>
    <w:rsid w:val="00593AD1"/>
    <w:rsid w:val="00597D55"/>
    <w:rsid w:val="005A68B6"/>
    <w:rsid w:val="005B0D17"/>
    <w:rsid w:val="005B3061"/>
    <w:rsid w:val="005C5570"/>
    <w:rsid w:val="005C5B66"/>
    <w:rsid w:val="005C79A4"/>
    <w:rsid w:val="005D5442"/>
    <w:rsid w:val="005F0266"/>
    <w:rsid w:val="005F30C3"/>
    <w:rsid w:val="00603F32"/>
    <w:rsid w:val="00605AD4"/>
    <w:rsid w:val="00612735"/>
    <w:rsid w:val="006136D7"/>
    <w:rsid w:val="00614169"/>
    <w:rsid w:val="00614949"/>
    <w:rsid w:val="00620DB9"/>
    <w:rsid w:val="00625A6E"/>
    <w:rsid w:val="00632398"/>
    <w:rsid w:val="006379F5"/>
    <w:rsid w:val="00640FC3"/>
    <w:rsid w:val="00642020"/>
    <w:rsid w:val="006430EE"/>
    <w:rsid w:val="0065337B"/>
    <w:rsid w:val="0065419D"/>
    <w:rsid w:val="006603BC"/>
    <w:rsid w:val="006604D8"/>
    <w:rsid w:val="00664A5B"/>
    <w:rsid w:val="0066735C"/>
    <w:rsid w:val="006763D2"/>
    <w:rsid w:val="00680C08"/>
    <w:rsid w:val="006916A0"/>
    <w:rsid w:val="006931B1"/>
    <w:rsid w:val="006A15C0"/>
    <w:rsid w:val="006A58A8"/>
    <w:rsid w:val="006A6BFB"/>
    <w:rsid w:val="006B381B"/>
    <w:rsid w:val="006C3E2A"/>
    <w:rsid w:val="006C642F"/>
    <w:rsid w:val="006D03E5"/>
    <w:rsid w:val="006D5D3E"/>
    <w:rsid w:val="006E08B3"/>
    <w:rsid w:val="006E2654"/>
    <w:rsid w:val="006E4823"/>
    <w:rsid w:val="006E6E7E"/>
    <w:rsid w:val="006F17AC"/>
    <w:rsid w:val="006F25B8"/>
    <w:rsid w:val="006F572E"/>
    <w:rsid w:val="007046D6"/>
    <w:rsid w:val="00705DB0"/>
    <w:rsid w:val="00720E19"/>
    <w:rsid w:val="00722B57"/>
    <w:rsid w:val="007266FD"/>
    <w:rsid w:val="00730F8A"/>
    <w:rsid w:val="00735A8C"/>
    <w:rsid w:val="0074253D"/>
    <w:rsid w:val="00744121"/>
    <w:rsid w:val="0074429B"/>
    <w:rsid w:val="00746946"/>
    <w:rsid w:val="0075669B"/>
    <w:rsid w:val="007615BC"/>
    <w:rsid w:val="00762F05"/>
    <w:rsid w:val="007652FF"/>
    <w:rsid w:val="00767542"/>
    <w:rsid w:val="00767D08"/>
    <w:rsid w:val="00770CAC"/>
    <w:rsid w:val="00770EF1"/>
    <w:rsid w:val="00773EF7"/>
    <w:rsid w:val="00774E1D"/>
    <w:rsid w:val="007765D8"/>
    <w:rsid w:val="0077675A"/>
    <w:rsid w:val="00780355"/>
    <w:rsid w:val="00780D13"/>
    <w:rsid w:val="007819FD"/>
    <w:rsid w:val="00783F95"/>
    <w:rsid w:val="00785717"/>
    <w:rsid w:val="00785721"/>
    <w:rsid w:val="00793A59"/>
    <w:rsid w:val="007A46F5"/>
    <w:rsid w:val="007A6505"/>
    <w:rsid w:val="007B6132"/>
    <w:rsid w:val="007B6E9F"/>
    <w:rsid w:val="007C1216"/>
    <w:rsid w:val="007C1AF7"/>
    <w:rsid w:val="007C5EF2"/>
    <w:rsid w:val="007C6B9B"/>
    <w:rsid w:val="007D53B6"/>
    <w:rsid w:val="007E38D8"/>
    <w:rsid w:val="008022EE"/>
    <w:rsid w:val="00805D27"/>
    <w:rsid w:val="00806DCB"/>
    <w:rsid w:val="00807869"/>
    <w:rsid w:val="00821776"/>
    <w:rsid w:val="008321F5"/>
    <w:rsid w:val="00832369"/>
    <w:rsid w:val="00834660"/>
    <w:rsid w:val="00834FAF"/>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B78B6"/>
    <w:rsid w:val="008C0A99"/>
    <w:rsid w:val="008C159F"/>
    <w:rsid w:val="008C1623"/>
    <w:rsid w:val="008C1850"/>
    <w:rsid w:val="008C51A9"/>
    <w:rsid w:val="008E7846"/>
    <w:rsid w:val="008F02E5"/>
    <w:rsid w:val="008F1CCC"/>
    <w:rsid w:val="008F2967"/>
    <w:rsid w:val="008F6943"/>
    <w:rsid w:val="00902A21"/>
    <w:rsid w:val="00910561"/>
    <w:rsid w:val="0091523F"/>
    <w:rsid w:val="00920330"/>
    <w:rsid w:val="009219D7"/>
    <w:rsid w:val="00922D53"/>
    <w:rsid w:val="00923B70"/>
    <w:rsid w:val="00924482"/>
    <w:rsid w:val="00930237"/>
    <w:rsid w:val="00937C17"/>
    <w:rsid w:val="00940A89"/>
    <w:rsid w:val="00941F77"/>
    <w:rsid w:val="00946EA5"/>
    <w:rsid w:val="0095713F"/>
    <w:rsid w:val="00960520"/>
    <w:rsid w:val="00963C08"/>
    <w:rsid w:val="009752A5"/>
    <w:rsid w:val="0098585A"/>
    <w:rsid w:val="009A10E7"/>
    <w:rsid w:val="009A4CED"/>
    <w:rsid w:val="009A690D"/>
    <w:rsid w:val="009B1D12"/>
    <w:rsid w:val="009B416B"/>
    <w:rsid w:val="009C4BD5"/>
    <w:rsid w:val="009D5749"/>
    <w:rsid w:val="009D7B77"/>
    <w:rsid w:val="009E0BB0"/>
    <w:rsid w:val="009E3FBB"/>
    <w:rsid w:val="009F7353"/>
    <w:rsid w:val="009F7C8F"/>
    <w:rsid w:val="00A01C3F"/>
    <w:rsid w:val="00A03DB5"/>
    <w:rsid w:val="00A04F85"/>
    <w:rsid w:val="00A05FA4"/>
    <w:rsid w:val="00A102E4"/>
    <w:rsid w:val="00A1219C"/>
    <w:rsid w:val="00A12C42"/>
    <w:rsid w:val="00A14DF7"/>
    <w:rsid w:val="00A22D57"/>
    <w:rsid w:val="00A22E8E"/>
    <w:rsid w:val="00A3246D"/>
    <w:rsid w:val="00A36FA7"/>
    <w:rsid w:val="00A44DDB"/>
    <w:rsid w:val="00A475B7"/>
    <w:rsid w:val="00A47AF7"/>
    <w:rsid w:val="00A47C3E"/>
    <w:rsid w:val="00A50226"/>
    <w:rsid w:val="00A60BAD"/>
    <w:rsid w:val="00A67C0D"/>
    <w:rsid w:val="00A77F87"/>
    <w:rsid w:val="00A80B5B"/>
    <w:rsid w:val="00A84E36"/>
    <w:rsid w:val="00A86397"/>
    <w:rsid w:val="00A964D1"/>
    <w:rsid w:val="00AA0ED0"/>
    <w:rsid w:val="00AC2B40"/>
    <w:rsid w:val="00AC2BB2"/>
    <w:rsid w:val="00AC2C3C"/>
    <w:rsid w:val="00AC2EF5"/>
    <w:rsid w:val="00AC512D"/>
    <w:rsid w:val="00AD0083"/>
    <w:rsid w:val="00AD3935"/>
    <w:rsid w:val="00AE2CE1"/>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6375F"/>
    <w:rsid w:val="00B64840"/>
    <w:rsid w:val="00B76B91"/>
    <w:rsid w:val="00B77EB1"/>
    <w:rsid w:val="00B811C6"/>
    <w:rsid w:val="00B855B0"/>
    <w:rsid w:val="00B92E08"/>
    <w:rsid w:val="00BA6D19"/>
    <w:rsid w:val="00BC622A"/>
    <w:rsid w:val="00BD1F85"/>
    <w:rsid w:val="00BE0A78"/>
    <w:rsid w:val="00BE79F0"/>
    <w:rsid w:val="00BF046D"/>
    <w:rsid w:val="00BF1190"/>
    <w:rsid w:val="00BF3774"/>
    <w:rsid w:val="00BF5D04"/>
    <w:rsid w:val="00C009AA"/>
    <w:rsid w:val="00C1164D"/>
    <w:rsid w:val="00C127CF"/>
    <w:rsid w:val="00C16861"/>
    <w:rsid w:val="00C20553"/>
    <w:rsid w:val="00C346AB"/>
    <w:rsid w:val="00C378D4"/>
    <w:rsid w:val="00C404A6"/>
    <w:rsid w:val="00C40A36"/>
    <w:rsid w:val="00C44419"/>
    <w:rsid w:val="00C45E7B"/>
    <w:rsid w:val="00C471B1"/>
    <w:rsid w:val="00C525A2"/>
    <w:rsid w:val="00C52E24"/>
    <w:rsid w:val="00C61BB9"/>
    <w:rsid w:val="00C6316B"/>
    <w:rsid w:val="00C634A9"/>
    <w:rsid w:val="00C63F1D"/>
    <w:rsid w:val="00C64586"/>
    <w:rsid w:val="00C70A36"/>
    <w:rsid w:val="00C70D53"/>
    <w:rsid w:val="00C73D0B"/>
    <w:rsid w:val="00C74F5C"/>
    <w:rsid w:val="00C75526"/>
    <w:rsid w:val="00C772FF"/>
    <w:rsid w:val="00C77A93"/>
    <w:rsid w:val="00C80137"/>
    <w:rsid w:val="00C801AF"/>
    <w:rsid w:val="00C80256"/>
    <w:rsid w:val="00C82904"/>
    <w:rsid w:val="00C84C9A"/>
    <w:rsid w:val="00C94CD4"/>
    <w:rsid w:val="00C9747E"/>
    <w:rsid w:val="00CB6BC0"/>
    <w:rsid w:val="00CC1B7C"/>
    <w:rsid w:val="00CC727F"/>
    <w:rsid w:val="00CF15C3"/>
    <w:rsid w:val="00CF2B6F"/>
    <w:rsid w:val="00CF2F3E"/>
    <w:rsid w:val="00CF58B6"/>
    <w:rsid w:val="00CF5DAD"/>
    <w:rsid w:val="00D0062D"/>
    <w:rsid w:val="00D017ED"/>
    <w:rsid w:val="00D040D3"/>
    <w:rsid w:val="00D04C65"/>
    <w:rsid w:val="00D12C8C"/>
    <w:rsid w:val="00D153D8"/>
    <w:rsid w:val="00D201D2"/>
    <w:rsid w:val="00D224FE"/>
    <w:rsid w:val="00D23139"/>
    <w:rsid w:val="00D425BB"/>
    <w:rsid w:val="00D453FA"/>
    <w:rsid w:val="00D6493E"/>
    <w:rsid w:val="00D7195D"/>
    <w:rsid w:val="00D7301E"/>
    <w:rsid w:val="00D74CC8"/>
    <w:rsid w:val="00D83AE1"/>
    <w:rsid w:val="00D855D4"/>
    <w:rsid w:val="00D902C9"/>
    <w:rsid w:val="00D93466"/>
    <w:rsid w:val="00DA1124"/>
    <w:rsid w:val="00DA64CB"/>
    <w:rsid w:val="00DA6A16"/>
    <w:rsid w:val="00DB06B8"/>
    <w:rsid w:val="00DB6124"/>
    <w:rsid w:val="00DB750B"/>
    <w:rsid w:val="00DB75B7"/>
    <w:rsid w:val="00DC0A2F"/>
    <w:rsid w:val="00DC1948"/>
    <w:rsid w:val="00DC6E02"/>
    <w:rsid w:val="00DD07FF"/>
    <w:rsid w:val="00DD28CD"/>
    <w:rsid w:val="00DE02AE"/>
    <w:rsid w:val="00DE1BB2"/>
    <w:rsid w:val="00DE39D1"/>
    <w:rsid w:val="00DF1D7F"/>
    <w:rsid w:val="00DF4BE4"/>
    <w:rsid w:val="00E02382"/>
    <w:rsid w:val="00E02FB4"/>
    <w:rsid w:val="00E13FC7"/>
    <w:rsid w:val="00E20571"/>
    <w:rsid w:val="00E21C39"/>
    <w:rsid w:val="00E235F7"/>
    <w:rsid w:val="00E23659"/>
    <w:rsid w:val="00E239D4"/>
    <w:rsid w:val="00E26130"/>
    <w:rsid w:val="00E33D42"/>
    <w:rsid w:val="00E40B22"/>
    <w:rsid w:val="00E44ED1"/>
    <w:rsid w:val="00E45619"/>
    <w:rsid w:val="00E4588F"/>
    <w:rsid w:val="00E46DA3"/>
    <w:rsid w:val="00E51BB1"/>
    <w:rsid w:val="00E55CB0"/>
    <w:rsid w:val="00E624A5"/>
    <w:rsid w:val="00E64BA4"/>
    <w:rsid w:val="00E7344E"/>
    <w:rsid w:val="00E82665"/>
    <w:rsid w:val="00EA5011"/>
    <w:rsid w:val="00EB0798"/>
    <w:rsid w:val="00EB40AD"/>
    <w:rsid w:val="00EB586E"/>
    <w:rsid w:val="00EB5FC8"/>
    <w:rsid w:val="00EC463D"/>
    <w:rsid w:val="00EC7A85"/>
    <w:rsid w:val="00ED2922"/>
    <w:rsid w:val="00ED3CAD"/>
    <w:rsid w:val="00ED5A41"/>
    <w:rsid w:val="00EE1DE8"/>
    <w:rsid w:val="00EE27C2"/>
    <w:rsid w:val="00EF1311"/>
    <w:rsid w:val="00EF4BAD"/>
    <w:rsid w:val="00EF59DC"/>
    <w:rsid w:val="00F033EC"/>
    <w:rsid w:val="00F04F68"/>
    <w:rsid w:val="00F12670"/>
    <w:rsid w:val="00F141FF"/>
    <w:rsid w:val="00F14B27"/>
    <w:rsid w:val="00F20E35"/>
    <w:rsid w:val="00F3148D"/>
    <w:rsid w:val="00F325C5"/>
    <w:rsid w:val="00F32FE0"/>
    <w:rsid w:val="00F35298"/>
    <w:rsid w:val="00F45745"/>
    <w:rsid w:val="00F47333"/>
    <w:rsid w:val="00F47E37"/>
    <w:rsid w:val="00F53C07"/>
    <w:rsid w:val="00F54B65"/>
    <w:rsid w:val="00F63DBF"/>
    <w:rsid w:val="00F640B6"/>
    <w:rsid w:val="00F66DF2"/>
    <w:rsid w:val="00F71298"/>
    <w:rsid w:val="00F80E40"/>
    <w:rsid w:val="00F848D9"/>
    <w:rsid w:val="00F957F3"/>
    <w:rsid w:val="00FA5069"/>
    <w:rsid w:val="00FA5B82"/>
    <w:rsid w:val="00FA639E"/>
    <w:rsid w:val="00FB369D"/>
    <w:rsid w:val="00FC19C1"/>
    <w:rsid w:val="00FC1FCA"/>
    <w:rsid w:val="00FC25E4"/>
    <w:rsid w:val="00FC4C1B"/>
    <w:rsid w:val="00FC4EF7"/>
    <w:rsid w:val="00FC51A0"/>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A253C2"/>
  <w15:docId w15:val="{2042EC39-956E-4462-AD9D-8C5D2BED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UnresolvedMention1">
    <w:name w:val="Unresolved Mention1"/>
    <w:basedOn w:val="DefaultParagraphFont"/>
    <w:uiPriority w:val="99"/>
    <w:semiHidden/>
    <w:unhideWhenUsed/>
    <w:rsid w:val="00FB369D"/>
    <w:rPr>
      <w:color w:val="605E5C"/>
      <w:shd w:val="clear" w:color="auto" w:fill="E1DFDD"/>
    </w:rPr>
  </w:style>
  <w:style w:type="paragraph" w:styleId="ListParagraph">
    <w:name w:val="List Paragraph"/>
    <w:aliases w:val="Requirement Para"/>
    <w:basedOn w:val="Normal"/>
    <w:uiPriority w:val="1"/>
    <w:qFormat/>
    <w:rsid w:val="00834FAF"/>
    <w:pPr>
      <w:adjustRightInd w:val="0"/>
      <w:snapToGrid w:val="0"/>
      <w:spacing w:before="180" w:after="180"/>
      <w:ind w:left="720"/>
      <w:contextualSpacing/>
    </w:pPr>
    <w:rPr>
      <w:rFonts w:eastAsia="MS Mincho"/>
      <w:szCs w:val="20"/>
      <w:lang w:eastAsia="ja-JP"/>
    </w:rPr>
  </w:style>
  <w:style w:type="paragraph" w:styleId="ListNumber">
    <w:name w:val="List Number"/>
    <w:basedOn w:val="ListParagraph"/>
    <w:uiPriority w:val="99"/>
    <w:unhideWhenUsed/>
    <w:rsid w:val="00834FAF"/>
    <w:pPr>
      <w:numPr>
        <w:numId w:val="33"/>
      </w:numPr>
      <w:adjustRightInd/>
      <w:snapToGrid/>
      <w:spacing w:before="0" w:after="120" w:line="240" w:lineRule="auto"/>
      <w:ind w:left="426" w:hanging="426"/>
    </w:pPr>
    <w:rPr>
      <w:rFonts w:asciiTheme="minorHAnsi" w:eastAsia="Times New Roman" w:hAnsiTheme="minorHAnsi"/>
      <w:b/>
      <w:szCs w:val="22"/>
      <w:lang w:eastAsia="en-AU"/>
    </w:rPr>
  </w:style>
  <w:style w:type="paragraph" w:customStyle="1" w:styleId="ReplaceMeText">
    <w:name w:val="Replace Me Text"/>
    <w:basedOn w:val="Normal"/>
    <w:next w:val="Normal"/>
    <w:link w:val="ReplaceMeTextChar"/>
    <w:qFormat/>
    <w:rsid w:val="00834FAF"/>
    <w:pPr>
      <w:spacing w:before="0" w:line="240" w:lineRule="auto"/>
    </w:pPr>
    <w:rPr>
      <w:rFonts w:eastAsia="Times New Roman"/>
      <w:snapToGrid w:val="0"/>
      <w:color w:val="CC00FF"/>
      <w:szCs w:val="20"/>
    </w:rPr>
  </w:style>
  <w:style w:type="character" w:customStyle="1" w:styleId="ReplaceMeTextChar">
    <w:name w:val="Replace Me Text Char"/>
    <w:link w:val="ReplaceMeText"/>
    <w:rsid w:val="00834FAF"/>
    <w:rPr>
      <w:rFonts w:ascii="Cambria" w:eastAsia="Times New Roman" w:hAnsi="Cambria" w:cs="Times New Roman"/>
      <w:snapToGrid w:val="0"/>
      <w:color w:val="CC00FF"/>
      <w:szCs w:val="20"/>
    </w:rPr>
  </w:style>
  <w:style w:type="paragraph" w:styleId="NormalWeb">
    <w:name w:val="Normal (Web)"/>
    <w:basedOn w:val="Normal"/>
    <w:uiPriority w:val="99"/>
    <w:unhideWhenUsed/>
    <w:rsid w:val="00F4574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ulletlist">
    <w:name w:val="Bullet list"/>
    <w:basedOn w:val="Normal"/>
    <w:link w:val="BulletlistChar"/>
    <w:qFormat/>
    <w:rsid w:val="00F45745"/>
    <w:pPr>
      <w:numPr>
        <w:numId w:val="35"/>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F45745"/>
    <w:rPr>
      <w:rFonts w:ascii="Cambria" w:eastAsia="Times New Roman" w:hAnsi="Cambria" w:cs="Times New Roman"/>
      <w:snapToGrid w:val="0"/>
      <w:kern w:val="2"/>
      <w:sz w:val="23"/>
    </w:rPr>
  </w:style>
  <w:style w:type="paragraph" w:customStyle="1" w:styleId="Standard">
    <w:name w:val="Standard"/>
    <w:basedOn w:val="Normal"/>
    <w:link w:val="StandardChar"/>
    <w:qFormat/>
    <w:rsid w:val="00F45745"/>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F45745"/>
    <w:rPr>
      <w:rFonts w:ascii="Cambria" w:eastAsia="Times New Roman" w:hAnsi="Cambria" w:cs="Times New Roman"/>
      <w:snapToGrid w:val="0"/>
      <w:kern w:val="16"/>
      <w:sz w:val="23"/>
      <w:szCs w:val="24"/>
    </w:rPr>
  </w:style>
  <w:style w:type="character" w:customStyle="1" w:styleId="TabletextChar">
    <w:name w:val="Table text Char"/>
    <w:basedOn w:val="StandardChar"/>
    <w:link w:val="Tabletext"/>
    <w:rsid w:val="00F45745"/>
    <w:rPr>
      <w:rFonts w:ascii="Cambria" w:eastAsia="Cambria" w:hAnsi="Cambria" w:cs="Times New Roman"/>
      <w:snapToGrid/>
      <w:kern w:val="16"/>
      <w:sz w:val="19"/>
      <w:szCs w:val="24"/>
    </w:rPr>
  </w:style>
  <w:style w:type="paragraph" w:customStyle="1" w:styleId="Default">
    <w:name w:val="Default"/>
    <w:rsid w:val="00091E7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F3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384007">
      <w:bodyDiv w:val="1"/>
      <w:marLeft w:val="0"/>
      <w:marRight w:val="0"/>
      <w:marTop w:val="0"/>
      <w:marBottom w:val="0"/>
      <w:divBdr>
        <w:top w:val="none" w:sz="0" w:space="0" w:color="auto"/>
        <w:left w:val="none" w:sz="0" w:space="0" w:color="auto"/>
        <w:bottom w:val="none" w:sz="0" w:space="0" w:color="auto"/>
        <w:right w:val="none" w:sz="0" w:space="0" w:color="auto"/>
      </w:divBdr>
    </w:div>
    <w:div w:id="13859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3.png"/><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ochemistry.Testing@health.gov.au" TargetMode="External"/><Relationship Id="rId20" Type="http://schemas.openxmlformats.org/officeDocument/2006/relationships/hyperlink" Target="https://www.tga.gov.au/industry/pm-argpm-guidance-7.htm"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ga.gov.au/industry/pm-argpm-guidance-7.htm"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tga.gov.au/ws-labs-index"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yperlink" Target="http://www.tga.gov.au/ws-labs-index" TargetMode="External"/><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committee/advisory-committee-medicines-acm" TargetMode="External"/><Relationship Id="rId1" Type="http://schemas.openxmlformats.org/officeDocument/2006/relationships/hyperlink" Target="https://www.tga.gov.au/therapeutic-goods-ord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9EB9-B253-479C-8E6F-BDA49406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31</Pages>
  <Words>10473</Words>
  <Characters>59702</Characters>
  <Application>Microsoft Office Word</Application>
  <DocSecurity>0</DocSecurity>
  <Lines>497</Lines>
  <Paragraphs>140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Australian public assessment report for Human fibrinogen / Human thrombin</vt:lpstr>
      <vt:lpstr>Australian public assessment report for</vt:lpstr>
    </vt:vector>
  </TitlesOfParts>
  <Company>Department of Health</Company>
  <LinksUpToDate>false</LinksUpToDate>
  <CharactersWithSpaces>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VeraSeal</dc:title>
  <dc:subject>prescription medicines</dc:subject>
  <dc:creator>Therapeutic Goods Administration</dc:creator>
  <cp:keywords>AusPARs</cp:keywords>
  <cp:lastModifiedBy>PITKIN, Brendan</cp:lastModifiedBy>
  <cp:revision>10</cp:revision>
  <cp:lastPrinted>2019-08-14T04:30:00Z</cp:lastPrinted>
  <dcterms:created xsi:type="dcterms:W3CDTF">2022-06-13T20:29:00Z</dcterms:created>
  <dcterms:modified xsi:type="dcterms:W3CDTF">2022-08-10T04:24:00Z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9d1dd0-1981-46f4-b248-f2e6e4f06076_Enabled">
    <vt:lpwstr>true</vt:lpwstr>
  </property>
  <property fmtid="{D5CDD505-2E9C-101B-9397-08002B2CF9AE}" pid="3" name="MSIP_Label_889d1dd0-1981-46f4-b248-f2e6e4f06076_SetDate">
    <vt:lpwstr>2022-05-24T15:16:12Z</vt:lpwstr>
  </property>
  <property fmtid="{D5CDD505-2E9C-101B-9397-08002B2CF9AE}" pid="4" name="MSIP_Label_889d1dd0-1981-46f4-b248-f2e6e4f06076_Method">
    <vt:lpwstr>Standard</vt:lpwstr>
  </property>
  <property fmtid="{D5CDD505-2E9C-101B-9397-08002B2CF9AE}" pid="5" name="MSIP_Label_889d1dd0-1981-46f4-b248-f2e6e4f06076_Name">
    <vt:lpwstr>Grifols</vt:lpwstr>
  </property>
  <property fmtid="{D5CDD505-2E9C-101B-9397-08002B2CF9AE}" pid="6" name="MSIP_Label_889d1dd0-1981-46f4-b248-f2e6e4f06076_SiteId">
    <vt:lpwstr>4956b16b-4326-4985-a909-b22eb2db5618</vt:lpwstr>
  </property>
  <property fmtid="{D5CDD505-2E9C-101B-9397-08002B2CF9AE}" pid="7" name="MSIP_Label_889d1dd0-1981-46f4-b248-f2e6e4f06076_ActionId">
    <vt:lpwstr>ae93c351-c06b-43de-92b9-f0efef0c3160</vt:lpwstr>
  </property>
  <property fmtid="{D5CDD505-2E9C-101B-9397-08002B2CF9AE}" pid="8" name="MSIP_Label_889d1dd0-1981-46f4-b248-f2e6e4f06076_ContentBits">
    <vt:lpwstr>0</vt:lpwstr>
  </property>
</Properties>
</file>