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0FB5111E" w14:textId="77777777" w:rsidTr="00ED0C8B">
        <w:tc>
          <w:tcPr>
            <w:tcW w:w="8720" w:type="dxa"/>
          </w:tcPr>
          <w:p w14:paraId="2E87181E" w14:textId="4CAF1993" w:rsidR="001D480A" w:rsidRPr="009401F6" w:rsidRDefault="00832C4E" w:rsidP="0094212E">
            <w:pPr>
              <w:pStyle w:val="Title"/>
            </w:pPr>
            <w:r>
              <w:t>Consultation</w:t>
            </w:r>
            <w:r w:rsidR="00434D12">
              <w:t xml:space="preserve"> on proposed </w:t>
            </w:r>
            <w:r w:rsidR="00BB657A">
              <w:t xml:space="preserve">regulatory </w:t>
            </w:r>
            <w:r w:rsidR="00434D12">
              <w:t xml:space="preserve">changes </w:t>
            </w:r>
            <w:r w:rsidR="00BB657A">
              <w:t>for</w:t>
            </w:r>
            <w:r w:rsidR="00434D12">
              <w:t xml:space="preserve"> clinical trials </w:t>
            </w:r>
            <w:r w:rsidR="00BB657A">
              <w:t>of</w:t>
            </w:r>
            <w:r w:rsidR="00434D12">
              <w:t xml:space="preserve"> medical device</w:t>
            </w:r>
            <w:r w:rsidR="00BB657A">
              <w:t>s</w:t>
            </w:r>
          </w:p>
        </w:tc>
      </w:tr>
      <w:tr w:rsidR="00ED0C8B" w:rsidRPr="009401F6" w14:paraId="2DBD4BB9" w14:textId="77777777" w:rsidTr="00ED0C8B">
        <w:tc>
          <w:tcPr>
            <w:tcW w:w="8720" w:type="dxa"/>
          </w:tcPr>
          <w:p w14:paraId="305E53B0" w14:textId="55E49A2F" w:rsidR="00ED0C8B" w:rsidRPr="009401F6" w:rsidRDefault="00B43FCC" w:rsidP="0088723B">
            <w:pPr>
              <w:pStyle w:val="Date"/>
              <w:spacing w:before="360"/>
              <w:rPr>
                <w:lang w:eastAsia="en-AU"/>
              </w:rPr>
            </w:pPr>
            <w:r>
              <w:rPr>
                <w:lang w:eastAsia="en-AU"/>
              </w:rPr>
              <w:t>August</w:t>
            </w:r>
            <w:r w:rsidR="00F3317D">
              <w:rPr>
                <w:lang w:eastAsia="en-AU"/>
              </w:rPr>
              <w:t xml:space="preserve"> </w:t>
            </w:r>
            <w:r w:rsidR="002768AC">
              <w:rPr>
                <w:lang w:eastAsia="en-AU"/>
              </w:rPr>
              <w:t>2022</w:t>
            </w:r>
          </w:p>
        </w:tc>
      </w:tr>
    </w:tbl>
    <w:p w14:paraId="520EC84E" w14:textId="77777777" w:rsidR="00BA6FF1" w:rsidRPr="009401F6" w:rsidRDefault="00BA6FF1" w:rsidP="007C7B5B">
      <w:pPr>
        <w:rPr>
          <w:lang w:eastAsia="en-AU"/>
        </w:rPr>
      </w:pPr>
    </w:p>
    <w:p w14:paraId="1C2738D9" w14:textId="77777777" w:rsidR="001D480A" w:rsidRPr="009401F6" w:rsidRDefault="001D480A" w:rsidP="0054583D">
      <w:pPr>
        <w:rPr>
          <w:lang w:eastAsia="en-AU"/>
        </w:rPr>
        <w:sectPr w:rsidR="001D480A" w:rsidRPr="009401F6" w:rsidSect="001825CB">
          <w:headerReference w:type="default" r:id="rId11"/>
          <w:footerReference w:type="default" r:id="rId12"/>
          <w:headerReference w:type="first" r:id="rId13"/>
          <w:footerReference w:type="first" r:id="rId14"/>
          <w:type w:val="continuous"/>
          <w:pgSz w:w="11906" w:h="16838" w:code="9"/>
          <w:pgMar w:top="6923" w:right="1418" w:bottom="709" w:left="1418" w:header="998" w:footer="188" w:gutter="0"/>
          <w:cols w:space="708"/>
          <w:titlePg/>
          <w:docGrid w:linePitch="360"/>
        </w:sectPr>
      </w:pPr>
    </w:p>
    <w:p w14:paraId="27BC8E83" w14:textId="77777777" w:rsidR="00BA6FF1" w:rsidRPr="005D4EA1" w:rsidRDefault="00BA6FF1" w:rsidP="00FE1941">
      <w:pPr>
        <w:pStyle w:val="LegalSubheading"/>
        <w:pageBreakBefore/>
      </w:pPr>
      <w:r w:rsidRPr="00691723">
        <w:lastRenderedPageBreak/>
        <w:t>Copyright</w:t>
      </w:r>
    </w:p>
    <w:p w14:paraId="07B3FB7B" w14:textId="266C1B4F" w:rsidR="00611B57" w:rsidRDefault="00EA453A" w:rsidP="00FE1941">
      <w:pPr>
        <w:pStyle w:val="LegalCopy"/>
        <w:spacing w:after="0"/>
      </w:pPr>
      <w:r w:rsidRPr="009401F6">
        <w:t>© Commonwealth of Australia 20</w:t>
      </w:r>
      <w:r w:rsidR="00434D12">
        <w:t>22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9401F6">
          <w:rPr>
            <w:rStyle w:val="Hyperlink"/>
            <w:rFonts w:cs="Arial"/>
          </w:rPr>
          <w:t>tga.copyright@tga.gov.au</w:t>
        </w:r>
      </w:hyperlink>
      <w:r w:rsidR="004169A8" w:rsidRPr="009401F6">
        <w:t>&gt;</w:t>
      </w:r>
    </w:p>
    <w:p w14:paraId="1EC34087" w14:textId="77777777" w:rsidR="008D2B09" w:rsidRPr="009401F6" w:rsidRDefault="008D2B09" w:rsidP="00477F9E">
      <w:pPr>
        <w:pStyle w:val="LegalSubheading"/>
        <w:spacing w:before="240"/>
      </w:pPr>
      <w:r w:rsidRPr="009401F6">
        <w:t>Confidentiality</w:t>
      </w:r>
    </w:p>
    <w:p w14:paraId="438F4047" w14:textId="45D0872A"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000F6737">
        <w:rPr>
          <w:lang w:eastAsia="en-AU"/>
        </w:rPr>
        <w:t>‘</w:t>
      </w:r>
      <w:r w:rsidRPr="00EB182C">
        <w:rPr>
          <w:lang w:eastAsia="en-AU"/>
        </w:rPr>
        <w:t>IN CONFIDENCE</w:t>
      </w:r>
      <w:r w:rsidR="000F6737">
        <w:rPr>
          <w:lang w:eastAsia="en-AU"/>
        </w:rPr>
        <w:t>’</w:t>
      </w:r>
      <w:r w:rsidRPr="00EB182C">
        <w:rPr>
          <w:lang w:eastAsia="en-AU"/>
        </w:rPr>
        <w:t>.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rPr>
          <w:rFonts w:ascii="Arial" w:hAnsi="Arial"/>
          <w:b/>
          <w:sz w:val="32"/>
        </w:rPr>
      </w:sdtEndPr>
      <w:sdtContent>
        <w:p w14:paraId="69A1B756" w14:textId="77777777" w:rsidR="00B92C72" w:rsidRPr="009401F6" w:rsidRDefault="00B92C72" w:rsidP="00B92C72">
          <w:pPr>
            <w:pStyle w:val="NonTOCheading2"/>
          </w:pPr>
          <w:r w:rsidRPr="009401F6">
            <w:t>Contents</w:t>
          </w:r>
        </w:p>
        <w:p w14:paraId="643D087C" w14:textId="0C9ADF7D" w:rsidR="00FA4D5F"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106811924" w:history="1">
            <w:r w:rsidR="00FA4D5F" w:rsidRPr="00060736">
              <w:rPr>
                <w:rStyle w:val="Hyperlink"/>
                <w:noProof/>
              </w:rPr>
              <w:t>Introduction</w:t>
            </w:r>
            <w:r w:rsidR="00FA4D5F">
              <w:rPr>
                <w:noProof/>
                <w:webHidden/>
              </w:rPr>
              <w:tab/>
            </w:r>
            <w:r w:rsidR="00FA4D5F">
              <w:rPr>
                <w:noProof/>
                <w:webHidden/>
              </w:rPr>
              <w:fldChar w:fldCharType="begin"/>
            </w:r>
            <w:r w:rsidR="00FA4D5F">
              <w:rPr>
                <w:noProof/>
                <w:webHidden/>
              </w:rPr>
              <w:instrText xml:space="preserve"> PAGEREF _Toc106811924 \h </w:instrText>
            </w:r>
            <w:r w:rsidR="00FA4D5F">
              <w:rPr>
                <w:noProof/>
                <w:webHidden/>
              </w:rPr>
            </w:r>
            <w:r w:rsidR="00FA4D5F">
              <w:rPr>
                <w:noProof/>
                <w:webHidden/>
              </w:rPr>
              <w:fldChar w:fldCharType="separate"/>
            </w:r>
            <w:r w:rsidR="00BE291A">
              <w:rPr>
                <w:noProof/>
                <w:webHidden/>
              </w:rPr>
              <w:t>4</w:t>
            </w:r>
            <w:r w:rsidR="00FA4D5F">
              <w:rPr>
                <w:noProof/>
                <w:webHidden/>
              </w:rPr>
              <w:fldChar w:fldCharType="end"/>
            </w:r>
          </w:hyperlink>
        </w:p>
        <w:p w14:paraId="147B5E3B" w14:textId="1A32AF9E" w:rsidR="00FA4D5F" w:rsidRDefault="00944BA6">
          <w:pPr>
            <w:pStyle w:val="TOC1"/>
            <w:rPr>
              <w:rFonts w:asciiTheme="minorHAnsi" w:eastAsiaTheme="minorEastAsia" w:hAnsiTheme="minorHAnsi" w:cstheme="minorBidi"/>
              <w:b w:val="0"/>
              <w:noProof/>
              <w:sz w:val="22"/>
              <w:szCs w:val="22"/>
              <w:lang w:eastAsia="en-AU"/>
            </w:rPr>
          </w:pPr>
          <w:hyperlink w:anchor="_Toc106811925" w:history="1">
            <w:r w:rsidR="00FA4D5F" w:rsidRPr="00060736">
              <w:rPr>
                <w:rStyle w:val="Hyperlink"/>
                <w:noProof/>
              </w:rPr>
              <w:t>Background</w:t>
            </w:r>
            <w:r w:rsidR="00FA4D5F">
              <w:rPr>
                <w:noProof/>
                <w:webHidden/>
              </w:rPr>
              <w:tab/>
            </w:r>
            <w:r w:rsidR="00FA4D5F">
              <w:rPr>
                <w:noProof/>
                <w:webHidden/>
              </w:rPr>
              <w:fldChar w:fldCharType="begin"/>
            </w:r>
            <w:r w:rsidR="00FA4D5F">
              <w:rPr>
                <w:noProof/>
                <w:webHidden/>
              </w:rPr>
              <w:instrText xml:space="preserve"> PAGEREF _Toc106811925 \h </w:instrText>
            </w:r>
            <w:r w:rsidR="00FA4D5F">
              <w:rPr>
                <w:noProof/>
                <w:webHidden/>
              </w:rPr>
            </w:r>
            <w:r w:rsidR="00FA4D5F">
              <w:rPr>
                <w:noProof/>
                <w:webHidden/>
              </w:rPr>
              <w:fldChar w:fldCharType="separate"/>
            </w:r>
            <w:r w:rsidR="00BE291A">
              <w:rPr>
                <w:noProof/>
                <w:webHidden/>
              </w:rPr>
              <w:t>4</w:t>
            </w:r>
            <w:r w:rsidR="00FA4D5F">
              <w:rPr>
                <w:noProof/>
                <w:webHidden/>
              </w:rPr>
              <w:fldChar w:fldCharType="end"/>
            </w:r>
          </w:hyperlink>
        </w:p>
        <w:p w14:paraId="5BDAC776" w14:textId="6E895D36" w:rsidR="00FA4D5F" w:rsidRDefault="00944BA6">
          <w:pPr>
            <w:pStyle w:val="TOC2"/>
            <w:rPr>
              <w:rFonts w:asciiTheme="minorHAnsi" w:eastAsiaTheme="minorEastAsia" w:hAnsiTheme="minorHAnsi" w:cstheme="minorBidi"/>
              <w:b w:val="0"/>
              <w:noProof/>
              <w:sz w:val="22"/>
              <w:szCs w:val="22"/>
              <w:lang w:eastAsia="en-AU"/>
            </w:rPr>
          </w:pPr>
          <w:hyperlink w:anchor="_Toc106811926" w:history="1">
            <w:r w:rsidR="00FA4D5F" w:rsidRPr="00060736">
              <w:rPr>
                <w:rStyle w:val="Hyperlink"/>
                <w:noProof/>
              </w:rPr>
              <w:t>Clinical trials regulation in Australia</w:t>
            </w:r>
            <w:r w:rsidR="00FA4D5F">
              <w:rPr>
                <w:noProof/>
                <w:webHidden/>
              </w:rPr>
              <w:tab/>
            </w:r>
            <w:r w:rsidR="00FA4D5F">
              <w:rPr>
                <w:noProof/>
                <w:webHidden/>
              </w:rPr>
              <w:fldChar w:fldCharType="begin"/>
            </w:r>
            <w:r w:rsidR="00FA4D5F">
              <w:rPr>
                <w:noProof/>
                <w:webHidden/>
              </w:rPr>
              <w:instrText xml:space="preserve"> PAGEREF _Toc106811926 \h </w:instrText>
            </w:r>
            <w:r w:rsidR="00FA4D5F">
              <w:rPr>
                <w:noProof/>
                <w:webHidden/>
              </w:rPr>
            </w:r>
            <w:r w:rsidR="00FA4D5F">
              <w:rPr>
                <w:noProof/>
                <w:webHidden/>
              </w:rPr>
              <w:fldChar w:fldCharType="separate"/>
            </w:r>
            <w:r w:rsidR="00BE291A">
              <w:rPr>
                <w:noProof/>
                <w:webHidden/>
              </w:rPr>
              <w:t>4</w:t>
            </w:r>
            <w:r w:rsidR="00FA4D5F">
              <w:rPr>
                <w:noProof/>
                <w:webHidden/>
              </w:rPr>
              <w:fldChar w:fldCharType="end"/>
            </w:r>
          </w:hyperlink>
        </w:p>
        <w:p w14:paraId="7322E563" w14:textId="4263259D" w:rsidR="00FA4D5F" w:rsidRDefault="00944BA6">
          <w:pPr>
            <w:pStyle w:val="TOC1"/>
            <w:rPr>
              <w:rFonts w:asciiTheme="minorHAnsi" w:eastAsiaTheme="minorEastAsia" w:hAnsiTheme="minorHAnsi" w:cstheme="minorBidi"/>
              <w:b w:val="0"/>
              <w:noProof/>
              <w:sz w:val="22"/>
              <w:szCs w:val="22"/>
              <w:lang w:eastAsia="en-AU"/>
            </w:rPr>
          </w:pPr>
          <w:hyperlink w:anchor="_Toc106811927" w:history="1">
            <w:r w:rsidR="00FA4D5F" w:rsidRPr="00060736">
              <w:rPr>
                <w:rStyle w:val="Hyperlink"/>
                <w:noProof/>
              </w:rPr>
              <w:t>Proposed changes</w:t>
            </w:r>
            <w:r w:rsidR="00FA4D5F">
              <w:rPr>
                <w:noProof/>
                <w:webHidden/>
              </w:rPr>
              <w:tab/>
            </w:r>
            <w:r w:rsidR="00FA4D5F">
              <w:rPr>
                <w:noProof/>
                <w:webHidden/>
              </w:rPr>
              <w:fldChar w:fldCharType="begin"/>
            </w:r>
            <w:r w:rsidR="00FA4D5F">
              <w:rPr>
                <w:noProof/>
                <w:webHidden/>
              </w:rPr>
              <w:instrText xml:space="preserve"> PAGEREF _Toc106811927 \h </w:instrText>
            </w:r>
            <w:r w:rsidR="00FA4D5F">
              <w:rPr>
                <w:noProof/>
                <w:webHidden/>
              </w:rPr>
            </w:r>
            <w:r w:rsidR="00FA4D5F">
              <w:rPr>
                <w:noProof/>
                <w:webHidden/>
              </w:rPr>
              <w:fldChar w:fldCharType="separate"/>
            </w:r>
            <w:r w:rsidR="00BE291A">
              <w:rPr>
                <w:noProof/>
                <w:webHidden/>
              </w:rPr>
              <w:t>6</w:t>
            </w:r>
            <w:r w:rsidR="00FA4D5F">
              <w:rPr>
                <w:noProof/>
                <w:webHidden/>
              </w:rPr>
              <w:fldChar w:fldCharType="end"/>
            </w:r>
          </w:hyperlink>
        </w:p>
        <w:p w14:paraId="1CC6F9E8" w14:textId="1553CAB8" w:rsidR="00FA4D5F" w:rsidRDefault="00944BA6">
          <w:pPr>
            <w:pStyle w:val="TOC2"/>
            <w:rPr>
              <w:rFonts w:asciiTheme="minorHAnsi" w:eastAsiaTheme="minorEastAsia" w:hAnsiTheme="minorHAnsi" w:cstheme="minorBidi"/>
              <w:b w:val="0"/>
              <w:noProof/>
              <w:sz w:val="22"/>
              <w:szCs w:val="22"/>
              <w:lang w:eastAsia="en-AU"/>
            </w:rPr>
          </w:pPr>
          <w:hyperlink w:anchor="_Toc106811928" w:history="1">
            <w:r w:rsidR="00FA4D5F" w:rsidRPr="00060736">
              <w:rPr>
                <w:rStyle w:val="Hyperlink"/>
                <w:noProof/>
              </w:rPr>
              <w:t>CTA approval for clinical trials of certain high-risk devices</w:t>
            </w:r>
            <w:r w:rsidR="00FA4D5F">
              <w:rPr>
                <w:noProof/>
                <w:webHidden/>
              </w:rPr>
              <w:tab/>
            </w:r>
            <w:r w:rsidR="00FA4D5F">
              <w:rPr>
                <w:noProof/>
                <w:webHidden/>
              </w:rPr>
              <w:fldChar w:fldCharType="begin"/>
            </w:r>
            <w:r w:rsidR="00FA4D5F">
              <w:rPr>
                <w:noProof/>
                <w:webHidden/>
              </w:rPr>
              <w:instrText xml:space="preserve"> PAGEREF _Toc106811928 \h </w:instrText>
            </w:r>
            <w:r w:rsidR="00FA4D5F">
              <w:rPr>
                <w:noProof/>
                <w:webHidden/>
              </w:rPr>
            </w:r>
            <w:r w:rsidR="00FA4D5F">
              <w:rPr>
                <w:noProof/>
                <w:webHidden/>
              </w:rPr>
              <w:fldChar w:fldCharType="separate"/>
            </w:r>
            <w:r w:rsidR="00BE291A">
              <w:rPr>
                <w:noProof/>
                <w:webHidden/>
              </w:rPr>
              <w:t>6</w:t>
            </w:r>
            <w:r w:rsidR="00FA4D5F">
              <w:rPr>
                <w:noProof/>
                <w:webHidden/>
              </w:rPr>
              <w:fldChar w:fldCharType="end"/>
            </w:r>
          </w:hyperlink>
        </w:p>
        <w:p w14:paraId="186E0556" w14:textId="7F6B530C" w:rsidR="00FA4D5F" w:rsidRDefault="00944BA6">
          <w:pPr>
            <w:pStyle w:val="TOC2"/>
            <w:rPr>
              <w:rFonts w:asciiTheme="minorHAnsi" w:eastAsiaTheme="minorEastAsia" w:hAnsiTheme="minorHAnsi" w:cstheme="minorBidi"/>
              <w:b w:val="0"/>
              <w:noProof/>
              <w:sz w:val="22"/>
              <w:szCs w:val="22"/>
              <w:lang w:eastAsia="en-AU"/>
            </w:rPr>
          </w:pPr>
          <w:hyperlink w:anchor="_Toc106811929" w:history="1">
            <w:r w:rsidR="00FA4D5F" w:rsidRPr="00060736">
              <w:rPr>
                <w:rStyle w:val="Hyperlink"/>
                <w:noProof/>
              </w:rPr>
              <w:t>Include medical devices in the GCP Inspection Program</w:t>
            </w:r>
            <w:r w:rsidR="00FA4D5F">
              <w:rPr>
                <w:noProof/>
                <w:webHidden/>
              </w:rPr>
              <w:tab/>
            </w:r>
            <w:r w:rsidR="00FA4D5F">
              <w:rPr>
                <w:noProof/>
                <w:webHidden/>
              </w:rPr>
              <w:fldChar w:fldCharType="begin"/>
            </w:r>
            <w:r w:rsidR="00FA4D5F">
              <w:rPr>
                <w:noProof/>
                <w:webHidden/>
              </w:rPr>
              <w:instrText xml:space="preserve"> PAGEREF _Toc106811929 \h </w:instrText>
            </w:r>
            <w:r w:rsidR="00FA4D5F">
              <w:rPr>
                <w:noProof/>
                <w:webHidden/>
              </w:rPr>
            </w:r>
            <w:r w:rsidR="00FA4D5F">
              <w:rPr>
                <w:noProof/>
                <w:webHidden/>
              </w:rPr>
              <w:fldChar w:fldCharType="separate"/>
            </w:r>
            <w:r w:rsidR="00BE291A">
              <w:rPr>
                <w:noProof/>
                <w:webHidden/>
              </w:rPr>
              <w:t>7</w:t>
            </w:r>
            <w:r w:rsidR="00FA4D5F">
              <w:rPr>
                <w:noProof/>
                <w:webHidden/>
              </w:rPr>
              <w:fldChar w:fldCharType="end"/>
            </w:r>
          </w:hyperlink>
        </w:p>
        <w:p w14:paraId="4FCF75BB" w14:textId="512B06BF" w:rsidR="00FA4D5F" w:rsidRDefault="00944BA6">
          <w:pPr>
            <w:pStyle w:val="TOC1"/>
            <w:rPr>
              <w:rFonts w:asciiTheme="minorHAnsi" w:eastAsiaTheme="minorEastAsia" w:hAnsiTheme="minorHAnsi" w:cstheme="minorBidi"/>
              <w:b w:val="0"/>
              <w:noProof/>
              <w:sz w:val="22"/>
              <w:szCs w:val="22"/>
              <w:lang w:eastAsia="en-AU"/>
            </w:rPr>
          </w:pPr>
          <w:hyperlink w:anchor="_Toc106811930" w:history="1">
            <w:r w:rsidR="00FA4D5F" w:rsidRPr="00060736">
              <w:rPr>
                <w:rStyle w:val="Hyperlink"/>
                <w:noProof/>
              </w:rPr>
              <w:t>Benefits of the proposed changes</w:t>
            </w:r>
            <w:r w:rsidR="00FA4D5F">
              <w:rPr>
                <w:noProof/>
                <w:webHidden/>
              </w:rPr>
              <w:tab/>
            </w:r>
            <w:r w:rsidR="00FA4D5F">
              <w:rPr>
                <w:noProof/>
                <w:webHidden/>
              </w:rPr>
              <w:fldChar w:fldCharType="begin"/>
            </w:r>
            <w:r w:rsidR="00FA4D5F">
              <w:rPr>
                <w:noProof/>
                <w:webHidden/>
              </w:rPr>
              <w:instrText xml:space="preserve"> PAGEREF _Toc106811930 \h </w:instrText>
            </w:r>
            <w:r w:rsidR="00FA4D5F">
              <w:rPr>
                <w:noProof/>
                <w:webHidden/>
              </w:rPr>
            </w:r>
            <w:r w:rsidR="00FA4D5F">
              <w:rPr>
                <w:noProof/>
                <w:webHidden/>
              </w:rPr>
              <w:fldChar w:fldCharType="separate"/>
            </w:r>
            <w:r w:rsidR="00BE291A">
              <w:rPr>
                <w:noProof/>
                <w:webHidden/>
              </w:rPr>
              <w:t>7</w:t>
            </w:r>
            <w:r w:rsidR="00FA4D5F">
              <w:rPr>
                <w:noProof/>
                <w:webHidden/>
              </w:rPr>
              <w:fldChar w:fldCharType="end"/>
            </w:r>
          </w:hyperlink>
        </w:p>
        <w:p w14:paraId="64E45754" w14:textId="31751414" w:rsidR="00FA4D5F" w:rsidRDefault="00944BA6">
          <w:pPr>
            <w:pStyle w:val="TOC1"/>
            <w:rPr>
              <w:rFonts w:asciiTheme="minorHAnsi" w:eastAsiaTheme="minorEastAsia" w:hAnsiTheme="minorHAnsi" w:cstheme="minorBidi"/>
              <w:b w:val="0"/>
              <w:noProof/>
              <w:sz w:val="22"/>
              <w:szCs w:val="22"/>
              <w:lang w:eastAsia="en-AU"/>
            </w:rPr>
          </w:pPr>
          <w:hyperlink w:anchor="_Toc106811931" w:history="1">
            <w:r w:rsidR="00FA4D5F" w:rsidRPr="00060736">
              <w:rPr>
                <w:rStyle w:val="Hyperlink"/>
                <w:noProof/>
              </w:rPr>
              <w:t>Your input is valuable to us</w:t>
            </w:r>
            <w:r w:rsidR="00FA4D5F">
              <w:rPr>
                <w:noProof/>
                <w:webHidden/>
              </w:rPr>
              <w:tab/>
            </w:r>
            <w:r w:rsidR="00FA4D5F">
              <w:rPr>
                <w:noProof/>
                <w:webHidden/>
              </w:rPr>
              <w:fldChar w:fldCharType="begin"/>
            </w:r>
            <w:r w:rsidR="00FA4D5F">
              <w:rPr>
                <w:noProof/>
                <w:webHidden/>
              </w:rPr>
              <w:instrText xml:space="preserve"> PAGEREF _Toc106811931 \h </w:instrText>
            </w:r>
            <w:r w:rsidR="00FA4D5F">
              <w:rPr>
                <w:noProof/>
                <w:webHidden/>
              </w:rPr>
            </w:r>
            <w:r w:rsidR="00FA4D5F">
              <w:rPr>
                <w:noProof/>
                <w:webHidden/>
              </w:rPr>
              <w:fldChar w:fldCharType="separate"/>
            </w:r>
            <w:r w:rsidR="00BE291A">
              <w:rPr>
                <w:noProof/>
                <w:webHidden/>
              </w:rPr>
              <w:t>8</w:t>
            </w:r>
            <w:r w:rsidR="00FA4D5F">
              <w:rPr>
                <w:noProof/>
                <w:webHidden/>
              </w:rPr>
              <w:fldChar w:fldCharType="end"/>
            </w:r>
          </w:hyperlink>
        </w:p>
        <w:p w14:paraId="26F72DE6" w14:textId="4B24B462" w:rsidR="00FA4D5F" w:rsidRDefault="00944BA6">
          <w:pPr>
            <w:pStyle w:val="TOC3"/>
            <w:rPr>
              <w:rFonts w:asciiTheme="minorHAnsi" w:eastAsiaTheme="minorEastAsia" w:hAnsiTheme="minorHAnsi" w:cstheme="minorBidi"/>
              <w:b w:val="0"/>
              <w:noProof/>
              <w:szCs w:val="22"/>
              <w:lang w:eastAsia="en-AU"/>
            </w:rPr>
          </w:pPr>
          <w:hyperlink w:anchor="_Toc106811932" w:history="1">
            <w:r w:rsidR="00FA4D5F" w:rsidRPr="00060736">
              <w:rPr>
                <w:rStyle w:val="Hyperlink"/>
                <w:noProof/>
              </w:rPr>
              <w:t>How to submit</w:t>
            </w:r>
            <w:r w:rsidR="00FA4D5F">
              <w:rPr>
                <w:noProof/>
                <w:webHidden/>
              </w:rPr>
              <w:tab/>
            </w:r>
            <w:r w:rsidR="00FA4D5F">
              <w:rPr>
                <w:noProof/>
                <w:webHidden/>
              </w:rPr>
              <w:fldChar w:fldCharType="begin"/>
            </w:r>
            <w:r w:rsidR="00FA4D5F">
              <w:rPr>
                <w:noProof/>
                <w:webHidden/>
              </w:rPr>
              <w:instrText xml:space="preserve"> PAGEREF _Toc106811932 \h </w:instrText>
            </w:r>
            <w:r w:rsidR="00FA4D5F">
              <w:rPr>
                <w:noProof/>
                <w:webHidden/>
              </w:rPr>
            </w:r>
            <w:r w:rsidR="00FA4D5F">
              <w:rPr>
                <w:noProof/>
                <w:webHidden/>
              </w:rPr>
              <w:fldChar w:fldCharType="separate"/>
            </w:r>
            <w:r w:rsidR="00BE291A">
              <w:rPr>
                <w:noProof/>
                <w:webHidden/>
              </w:rPr>
              <w:t>8</w:t>
            </w:r>
            <w:r w:rsidR="00FA4D5F">
              <w:rPr>
                <w:noProof/>
                <w:webHidden/>
              </w:rPr>
              <w:fldChar w:fldCharType="end"/>
            </w:r>
          </w:hyperlink>
        </w:p>
        <w:p w14:paraId="73A8981C" w14:textId="58700373" w:rsidR="00FA4D5F" w:rsidRDefault="00944BA6">
          <w:pPr>
            <w:pStyle w:val="TOC3"/>
            <w:rPr>
              <w:rFonts w:asciiTheme="minorHAnsi" w:eastAsiaTheme="minorEastAsia" w:hAnsiTheme="minorHAnsi" w:cstheme="minorBidi"/>
              <w:b w:val="0"/>
              <w:noProof/>
              <w:szCs w:val="22"/>
              <w:lang w:eastAsia="en-AU"/>
            </w:rPr>
          </w:pPr>
          <w:hyperlink w:anchor="_Toc106811933" w:history="1">
            <w:r w:rsidR="00FA4D5F" w:rsidRPr="00060736">
              <w:rPr>
                <w:rStyle w:val="Hyperlink"/>
                <w:noProof/>
              </w:rPr>
              <w:t>Enquiries</w:t>
            </w:r>
            <w:r w:rsidR="00FA4D5F">
              <w:rPr>
                <w:noProof/>
                <w:webHidden/>
              </w:rPr>
              <w:tab/>
            </w:r>
            <w:r w:rsidR="00FA4D5F">
              <w:rPr>
                <w:noProof/>
                <w:webHidden/>
              </w:rPr>
              <w:fldChar w:fldCharType="begin"/>
            </w:r>
            <w:r w:rsidR="00FA4D5F">
              <w:rPr>
                <w:noProof/>
                <w:webHidden/>
              </w:rPr>
              <w:instrText xml:space="preserve"> PAGEREF _Toc106811933 \h </w:instrText>
            </w:r>
            <w:r w:rsidR="00FA4D5F">
              <w:rPr>
                <w:noProof/>
                <w:webHidden/>
              </w:rPr>
            </w:r>
            <w:r w:rsidR="00FA4D5F">
              <w:rPr>
                <w:noProof/>
                <w:webHidden/>
              </w:rPr>
              <w:fldChar w:fldCharType="separate"/>
            </w:r>
            <w:r w:rsidR="00BE291A">
              <w:rPr>
                <w:noProof/>
                <w:webHidden/>
              </w:rPr>
              <w:t>8</w:t>
            </w:r>
            <w:r w:rsidR="00FA4D5F">
              <w:rPr>
                <w:noProof/>
                <w:webHidden/>
              </w:rPr>
              <w:fldChar w:fldCharType="end"/>
            </w:r>
          </w:hyperlink>
        </w:p>
        <w:p w14:paraId="77B49285" w14:textId="0273A741" w:rsidR="00B92C72" w:rsidRPr="00223D95" w:rsidRDefault="006C626D" w:rsidP="00223D95">
          <w:pPr>
            <w:pStyle w:val="TOC1"/>
            <w:rPr>
              <w:rFonts w:asciiTheme="minorHAnsi" w:eastAsiaTheme="minorEastAsia" w:hAnsiTheme="minorHAnsi" w:cstheme="minorBidi"/>
              <w:b w:val="0"/>
              <w:noProof/>
              <w:sz w:val="22"/>
              <w:szCs w:val="22"/>
              <w:lang w:eastAsia="en-AU"/>
            </w:rPr>
          </w:pPr>
          <w:r w:rsidRPr="009401F6">
            <w:fldChar w:fldCharType="end"/>
          </w:r>
        </w:p>
      </w:sdtContent>
    </w:sdt>
    <w:p w14:paraId="6565FA9D" w14:textId="3A811FAA" w:rsidR="001825CB" w:rsidRDefault="001825CB">
      <w:pPr>
        <w:spacing w:before="0" w:after="0" w:line="240" w:lineRule="auto"/>
        <w:rPr>
          <w:rFonts w:ascii="Arial" w:eastAsia="Times New Roman" w:hAnsi="Arial"/>
          <w:b/>
          <w:bCs/>
          <w:sz w:val="38"/>
          <w:szCs w:val="38"/>
        </w:rPr>
      </w:pPr>
      <w:bookmarkStart w:id="1" w:name="_Toc356305156"/>
      <w:r>
        <w:br w:type="page"/>
      </w:r>
    </w:p>
    <w:p w14:paraId="57912DC4" w14:textId="77777777" w:rsidR="001B6BBF" w:rsidRDefault="001B6BBF" w:rsidP="001B6BBF">
      <w:pPr>
        <w:pStyle w:val="Heading2"/>
      </w:pPr>
      <w:bookmarkStart w:id="2" w:name="_Toc106811800"/>
      <w:bookmarkStart w:id="3" w:name="_Toc106811924"/>
      <w:r>
        <w:lastRenderedPageBreak/>
        <w:t>Introduction</w:t>
      </w:r>
      <w:bookmarkEnd w:id="2"/>
      <w:bookmarkEnd w:id="3"/>
    </w:p>
    <w:p w14:paraId="195D9FE8" w14:textId="1BDABB89" w:rsidR="003B0AB7" w:rsidRDefault="00434D12" w:rsidP="00E45B9F">
      <w:r w:rsidRPr="00434D12">
        <w:t xml:space="preserve">The Australian Government is undertaking a program of reform to improve the safety, </w:t>
      </w:r>
      <w:r w:rsidR="00157F0B" w:rsidRPr="00434D12">
        <w:t>performance,</w:t>
      </w:r>
      <w:r w:rsidRPr="00434D12">
        <w:t xml:space="preserve"> and quality of medical devices in Australia and improve health outcomes </w:t>
      </w:r>
      <w:r w:rsidR="00931AD9">
        <w:t xml:space="preserve">and confidence in products </w:t>
      </w:r>
      <w:r w:rsidRPr="00434D12">
        <w:t xml:space="preserve">for </w:t>
      </w:r>
      <w:r w:rsidR="00931AD9">
        <w:t xml:space="preserve">those </w:t>
      </w:r>
      <w:r w:rsidRPr="00434D12">
        <w:t>patients who require medical devices. As part of the Australian Government Department of Health</w:t>
      </w:r>
      <w:r w:rsidR="006E2080">
        <w:t xml:space="preserve"> and Aged Care</w:t>
      </w:r>
      <w:r w:rsidRPr="00434D12">
        <w:t xml:space="preserve">, the Therapeutic Goods Administration (TGA) regulates therapeutic goods and is responsible for implementing </w:t>
      </w:r>
      <w:r w:rsidR="003B0AB7">
        <w:t>these</w:t>
      </w:r>
      <w:r w:rsidR="003B0AB7" w:rsidRPr="00434D12">
        <w:t xml:space="preserve"> </w:t>
      </w:r>
      <w:r w:rsidRPr="00434D12">
        <w:t xml:space="preserve">reforms. </w:t>
      </w:r>
    </w:p>
    <w:p w14:paraId="59AF858D" w14:textId="15B50A38" w:rsidR="00434D12" w:rsidRDefault="003B0AB7" w:rsidP="00E45B9F">
      <w:r>
        <w:t xml:space="preserve">As part of this reform program, the TGA </w:t>
      </w:r>
      <w:r w:rsidR="00931AD9">
        <w:t>wishes to consult on two approaches that would strengthen safety oversight</w:t>
      </w:r>
      <w:r w:rsidR="00B17C6E">
        <w:t xml:space="preserve"> of clinical trials for medical devices</w:t>
      </w:r>
      <w:r w:rsidR="003F0623">
        <w:t>:</w:t>
      </w:r>
      <w:r w:rsidR="00B17C6E" w:rsidRPr="00B17C6E">
        <w:t xml:space="preserve"> </w:t>
      </w:r>
    </w:p>
    <w:p w14:paraId="3FCB4202" w14:textId="3B2FF1F8" w:rsidR="003F0623" w:rsidRDefault="003F0623" w:rsidP="00675C03">
      <w:pPr>
        <w:pStyle w:val="Numberbullet0"/>
      </w:pPr>
      <w:r>
        <w:t>To</w:t>
      </w:r>
      <w:r w:rsidR="00F51759">
        <w:t xml:space="preserve"> </w:t>
      </w:r>
      <w:r>
        <w:t>increase the degree of regulatory oversight of clinical trials of</w:t>
      </w:r>
      <w:r w:rsidR="00931AD9">
        <w:t xml:space="preserve"> certain</w:t>
      </w:r>
      <w:r>
        <w:t xml:space="preserve"> </w:t>
      </w:r>
      <w:r w:rsidRPr="00C84E25">
        <w:rPr>
          <w:b/>
          <w:bCs/>
        </w:rPr>
        <w:t>unapproved,</w:t>
      </w:r>
      <w:r>
        <w:t xml:space="preserve"> </w:t>
      </w:r>
      <w:r w:rsidRPr="00C84E25">
        <w:rPr>
          <w:b/>
          <w:bCs/>
        </w:rPr>
        <w:t>high-risk medical devices</w:t>
      </w:r>
      <w:r>
        <w:t xml:space="preserve">. </w:t>
      </w:r>
    </w:p>
    <w:p w14:paraId="763DC14C" w14:textId="5D55BAA4" w:rsidR="00F51759" w:rsidRDefault="003F0623" w:rsidP="00675C03">
      <w:pPr>
        <w:pStyle w:val="Numberbullet0"/>
      </w:pPr>
      <w:r>
        <w:t>To include</w:t>
      </w:r>
      <w:r w:rsidR="00967B9F">
        <w:t xml:space="preserve"> clinical trials of</w:t>
      </w:r>
      <w:r>
        <w:t xml:space="preserve"> </w:t>
      </w:r>
      <w:r w:rsidR="007D0885" w:rsidRPr="00C84E25">
        <w:rPr>
          <w:b/>
          <w:bCs/>
        </w:rPr>
        <w:t>all</w:t>
      </w:r>
      <w:r w:rsidR="007D0885">
        <w:t xml:space="preserve"> </w:t>
      </w:r>
      <w:r>
        <w:t xml:space="preserve">medical devices in </w:t>
      </w:r>
      <w:r w:rsidR="00B107A8" w:rsidRPr="001825CB">
        <w:rPr>
          <w:b/>
          <w:bCs/>
        </w:rPr>
        <w:t>Australia’s</w:t>
      </w:r>
      <w:r w:rsidRPr="001825CB">
        <w:rPr>
          <w:b/>
          <w:bCs/>
        </w:rPr>
        <w:t xml:space="preserve"> Good Clinical Practice </w:t>
      </w:r>
      <w:r w:rsidR="00B107A8" w:rsidRPr="001825CB">
        <w:rPr>
          <w:b/>
          <w:bCs/>
        </w:rPr>
        <w:t>I</w:t>
      </w:r>
      <w:r w:rsidRPr="001825CB">
        <w:rPr>
          <w:b/>
          <w:bCs/>
        </w:rPr>
        <w:t xml:space="preserve">nspection </w:t>
      </w:r>
      <w:r w:rsidR="00B107A8" w:rsidRPr="001825CB">
        <w:rPr>
          <w:b/>
          <w:bCs/>
        </w:rPr>
        <w:t>P</w:t>
      </w:r>
      <w:r w:rsidRPr="001825CB">
        <w:rPr>
          <w:b/>
          <w:bCs/>
        </w:rPr>
        <w:t>rogram</w:t>
      </w:r>
      <w:r w:rsidR="004103E9" w:rsidRPr="001825CB">
        <w:rPr>
          <w:b/>
          <w:bCs/>
        </w:rPr>
        <w:t xml:space="preserve"> </w:t>
      </w:r>
      <w:r w:rsidR="004103E9">
        <w:t>(</w:t>
      </w:r>
      <w:r w:rsidR="00931AD9">
        <w:t>to enable selected trials and documentation supporting these tri</w:t>
      </w:r>
      <w:r w:rsidR="00EC00E1">
        <w:t>a</w:t>
      </w:r>
      <w:r w:rsidR="00931AD9">
        <w:t>ls to be inspected</w:t>
      </w:r>
      <w:r w:rsidR="004103E9">
        <w:t>)</w:t>
      </w:r>
      <w:r>
        <w:t xml:space="preserve">. </w:t>
      </w:r>
    </w:p>
    <w:p w14:paraId="65D65BC7" w14:textId="3CE61D8A" w:rsidR="003F0623" w:rsidRPr="00BC7A17" w:rsidRDefault="003F0623" w:rsidP="000F6737">
      <w:pPr>
        <w:spacing w:after="120"/>
      </w:pPr>
      <w:r>
        <w:t xml:space="preserve">This consultation paper outlines the </w:t>
      </w:r>
      <w:r w:rsidR="00EC00E1">
        <w:t xml:space="preserve">two </w:t>
      </w:r>
      <w:r w:rsidR="00931AD9">
        <w:t xml:space="preserve">potential </w:t>
      </w:r>
      <w:r>
        <w:t>changes and seeks f</w:t>
      </w:r>
      <w:r w:rsidRPr="00B17C6E">
        <w:t xml:space="preserve">eedback </w:t>
      </w:r>
      <w:r>
        <w:t>to</w:t>
      </w:r>
      <w:r w:rsidRPr="00B17C6E">
        <w:t xml:space="preserve"> inform </w:t>
      </w:r>
      <w:r>
        <w:t>improvements</w:t>
      </w:r>
      <w:r w:rsidRPr="00B17C6E">
        <w:t xml:space="preserve"> to the regulatory framework.</w:t>
      </w:r>
    </w:p>
    <w:p w14:paraId="0CFA9466" w14:textId="447C30EE" w:rsidR="005772B6" w:rsidRDefault="005772B6" w:rsidP="006218C7">
      <w:pPr>
        <w:pStyle w:val="Heading2"/>
      </w:pPr>
      <w:bookmarkStart w:id="4" w:name="_Toc106811801"/>
      <w:bookmarkStart w:id="5" w:name="_Toc106811925"/>
      <w:r>
        <w:t>Background</w:t>
      </w:r>
      <w:bookmarkEnd w:id="4"/>
      <w:bookmarkEnd w:id="5"/>
    </w:p>
    <w:p w14:paraId="041BC089" w14:textId="113F1387" w:rsidR="001B6BBF" w:rsidRPr="006218C7" w:rsidRDefault="00D62B76" w:rsidP="000F6737">
      <w:pPr>
        <w:pStyle w:val="Heading3"/>
        <w:spacing w:before="300"/>
      </w:pPr>
      <w:bookmarkStart w:id="6" w:name="_Toc106811802"/>
      <w:bookmarkStart w:id="7" w:name="_Toc106811926"/>
      <w:r>
        <w:t xml:space="preserve">Clinical </w:t>
      </w:r>
      <w:r w:rsidR="00D0020C">
        <w:t xml:space="preserve">trials regulation </w:t>
      </w:r>
      <w:r>
        <w:t>in Australia</w:t>
      </w:r>
      <w:bookmarkEnd w:id="6"/>
      <w:bookmarkEnd w:id="7"/>
    </w:p>
    <w:p w14:paraId="0414C571" w14:textId="245CDE77" w:rsidR="0027590C" w:rsidRDefault="004B4C29" w:rsidP="00613ED7">
      <w:pPr>
        <w:rPr>
          <w:rFonts w:asciiTheme="minorHAnsi" w:hAnsiTheme="minorHAnsi"/>
          <w:color w:val="000000"/>
          <w:szCs w:val="22"/>
        </w:rPr>
      </w:pPr>
      <w:r w:rsidRPr="004B4C29">
        <w:rPr>
          <w:rFonts w:asciiTheme="minorHAnsi" w:hAnsiTheme="minorHAnsi"/>
          <w:color w:val="000000"/>
          <w:szCs w:val="22"/>
        </w:rPr>
        <w:t xml:space="preserve">Clinical trials </w:t>
      </w:r>
      <w:r w:rsidR="00B47BC3">
        <w:rPr>
          <w:rFonts w:asciiTheme="minorHAnsi" w:hAnsiTheme="minorHAnsi"/>
          <w:color w:val="000000"/>
          <w:szCs w:val="22"/>
        </w:rPr>
        <w:t xml:space="preserve">greatly </w:t>
      </w:r>
      <w:r w:rsidRPr="004B4C29">
        <w:rPr>
          <w:rFonts w:asciiTheme="minorHAnsi" w:hAnsiTheme="minorHAnsi"/>
          <w:color w:val="000000"/>
          <w:szCs w:val="22"/>
        </w:rPr>
        <w:t xml:space="preserve">benefit patients, advance medical knowledge and are estimated to be worth around $1 billion to the Australian economy each year. </w:t>
      </w:r>
      <w:r w:rsidR="00F8797B" w:rsidRPr="00F8797B">
        <w:rPr>
          <w:rFonts w:asciiTheme="minorHAnsi" w:hAnsiTheme="minorHAnsi"/>
          <w:color w:val="000000"/>
          <w:szCs w:val="22"/>
        </w:rPr>
        <w:t>The environment in which clinical trials are conducted is complex, often occurring across multiple jurisdictions and with every study needing ethics and governance approvals before it can commence.</w:t>
      </w:r>
      <w:r w:rsidR="004C659F" w:rsidRPr="00D278F6">
        <w:rPr>
          <w:rFonts w:asciiTheme="minorHAnsi" w:hAnsiTheme="minorHAnsi"/>
          <w:color w:val="000000"/>
          <w:szCs w:val="22"/>
        </w:rPr>
        <w:t xml:space="preserve"> </w:t>
      </w:r>
    </w:p>
    <w:p w14:paraId="059F5588" w14:textId="1FC0B168" w:rsidR="000F7C29" w:rsidRPr="00D278F6" w:rsidRDefault="00880A50" w:rsidP="00613ED7">
      <w:pPr>
        <w:rPr>
          <w:rFonts w:asciiTheme="minorHAnsi" w:hAnsiTheme="minorHAnsi" w:cstheme="majorHAnsi"/>
          <w:szCs w:val="22"/>
        </w:rPr>
      </w:pPr>
      <w:r>
        <w:rPr>
          <w:rFonts w:asciiTheme="minorHAnsi" w:hAnsiTheme="minorHAnsi"/>
          <w:color w:val="000000"/>
          <w:szCs w:val="22"/>
        </w:rPr>
        <w:t>Within this framework, t</w:t>
      </w:r>
      <w:r w:rsidR="00655AF7">
        <w:rPr>
          <w:rFonts w:asciiTheme="minorHAnsi" w:hAnsiTheme="minorHAnsi"/>
          <w:color w:val="000000"/>
          <w:szCs w:val="22"/>
        </w:rPr>
        <w:t xml:space="preserve">he </w:t>
      </w:r>
      <w:r w:rsidR="004C659F" w:rsidRPr="00D278F6">
        <w:rPr>
          <w:rFonts w:asciiTheme="minorHAnsi" w:hAnsiTheme="minorHAnsi" w:cstheme="majorHAnsi"/>
          <w:szCs w:val="22"/>
        </w:rPr>
        <w:t xml:space="preserve">TGA is responsible for regulation of import, export and/or supply of </w:t>
      </w:r>
      <w:r w:rsidR="004C659F" w:rsidRPr="00E86A5B">
        <w:rPr>
          <w:rFonts w:asciiTheme="minorHAnsi" w:hAnsiTheme="minorHAnsi" w:cstheme="majorHAnsi"/>
          <w:szCs w:val="22"/>
        </w:rPr>
        <w:t xml:space="preserve">medical devices for use in clinical trials in Australia under the </w:t>
      </w:r>
      <w:hyperlink r:id="rId16" w:history="1">
        <w:r w:rsidR="004C659F" w:rsidRPr="00E86A5B">
          <w:rPr>
            <w:rStyle w:val="Hyperlink"/>
            <w:rFonts w:asciiTheme="minorHAnsi" w:hAnsiTheme="minorHAnsi" w:cstheme="majorHAnsi"/>
            <w:szCs w:val="22"/>
          </w:rPr>
          <w:t>therapeutic goods legislation</w:t>
        </w:r>
      </w:hyperlink>
      <w:r w:rsidR="004C659F" w:rsidRPr="00E86A5B">
        <w:rPr>
          <w:rStyle w:val="FootnoteReference"/>
          <w:rFonts w:asciiTheme="minorHAnsi" w:hAnsiTheme="minorHAnsi" w:cstheme="majorHAnsi"/>
          <w:szCs w:val="22"/>
        </w:rPr>
        <w:footnoteReference w:id="1"/>
      </w:r>
      <w:r w:rsidR="004C659F" w:rsidRPr="00E86A5B">
        <w:rPr>
          <w:rFonts w:asciiTheme="minorHAnsi" w:hAnsiTheme="minorHAnsi" w:cstheme="majorHAnsi"/>
          <w:szCs w:val="22"/>
        </w:rPr>
        <w:t>.</w:t>
      </w:r>
      <w:r w:rsidR="00BA4662">
        <w:rPr>
          <w:rFonts w:asciiTheme="minorHAnsi" w:hAnsiTheme="minorHAnsi"/>
          <w:color w:val="000000"/>
          <w:szCs w:val="22"/>
        </w:rPr>
        <w:t xml:space="preserve"> </w:t>
      </w:r>
      <w:r>
        <w:rPr>
          <w:rFonts w:asciiTheme="minorHAnsi" w:hAnsiTheme="minorHAnsi"/>
          <w:color w:val="000000"/>
          <w:szCs w:val="22"/>
        </w:rPr>
        <w:t>There are</w:t>
      </w:r>
      <w:r w:rsidR="00BA4662">
        <w:rPr>
          <w:rFonts w:asciiTheme="minorHAnsi" w:hAnsiTheme="minorHAnsi"/>
          <w:color w:val="000000"/>
          <w:szCs w:val="22"/>
        </w:rPr>
        <w:t xml:space="preserve"> </w:t>
      </w:r>
      <w:r w:rsidR="00B17C6E">
        <w:rPr>
          <w:rFonts w:asciiTheme="minorHAnsi" w:hAnsiTheme="minorHAnsi"/>
          <w:color w:val="000000"/>
          <w:szCs w:val="22"/>
        </w:rPr>
        <w:t xml:space="preserve">two </w:t>
      </w:r>
      <w:r w:rsidR="00BA4662">
        <w:rPr>
          <w:rFonts w:asciiTheme="minorHAnsi" w:hAnsiTheme="minorHAnsi"/>
          <w:color w:val="000000"/>
          <w:szCs w:val="22"/>
        </w:rPr>
        <w:t xml:space="preserve">pathways </w:t>
      </w:r>
      <w:r>
        <w:rPr>
          <w:rFonts w:asciiTheme="minorHAnsi" w:hAnsiTheme="minorHAnsi"/>
          <w:color w:val="000000"/>
          <w:szCs w:val="22"/>
        </w:rPr>
        <w:t xml:space="preserve">administered by the TGA </w:t>
      </w:r>
      <w:r w:rsidR="00AC3EE4">
        <w:rPr>
          <w:rFonts w:asciiTheme="minorHAnsi" w:hAnsiTheme="minorHAnsi"/>
          <w:color w:val="000000"/>
          <w:szCs w:val="22"/>
        </w:rPr>
        <w:t>that</w:t>
      </w:r>
      <w:r w:rsidR="00BA4662">
        <w:rPr>
          <w:rFonts w:asciiTheme="minorHAnsi" w:hAnsiTheme="minorHAnsi"/>
          <w:color w:val="000000"/>
          <w:szCs w:val="22"/>
        </w:rPr>
        <w:t xml:space="preserve"> allow use of investigational products</w:t>
      </w:r>
      <w:r w:rsidR="00530976">
        <w:rPr>
          <w:rFonts w:asciiTheme="minorHAnsi" w:hAnsiTheme="minorHAnsi"/>
          <w:color w:val="000000"/>
          <w:szCs w:val="22"/>
        </w:rPr>
        <w:t xml:space="preserve"> </w:t>
      </w:r>
      <w:r w:rsidR="00F41F15">
        <w:rPr>
          <w:rFonts w:asciiTheme="minorHAnsi" w:hAnsiTheme="minorHAnsi"/>
          <w:color w:val="000000"/>
          <w:szCs w:val="22"/>
        </w:rPr>
        <w:t>(</w:t>
      </w:r>
      <w:r w:rsidR="00530976">
        <w:rPr>
          <w:rFonts w:asciiTheme="minorHAnsi" w:hAnsiTheme="minorHAnsi"/>
          <w:color w:val="000000"/>
          <w:szCs w:val="22"/>
        </w:rPr>
        <w:t>i.e.</w:t>
      </w:r>
      <w:r w:rsidR="000F6737">
        <w:rPr>
          <w:rFonts w:asciiTheme="minorHAnsi" w:hAnsiTheme="minorHAnsi"/>
          <w:color w:val="000000"/>
          <w:szCs w:val="22"/>
        </w:rPr>
        <w:t> </w:t>
      </w:r>
      <w:r w:rsidR="00530976">
        <w:rPr>
          <w:rFonts w:asciiTheme="minorHAnsi" w:hAnsiTheme="minorHAnsi"/>
          <w:color w:val="000000"/>
          <w:szCs w:val="22"/>
        </w:rPr>
        <w:t>unapproved products</w:t>
      </w:r>
      <w:r w:rsidR="00C60DA8">
        <w:rPr>
          <w:rFonts w:asciiTheme="minorHAnsi" w:hAnsiTheme="minorHAnsi"/>
          <w:color w:val="000000"/>
          <w:szCs w:val="22"/>
        </w:rPr>
        <w:t>,</w:t>
      </w:r>
      <w:r w:rsidR="00530976">
        <w:rPr>
          <w:rFonts w:asciiTheme="minorHAnsi" w:hAnsiTheme="minorHAnsi"/>
          <w:color w:val="000000"/>
          <w:szCs w:val="22"/>
        </w:rPr>
        <w:t xml:space="preserve"> including </w:t>
      </w:r>
      <w:r w:rsidR="00C60DA8">
        <w:rPr>
          <w:rFonts w:asciiTheme="minorHAnsi" w:hAnsiTheme="minorHAnsi"/>
          <w:color w:val="000000"/>
          <w:szCs w:val="22"/>
        </w:rPr>
        <w:t xml:space="preserve">those intended for </w:t>
      </w:r>
      <w:r>
        <w:rPr>
          <w:rFonts w:asciiTheme="minorHAnsi" w:hAnsiTheme="minorHAnsi"/>
          <w:color w:val="000000"/>
          <w:szCs w:val="22"/>
        </w:rPr>
        <w:t>first use in humans)</w:t>
      </w:r>
      <w:r w:rsidR="00BA4662">
        <w:rPr>
          <w:rFonts w:asciiTheme="minorHAnsi" w:hAnsiTheme="minorHAnsi"/>
          <w:color w:val="000000"/>
          <w:szCs w:val="22"/>
        </w:rPr>
        <w:t xml:space="preserve"> in clinical trials </w:t>
      </w:r>
      <w:r w:rsidR="00B80A17">
        <w:rPr>
          <w:rStyle w:val="FootnoteReference"/>
          <w:rFonts w:asciiTheme="minorHAnsi" w:hAnsiTheme="minorHAnsi"/>
          <w:color w:val="000000"/>
          <w:szCs w:val="22"/>
        </w:rPr>
        <w:footnoteReference w:id="2"/>
      </w:r>
      <w:r w:rsidR="00B17C6E">
        <w:rPr>
          <w:rFonts w:asciiTheme="minorHAnsi" w:hAnsiTheme="minorHAnsi"/>
          <w:color w:val="000000"/>
          <w:szCs w:val="22"/>
        </w:rPr>
        <w:t xml:space="preserve">: </w:t>
      </w:r>
    </w:p>
    <w:p w14:paraId="6ABF145E" w14:textId="77777777" w:rsidR="003B0AB7" w:rsidRPr="00D278F6" w:rsidRDefault="003B0AB7" w:rsidP="003B0AB7">
      <w:pPr>
        <w:pStyle w:val="ListParagraph"/>
        <w:numPr>
          <w:ilvl w:val="0"/>
          <w:numId w:val="9"/>
        </w:numPr>
        <w:rPr>
          <w:rFonts w:asciiTheme="minorHAnsi" w:hAnsiTheme="minorHAnsi" w:cstheme="majorHAnsi"/>
          <w:color w:val="000000"/>
          <w:szCs w:val="22"/>
        </w:rPr>
      </w:pPr>
      <w:r w:rsidRPr="00D278F6">
        <w:rPr>
          <w:rFonts w:asciiTheme="minorHAnsi" w:hAnsiTheme="minorHAnsi" w:cstheme="majorHAnsi"/>
          <w:szCs w:val="22"/>
        </w:rPr>
        <w:t>CTN – Clinical Trial Notification scheme</w:t>
      </w:r>
    </w:p>
    <w:p w14:paraId="4CA0F0A3" w14:textId="22BC9212" w:rsidR="000F7C29" w:rsidRPr="00D278F6" w:rsidRDefault="009C062E" w:rsidP="00081381">
      <w:pPr>
        <w:pStyle w:val="ListParagraph"/>
        <w:numPr>
          <w:ilvl w:val="0"/>
          <w:numId w:val="9"/>
        </w:numPr>
        <w:rPr>
          <w:rFonts w:asciiTheme="minorHAnsi" w:hAnsiTheme="minorHAnsi" w:cstheme="majorHAnsi"/>
          <w:szCs w:val="22"/>
        </w:rPr>
      </w:pPr>
      <w:r w:rsidRPr="00D278F6">
        <w:rPr>
          <w:rFonts w:asciiTheme="minorHAnsi" w:hAnsiTheme="minorHAnsi" w:cstheme="majorHAnsi"/>
          <w:szCs w:val="22"/>
        </w:rPr>
        <w:t>CT</w:t>
      </w:r>
      <w:r w:rsidR="00D30C90">
        <w:rPr>
          <w:rFonts w:asciiTheme="minorHAnsi" w:hAnsiTheme="minorHAnsi" w:cstheme="majorHAnsi"/>
          <w:szCs w:val="22"/>
        </w:rPr>
        <w:t>A</w:t>
      </w:r>
      <w:r w:rsidRPr="00D278F6">
        <w:rPr>
          <w:rFonts w:asciiTheme="minorHAnsi" w:hAnsiTheme="minorHAnsi" w:cstheme="majorHAnsi"/>
          <w:szCs w:val="22"/>
        </w:rPr>
        <w:t xml:space="preserve"> – Clinical Trial </w:t>
      </w:r>
      <w:r w:rsidR="00D30C90">
        <w:rPr>
          <w:rFonts w:asciiTheme="minorHAnsi" w:hAnsiTheme="minorHAnsi" w:cstheme="majorHAnsi"/>
          <w:szCs w:val="22"/>
        </w:rPr>
        <w:t>Approval</w:t>
      </w:r>
      <w:r w:rsidR="00D30C90" w:rsidRPr="00D278F6">
        <w:rPr>
          <w:rFonts w:asciiTheme="minorHAnsi" w:hAnsiTheme="minorHAnsi" w:cstheme="majorHAnsi"/>
          <w:szCs w:val="22"/>
        </w:rPr>
        <w:t xml:space="preserve"> </w:t>
      </w:r>
      <w:r w:rsidRPr="00D278F6">
        <w:rPr>
          <w:rFonts w:asciiTheme="minorHAnsi" w:hAnsiTheme="minorHAnsi" w:cstheme="majorHAnsi"/>
          <w:szCs w:val="22"/>
        </w:rPr>
        <w:t>scheme</w:t>
      </w:r>
    </w:p>
    <w:p w14:paraId="0411D16C" w14:textId="061386D5" w:rsidR="00BA4662" w:rsidRDefault="00655AF7" w:rsidP="00832C4E">
      <w:pPr>
        <w:rPr>
          <w:rFonts w:asciiTheme="minorHAnsi" w:hAnsiTheme="minorHAnsi" w:cstheme="majorHAnsi"/>
          <w:color w:val="000000"/>
          <w:szCs w:val="22"/>
        </w:rPr>
      </w:pPr>
      <w:r>
        <w:rPr>
          <w:rFonts w:asciiTheme="minorHAnsi" w:hAnsiTheme="minorHAnsi" w:cstheme="majorHAnsi"/>
          <w:color w:val="000000"/>
          <w:szCs w:val="22"/>
        </w:rPr>
        <w:t>Detailed</w:t>
      </w:r>
      <w:r w:rsidR="0027155D">
        <w:rPr>
          <w:rFonts w:asciiTheme="minorHAnsi" w:hAnsiTheme="minorHAnsi" w:cstheme="majorHAnsi"/>
          <w:color w:val="000000"/>
          <w:szCs w:val="22"/>
        </w:rPr>
        <w:t xml:space="preserve"> information about the </w:t>
      </w:r>
      <w:r w:rsidR="00EC500A">
        <w:rPr>
          <w:rFonts w:asciiTheme="minorHAnsi" w:hAnsiTheme="minorHAnsi" w:cstheme="majorHAnsi"/>
          <w:color w:val="000000"/>
          <w:szCs w:val="22"/>
        </w:rPr>
        <w:t xml:space="preserve">difference between the </w:t>
      </w:r>
      <w:r w:rsidR="0027155D">
        <w:rPr>
          <w:rFonts w:asciiTheme="minorHAnsi" w:hAnsiTheme="minorHAnsi" w:cstheme="majorHAnsi"/>
          <w:color w:val="000000"/>
          <w:szCs w:val="22"/>
        </w:rPr>
        <w:t>CTN and CTA schemes is available on the TGA website</w:t>
      </w:r>
      <w:r w:rsidR="00AD501D">
        <w:rPr>
          <w:rStyle w:val="FootnoteReference"/>
          <w:rFonts w:asciiTheme="minorHAnsi" w:hAnsiTheme="minorHAnsi" w:cstheme="majorHAnsi"/>
          <w:color w:val="000000"/>
          <w:szCs w:val="22"/>
        </w:rPr>
        <w:footnoteReference w:id="3"/>
      </w:r>
      <w:r w:rsidR="00AD501D">
        <w:rPr>
          <w:rFonts w:asciiTheme="minorHAnsi" w:hAnsiTheme="minorHAnsi" w:cstheme="majorHAnsi"/>
          <w:color w:val="000000"/>
          <w:szCs w:val="22"/>
        </w:rPr>
        <w:t xml:space="preserve"> and in the Clinical Trials Handbook</w:t>
      </w:r>
      <w:r w:rsidR="0027155D">
        <w:rPr>
          <w:rFonts w:asciiTheme="minorHAnsi" w:hAnsiTheme="minorHAnsi" w:cstheme="majorHAnsi"/>
          <w:color w:val="000000"/>
          <w:szCs w:val="22"/>
        </w:rPr>
        <w:t>.</w:t>
      </w:r>
      <w:r w:rsidR="00AD501D">
        <w:rPr>
          <w:rStyle w:val="FootnoteReference"/>
          <w:rFonts w:asciiTheme="minorHAnsi" w:hAnsiTheme="minorHAnsi" w:cstheme="majorHAnsi"/>
          <w:color w:val="000000"/>
          <w:szCs w:val="22"/>
        </w:rPr>
        <w:footnoteReference w:id="4"/>
      </w:r>
      <w:r w:rsidR="0027155D">
        <w:rPr>
          <w:rFonts w:asciiTheme="minorHAnsi" w:hAnsiTheme="minorHAnsi" w:cstheme="majorHAnsi"/>
          <w:color w:val="000000"/>
          <w:szCs w:val="22"/>
        </w:rPr>
        <w:t xml:space="preserve"> </w:t>
      </w:r>
      <w:r w:rsidR="00BA4662">
        <w:rPr>
          <w:rFonts w:asciiTheme="minorHAnsi" w:hAnsiTheme="minorHAnsi" w:cstheme="majorHAnsi"/>
          <w:color w:val="000000"/>
          <w:szCs w:val="22"/>
        </w:rPr>
        <w:t xml:space="preserve">The key difference is the extent of TGA’s oversight of the </w:t>
      </w:r>
      <w:r w:rsidR="00B43075">
        <w:rPr>
          <w:rFonts w:asciiTheme="minorHAnsi" w:hAnsiTheme="minorHAnsi" w:cstheme="majorHAnsi"/>
          <w:color w:val="000000"/>
          <w:szCs w:val="22"/>
        </w:rPr>
        <w:t>investigational products being studie</w:t>
      </w:r>
      <w:r w:rsidR="00C84E25">
        <w:rPr>
          <w:rFonts w:asciiTheme="minorHAnsi" w:hAnsiTheme="minorHAnsi" w:cstheme="majorHAnsi"/>
          <w:color w:val="000000"/>
          <w:szCs w:val="22"/>
        </w:rPr>
        <w:t>d</w:t>
      </w:r>
      <w:r w:rsidR="00B43075">
        <w:rPr>
          <w:rFonts w:asciiTheme="minorHAnsi" w:hAnsiTheme="minorHAnsi" w:cstheme="majorHAnsi"/>
          <w:color w:val="000000"/>
          <w:szCs w:val="22"/>
        </w:rPr>
        <w:t xml:space="preserve"> in </w:t>
      </w:r>
      <w:r w:rsidR="00AC3EE4">
        <w:rPr>
          <w:rFonts w:asciiTheme="minorHAnsi" w:hAnsiTheme="minorHAnsi" w:cstheme="majorHAnsi"/>
          <w:color w:val="000000"/>
          <w:szCs w:val="22"/>
        </w:rPr>
        <w:t xml:space="preserve">proposed </w:t>
      </w:r>
      <w:r w:rsidR="00BA4662">
        <w:rPr>
          <w:rFonts w:asciiTheme="minorHAnsi" w:hAnsiTheme="minorHAnsi" w:cstheme="majorHAnsi"/>
          <w:color w:val="000000"/>
          <w:szCs w:val="22"/>
        </w:rPr>
        <w:t>trials.</w:t>
      </w:r>
    </w:p>
    <w:p w14:paraId="0B6066CC" w14:textId="6159AE1A" w:rsidR="008C35EC" w:rsidRDefault="00B43075" w:rsidP="000F6737">
      <w:pPr>
        <w:spacing w:after="120"/>
        <w:rPr>
          <w:rFonts w:asciiTheme="minorHAnsi" w:hAnsiTheme="minorHAnsi" w:cstheme="majorHAnsi"/>
          <w:color w:val="000000"/>
          <w:szCs w:val="22"/>
        </w:rPr>
      </w:pPr>
      <w:r>
        <w:rPr>
          <w:rFonts w:asciiTheme="minorHAnsi" w:hAnsiTheme="minorHAnsi" w:cstheme="majorHAnsi"/>
          <w:color w:val="000000"/>
          <w:szCs w:val="22"/>
        </w:rPr>
        <w:t>T</w:t>
      </w:r>
      <w:r w:rsidR="0027155D">
        <w:rPr>
          <w:rFonts w:asciiTheme="minorHAnsi" w:hAnsiTheme="minorHAnsi" w:cstheme="majorHAnsi"/>
          <w:color w:val="000000"/>
          <w:szCs w:val="22"/>
        </w:rPr>
        <w:t>he TGA</w:t>
      </w:r>
      <w:r w:rsidR="00D257AA">
        <w:rPr>
          <w:rFonts w:asciiTheme="minorHAnsi" w:hAnsiTheme="minorHAnsi" w:cstheme="majorHAnsi"/>
          <w:color w:val="000000"/>
          <w:szCs w:val="22"/>
        </w:rPr>
        <w:t xml:space="preserve"> does not</w:t>
      </w:r>
      <w:r w:rsidR="0027155D">
        <w:rPr>
          <w:rFonts w:asciiTheme="minorHAnsi" w:hAnsiTheme="minorHAnsi" w:cstheme="majorHAnsi"/>
          <w:color w:val="000000"/>
          <w:szCs w:val="22"/>
        </w:rPr>
        <w:t xml:space="preserve"> </w:t>
      </w:r>
      <w:r w:rsidR="004103E9">
        <w:rPr>
          <w:rFonts w:asciiTheme="minorHAnsi" w:hAnsiTheme="minorHAnsi" w:cstheme="majorHAnsi"/>
          <w:color w:val="000000"/>
          <w:szCs w:val="22"/>
        </w:rPr>
        <w:t>perform a</w:t>
      </w:r>
      <w:r>
        <w:rPr>
          <w:rFonts w:asciiTheme="minorHAnsi" w:hAnsiTheme="minorHAnsi" w:cstheme="majorHAnsi"/>
          <w:color w:val="000000"/>
          <w:szCs w:val="22"/>
        </w:rPr>
        <w:t>n</w:t>
      </w:r>
      <w:r w:rsidR="004103E9">
        <w:rPr>
          <w:rFonts w:asciiTheme="minorHAnsi" w:hAnsiTheme="minorHAnsi" w:cstheme="majorHAnsi"/>
          <w:color w:val="000000"/>
          <w:szCs w:val="22"/>
        </w:rPr>
        <w:t xml:space="preserve"> assessment of </w:t>
      </w:r>
      <w:r w:rsidR="0027155D">
        <w:rPr>
          <w:rFonts w:asciiTheme="minorHAnsi" w:hAnsiTheme="minorHAnsi" w:cstheme="majorHAnsi"/>
          <w:color w:val="000000"/>
          <w:szCs w:val="22"/>
        </w:rPr>
        <w:t>the medical device to be used in the clinical trial</w:t>
      </w:r>
      <w:r w:rsidR="00D257AA">
        <w:rPr>
          <w:rFonts w:asciiTheme="minorHAnsi" w:hAnsiTheme="minorHAnsi" w:cstheme="majorHAnsi"/>
          <w:color w:val="000000"/>
          <w:szCs w:val="22"/>
        </w:rPr>
        <w:t xml:space="preserve"> under the CTN scheme</w:t>
      </w:r>
      <w:r w:rsidR="0007190D">
        <w:rPr>
          <w:rFonts w:asciiTheme="minorHAnsi" w:hAnsiTheme="minorHAnsi" w:cstheme="majorHAnsi"/>
          <w:color w:val="000000"/>
          <w:szCs w:val="22"/>
        </w:rPr>
        <w:t>. The s</w:t>
      </w:r>
      <w:r w:rsidR="00E21D7B">
        <w:rPr>
          <w:rFonts w:asciiTheme="minorHAnsi" w:hAnsiTheme="minorHAnsi" w:cstheme="majorHAnsi"/>
          <w:color w:val="000000"/>
          <w:szCs w:val="22"/>
        </w:rPr>
        <w:t>ponsor</w:t>
      </w:r>
      <w:r w:rsidR="003F25F3">
        <w:rPr>
          <w:rStyle w:val="FootnoteReference"/>
          <w:rFonts w:asciiTheme="minorHAnsi" w:hAnsiTheme="minorHAnsi" w:cstheme="majorHAnsi"/>
          <w:color w:val="000000"/>
          <w:szCs w:val="22"/>
        </w:rPr>
        <w:footnoteReference w:id="5"/>
      </w:r>
      <w:r w:rsidR="00E21D7B">
        <w:rPr>
          <w:rFonts w:asciiTheme="minorHAnsi" w:hAnsiTheme="minorHAnsi" w:cstheme="majorHAnsi"/>
          <w:color w:val="000000"/>
          <w:szCs w:val="22"/>
        </w:rPr>
        <w:t xml:space="preserve"> </w:t>
      </w:r>
      <w:r w:rsidR="003F25F3">
        <w:rPr>
          <w:rFonts w:asciiTheme="minorHAnsi" w:hAnsiTheme="minorHAnsi" w:cstheme="majorHAnsi"/>
          <w:color w:val="000000"/>
          <w:szCs w:val="22"/>
        </w:rPr>
        <w:t xml:space="preserve">is </w:t>
      </w:r>
      <w:r w:rsidR="0007190D">
        <w:rPr>
          <w:rFonts w:asciiTheme="minorHAnsi" w:hAnsiTheme="minorHAnsi" w:cstheme="majorHAnsi"/>
          <w:color w:val="000000"/>
          <w:szCs w:val="22"/>
        </w:rPr>
        <w:t xml:space="preserve">only </w:t>
      </w:r>
      <w:r w:rsidR="003F25F3">
        <w:rPr>
          <w:rFonts w:asciiTheme="minorHAnsi" w:hAnsiTheme="minorHAnsi" w:cstheme="majorHAnsi"/>
          <w:color w:val="000000"/>
          <w:szCs w:val="22"/>
        </w:rPr>
        <w:t xml:space="preserve">required </w:t>
      </w:r>
      <w:r w:rsidR="00E21D7B">
        <w:rPr>
          <w:rFonts w:asciiTheme="minorHAnsi" w:hAnsiTheme="minorHAnsi" w:cstheme="majorHAnsi"/>
          <w:color w:val="000000"/>
          <w:szCs w:val="22"/>
        </w:rPr>
        <w:t xml:space="preserve">to </w:t>
      </w:r>
      <w:r w:rsidR="003F25F3">
        <w:rPr>
          <w:rFonts w:asciiTheme="minorHAnsi" w:hAnsiTheme="minorHAnsi" w:cstheme="majorHAnsi"/>
          <w:color w:val="000000"/>
          <w:szCs w:val="22"/>
        </w:rPr>
        <w:t>notify the</w:t>
      </w:r>
      <w:r w:rsidR="00E21D7B">
        <w:rPr>
          <w:rFonts w:asciiTheme="minorHAnsi" w:hAnsiTheme="minorHAnsi" w:cstheme="majorHAnsi"/>
          <w:color w:val="000000"/>
          <w:szCs w:val="22"/>
        </w:rPr>
        <w:t xml:space="preserve"> TGA </w:t>
      </w:r>
      <w:r w:rsidR="008A17CA">
        <w:rPr>
          <w:rFonts w:asciiTheme="minorHAnsi" w:hAnsiTheme="minorHAnsi" w:cstheme="majorHAnsi"/>
          <w:color w:val="000000"/>
          <w:szCs w:val="22"/>
        </w:rPr>
        <w:t>a clinical trial will be conducted</w:t>
      </w:r>
      <w:r w:rsidR="00E21D7B">
        <w:rPr>
          <w:rFonts w:asciiTheme="minorHAnsi" w:hAnsiTheme="minorHAnsi" w:cstheme="majorHAnsi"/>
          <w:color w:val="000000"/>
          <w:szCs w:val="22"/>
        </w:rPr>
        <w:t xml:space="preserve">. </w:t>
      </w:r>
      <w:r>
        <w:rPr>
          <w:rFonts w:asciiTheme="minorHAnsi" w:hAnsiTheme="minorHAnsi" w:cstheme="majorHAnsi"/>
          <w:color w:val="000000"/>
          <w:szCs w:val="22"/>
        </w:rPr>
        <w:t>I</w:t>
      </w:r>
      <w:r w:rsidR="00CB3C6F">
        <w:rPr>
          <w:rFonts w:asciiTheme="minorHAnsi" w:hAnsiTheme="minorHAnsi" w:cstheme="majorHAnsi"/>
          <w:color w:val="000000"/>
          <w:szCs w:val="22"/>
        </w:rPr>
        <w:t>n the CTA scheme</w:t>
      </w:r>
      <w:r w:rsidR="008A17CA">
        <w:rPr>
          <w:rFonts w:asciiTheme="minorHAnsi" w:hAnsiTheme="minorHAnsi" w:cstheme="majorHAnsi"/>
          <w:color w:val="000000"/>
          <w:szCs w:val="22"/>
        </w:rPr>
        <w:t>,</w:t>
      </w:r>
      <w:r w:rsidR="00CB3C6F">
        <w:rPr>
          <w:rFonts w:asciiTheme="minorHAnsi" w:hAnsiTheme="minorHAnsi" w:cstheme="majorHAnsi"/>
          <w:color w:val="000000"/>
          <w:szCs w:val="22"/>
        </w:rPr>
        <w:t xml:space="preserve"> </w:t>
      </w:r>
      <w:r w:rsidR="00AD501D">
        <w:rPr>
          <w:rFonts w:asciiTheme="minorHAnsi" w:hAnsiTheme="minorHAnsi" w:cstheme="majorHAnsi"/>
          <w:color w:val="000000"/>
          <w:szCs w:val="22"/>
        </w:rPr>
        <w:t xml:space="preserve">the </w:t>
      </w:r>
      <w:r w:rsidR="0027155D">
        <w:rPr>
          <w:rFonts w:asciiTheme="minorHAnsi" w:hAnsiTheme="minorHAnsi" w:cstheme="majorHAnsi"/>
          <w:color w:val="000000"/>
          <w:szCs w:val="22"/>
        </w:rPr>
        <w:t xml:space="preserve">TGA </w:t>
      </w:r>
      <w:r w:rsidR="004103E9">
        <w:rPr>
          <w:rFonts w:asciiTheme="minorHAnsi" w:hAnsiTheme="minorHAnsi" w:cstheme="majorHAnsi"/>
          <w:color w:val="000000"/>
          <w:szCs w:val="22"/>
        </w:rPr>
        <w:t xml:space="preserve">evaluates </w:t>
      </w:r>
      <w:r w:rsidR="0007190D">
        <w:rPr>
          <w:rFonts w:asciiTheme="minorHAnsi" w:hAnsiTheme="minorHAnsi" w:cstheme="majorHAnsi"/>
          <w:color w:val="000000"/>
          <w:szCs w:val="22"/>
        </w:rPr>
        <w:t>information about the device</w:t>
      </w:r>
      <w:r w:rsidR="00BA4662">
        <w:rPr>
          <w:rFonts w:asciiTheme="minorHAnsi" w:hAnsiTheme="minorHAnsi" w:cstheme="majorHAnsi"/>
          <w:color w:val="000000"/>
          <w:szCs w:val="22"/>
        </w:rPr>
        <w:t>,</w:t>
      </w:r>
      <w:r w:rsidR="0007190D">
        <w:rPr>
          <w:rFonts w:asciiTheme="minorHAnsi" w:hAnsiTheme="minorHAnsi" w:cstheme="majorHAnsi"/>
          <w:color w:val="000000"/>
          <w:szCs w:val="22"/>
        </w:rPr>
        <w:t xml:space="preserve"> including scientific data</w:t>
      </w:r>
      <w:r w:rsidR="00BA4662">
        <w:rPr>
          <w:rFonts w:asciiTheme="minorHAnsi" w:hAnsiTheme="minorHAnsi" w:cstheme="majorHAnsi"/>
          <w:color w:val="000000"/>
          <w:szCs w:val="22"/>
        </w:rPr>
        <w:t>,</w:t>
      </w:r>
      <w:r w:rsidR="00E21D7B">
        <w:rPr>
          <w:rFonts w:asciiTheme="minorHAnsi" w:hAnsiTheme="minorHAnsi" w:cstheme="majorHAnsi"/>
          <w:color w:val="000000"/>
          <w:szCs w:val="22"/>
        </w:rPr>
        <w:t xml:space="preserve"> and</w:t>
      </w:r>
      <w:r w:rsidR="004103E9">
        <w:rPr>
          <w:rFonts w:asciiTheme="minorHAnsi" w:hAnsiTheme="minorHAnsi" w:cstheme="majorHAnsi"/>
          <w:color w:val="000000"/>
          <w:szCs w:val="22"/>
        </w:rPr>
        <w:t xml:space="preserve"> </w:t>
      </w:r>
      <w:r w:rsidR="00CB3C6F">
        <w:rPr>
          <w:rFonts w:asciiTheme="minorHAnsi" w:hAnsiTheme="minorHAnsi" w:cstheme="majorHAnsi"/>
          <w:color w:val="000000"/>
          <w:szCs w:val="22"/>
        </w:rPr>
        <w:t>grants</w:t>
      </w:r>
      <w:r w:rsidR="00E21D7B">
        <w:rPr>
          <w:rFonts w:asciiTheme="minorHAnsi" w:hAnsiTheme="minorHAnsi" w:cstheme="majorHAnsi"/>
          <w:color w:val="000000"/>
          <w:szCs w:val="22"/>
        </w:rPr>
        <w:t xml:space="preserve"> approval for the trial to proceed</w:t>
      </w:r>
      <w:r>
        <w:rPr>
          <w:rFonts w:asciiTheme="minorHAnsi" w:hAnsiTheme="minorHAnsi" w:cstheme="majorHAnsi"/>
          <w:color w:val="000000"/>
          <w:szCs w:val="22"/>
        </w:rPr>
        <w:t>,</w:t>
      </w:r>
      <w:r w:rsidR="004103E9">
        <w:rPr>
          <w:rFonts w:asciiTheme="minorHAnsi" w:hAnsiTheme="minorHAnsi" w:cstheme="majorHAnsi"/>
          <w:color w:val="000000"/>
          <w:szCs w:val="22"/>
        </w:rPr>
        <w:t xml:space="preserve"> if appropriate</w:t>
      </w:r>
      <w:r w:rsidR="0027155D">
        <w:rPr>
          <w:rFonts w:asciiTheme="minorHAnsi" w:hAnsiTheme="minorHAnsi" w:cstheme="majorHAnsi"/>
          <w:color w:val="000000"/>
          <w:szCs w:val="22"/>
        </w:rPr>
        <w:t xml:space="preserve">. </w:t>
      </w:r>
      <w:r w:rsidR="00BA4662">
        <w:rPr>
          <w:rFonts w:asciiTheme="minorHAnsi" w:hAnsiTheme="minorHAnsi" w:cstheme="majorHAnsi"/>
          <w:color w:val="000000"/>
          <w:szCs w:val="22"/>
        </w:rPr>
        <w:t>Importantly, t</w:t>
      </w:r>
      <w:r w:rsidR="00BD1349">
        <w:rPr>
          <w:rFonts w:asciiTheme="minorHAnsi" w:hAnsiTheme="minorHAnsi" w:cstheme="majorHAnsi"/>
          <w:color w:val="000000"/>
          <w:szCs w:val="22"/>
        </w:rPr>
        <w:t xml:space="preserve">he trial </w:t>
      </w:r>
      <w:r w:rsidR="00BD1349">
        <w:rPr>
          <w:rFonts w:asciiTheme="minorHAnsi" w:hAnsiTheme="minorHAnsi" w:cstheme="majorHAnsi"/>
          <w:color w:val="000000"/>
          <w:szCs w:val="22"/>
        </w:rPr>
        <w:lastRenderedPageBreak/>
        <w:t>sponsor is responsible for selecting the appropriate pathway</w:t>
      </w:r>
      <w:r w:rsidR="00D257AA">
        <w:rPr>
          <w:rFonts w:asciiTheme="minorHAnsi" w:hAnsiTheme="minorHAnsi" w:cstheme="majorHAnsi"/>
          <w:color w:val="000000"/>
          <w:szCs w:val="22"/>
        </w:rPr>
        <w:t>;</w:t>
      </w:r>
      <w:r w:rsidR="00BD1349">
        <w:rPr>
          <w:rFonts w:asciiTheme="minorHAnsi" w:hAnsiTheme="minorHAnsi" w:cstheme="majorHAnsi"/>
          <w:color w:val="000000"/>
          <w:szCs w:val="22"/>
        </w:rPr>
        <w:t xml:space="preserve"> there is no</w:t>
      </w:r>
      <w:r w:rsidR="004103E9">
        <w:rPr>
          <w:rFonts w:asciiTheme="minorHAnsi" w:hAnsiTheme="minorHAnsi" w:cstheme="majorHAnsi"/>
          <w:color w:val="000000"/>
          <w:szCs w:val="22"/>
        </w:rPr>
        <w:t xml:space="preserve"> current</w:t>
      </w:r>
      <w:r w:rsidR="00BD1349">
        <w:rPr>
          <w:rFonts w:asciiTheme="minorHAnsi" w:hAnsiTheme="minorHAnsi" w:cstheme="majorHAnsi"/>
          <w:color w:val="000000"/>
          <w:szCs w:val="22"/>
        </w:rPr>
        <w:t xml:space="preserve"> legislation dictating when to choose one over the other. </w:t>
      </w:r>
    </w:p>
    <w:p w14:paraId="123E8FFF" w14:textId="7806FB07" w:rsidR="00B47BC3" w:rsidRDefault="003843BC" w:rsidP="00B47BC3">
      <w:pPr>
        <w:spacing w:after="0" w:line="240" w:lineRule="auto"/>
        <w:rPr>
          <w:rFonts w:asciiTheme="minorHAnsi" w:hAnsiTheme="minorHAnsi" w:cstheme="majorHAnsi"/>
          <w:color w:val="000000"/>
          <w:szCs w:val="22"/>
        </w:rPr>
      </w:pPr>
      <w:r w:rsidRPr="001825CB">
        <w:rPr>
          <w:rFonts w:asciiTheme="minorHAnsi" w:hAnsiTheme="minorHAnsi" w:cstheme="majorHAnsi"/>
          <w:color w:val="000000"/>
          <w:szCs w:val="22"/>
        </w:rPr>
        <w:t xml:space="preserve">All medical device trials have occurred through the CTN pathway in the last 5 years (between 120-210 per year) and the TGA has received no CTA applications. </w:t>
      </w:r>
      <w:r w:rsidR="00024AB5" w:rsidRPr="001825CB">
        <w:rPr>
          <w:rFonts w:asciiTheme="minorHAnsi" w:hAnsiTheme="minorHAnsi" w:cstheme="majorHAnsi"/>
          <w:color w:val="000000"/>
          <w:szCs w:val="22"/>
        </w:rPr>
        <w:t xml:space="preserve">While this may be appropriate in many instances, </w:t>
      </w:r>
      <w:r w:rsidR="00880A50" w:rsidRPr="001825CB">
        <w:rPr>
          <w:rFonts w:asciiTheme="minorHAnsi" w:hAnsiTheme="minorHAnsi" w:cstheme="majorHAnsi"/>
          <w:color w:val="000000"/>
          <w:szCs w:val="22"/>
        </w:rPr>
        <w:t xml:space="preserve">it allows </w:t>
      </w:r>
      <w:r w:rsidR="002C0D0C" w:rsidRPr="001825CB">
        <w:rPr>
          <w:rFonts w:asciiTheme="minorHAnsi" w:hAnsiTheme="minorHAnsi" w:cstheme="majorHAnsi"/>
          <w:color w:val="000000"/>
          <w:szCs w:val="22"/>
        </w:rPr>
        <w:t xml:space="preserve">novel </w:t>
      </w:r>
      <w:r w:rsidR="008C35EC" w:rsidRPr="001825CB">
        <w:rPr>
          <w:rFonts w:asciiTheme="minorHAnsi" w:hAnsiTheme="minorHAnsi" w:cstheme="majorHAnsi"/>
          <w:color w:val="000000"/>
          <w:szCs w:val="22"/>
        </w:rPr>
        <w:t xml:space="preserve">permanently implantable investigational medical devices </w:t>
      </w:r>
      <w:r w:rsidR="00880A50" w:rsidRPr="001825CB">
        <w:rPr>
          <w:rFonts w:asciiTheme="minorHAnsi" w:hAnsiTheme="minorHAnsi" w:cstheme="majorHAnsi"/>
          <w:color w:val="000000"/>
          <w:szCs w:val="22"/>
        </w:rPr>
        <w:t>to</w:t>
      </w:r>
      <w:r w:rsidR="00024AB5" w:rsidRPr="001825CB">
        <w:rPr>
          <w:rFonts w:asciiTheme="minorHAnsi" w:hAnsiTheme="minorHAnsi" w:cstheme="majorHAnsi"/>
          <w:color w:val="000000"/>
          <w:szCs w:val="22"/>
        </w:rPr>
        <w:t xml:space="preserve"> be used in humans without </w:t>
      </w:r>
      <w:r w:rsidR="008C35EC" w:rsidRPr="001825CB">
        <w:rPr>
          <w:rFonts w:asciiTheme="minorHAnsi" w:hAnsiTheme="minorHAnsi" w:cstheme="majorHAnsi"/>
          <w:color w:val="000000"/>
          <w:szCs w:val="22"/>
        </w:rPr>
        <w:t xml:space="preserve">review by the TGA. </w:t>
      </w:r>
      <w:r w:rsidR="00B47BC3" w:rsidRPr="001825CB">
        <w:rPr>
          <w:rFonts w:asciiTheme="minorHAnsi" w:hAnsiTheme="minorHAnsi" w:cstheme="minorHAnsi"/>
          <w:szCs w:val="22"/>
        </w:rPr>
        <w:t>This is despite potentially high risks in trials with implantable devices. Whereas if a trial of a new medicine shows that it is producing significant and obvious side effects, or interim analyses of the treated groups shows that the medicine is not effective, the trial can be terminated simply by immediate discontinuation of the medicine. In contrast, unsafe or ineffective implanted clinical devices usually require surgery to remove them, and such surgery (e.g. of the heart or brain) can in itself be risky.</w:t>
      </w:r>
      <w:r w:rsidR="00B47BC3">
        <w:rPr>
          <w:rFonts w:asciiTheme="minorHAnsi" w:hAnsiTheme="minorHAnsi" w:cstheme="minorHAnsi"/>
          <w:szCs w:val="22"/>
        </w:rPr>
        <w:t xml:space="preserve"> </w:t>
      </w:r>
      <w:r w:rsidR="00B47BC3">
        <w:rPr>
          <w:rFonts w:asciiTheme="minorHAnsi" w:hAnsiTheme="minorHAnsi" w:cstheme="majorHAnsi"/>
          <w:color w:val="000000"/>
          <w:szCs w:val="22"/>
        </w:rPr>
        <w:t>However, current arrangements mean that the TGA is not involved in reviewing scientific information about the medical device to be used.</w:t>
      </w:r>
    </w:p>
    <w:p w14:paraId="4A48BCC4" w14:textId="653D60D2" w:rsidR="00B47BC3" w:rsidRDefault="008C35EC" w:rsidP="00832C4E">
      <w:pPr>
        <w:rPr>
          <w:rFonts w:asciiTheme="minorHAnsi" w:hAnsiTheme="minorHAnsi" w:cstheme="majorHAnsi"/>
          <w:color w:val="000000"/>
          <w:szCs w:val="22"/>
        </w:rPr>
      </w:pPr>
      <w:r>
        <w:rPr>
          <w:rFonts w:asciiTheme="minorHAnsi" w:hAnsiTheme="minorHAnsi" w:cstheme="majorHAnsi"/>
          <w:color w:val="000000"/>
          <w:szCs w:val="22"/>
        </w:rPr>
        <w:t>Instead, t</w:t>
      </w:r>
      <w:r w:rsidR="003F25F3" w:rsidRPr="003F25F3">
        <w:rPr>
          <w:rFonts w:asciiTheme="minorHAnsi" w:hAnsiTheme="minorHAnsi" w:cstheme="majorHAnsi"/>
          <w:color w:val="000000"/>
          <w:szCs w:val="22"/>
        </w:rPr>
        <w:t xml:space="preserve">he Human Research Ethics Committee (HREC) reviews the scientific validity of the trial design, the balance of risk versus harm of the </w:t>
      </w:r>
      <w:r w:rsidR="00880A50">
        <w:rPr>
          <w:rFonts w:asciiTheme="minorHAnsi" w:hAnsiTheme="minorHAnsi" w:cstheme="majorHAnsi"/>
          <w:color w:val="000000"/>
          <w:szCs w:val="22"/>
        </w:rPr>
        <w:t>device</w:t>
      </w:r>
      <w:r w:rsidR="003F25F3" w:rsidRPr="003F25F3">
        <w:rPr>
          <w:rFonts w:asciiTheme="minorHAnsi" w:hAnsiTheme="minorHAnsi" w:cstheme="majorHAnsi"/>
          <w:color w:val="000000"/>
          <w:szCs w:val="22"/>
        </w:rPr>
        <w:t xml:space="preserve">, the ethical acceptability of the trial process, and </w:t>
      </w:r>
      <w:r w:rsidR="00BA4662">
        <w:rPr>
          <w:rFonts w:asciiTheme="minorHAnsi" w:hAnsiTheme="minorHAnsi" w:cstheme="majorHAnsi"/>
          <w:color w:val="000000"/>
          <w:szCs w:val="22"/>
        </w:rPr>
        <w:t xml:space="preserve">is solely responsible for </w:t>
      </w:r>
      <w:r w:rsidR="003F25F3" w:rsidRPr="003F25F3">
        <w:rPr>
          <w:rFonts w:asciiTheme="minorHAnsi" w:hAnsiTheme="minorHAnsi" w:cstheme="majorHAnsi"/>
          <w:color w:val="000000"/>
          <w:szCs w:val="22"/>
        </w:rPr>
        <w:t>approv</w:t>
      </w:r>
      <w:r w:rsidR="00BA4662">
        <w:rPr>
          <w:rFonts w:asciiTheme="minorHAnsi" w:hAnsiTheme="minorHAnsi" w:cstheme="majorHAnsi"/>
          <w:color w:val="000000"/>
          <w:szCs w:val="22"/>
        </w:rPr>
        <w:t>ing</w:t>
      </w:r>
      <w:r w:rsidR="003F25F3" w:rsidRPr="003F25F3">
        <w:rPr>
          <w:rFonts w:asciiTheme="minorHAnsi" w:hAnsiTheme="minorHAnsi" w:cstheme="majorHAnsi"/>
          <w:color w:val="000000"/>
          <w:szCs w:val="22"/>
        </w:rPr>
        <w:t xml:space="preserve"> the trial.</w:t>
      </w:r>
      <w:r>
        <w:rPr>
          <w:rFonts w:asciiTheme="minorHAnsi" w:hAnsiTheme="minorHAnsi" w:cstheme="majorHAnsi"/>
          <w:color w:val="000000"/>
          <w:szCs w:val="22"/>
        </w:rPr>
        <w:t xml:space="preserve"> </w:t>
      </w:r>
      <w:r w:rsidR="00B47BC3">
        <w:rPr>
          <w:rFonts w:asciiTheme="minorHAnsi" w:hAnsiTheme="minorHAnsi" w:cstheme="majorHAnsi"/>
          <w:color w:val="000000"/>
          <w:szCs w:val="22"/>
        </w:rPr>
        <w:t>While some HRECs have solid expertise relating to medical devices, a number of others do not, as members are drawn from pharmacology, specialist medicine and ethics backgrounds.</w:t>
      </w:r>
    </w:p>
    <w:p w14:paraId="137B01B8" w14:textId="2A9F5D57" w:rsidR="0027155D" w:rsidRDefault="008C35EC" w:rsidP="00832C4E">
      <w:pPr>
        <w:rPr>
          <w:rFonts w:asciiTheme="minorHAnsi" w:hAnsiTheme="minorHAnsi" w:cstheme="majorHAnsi"/>
          <w:color w:val="000000"/>
          <w:szCs w:val="22"/>
        </w:rPr>
      </w:pPr>
      <w:r>
        <w:rPr>
          <w:rFonts w:asciiTheme="minorHAnsi" w:hAnsiTheme="minorHAnsi" w:cstheme="majorHAnsi"/>
          <w:color w:val="000000"/>
          <w:szCs w:val="22"/>
        </w:rPr>
        <w:t>This</w:t>
      </w:r>
      <w:r w:rsidR="00B47BC3">
        <w:rPr>
          <w:rFonts w:asciiTheme="minorHAnsi" w:hAnsiTheme="minorHAnsi" w:cstheme="majorHAnsi"/>
          <w:color w:val="000000"/>
          <w:szCs w:val="22"/>
        </w:rPr>
        <w:t xml:space="preserve"> level of oversight </w:t>
      </w:r>
      <w:r>
        <w:rPr>
          <w:rFonts w:asciiTheme="minorHAnsi" w:hAnsiTheme="minorHAnsi" w:cstheme="majorHAnsi"/>
          <w:color w:val="000000"/>
          <w:szCs w:val="22"/>
        </w:rPr>
        <w:t xml:space="preserve">is in contrast with comparable regulators </w:t>
      </w:r>
      <w:r w:rsidR="00024AB5">
        <w:rPr>
          <w:rFonts w:asciiTheme="minorHAnsi" w:hAnsiTheme="minorHAnsi" w:cstheme="majorHAnsi"/>
          <w:color w:val="000000"/>
          <w:szCs w:val="22"/>
        </w:rPr>
        <w:t xml:space="preserve">overseas </w:t>
      </w:r>
      <w:r>
        <w:rPr>
          <w:rFonts w:asciiTheme="minorHAnsi" w:hAnsiTheme="minorHAnsi" w:cstheme="majorHAnsi"/>
          <w:color w:val="000000"/>
          <w:szCs w:val="22"/>
        </w:rPr>
        <w:t xml:space="preserve">(Europe, UK, USA, Canada and Japan) where the medical device regulator is </w:t>
      </w:r>
      <w:r w:rsidR="00B47BC3">
        <w:rPr>
          <w:rFonts w:asciiTheme="minorHAnsi" w:hAnsiTheme="minorHAnsi" w:cstheme="majorHAnsi"/>
          <w:color w:val="000000"/>
          <w:szCs w:val="22"/>
        </w:rPr>
        <w:t xml:space="preserve">typically </w:t>
      </w:r>
      <w:r>
        <w:rPr>
          <w:rFonts w:asciiTheme="minorHAnsi" w:hAnsiTheme="minorHAnsi" w:cstheme="majorHAnsi"/>
          <w:color w:val="000000"/>
          <w:szCs w:val="22"/>
        </w:rPr>
        <w:t xml:space="preserve">involved in the approval process for </w:t>
      </w:r>
      <w:r w:rsidR="00B47BC3">
        <w:rPr>
          <w:rFonts w:asciiTheme="minorHAnsi" w:hAnsiTheme="minorHAnsi" w:cstheme="majorHAnsi"/>
          <w:color w:val="000000"/>
          <w:szCs w:val="22"/>
        </w:rPr>
        <w:t xml:space="preserve">medical devices </w:t>
      </w:r>
      <w:r>
        <w:rPr>
          <w:rFonts w:asciiTheme="minorHAnsi" w:hAnsiTheme="minorHAnsi" w:cstheme="majorHAnsi"/>
          <w:color w:val="000000"/>
          <w:szCs w:val="22"/>
        </w:rPr>
        <w:t>clinical trials</w:t>
      </w:r>
      <w:r w:rsidR="00B47BC3">
        <w:rPr>
          <w:rFonts w:asciiTheme="minorHAnsi" w:hAnsiTheme="minorHAnsi" w:cstheme="majorHAnsi"/>
          <w:color w:val="000000"/>
          <w:szCs w:val="22"/>
        </w:rPr>
        <w:t>, particularly for higher risk implantable products</w:t>
      </w:r>
      <w:r>
        <w:rPr>
          <w:rFonts w:asciiTheme="minorHAnsi" w:hAnsiTheme="minorHAnsi" w:cstheme="majorHAnsi"/>
          <w:color w:val="000000"/>
          <w:szCs w:val="22"/>
        </w:rPr>
        <w:t xml:space="preserve">. </w:t>
      </w:r>
      <w:r w:rsidR="007C59BA">
        <w:rPr>
          <w:rFonts w:asciiTheme="minorHAnsi" w:hAnsiTheme="minorHAnsi" w:cstheme="majorHAnsi"/>
          <w:color w:val="000000"/>
          <w:szCs w:val="22"/>
        </w:rPr>
        <w:t xml:space="preserve">The </w:t>
      </w:r>
      <w:r w:rsidR="00B47BC3">
        <w:rPr>
          <w:rFonts w:asciiTheme="minorHAnsi" w:hAnsiTheme="minorHAnsi" w:cstheme="majorHAnsi"/>
          <w:color w:val="000000"/>
          <w:szCs w:val="22"/>
        </w:rPr>
        <w:t xml:space="preserve">Australian </w:t>
      </w:r>
      <w:r w:rsidR="007C59BA">
        <w:rPr>
          <w:rFonts w:asciiTheme="minorHAnsi" w:hAnsiTheme="minorHAnsi" w:cstheme="majorHAnsi"/>
          <w:color w:val="000000"/>
          <w:szCs w:val="22"/>
        </w:rPr>
        <w:t xml:space="preserve">regulations affecting medical devices have been amended </w:t>
      </w:r>
      <w:r w:rsidR="00B47BC3">
        <w:rPr>
          <w:rFonts w:asciiTheme="minorHAnsi" w:hAnsiTheme="minorHAnsi" w:cstheme="majorHAnsi"/>
          <w:color w:val="000000"/>
          <w:szCs w:val="22"/>
        </w:rPr>
        <w:t xml:space="preserve">in recent years </w:t>
      </w:r>
      <w:r w:rsidR="007C59BA">
        <w:rPr>
          <w:rFonts w:asciiTheme="minorHAnsi" w:hAnsiTheme="minorHAnsi" w:cstheme="majorHAnsi"/>
          <w:color w:val="000000"/>
          <w:szCs w:val="22"/>
        </w:rPr>
        <w:t>to account for advances in technology, including the materials and manufacturing, together with their interaction with software, yet similar regulatory safeguards do not exist for devices used in an investigational context.</w:t>
      </w:r>
    </w:p>
    <w:p w14:paraId="17046AA0" w14:textId="7436A12A" w:rsidR="003843BC" w:rsidRDefault="000F48B8" w:rsidP="00E45B9F">
      <w:pPr>
        <w:rPr>
          <w:rFonts w:asciiTheme="minorHAnsi" w:hAnsiTheme="minorHAnsi" w:cstheme="majorHAnsi"/>
          <w:color w:val="000000"/>
          <w:szCs w:val="22"/>
        </w:rPr>
      </w:pPr>
      <w:r>
        <w:rPr>
          <w:rFonts w:asciiTheme="minorHAnsi" w:hAnsiTheme="minorHAnsi" w:cstheme="majorHAnsi"/>
          <w:color w:val="000000"/>
          <w:szCs w:val="22"/>
        </w:rPr>
        <w:t xml:space="preserve">Good Clinical Practice (GCP) </w:t>
      </w:r>
      <w:r w:rsidRPr="005A08FA">
        <w:rPr>
          <w:rFonts w:asciiTheme="minorHAnsi" w:hAnsiTheme="minorHAnsi" w:cstheme="majorHAnsi"/>
          <w:color w:val="000000"/>
          <w:szCs w:val="22"/>
        </w:rPr>
        <w:t xml:space="preserve">is an international ethical and scientific quality standard for designing, conducting, </w:t>
      </w:r>
      <w:r w:rsidRPr="00FC4E6B">
        <w:rPr>
          <w:rFonts w:asciiTheme="minorHAnsi" w:hAnsiTheme="minorHAnsi" w:cstheme="majorHAnsi"/>
          <w:color w:val="000000"/>
          <w:szCs w:val="22"/>
        </w:rPr>
        <w:t>recording,</w:t>
      </w:r>
      <w:r w:rsidRPr="005A08FA">
        <w:rPr>
          <w:rFonts w:asciiTheme="minorHAnsi" w:hAnsiTheme="minorHAnsi" w:cstheme="majorHAnsi"/>
          <w:color w:val="000000"/>
          <w:szCs w:val="22"/>
        </w:rPr>
        <w:t xml:space="preserve"> and reporting clinical trials.</w:t>
      </w:r>
      <w:r>
        <w:rPr>
          <w:rFonts w:asciiTheme="minorHAnsi" w:hAnsiTheme="minorHAnsi" w:cstheme="majorHAnsi"/>
          <w:color w:val="000000"/>
          <w:szCs w:val="22"/>
        </w:rPr>
        <w:t xml:space="preserve"> </w:t>
      </w:r>
      <w:r w:rsidR="003843BC">
        <w:rPr>
          <w:rFonts w:asciiTheme="minorHAnsi" w:hAnsiTheme="minorHAnsi" w:cstheme="majorHAnsi"/>
          <w:color w:val="000000"/>
          <w:szCs w:val="22"/>
        </w:rPr>
        <w:t xml:space="preserve">Clinical trials of medicines and biologicals </w:t>
      </w:r>
      <w:r w:rsidR="00473763">
        <w:rPr>
          <w:rFonts w:asciiTheme="minorHAnsi" w:hAnsiTheme="minorHAnsi" w:cstheme="majorHAnsi"/>
          <w:color w:val="000000"/>
          <w:szCs w:val="22"/>
        </w:rPr>
        <w:t xml:space="preserve">(but not currently medical devices) </w:t>
      </w:r>
      <w:r w:rsidR="003843BC">
        <w:rPr>
          <w:rFonts w:asciiTheme="minorHAnsi" w:hAnsiTheme="minorHAnsi" w:cstheme="majorHAnsi"/>
          <w:color w:val="000000"/>
          <w:szCs w:val="22"/>
        </w:rPr>
        <w:t>are legally required to comply with GCP, and this is actively monitored and enforced by the TGA through the GCP Inspection Program</w:t>
      </w:r>
      <w:r w:rsidR="00CE0844">
        <w:rPr>
          <w:rFonts w:asciiTheme="minorHAnsi" w:hAnsiTheme="minorHAnsi" w:cstheme="majorHAnsi"/>
          <w:color w:val="000000"/>
          <w:szCs w:val="22"/>
        </w:rPr>
        <w:t xml:space="preserve"> (GCPIP)</w:t>
      </w:r>
      <w:r w:rsidR="003843BC">
        <w:rPr>
          <w:rFonts w:asciiTheme="minorHAnsi" w:hAnsiTheme="minorHAnsi" w:cstheme="majorHAnsi"/>
          <w:color w:val="000000"/>
          <w:szCs w:val="22"/>
        </w:rPr>
        <w:t xml:space="preserve">. The GCPIP enables the TGA to conduct physical inspections of clinical trial sites to ensure that trials are being conducted in accordance with GCP standards. </w:t>
      </w:r>
      <w:r w:rsidR="00FC4E6B" w:rsidRPr="005A08FA">
        <w:rPr>
          <w:rFonts w:asciiTheme="minorHAnsi" w:hAnsiTheme="minorHAnsi" w:cstheme="majorHAnsi"/>
          <w:color w:val="000000"/>
          <w:szCs w:val="22"/>
        </w:rPr>
        <w:t xml:space="preserve">Compliance with GCP provides assurance that the rights, </w:t>
      </w:r>
      <w:r w:rsidR="005B7008" w:rsidRPr="00FC4E6B">
        <w:rPr>
          <w:rFonts w:asciiTheme="minorHAnsi" w:hAnsiTheme="minorHAnsi" w:cstheme="majorHAnsi"/>
          <w:color w:val="000000"/>
          <w:szCs w:val="22"/>
        </w:rPr>
        <w:t>safety,</w:t>
      </w:r>
      <w:r w:rsidR="00FC4E6B" w:rsidRPr="005A08FA">
        <w:rPr>
          <w:rFonts w:asciiTheme="minorHAnsi" w:hAnsiTheme="minorHAnsi" w:cstheme="majorHAnsi"/>
          <w:color w:val="000000"/>
          <w:szCs w:val="22"/>
        </w:rPr>
        <w:t xml:space="preserve"> and well-being of clinical trial participants are protected and that the trial data generated are</w:t>
      </w:r>
      <w:r w:rsidR="00512DB8">
        <w:rPr>
          <w:rFonts w:asciiTheme="minorHAnsi" w:hAnsiTheme="minorHAnsi" w:cstheme="majorHAnsi"/>
          <w:color w:val="000000"/>
          <w:szCs w:val="22"/>
        </w:rPr>
        <w:t xml:space="preserve"> credible.</w:t>
      </w:r>
      <w:r w:rsidR="00FC4E6B" w:rsidRPr="005A08FA">
        <w:rPr>
          <w:rFonts w:asciiTheme="minorHAnsi" w:hAnsiTheme="minorHAnsi" w:cstheme="majorHAnsi"/>
          <w:color w:val="000000"/>
          <w:szCs w:val="22"/>
        </w:rPr>
        <w:t xml:space="preserve"> </w:t>
      </w:r>
    </w:p>
    <w:p w14:paraId="34377509" w14:textId="674A4D93" w:rsidR="003C71FC" w:rsidRDefault="003401FE" w:rsidP="00E45B9F">
      <w:pPr>
        <w:rPr>
          <w:rFonts w:asciiTheme="minorHAnsi" w:hAnsiTheme="minorHAnsi" w:cstheme="majorHAnsi"/>
          <w:color w:val="000000"/>
          <w:szCs w:val="22"/>
        </w:rPr>
      </w:pPr>
      <w:r>
        <w:rPr>
          <w:rFonts w:asciiTheme="minorHAnsi" w:hAnsiTheme="minorHAnsi" w:cstheme="majorHAnsi"/>
          <w:color w:val="000000"/>
          <w:szCs w:val="22"/>
        </w:rPr>
        <w:t xml:space="preserve">Clinical trials for medical devices are </w:t>
      </w:r>
      <w:r w:rsidRPr="00C84E25">
        <w:rPr>
          <w:rFonts w:asciiTheme="minorHAnsi" w:hAnsiTheme="minorHAnsi" w:cstheme="majorHAnsi"/>
          <w:b/>
          <w:bCs/>
          <w:color w:val="000000"/>
          <w:szCs w:val="22"/>
        </w:rPr>
        <w:t>not</w:t>
      </w:r>
      <w:r>
        <w:rPr>
          <w:rFonts w:asciiTheme="minorHAnsi" w:hAnsiTheme="minorHAnsi" w:cstheme="majorHAnsi"/>
          <w:color w:val="000000"/>
          <w:szCs w:val="22"/>
        </w:rPr>
        <w:t xml:space="preserve"> currently included in this program.</w:t>
      </w:r>
      <w:r w:rsidR="005B60C4">
        <w:rPr>
          <w:rFonts w:asciiTheme="minorHAnsi" w:hAnsiTheme="minorHAnsi" w:cstheme="majorHAnsi"/>
          <w:color w:val="000000"/>
          <w:szCs w:val="22"/>
        </w:rPr>
        <w:t xml:space="preserve"> </w:t>
      </w:r>
      <w:r w:rsidR="003843BC">
        <w:rPr>
          <w:rFonts w:asciiTheme="minorHAnsi" w:hAnsiTheme="minorHAnsi" w:cstheme="majorHAnsi"/>
          <w:color w:val="000000"/>
          <w:szCs w:val="22"/>
        </w:rPr>
        <w:t>While</w:t>
      </w:r>
      <w:r w:rsidR="005B60C4">
        <w:rPr>
          <w:rFonts w:asciiTheme="minorHAnsi" w:hAnsiTheme="minorHAnsi" w:cstheme="majorHAnsi"/>
          <w:color w:val="000000"/>
          <w:szCs w:val="22"/>
        </w:rPr>
        <w:t xml:space="preserve"> clinical trials of medical devices are </w:t>
      </w:r>
      <w:r w:rsidR="003843BC">
        <w:rPr>
          <w:rFonts w:asciiTheme="minorHAnsi" w:hAnsiTheme="minorHAnsi" w:cstheme="majorHAnsi"/>
          <w:color w:val="000000"/>
          <w:szCs w:val="22"/>
        </w:rPr>
        <w:t xml:space="preserve">legally </w:t>
      </w:r>
      <w:r w:rsidR="005B60C4">
        <w:rPr>
          <w:rFonts w:asciiTheme="minorHAnsi" w:hAnsiTheme="minorHAnsi" w:cstheme="majorHAnsi"/>
          <w:color w:val="000000"/>
          <w:szCs w:val="22"/>
        </w:rPr>
        <w:t>required to comply with the NHMRC National Statement on Ethical Conduct in Human Research (which requires research to meet the requirements of ISO 14155 - the GCP-equivalent standard for medical devices),</w:t>
      </w:r>
      <w:r w:rsidR="005B60C4">
        <w:rPr>
          <w:rStyle w:val="FootnoteReference"/>
          <w:rFonts w:asciiTheme="minorHAnsi" w:hAnsiTheme="minorHAnsi" w:cstheme="majorHAnsi"/>
          <w:color w:val="000000"/>
          <w:szCs w:val="22"/>
        </w:rPr>
        <w:footnoteReference w:id="6"/>
      </w:r>
      <w:r w:rsidR="005B60C4">
        <w:rPr>
          <w:rFonts w:asciiTheme="minorHAnsi" w:hAnsiTheme="minorHAnsi" w:cstheme="majorHAnsi"/>
          <w:color w:val="000000"/>
          <w:szCs w:val="22"/>
        </w:rPr>
        <w:t xml:space="preserve"> this is currently not monitored or enforced by the TGA.</w:t>
      </w:r>
      <w:r w:rsidR="005E3CA0">
        <w:rPr>
          <w:rFonts w:asciiTheme="minorHAnsi" w:hAnsiTheme="minorHAnsi" w:cstheme="majorHAnsi"/>
          <w:color w:val="000000"/>
          <w:szCs w:val="22"/>
        </w:rPr>
        <w:t xml:space="preserve"> </w:t>
      </w:r>
    </w:p>
    <w:p w14:paraId="195ABB46" w14:textId="77777777" w:rsidR="000F6737" w:rsidRDefault="000F6737">
      <w:pPr>
        <w:spacing w:before="0" w:after="0" w:line="240" w:lineRule="auto"/>
        <w:rPr>
          <w:rFonts w:ascii="Arial" w:eastAsia="Times New Roman" w:hAnsi="Arial"/>
          <w:b/>
          <w:bCs/>
          <w:sz w:val="38"/>
          <w:szCs w:val="38"/>
        </w:rPr>
      </w:pPr>
      <w:bookmarkStart w:id="8" w:name="_Toc106811803"/>
      <w:bookmarkStart w:id="9" w:name="_Toc106811927"/>
      <w:r>
        <w:br w:type="page"/>
      </w:r>
    </w:p>
    <w:p w14:paraId="7271757D" w14:textId="010AE0B2" w:rsidR="00D651FD" w:rsidRDefault="00D0020C" w:rsidP="00D651FD">
      <w:pPr>
        <w:pStyle w:val="Heading2"/>
      </w:pPr>
      <w:r>
        <w:lastRenderedPageBreak/>
        <w:t>Proposed changes</w:t>
      </w:r>
      <w:bookmarkEnd w:id="8"/>
      <w:bookmarkEnd w:id="9"/>
    </w:p>
    <w:p w14:paraId="65027311" w14:textId="32A5CA2D" w:rsidR="005A08FA" w:rsidRPr="00FA4D5F" w:rsidRDefault="004D05A3" w:rsidP="000F6737">
      <w:pPr>
        <w:pStyle w:val="Heading3"/>
        <w:spacing w:before="360"/>
      </w:pPr>
      <w:bookmarkStart w:id="10" w:name="_Toc106811928"/>
      <w:r w:rsidRPr="00FA4D5F">
        <w:t>CTA approval for c</w:t>
      </w:r>
      <w:r w:rsidR="00D0020C" w:rsidRPr="00FA4D5F">
        <w:t>linical</w:t>
      </w:r>
      <w:r w:rsidR="00D0020C" w:rsidRPr="005A08FA">
        <w:t xml:space="preserve"> trials of certain </w:t>
      </w:r>
      <w:r w:rsidR="00613461" w:rsidRPr="00FA4D5F">
        <w:t>high-risk</w:t>
      </w:r>
      <w:r w:rsidR="00D0020C" w:rsidRPr="005A08FA">
        <w:t xml:space="preserve"> devices</w:t>
      </w:r>
      <w:bookmarkEnd w:id="10"/>
    </w:p>
    <w:p w14:paraId="612305B3" w14:textId="38473D6F" w:rsidR="009D3C08" w:rsidRDefault="006E2080" w:rsidP="00D651FD">
      <w:pPr>
        <w:pStyle w:val="NormalWeb"/>
        <w:spacing w:before="240" w:after="240"/>
        <w:rPr>
          <w:rFonts w:asciiTheme="minorHAnsi" w:hAnsiTheme="minorHAnsi" w:cstheme="majorHAnsi"/>
          <w:color w:val="000000"/>
          <w:sz w:val="22"/>
          <w:szCs w:val="22"/>
        </w:rPr>
      </w:pPr>
      <w:r>
        <w:rPr>
          <w:rFonts w:asciiTheme="minorHAnsi" w:hAnsiTheme="minorHAnsi" w:cstheme="majorHAnsi"/>
          <w:color w:val="000000"/>
          <w:sz w:val="22"/>
          <w:szCs w:val="22"/>
        </w:rPr>
        <w:t>We propose</w:t>
      </w:r>
      <w:r w:rsidR="00024AB5">
        <w:rPr>
          <w:rFonts w:asciiTheme="minorHAnsi" w:hAnsiTheme="minorHAnsi" w:cstheme="majorHAnsi"/>
          <w:color w:val="000000"/>
          <w:sz w:val="22"/>
          <w:szCs w:val="22"/>
        </w:rPr>
        <w:t xml:space="preserve"> that </w:t>
      </w:r>
      <w:r w:rsidR="00473763">
        <w:rPr>
          <w:rFonts w:asciiTheme="minorHAnsi" w:hAnsiTheme="minorHAnsi" w:cstheme="majorHAnsi"/>
          <w:color w:val="000000"/>
          <w:sz w:val="22"/>
          <w:szCs w:val="22"/>
        </w:rPr>
        <w:t xml:space="preserve">certain </w:t>
      </w:r>
      <w:r w:rsidR="00024AB5">
        <w:rPr>
          <w:rFonts w:asciiTheme="minorHAnsi" w:hAnsiTheme="minorHAnsi" w:cstheme="majorHAnsi"/>
          <w:color w:val="000000"/>
          <w:sz w:val="22"/>
          <w:szCs w:val="22"/>
        </w:rPr>
        <w:t>i</w:t>
      </w:r>
      <w:r w:rsidR="005A08FA">
        <w:rPr>
          <w:rFonts w:asciiTheme="minorHAnsi" w:hAnsiTheme="minorHAnsi" w:cstheme="majorHAnsi"/>
          <w:color w:val="000000"/>
          <w:sz w:val="22"/>
          <w:szCs w:val="22"/>
        </w:rPr>
        <w:t xml:space="preserve">nvasive </w:t>
      </w:r>
      <w:r w:rsidR="00261267">
        <w:rPr>
          <w:rFonts w:asciiTheme="minorHAnsi" w:hAnsiTheme="minorHAnsi" w:cstheme="majorHAnsi"/>
          <w:color w:val="000000"/>
          <w:sz w:val="22"/>
          <w:szCs w:val="22"/>
        </w:rPr>
        <w:t xml:space="preserve">or </w:t>
      </w:r>
      <w:r w:rsidR="005A08FA">
        <w:rPr>
          <w:rFonts w:asciiTheme="minorHAnsi" w:hAnsiTheme="minorHAnsi" w:cstheme="majorHAnsi"/>
          <w:color w:val="000000"/>
          <w:sz w:val="22"/>
          <w:szCs w:val="22"/>
        </w:rPr>
        <w:t xml:space="preserve">implantable medical devices </w:t>
      </w:r>
      <w:r w:rsidR="00261267">
        <w:rPr>
          <w:rFonts w:asciiTheme="minorHAnsi" w:hAnsiTheme="minorHAnsi" w:cstheme="majorHAnsi"/>
          <w:color w:val="000000"/>
          <w:sz w:val="22"/>
          <w:szCs w:val="22"/>
        </w:rPr>
        <w:t>that</w:t>
      </w:r>
      <w:r w:rsidR="00026477">
        <w:rPr>
          <w:rFonts w:asciiTheme="minorHAnsi" w:hAnsiTheme="minorHAnsi" w:cstheme="majorHAnsi"/>
          <w:color w:val="000000"/>
          <w:sz w:val="22"/>
          <w:szCs w:val="22"/>
        </w:rPr>
        <w:t xml:space="preserve"> have not previously been </w:t>
      </w:r>
      <w:r w:rsidR="00BB657A">
        <w:rPr>
          <w:rFonts w:asciiTheme="minorHAnsi" w:hAnsiTheme="minorHAnsi" w:cstheme="majorHAnsi"/>
          <w:color w:val="000000"/>
          <w:sz w:val="22"/>
          <w:szCs w:val="22"/>
        </w:rPr>
        <w:t>use</w:t>
      </w:r>
      <w:r w:rsidR="00284D5F">
        <w:rPr>
          <w:rFonts w:asciiTheme="minorHAnsi" w:hAnsiTheme="minorHAnsi" w:cstheme="majorHAnsi"/>
          <w:color w:val="000000"/>
          <w:sz w:val="22"/>
          <w:szCs w:val="22"/>
        </w:rPr>
        <w:t>d or studied</w:t>
      </w:r>
      <w:r w:rsidR="00BB657A">
        <w:rPr>
          <w:rFonts w:asciiTheme="minorHAnsi" w:hAnsiTheme="minorHAnsi" w:cstheme="majorHAnsi"/>
          <w:color w:val="000000"/>
          <w:sz w:val="22"/>
          <w:szCs w:val="22"/>
        </w:rPr>
        <w:t xml:space="preserve"> in people</w:t>
      </w:r>
      <w:r w:rsidR="00026477">
        <w:rPr>
          <w:rFonts w:asciiTheme="minorHAnsi" w:hAnsiTheme="minorHAnsi" w:cstheme="majorHAnsi"/>
          <w:color w:val="000000"/>
          <w:sz w:val="22"/>
          <w:szCs w:val="22"/>
        </w:rPr>
        <w:t xml:space="preserve"> </w:t>
      </w:r>
      <w:r w:rsidR="005B7008">
        <w:rPr>
          <w:rFonts w:asciiTheme="minorHAnsi" w:hAnsiTheme="minorHAnsi" w:cstheme="majorHAnsi"/>
          <w:color w:val="000000"/>
          <w:sz w:val="22"/>
          <w:szCs w:val="22"/>
        </w:rPr>
        <w:t xml:space="preserve">would </w:t>
      </w:r>
      <w:r w:rsidR="00026477">
        <w:rPr>
          <w:rFonts w:asciiTheme="minorHAnsi" w:hAnsiTheme="minorHAnsi" w:cstheme="majorHAnsi"/>
          <w:color w:val="000000"/>
          <w:sz w:val="22"/>
          <w:szCs w:val="22"/>
        </w:rPr>
        <w:t>be required to obtain</w:t>
      </w:r>
      <w:r w:rsidR="00D651FD" w:rsidRPr="00D651FD">
        <w:rPr>
          <w:rFonts w:asciiTheme="minorHAnsi" w:hAnsiTheme="minorHAnsi" w:cstheme="majorHAnsi"/>
          <w:color w:val="000000"/>
          <w:sz w:val="22"/>
          <w:szCs w:val="22"/>
        </w:rPr>
        <w:t xml:space="preserve"> </w:t>
      </w:r>
      <w:r w:rsidR="002E61DD">
        <w:rPr>
          <w:rFonts w:asciiTheme="minorHAnsi" w:hAnsiTheme="minorHAnsi" w:cstheme="majorHAnsi"/>
          <w:color w:val="000000"/>
          <w:sz w:val="22"/>
          <w:szCs w:val="22"/>
        </w:rPr>
        <w:t xml:space="preserve">TGA </w:t>
      </w:r>
      <w:r w:rsidR="00D651FD" w:rsidRPr="00D651FD">
        <w:rPr>
          <w:rFonts w:asciiTheme="minorHAnsi" w:hAnsiTheme="minorHAnsi" w:cstheme="majorHAnsi"/>
          <w:color w:val="000000"/>
          <w:sz w:val="22"/>
          <w:szCs w:val="22"/>
        </w:rPr>
        <w:t xml:space="preserve">approval through the </w:t>
      </w:r>
      <w:r w:rsidR="002E61DD">
        <w:rPr>
          <w:rFonts w:asciiTheme="minorHAnsi" w:hAnsiTheme="minorHAnsi" w:cstheme="majorHAnsi"/>
          <w:color w:val="000000"/>
          <w:sz w:val="22"/>
          <w:szCs w:val="22"/>
        </w:rPr>
        <w:t>CTA pathway</w:t>
      </w:r>
      <w:r w:rsidR="00024AB5">
        <w:rPr>
          <w:rFonts w:asciiTheme="minorHAnsi" w:hAnsiTheme="minorHAnsi" w:cstheme="majorHAnsi"/>
          <w:color w:val="000000"/>
          <w:sz w:val="22"/>
          <w:szCs w:val="22"/>
        </w:rPr>
        <w:t xml:space="preserve"> – the CTN would not be an available option</w:t>
      </w:r>
      <w:r w:rsidR="00D651FD" w:rsidRPr="00D651FD">
        <w:rPr>
          <w:rFonts w:asciiTheme="minorHAnsi" w:hAnsiTheme="minorHAnsi" w:cstheme="majorHAnsi"/>
          <w:color w:val="000000"/>
          <w:sz w:val="22"/>
          <w:szCs w:val="22"/>
        </w:rPr>
        <w:t>.</w:t>
      </w:r>
    </w:p>
    <w:p w14:paraId="5DE463BB" w14:textId="4F471768" w:rsidR="00024AB5" w:rsidRDefault="009D3C08" w:rsidP="00D651FD">
      <w:pPr>
        <w:pStyle w:val="NormalWeb"/>
        <w:spacing w:before="240" w:after="240"/>
        <w:rPr>
          <w:rFonts w:asciiTheme="minorHAnsi" w:hAnsiTheme="minorHAnsi" w:cstheme="majorHAnsi"/>
          <w:color w:val="000000"/>
          <w:sz w:val="22"/>
          <w:szCs w:val="22"/>
        </w:rPr>
      </w:pPr>
      <w:r w:rsidRPr="009D3C08">
        <w:rPr>
          <w:rFonts w:asciiTheme="minorHAnsi" w:hAnsiTheme="minorHAnsi" w:cstheme="majorHAnsi"/>
          <w:color w:val="000000"/>
          <w:sz w:val="22"/>
          <w:szCs w:val="22"/>
        </w:rPr>
        <w:t>Owing to the invasive nature of many medical devices, special consideration is warranted</w:t>
      </w:r>
      <w:r w:rsidR="00935EAE">
        <w:rPr>
          <w:rFonts w:asciiTheme="minorHAnsi" w:hAnsiTheme="minorHAnsi" w:cstheme="majorHAnsi"/>
          <w:color w:val="000000"/>
          <w:sz w:val="22"/>
          <w:szCs w:val="22"/>
        </w:rPr>
        <w:t>,</w:t>
      </w:r>
      <w:r w:rsidRPr="009D3C08">
        <w:rPr>
          <w:rFonts w:asciiTheme="minorHAnsi" w:hAnsiTheme="minorHAnsi" w:cstheme="majorHAnsi"/>
          <w:color w:val="000000"/>
          <w:sz w:val="22"/>
          <w:szCs w:val="22"/>
        </w:rPr>
        <w:t xml:space="preserve"> as in the event of a device failure a </w:t>
      </w:r>
      <w:r w:rsidR="00473763">
        <w:rPr>
          <w:rFonts w:asciiTheme="minorHAnsi" w:hAnsiTheme="minorHAnsi" w:cstheme="majorHAnsi"/>
          <w:color w:val="000000"/>
          <w:sz w:val="22"/>
          <w:szCs w:val="22"/>
        </w:rPr>
        <w:t xml:space="preserve">potentially major </w:t>
      </w:r>
      <w:r w:rsidRPr="009D3C08">
        <w:rPr>
          <w:rFonts w:asciiTheme="minorHAnsi" w:hAnsiTheme="minorHAnsi" w:cstheme="majorHAnsi"/>
          <w:color w:val="000000"/>
          <w:sz w:val="22"/>
          <w:szCs w:val="22"/>
        </w:rPr>
        <w:t>surgical procedure may be required to remove a faulty experimental device or repair damage caused.</w:t>
      </w:r>
      <w:r w:rsidR="00935EAE">
        <w:rPr>
          <w:rFonts w:asciiTheme="minorHAnsi" w:hAnsiTheme="minorHAnsi" w:cstheme="majorHAnsi"/>
          <w:color w:val="000000"/>
          <w:sz w:val="22"/>
          <w:szCs w:val="22"/>
        </w:rPr>
        <w:t xml:space="preserve"> Over time, medical devices</w:t>
      </w:r>
      <w:r w:rsidR="00935EAE" w:rsidRPr="00935EAE">
        <w:rPr>
          <w:rFonts w:asciiTheme="minorHAnsi" w:eastAsia="Calibri" w:hAnsiTheme="minorHAnsi" w:cs="Calibri"/>
          <w:color w:val="000000"/>
        </w:rPr>
        <w:t xml:space="preserve"> </w:t>
      </w:r>
      <w:r w:rsidR="00935EAE">
        <w:rPr>
          <w:rFonts w:asciiTheme="minorHAnsi" w:eastAsia="Calibri" w:hAnsiTheme="minorHAnsi" w:cs="Calibri"/>
          <w:color w:val="000000"/>
        </w:rPr>
        <w:t xml:space="preserve">have </w:t>
      </w:r>
      <w:r w:rsidR="00935EAE" w:rsidRPr="00935EAE">
        <w:rPr>
          <w:rFonts w:asciiTheme="minorHAnsi" w:hAnsiTheme="minorHAnsi" w:cstheme="majorHAnsi"/>
          <w:color w:val="000000"/>
          <w:sz w:val="22"/>
          <w:szCs w:val="22"/>
        </w:rPr>
        <w:t>increas</w:t>
      </w:r>
      <w:r w:rsidR="00935EAE">
        <w:rPr>
          <w:rFonts w:asciiTheme="minorHAnsi" w:hAnsiTheme="minorHAnsi" w:cstheme="majorHAnsi"/>
          <w:color w:val="000000"/>
          <w:sz w:val="22"/>
          <w:szCs w:val="22"/>
        </w:rPr>
        <w:t xml:space="preserve">ed </w:t>
      </w:r>
      <w:r w:rsidR="00935EAE" w:rsidRPr="00935EAE">
        <w:rPr>
          <w:rFonts w:asciiTheme="minorHAnsi" w:hAnsiTheme="minorHAnsi" w:cstheme="majorHAnsi"/>
          <w:color w:val="000000"/>
          <w:sz w:val="22"/>
          <w:szCs w:val="22"/>
        </w:rPr>
        <w:t>in</w:t>
      </w:r>
      <w:r w:rsidR="00935EAE">
        <w:rPr>
          <w:rFonts w:asciiTheme="minorHAnsi" w:hAnsiTheme="minorHAnsi" w:cstheme="majorHAnsi"/>
          <w:color w:val="000000"/>
          <w:sz w:val="22"/>
          <w:szCs w:val="22"/>
        </w:rPr>
        <w:t xml:space="preserve"> their complexity</w:t>
      </w:r>
      <w:r w:rsidR="00935EAE" w:rsidRPr="00935EAE">
        <w:rPr>
          <w:rFonts w:asciiTheme="minorHAnsi" w:hAnsiTheme="minorHAnsi" w:cstheme="majorHAnsi"/>
          <w:color w:val="000000"/>
          <w:sz w:val="22"/>
          <w:szCs w:val="22"/>
        </w:rPr>
        <w:t xml:space="preserve">, </w:t>
      </w:r>
      <w:r w:rsidR="00935EAE">
        <w:rPr>
          <w:rFonts w:asciiTheme="minorHAnsi" w:hAnsiTheme="minorHAnsi" w:cstheme="majorHAnsi"/>
          <w:color w:val="000000"/>
          <w:sz w:val="22"/>
          <w:szCs w:val="22"/>
        </w:rPr>
        <w:t xml:space="preserve">with </w:t>
      </w:r>
      <w:r w:rsidR="00935EAE" w:rsidRPr="00935EAE">
        <w:rPr>
          <w:rFonts w:asciiTheme="minorHAnsi" w:hAnsiTheme="minorHAnsi" w:cstheme="majorHAnsi"/>
          <w:color w:val="000000"/>
          <w:sz w:val="22"/>
          <w:szCs w:val="22"/>
        </w:rPr>
        <w:t xml:space="preserve">advances in technology </w:t>
      </w:r>
      <w:r w:rsidR="00935EAE">
        <w:rPr>
          <w:rFonts w:asciiTheme="minorHAnsi" w:hAnsiTheme="minorHAnsi" w:cstheme="majorHAnsi"/>
          <w:color w:val="000000"/>
          <w:sz w:val="22"/>
          <w:szCs w:val="22"/>
        </w:rPr>
        <w:t>such as the</w:t>
      </w:r>
      <w:r w:rsidR="00935EAE" w:rsidRPr="00935EAE">
        <w:rPr>
          <w:rFonts w:asciiTheme="minorHAnsi" w:hAnsiTheme="minorHAnsi" w:cstheme="majorHAnsi"/>
          <w:color w:val="000000"/>
          <w:sz w:val="22"/>
          <w:szCs w:val="22"/>
        </w:rPr>
        <w:t xml:space="preserve"> materials used (including 3D printed materials), </w:t>
      </w:r>
      <w:r w:rsidR="00935EAE">
        <w:rPr>
          <w:rFonts w:asciiTheme="minorHAnsi" w:hAnsiTheme="minorHAnsi" w:cstheme="majorHAnsi"/>
          <w:color w:val="000000"/>
          <w:sz w:val="22"/>
          <w:szCs w:val="22"/>
        </w:rPr>
        <w:t>and</w:t>
      </w:r>
      <w:r w:rsidR="00935EAE" w:rsidRPr="00935EAE">
        <w:rPr>
          <w:rFonts w:asciiTheme="minorHAnsi" w:hAnsiTheme="minorHAnsi" w:cstheme="majorHAnsi"/>
          <w:color w:val="000000"/>
          <w:sz w:val="22"/>
          <w:szCs w:val="22"/>
        </w:rPr>
        <w:t xml:space="preserve"> the interaction with software. </w:t>
      </w:r>
      <w:bookmarkStart w:id="11" w:name="_Hlk109823500"/>
      <w:r w:rsidR="00935EAE" w:rsidRPr="00935EAE">
        <w:rPr>
          <w:rFonts w:asciiTheme="minorHAnsi" w:hAnsiTheme="minorHAnsi" w:cstheme="majorHAnsi"/>
          <w:color w:val="000000"/>
          <w:sz w:val="22"/>
          <w:szCs w:val="22"/>
        </w:rPr>
        <w:t>Many regulators, including the TGA have identified that some emerging medical devices are posing an increasing higher risk to patient safety</w:t>
      </w:r>
      <w:r w:rsidR="007C59BA">
        <w:rPr>
          <w:rFonts w:asciiTheme="minorHAnsi" w:hAnsiTheme="minorHAnsi" w:cstheme="majorHAnsi"/>
          <w:color w:val="000000"/>
          <w:sz w:val="22"/>
          <w:szCs w:val="22"/>
        </w:rPr>
        <w:t xml:space="preserve"> and whilst regulatory changes have been implemented affecting the regulation of devices with these innovations that are </w:t>
      </w:r>
      <w:r w:rsidR="007B7366">
        <w:rPr>
          <w:rFonts w:asciiTheme="minorHAnsi" w:hAnsiTheme="minorHAnsi" w:cstheme="majorHAnsi"/>
          <w:color w:val="000000"/>
          <w:sz w:val="22"/>
          <w:szCs w:val="22"/>
        </w:rPr>
        <w:t xml:space="preserve">marketed, </w:t>
      </w:r>
      <w:r w:rsidR="007B7366" w:rsidRPr="00935EAE">
        <w:rPr>
          <w:rFonts w:asciiTheme="minorHAnsi" w:hAnsiTheme="minorHAnsi" w:cstheme="majorHAnsi"/>
          <w:color w:val="000000"/>
          <w:sz w:val="22"/>
          <w:szCs w:val="22"/>
        </w:rPr>
        <w:t>no</w:t>
      </w:r>
      <w:r w:rsidR="007C59BA">
        <w:rPr>
          <w:rFonts w:asciiTheme="minorHAnsi" w:hAnsiTheme="minorHAnsi" w:cstheme="majorHAnsi"/>
          <w:color w:val="000000"/>
          <w:sz w:val="22"/>
          <w:szCs w:val="22"/>
        </w:rPr>
        <w:t xml:space="preserve"> oversight is mandated for these devices used in the context of clinical trials.</w:t>
      </w:r>
    </w:p>
    <w:bookmarkEnd w:id="11"/>
    <w:p w14:paraId="1D4335A1" w14:textId="74A07B29" w:rsidR="00C70D79" w:rsidRDefault="00D651FD" w:rsidP="00C84E25">
      <w:r w:rsidRPr="00D651FD">
        <w:t>The</w:t>
      </w:r>
      <w:r w:rsidR="00024AB5">
        <w:t xml:space="preserve"> means the</w:t>
      </w:r>
      <w:r w:rsidRPr="00D651FD">
        <w:t xml:space="preserve"> TGA </w:t>
      </w:r>
      <w:r w:rsidR="005B7008">
        <w:t>would</w:t>
      </w:r>
      <w:r w:rsidR="005B7008" w:rsidRPr="00D651FD">
        <w:t xml:space="preserve"> </w:t>
      </w:r>
      <w:r w:rsidRPr="00D651FD">
        <w:t xml:space="preserve">assess the device’s </w:t>
      </w:r>
      <w:r w:rsidR="000A00AC">
        <w:t>scientific</w:t>
      </w:r>
      <w:r w:rsidRPr="00D651FD">
        <w:t xml:space="preserve"> evidence, includ</w:t>
      </w:r>
      <w:r w:rsidR="00D0020C">
        <w:t>ing</w:t>
      </w:r>
      <w:r w:rsidRPr="00D651FD">
        <w:t xml:space="preserve"> but not limited to biological safety testing</w:t>
      </w:r>
      <w:r w:rsidR="00D0020C">
        <w:t xml:space="preserve"> and </w:t>
      </w:r>
      <w:r w:rsidRPr="00D651FD">
        <w:t>functional performance testing</w:t>
      </w:r>
      <w:r w:rsidR="00024AB5">
        <w:t xml:space="preserve"> prior to use in any clinical trial</w:t>
      </w:r>
      <w:r w:rsidRPr="00D651FD">
        <w:t xml:space="preserve">. HREC review of the trial protocol and scientific data would still be required. Once the approval from TGA </w:t>
      </w:r>
      <w:r w:rsidR="005B7008">
        <w:t>wa</w:t>
      </w:r>
      <w:r w:rsidR="00D0020C" w:rsidRPr="00D651FD">
        <w:t xml:space="preserve">s </w:t>
      </w:r>
      <w:r w:rsidRPr="00D651FD">
        <w:t xml:space="preserve">obtained and the sponsor </w:t>
      </w:r>
      <w:r w:rsidR="00024AB5">
        <w:t xml:space="preserve">has </w:t>
      </w:r>
      <w:r w:rsidRPr="00D651FD">
        <w:t>receive</w:t>
      </w:r>
      <w:r w:rsidR="005B7008">
        <w:t>d</w:t>
      </w:r>
      <w:r w:rsidRPr="00D651FD">
        <w:t xml:space="preserve"> other relevant approvals</w:t>
      </w:r>
      <w:r w:rsidR="00024AB5">
        <w:t>,</w:t>
      </w:r>
      <w:r w:rsidRPr="00D651FD">
        <w:t xml:space="preserve"> including the ethics approval by the relevant HREC, the sponsor </w:t>
      </w:r>
      <w:r w:rsidR="00D0020C">
        <w:t>could</w:t>
      </w:r>
      <w:r w:rsidR="00D0020C" w:rsidRPr="00D651FD">
        <w:t xml:space="preserve"> </w:t>
      </w:r>
      <w:r w:rsidRPr="00D651FD">
        <w:t xml:space="preserve">initiate the clinical trial. </w:t>
      </w:r>
    </w:p>
    <w:p w14:paraId="65EE73C2" w14:textId="55C4F3DB" w:rsidR="00473763" w:rsidRDefault="00482C37" w:rsidP="00C70D79">
      <w:pPr>
        <w:rPr>
          <w:rFonts w:asciiTheme="minorHAnsi" w:hAnsiTheme="minorHAnsi" w:cstheme="majorHAnsi"/>
          <w:color w:val="000000"/>
          <w:szCs w:val="22"/>
        </w:rPr>
      </w:pPr>
      <w:r w:rsidRPr="00482C37">
        <w:t>The current fee for a CTA is $19,699 and it is estimated that it w</w:t>
      </w:r>
      <w:r w:rsidR="00473763">
        <w:t>ould</w:t>
      </w:r>
      <w:r w:rsidRPr="00482C37">
        <w:t xml:space="preserve"> take the TGA approximately three months to conduct a review and issue an approval, if appropriate.</w:t>
      </w:r>
      <w:r w:rsidR="00C70D79">
        <w:t xml:space="preserve"> </w:t>
      </w:r>
      <w:r w:rsidR="003C2538" w:rsidRPr="001825CB">
        <w:rPr>
          <w:rFonts w:asciiTheme="minorHAnsi" w:hAnsiTheme="minorHAnsi" w:cstheme="majorHAnsi"/>
          <w:b/>
          <w:bCs/>
          <w:color w:val="000000"/>
          <w:szCs w:val="22"/>
        </w:rPr>
        <w:t>I</w:t>
      </w:r>
      <w:r w:rsidR="00473763" w:rsidRPr="001825CB">
        <w:rPr>
          <w:rFonts w:asciiTheme="minorHAnsi" w:hAnsiTheme="minorHAnsi" w:cstheme="majorHAnsi"/>
          <w:b/>
          <w:bCs/>
          <w:color w:val="000000"/>
          <w:szCs w:val="22"/>
        </w:rPr>
        <w:t>f</w:t>
      </w:r>
      <w:r w:rsidR="000F6737">
        <w:rPr>
          <w:rFonts w:asciiTheme="minorHAnsi" w:hAnsiTheme="minorHAnsi" w:cstheme="majorHAnsi"/>
          <w:b/>
          <w:bCs/>
          <w:color w:val="000000"/>
          <w:szCs w:val="22"/>
        </w:rPr>
        <w:t> </w:t>
      </w:r>
      <w:r w:rsidR="00473763" w:rsidRPr="001825CB">
        <w:rPr>
          <w:rFonts w:asciiTheme="minorHAnsi" w:hAnsiTheme="minorHAnsi" w:cstheme="majorHAnsi"/>
          <w:b/>
          <w:bCs/>
          <w:color w:val="000000"/>
          <w:szCs w:val="22"/>
        </w:rPr>
        <w:t>agreed, i</w:t>
      </w:r>
      <w:r w:rsidR="003C2538" w:rsidRPr="001825CB">
        <w:rPr>
          <w:rFonts w:asciiTheme="minorHAnsi" w:hAnsiTheme="minorHAnsi" w:cstheme="majorHAnsi"/>
          <w:b/>
          <w:bCs/>
          <w:color w:val="000000"/>
          <w:szCs w:val="22"/>
        </w:rPr>
        <w:t xml:space="preserve">t is estimated that </w:t>
      </w:r>
      <w:r w:rsidR="003C2538" w:rsidRPr="00473763">
        <w:rPr>
          <w:rFonts w:asciiTheme="minorHAnsi" w:hAnsiTheme="minorHAnsi" w:cstheme="majorHAnsi"/>
          <w:b/>
          <w:bCs/>
          <w:color w:val="000000"/>
          <w:szCs w:val="22"/>
        </w:rPr>
        <w:t>less than 10 per cent</w:t>
      </w:r>
      <w:r w:rsidR="003C2538" w:rsidRPr="001825CB">
        <w:rPr>
          <w:rFonts w:asciiTheme="minorHAnsi" w:hAnsiTheme="minorHAnsi" w:cstheme="majorHAnsi"/>
          <w:b/>
          <w:bCs/>
          <w:color w:val="000000"/>
          <w:szCs w:val="22"/>
        </w:rPr>
        <w:t xml:space="preserve"> of device clinical trials (i.e. 20 or less per year) would be affected by the proposal</w:t>
      </w:r>
      <w:r w:rsidR="003C2538" w:rsidRPr="00D328A9">
        <w:rPr>
          <w:rFonts w:asciiTheme="minorHAnsi" w:hAnsiTheme="minorHAnsi" w:cstheme="majorHAnsi"/>
          <w:color w:val="000000"/>
          <w:szCs w:val="22"/>
        </w:rPr>
        <w:t>.</w:t>
      </w:r>
      <w:r w:rsidR="003C2538">
        <w:rPr>
          <w:rFonts w:asciiTheme="minorHAnsi" w:hAnsiTheme="minorHAnsi" w:cstheme="majorHAnsi"/>
          <w:color w:val="000000"/>
          <w:szCs w:val="22"/>
        </w:rPr>
        <w:t xml:space="preserve"> </w:t>
      </w:r>
      <w:r w:rsidR="00473763">
        <w:rPr>
          <w:rFonts w:asciiTheme="minorHAnsi" w:hAnsiTheme="minorHAnsi" w:cstheme="majorHAnsi"/>
          <w:color w:val="000000"/>
          <w:szCs w:val="22"/>
        </w:rPr>
        <w:t>The other 90 percent of medical device clinical trials could continue to submit a CTN notification to the TGA.</w:t>
      </w:r>
    </w:p>
    <w:p w14:paraId="68C187F2" w14:textId="3BB5AE1A" w:rsidR="00F07686" w:rsidRDefault="00C70D79" w:rsidP="00C70D79">
      <w:r>
        <w:t xml:space="preserve">The </w:t>
      </w:r>
      <w:r w:rsidR="00473763">
        <w:t xml:space="preserve">anticipated change in regulatory burden is minimal. This is because </w:t>
      </w:r>
      <w:r>
        <w:t xml:space="preserve">information required to be submitted to the TGA as part of a CTA is already held by the manufacturer, </w:t>
      </w:r>
      <w:r w:rsidR="00C60DA8">
        <w:t xml:space="preserve">no additional effort is required to gather data </w:t>
      </w:r>
      <w:r>
        <w:t xml:space="preserve">and the CTA process can be performed in parallel with the </w:t>
      </w:r>
      <w:r w:rsidR="00473763">
        <w:t xml:space="preserve">submission to and </w:t>
      </w:r>
      <w:r>
        <w:t xml:space="preserve">ethics </w:t>
      </w:r>
      <w:r w:rsidR="00473763">
        <w:t xml:space="preserve">committee and the </w:t>
      </w:r>
      <w:r>
        <w:t>review by the HREC.</w:t>
      </w:r>
      <w:r w:rsidR="00F07686">
        <w:t xml:space="preserve"> Occasionally, HRECs do not possess the required expertise to issue an approval for a clinical trial, meaning they must either seek external specialist advice, or the trial sponsor must seek a different HREC opinion. This process itself takes time and delays trial start-ups</w:t>
      </w:r>
      <w:r w:rsidR="00473763">
        <w:t xml:space="preserve"> – review by the TGA under a CTA would reduce or eliminate this requirement</w:t>
      </w:r>
      <w:r w:rsidR="00F07686">
        <w:t>.</w:t>
      </w:r>
    </w:p>
    <w:p w14:paraId="4612F8B9" w14:textId="1F568E78" w:rsidR="0094175A" w:rsidRPr="00C84E25" w:rsidRDefault="00F07686" w:rsidP="00C84E25">
      <w:r>
        <w:t>Therefore, w</w:t>
      </w:r>
      <w:r w:rsidR="00C70D79">
        <w:t xml:space="preserve">hile there may be </w:t>
      </w:r>
      <w:r w:rsidR="00C60DA8">
        <w:t>a slight</w:t>
      </w:r>
      <w:r w:rsidR="00C70D79">
        <w:t xml:space="preserve"> delay whilst the TGA completes the scientific data review, this is offset by reduced burden on the HREC</w:t>
      </w:r>
      <w:r w:rsidR="003C2538">
        <w:t xml:space="preserve"> and an additional layer of assurance that </w:t>
      </w:r>
      <w:r w:rsidR="00694CEA">
        <w:t>novel, high-risk devices have been assessed by a</w:t>
      </w:r>
      <w:r w:rsidR="00BA7A07">
        <w:t xml:space="preserve">n authority </w:t>
      </w:r>
      <w:r w:rsidR="00694CEA">
        <w:t xml:space="preserve">with the expertise to do so. </w:t>
      </w:r>
      <w:r w:rsidR="00C60DA8">
        <w:t>As described above, there is a significant burden placed on HRECs to approve and oversee clinical trials, and there is scope to further mitigate risk</w:t>
      </w:r>
      <w:r w:rsidR="003C7180">
        <w:t>, share responsibility for oversight</w:t>
      </w:r>
      <w:r w:rsidR="00C60DA8">
        <w:t xml:space="preserve"> and bring the TGA into alignment with international best practice. </w:t>
      </w:r>
    </w:p>
    <w:p w14:paraId="5C0A1CA1" w14:textId="77777777" w:rsidR="000F6737" w:rsidRDefault="000F6737">
      <w:pPr>
        <w:spacing w:before="0" w:after="0" w:line="240" w:lineRule="auto"/>
        <w:rPr>
          <w:rFonts w:ascii="Arial" w:eastAsia="Times New Roman" w:hAnsi="Arial"/>
          <w:b/>
          <w:bCs/>
          <w:sz w:val="32"/>
          <w:szCs w:val="32"/>
        </w:rPr>
      </w:pPr>
      <w:bookmarkStart w:id="12" w:name="_Toc106811804"/>
      <w:bookmarkStart w:id="13" w:name="_Toc106811929"/>
      <w:r>
        <w:br w:type="page"/>
      </w:r>
    </w:p>
    <w:p w14:paraId="47062109" w14:textId="591A2BAB" w:rsidR="00D0020C" w:rsidRPr="00613461" w:rsidRDefault="004D05A3" w:rsidP="00A87904">
      <w:pPr>
        <w:pStyle w:val="Heading3"/>
      </w:pPr>
      <w:r>
        <w:lastRenderedPageBreak/>
        <w:t>Include m</w:t>
      </w:r>
      <w:r w:rsidR="005B7008" w:rsidRPr="00613461">
        <w:t>edical devices in the GCP Inspection Program</w:t>
      </w:r>
      <w:bookmarkEnd w:id="12"/>
      <w:bookmarkEnd w:id="13"/>
    </w:p>
    <w:p w14:paraId="13198914" w14:textId="72DC1A7B" w:rsidR="00935EAE" w:rsidRDefault="005E3CA0" w:rsidP="00D651FD">
      <w:pPr>
        <w:pStyle w:val="NormalWeb"/>
        <w:spacing w:before="240" w:after="240"/>
        <w:rPr>
          <w:rFonts w:asciiTheme="minorHAnsi" w:hAnsiTheme="minorHAnsi" w:cstheme="majorHAnsi"/>
          <w:color w:val="000000"/>
          <w:sz w:val="22"/>
          <w:szCs w:val="22"/>
        </w:rPr>
      </w:pPr>
      <w:r>
        <w:rPr>
          <w:rFonts w:asciiTheme="minorHAnsi" w:hAnsiTheme="minorHAnsi" w:cstheme="majorHAnsi"/>
          <w:color w:val="000000"/>
          <w:sz w:val="22"/>
          <w:szCs w:val="22"/>
        </w:rPr>
        <w:t xml:space="preserve">We are proposing that medical devices be included in the current </w:t>
      </w:r>
      <w:r w:rsidR="00935EAE">
        <w:rPr>
          <w:rFonts w:asciiTheme="minorHAnsi" w:hAnsiTheme="minorHAnsi" w:cstheme="majorHAnsi"/>
          <w:color w:val="000000"/>
          <w:sz w:val="22"/>
          <w:szCs w:val="22"/>
        </w:rPr>
        <w:t>GCP</w:t>
      </w:r>
      <w:r w:rsidR="00473763">
        <w:rPr>
          <w:rFonts w:asciiTheme="minorHAnsi" w:hAnsiTheme="minorHAnsi" w:cstheme="majorHAnsi"/>
          <w:color w:val="000000"/>
          <w:sz w:val="22"/>
          <w:szCs w:val="22"/>
        </w:rPr>
        <w:t xml:space="preserve"> Inspection Program</w:t>
      </w:r>
      <w:r>
        <w:rPr>
          <w:rFonts w:asciiTheme="minorHAnsi" w:hAnsiTheme="minorHAnsi" w:cstheme="majorHAnsi"/>
          <w:color w:val="000000"/>
          <w:sz w:val="22"/>
          <w:szCs w:val="22"/>
        </w:rPr>
        <w:t>.</w:t>
      </w:r>
      <w:r w:rsidR="00935EAE">
        <w:rPr>
          <w:rFonts w:asciiTheme="minorHAnsi" w:hAnsiTheme="minorHAnsi" w:cstheme="majorHAnsi"/>
          <w:color w:val="000000"/>
          <w:sz w:val="22"/>
          <w:szCs w:val="22"/>
        </w:rPr>
        <w:t xml:space="preserve"> This</w:t>
      </w:r>
      <w:r w:rsidR="000F6737">
        <w:rPr>
          <w:rFonts w:asciiTheme="minorHAnsi" w:hAnsiTheme="minorHAnsi" w:cstheme="majorHAnsi"/>
          <w:color w:val="000000"/>
          <w:sz w:val="22"/>
          <w:szCs w:val="22"/>
        </w:rPr>
        <w:t> </w:t>
      </w:r>
      <w:r w:rsidR="00935EAE">
        <w:rPr>
          <w:rFonts w:asciiTheme="minorHAnsi" w:hAnsiTheme="minorHAnsi" w:cstheme="majorHAnsi"/>
          <w:color w:val="000000"/>
          <w:sz w:val="22"/>
          <w:szCs w:val="22"/>
        </w:rPr>
        <w:t xml:space="preserve">program was introduced in </w:t>
      </w:r>
      <w:r w:rsidR="00473763">
        <w:rPr>
          <w:rFonts w:asciiTheme="minorHAnsi" w:hAnsiTheme="minorHAnsi" w:cstheme="majorHAnsi"/>
          <w:color w:val="000000"/>
          <w:sz w:val="22"/>
          <w:szCs w:val="22"/>
        </w:rPr>
        <w:t>2</w:t>
      </w:r>
      <w:r w:rsidR="00935EAE">
        <w:rPr>
          <w:rFonts w:asciiTheme="minorHAnsi" w:hAnsiTheme="minorHAnsi" w:cstheme="majorHAnsi"/>
          <w:color w:val="000000"/>
          <w:sz w:val="22"/>
          <w:szCs w:val="22"/>
        </w:rPr>
        <w:t xml:space="preserve">022 </w:t>
      </w:r>
      <w:r w:rsidR="00473763">
        <w:rPr>
          <w:rFonts w:asciiTheme="minorHAnsi" w:hAnsiTheme="minorHAnsi" w:cstheme="majorHAnsi"/>
          <w:color w:val="000000"/>
          <w:sz w:val="22"/>
          <w:szCs w:val="22"/>
        </w:rPr>
        <w:t xml:space="preserve">following piloting since 2018 </w:t>
      </w:r>
      <w:r w:rsidR="00935EAE">
        <w:rPr>
          <w:rFonts w:asciiTheme="minorHAnsi" w:hAnsiTheme="minorHAnsi" w:cstheme="majorHAnsi"/>
          <w:color w:val="000000"/>
          <w:sz w:val="22"/>
          <w:szCs w:val="22"/>
        </w:rPr>
        <w:t>and currently only applies to clinical trials of medicines and biologicals.</w:t>
      </w:r>
      <w:r>
        <w:rPr>
          <w:rFonts w:asciiTheme="minorHAnsi" w:hAnsiTheme="minorHAnsi" w:cstheme="majorHAnsi"/>
          <w:color w:val="000000"/>
          <w:sz w:val="22"/>
          <w:szCs w:val="22"/>
        </w:rPr>
        <w:t xml:space="preserve"> </w:t>
      </w:r>
      <w:r w:rsidR="00935EAE">
        <w:rPr>
          <w:rFonts w:asciiTheme="minorHAnsi" w:hAnsiTheme="minorHAnsi" w:cstheme="majorHAnsi"/>
          <w:color w:val="000000"/>
          <w:sz w:val="22"/>
          <w:szCs w:val="22"/>
        </w:rPr>
        <w:t>It aims to</w:t>
      </w:r>
      <w:r w:rsidR="00935EAE" w:rsidRPr="00935EAE">
        <w:rPr>
          <w:rFonts w:asciiTheme="minorHAnsi" w:eastAsia="Calibri" w:hAnsiTheme="minorHAnsi" w:cs="Calibri"/>
          <w:color w:val="000000"/>
        </w:rPr>
        <w:t xml:space="preserve"> </w:t>
      </w:r>
      <w:r w:rsidR="00935EAE" w:rsidRPr="00935EAE">
        <w:rPr>
          <w:rFonts w:asciiTheme="minorHAnsi" w:hAnsiTheme="minorHAnsi" w:cstheme="majorHAnsi"/>
          <w:color w:val="000000"/>
          <w:sz w:val="22"/>
          <w:szCs w:val="22"/>
        </w:rPr>
        <w:t>verify compliance of clinical trial sites with Australian and internationally accepted standards, protecting public health</w:t>
      </w:r>
      <w:r w:rsidR="00935EAE">
        <w:rPr>
          <w:rFonts w:asciiTheme="minorHAnsi" w:hAnsiTheme="minorHAnsi" w:cstheme="majorHAnsi"/>
          <w:color w:val="000000"/>
          <w:sz w:val="22"/>
          <w:szCs w:val="22"/>
        </w:rPr>
        <w:t>.</w:t>
      </w:r>
    </w:p>
    <w:p w14:paraId="6B00C564" w14:textId="7FCBFA1D" w:rsidR="00694CEA" w:rsidRDefault="0094175A" w:rsidP="00D651FD">
      <w:pPr>
        <w:pStyle w:val="NormalWeb"/>
        <w:spacing w:before="240" w:after="240"/>
        <w:rPr>
          <w:rFonts w:asciiTheme="minorHAnsi" w:hAnsiTheme="minorHAnsi" w:cstheme="majorHAnsi"/>
          <w:color w:val="000000"/>
          <w:sz w:val="22"/>
          <w:szCs w:val="22"/>
        </w:rPr>
      </w:pPr>
      <w:r>
        <w:rPr>
          <w:rFonts w:asciiTheme="minorHAnsi" w:hAnsiTheme="minorHAnsi" w:cstheme="majorHAnsi"/>
          <w:color w:val="000000"/>
          <w:sz w:val="22"/>
          <w:szCs w:val="22"/>
        </w:rPr>
        <w:t xml:space="preserve">Clinical trials of medical devices are </w:t>
      </w:r>
      <w:r w:rsidR="00473763">
        <w:rPr>
          <w:rFonts w:asciiTheme="minorHAnsi" w:hAnsiTheme="minorHAnsi" w:cstheme="majorHAnsi"/>
          <w:color w:val="000000"/>
          <w:sz w:val="22"/>
          <w:szCs w:val="22"/>
        </w:rPr>
        <w:t xml:space="preserve">already </w:t>
      </w:r>
      <w:r w:rsidR="00BA7A07">
        <w:rPr>
          <w:rFonts w:asciiTheme="minorHAnsi" w:hAnsiTheme="minorHAnsi" w:cstheme="majorHAnsi"/>
          <w:color w:val="000000"/>
          <w:sz w:val="22"/>
          <w:szCs w:val="22"/>
        </w:rPr>
        <w:t xml:space="preserve">legally </w:t>
      </w:r>
      <w:r>
        <w:rPr>
          <w:rFonts w:asciiTheme="minorHAnsi" w:hAnsiTheme="minorHAnsi" w:cstheme="majorHAnsi"/>
          <w:color w:val="000000"/>
          <w:sz w:val="22"/>
          <w:szCs w:val="22"/>
        </w:rPr>
        <w:t>required</w:t>
      </w:r>
      <w:r w:rsidR="00C70D79">
        <w:rPr>
          <w:rFonts w:asciiTheme="minorHAnsi" w:hAnsiTheme="minorHAnsi" w:cstheme="majorHAnsi"/>
          <w:color w:val="000000"/>
          <w:sz w:val="22"/>
          <w:szCs w:val="22"/>
        </w:rPr>
        <w:t xml:space="preserve"> </w:t>
      </w:r>
      <w:r>
        <w:rPr>
          <w:rFonts w:asciiTheme="minorHAnsi" w:hAnsiTheme="minorHAnsi" w:cstheme="majorHAnsi"/>
          <w:color w:val="000000"/>
          <w:sz w:val="22"/>
          <w:szCs w:val="22"/>
        </w:rPr>
        <w:t xml:space="preserve">to comply with the medical device GCP standard, known as ISO 14155, however </w:t>
      </w:r>
      <w:r w:rsidR="00C70D79">
        <w:rPr>
          <w:rFonts w:asciiTheme="minorHAnsi" w:hAnsiTheme="minorHAnsi" w:cstheme="majorHAnsi"/>
          <w:color w:val="000000"/>
          <w:sz w:val="22"/>
          <w:szCs w:val="22"/>
        </w:rPr>
        <w:t xml:space="preserve">the </w:t>
      </w:r>
      <w:r>
        <w:rPr>
          <w:rFonts w:asciiTheme="minorHAnsi" w:hAnsiTheme="minorHAnsi" w:cstheme="majorHAnsi"/>
          <w:color w:val="000000"/>
          <w:sz w:val="22"/>
          <w:szCs w:val="22"/>
        </w:rPr>
        <w:t>TGA does not currently conduct inspections of these sites, as they do for medicines and biologicals</w:t>
      </w:r>
      <w:r w:rsidR="00473763">
        <w:rPr>
          <w:rFonts w:asciiTheme="minorHAnsi" w:hAnsiTheme="minorHAnsi" w:cstheme="majorHAnsi"/>
          <w:color w:val="000000"/>
          <w:sz w:val="22"/>
          <w:szCs w:val="22"/>
        </w:rPr>
        <w:t>, so there are no effective checks of compliance at present with this existing legal requirement</w:t>
      </w:r>
      <w:r>
        <w:rPr>
          <w:rFonts w:asciiTheme="minorHAnsi" w:hAnsiTheme="minorHAnsi" w:cstheme="majorHAnsi"/>
          <w:color w:val="000000"/>
          <w:sz w:val="22"/>
          <w:szCs w:val="22"/>
        </w:rPr>
        <w:t xml:space="preserve">. </w:t>
      </w:r>
      <w:r w:rsidR="00434549">
        <w:rPr>
          <w:rFonts w:asciiTheme="minorHAnsi" w:hAnsiTheme="minorHAnsi" w:cstheme="majorHAnsi"/>
          <w:color w:val="000000"/>
          <w:sz w:val="22"/>
          <w:szCs w:val="22"/>
        </w:rPr>
        <w:t xml:space="preserve">Again, this contrasts with comparable </w:t>
      </w:r>
      <w:r w:rsidR="00D328A9">
        <w:rPr>
          <w:rFonts w:asciiTheme="minorHAnsi" w:hAnsiTheme="minorHAnsi" w:cstheme="majorHAnsi"/>
          <w:color w:val="000000"/>
          <w:sz w:val="22"/>
          <w:szCs w:val="22"/>
        </w:rPr>
        <w:t xml:space="preserve">regulators </w:t>
      </w:r>
      <w:r w:rsidR="00BA7A07">
        <w:rPr>
          <w:rFonts w:asciiTheme="minorHAnsi" w:hAnsiTheme="minorHAnsi" w:cstheme="majorHAnsi"/>
          <w:color w:val="000000"/>
          <w:sz w:val="22"/>
          <w:szCs w:val="22"/>
        </w:rPr>
        <w:t>(US, Canada, UK</w:t>
      </w:r>
      <w:r w:rsidR="00434549">
        <w:rPr>
          <w:rFonts w:asciiTheme="minorHAnsi" w:hAnsiTheme="minorHAnsi" w:cstheme="majorHAnsi"/>
          <w:color w:val="000000"/>
          <w:sz w:val="22"/>
          <w:szCs w:val="22"/>
        </w:rPr>
        <w:t xml:space="preserve"> and</w:t>
      </w:r>
      <w:r w:rsidR="00BA7A07">
        <w:rPr>
          <w:rFonts w:asciiTheme="minorHAnsi" w:hAnsiTheme="minorHAnsi" w:cstheme="majorHAnsi"/>
          <w:color w:val="000000"/>
          <w:sz w:val="22"/>
          <w:szCs w:val="22"/>
        </w:rPr>
        <w:t xml:space="preserve"> Japan)</w:t>
      </w:r>
      <w:r w:rsidR="00434549">
        <w:rPr>
          <w:rFonts w:asciiTheme="minorHAnsi" w:hAnsiTheme="minorHAnsi" w:cstheme="majorHAnsi"/>
          <w:color w:val="000000"/>
          <w:sz w:val="22"/>
          <w:szCs w:val="22"/>
        </w:rPr>
        <w:t>, all of which</w:t>
      </w:r>
      <w:r w:rsidR="00BA7A07">
        <w:rPr>
          <w:rFonts w:asciiTheme="minorHAnsi" w:hAnsiTheme="minorHAnsi" w:cstheme="majorHAnsi"/>
          <w:color w:val="000000"/>
          <w:sz w:val="22"/>
          <w:szCs w:val="22"/>
        </w:rPr>
        <w:t xml:space="preserve"> </w:t>
      </w:r>
      <w:r w:rsidR="00D328A9">
        <w:rPr>
          <w:rFonts w:asciiTheme="minorHAnsi" w:hAnsiTheme="minorHAnsi" w:cstheme="majorHAnsi"/>
          <w:color w:val="000000"/>
          <w:sz w:val="22"/>
          <w:szCs w:val="22"/>
        </w:rPr>
        <w:t>include medical devices in their inspection program</w:t>
      </w:r>
      <w:r w:rsidR="00434549">
        <w:rPr>
          <w:rFonts w:asciiTheme="minorHAnsi" w:hAnsiTheme="minorHAnsi" w:cstheme="majorHAnsi"/>
          <w:color w:val="000000"/>
          <w:sz w:val="22"/>
          <w:szCs w:val="22"/>
        </w:rPr>
        <w:t>.</w:t>
      </w:r>
    </w:p>
    <w:p w14:paraId="537F8A23" w14:textId="4314312D" w:rsidR="0094175A" w:rsidRDefault="00473763" w:rsidP="00D651FD">
      <w:pPr>
        <w:pStyle w:val="NormalWeb"/>
        <w:spacing w:before="240" w:after="240"/>
        <w:rPr>
          <w:rFonts w:asciiTheme="minorHAnsi" w:hAnsiTheme="minorHAnsi" w:cstheme="majorHAnsi"/>
          <w:color w:val="000000"/>
          <w:sz w:val="22"/>
          <w:szCs w:val="22"/>
        </w:rPr>
      </w:pPr>
      <w:r>
        <w:rPr>
          <w:rFonts w:asciiTheme="minorHAnsi" w:hAnsiTheme="minorHAnsi" w:cstheme="majorHAnsi"/>
          <w:color w:val="000000"/>
          <w:sz w:val="22"/>
          <w:szCs w:val="22"/>
        </w:rPr>
        <w:t>It is anticipated that only a limited number (10-15 a year) of medical device clinical trials would undergo GCP inspections by the TGA. As for the current approach for medicines and biologicals, these would be selected based on potential risk, by assessment of factor such as wh</w:t>
      </w:r>
      <w:r w:rsidR="00DD0D5E">
        <w:rPr>
          <w:rFonts w:asciiTheme="minorHAnsi" w:hAnsiTheme="minorHAnsi" w:cstheme="majorHAnsi"/>
          <w:color w:val="000000"/>
          <w:sz w:val="22"/>
          <w:szCs w:val="22"/>
        </w:rPr>
        <w:t>e</w:t>
      </w:r>
      <w:r>
        <w:rPr>
          <w:rFonts w:asciiTheme="minorHAnsi" w:hAnsiTheme="minorHAnsi" w:cstheme="majorHAnsi"/>
          <w:color w:val="000000"/>
          <w:sz w:val="22"/>
          <w:szCs w:val="22"/>
        </w:rPr>
        <w:t xml:space="preserve">ther the trial of the device is </w:t>
      </w:r>
      <w:r w:rsidR="000F6737">
        <w:rPr>
          <w:rFonts w:asciiTheme="minorHAnsi" w:hAnsiTheme="minorHAnsi" w:cstheme="majorHAnsi"/>
          <w:color w:val="000000"/>
          <w:sz w:val="22"/>
          <w:szCs w:val="22"/>
        </w:rPr>
        <w:t>‘</w:t>
      </w:r>
      <w:r>
        <w:rPr>
          <w:rFonts w:asciiTheme="minorHAnsi" w:hAnsiTheme="minorHAnsi" w:cstheme="majorHAnsi"/>
          <w:color w:val="000000"/>
          <w:sz w:val="22"/>
          <w:szCs w:val="22"/>
        </w:rPr>
        <w:t xml:space="preserve">first in </w:t>
      </w:r>
      <w:r w:rsidR="000F6737">
        <w:rPr>
          <w:rFonts w:asciiTheme="minorHAnsi" w:hAnsiTheme="minorHAnsi" w:cstheme="majorHAnsi"/>
          <w:color w:val="000000"/>
          <w:sz w:val="22"/>
          <w:szCs w:val="22"/>
        </w:rPr>
        <w:t>hu</w:t>
      </w:r>
      <w:r>
        <w:rPr>
          <w:rFonts w:asciiTheme="minorHAnsi" w:hAnsiTheme="minorHAnsi" w:cstheme="majorHAnsi"/>
          <w:color w:val="000000"/>
          <w:sz w:val="22"/>
          <w:szCs w:val="22"/>
        </w:rPr>
        <w:t>man</w:t>
      </w:r>
      <w:r w:rsidR="000F6737">
        <w:rPr>
          <w:rFonts w:asciiTheme="minorHAnsi" w:hAnsiTheme="minorHAnsi" w:cstheme="majorHAnsi"/>
          <w:color w:val="000000"/>
          <w:sz w:val="22"/>
          <w:szCs w:val="22"/>
        </w:rPr>
        <w:t>’</w:t>
      </w:r>
      <w:r w:rsidR="00DD0D5E">
        <w:rPr>
          <w:rFonts w:asciiTheme="minorHAnsi" w:hAnsiTheme="minorHAnsi" w:cstheme="majorHAnsi"/>
          <w:color w:val="000000"/>
          <w:sz w:val="22"/>
          <w:szCs w:val="22"/>
        </w:rPr>
        <w:t>, safety record of similar products, the e</w:t>
      </w:r>
      <w:r>
        <w:rPr>
          <w:rFonts w:asciiTheme="minorHAnsi" w:hAnsiTheme="minorHAnsi" w:cstheme="majorHAnsi"/>
          <w:color w:val="000000"/>
          <w:sz w:val="22"/>
          <w:szCs w:val="22"/>
        </w:rPr>
        <w:t xml:space="preserve">xperience </w:t>
      </w:r>
      <w:r w:rsidR="00DD0D5E">
        <w:rPr>
          <w:rFonts w:asciiTheme="minorHAnsi" w:hAnsiTheme="minorHAnsi" w:cstheme="majorHAnsi"/>
          <w:color w:val="000000"/>
          <w:sz w:val="22"/>
          <w:szCs w:val="22"/>
        </w:rPr>
        <w:t xml:space="preserve">of the </w:t>
      </w:r>
      <w:r>
        <w:rPr>
          <w:rFonts w:asciiTheme="minorHAnsi" w:hAnsiTheme="minorHAnsi" w:cstheme="majorHAnsi"/>
          <w:color w:val="000000"/>
          <w:sz w:val="22"/>
          <w:szCs w:val="22"/>
        </w:rPr>
        <w:t xml:space="preserve">group </w:t>
      </w:r>
      <w:r w:rsidR="00DD0D5E">
        <w:rPr>
          <w:rFonts w:asciiTheme="minorHAnsi" w:hAnsiTheme="minorHAnsi" w:cstheme="majorHAnsi"/>
          <w:color w:val="000000"/>
          <w:sz w:val="22"/>
          <w:szCs w:val="22"/>
        </w:rPr>
        <w:t xml:space="preserve">conducting the trial, and the </w:t>
      </w:r>
      <w:r>
        <w:rPr>
          <w:rFonts w:asciiTheme="minorHAnsi" w:hAnsiTheme="minorHAnsi" w:cstheme="majorHAnsi"/>
          <w:color w:val="000000"/>
          <w:sz w:val="22"/>
          <w:szCs w:val="22"/>
        </w:rPr>
        <w:t xml:space="preserve">compliance </w:t>
      </w:r>
      <w:r w:rsidR="00DD0D5E">
        <w:rPr>
          <w:rFonts w:asciiTheme="minorHAnsi" w:hAnsiTheme="minorHAnsi" w:cstheme="majorHAnsi"/>
          <w:color w:val="000000"/>
          <w:sz w:val="22"/>
          <w:szCs w:val="22"/>
        </w:rPr>
        <w:t xml:space="preserve">record of the group undertaking the trial. </w:t>
      </w:r>
      <w:r w:rsidR="000F6737">
        <w:rPr>
          <w:rFonts w:asciiTheme="minorHAnsi" w:hAnsiTheme="minorHAnsi" w:cstheme="majorHAnsi"/>
          <w:color w:val="000000"/>
          <w:sz w:val="22"/>
          <w:szCs w:val="22"/>
        </w:rPr>
        <w:t>Therefore,</w:t>
      </w:r>
      <w:r w:rsidR="00DD0D5E">
        <w:rPr>
          <w:rFonts w:asciiTheme="minorHAnsi" w:hAnsiTheme="minorHAnsi" w:cstheme="majorHAnsi"/>
          <w:color w:val="000000"/>
          <w:sz w:val="22"/>
          <w:szCs w:val="22"/>
        </w:rPr>
        <w:t xml:space="preserve"> p</w:t>
      </w:r>
      <w:r w:rsidR="00694CEA" w:rsidRPr="00694CEA">
        <w:rPr>
          <w:rFonts w:asciiTheme="minorHAnsi" w:hAnsiTheme="minorHAnsi" w:cstheme="majorHAnsi"/>
          <w:color w:val="000000"/>
          <w:sz w:val="22"/>
          <w:szCs w:val="22"/>
        </w:rPr>
        <w:t>rioritisation of sites for routine inspection is based on an assessment of risk</w:t>
      </w:r>
      <w:r w:rsidR="00DD0D5E">
        <w:rPr>
          <w:rFonts w:asciiTheme="minorHAnsi" w:hAnsiTheme="minorHAnsi" w:cstheme="majorHAnsi"/>
          <w:color w:val="000000"/>
          <w:sz w:val="22"/>
          <w:szCs w:val="22"/>
        </w:rPr>
        <w:t>. N</w:t>
      </w:r>
      <w:r w:rsidR="00434549">
        <w:rPr>
          <w:rFonts w:asciiTheme="minorHAnsi" w:hAnsiTheme="minorHAnsi" w:cstheme="majorHAnsi"/>
          <w:color w:val="000000"/>
          <w:sz w:val="22"/>
          <w:szCs w:val="22"/>
        </w:rPr>
        <w:t>on</w:t>
      </w:r>
      <w:r w:rsidR="000F6737">
        <w:rPr>
          <w:rFonts w:asciiTheme="minorHAnsi" w:hAnsiTheme="minorHAnsi" w:cstheme="majorHAnsi"/>
          <w:color w:val="000000"/>
          <w:sz w:val="22"/>
          <w:szCs w:val="22"/>
        </w:rPr>
        <w:noBreakHyphen/>
      </w:r>
      <w:r w:rsidR="00434549">
        <w:rPr>
          <w:rFonts w:asciiTheme="minorHAnsi" w:hAnsiTheme="minorHAnsi" w:cstheme="majorHAnsi"/>
          <w:color w:val="000000"/>
          <w:sz w:val="22"/>
          <w:szCs w:val="22"/>
        </w:rPr>
        <w:t xml:space="preserve">routine inspections, otherwise known as </w:t>
      </w:r>
      <w:r w:rsidR="000F6737">
        <w:rPr>
          <w:rFonts w:asciiTheme="minorHAnsi" w:hAnsiTheme="minorHAnsi" w:cstheme="majorHAnsi"/>
          <w:color w:val="000000"/>
          <w:sz w:val="22"/>
          <w:szCs w:val="22"/>
        </w:rPr>
        <w:t>‘</w:t>
      </w:r>
      <w:r w:rsidR="00434549">
        <w:rPr>
          <w:rFonts w:asciiTheme="minorHAnsi" w:hAnsiTheme="minorHAnsi" w:cstheme="majorHAnsi"/>
          <w:color w:val="000000"/>
          <w:sz w:val="22"/>
          <w:szCs w:val="22"/>
        </w:rPr>
        <w:t>all-cause</w:t>
      </w:r>
      <w:r w:rsidR="000F6737">
        <w:rPr>
          <w:rFonts w:asciiTheme="minorHAnsi" w:hAnsiTheme="minorHAnsi" w:cstheme="majorHAnsi"/>
          <w:color w:val="000000"/>
          <w:sz w:val="22"/>
          <w:szCs w:val="22"/>
        </w:rPr>
        <w:t>’</w:t>
      </w:r>
      <w:r w:rsidR="00434549">
        <w:rPr>
          <w:rFonts w:asciiTheme="minorHAnsi" w:hAnsiTheme="minorHAnsi" w:cstheme="majorHAnsi"/>
          <w:color w:val="000000"/>
          <w:sz w:val="22"/>
          <w:szCs w:val="22"/>
        </w:rPr>
        <w:t xml:space="preserve"> inspections are initiated in response to intelligence about non-compliance. </w:t>
      </w:r>
    </w:p>
    <w:p w14:paraId="63E46A18" w14:textId="39297786" w:rsidR="00694CEA" w:rsidRDefault="00DD0D5E" w:rsidP="00687D41">
      <w:pPr>
        <w:pStyle w:val="NormalWeb"/>
        <w:spacing w:before="240" w:after="240"/>
        <w:rPr>
          <w:rFonts w:asciiTheme="minorHAnsi" w:hAnsiTheme="minorHAnsi" w:cstheme="majorHAnsi"/>
          <w:color w:val="000000"/>
          <w:sz w:val="22"/>
          <w:szCs w:val="22"/>
        </w:rPr>
      </w:pPr>
      <w:r>
        <w:rPr>
          <w:rFonts w:asciiTheme="minorHAnsi" w:hAnsiTheme="minorHAnsi" w:cstheme="majorHAnsi"/>
          <w:color w:val="000000"/>
          <w:sz w:val="22"/>
          <w:szCs w:val="22"/>
        </w:rPr>
        <w:t>Given that TGA would select the trials to be inspected, as for medicine and biological trials it is anticipated that t</w:t>
      </w:r>
      <w:r w:rsidR="00694CEA">
        <w:rPr>
          <w:rFonts w:asciiTheme="minorHAnsi" w:hAnsiTheme="minorHAnsi" w:cstheme="majorHAnsi"/>
          <w:color w:val="000000"/>
          <w:sz w:val="22"/>
          <w:szCs w:val="22"/>
        </w:rPr>
        <w:t xml:space="preserve">here </w:t>
      </w:r>
      <w:r>
        <w:rPr>
          <w:rFonts w:asciiTheme="minorHAnsi" w:hAnsiTheme="minorHAnsi" w:cstheme="majorHAnsi"/>
          <w:color w:val="000000"/>
          <w:sz w:val="22"/>
          <w:szCs w:val="22"/>
        </w:rPr>
        <w:t xml:space="preserve">would not be a </w:t>
      </w:r>
      <w:r w:rsidR="00694CEA">
        <w:rPr>
          <w:rFonts w:asciiTheme="minorHAnsi" w:hAnsiTheme="minorHAnsi" w:cstheme="majorHAnsi"/>
          <w:color w:val="000000"/>
          <w:sz w:val="22"/>
          <w:szCs w:val="22"/>
        </w:rPr>
        <w:t>fee to the site for inspections</w:t>
      </w:r>
      <w:r>
        <w:rPr>
          <w:rFonts w:asciiTheme="minorHAnsi" w:hAnsiTheme="minorHAnsi" w:cstheme="majorHAnsi"/>
          <w:color w:val="000000"/>
          <w:sz w:val="22"/>
          <w:szCs w:val="22"/>
        </w:rPr>
        <w:t>. (Neither would t</w:t>
      </w:r>
      <w:r w:rsidR="00694CEA">
        <w:rPr>
          <w:rFonts w:asciiTheme="minorHAnsi" w:hAnsiTheme="minorHAnsi" w:cstheme="majorHAnsi"/>
          <w:color w:val="000000"/>
          <w:sz w:val="22"/>
          <w:szCs w:val="22"/>
        </w:rPr>
        <w:t>he TGA reimburse investigator sites for their time dedicated to inspection preparation or attendance</w:t>
      </w:r>
      <w:r>
        <w:rPr>
          <w:rFonts w:asciiTheme="minorHAnsi" w:hAnsiTheme="minorHAnsi" w:cstheme="majorHAnsi"/>
          <w:color w:val="000000"/>
          <w:sz w:val="22"/>
          <w:szCs w:val="22"/>
        </w:rPr>
        <w:t>)</w:t>
      </w:r>
      <w:r w:rsidR="00694CEA">
        <w:rPr>
          <w:rFonts w:asciiTheme="minorHAnsi" w:hAnsiTheme="minorHAnsi" w:cstheme="majorHAnsi"/>
          <w:color w:val="000000"/>
          <w:sz w:val="22"/>
          <w:szCs w:val="22"/>
        </w:rPr>
        <w:t xml:space="preserve">. </w:t>
      </w:r>
      <w:r w:rsidR="00687D41">
        <w:rPr>
          <w:rFonts w:asciiTheme="minorHAnsi" w:hAnsiTheme="minorHAnsi" w:cstheme="majorHAnsi"/>
          <w:color w:val="000000"/>
          <w:sz w:val="22"/>
          <w:szCs w:val="22"/>
        </w:rPr>
        <w:t xml:space="preserve">Investigators </w:t>
      </w:r>
      <w:r w:rsidR="00694CEA" w:rsidRPr="00694CEA">
        <w:rPr>
          <w:rFonts w:asciiTheme="minorHAnsi" w:hAnsiTheme="minorHAnsi" w:cstheme="majorHAnsi"/>
          <w:color w:val="000000"/>
          <w:sz w:val="22"/>
          <w:szCs w:val="22"/>
        </w:rPr>
        <w:t>should continue conducting trials in line with GCP and maintain an awareness that the TGA can conduct an inspection of the clinical trial site and investigate any breaches of requirements as appropriate.</w:t>
      </w:r>
      <w:r w:rsidR="00687D41">
        <w:rPr>
          <w:rFonts w:asciiTheme="minorHAnsi" w:hAnsiTheme="minorHAnsi" w:cstheme="majorHAnsi"/>
          <w:color w:val="000000"/>
          <w:sz w:val="22"/>
          <w:szCs w:val="22"/>
        </w:rPr>
        <w:t xml:space="preserve"> Further detailed information about the GCPIP Inspection Program is available in the TGA’s </w:t>
      </w:r>
      <w:r w:rsidR="000F6737">
        <w:rPr>
          <w:rFonts w:asciiTheme="minorHAnsi" w:hAnsiTheme="minorHAnsi" w:cstheme="majorHAnsi"/>
          <w:color w:val="000000"/>
          <w:sz w:val="22"/>
          <w:szCs w:val="22"/>
        </w:rPr>
        <w:t>‘</w:t>
      </w:r>
      <w:r w:rsidR="00687D41" w:rsidRPr="00C84E25">
        <w:rPr>
          <w:rFonts w:asciiTheme="minorHAnsi" w:hAnsiTheme="minorHAnsi" w:cstheme="majorHAnsi"/>
          <w:i/>
          <w:iCs/>
          <w:color w:val="000000"/>
          <w:sz w:val="22"/>
          <w:szCs w:val="22"/>
        </w:rPr>
        <w:t>Guidance for GCP inspection of clinical trial sites for investigational biologicals and medicinal products</w:t>
      </w:r>
      <w:r w:rsidR="000F6737">
        <w:rPr>
          <w:rFonts w:asciiTheme="minorHAnsi" w:hAnsiTheme="minorHAnsi" w:cstheme="majorHAnsi"/>
          <w:i/>
          <w:iCs/>
          <w:color w:val="000000"/>
          <w:sz w:val="22"/>
          <w:szCs w:val="22"/>
        </w:rPr>
        <w:t>’</w:t>
      </w:r>
      <w:r w:rsidR="00687D41">
        <w:rPr>
          <w:rFonts w:asciiTheme="minorHAnsi" w:hAnsiTheme="minorHAnsi" w:cstheme="majorHAnsi"/>
          <w:color w:val="000000"/>
          <w:sz w:val="22"/>
          <w:szCs w:val="22"/>
        </w:rPr>
        <w:t>.</w:t>
      </w:r>
      <w:r w:rsidR="00687D41">
        <w:rPr>
          <w:rStyle w:val="FootnoteReference"/>
          <w:rFonts w:asciiTheme="minorHAnsi" w:hAnsiTheme="minorHAnsi" w:cstheme="majorHAnsi"/>
          <w:color w:val="000000"/>
          <w:sz w:val="22"/>
          <w:szCs w:val="22"/>
        </w:rPr>
        <w:footnoteReference w:id="7"/>
      </w:r>
    </w:p>
    <w:p w14:paraId="58187C5C" w14:textId="58FABF3D" w:rsidR="00FF43F8" w:rsidRDefault="00FF43F8" w:rsidP="00D651FD">
      <w:pPr>
        <w:pStyle w:val="NormalWeb"/>
        <w:spacing w:before="240" w:after="240"/>
        <w:rPr>
          <w:rFonts w:asciiTheme="minorHAnsi" w:hAnsiTheme="minorHAnsi" w:cstheme="majorHAnsi"/>
          <w:color w:val="000000"/>
          <w:sz w:val="22"/>
          <w:szCs w:val="22"/>
        </w:rPr>
      </w:pPr>
      <w:r>
        <w:rPr>
          <w:rFonts w:asciiTheme="minorHAnsi" w:hAnsiTheme="minorHAnsi" w:cstheme="majorHAnsi"/>
          <w:color w:val="000000"/>
          <w:sz w:val="22"/>
          <w:szCs w:val="22"/>
        </w:rPr>
        <w:t xml:space="preserve">Inclusion of medical devices </w:t>
      </w:r>
      <w:r w:rsidR="005B7008">
        <w:rPr>
          <w:rFonts w:asciiTheme="minorHAnsi" w:hAnsiTheme="minorHAnsi" w:cstheme="majorHAnsi"/>
          <w:color w:val="000000"/>
          <w:sz w:val="22"/>
          <w:szCs w:val="22"/>
        </w:rPr>
        <w:t xml:space="preserve">in </w:t>
      </w:r>
      <w:r>
        <w:rPr>
          <w:rFonts w:asciiTheme="minorHAnsi" w:hAnsiTheme="minorHAnsi" w:cstheme="majorHAnsi"/>
          <w:color w:val="000000"/>
          <w:sz w:val="22"/>
          <w:szCs w:val="22"/>
        </w:rPr>
        <w:t xml:space="preserve">the </w:t>
      </w:r>
      <w:r w:rsidR="00B41529">
        <w:rPr>
          <w:rFonts w:asciiTheme="minorHAnsi" w:hAnsiTheme="minorHAnsi" w:cstheme="majorHAnsi"/>
          <w:color w:val="000000"/>
          <w:sz w:val="22"/>
          <w:szCs w:val="22"/>
        </w:rPr>
        <w:t xml:space="preserve">existing </w:t>
      </w:r>
      <w:r>
        <w:rPr>
          <w:rFonts w:asciiTheme="minorHAnsi" w:hAnsiTheme="minorHAnsi" w:cstheme="majorHAnsi"/>
          <w:color w:val="000000"/>
          <w:sz w:val="22"/>
          <w:szCs w:val="22"/>
        </w:rPr>
        <w:t>GCP</w:t>
      </w:r>
      <w:r w:rsidR="00935EAE">
        <w:rPr>
          <w:rFonts w:asciiTheme="minorHAnsi" w:hAnsiTheme="minorHAnsi" w:cstheme="majorHAnsi"/>
          <w:color w:val="000000"/>
          <w:sz w:val="22"/>
          <w:szCs w:val="22"/>
        </w:rPr>
        <w:t>IP</w:t>
      </w:r>
      <w:r>
        <w:rPr>
          <w:rFonts w:asciiTheme="minorHAnsi" w:hAnsiTheme="minorHAnsi" w:cstheme="majorHAnsi"/>
          <w:color w:val="000000"/>
          <w:sz w:val="22"/>
          <w:szCs w:val="22"/>
        </w:rPr>
        <w:t xml:space="preserve"> </w:t>
      </w:r>
      <w:r w:rsidR="00AC0C3C">
        <w:rPr>
          <w:rFonts w:asciiTheme="minorHAnsi" w:hAnsiTheme="minorHAnsi" w:cstheme="majorHAnsi"/>
          <w:color w:val="000000"/>
          <w:sz w:val="22"/>
          <w:szCs w:val="22"/>
        </w:rPr>
        <w:t>will</w:t>
      </w:r>
      <w:r w:rsidR="00B41529">
        <w:rPr>
          <w:rFonts w:asciiTheme="minorHAnsi" w:hAnsiTheme="minorHAnsi" w:cstheme="majorHAnsi"/>
          <w:color w:val="000000"/>
          <w:sz w:val="22"/>
          <w:szCs w:val="22"/>
        </w:rPr>
        <w:t xml:space="preserve"> assure the public that </w:t>
      </w:r>
      <w:r w:rsidR="00B41529" w:rsidRPr="00B41529">
        <w:rPr>
          <w:rFonts w:asciiTheme="minorHAnsi" w:hAnsiTheme="minorHAnsi" w:cstheme="majorHAnsi"/>
          <w:color w:val="000000"/>
          <w:sz w:val="22"/>
          <w:szCs w:val="22"/>
        </w:rPr>
        <w:t xml:space="preserve">the </w:t>
      </w:r>
      <w:r w:rsidR="00894D8B">
        <w:rPr>
          <w:rFonts w:asciiTheme="minorHAnsi" w:hAnsiTheme="minorHAnsi" w:cstheme="majorHAnsi"/>
          <w:color w:val="000000"/>
          <w:sz w:val="22"/>
          <w:szCs w:val="22"/>
        </w:rPr>
        <w:t xml:space="preserve">Guideline is adhered to </w:t>
      </w:r>
      <w:r w:rsidR="000C7919">
        <w:rPr>
          <w:rFonts w:asciiTheme="minorHAnsi" w:hAnsiTheme="minorHAnsi" w:cstheme="majorHAnsi"/>
          <w:color w:val="000000"/>
          <w:sz w:val="22"/>
          <w:szCs w:val="22"/>
        </w:rPr>
        <w:t>and that the</w:t>
      </w:r>
      <w:r w:rsidR="00894D8B">
        <w:rPr>
          <w:rFonts w:asciiTheme="minorHAnsi" w:hAnsiTheme="minorHAnsi" w:cstheme="majorHAnsi"/>
          <w:color w:val="000000"/>
          <w:sz w:val="22"/>
          <w:szCs w:val="22"/>
        </w:rPr>
        <w:t xml:space="preserve"> </w:t>
      </w:r>
      <w:r w:rsidR="000C7919" w:rsidRPr="000C7919">
        <w:rPr>
          <w:rFonts w:asciiTheme="minorHAnsi" w:hAnsiTheme="minorHAnsi" w:cstheme="majorHAnsi"/>
          <w:color w:val="000000"/>
          <w:sz w:val="22"/>
          <w:szCs w:val="22"/>
        </w:rPr>
        <w:t>rights, safety, and well-being of clinical trial participants are protected and that the trial data generated are credible.</w:t>
      </w:r>
    </w:p>
    <w:p w14:paraId="2A50E4CF" w14:textId="77777777" w:rsidR="001B6BBF" w:rsidRDefault="001B6BBF" w:rsidP="00EC7050">
      <w:pPr>
        <w:pStyle w:val="Heading2"/>
      </w:pPr>
      <w:bookmarkStart w:id="14" w:name="_Toc106811805"/>
      <w:bookmarkStart w:id="15" w:name="_Toc106811930"/>
      <w:bookmarkStart w:id="16" w:name="_Hlk106637006"/>
      <w:r>
        <w:t xml:space="preserve">Benefits </w:t>
      </w:r>
      <w:r w:rsidRPr="00EC7050">
        <w:t>of</w:t>
      </w:r>
      <w:r>
        <w:t xml:space="preserve"> the proposed changes</w:t>
      </w:r>
      <w:bookmarkEnd w:id="14"/>
      <w:bookmarkEnd w:id="15"/>
    </w:p>
    <w:bookmarkEnd w:id="16"/>
    <w:p w14:paraId="1F0D5182" w14:textId="645CB3BE" w:rsidR="004F51E0" w:rsidRPr="006606B9" w:rsidRDefault="00D51CC5" w:rsidP="00675C03">
      <w:r>
        <w:t>T</w:t>
      </w:r>
      <w:r w:rsidR="001B6BBF">
        <w:t>he proposed changes</w:t>
      </w:r>
      <w:r w:rsidR="0053710D">
        <w:t xml:space="preserve"> </w:t>
      </w:r>
      <w:r w:rsidR="00880A50">
        <w:t>will strengthen</w:t>
      </w:r>
      <w:r w:rsidR="0053710D">
        <w:t xml:space="preserve"> clinical trials </w:t>
      </w:r>
      <w:r w:rsidR="00880A50">
        <w:t xml:space="preserve">of </w:t>
      </w:r>
      <w:r w:rsidR="00434549">
        <w:t>high-risk</w:t>
      </w:r>
      <w:r w:rsidR="00880A50">
        <w:t xml:space="preserve"> medical devices </w:t>
      </w:r>
      <w:r w:rsidR="0053710D">
        <w:t>in Australia.</w:t>
      </w:r>
      <w:r w:rsidR="001B6BBF">
        <w:t xml:space="preserve"> </w:t>
      </w:r>
      <w:r w:rsidR="00DD0D5E">
        <w:t>T</w:t>
      </w:r>
      <w:r w:rsidR="00323D4F">
        <w:t xml:space="preserve">he </w:t>
      </w:r>
      <w:r w:rsidR="001317A1">
        <w:t xml:space="preserve">TGA </w:t>
      </w:r>
      <w:r w:rsidR="00323D4F">
        <w:t xml:space="preserve">would </w:t>
      </w:r>
      <w:r w:rsidR="001317A1">
        <w:t xml:space="preserve">have better oversight of </w:t>
      </w:r>
      <w:r w:rsidR="005E5A25">
        <w:t>high</w:t>
      </w:r>
      <w:r w:rsidR="001317A1">
        <w:t>-</w:t>
      </w:r>
      <w:r w:rsidR="005E5A25">
        <w:t xml:space="preserve">risk </w:t>
      </w:r>
      <w:r w:rsidR="001317A1">
        <w:t xml:space="preserve">devices </w:t>
      </w:r>
      <w:r w:rsidR="0053710D" w:rsidRPr="006606B9">
        <w:t xml:space="preserve">commensurate with the potential for patient harm. </w:t>
      </w:r>
      <w:r w:rsidR="00A37ABD" w:rsidRPr="006606B9">
        <w:t xml:space="preserve">This approach </w:t>
      </w:r>
      <w:r w:rsidR="00CB4FAD" w:rsidRPr="006606B9">
        <w:t xml:space="preserve">is consistent with TGA’s </w:t>
      </w:r>
      <w:r w:rsidR="00880A50">
        <w:t xml:space="preserve">broad </w:t>
      </w:r>
      <w:r w:rsidR="00CB4FAD" w:rsidRPr="006606B9">
        <w:t>'risk-based' approach to regulating therapeutic goods</w:t>
      </w:r>
      <w:r w:rsidR="004F51E0" w:rsidRPr="006606B9">
        <w:t xml:space="preserve">. </w:t>
      </w:r>
    </w:p>
    <w:p w14:paraId="3906CE08" w14:textId="79E6C9D5" w:rsidR="00C90E07" w:rsidRPr="00F863F0" w:rsidRDefault="00774A41" w:rsidP="00675C03">
      <w:pPr>
        <w:rPr>
          <w:rFonts w:asciiTheme="minorHAnsi" w:hAnsiTheme="minorHAnsi"/>
          <w:color w:val="000000"/>
          <w:szCs w:val="22"/>
        </w:rPr>
      </w:pPr>
      <w:r w:rsidRPr="006606B9">
        <w:t xml:space="preserve">Inclusion of </w:t>
      </w:r>
      <w:r w:rsidR="00530976" w:rsidRPr="00C84E25">
        <w:rPr>
          <w:b/>
          <w:bCs/>
        </w:rPr>
        <w:t>all</w:t>
      </w:r>
      <w:r w:rsidR="00530976">
        <w:t xml:space="preserve"> </w:t>
      </w:r>
      <w:r w:rsidRPr="006606B9">
        <w:t>medical device</w:t>
      </w:r>
      <w:r w:rsidR="003002F6" w:rsidRPr="006606B9">
        <w:t>s</w:t>
      </w:r>
      <w:r w:rsidRPr="006606B9">
        <w:t xml:space="preserve"> </w:t>
      </w:r>
      <w:r w:rsidR="00880A50">
        <w:t>in</w:t>
      </w:r>
      <w:r w:rsidR="00880A50" w:rsidRPr="006606B9">
        <w:t xml:space="preserve"> </w:t>
      </w:r>
      <w:r w:rsidRPr="006606B9">
        <w:t xml:space="preserve">the existing </w:t>
      </w:r>
      <w:r w:rsidR="00F863F0" w:rsidRPr="006606B9">
        <w:t xml:space="preserve">GCP </w:t>
      </w:r>
      <w:r w:rsidRPr="006606B9">
        <w:t xml:space="preserve">Inspection Program </w:t>
      </w:r>
      <w:r w:rsidR="00323D4F" w:rsidRPr="006606B9">
        <w:t xml:space="preserve">would </w:t>
      </w:r>
      <w:r w:rsidR="001317A1" w:rsidRPr="006606B9">
        <w:t xml:space="preserve">enhance protection of </w:t>
      </w:r>
      <w:r w:rsidR="00880A50">
        <w:t>Australian patients</w:t>
      </w:r>
      <w:r w:rsidR="001317A1" w:rsidRPr="006606B9">
        <w:t xml:space="preserve"> and improve data quality, </w:t>
      </w:r>
      <w:r w:rsidR="004D05A3" w:rsidRPr="006606B9">
        <w:t>reliability,</w:t>
      </w:r>
      <w:r w:rsidR="001317A1" w:rsidRPr="006606B9">
        <w:t xml:space="preserve"> and acceptability. This</w:t>
      </w:r>
      <w:r w:rsidR="000F6737">
        <w:t> </w:t>
      </w:r>
      <w:r w:rsidR="004D05A3" w:rsidRPr="006606B9">
        <w:t xml:space="preserve">would </w:t>
      </w:r>
      <w:r w:rsidR="001317A1" w:rsidRPr="006606B9">
        <w:t>in turn raise the standard of conduct and quality of clinical trials conducted in Australia</w:t>
      </w:r>
      <w:r w:rsidR="00E4354F" w:rsidRPr="006606B9">
        <w:t xml:space="preserve"> and</w:t>
      </w:r>
      <w:r w:rsidR="00E4354F">
        <w:t xml:space="preserve"> strengthen </w:t>
      </w:r>
      <w:r w:rsidR="001317A1">
        <w:t xml:space="preserve">Australia’s competitive position in clinical trials globally. </w:t>
      </w:r>
    </w:p>
    <w:p w14:paraId="3D36974F" w14:textId="0385486C" w:rsidR="00435B93" w:rsidRDefault="00435B93" w:rsidP="00435B93">
      <w:pPr>
        <w:pStyle w:val="Heading2"/>
      </w:pPr>
      <w:bookmarkStart w:id="17" w:name="_This_Consultation_-"/>
      <w:bookmarkStart w:id="18" w:name="_Toc106811806"/>
      <w:bookmarkStart w:id="19" w:name="_Toc106811931"/>
      <w:bookmarkEnd w:id="17"/>
      <w:r>
        <w:lastRenderedPageBreak/>
        <w:t>Your input is valuable to us</w:t>
      </w:r>
      <w:bookmarkEnd w:id="18"/>
      <w:bookmarkEnd w:id="19"/>
    </w:p>
    <w:p w14:paraId="6330CD2D" w14:textId="0DFAD052" w:rsidR="002117B5" w:rsidRDefault="00D1096B" w:rsidP="00707EEF">
      <w:r w:rsidRPr="00D1096B">
        <w:t xml:space="preserve">We invite you to review the consultation </w:t>
      </w:r>
      <w:r>
        <w:t>paper</w:t>
      </w:r>
      <w:r w:rsidRPr="00D1096B">
        <w:t> and provide a response using our online survey, both of which are accessible through our </w:t>
      </w:r>
      <w:hyperlink r:id="rId17" w:tooltip="link to the Health website" w:history="1">
        <w:r w:rsidRPr="00D1096B">
          <w:rPr>
            <w:rStyle w:val="Hyperlink"/>
          </w:rPr>
          <w:t>consultation hub</w:t>
        </w:r>
      </w:hyperlink>
      <w:r w:rsidRPr="00D1096B">
        <w:t>. We appreciate all views, so if you would prefer to respond by email or written document, you can find further details on the hub.</w:t>
      </w:r>
    </w:p>
    <w:tbl>
      <w:tblPr>
        <w:tblW w:w="9038" w:type="dxa"/>
        <w:tblLayout w:type="fixed"/>
        <w:tblCellMar>
          <w:left w:w="0" w:type="dxa"/>
          <w:right w:w="0" w:type="dxa"/>
        </w:tblCellMar>
        <w:tblLook w:val="04A0" w:firstRow="1" w:lastRow="0" w:firstColumn="1" w:lastColumn="0" w:noHBand="0" w:noVBand="1"/>
      </w:tblPr>
      <w:tblGrid>
        <w:gridCol w:w="993"/>
        <w:gridCol w:w="8045"/>
      </w:tblGrid>
      <w:tr w:rsidR="00B663F4" w:rsidRPr="00B663F4" w14:paraId="4D074032" w14:textId="77777777" w:rsidTr="00581356">
        <w:trPr>
          <w:trHeight w:val="817"/>
        </w:trPr>
        <w:tc>
          <w:tcPr>
            <w:tcW w:w="993" w:type="dxa"/>
            <w:vAlign w:val="center"/>
          </w:tcPr>
          <w:p w14:paraId="623C20EB" w14:textId="77777777" w:rsidR="00B663F4" w:rsidRPr="00B663F4" w:rsidRDefault="00B663F4" w:rsidP="00B663F4">
            <w:r w:rsidRPr="00B663F4">
              <w:rPr>
                <w:noProof/>
                <w:lang w:eastAsia="en-AU"/>
              </w:rPr>
              <w:drawing>
                <wp:inline distT="0" distB="0" distL="0" distR="0" wp14:anchorId="14348755" wp14:editId="3E38932F">
                  <wp:extent cx="599847" cy="599847"/>
                  <wp:effectExtent l="0" t="0" r="0" b="0"/>
                  <wp:docPr id="6" name="Picture 6"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8571" cy="598571"/>
                          </a:xfrm>
                          <a:prstGeom prst="rect">
                            <a:avLst/>
                          </a:prstGeom>
                        </pic:spPr>
                      </pic:pic>
                    </a:graphicData>
                  </a:graphic>
                </wp:inline>
              </w:drawing>
            </w:r>
          </w:p>
        </w:tc>
        <w:tc>
          <w:tcPr>
            <w:tcW w:w="8045" w:type="dxa"/>
            <w:shd w:val="clear" w:color="auto" w:fill="EAEAEA"/>
            <w:tcMar>
              <w:top w:w="170" w:type="dxa"/>
              <w:left w:w="170" w:type="dxa"/>
              <w:bottom w:w="170" w:type="dxa"/>
              <w:right w:w="170" w:type="dxa"/>
            </w:tcMar>
          </w:tcPr>
          <w:p w14:paraId="37C7D4F4" w14:textId="17AFE696" w:rsidR="00B663F4" w:rsidRDefault="00B663F4" w:rsidP="00707EEF">
            <w:pPr>
              <w:rPr>
                <w:b/>
              </w:rPr>
            </w:pPr>
            <w:bookmarkStart w:id="20" w:name="_Toc488857260"/>
            <w:bookmarkStart w:id="21" w:name="_Ref532476925"/>
            <w:bookmarkStart w:id="22" w:name="_Toc532477898"/>
            <w:r w:rsidRPr="00707EEF">
              <w:rPr>
                <w:b/>
              </w:rPr>
              <w:t>Questions</w:t>
            </w:r>
            <w:bookmarkEnd w:id="20"/>
            <w:bookmarkEnd w:id="21"/>
            <w:bookmarkEnd w:id="22"/>
          </w:p>
          <w:p w14:paraId="522DBDC4" w14:textId="1A41B428" w:rsidR="00E4354F" w:rsidRPr="00E4354F" w:rsidRDefault="004D05A3" w:rsidP="00E4354F">
            <w:pPr>
              <w:pStyle w:val="Numberbullet0"/>
              <w:numPr>
                <w:ilvl w:val="0"/>
                <w:numId w:val="8"/>
              </w:numPr>
              <w:rPr>
                <w:bCs/>
              </w:rPr>
            </w:pPr>
            <w:r>
              <w:rPr>
                <w:bCs/>
              </w:rPr>
              <w:t>D</w:t>
            </w:r>
            <w:r w:rsidR="00E4354F">
              <w:rPr>
                <w:bCs/>
              </w:rPr>
              <w:t xml:space="preserve">o you think </w:t>
            </w:r>
            <w:r>
              <w:rPr>
                <w:bCs/>
              </w:rPr>
              <w:t xml:space="preserve">the </w:t>
            </w:r>
            <w:r w:rsidR="00E4354F">
              <w:rPr>
                <w:bCs/>
              </w:rPr>
              <w:t xml:space="preserve">TGA should have more oversight </w:t>
            </w:r>
            <w:r>
              <w:rPr>
                <w:bCs/>
              </w:rPr>
              <w:t xml:space="preserve">of </w:t>
            </w:r>
            <w:r w:rsidR="00E4354F">
              <w:rPr>
                <w:bCs/>
              </w:rPr>
              <w:t>clinical trials involving high</w:t>
            </w:r>
            <w:r w:rsidR="00613461">
              <w:rPr>
                <w:bCs/>
              </w:rPr>
              <w:t>-</w:t>
            </w:r>
            <w:r w:rsidR="00E4354F">
              <w:rPr>
                <w:bCs/>
              </w:rPr>
              <w:t xml:space="preserve">risk medical devices </w:t>
            </w:r>
            <w:r w:rsidR="00261267">
              <w:rPr>
                <w:bCs/>
              </w:rPr>
              <w:t>(i.</w:t>
            </w:r>
            <w:r w:rsidR="00E4354F">
              <w:rPr>
                <w:bCs/>
              </w:rPr>
              <w:t xml:space="preserve">e. </w:t>
            </w:r>
            <w:r w:rsidR="00261267">
              <w:rPr>
                <w:rFonts w:asciiTheme="minorHAnsi" w:hAnsiTheme="minorHAnsi" w:cstheme="majorHAnsi"/>
                <w:color w:val="000000"/>
                <w:szCs w:val="22"/>
              </w:rPr>
              <w:t>invasive or implantable medical devices that have not previously been approved for use in people</w:t>
            </w:r>
            <w:r w:rsidR="00261267">
              <w:rPr>
                <w:bCs/>
              </w:rPr>
              <w:t>)</w:t>
            </w:r>
            <w:r w:rsidR="00782173">
              <w:rPr>
                <w:bCs/>
              </w:rPr>
              <w:t>?</w:t>
            </w:r>
          </w:p>
          <w:p w14:paraId="369D565F" w14:textId="0AF940B5" w:rsidR="00B663F4" w:rsidRPr="00B663F4" w:rsidRDefault="00E4354F" w:rsidP="000F6737">
            <w:pPr>
              <w:pStyle w:val="Numberbullet0"/>
              <w:numPr>
                <w:ilvl w:val="0"/>
                <w:numId w:val="8"/>
              </w:numPr>
            </w:pPr>
            <w:r>
              <w:t>Do you think</w:t>
            </w:r>
            <w:r w:rsidR="00ED48BB">
              <w:t xml:space="preserve"> clinical trials of</w:t>
            </w:r>
            <w:r>
              <w:t xml:space="preserve"> medical device</w:t>
            </w:r>
            <w:r w:rsidR="004D05A3">
              <w:t>s</w:t>
            </w:r>
            <w:r>
              <w:t xml:space="preserve"> should be included in the existing GCP Inspection Program</w:t>
            </w:r>
            <w:r w:rsidR="00CC67CC">
              <w:t>?</w:t>
            </w:r>
          </w:p>
        </w:tc>
      </w:tr>
    </w:tbl>
    <w:p w14:paraId="2A369528" w14:textId="77777777" w:rsidR="001B6BBF" w:rsidRDefault="001B6BBF" w:rsidP="00ED047C">
      <w:pPr>
        <w:pStyle w:val="Heading4"/>
      </w:pPr>
      <w:bookmarkStart w:id="23" w:name="_How_to_submit"/>
      <w:bookmarkStart w:id="24" w:name="_Toc106811807"/>
      <w:bookmarkStart w:id="25" w:name="_Toc106811932"/>
      <w:bookmarkEnd w:id="23"/>
      <w:r w:rsidRPr="00B35894">
        <w:t>How to submit</w:t>
      </w:r>
      <w:bookmarkEnd w:id="24"/>
      <w:bookmarkEnd w:id="25"/>
    </w:p>
    <w:p w14:paraId="0B04F4F4" w14:textId="77777777" w:rsidR="007B4AC6" w:rsidRPr="00F27689" w:rsidRDefault="007B4AC6" w:rsidP="007B4AC6">
      <w:r w:rsidRPr="00F27689">
        <w:t>Complete the onli</w:t>
      </w:r>
      <w:r>
        <w:t xml:space="preserve">ne consultation submission form </w:t>
      </w:r>
      <w:r w:rsidRPr="00F27689">
        <w:t>to upload your submission in either pdf or word format.</w:t>
      </w:r>
    </w:p>
    <w:p w14:paraId="5835EAD0" w14:textId="77777777" w:rsidR="007B4AC6" w:rsidRPr="00F27689" w:rsidRDefault="007B4AC6" w:rsidP="007B4AC6">
      <w:r w:rsidRPr="00F27689">
        <w:t xml:space="preserve">You can also submit your feedback directly to the TGA by email at: </w:t>
      </w:r>
      <w:hyperlink r:id="rId19" w:history="1">
        <w:r w:rsidRPr="00626ED3">
          <w:rPr>
            <w:rStyle w:val="Hyperlink"/>
          </w:rPr>
          <w:t>devicereforms@tga.gov.au</w:t>
        </w:r>
      </w:hyperlink>
      <w:r>
        <w:rPr>
          <w:color w:val="0000FF"/>
        </w:rPr>
        <w:t xml:space="preserve">. </w:t>
      </w:r>
      <w:r w:rsidRPr="00F27689">
        <w:t xml:space="preserve">If you do so, </w:t>
      </w:r>
      <w:r w:rsidRPr="00F27689">
        <w:rPr>
          <w:b/>
        </w:rPr>
        <w:t>please ensure your submission is accompanied by a cover sheet</w:t>
      </w:r>
      <w:r>
        <w:t>.</w:t>
      </w:r>
    </w:p>
    <w:p w14:paraId="277E13EB" w14:textId="4E621CD9" w:rsidR="007B4AC6" w:rsidRPr="00F27689" w:rsidRDefault="007B4AC6" w:rsidP="007B4AC6">
      <w:pPr>
        <w:rPr>
          <w:b/>
        </w:rPr>
      </w:pPr>
      <w:r w:rsidRPr="00F27689">
        <w:rPr>
          <w:b/>
        </w:rPr>
        <w:t>This</w:t>
      </w:r>
      <w:r w:rsidR="00E454A1">
        <w:rPr>
          <w:b/>
        </w:rPr>
        <w:t xml:space="preserve"> consultation closes </w:t>
      </w:r>
      <w:r w:rsidR="00EF110C">
        <w:rPr>
          <w:b/>
        </w:rPr>
        <w:t>on 28 September</w:t>
      </w:r>
      <w:r w:rsidRPr="00F27689">
        <w:rPr>
          <w:b/>
        </w:rPr>
        <w:t xml:space="preserve"> 20</w:t>
      </w:r>
      <w:r w:rsidR="00CC67CC">
        <w:rPr>
          <w:b/>
        </w:rPr>
        <w:t>22</w:t>
      </w:r>
      <w:r w:rsidR="00707EEF">
        <w:rPr>
          <w:b/>
        </w:rPr>
        <w:t>.</w:t>
      </w:r>
    </w:p>
    <w:p w14:paraId="2ACED67E" w14:textId="77777777" w:rsidR="001B6BBF" w:rsidRDefault="001B6BBF" w:rsidP="00707EEF">
      <w:pPr>
        <w:pStyle w:val="Heading4"/>
      </w:pPr>
      <w:bookmarkStart w:id="26" w:name="_Toc106811808"/>
      <w:bookmarkStart w:id="27" w:name="_Toc106811933"/>
      <w:r w:rsidRPr="00707EEF">
        <w:t>Enquiries</w:t>
      </w:r>
      <w:bookmarkEnd w:id="26"/>
      <w:bookmarkEnd w:id="27"/>
    </w:p>
    <w:p w14:paraId="0C66D31A" w14:textId="55F08BB7" w:rsidR="00782173" w:rsidRPr="00675C03" w:rsidRDefault="001B6BBF" w:rsidP="00A26AFB">
      <w:r>
        <w:t xml:space="preserve">If you have any questions relating to </w:t>
      </w:r>
      <w:r w:rsidR="00613461">
        <w:t>submissions,</w:t>
      </w:r>
      <w:r>
        <w:t xml:space="preserve"> please direct th</w:t>
      </w:r>
      <w:r w:rsidR="00ED047C">
        <w:t xml:space="preserve">em to: </w:t>
      </w:r>
      <w:hyperlink r:id="rId20" w:history="1">
        <w:r w:rsidR="00ED047C" w:rsidRPr="002176B9">
          <w:rPr>
            <w:rStyle w:val="Hyperlink"/>
          </w:rPr>
          <w:t>devicereforms@tga.gov.au</w:t>
        </w:r>
      </w:hyperlink>
      <w:r w:rsidR="00707EEF" w:rsidRPr="00707EEF">
        <w:rPr>
          <w:rStyle w:val="Hyperlink"/>
          <w:color w:val="auto"/>
          <w:u w:val="none"/>
        </w:rPr>
        <w:t>.</w:t>
      </w:r>
    </w:p>
    <w:bookmarkEnd w:id="0"/>
    <w:bookmarkEnd w:id="1"/>
    <w:p w14:paraId="66159C07" w14:textId="77777777"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1939D988" w14:textId="77777777" w:rsidTr="004B38DB">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660F92FB" w14:textId="77777777" w:rsidR="00BA6FF1" w:rsidRPr="009401F6" w:rsidRDefault="00BA6FF1" w:rsidP="004B38DB">
            <w:bookmarkStart w:id="28" w:name="ColumnTitle_4"/>
            <w:r w:rsidRPr="009401F6">
              <w:t>Version</w:t>
            </w:r>
          </w:p>
        </w:tc>
        <w:tc>
          <w:tcPr>
            <w:tcW w:w="3242" w:type="dxa"/>
          </w:tcPr>
          <w:p w14:paraId="7E868A3C" w14:textId="77777777" w:rsidR="00BA6FF1" w:rsidRPr="009401F6" w:rsidRDefault="00BA6FF1" w:rsidP="004B38DB">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0A7224F3" w14:textId="77777777" w:rsidR="00BA6FF1" w:rsidRPr="009401F6" w:rsidRDefault="00BA6FF1" w:rsidP="004B38DB">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58002936" w14:textId="77777777" w:rsidR="00BA6FF1" w:rsidRPr="009401F6" w:rsidRDefault="00BA6FF1" w:rsidP="004B38DB">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28"/>
      <w:tr w:rsidR="00BA6FF1" w:rsidRPr="009401F6" w14:paraId="424C227C" w14:textId="77777777" w:rsidTr="00CF2D0E">
        <w:trPr>
          <w:cantSplit w:val="0"/>
          <w:trHeight w:val="1079"/>
        </w:trPr>
        <w:tc>
          <w:tcPr>
            <w:cnfStyle w:val="001000000000" w:firstRow="0" w:lastRow="0" w:firstColumn="1" w:lastColumn="0" w:oddVBand="0" w:evenVBand="0" w:oddHBand="0" w:evenHBand="0" w:firstRowFirstColumn="0" w:firstRowLastColumn="0" w:lastRowFirstColumn="0" w:lastRowLastColumn="0"/>
            <w:tcW w:w="1276" w:type="dxa"/>
          </w:tcPr>
          <w:p w14:paraId="5B5AF2DF" w14:textId="77777777" w:rsidR="00BA6FF1" w:rsidRPr="009401F6" w:rsidRDefault="00BA6FF1" w:rsidP="004B38DB">
            <w:r w:rsidRPr="009401F6">
              <w:t>V1.0</w:t>
            </w:r>
          </w:p>
        </w:tc>
        <w:tc>
          <w:tcPr>
            <w:tcW w:w="3242" w:type="dxa"/>
          </w:tcPr>
          <w:p w14:paraId="4B244541" w14:textId="77777777" w:rsidR="00BA6FF1" w:rsidRPr="009401F6" w:rsidRDefault="00BA6FF1" w:rsidP="004B38DB">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4981AC33" w14:textId="4A85D393" w:rsidR="00BA6FF1" w:rsidRPr="009401F6" w:rsidRDefault="00CF2D0E" w:rsidP="004B38DB">
            <w:pPr>
              <w:cnfStyle w:val="000000000000" w:firstRow="0" w:lastRow="0" w:firstColumn="0" w:lastColumn="0" w:oddVBand="0" w:evenVBand="0" w:oddHBand="0" w:evenHBand="0" w:firstRowFirstColumn="0" w:firstRowLastColumn="0" w:lastRowFirstColumn="0" w:lastRowLastColumn="0"/>
            </w:pPr>
            <w:r>
              <w:t xml:space="preserve">Medical Devices </w:t>
            </w:r>
            <w:r w:rsidR="006E2080">
              <w:t xml:space="preserve">Authorisation </w:t>
            </w:r>
            <w:r>
              <w:t>Branch, Therapeutic Goods Administration</w:t>
            </w:r>
          </w:p>
        </w:tc>
        <w:tc>
          <w:tcPr>
            <w:tcW w:w="1808" w:type="dxa"/>
          </w:tcPr>
          <w:p w14:paraId="0EB7F559" w14:textId="7B83EE1B" w:rsidR="00BA6FF1" w:rsidRPr="009401F6" w:rsidRDefault="00675C03" w:rsidP="004B38DB">
            <w:pPr>
              <w:cnfStyle w:val="000000000000" w:firstRow="0" w:lastRow="0" w:firstColumn="0" w:lastColumn="0" w:oddVBand="0" w:evenVBand="0" w:oddHBand="0" w:evenHBand="0" w:firstRowFirstColumn="0" w:firstRowLastColumn="0" w:lastRowFirstColumn="0" w:lastRowLastColumn="0"/>
            </w:pPr>
            <w:r>
              <w:t>August</w:t>
            </w:r>
            <w:r w:rsidR="005704CF">
              <w:t xml:space="preserve"> 2022</w:t>
            </w:r>
          </w:p>
        </w:tc>
      </w:tr>
    </w:tbl>
    <w:p w14:paraId="7DD3D000" w14:textId="77777777" w:rsidR="00BA6FF1" w:rsidRDefault="00BA6FF1" w:rsidP="00F8404D">
      <w:r>
        <w:br w:type="page"/>
      </w:r>
    </w:p>
    <w:p w14:paraId="41DF91DA" w14:textId="77777777" w:rsidR="003E3D34" w:rsidRPr="009401F6" w:rsidRDefault="003E3D34" w:rsidP="00F8404D">
      <w:pPr>
        <w:sectPr w:rsidR="003E3D34" w:rsidRPr="009401F6" w:rsidSect="000F6737">
          <w:headerReference w:type="default" r:id="rId21"/>
          <w:footerReference w:type="default" r:id="rId22"/>
          <w:headerReference w:type="first" r:id="rId23"/>
          <w:type w:val="continuous"/>
          <w:pgSz w:w="11906" w:h="16838" w:code="9"/>
          <w:pgMar w:top="1530" w:right="1418" w:bottom="993" w:left="1418" w:header="998" w:footer="471"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30AF232B" w14:textId="77777777" w:rsidTr="004B38DB">
        <w:trPr>
          <w:trHeight w:hRule="exact" w:val="565"/>
          <w:jc w:val="center"/>
        </w:trPr>
        <w:tc>
          <w:tcPr>
            <w:tcW w:w="9145" w:type="dxa"/>
          </w:tcPr>
          <w:p w14:paraId="38EB29CB" w14:textId="77777777" w:rsidR="00F8404D" w:rsidRPr="009401F6" w:rsidRDefault="00F8404D" w:rsidP="004B38DB">
            <w:pPr>
              <w:pStyle w:val="TGASignoff"/>
            </w:pPr>
            <w:r w:rsidRPr="009401F6">
              <w:lastRenderedPageBreak/>
              <w:t>Therapeutic Goods Administration</w:t>
            </w:r>
          </w:p>
        </w:tc>
      </w:tr>
      <w:tr w:rsidR="00F8404D" w:rsidRPr="009401F6" w14:paraId="770523B3" w14:textId="77777777" w:rsidTr="004B38DB">
        <w:trPr>
          <w:trHeight w:val="963"/>
          <w:jc w:val="center"/>
        </w:trPr>
        <w:tc>
          <w:tcPr>
            <w:tcW w:w="9145" w:type="dxa"/>
            <w:tcMar>
              <w:top w:w="28" w:type="dxa"/>
            </w:tcMar>
          </w:tcPr>
          <w:p w14:paraId="49E4FAF8" w14:textId="77777777" w:rsidR="00F8404D" w:rsidRPr="009401F6" w:rsidRDefault="00F8404D" w:rsidP="004B38DB">
            <w:pPr>
              <w:pStyle w:val="Address"/>
              <w:jc w:val="center"/>
            </w:pPr>
            <w:r w:rsidRPr="009401F6">
              <w:t>PO Box 100 Woden ACT 2606 Australia</w:t>
            </w:r>
          </w:p>
          <w:p w14:paraId="707CC778" w14:textId="77777777" w:rsidR="00F8404D" w:rsidRPr="009401F6" w:rsidRDefault="00F8404D" w:rsidP="004B38DB">
            <w:pPr>
              <w:pStyle w:val="Address"/>
              <w:jc w:val="center"/>
            </w:pPr>
            <w:r w:rsidRPr="009401F6">
              <w:t xml:space="preserve">Email: </w:t>
            </w:r>
            <w:hyperlink r:id="rId24"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7DFD3C74" w14:textId="6B19888A" w:rsidR="00F8404D" w:rsidRPr="009401F6" w:rsidRDefault="00944BA6" w:rsidP="004B38DB">
            <w:pPr>
              <w:pStyle w:val="Address"/>
              <w:spacing w:line="260" w:lineRule="atLeast"/>
              <w:jc w:val="center"/>
              <w:rPr>
                <w:rStyle w:val="Hyperlink"/>
                <w:b/>
              </w:rPr>
            </w:pPr>
            <w:hyperlink r:id="rId25" w:history="1">
              <w:r w:rsidR="006E2080" w:rsidRPr="005917DE">
                <w:rPr>
                  <w:rStyle w:val="Hyperlink"/>
                  <w:b/>
                </w:rPr>
                <w:t>www.tga.gov.au</w:t>
              </w:r>
            </w:hyperlink>
          </w:p>
        </w:tc>
      </w:tr>
      <w:tr w:rsidR="00F8404D" w:rsidRPr="009401F6" w14:paraId="3CB90B71" w14:textId="77777777" w:rsidTr="004B38DB">
        <w:trPr>
          <w:trHeight w:val="251"/>
          <w:jc w:val="center"/>
        </w:trPr>
        <w:tc>
          <w:tcPr>
            <w:tcW w:w="9145" w:type="dxa"/>
            <w:tcMar>
              <w:top w:w="28" w:type="dxa"/>
            </w:tcMar>
          </w:tcPr>
          <w:p w14:paraId="1B378A15" w14:textId="1B85CC42" w:rsidR="00F8404D" w:rsidRPr="009401F6" w:rsidRDefault="00F8404D" w:rsidP="004B38DB">
            <w:pPr>
              <w:pStyle w:val="Address"/>
              <w:jc w:val="center"/>
            </w:pPr>
            <w:r w:rsidRPr="009401F6">
              <w:t>Reference/Publication #</w:t>
            </w:r>
            <w:r w:rsidR="0031163F">
              <w:t xml:space="preserve"> </w:t>
            </w:r>
            <w:hyperlink r:id="rId26" w:history="1">
              <w:r w:rsidR="0031163F" w:rsidRPr="0031163F">
                <w:rPr>
                  <w:rStyle w:val="Hyperlink"/>
                </w:rPr>
                <w:t>D</w:t>
              </w:r>
              <w:r w:rsidR="006E2080">
                <w:rPr>
                  <w:rStyle w:val="Hyperlink"/>
                </w:rPr>
                <w:t>22</w:t>
              </w:r>
              <w:r w:rsidR="0031163F" w:rsidRPr="0031163F">
                <w:rPr>
                  <w:rStyle w:val="Hyperlink"/>
                </w:rPr>
                <w:t>-</w:t>
              </w:r>
              <w:r w:rsidR="006E2080">
                <w:rPr>
                  <w:rStyle w:val="Hyperlink"/>
                </w:rPr>
                <w:t>5690643</w:t>
              </w:r>
            </w:hyperlink>
          </w:p>
        </w:tc>
      </w:tr>
    </w:tbl>
    <w:p w14:paraId="21F8B04A" w14:textId="77777777" w:rsidR="0084580B" w:rsidRPr="009401F6" w:rsidRDefault="0084580B" w:rsidP="00F8404D">
      <w:pPr>
        <w:pStyle w:val="Footer"/>
      </w:pPr>
    </w:p>
    <w:sectPr w:rsidR="0084580B" w:rsidRPr="009401F6" w:rsidSect="00F8404D">
      <w:headerReference w:type="first" r:id="rId27"/>
      <w:footerReference w:type="first" r:id="rId28"/>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9175F" w14:textId="77777777" w:rsidR="00FD7249" w:rsidRDefault="00FD7249" w:rsidP="00C40A36">
      <w:pPr>
        <w:spacing w:after="0"/>
      </w:pPr>
      <w:r>
        <w:separator/>
      </w:r>
    </w:p>
    <w:p w14:paraId="5582697B" w14:textId="77777777" w:rsidR="00FD7249" w:rsidRDefault="00FD7249"/>
  </w:endnote>
  <w:endnote w:type="continuationSeparator" w:id="0">
    <w:p w14:paraId="60339004" w14:textId="77777777" w:rsidR="00FD7249" w:rsidRDefault="00FD7249" w:rsidP="00C40A36">
      <w:pPr>
        <w:spacing w:after="0"/>
      </w:pPr>
      <w:r>
        <w:continuationSeparator/>
      </w:r>
    </w:p>
    <w:p w14:paraId="3528DD12" w14:textId="77777777" w:rsidR="00FD7249" w:rsidRDefault="00FD7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C011D" w14:textId="77777777" w:rsidR="00A26AFB" w:rsidRDefault="00A26AFB"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26AFB" w:rsidRPr="00257138" w14:paraId="1C21302E" w14:textId="77777777" w:rsidTr="00A3654F">
      <w:trPr>
        <w:trHeight w:val="423"/>
      </w:trPr>
      <w:tc>
        <w:tcPr>
          <w:tcW w:w="4360" w:type="dxa"/>
          <w:tcBorders>
            <w:top w:val="single" w:sz="4" w:space="0" w:color="auto"/>
          </w:tcBorders>
        </w:tcPr>
        <w:p w14:paraId="58D38196" w14:textId="77777777" w:rsidR="00A26AFB" w:rsidRDefault="00A26AFB" w:rsidP="008D4740">
          <w:pPr>
            <w:pStyle w:val="Footer"/>
          </w:pPr>
        </w:p>
        <w:p w14:paraId="451F3F58" w14:textId="77777777" w:rsidR="00A26AFB" w:rsidRPr="00257138" w:rsidRDefault="00A26AFB"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5ACDE35E" w14:textId="77777777" w:rsidR="00A26AFB" w:rsidRDefault="00A26AFB" w:rsidP="008D4740">
              <w:pPr>
                <w:pStyle w:val="Footer"/>
                <w:jc w:val="right"/>
              </w:pPr>
            </w:p>
            <w:p w14:paraId="2798632B" w14:textId="2B0382A9" w:rsidR="00A26AFB" w:rsidRPr="00257138" w:rsidRDefault="00A26AFB"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14</w:t>
                </w:r>
              </w:fldSimple>
            </w:p>
          </w:sdtContent>
        </w:sdt>
      </w:tc>
    </w:tr>
    <w:tr w:rsidR="00A26AFB" w:rsidRPr="00257138" w14:paraId="0945466F" w14:textId="77777777" w:rsidTr="00A3654F">
      <w:trPr>
        <w:trHeight w:val="263"/>
      </w:trPr>
      <w:tc>
        <w:tcPr>
          <w:tcW w:w="4360" w:type="dxa"/>
        </w:tcPr>
        <w:p w14:paraId="40421A18" w14:textId="77777777" w:rsidR="00A26AFB" w:rsidRPr="00257138" w:rsidRDefault="00A26AFB" w:rsidP="008D4740">
          <w:pPr>
            <w:pStyle w:val="Footer"/>
          </w:pPr>
          <w:r w:rsidRPr="00257138">
            <w:t xml:space="preserve">V1.0 </w:t>
          </w:r>
          <w:r>
            <w:t>Month</w:t>
          </w:r>
          <w:r w:rsidRPr="00257138">
            <w:t xml:space="preserve"> 201</w:t>
          </w:r>
          <w:r>
            <w:t>2</w:t>
          </w:r>
        </w:p>
      </w:tc>
      <w:tc>
        <w:tcPr>
          <w:tcW w:w="4360" w:type="dxa"/>
        </w:tcPr>
        <w:p w14:paraId="42EFEC33" w14:textId="77777777" w:rsidR="00A26AFB" w:rsidRPr="00257138" w:rsidRDefault="00A26AFB" w:rsidP="008D4740">
          <w:pPr>
            <w:pStyle w:val="Footer"/>
            <w:jc w:val="right"/>
          </w:pPr>
        </w:p>
      </w:tc>
    </w:tr>
  </w:tbl>
  <w:p w14:paraId="41ABC500" w14:textId="77777777" w:rsidR="00A26AFB" w:rsidRPr="00826007" w:rsidRDefault="00A26AFB"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19EA9" w14:textId="77777777" w:rsidR="00A26AFB" w:rsidRDefault="00A26AFB"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141"/>
      <w:docPartObj>
        <w:docPartGallery w:val="Page Numbers (Top of Page)"/>
        <w:docPartUnique/>
      </w:docPartObj>
    </w:sdtPr>
    <w:sdtEndPr/>
    <w:sdtContent>
      <w:p w14:paraId="57B9FA26" w14:textId="28B0EA2F" w:rsidR="00A26AFB" w:rsidRPr="00826007" w:rsidRDefault="00A26AFB" w:rsidP="00F4663D">
        <w:pPr>
          <w:pStyle w:val="Footer"/>
          <w:tabs>
            <w:tab w:val="left" w:pos="7620"/>
            <w:tab w:val="right" w:pos="8504"/>
          </w:tabs>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fldSimple w:instr=" NUMPAGES  ">
          <w:r>
            <w:rPr>
              <w:noProof/>
            </w:rPr>
            <w:t>15</w:t>
          </w:r>
        </w:fldSimple>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41C68" w14:textId="77777777" w:rsidR="00A26AFB" w:rsidRPr="00F8404D" w:rsidRDefault="00A26AFB"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DB0EC" w14:textId="77777777" w:rsidR="00FD7249" w:rsidRDefault="00FD7249" w:rsidP="00FE1941">
      <w:pPr>
        <w:spacing w:after="0"/>
      </w:pPr>
      <w:r>
        <w:separator/>
      </w:r>
    </w:p>
  </w:footnote>
  <w:footnote w:type="continuationSeparator" w:id="0">
    <w:p w14:paraId="34745F3C" w14:textId="77777777" w:rsidR="00FD7249" w:rsidRDefault="00FD7249" w:rsidP="00C40A36">
      <w:pPr>
        <w:spacing w:after="0"/>
      </w:pPr>
      <w:r>
        <w:continuationSeparator/>
      </w:r>
    </w:p>
    <w:p w14:paraId="6F764940" w14:textId="77777777" w:rsidR="00FD7249" w:rsidRDefault="00FD7249"/>
  </w:footnote>
  <w:footnote w:id="1">
    <w:p w14:paraId="069363E8" w14:textId="333F0ADC" w:rsidR="00A26AFB" w:rsidRPr="000F7C29" w:rsidRDefault="00B17C6E" w:rsidP="004C659F">
      <w:pPr>
        <w:pStyle w:val="FootnoteText"/>
        <w:rPr>
          <w:lang w:val="en-US"/>
        </w:rPr>
      </w:pPr>
      <w:r>
        <w:rPr>
          <w:vertAlign w:val="superscript"/>
        </w:rPr>
        <w:t>1</w:t>
      </w:r>
      <w:r w:rsidR="00081381">
        <w:rPr>
          <w:vertAlign w:val="superscript"/>
        </w:rPr>
        <w:t xml:space="preserve"> </w:t>
      </w:r>
      <w:r w:rsidR="00A26AFB">
        <w:t xml:space="preserve">s41HA and s41HB of the </w:t>
      </w:r>
      <w:r w:rsidR="00A26AFB" w:rsidRPr="009C062E">
        <w:rPr>
          <w:i/>
        </w:rPr>
        <w:t>Therapeutic Goods Act 1989</w:t>
      </w:r>
      <w:r w:rsidR="00A26AFB">
        <w:t xml:space="preserve"> and Division 7.2 of the Therapeutic Goods (Medical Devices) Regulations 2002.</w:t>
      </w:r>
    </w:p>
  </w:footnote>
  <w:footnote w:id="2">
    <w:p w14:paraId="5F6C6B9C" w14:textId="44C67837" w:rsidR="00A26AFB" w:rsidRPr="00B80A17" w:rsidRDefault="00A26AFB">
      <w:pPr>
        <w:pStyle w:val="FootnoteText"/>
        <w:rPr>
          <w:lang w:val="en-US"/>
        </w:rPr>
      </w:pPr>
      <w:r>
        <w:rPr>
          <w:rStyle w:val="FootnoteReference"/>
        </w:rPr>
        <w:footnoteRef/>
      </w:r>
      <w:r>
        <w:t xml:space="preserve"> </w:t>
      </w:r>
      <w:hyperlink r:id="rId1" w:history="1">
        <w:r w:rsidRPr="00B17C6E">
          <w:rPr>
            <w:rStyle w:val="Hyperlink"/>
            <w:lang w:val="en-US"/>
          </w:rPr>
          <w:t>Australian clinical trial handbook</w:t>
        </w:r>
      </w:hyperlink>
    </w:p>
  </w:footnote>
  <w:footnote w:id="3">
    <w:p w14:paraId="44F28940" w14:textId="27DC6518" w:rsidR="00AD501D" w:rsidRDefault="00AD501D">
      <w:pPr>
        <w:pStyle w:val="FootnoteText"/>
      </w:pPr>
      <w:r>
        <w:rPr>
          <w:rStyle w:val="FootnoteReference"/>
        </w:rPr>
        <w:footnoteRef/>
      </w:r>
      <w:r>
        <w:t xml:space="preserve"> </w:t>
      </w:r>
      <w:hyperlink r:id="rId2" w:history="1">
        <w:r w:rsidR="001825CB" w:rsidRPr="006150FE">
          <w:rPr>
            <w:rStyle w:val="Hyperlink"/>
          </w:rPr>
          <w:t>www.tga.gov.au/sme-assist/which-clinical-trial-scheme-should-i-choose</w:t>
        </w:r>
      </w:hyperlink>
      <w:r>
        <w:t xml:space="preserve"> </w:t>
      </w:r>
    </w:p>
  </w:footnote>
  <w:footnote w:id="4">
    <w:p w14:paraId="5D1308CB" w14:textId="68B3D33A" w:rsidR="00AD501D" w:rsidRDefault="00AD501D">
      <w:pPr>
        <w:pStyle w:val="FootnoteText"/>
      </w:pPr>
      <w:r>
        <w:rPr>
          <w:rStyle w:val="FootnoteReference"/>
        </w:rPr>
        <w:footnoteRef/>
      </w:r>
      <w:r>
        <w:t xml:space="preserve"> </w:t>
      </w:r>
      <w:hyperlink r:id="rId3" w:history="1">
        <w:r w:rsidR="001825CB" w:rsidRPr="006150FE">
          <w:rPr>
            <w:rStyle w:val="Hyperlink"/>
          </w:rPr>
          <w:t>www.tga.gov.au/sites/default/files/australian-clinical-trial-handbook.pdf</w:t>
        </w:r>
      </w:hyperlink>
      <w:r>
        <w:t xml:space="preserve"> </w:t>
      </w:r>
    </w:p>
  </w:footnote>
  <w:footnote w:id="5">
    <w:p w14:paraId="263052B8" w14:textId="07EC548E" w:rsidR="003F25F3" w:rsidRDefault="003F25F3">
      <w:pPr>
        <w:pStyle w:val="FootnoteText"/>
      </w:pPr>
      <w:r>
        <w:rPr>
          <w:rStyle w:val="FootnoteReference"/>
        </w:rPr>
        <w:footnoteRef/>
      </w:r>
      <w:r>
        <w:t xml:space="preserve"> </w:t>
      </w:r>
      <w:r w:rsidRPr="00B61CE8">
        <w:t>The sponsor of a clinical trial is defined as 'an individual, organisation or group taking on responsibility for securing the arrangements to initiate, manage and finance a study'.</w:t>
      </w:r>
    </w:p>
  </w:footnote>
  <w:footnote w:id="6">
    <w:p w14:paraId="6612CB94" w14:textId="0BD3C249" w:rsidR="005B60C4" w:rsidRDefault="005B60C4">
      <w:pPr>
        <w:pStyle w:val="FootnoteText"/>
      </w:pPr>
      <w:r>
        <w:rPr>
          <w:rStyle w:val="FootnoteReference"/>
        </w:rPr>
        <w:footnoteRef/>
      </w:r>
      <w:r>
        <w:t xml:space="preserve"> </w:t>
      </w:r>
      <w:hyperlink r:id="rId4" w:anchor="toc__48" w:history="1">
        <w:r w:rsidR="001825CB" w:rsidRPr="006150FE">
          <w:rPr>
            <w:rStyle w:val="Hyperlink"/>
          </w:rPr>
          <w:t>www.nhmrc.gov.au/about-us/publications/national-statement-ethical-conduct-human-research-2007-updated-2018#toc__48</w:t>
        </w:r>
      </w:hyperlink>
      <w:r>
        <w:t xml:space="preserve"> </w:t>
      </w:r>
    </w:p>
  </w:footnote>
  <w:footnote w:id="7">
    <w:p w14:paraId="1EF51FED" w14:textId="290D44B9" w:rsidR="00687D41" w:rsidRDefault="00687D41">
      <w:pPr>
        <w:pStyle w:val="FootnoteText"/>
      </w:pPr>
      <w:r>
        <w:rPr>
          <w:rStyle w:val="FootnoteReference"/>
        </w:rPr>
        <w:footnoteRef/>
      </w:r>
      <w:r>
        <w:t xml:space="preserve"> </w:t>
      </w:r>
      <w:hyperlink r:id="rId5" w:history="1">
        <w:r w:rsidR="001825CB" w:rsidRPr="006150FE">
          <w:rPr>
            <w:rStyle w:val="Hyperlink"/>
          </w:rPr>
          <w:t>www.tga.gov.au/sites/default/files/good-clinical-practice-inspection-program-22-04-26.pdf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B31F3" w14:textId="77777777" w:rsidR="00A26AFB" w:rsidRPr="00920FF4" w:rsidRDefault="00A26AFB"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94015" w14:textId="3E56A3BD" w:rsidR="00A26AFB" w:rsidRPr="00E32326" w:rsidRDefault="001825CB" w:rsidP="00F202AB">
    <w:r>
      <w:rPr>
        <w:noProof/>
        <w:lang w:eastAsia="en-AU"/>
      </w:rPr>
      <w:drawing>
        <wp:anchor distT="0" distB="0" distL="114300" distR="114300" simplePos="0" relativeHeight="251661312" behindDoc="0" locked="0" layoutInCell="1" allowOverlap="1" wp14:anchorId="1CD45F4E" wp14:editId="0ACAD00B">
          <wp:simplePos x="0" y="0"/>
          <wp:positionH relativeFrom="margin">
            <wp:align>left</wp:align>
          </wp:positionH>
          <wp:positionV relativeFrom="paragraph">
            <wp:posOffset>-13820</wp:posOffset>
          </wp:positionV>
          <wp:extent cx="3524250" cy="819150"/>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26AFB" w:rsidRPr="00FF7B50" w14:paraId="5B86F9D6" w14:textId="77777777" w:rsidTr="004B38DB">
      <w:trPr>
        <w:trHeight w:hRule="exact" w:val="8845"/>
      </w:trPr>
      <w:tc>
        <w:tcPr>
          <w:tcW w:w="11964" w:type="dxa"/>
        </w:tcPr>
        <w:p w14:paraId="023C39ED" w14:textId="77777777" w:rsidR="00A26AFB" w:rsidRPr="00FF7B50" w:rsidRDefault="00944BA6" w:rsidP="00AE0320">
          <w:pPr>
            <w:pStyle w:val="Header"/>
            <w:ind w:left="-57"/>
            <w:jc w:val="left"/>
            <w:rPr>
              <w:noProof/>
              <w:lang w:eastAsia="en-AU"/>
            </w:rPr>
          </w:pPr>
          <w:sdt>
            <w:sdtPr>
              <w:rPr>
                <w:noProof/>
                <w:lang w:eastAsia="en-AU"/>
              </w:rPr>
              <w:id w:val="3702145"/>
              <w:showingPlcHdr/>
              <w:picture/>
            </w:sdtPr>
            <w:sdtEndPr/>
            <w:sdtContent>
              <w:r w:rsidR="00A26AFB" w:rsidRPr="00FF7B50">
                <w:rPr>
                  <w:noProof/>
                  <w:lang w:eastAsia="en-AU"/>
                </w:rPr>
                <w:drawing>
                  <wp:inline distT="0" distB="0" distL="0" distR="0" wp14:anchorId="7EC8641E" wp14:editId="68B5BFD8">
                    <wp:extent cx="7610475" cy="56388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642B5E2F" w14:textId="77777777" w:rsidR="00A26AFB" w:rsidRPr="00E32326" w:rsidRDefault="00A26AFB" w:rsidP="00F202AB">
    <w:r>
      <w:rPr>
        <w:noProof/>
        <w:lang w:eastAsia="en-AU"/>
      </w:rPr>
      <w:drawing>
        <wp:anchor distT="0" distB="0" distL="114300" distR="114300" simplePos="0" relativeHeight="251656192" behindDoc="0" locked="0" layoutInCell="0" allowOverlap="1" wp14:anchorId="1F8D9F82" wp14:editId="172CF022">
          <wp:simplePos x="0" y="0"/>
          <wp:positionH relativeFrom="column">
            <wp:posOffset>-900430</wp:posOffset>
          </wp:positionH>
          <wp:positionV relativeFrom="page">
            <wp:posOffset>4171950</wp:posOffset>
          </wp:positionV>
          <wp:extent cx="7600950" cy="2457450"/>
          <wp:effectExtent l="19050" t="0" r="0" b="0"/>
          <wp:wrapNone/>
          <wp:docPr id="8"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35DC8" w14:textId="191D4E8A" w:rsidR="00A26AFB" w:rsidRPr="00920FF4" w:rsidRDefault="00A26AFB"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D1A9E" w14:textId="77777777" w:rsidR="00A26AFB" w:rsidRPr="00920FF4" w:rsidRDefault="00A26AFB"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7F093" w14:textId="3DF05755" w:rsidR="00A26AFB" w:rsidRPr="009401F6" w:rsidRDefault="00A26AFB" w:rsidP="0047772E">
    <w:r>
      <w:rPr>
        <w:noProof/>
      </w:rPr>
      <mc:AlternateContent>
        <mc:Choice Requires="wps">
          <w:drawing>
            <wp:anchor distT="0" distB="0" distL="114300" distR="114300" simplePos="0" relativeHeight="251658240" behindDoc="0" locked="0" layoutInCell="1" allowOverlap="1" wp14:anchorId="04158781" wp14:editId="43EEDF11">
              <wp:simplePos x="0" y="0"/>
              <wp:positionH relativeFrom="column">
                <wp:posOffset>0</wp:posOffset>
              </wp:positionH>
              <wp:positionV relativeFrom="paragraph">
                <wp:posOffset>0</wp:posOffset>
              </wp:positionV>
              <wp:extent cx="5800090" cy="2319655"/>
              <wp:effectExtent l="3810" t="0" r="0" b="0"/>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090" cy="231965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8F063D" id="_x0000_t202" coordsize="21600,21600" o:spt="202" path="m,l,21600r21600,l21600,xe">
              <v:stroke joinstyle="miter"/>
              <v:path gradientshapeok="t" o:connecttype="rect"/>
            </v:shapetype>
            <v:shape id="WordArt 8" o:spid="_x0000_s1026" type="#_x0000_t202" style="position:absolute;margin-left:0;margin-top:0;width:456.7pt;height:18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" filled="f" stroked="f">
              <o:lock v:ext="edit" text="t" shapetype="t"/>
            </v:shape>
          </w:pict>
        </mc:Fallback>
      </mc:AlternateContent>
    </w:r>
  </w:p>
  <w:p w14:paraId="5AD53E92" w14:textId="77777777" w:rsidR="00A26AFB" w:rsidRPr="002B0C2E" w:rsidRDefault="00A26AFB"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953D1B"/>
    <w:multiLevelType w:val="hybridMultilevel"/>
    <w:tmpl w:val="2EA9C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EA691F"/>
    <w:multiLevelType w:val="hybridMultilevel"/>
    <w:tmpl w:val="7F6718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6FA2E4"/>
    <w:multiLevelType w:val="hybridMultilevel"/>
    <w:tmpl w:val="F6A63E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FE1CCAF"/>
    <w:multiLevelType w:val="hybridMultilevel"/>
    <w:tmpl w:val="C86623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4DB6D4"/>
    <w:multiLevelType w:val="hybridMultilevel"/>
    <w:tmpl w:val="CD43F7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5DA65A0"/>
    <w:multiLevelType w:val="hybridMultilevel"/>
    <w:tmpl w:val="2567E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7C"/>
    <w:multiLevelType w:val="singleLevel"/>
    <w:tmpl w:val="25B606A2"/>
    <w:lvl w:ilvl="0">
      <w:start w:val="1"/>
      <w:numFmt w:val="decimal"/>
      <w:pStyle w:val="ListNumber5"/>
      <w:lvlText w:val="%1."/>
      <w:lvlJc w:val="left"/>
      <w:pPr>
        <w:tabs>
          <w:tab w:val="num" w:pos="1492"/>
        </w:tabs>
        <w:ind w:left="1492" w:hanging="360"/>
      </w:pPr>
    </w:lvl>
  </w:abstractNum>
  <w:abstractNum w:abstractNumId="7" w15:restartNumberingAfterBreak="0">
    <w:nsid w:val="10053F11"/>
    <w:multiLevelType w:val="multilevel"/>
    <w:tmpl w:val="B4384C04"/>
    <w:styleLink w:val="NumberBullet"/>
    <w:lvl w:ilvl="0">
      <w:start w:val="1"/>
      <w:numFmt w:val="decimal"/>
      <w:pStyle w:val="Numberbullet0"/>
      <w:lvlText w:val="%1."/>
      <w:lvlJc w:val="left"/>
      <w:pPr>
        <w:ind w:left="425" w:hanging="425"/>
      </w:pPr>
      <w:rPr>
        <w:rFonts w:ascii="Cambria" w:eastAsia="Cambria" w:hAnsi="Cambria" w:cs="Times New Roman"/>
      </w:rPr>
    </w:lvl>
    <w:lvl w:ilvl="1">
      <w:start w:val="1"/>
      <w:numFmt w:val="lowerLetter"/>
      <w:lvlText w:val="%2)"/>
      <w:lvlJc w:val="left"/>
      <w:pPr>
        <w:ind w:left="851" w:hanging="426"/>
      </w:pPr>
      <w:rPr>
        <w:rFonts w:hint="default"/>
      </w:rPr>
    </w:lvl>
    <w:lvl w:ilvl="2">
      <w:start w:val="1"/>
      <w:numFmt w:val="lowerRoman"/>
      <w:lvlText w:val="%3."/>
      <w:lvlJc w:val="righ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460E055"/>
    <w:multiLevelType w:val="hybridMultilevel"/>
    <w:tmpl w:val="D5FE1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C67D09"/>
    <w:multiLevelType w:val="hybridMultilevel"/>
    <w:tmpl w:val="EEE8C6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8FA6B6A"/>
    <w:multiLevelType w:val="hybridMultilevel"/>
    <w:tmpl w:val="E70412CE"/>
    <w:lvl w:ilvl="0" w:tplc="910049F0">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4EB47C"/>
    <w:multiLevelType w:val="hybridMultilevel"/>
    <w:tmpl w:val="00E02E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FE22DF"/>
    <w:multiLevelType w:val="hybridMultilevel"/>
    <w:tmpl w:val="92DFDE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EF6538"/>
    <w:multiLevelType w:val="hybridMultilevel"/>
    <w:tmpl w:val="E4901556"/>
    <w:lvl w:ilvl="0" w:tplc="DBF4AC42">
      <w:start w:val="5"/>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87EEFB5"/>
    <w:multiLevelType w:val="hybridMultilevel"/>
    <w:tmpl w:val="3CCF02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3DFCEFEF"/>
    <w:multiLevelType w:val="hybridMultilevel"/>
    <w:tmpl w:val="C9175E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9ED6D51"/>
    <w:multiLevelType w:val="hybridMultilevel"/>
    <w:tmpl w:val="72DDAE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A2E0485"/>
    <w:multiLevelType w:val="hybridMultilevel"/>
    <w:tmpl w:val="249C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95B365"/>
    <w:multiLevelType w:val="hybridMultilevel"/>
    <w:tmpl w:val="D82331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0416A0E"/>
    <w:multiLevelType w:val="hybridMultilevel"/>
    <w:tmpl w:val="13245A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252CCE"/>
    <w:multiLevelType w:val="hybridMultilevel"/>
    <w:tmpl w:val="DC844F00"/>
    <w:lvl w:ilvl="0" w:tplc="365021E6">
      <w:start w:val="1"/>
      <w:numFmt w:val="decimal"/>
      <w:lvlText w:val="%1."/>
      <w:lvlJc w:val="left"/>
      <w:pPr>
        <w:ind w:left="720" w:hanging="360"/>
      </w:pPr>
      <w:rPr>
        <w:rFonts w:asciiTheme="majorHAnsi" w:hAnsiTheme="majorHAns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F20812"/>
    <w:multiLevelType w:val="hybridMultilevel"/>
    <w:tmpl w:val="9F0AD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C8C3D5F"/>
    <w:multiLevelType w:val="hybridMultilevel"/>
    <w:tmpl w:val="E2A0A3D6"/>
    <w:lvl w:ilvl="0" w:tplc="365021E6">
      <w:start w:val="1"/>
      <w:numFmt w:val="decimal"/>
      <w:lvlText w:val="%1."/>
      <w:lvlJc w:val="left"/>
      <w:pPr>
        <w:ind w:left="720" w:hanging="360"/>
      </w:pPr>
      <w:rPr>
        <w:rFonts w:asciiTheme="majorHAnsi" w:hAnsiTheme="majorHAns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6173FB"/>
    <w:multiLevelType w:val="hybridMultilevel"/>
    <w:tmpl w:val="2826AED0"/>
    <w:lvl w:ilvl="0" w:tplc="CE1CC0C6">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947525"/>
    <w:multiLevelType w:val="hybridMultilevel"/>
    <w:tmpl w:val="7EF549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B7AAA7E"/>
    <w:multiLevelType w:val="hybridMultilevel"/>
    <w:tmpl w:val="0AD00E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118905"/>
    <w:multiLevelType w:val="hybridMultilevel"/>
    <w:tmpl w:val="D0C8BA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FA0EFA1"/>
    <w:multiLevelType w:val="hybridMultilevel"/>
    <w:tmpl w:val="6D9CBB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13DA97A"/>
    <w:multiLevelType w:val="hybridMultilevel"/>
    <w:tmpl w:val="511C1B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AF44DD"/>
    <w:multiLevelType w:val="hybridMultilevel"/>
    <w:tmpl w:val="4EC41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EE6ED2"/>
    <w:multiLevelType w:val="hybridMultilevel"/>
    <w:tmpl w:val="15E301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C552F8A"/>
    <w:multiLevelType w:val="hybridMultilevel"/>
    <w:tmpl w:val="EB72DD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7"/>
  </w:num>
  <w:num w:numId="3">
    <w:abstractNumId w:val="10"/>
  </w:num>
  <w:num w:numId="4">
    <w:abstractNumId w:val="7"/>
  </w:num>
  <w:num w:numId="5">
    <w:abstractNumId w:val="17"/>
  </w:num>
  <w:num w:numId="6">
    <w:abstractNumId w:val="32"/>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26"/>
  </w:num>
  <w:num w:numId="12">
    <w:abstractNumId w:val="2"/>
  </w:num>
  <w:num w:numId="13">
    <w:abstractNumId w:val="18"/>
  </w:num>
  <w:num w:numId="14">
    <w:abstractNumId w:val="30"/>
  </w:num>
  <w:num w:numId="15">
    <w:abstractNumId w:val="31"/>
  </w:num>
  <w:num w:numId="16">
    <w:abstractNumId w:val="28"/>
  </w:num>
  <w:num w:numId="17">
    <w:abstractNumId w:val="3"/>
  </w:num>
  <w:num w:numId="18">
    <w:abstractNumId w:val="21"/>
  </w:num>
  <w:num w:numId="19">
    <w:abstractNumId w:val="1"/>
  </w:num>
  <w:num w:numId="20">
    <w:abstractNumId w:val="4"/>
  </w:num>
  <w:num w:numId="21">
    <w:abstractNumId w:val="0"/>
  </w:num>
  <w:num w:numId="22">
    <w:abstractNumId w:val="8"/>
  </w:num>
  <w:num w:numId="23">
    <w:abstractNumId w:val="15"/>
  </w:num>
  <w:num w:numId="24">
    <w:abstractNumId w:val="35"/>
  </w:num>
  <w:num w:numId="25">
    <w:abstractNumId w:val="19"/>
  </w:num>
  <w:num w:numId="26">
    <w:abstractNumId w:val="27"/>
  </w:num>
  <w:num w:numId="27">
    <w:abstractNumId w:val="29"/>
  </w:num>
  <w:num w:numId="28">
    <w:abstractNumId w:val="13"/>
  </w:num>
  <w:num w:numId="29">
    <w:abstractNumId w:val="34"/>
  </w:num>
  <w:num w:numId="30">
    <w:abstractNumId w:val="12"/>
  </w:num>
  <w:num w:numId="31">
    <w:abstractNumId w:val="5"/>
  </w:num>
  <w:num w:numId="32">
    <w:abstractNumId w:val="20"/>
  </w:num>
  <w:num w:numId="33">
    <w:abstractNumId w:val="22"/>
  </w:num>
  <w:num w:numId="34">
    <w:abstractNumId w:val="23"/>
  </w:num>
  <w:num w:numId="35">
    <w:abstractNumId w:val="25"/>
  </w:num>
  <w:num w:numId="36">
    <w:abstractNumId w:val="11"/>
  </w:num>
  <w:num w:numId="37">
    <w:abstractNumId w:val="33"/>
  </w:num>
  <w:num w:numId="38">
    <w:abstractNumId w:val="14"/>
  </w:num>
  <w:num w:numId="39">
    <w:abstractNumId w:val="16"/>
  </w:num>
  <w:num w:numId="4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3B"/>
    <w:rsid w:val="0000147C"/>
    <w:rsid w:val="00002031"/>
    <w:rsid w:val="00002B47"/>
    <w:rsid w:val="00004734"/>
    <w:rsid w:val="000051D5"/>
    <w:rsid w:val="00006B22"/>
    <w:rsid w:val="00011337"/>
    <w:rsid w:val="0001276A"/>
    <w:rsid w:val="000154A9"/>
    <w:rsid w:val="00017022"/>
    <w:rsid w:val="00023037"/>
    <w:rsid w:val="000246AE"/>
    <w:rsid w:val="00024AB5"/>
    <w:rsid w:val="00025C67"/>
    <w:rsid w:val="00026477"/>
    <w:rsid w:val="00026DE9"/>
    <w:rsid w:val="00030260"/>
    <w:rsid w:val="0003306D"/>
    <w:rsid w:val="0004145A"/>
    <w:rsid w:val="000462E0"/>
    <w:rsid w:val="000541A2"/>
    <w:rsid w:val="000542C1"/>
    <w:rsid w:val="00055129"/>
    <w:rsid w:val="000554B4"/>
    <w:rsid w:val="0005559E"/>
    <w:rsid w:val="00057B4D"/>
    <w:rsid w:val="0006011D"/>
    <w:rsid w:val="00061E51"/>
    <w:rsid w:val="00063028"/>
    <w:rsid w:val="0007190D"/>
    <w:rsid w:val="000760A9"/>
    <w:rsid w:val="00077775"/>
    <w:rsid w:val="00081381"/>
    <w:rsid w:val="00090471"/>
    <w:rsid w:val="000958DF"/>
    <w:rsid w:val="00096F2C"/>
    <w:rsid w:val="00097314"/>
    <w:rsid w:val="000A00AC"/>
    <w:rsid w:val="000A0965"/>
    <w:rsid w:val="000B0A5D"/>
    <w:rsid w:val="000B3532"/>
    <w:rsid w:val="000B3A75"/>
    <w:rsid w:val="000B40B6"/>
    <w:rsid w:val="000B7084"/>
    <w:rsid w:val="000C1C08"/>
    <w:rsid w:val="000C1F10"/>
    <w:rsid w:val="000C5A31"/>
    <w:rsid w:val="000C7919"/>
    <w:rsid w:val="000D23C0"/>
    <w:rsid w:val="000D391B"/>
    <w:rsid w:val="000D3D6D"/>
    <w:rsid w:val="000D4FC7"/>
    <w:rsid w:val="000D6EBA"/>
    <w:rsid w:val="000E4FBA"/>
    <w:rsid w:val="000E7BC4"/>
    <w:rsid w:val="000F3869"/>
    <w:rsid w:val="000F4869"/>
    <w:rsid w:val="000F48B8"/>
    <w:rsid w:val="000F4ADD"/>
    <w:rsid w:val="000F4D15"/>
    <w:rsid w:val="000F5B42"/>
    <w:rsid w:val="000F6737"/>
    <w:rsid w:val="000F6E6F"/>
    <w:rsid w:val="000F7A70"/>
    <w:rsid w:val="000F7C29"/>
    <w:rsid w:val="001003F2"/>
    <w:rsid w:val="00100799"/>
    <w:rsid w:val="0010313F"/>
    <w:rsid w:val="0010351C"/>
    <w:rsid w:val="0010372C"/>
    <w:rsid w:val="0010601F"/>
    <w:rsid w:val="00106DE7"/>
    <w:rsid w:val="00107378"/>
    <w:rsid w:val="00110EA5"/>
    <w:rsid w:val="001119DF"/>
    <w:rsid w:val="00111E5E"/>
    <w:rsid w:val="00115240"/>
    <w:rsid w:val="0011776C"/>
    <w:rsid w:val="0012053A"/>
    <w:rsid w:val="00121641"/>
    <w:rsid w:val="00125091"/>
    <w:rsid w:val="00125318"/>
    <w:rsid w:val="001305A2"/>
    <w:rsid w:val="001317A1"/>
    <w:rsid w:val="00132294"/>
    <w:rsid w:val="00133238"/>
    <w:rsid w:val="001406AC"/>
    <w:rsid w:val="00140FE3"/>
    <w:rsid w:val="0014197B"/>
    <w:rsid w:val="001447CD"/>
    <w:rsid w:val="00150224"/>
    <w:rsid w:val="001516B1"/>
    <w:rsid w:val="001525B4"/>
    <w:rsid w:val="00155EE4"/>
    <w:rsid w:val="00156316"/>
    <w:rsid w:val="00157F0B"/>
    <w:rsid w:val="00160006"/>
    <w:rsid w:val="001634D4"/>
    <w:rsid w:val="00164D0A"/>
    <w:rsid w:val="00165389"/>
    <w:rsid w:val="00166EFC"/>
    <w:rsid w:val="00167E17"/>
    <w:rsid w:val="00170CED"/>
    <w:rsid w:val="00172BA4"/>
    <w:rsid w:val="00175FF2"/>
    <w:rsid w:val="0017693F"/>
    <w:rsid w:val="0018110E"/>
    <w:rsid w:val="00181684"/>
    <w:rsid w:val="001825CB"/>
    <w:rsid w:val="00182A00"/>
    <w:rsid w:val="001843C6"/>
    <w:rsid w:val="001850E0"/>
    <w:rsid w:val="0018693C"/>
    <w:rsid w:val="0019255A"/>
    <w:rsid w:val="00194608"/>
    <w:rsid w:val="001A2BA5"/>
    <w:rsid w:val="001A525F"/>
    <w:rsid w:val="001A69AB"/>
    <w:rsid w:val="001A6E1D"/>
    <w:rsid w:val="001B09F9"/>
    <w:rsid w:val="001B3505"/>
    <w:rsid w:val="001B4BDE"/>
    <w:rsid w:val="001B6448"/>
    <w:rsid w:val="001B6BBF"/>
    <w:rsid w:val="001D05A7"/>
    <w:rsid w:val="001D480A"/>
    <w:rsid w:val="001D68EE"/>
    <w:rsid w:val="001D702D"/>
    <w:rsid w:val="001E021E"/>
    <w:rsid w:val="001E07CF"/>
    <w:rsid w:val="001E0FB2"/>
    <w:rsid w:val="001E49C8"/>
    <w:rsid w:val="001E59F1"/>
    <w:rsid w:val="001E7259"/>
    <w:rsid w:val="001F0359"/>
    <w:rsid w:val="001F202A"/>
    <w:rsid w:val="001F49EB"/>
    <w:rsid w:val="001F6CBA"/>
    <w:rsid w:val="001F78B9"/>
    <w:rsid w:val="00201D4E"/>
    <w:rsid w:val="00204F19"/>
    <w:rsid w:val="00207515"/>
    <w:rsid w:val="0021032B"/>
    <w:rsid w:val="002117B5"/>
    <w:rsid w:val="00211C7B"/>
    <w:rsid w:val="00220B8A"/>
    <w:rsid w:val="002232C2"/>
    <w:rsid w:val="00223D95"/>
    <w:rsid w:val="002257F3"/>
    <w:rsid w:val="002302EC"/>
    <w:rsid w:val="002303B0"/>
    <w:rsid w:val="002314E8"/>
    <w:rsid w:val="00233456"/>
    <w:rsid w:val="0023397F"/>
    <w:rsid w:val="002339A5"/>
    <w:rsid w:val="002435AF"/>
    <w:rsid w:val="002452E7"/>
    <w:rsid w:val="00245F98"/>
    <w:rsid w:val="00246194"/>
    <w:rsid w:val="00252B88"/>
    <w:rsid w:val="00253159"/>
    <w:rsid w:val="002538AE"/>
    <w:rsid w:val="00253D30"/>
    <w:rsid w:val="002541E7"/>
    <w:rsid w:val="00257138"/>
    <w:rsid w:val="00257848"/>
    <w:rsid w:val="00261267"/>
    <w:rsid w:val="002637C8"/>
    <w:rsid w:val="0027084A"/>
    <w:rsid w:val="00271109"/>
    <w:rsid w:val="0027155D"/>
    <w:rsid w:val="0027590C"/>
    <w:rsid w:val="002768AC"/>
    <w:rsid w:val="00277EF5"/>
    <w:rsid w:val="00284D5F"/>
    <w:rsid w:val="00286434"/>
    <w:rsid w:val="00286C59"/>
    <w:rsid w:val="002942D1"/>
    <w:rsid w:val="002A01E9"/>
    <w:rsid w:val="002A0556"/>
    <w:rsid w:val="002A1B1B"/>
    <w:rsid w:val="002A7938"/>
    <w:rsid w:val="002B0C2E"/>
    <w:rsid w:val="002B1638"/>
    <w:rsid w:val="002B532C"/>
    <w:rsid w:val="002B706C"/>
    <w:rsid w:val="002C0B4C"/>
    <w:rsid w:val="002C0D0C"/>
    <w:rsid w:val="002C1D7D"/>
    <w:rsid w:val="002C2511"/>
    <w:rsid w:val="002C3484"/>
    <w:rsid w:val="002D1EDF"/>
    <w:rsid w:val="002D475D"/>
    <w:rsid w:val="002D6ACF"/>
    <w:rsid w:val="002E4C9A"/>
    <w:rsid w:val="002E61DD"/>
    <w:rsid w:val="002E6483"/>
    <w:rsid w:val="002F11F8"/>
    <w:rsid w:val="002F3F56"/>
    <w:rsid w:val="002F44B5"/>
    <w:rsid w:val="002F5569"/>
    <w:rsid w:val="003000D6"/>
    <w:rsid w:val="003002F6"/>
    <w:rsid w:val="003035EE"/>
    <w:rsid w:val="00306D3F"/>
    <w:rsid w:val="0031163F"/>
    <w:rsid w:val="00311AC0"/>
    <w:rsid w:val="0031309F"/>
    <w:rsid w:val="00314D7B"/>
    <w:rsid w:val="0031531C"/>
    <w:rsid w:val="003204DD"/>
    <w:rsid w:val="00321218"/>
    <w:rsid w:val="00323D4F"/>
    <w:rsid w:val="00331DBB"/>
    <w:rsid w:val="00332680"/>
    <w:rsid w:val="003401FE"/>
    <w:rsid w:val="0034578F"/>
    <w:rsid w:val="003521E8"/>
    <w:rsid w:val="00353275"/>
    <w:rsid w:val="00356702"/>
    <w:rsid w:val="003633DE"/>
    <w:rsid w:val="00365588"/>
    <w:rsid w:val="00365DDD"/>
    <w:rsid w:val="003664BF"/>
    <w:rsid w:val="0036765C"/>
    <w:rsid w:val="003728F3"/>
    <w:rsid w:val="00375766"/>
    <w:rsid w:val="003775D5"/>
    <w:rsid w:val="00381CAE"/>
    <w:rsid w:val="003843BC"/>
    <w:rsid w:val="00390900"/>
    <w:rsid w:val="003968EF"/>
    <w:rsid w:val="003A09CD"/>
    <w:rsid w:val="003A13F0"/>
    <w:rsid w:val="003A35BD"/>
    <w:rsid w:val="003B00C5"/>
    <w:rsid w:val="003B0AB7"/>
    <w:rsid w:val="003B0D02"/>
    <w:rsid w:val="003B35C2"/>
    <w:rsid w:val="003B443E"/>
    <w:rsid w:val="003B7E39"/>
    <w:rsid w:val="003C0E9D"/>
    <w:rsid w:val="003C2538"/>
    <w:rsid w:val="003C30DC"/>
    <w:rsid w:val="003C58DC"/>
    <w:rsid w:val="003C7180"/>
    <w:rsid w:val="003C71FC"/>
    <w:rsid w:val="003C7461"/>
    <w:rsid w:val="003D0CD9"/>
    <w:rsid w:val="003D10D7"/>
    <w:rsid w:val="003D22C7"/>
    <w:rsid w:val="003D4010"/>
    <w:rsid w:val="003D5CC6"/>
    <w:rsid w:val="003E12CD"/>
    <w:rsid w:val="003E3208"/>
    <w:rsid w:val="003E3D34"/>
    <w:rsid w:val="003E7EAA"/>
    <w:rsid w:val="003F0623"/>
    <w:rsid w:val="003F0B04"/>
    <w:rsid w:val="003F25F3"/>
    <w:rsid w:val="003F60E9"/>
    <w:rsid w:val="003F6F7D"/>
    <w:rsid w:val="0040134E"/>
    <w:rsid w:val="00402949"/>
    <w:rsid w:val="00404B2A"/>
    <w:rsid w:val="004103E9"/>
    <w:rsid w:val="00410839"/>
    <w:rsid w:val="00413ABE"/>
    <w:rsid w:val="0041452B"/>
    <w:rsid w:val="00414B7E"/>
    <w:rsid w:val="004169A8"/>
    <w:rsid w:val="00420759"/>
    <w:rsid w:val="00426880"/>
    <w:rsid w:val="00434549"/>
    <w:rsid w:val="00434D12"/>
    <w:rsid w:val="00435B93"/>
    <w:rsid w:val="00440A2D"/>
    <w:rsid w:val="004414E4"/>
    <w:rsid w:val="004440DC"/>
    <w:rsid w:val="00455512"/>
    <w:rsid w:val="00455A6F"/>
    <w:rsid w:val="004564A7"/>
    <w:rsid w:val="004617BF"/>
    <w:rsid w:val="004634F1"/>
    <w:rsid w:val="00465E90"/>
    <w:rsid w:val="004703AC"/>
    <w:rsid w:val="00473763"/>
    <w:rsid w:val="0047772E"/>
    <w:rsid w:val="00477BB1"/>
    <w:rsid w:val="00477F9E"/>
    <w:rsid w:val="00482C37"/>
    <w:rsid w:val="00483E6E"/>
    <w:rsid w:val="004872A8"/>
    <w:rsid w:val="004923FF"/>
    <w:rsid w:val="00492A07"/>
    <w:rsid w:val="00494BB8"/>
    <w:rsid w:val="00494E60"/>
    <w:rsid w:val="00496BAC"/>
    <w:rsid w:val="004A235D"/>
    <w:rsid w:val="004A2950"/>
    <w:rsid w:val="004B0A7E"/>
    <w:rsid w:val="004B0D8E"/>
    <w:rsid w:val="004B38DB"/>
    <w:rsid w:val="004B4C29"/>
    <w:rsid w:val="004B4CB5"/>
    <w:rsid w:val="004B5A6B"/>
    <w:rsid w:val="004B7B76"/>
    <w:rsid w:val="004C0070"/>
    <w:rsid w:val="004C0A62"/>
    <w:rsid w:val="004C0FD2"/>
    <w:rsid w:val="004C659F"/>
    <w:rsid w:val="004D05A3"/>
    <w:rsid w:val="004D33F8"/>
    <w:rsid w:val="004D3B35"/>
    <w:rsid w:val="004D455D"/>
    <w:rsid w:val="004D51A6"/>
    <w:rsid w:val="004E03E6"/>
    <w:rsid w:val="004E6A6B"/>
    <w:rsid w:val="004F0F38"/>
    <w:rsid w:val="004F1A46"/>
    <w:rsid w:val="004F4535"/>
    <w:rsid w:val="004F4D12"/>
    <w:rsid w:val="004F51E0"/>
    <w:rsid w:val="004F6EC0"/>
    <w:rsid w:val="00501921"/>
    <w:rsid w:val="00507E93"/>
    <w:rsid w:val="00511904"/>
    <w:rsid w:val="00512702"/>
    <w:rsid w:val="00512DB8"/>
    <w:rsid w:val="00517EFA"/>
    <w:rsid w:val="00522A0C"/>
    <w:rsid w:val="005234E9"/>
    <w:rsid w:val="0053003B"/>
    <w:rsid w:val="00530354"/>
    <w:rsid w:val="00530976"/>
    <w:rsid w:val="00531B11"/>
    <w:rsid w:val="00532CCF"/>
    <w:rsid w:val="0053688E"/>
    <w:rsid w:val="0053710D"/>
    <w:rsid w:val="00541134"/>
    <w:rsid w:val="005434C6"/>
    <w:rsid w:val="00543B39"/>
    <w:rsid w:val="0054583D"/>
    <w:rsid w:val="005477E7"/>
    <w:rsid w:val="00550096"/>
    <w:rsid w:val="00553EAB"/>
    <w:rsid w:val="0055532D"/>
    <w:rsid w:val="005553FA"/>
    <w:rsid w:val="00557FF9"/>
    <w:rsid w:val="005704CF"/>
    <w:rsid w:val="00574B78"/>
    <w:rsid w:val="00576378"/>
    <w:rsid w:val="00577279"/>
    <w:rsid w:val="005772B6"/>
    <w:rsid w:val="00577E38"/>
    <w:rsid w:val="00581356"/>
    <w:rsid w:val="00585322"/>
    <w:rsid w:val="00593AD1"/>
    <w:rsid w:val="00594B7E"/>
    <w:rsid w:val="00594D03"/>
    <w:rsid w:val="00597877"/>
    <w:rsid w:val="005A08FA"/>
    <w:rsid w:val="005A1131"/>
    <w:rsid w:val="005A61CE"/>
    <w:rsid w:val="005B60C4"/>
    <w:rsid w:val="005B7008"/>
    <w:rsid w:val="005C019F"/>
    <w:rsid w:val="005C5570"/>
    <w:rsid w:val="005C79A4"/>
    <w:rsid w:val="005D4636"/>
    <w:rsid w:val="005D4805"/>
    <w:rsid w:val="005D4EA1"/>
    <w:rsid w:val="005D5442"/>
    <w:rsid w:val="005D58C8"/>
    <w:rsid w:val="005E1EA2"/>
    <w:rsid w:val="005E3CA0"/>
    <w:rsid w:val="005E5A25"/>
    <w:rsid w:val="005E6592"/>
    <w:rsid w:val="00601A7E"/>
    <w:rsid w:val="00611B57"/>
    <w:rsid w:val="00613461"/>
    <w:rsid w:val="00613ED7"/>
    <w:rsid w:val="00617EAC"/>
    <w:rsid w:val="00617F54"/>
    <w:rsid w:val="006218C7"/>
    <w:rsid w:val="006239CD"/>
    <w:rsid w:val="00631F04"/>
    <w:rsid w:val="00636BAC"/>
    <w:rsid w:val="00640190"/>
    <w:rsid w:val="006405A9"/>
    <w:rsid w:val="00640FC3"/>
    <w:rsid w:val="00642020"/>
    <w:rsid w:val="00651C87"/>
    <w:rsid w:val="0065337B"/>
    <w:rsid w:val="00653BE8"/>
    <w:rsid w:val="00653FBF"/>
    <w:rsid w:val="0065419D"/>
    <w:rsid w:val="00655AF7"/>
    <w:rsid w:val="006604D8"/>
    <w:rsid w:val="006606B9"/>
    <w:rsid w:val="00664A5B"/>
    <w:rsid w:val="00665F8C"/>
    <w:rsid w:val="00667942"/>
    <w:rsid w:val="00667B4F"/>
    <w:rsid w:val="00675C03"/>
    <w:rsid w:val="00680C08"/>
    <w:rsid w:val="0068199F"/>
    <w:rsid w:val="0068258C"/>
    <w:rsid w:val="0068741A"/>
    <w:rsid w:val="0068778C"/>
    <w:rsid w:val="00687AE5"/>
    <w:rsid w:val="00687D41"/>
    <w:rsid w:val="00691723"/>
    <w:rsid w:val="006931B1"/>
    <w:rsid w:val="00693CDB"/>
    <w:rsid w:val="00694CEA"/>
    <w:rsid w:val="00697858"/>
    <w:rsid w:val="006A158C"/>
    <w:rsid w:val="006A15C0"/>
    <w:rsid w:val="006A21A9"/>
    <w:rsid w:val="006A27FE"/>
    <w:rsid w:val="006A3565"/>
    <w:rsid w:val="006A5B45"/>
    <w:rsid w:val="006B188D"/>
    <w:rsid w:val="006C1F3B"/>
    <w:rsid w:val="006C3E2A"/>
    <w:rsid w:val="006C626D"/>
    <w:rsid w:val="006C642F"/>
    <w:rsid w:val="006C6EDB"/>
    <w:rsid w:val="006D039E"/>
    <w:rsid w:val="006D03E5"/>
    <w:rsid w:val="006D0C3B"/>
    <w:rsid w:val="006D11F8"/>
    <w:rsid w:val="006D5D3E"/>
    <w:rsid w:val="006D6312"/>
    <w:rsid w:val="006E08B3"/>
    <w:rsid w:val="006E2080"/>
    <w:rsid w:val="006E5AB4"/>
    <w:rsid w:val="006F11F8"/>
    <w:rsid w:val="006F1C5A"/>
    <w:rsid w:val="006F572E"/>
    <w:rsid w:val="006F5A69"/>
    <w:rsid w:val="006F6335"/>
    <w:rsid w:val="007041A4"/>
    <w:rsid w:val="007046D6"/>
    <w:rsid w:val="00705DB0"/>
    <w:rsid w:val="0070611E"/>
    <w:rsid w:val="00706AFE"/>
    <w:rsid w:val="00707EEF"/>
    <w:rsid w:val="007165F2"/>
    <w:rsid w:val="00716A34"/>
    <w:rsid w:val="00725A8B"/>
    <w:rsid w:val="0074066C"/>
    <w:rsid w:val="00742004"/>
    <w:rsid w:val="0074253D"/>
    <w:rsid w:val="0074429B"/>
    <w:rsid w:val="007444DC"/>
    <w:rsid w:val="00747708"/>
    <w:rsid w:val="007477F8"/>
    <w:rsid w:val="007615BC"/>
    <w:rsid w:val="00762F05"/>
    <w:rsid w:val="00763336"/>
    <w:rsid w:val="0076404A"/>
    <w:rsid w:val="00764EB9"/>
    <w:rsid w:val="007652FF"/>
    <w:rsid w:val="00766F39"/>
    <w:rsid w:val="00771329"/>
    <w:rsid w:val="0077381B"/>
    <w:rsid w:val="00773EF7"/>
    <w:rsid w:val="00774A41"/>
    <w:rsid w:val="00774E1D"/>
    <w:rsid w:val="00774EC4"/>
    <w:rsid w:val="0077675A"/>
    <w:rsid w:val="00780355"/>
    <w:rsid w:val="0078136D"/>
    <w:rsid w:val="00782173"/>
    <w:rsid w:val="00785721"/>
    <w:rsid w:val="00786D3E"/>
    <w:rsid w:val="00793A59"/>
    <w:rsid w:val="007945BE"/>
    <w:rsid w:val="007962EE"/>
    <w:rsid w:val="007A0CEE"/>
    <w:rsid w:val="007A1452"/>
    <w:rsid w:val="007A2162"/>
    <w:rsid w:val="007B2300"/>
    <w:rsid w:val="007B302B"/>
    <w:rsid w:val="007B43ED"/>
    <w:rsid w:val="007B4AC6"/>
    <w:rsid w:val="007B4BF9"/>
    <w:rsid w:val="007B615E"/>
    <w:rsid w:val="007B7366"/>
    <w:rsid w:val="007C0402"/>
    <w:rsid w:val="007C0A1B"/>
    <w:rsid w:val="007C0F3D"/>
    <w:rsid w:val="007C10C4"/>
    <w:rsid w:val="007C1AF7"/>
    <w:rsid w:val="007C59BA"/>
    <w:rsid w:val="007C7A6D"/>
    <w:rsid w:val="007C7B5B"/>
    <w:rsid w:val="007D0885"/>
    <w:rsid w:val="007D25F9"/>
    <w:rsid w:val="007D5B86"/>
    <w:rsid w:val="007D7D40"/>
    <w:rsid w:val="007E13AE"/>
    <w:rsid w:val="007E63EC"/>
    <w:rsid w:val="007E7BF8"/>
    <w:rsid w:val="007E7EE4"/>
    <w:rsid w:val="007F1102"/>
    <w:rsid w:val="007F2FF0"/>
    <w:rsid w:val="007F5138"/>
    <w:rsid w:val="00800FEA"/>
    <w:rsid w:val="00810598"/>
    <w:rsid w:val="00811166"/>
    <w:rsid w:val="00813B1E"/>
    <w:rsid w:val="00814492"/>
    <w:rsid w:val="00816407"/>
    <w:rsid w:val="00821776"/>
    <w:rsid w:val="0082277D"/>
    <w:rsid w:val="00826007"/>
    <w:rsid w:val="008321F5"/>
    <w:rsid w:val="00832369"/>
    <w:rsid w:val="00832C4E"/>
    <w:rsid w:val="00834660"/>
    <w:rsid w:val="00834C8E"/>
    <w:rsid w:val="00836BC2"/>
    <w:rsid w:val="00844650"/>
    <w:rsid w:val="0084580B"/>
    <w:rsid w:val="00845BCA"/>
    <w:rsid w:val="00853C8F"/>
    <w:rsid w:val="0085641B"/>
    <w:rsid w:val="00857136"/>
    <w:rsid w:val="00857724"/>
    <w:rsid w:val="00870B12"/>
    <w:rsid w:val="008752CE"/>
    <w:rsid w:val="00880103"/>
    <w:rsid w:val="00880A50"/>
    <w:rsid w:val="008821AA"/>
    <w:rsid w:val="00883D09"/>
    <w:rsid w:val="008855B8"/>
    <w:rsid w:val="0088723B"/>
    <w:rsid w:val="008932F3"/>
    <w:rsid w:val="00893FF8"/>
    <w:rsid w:val="00894D8B"/>
    <w:rsid w:val="00896018"/>
    <w:rsid w:val="008A07FF"/>
    <w:rsid w:val="008A12BF"/>
    <w:rsid w:val="008A17CA"/>
    <w:rsid w:val="008A2B9D"/>
    <w:rsid w:val="008A5E0B"/>
    <w:rsid w:val="008A5E18"/>
    <w:rsid w:val="008A6D59"/>
    <w:rsid w:val="008A7245"/>
    <w:rsid w:val="008B2D31"/>
    <w:rsid w:val="008B4B03"/>
    <w:rsid w:val="008B596F"/>
    <w:rsid w:val="008B5C6D"/>
    <w:rsid w:val="008C159F"/>
    <w:rsid w:val="008C1623"/>
    <w:rsid w:val="008C35EC"/>
    <w:rsid w:val="008C3655"/>
    <w:rsid w:val="008C51A9"/>
    <w:rsid w:val="008C56D9"/>
    <w:rsid w:val="008D2B09"/>
    <w:rsid w:val="008D2B3E"/>
    <w:rsid w:val="008D4492"/>
    <w:rsid w:val="008D4740"/>
    <w:rsid w:val="008E7B83"/>
    <w:rsid w:val="008F1CCC"/>
    <w:rsid w:val="008F2967"/>
    <w:rsid w:val="008F2B6D"/>
    <w:rsid w:val="008F31E5"/>
    <w:rsid w:val="008F407A"/>
    <w:rsid w:val="00900910"/>
    <w:rsid w:val="0090354E"/>
    <w:rsid w:val="00907ACE"/>
    <w:rsid w:val="00910F30"/>
    <w:rsid w:val="00911FFA"/>
    <w:rsid w:val="00920330"/>
    <w:rsid w:val="00920FF4"/>
    <w:rsid w:val="009219D7"/>
    <w:rsid w:val="00922D53"/>
    <w:rsid w:val="00923B70"/>
    <w:rsid w:val="00924DB6"/>
    <w:rsid w:val="00925DC5"/>
    <w:rsid w:val="0092600B"/>
    <w:rsid w:val="00930237"/>
    <w:rsid w:val="00931884"/>
    <w:rsid w:val="00931AD9"/>
    <w:rsid w:val="00934263"/>
    <w:rsid w:val="009342D4"/>
    <w:rsid w:val="00934397"/>
    <w:rsid w:val="00935EAE"/>
    <w:rsid w:val="009401F6"/>
    <w:rsid w:val="00940F44"/>
    <w:rsid w:val="0094175A"/>
    <w:rsid w:val="0094179E"/>
    <w:rsid w:val="00941988"/>
    <w:rsid w:val="0094212E"/>
    <w:rsid w:val="00944BA6"/>
    <w:rsid w:val="00945780"/>
    <w:rsid w:val="009500C5"/>
    <w:rsid w:val="00952562"/>
    <w:rsid w:val="0096050A"/>
    <w:rsid w:val="00962DD3"/>
    <w:rsid w:val="00963C08"/>
    <w:rsid w:val="00966405"/>
    <w:rsid w:val="00967B9F"/>
    <w:rsid w:val="009742BD"/>
    <w:rsid w:val="00975F0C"/>
    <w:rsid w:val="0099387C"/>
    <w:rsid w:val="00997420"/>
    <w:rsid w:val="009A09AA"/>
    <w:rsid w:val="009A2704"/>
    <w:rsid w:val="009A474D"/>
    <w:rsid w:val="009A4CED"/>
    <w:rsid w:val="009B15F1"/>
    <w:rsid w:val="009B1D12"/>
    <w:rsid w:val="009B28CD"/>
    <w:rsid w:val="009B3E6A"/>
    <w:rsid w:val="009B416B"/>
    <w:rsid w:val="009B71CA"/>
    <w:rsid w:val="009C062E"/>
    <w:rsid w:val="009C153C"/>
    <w:rsid w:val="009C4BD5"/>
    <w:rsid w:val="009D2250"/>
    <w:rsid w:val="009D2E04"/>
    <w:rsid w:val="009D3C08"/>
    <w:rsid w:val="009D5656"/>
    <w:rsid w:val="009D647D"/>
    <w:rsid w:val="009D7B77"/>
    <w:rsid w:val="009E0BB0"/>
    <w:rsid w:val="009E3FBB"/>
    <w:rsid w:val="009E4BAA"/>
    <w:rsid w:val="009E71F4"/>
    <w:rsid w:val="009F018D"/>
    <w:rsid w:val="009F12F2"/>
    <w:rsid w:val="009F5BDB"/>
    <w:rsid w:val="009F7D61"/>
    <w:rsid w:val="00A00DA6"/>
    <w:rsid w:val="00A01F45"/>
    <w:rsid w:val="00A0347F"/>
    <w:rsid w:val="00A044A2"/>
    <w:rsid w:val="00A052B5"/>
    <w:rsid w:val="00A06544"/>
    <w:rsid w:val="00A1235B"/>
    <w:rsid w:val="00A14DF7"/>
    <w:rsid w:val="00A15530"/>
    <w:rsid w:val="00A16750"/>
    <w:rsid w:val="00A2086A"/>
    <w:rsid w:val="00A23F3C"/>
    <w:rsid w:val="00A26AFB"/>
    <w:rsid w:val="00A300AE"/>
    <w:rsid w:val="00A3246D"/>
    <w:rsid w:val="00A3654F"/>
    <w:rsid w:val="00A36FA7"/>
    <w:rsid w:val="00A37ABD"/>
    <w:rsid w:val="00A443E2"/>
    <w:rsid w:val="00A46FDC"/>
    <w:rsid w:val="00A475B7"/>
    <w:rsid w:val="00A47AF7"/>
    <w:rsid w:val="00A47C3E"/>
    <w:rsid w:val="00A50226"/>
    <w:rsid w:val="00A514C6"/>
    <w:rsid w:val="00A539AC"/>
    <w:rsid w:val="00A56488"/>
    <w:rsid w:val="00A56965"/>
    <w:rsid w:val="00A60BAD"/>
    <w:rsid w:val="00A64387"/>
    <w:rsid w:val="00A736F3"/>
    <w:rsid w:val="00A73A8D"/>
    <w:rsid w:val="00A74C88"/>
    <w:rsid w:val="00A84503"/>
    <w:rsid w:val="00A85942"/>
    <w:rsid w:val="00A85B04"/>
    <w:rsid w:val="00A87334"/>
    <w:rsid w:val="00A87904"/>
    <w:rsid w:val="00A879B8"/>
    <w:rsid w:val="00A922E3"/>
    <w:rsid w:val="00A943E9"/>
    <w:rsid w:val="00A9597D"/>
    <w:rsid w:val="00AA2DDC"/>
    <w:rsid w:val="00AA67AD"/>
    <w:rsid w:val="00AB6F47"/>
    <w:rsid w:val="00AC0C3C"/>
    <w:rsid w:val="00AC2B40"/>
    <w:rsid w:val="00AC2BB2"/>
    <w:rsid w:val="00AC2C3C"/>
    <w:rsid w:val="00AC3BD9"/>
    <w:rsid w:val="00AC3EE4"/>
    <w:rsid w:val="00AC5D91"/>
    <w:rsid w:val="00AC62E7"/>
    <w:rsid w:val="00AC7EB0"/>
    <w:rsid w:val="00AC7EE4"/>
    <w:rsid w:val="00AD02B6"/>
    <w:rsid w:val="00AD3E85"/>
    <w:rsid w:val="00AD501D"/>
    <w:rsid w:val="00AE0320"/>
    <w:rsid w:val="00AE1051"/>
    <w:rsid w:val="00AE5FDE"/>
    <w:rsid w:val="00AE65EB"/>
    <w:rsid w:val="00AF1188"/>
    <w:rsid w:val="00AF12E5"/>
    <w:rsid w:val="00AF1D94"/>
    <w:rsid w:val="00AF376D"/>
    <w:rsid w:val="00AF5D0B"/>
    <w:rsid w:val="00AF60C5"/>
    <w:rsid w:val="00B009C6"/>
    <w:rsid w:val="00B01548"/>
    <w:rsid w:val="00B05321"/>
    <w:rsid w:val="00B06287"/>
    <w:rsid w:val="00B107A8"/>
    <w:rsid w:val="00B14AAD"/>
    <w:rsid w:val="00B17C6E"/>
    <w:rsid w:val="00B21D29"/>
    <w:rsid w:val="00B21FC5"/>
    <w:rsid w:val="00B21FEE"/>
    <w:rsid w:val="00B25034"/>
    <w:rsid w:val="00B31261"/>
    <w:rsid w:val="00B33863"/>
    <w:rsid w:val="00B35894"/>
    <w:rsid w:val="00B37D17"/>
    <w:rsid w:val="00B40C62"/>
    <w:rsid w:val="00B41529"/>
    <w:rsid w:val="00B4175E"/>
    <w:rsid w:val="00B43075"/>
    <w:rsid w:val="00B43ED1"/>
    <w:rsid w:val="00B43FCC"/>
    <w:rsid w:val="00B47BC3"/>
    <w:rsid w:val="00B510E1"/>
    <w:rsid w:val="00B54C25"/>
    <w:rsid w:val="00B5743A"/>
    <w:rsid w:val="00B600DA"/>
    <w:rsid w:val="00B61CE8"/>
    <w:rsid w:val="00B62B25"/>
    <w:rsid w:val="00B633A5"/>
    <w:rsid w:val="00B64F68"/>
    <w:rsid w:val="00B663F4"/>
    <w:rsid w:val="00B702D4"/>
    <w:rsid w:val="00B72FAF"/>
    <w:rsid w:val="00B74122"/>
    <w:rsid w:val="00B75DA7"/>
    <w:rsid w:val="00B76B91"/>
    <w:rsid w:val="00B80A17"/>
    <w:rsid w:val="00B84863"/>
    <w:rsid w:val="00B851A8"/>
    <w:rsid w:val="00B92C72"/>
    <w:rsid w:val="00BA4662"/>
    <w:rsid w:val="00BA6FF1"/>
    <w:rsid w:val="00BA7A07"/>
    <w:rsid w:val="00BB03A6"/>
    <w:rsid w:val="00BB0909"/>
    <w:rsid w:val="00BB6529"/>
    <w:rsid w:val="00BB657A"/>
    <w:rsid w:val="00BB7500"/>
    <w:rsid w:val="00BC1CAB"/>
    <w:rsid w:val="00BC622A"/>
    <w:rsid w:val="00BC7A17"/>
    <w:rsid w:val="00BD0C45"/>
    <w:rsid w:val="00BD1349"/>
    <w:rsid w:val="00BD3B8C"/>
    <w:rsid w:val="00BD4026"/>
    <w:rsid w:val="00BD6F8A"/>
    <w:rsid w:val="00BE0A78"/>
    <w:rsid w:val="00BE234B"/>
    <w:rsid w:val="00BE291A"/>
    <w:rsid w:val="00BE79F0"/>
    <w:rsid w:val="00BF046D"/>
    <w:rsid w:val="00BF5376"/>
    <w:rsid w:val="00BF577A"/>
    <w:rsid w:val="00BF5D04"/>
    <w:rsid w:val="00C056D9"/>
    <w:rsid w:val="00C05C66"/>
    <w:rsid w:val="00C13563"/>
    <w:rsid w:val="00C1399C"/>
    <w:rsid w:val="00C1508F"/>
    <w:rsid w:val="00C2308B"/>
    <w:rsid w:val="00C33354"/>
    <w:rsid w:val="00C339C6"/>
    <w:rsid w:val="00C404A6"/>
    <w:rsid w:val="00C40A36"/>
    <w:rsid w:val="00C40C16"/>
    <w:rsid w:val="00C4225B"/>
    <w:rsid w:val="00C42BA5"/>
    <w:rsid w:val="00C42D2A"/>
    <w:rsid w:val="00C44419"/>
    <w:rsid w:val="00C45E7B"/>
    <w:rsid w:val="00C471B1"/>
    <w:rsid w:val="00C50DD2"/>
    <w:rsid w:val="00C519F8"/>
    <w:rsid w:val="00C52BEE"/>
    <w:rsid w:val="00C5606A"/>
    <w:rsid w:val="00C60DA8"/>
    <w:rsid w:val="00C6316B"/>
    <w:rsid w:val="00C634A9"/>
    <w:rsid w:val="00C70D79"/>
    <w:rsid w:val="00C725D5"/>
    <w:rsid w:val="00C72DDE"/>
    <w:rsid w:val="00C73D6C"/>
    <w:rsid w:val="00C772FF"/>
    <w:rsid w:val="00C77BC8"/>
    <w:rsid w:val="00C77CF5"/>
    <w:rsid w:val="00C801AF"/>
    <w:rsid w:val="00C80256"/>
    <w:rsid w:val="00C82195"/>
    <w:rsid w:val="00C8280C"/>
    <w:rsid w:val="00C84E25"/>
    <w:rsid w:val="00C85787"/>
    <w:rsid w:val="00C8581D"/>
    <w:rsid w:val="00C86F20"/>
    <w:rsid w:val="00C906FF"/>
    <w:rsid w:val="00C90E07"/>
    <w:rsid w:val="00C91D83"/>
    <w:rsid w:val="00C93F13"/>
    <w:rsid w:val="00C96F32"/>
    <w:rsid w:val="00CA77CC"/>
    <w:rsid w:val="00CB0DBB"/>
    <w:rsid w:val="00CB3C6F"/>
    <w:rsid w:val="00CB40A2"/>
    <w:rsid w:val="00CB4FAD"/>
    <w:rsid w:val="00CB6BC0"/>
    <w:rsid w:val="00CB792D"/>
    <w:rsid w:val="00CC1B7C"/>
    <w:rsid w:val="00CC67CC"/>
    <w:rsid w:val="00CC727F"/>
    <w:rsid w:val="00CD2699"/>
    <w:rsid w:val="00CD7871"/>
    <w:rsid w:val="00CE0844"/>
    <w:rsid w:val="00CE506D"/>
    <w:rsid w:val="00CE5BB0"/>
    <w:rsid w:val="00CF0566"/>
    <w:rsid w:val="00CF15C3"/>
    <w:rsid w:val="00CF2B6F"/>
    <w:rsid w:val="00CF2D0E"/>
    <w:rsid w:val="00CF3409"/>
    <w:rsid w:val="00CF365C"/>
    <w:rsid w:val="00CF3C8B"/>
    <w:rsid w:val="00CF3F62"/>
    <w:rsid w:val="00CF6C25"/>
    <w:rsid w:val="00D0020C"/>
    <w:rsid w:val="00D017ED"/>
    <w:rsid w:val="00D0596E"/>
    <w:rsid w:val="00D06B17"/>
    <w:rsid w:val="00D1096B"/>
    <w:rsid w:val="00D153B1"/>
    <w:rsid w:val="00D224FE"/>
    <w:rsid w:val="00D229BA"/>
    <w:rsid w:val="00D22D91"/>
    <w:rsid w:val="00D246DD"/>
    <w:rsid w:val="00D250CA"/>
    <w:rsid w:val="00D257AA"/>
    <w:rsid w:val="00D25A84"/>
    <w:rsid w:val="00D26B84"/>
    <w:rsid w:val="00D278F6"/>
    <w:rsid w:val="00D30C90"/>
    <w:rsid w:val="00D328A9"/>
    <w:rsid w:val="00D3543E"/>
    <w:rsid w:val="00D36674"/>
    <w:rsid w:val="00D4345B"/>
    <w:rsid w:val="00D46753"/>
    <w:rsid w:val="00D5192F"/>
    <w:rsid w:val="00D51CC5"/>
    <w:rsid w:val="00D52426"/>
    <w:rsid w:val="00D5616E"/>
    <w:rsid w:val="00D62B76"/>
    <w:rsid w:val="00D634FE"/>
    <w:rsid w:val="00D6493E"/>
    <w:rsid w:val="00D651FD"/>
    <w:rsid w:val="00D75576"/>
    <w:rsid w:val="00D8142E"/>
    <w:rsid w:val="00D85AC0"/>
    <w:rsid w:val="00D97BCF"/>
    <w:rsid w:val="00DA02DE"/>
    <w:rsid w:val="00DA1124"/>
    <w:rsid w:val="00DA1DEF"/>
    <w:rsid w:val="00DA3043"/>
    <w:rsid w:val="00DA31D4"/>
    <w:rsid w:val="00DB298B"/>
    <w:rsid w:val="00DB2BAC"/>
    <w:rsid w:val="00DB40C1"/>
    <w:rsid w:val="00DC08A8"/>
    <w:rsid w:val="00DC72F1"/>
    <w:rsid w:val="00DD065C"/>
    <w:rsid w:val="00DD0D5E"/>
    <w:rsid w:val="00DD3D97"/>
    <w:rsid w:val="00DD4C9F"/>
    <w:rsid w:val="00DD75A3"/>
    <w:rsid w:val="00DD7A91"/>
    <w:rsid w:val="00DE02AE"/>
    <w:rsid w:val="00DE1F49"/>
    <w:rsid w:val="00DE6A0C"/>
    <w:rsid w:val="00DE6C04"/>
    <w:rsid w:val="00DE75AC"/>
    <w:rsid w:val="00DE77F8"/>
    <w:rsid w:val="00DF1D7F"/>
    <w:rsid w:val="00E02FB4"/>
    <w:rsid w:val="00E10EBC"/>
    <w:rsid w:val="00E12527"/>
    <w:rsid w:val="00E1340C"/>
    <w:rsid w:val="00E16C18"/>
    <w:rsid w:val="00E203A1"/>
    <w:rsid w:val="00E20571"/>
    <w:rsid w:val="00E21651"/>
    <w:rsid w:val="00E21D7B"/>
    <w:rsid w:val="00E235F7"/>
    <w:rsid w:val="00E239D4"/>
    <w:rsid w:val="00E25772"/>
    <w:rsid w:val="00E32326"/>
    <w:rsid w:val="00E40B22"/>
    <w:rsid w:val="00E4354F"/>
    <w:rsid w:val="00E454A1"/>
    <w:rsid w:val="00E4588F"/>
    <w:rsid w:val="00E45B9F"/>
    <w:rsid w:val="00E46DA3"/>
    <w:rsid w:val="00E479BF"/>
    <w:rsid w:val="00E508C7"/>
    <w:rsid w:val="00E51164"/>
    <w:rsid w:val="00E62A74"/>
    <w:rsid w:val="00E664CD"/>
    <w:rsid w:val="00E70AAC"/>
    <w:rsid w:val="00E8120B"/>
    <w:rsid w:val="00E840A9"/>
    <w:rsid w:val="00E845BE"/>
    <w:rsid w:val="00E86A5B"/>
    <w:rsid w:val="00EA16DE"/>
    <w:rsid w:val="00EA406B"/>
    <w:rsid w:val="00EA453A"/>
    <w:rsid w:val="00EA79C4"/>
    <w:rsid w:val="00EB0798"/>
    <w:rsid w:val="00EB182C"/>
    <w:rsid w:val="00EB19F8"/>
    <w:rsid w:val="00EB40AD"/>
    <w:rsid w:val="00EB5419"/>
    <w:rsid w:val="00EB586E"/>
    <w:rsid w:val="00EB5E59"/>
    <w:rsid w:val="00EB5FC8"/>
    <w:rsid w:val="00EC00E1"/>
    <w:rsid w:val="00EC1271"/>
    <w:rsid w:val="00EC500A"/>
    <w:rsid w:val="00EC69B8"/>
    <w:rsid w:val="00EC7050"/>
    <w:rsid w:val="00ED047C"/>
    <w:rsid w:val="00ED0C8B"/>
    <w:rsid w:val="00ED48BB"/>
    <w:rsid w:val="00ED5289"/>
    <w:rsid w:val="00ED5A41"/>
    <w:rsid w:val="00EE1482"/>
    <w:rsid w:val="00EE255A"/>
    <w:rsid w:val="00EE4969"/>
    <w:rsid w:val="00EF0EAB"/>
    <w:rsid w:val="00EF110C"/>
    <w:rsid w:val="00EF47F3"/>
    <w:rsid w:val="00EF4A8E"/>
    <w:rsid w:val="00EF4CE2"/>
    <w:rsid w:val="00EF578B"/>
    <w:rsid w:val="00EF6921"/>
    <w:rsid w:val="00EF6CBA"/>
    <w:rsid w:val="00F033EC"/>
    <w:rsid w:val="00F04F68"/>
    <w:rsid w:val="00F0627D"/>
    <w:rsid w:val="00F07686"/>
    <w:rsid w:val="00F11A17"/>
    <w:rsid w:val="00F12670"/>
    <w:rsid w:val="00F14B27"/>
    <w:rsid w:val="00F202AB"/>
    <w:rsid w:val="00F204FB"/>
    <w:rsid w:val="00F26074"/>
    <w:rsid w:val="00F26143"/>
    <w:rsid w:val="00F26379"/>
    <w:rsid w:val="00F26555"/>
    <w:rsid w:val="00F312F1"/>
    <w:rsid w:val="00F3148D"/>
    <w:rsid w:val="00F3255D"/>
    <w:rsid w:val="00F3317D"/>
    <w:rsid w:val="00F33B2F"/>
    <w:rsid w:val="00F35298"/>
    <w:rsid w:val="00F3529E"/>
    <w:rsid w:val="00F36C32"/>
    <w:rsid w:val="00F406E4"/>
    <w:rsid w:val="00F40CF6"/>
    <w:rsid w:val="00F40F73"/>
    <w:rsid w:val="00F41F15"/>
    <w:rsid w:val="00F4305F"/>
    <w:rsid w:val="00F44615"/>
    <w:rsid w:val="00F44B0D"/>
    <w:rsid w:val="00F4663D"/>
    <w:rsid w:val="00F467A6"/>
    <w:rsid w:val="00F47E37"/>
    <w:rsid w:val="00F47E8A"/>
    <w:rsid w:val="00F51759"/>
    <w:rsid w:val="00F5700C"/>
    <w:rsid w:val="00F61DCD"/>
    <w:rsid w:val="00F623FD"/>
    <w:rsid w:val="00F63C0D"/>
    <w:rsid w:val="00F640B6"/>
    <w:rsid w:val="00F66D39"/>
    <w:rsid w:val="00F67B16"/>
    <w:rsid w:val="00F720A8"/>
    <w:rsid w:val="00F731D3"/>
    <w:rsid w:val="00F736F2"/>
    <w:rsid w:val="00F739D1"/>
    <w:rsid w:val="00F7510F"/>
    <w:rsid w:val="00F77383"/>
    <w:rsid w:val="00F80E40"/>
    <w:rsid w:val="00F8365F"/>
    <w:rsid w:val="00F8404D"/>
    <w:rsid w:val="00F863F0"/>
    <w:rsid w:val="00F8797B"/>
    <w:rsid w:val="00F87B87"/>
    <w:rsid w:val="00F945DA"/>
    <w:rsid w:val="00FA010F"/>
    <w:rsid w:val="00FA4D5F"/>
    <w:rsid w:val="00FA4D6D"/>
    <w:rsid w:val="00FA5B82"/>
    <w:rsid w:val="00FA639E"/>
    <w:rsid w:val="00FB59CE"/>
    <w:rsid w:val="00FC02CB"/>
    <w:rsid w:val="00FC03C8"/>
    <w:rsid w:val="00FC19D9"/>
    <w:rsid w:val="00FC25E4"/>
    <w:rsid w:val="00FC260C"/>
    <w:rsid w:val="00FC3876"/>
    <w:rsid w:val="00FC3EAD"/>
    <w:rsid w:val="00FC4E6B"/>
    <w:rsid w:val="00FC4EF7"/>
    <w:rsid w:val="00FC4F36"/>
    <w:rsid w:val="00FD7249"/>
    <w:rsid w:val="00FD7BBF"/>
    <w:rsid w:val="00FE1941"/>
    <w:rsid w:val="00FE1DEE"/>
    <w:rsid w:val="00FE77E7"/>
    <w:rsid w:val="00FE7990"/>
    <w:rsid w:val="00FF2126"/>
    <w:rsid w:val="00FF43F8"/>
    <w:rsid w:val="00FF46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3504DE"/>
  <w15:docId w15:val="{5AF52BFD-368F-4DD3-9EF1-561EC5E6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C88"/>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C906FF"/>
    <w:pPr>
      <w:keepNext/>
      <w:keepLines/>
      <w:spacing w:before="240" w:after="120"/>
      <w:outlineLvl w:val="4"/>
    </w:pPr>
    <w:rPr>
      <w:rFonts w:eastAsia="Times New Roman"/>
      <w:b/>
      <w:bCs/>
      <w:color w:val="001523"/>
      <w:sz w:val="24"/>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906FF"/>
    <w:rPr>
      <w:rFonts w:eastAsia="Times New Roman"/>
      <w:b/>
      <w:bCs/>
      <w:color w:val="001523"/>
      <w:sz w:val="24"/>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3"/>
      </w:numPr>
    </w:p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1"/>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ilvl w:val="0"/>
        <w:numId w:val="0"/>
      </w:numPr>
    </w:pPr>
  </w:style>
  <w:style w:type="paragraph" w:customStyle="1" w:styleId="Numberbullet3">
    <w:name w:val="Number bullet 3"/>
    <w:basedOn w:val="Normal"/>
    <w:uiPriority w:val="2"/>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aliases w:val="(NECG) Footnote Text"/>
    <w:basedOn w:val="Normal"/>
    <w:link w:val="FootnoteTextChar"/>
    <w:rsid w:val="00EE1482"/>
    <w:pPr>
      <w:keepLines/>
      <w:spacing w:before="0" w:after="0"/>
    </w:pPr>
    <w:rPr>
      <w:sz w:val="20"/>
    </w:rPr>
  </w:style>
  <w:style w:type="character" w:customStyle="1" w:styleId="FootnoteTextChar">
    <w:name w:val="Footnote Text Char"/>
    <w:aliases w:val="(NECG) Footnote Text Char"/>
    <w:basedOn w:val="DefaultParagraphFont"/>
    <w:link w:val="FootnoteText"/>
    <w:rsid w:val="001525B4"/>
    <w:rPr>
      <w:lang w:eastAsia="en-US"/>
    </w:rPr>
  </w:style>
  <w:style w:type="character" w:styleId="FootnoteReference">
    <w:name w:val="footnote reference"/>
    <w:aliases w:val="(NECG) 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Revision">
    <w:name w:val="Revision"/>
    <w:hidden/>
    <w:uiPriority w:val="99"/>
    <w:semiHidden/>
    <w:rsid w:val="0031163F"/>
    <w:rPr>
      <w:sz w:val="22"/>
      <w:lang w:eastAsia="en-US"/>
    </w:rPr>
  </w:style>
  <w:style w:type="paragraph" w:styleId="NormalWeb">
    <w:name w:val="Normal (Web)"/>
    <w:basedOn w:val="Normal"/>
    <w:uiPriority w:val="99"/>
    <w:unhideWhenUsed/>
    <w:rsid w:val="00832C4E"/>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9C062E"/>
    <w:pPr>
      <w:ind w:left="720"/>
      <w:contextualSpacing/>
    </w:pPr>
  </w:style>
  <w:style w:type="paragraph" w:customStyle="1" w:styleId="Default">
    <w:name w:val="Default"/>
    <w:rsid w:val="00F5700C"/>
    <w:pPr>
      <w:autoSpaceDE w:val="0"/>
      <w:autoSpaceDN w:val="0"/>
      <w:adjustRightInd w:val="0"/>
    </w:pPr>
    <w:rPr>
      <w:rFonts w:ascii="Arial" w:hAnsi="Arial" w:cs="Arial"/>
      <w:color w:val="000000"/>
      <w:sz w:val="24"/>
      <w:szCs w:val="24"/>
    </w:rPr>
  </w:style>
  <w:style w:type="paragraph" w:styleId="ListNumber5">
    <w:name w:val="List Number 5"/>
    <w:basedOn w:val="Normal"/>
    <w:rsid w:val="00253D30"/>
    <w:pPr>
      <w:numPr>
        <w:numId w:val="10"/>
      </w:numPr>
      <w:adjustRightInd w:val="0"/>
      <w:snapToGrid w:val="0"/>
      <w:spacing w:before="180"/>
      <w:contextualSpacing/>
    </w:pPr>
    <w:rPr>
      <w:rFonts w:ascii="Arial" w:hAnsi="Arial" w:cs="Arial"/>
      <w:szCs w:val="22"/>
    </w:rPr>
  </w:style>
  <w:style w:type="character" w:styleId="UnresolvedMention">
    <w:name w:val="Unresolved Mention"/>
    <w:basedOn w:val="DefaultParagraphFont"/>
    <w:uiPriority w:val="99"/>
    <w:semiHidden/>
    <w:unhideWhenUsed/>
    <w:rsid w:val="00434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81866">
      <w:bodyDiv w:val="1"/>
      <w:marLeft w:val="0"/>
      <w:marRight w:val="0"/>
      <w:marTop w:val="0"/>
      <w:marBottom w:val="0"/>
      <w:divBdr>
        <w:top w:val="none" w:sz="0" w:space="0" w:color="auto"/>
        <w:left w:val="none" w:sz="0" w:space="0" w:color="auto"/>
        <w:bottom w:val="none" w:sz="0" w:space="0" w:color="auto"/>
        <w:right w:val="none" w:sz="0" w:space="0" w:color="auto"/>
      </w:divBdr>
      <w:divsChild>
        <w:div w:id="1891961443">
          <w:marLeft w:val="0"/>
          <w:marRight w:val="0"/>
          <w:marTop w:val="0"/>
          <w:marBottom w:val="0"/>
          <w:divBdr>
            <w:top w:val="none" w:sz="0" w:space="0" w:color="auto"/>
            <w:left w:val="none" w:sz="0" w:space="0" w:color="auto"/>
            <w:bottom w:val="none" w:sz="0" w:space="0" w:color="auto"/>
            <w:right w:val="none" w:sz="0" w:space="0" w:color="auto"/>
          </w:divBdr>
          <w:divsChild>
            <w:div w:id="2099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98384">
      <w:bodyDiv w:val="1"/>
      <w:marLeft w:val="0"/>
      <w:marRight w:val="0"/>
      <w:marTop w:val="0"/>
      <w:marBottom w:val="0"/>
      <w:divBdr>
        <w:top w:val="none" w:sz="0" w:space="0" w:color="auto"/>
        <w:left w:val="none" w:sz="0" w:space="0" w:color="auto"/>
        <w:bottom w:val="none" w:sz="0" w:space="0" w:color="auto"/>
        <w:right w:val="none" w:sz="0" w:space="0" w:color="auto"/>
      </w:divBdr>
    </w:div>
    <w:div w:id="732200242">
      <w:bodyDiv w:val="1"/>
      <w:marLeft w:val="0"/>
      <w:marRight w:val="0"/>
      <w:marTop w:val="0"/>
      <w:marBottom w:val="0"/>
      <w:divBdr>
        <w:top w:val="none" w:sz="0" w:space="0" w:color="auto"/>
        <w:left w:val="none" w:sz="0" w:space="0" w:color="auto"/>
        <w:bottom w:val="none" w:sz="0" w:space="0" w:color="auto"/>
        <w:right w:val="none" w:sz="0" w:space="0" w:color="auto"/>
      </w:divBdr>
    </w:div>
    <w:div w:id="1050805243">
      <w:bodyDiv w:val="1"/>
      <w:marLeft w:val="0"/>
      <w:marRight w:val="0"/>
      <w:marTop w:val="0"/>
      <w:marBottom w:val="0"/>
      <w:divBdr>
        <w:top w:val="none" w:sz="0" w:space="0" w:color="auto"/>
        <w:left w:val="none" w:sz="0" w:space="0" w:color="auto"/>
        <w:bottom w:val="none" w:sz="0" w:space="0" w:color="auto"/>
        <w:right w:val="none" w:sz="0" w:space="0" w:color="auto"/>
      </w:divBdr>
    </w:div>
    <w:div w:id="1075786887">
      <w:bodyDiv w:val="1"/>
      <w:marLeft w:val="0"/>
      <w:marRight w:val="0"/>
      <w:marTop w:val="0"/>
      <w:marBottom w:val="0"/>
      <w:divBdr>
        <w:top w:val="none" w:sz="0" w:space="0" w:color="auto"/>
        <w:left w:val="none" w:sz="0" w:space="0" w:color="auto"/>
        <w:bottom w:val="none" w:sz="0" w:space="0" w:color="auto"/>
        <w:right w:val="none" w:sz="0" w:space="0" w:color="auto"/>
      </w:divBdr>
    </w:div>
    <w:div w:id="1239097826">
      <w:bodyDiv w:val="1"/>
      <w:marLeft w:val="0"/>
      <w:marRight w:val="0"/>
      <w:marTop w:val="0"/>
      <w:marBottom w:val="0"/>
      <w:divBdr>
        <w:top w:val="none" w:sz="0" w:space="0" w:color="auto"/>
        <w:left w:val="none" w:sz="0" w:space="0" w:color="auto"/>
        <w:bottom w:val="none" w:sz="0" w:space="0" w:color="auto"/>
        <w:right w:val="none" w:sz="0" w:space="0" w:color="auto"/>
      </w:divBdr>
      <w:divsChild>
        <w:div w:id="1723410126">
          <w:marLeft w:val="418"/>
          <w:marRight w:val="0"/>
          <w:marTop w:val="86"/>
          <w:marBottom w:val="0"/>
          <w:divBdr>
            <w:top w:val="none" w:sz="0" w:space="0" w:color="auto"/>
            <w:left w:val="none" w:sz="0" w:space="0" w:color="auto"/>
            <w:bottom w:val="none" w:sz="0" w:space="0" w:color="auto"/>
            <w:right w:val="none" w:sz="0" w:space="0" w:color="auto"/>
          </w:divBdr>
        </w:div>
      </w:divsChild>
    </w:div>
    <w:div w:id="1239366079">
      <w:bodyDiv w:val="1"/>
      <w:marLeft w:val="0"/>
      <w:marRight w:val="0"/>
      <w:marTop w:val="0"/>
      <w:marBottom w:val="0"/>
      <w:divBdr>
        <w:top w:val="none" w:sz="0" w:space="0" w:color="auto"/>
        <w:left w:val="none" w:sz="0" w:space="0" w:color="auto"/>
        <w:bottom w:val="none" w:sz="0" w:space="0" w:color="auto"/>
        <w:right w:val="none" w:sz="0" w:space="0" w:color="auto"/>
      </w:divBdr>
    </w:div>
    <w:div w:id="1249727419">
      <w:bodyDiv w:val="1"/>
      <w:marLeft w:val="0"/>
      <w:marRight w:val="0"/>
      <w:marTop w:val="0"/>
      <w:marBottom w:val="0"/>
      <w:divBdr>
        <w:top w:val="none" w:sz="0" w:space="0" w:color="auto"/>
        <w:left w:val="none" w:sz="0" w:space="0" w:color="auto"/>
        <w:bottom w:val="none" w:sz="0" w:space="0" w:color="auto"/>
        <w:right w:val="none" w:sz="0" w:space="0" w:color="auto"/>
      </w:divBdr>
    </w:div>
    <w:div w:id="1314721065">
      <w:bodyDiv w:val="1"/>
      <w:marLeft w:val="0"/>
      <w:marRight w:val="0"/>
      <w:marTop w:val="0"/>
      <w:marBottom w:val="0"/>
      <w:divBdr>
        <w:top w:val="none" w:sz="0" w:space="0" w:color="auto"/>
        <w:left w:val="none" w:sz="0" w:space="0" w:color="auto"/>
        <w:bottom w:val="none" w:sz="0" w:space="0" w:color="auto"/>
        <w:right w:val="none" w:sz="0" w:space="0" w:color="auto"/>
      </w:divBdr>
      <w:divsChild>
        <w:div w:id="1306546601">
          <w:marLeft w:val="418"/>
          <w:marRight w:val="0"/>
          <w:marTop w:val="86"/>
          <w:marBottom w:val="0"/>
          <w:divBdr>
            <w:top w:val="none" w:sz="0" w:space="0" w:color="auto"/>
            <w:left w:val="none" w:sz="0" w:space="0" w:color="auto"/>
            <w:bottom w:val="none" w:sz="0" w:space="0" w:color="auto"/>
            <w:right w:val="none" w:sz="0" w:space="0" w:color="auto"/>
          </w:divBdr>
        </w:div>
      </w:divsChild>
    </w:div>
    <w:div w:id="1439834675">
      <w:bodyDiv w:val="1"/>
      <w:marLeft w:val="0"/>
      <w:marRight w:val="0"/>
      <w:marTop w:val="0"/>
      <w:marBottom w:val="0"/>
      <w:divBdr>
        <w:top w:val="none" w:sz="0" w:space="0" w:color="auto"/>
        <w:left w:val="none" w:sz="0" w:space="0" w:color="auto"/>
        <w:bottom w:val="none" w:sz="0" w:space="0" w:color="auto"/>
        <w:right w:val="none" w:sz="0" w:space="0" w:color="auto"/>
      </w:divBdr>
    </w:div>
    <w:div w:id="1562516442">
      <w:bodyDiv w:val="1"/>
      <w:marLeft w:val="0"/>
      <w:marRight w:val="0"/>
      <w:marTop w:val="0"/>
      <w:marBottom w:val="0"/>
      <w:divBdr>
        <w:top w:val="none" w:sz="0" w:space="0" w:color="auto"/>
        <w:left w:val="none" w:sz="0" w:space="0" w:color="auto"/>
        <w:bottom w:val="none" w:sz="0" w:space="0" w:color="auto"/>
        <w:right w:val="none" w:sz="0" w:space="0" w:color="auto"/>
      </w:divBdr>
    </w:div>
    <w:div w:id="16460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el://D19-5138936?db=A7&amp;edi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consultations.tga.gov.au/tga/proposed-regulatory-changes-for-device-trials" TargetMode="External"/><Relationship Id="rId25" Type="http://schemas.openxmlformats.org/officeDocument/2006/relationships/hyperlink" Target="http://www.tga.gov.au" TargetMode="External"/><Relationship Id="rId2" Type="http://schemas.openxmlformats.org/officeDocument/2006/relationships/customXml" Target="../customXml/item2.xml"/><Relationship Id="rId16" Type="http://schemas.openxmlformats.org/officeDocument/2006/relationships/hyperlink" Target="https://www.tga.gov.au/legislation-legislative-instruments" TargetMode="External"/><Relationship Id="rId20" Type="http://schemas.openxmlformats.org/officeDocument/2006/relationships/hyperlink" Target="mailto:devicereforms@tga.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tga.gov.au" TargetMode="External"/><Relationship Id="rId5" Type="http://schemas.openxmlformats.org/officeDocument/2006/relationships/numbering" Target="numbering.xml"/><Relationship Id="rId15" Type="http://schemas.openxmlformats.org/officeDocument/2006/relationships/hyperlink" Target="mailto:tga.copyright@tga.gov.au" TargetMode="Externa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devicereforms@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tga.gov.au/sites/default/files/australian-clinical-trial-handbook.pdf" TargetMode="External"/><Relationship Id="rId2" Type="http://schemas.openxmlformats.org/officeDocument/2006/relationships/hyperlink" Target="http://www.tga.gov.au/sme-assist/which-clinical-trial-scheme-should-i-choose" TargetMode="External"/><Relationship Id="rId1" Type="http://schemas.openxmlformats.org/officeDocument/2006/relationships/hyperlink" Target="https://www.tga.gov.au/resource/australian-clinical-trial-handbook" TargetMode="External"/><Relationship Id="rId5" Type="http://schemas.openxmlformats.org/officeDocument/2006/relationships/hyperlink" Target="http://www.tga.gov.au/sites/default/files/good-clinical-practice-inspection-program-22-04-26.pdf" TargetMode="External"/><Relationship Id="rId4" Type="http://schemas.openxmlformats.org/officeDocument/2006/relationships/hyperlink" Target="http://www.nhmrc.gov.au/about-us/publications/national-statement-ethical-conduct-human-research-2007-updated-2018"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2C13D38AFA74FA9D14E86DF7B7612" ma:contentTypeVersion="4" ma:contentTypeDescription="Create a new document." ma:contentTypeScope="" ma:versionID="c1695bb6b4b7896415bfbf4c4ded9a89">
  <xsd:schema xmlns:xsd="http://www.w3.org/2001/XMLSchema" xmlns:xs="http://www.w3.org/2001/XMLSchema" xmlns:p="http://schemas.microsoft.com/office/2006/metadata/properties" xmlns:ns3="29866756-4c7d-453a-bc81-c124d3ecd80f" targetNamespace="http://schemas.microsoft.com/office/2006/metadata/properties" ma:root="true" ma:fieldsID="80b58825c9572f3d4d1dbd32333c03a0" ns3:_="">
    <xsd:import namespace="29866756-4c7d-453a-bc81-c124d3ecd8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66756-4c7d-453a-bc81-c124d3ecd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9D0A6-AE42-47B2-8AF4-D7EED09E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66756-4c7d-453a-bc81-c124d3ecd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74E83-9BCA-4883-9759-86AAD6625AE3}">
  <ds:schemaRefs>
    <ds:schemaRef ds:uri="http://schemas.openxmlformats.org/officeDocument/2006/bibliography"/>
  </ds:schemaRefs>
</ds:datastoreItem>
</file>

<file path=customXml/itemProps3.xml><?xml version="1.0" encoding="utf-8"?>
<ds:datastoreItem xmlns:ds="http://schemas.openxmlformats.org/officeDocument/2006/customXml" ds:itemID="{E872E49B-EBA9-4087-AD6A-A4BAC53DAF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17F5B-A0ED-4607-9660-D4460C5D8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Consultation: Regulation of software, including Software as a Medical Device (SaMD)</vt:lpstr>
    </vt:vector>
  </TitlesOfParts>
  <Company>Department of Health and Aged Care</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proposed regulatory changes for clinical trials of medical devices</dc:title>
  <dc:subject>medical devices</dc:subject>
  <dc:creator>Therapeutic Goods Administration</dc:creator>
  <cp:lastModifiedBy>PITKIN, Brendan</cp:lastModifiedBy>
  <cp:revision>4</cp:revision>
  <cp:lastPrinted>2019-08-09T02:40:00Z</cp:lastPrinted>
  <dcterms:created xsi:type="dcterms:W3CDTF">2022-08-17T06:35:00Z</dcterms:created>
  <dcterms:modified xsi:type="dcterms:W3CDTF">2022-08-22T23:10:00Z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0x010100DEA2C13D38AFA74FA9D14E86DF7B7612</vt:lpwstr>
  </property>
</Properties>
</file>