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77116" w14:textId="3309215E" w:rsidR="00001476" w:rsidRDefault="00705468" w:rsidP="00705468">
      <w:pPr>
        <w:pStyle w:val="Title"/>
        <w:rPr>
          <w:rFonts w:ascii="Arial" w:hAnsi="Arial" w:cs="Arial"/>
          <w:b/>
          <w:sz w:val="32"/>
          <w:szCs w:val="3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1" locked="0" layoutInCell="1" allowOverlap="1" wp14:anchorId="47CC3559" wp14:editId="21E22D02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780020" cy="9867900"/>
            <wp:effectExtent l="0" t="0" r="0" b="0"/>
            <wp:wrapTight wrapText="bothSides">
              <wp:wrapPolygon edited="0">
                <wp:start x="0" y="0"/>
                <wp:lineTo x="0" y="21558"/>
                <wp:lineTo x="21526" y="21558"/>
                <wp:lineTo x="2152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020" cy="98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5468">
        <w:rPr>
          <w:rFonts w:ascii="Arial" w:hAnsi="Arial" w:cs="Arial"/>
          <w:b/>
          <w:noProof/>
          <w:sz w:val="32"/>
          <w:szCs w:val="32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B235B7" wp14:editId="3F38AB06">
                <wp:simplePos x="0" y="0"/>
                <wp:positionH relativeFrom="margin">
                  <wp:posOffset>960120</wp:posOffset>
                </wp:positionH>
                <wp:positionV relativeFrom="paragraph">
                  <wp:posOffset>2628900</wp:posOffset>
                </wp:positionV>
                <wp:extent cx="4434840" cy="1404620"/>
                <wp:effectExtent l="0" t="0" r="381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EDFE3" w14:textId="54AD52C5" w:rsidR="00705468" w:rsidRDefault="00705468" w:rsidP="00705468">
                            <w:pPr>
                              <w:jc w:val="center"/>
                            </w:pPr>
                            <w:bookmarkStart w:id="0" w:name="_GoBack"/>
                            <w:r w:rsidRPr="00E41CBB">
                              <w:rPr>
                                <w:rFonts w:ascii="Eras Medium ITC" w:hAnsi="Eras Medium ITC"/>
                                <w:color w:val="003587"/>
                                <w:spacing w:val="-5"/>
                                <w:sz w:val="70"/>
                                <w:szCs w:val="70"/>
                              </w:rPr>
                              <w:t xml:space="preserve">Access </w:t>
                            </w:r>
                            <w:r>
                              <w:rPr>
                                <w:rFonts w:ascii="Eras Medium ITC" w:hAnsi="Eras Medium ITC"/>
                                <w:color w:val="003587"/>
                                <w:spacing w:val="-5"/>
                                <w:sz w:val="70"/>
                                <w:szCs w:val="70"/>
                              </w:rPr>
                              <w:t>C</w:t>
                            </w:r>
                            <w:r w:rsidRPr="00E41CBB">
                              <w:rPr>
                                <w:rFonts w:ascii="Eras Medium ITC" w:hAnsi="Eras Medium ITC"/>
                                <w:color w:val="003587"/>
                                <w:spacing w:val="-5"/>
                                <w:sz w:val="70"/>
                                <w:szCs w:val="70"/>
                              </w:rPr>
                              <w:t>onsortium</w:t>
                            </w:r>
                            <w:r w:rsidRPr="00E41CBB">
                              <w:rPr>
                                <w:rFonts w:ascii="Eras Medium ITC" w:hAnsi="Eras Medium ITC"/>
                                <w:spacing w:val="-5"/>
                              </w:rPr>
                              <w:br/>
                            </w:r>
                            <w:r w:rsidR="00465E29">
                              <w:rPr>
                                <w:rFonts w:ascii="Eras Medium ITC" w:hAnsi="Eras Medium ITC"/>
                                <w:color w:val="414042"/>
                                <w:spacing w:val="-5"/>
                                <w:sz w:val="44"/>
                                <w:szCs w:val="44"/>
                              </w:rPr>
                              <w:t>Strategic Plan 2021-</w:t>
                            </w:r>
                            <w:r w:rsidRPr="00E41CBB">
                              <w:rPr>
                                <w:rFonts w:ascii="Eras Medium ITC" w:hAnsi="Eras Medium ITC"/>
                                <w:color w:val="414042"/>
                                <w:spacing w:val="-5"/>
                                <w:sz w:val="44"/>
                                <w:szCs w:val="44"/>
                              </w:rPr>
                              <w:t>2024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B235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.6pt;margin-top:207pt;width:349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" stroked="f">
                <v:textbox style="mso-fit-shape-to-text:t">
                  <w:txbxContent>
                    <w:p w14:paraId="6C5EDFE3" w14:textId="54AD52C5" w:rsidR="00705468" w:rsidRDefault="00705468" w:rsidP="00705468">
                      <w:pPr>
                        <w:jc w:val="center"/>
                      </w:pPr>
                      <w:r w:rsidRPr="00E41CBB">
                        <w:rPr>
                          <w:rFonts w:ascii="Eras Medium ITC" w:hAnsi="Eras Medium ITC"/>
                          <w:color w:val="003587"/>
                          <w:spacing w:val="-5"/>
                          <w:sz w:val="70"/>
                          <w:szCs w:val="70"/>
                        </w:rPr>
                        <w:t xml:space="preserve">Access </w:t>
                      </w:r>
                      <w:r>
                        <w:rPr>
                          <w:rFonts w:ascii="Eras Medium ITC" w:hAnsi="Eras Medium ITC"/>
                          <w:color w:val="003587"/>
                          <w:spacing w:val="-5"/>
                          <w:sz w:val="70"/>
                          <w:szCs w:val="70"/>
                        </w:rPr>
                        <w:t>C</w:t>
                      </w:r>
                      <w:r w:rsidRPr="00E41CBB">
                        <w:rPr>
                          <w:rFonts w:ascii="Eras Medium ITC" w:hAnsi="Eras Medium ITC"/>
                          <w:color w:val="003587"/>
                          <w:spacing w:val="-5"/>
                          <w:sz w:val="70"/>
                          <w:szCs w:val="70"/>
                        </w:rPr>
                        <w:t>onsortium</w:t>
                      </w:r>
                      <w:r w:rsidRPr="00E41CBB">
                        <w:rPr>
                          <w:rFonts w:ascii="Eras Medium ITC" w:hAnsi="Eras Medium ITC"/>
                          <w:spacing w:val="-5"/>
                        </w:rPr>
                        <w:br/>
                      </w:r>
                      <w:r w:rsidR="00465E29">
                        <w:rPr>
                          <w:rFonts w:ascii="Eras Medium ITC" w:hAnsi="Eras Medium ITC"/>
                          <w:color w:val="414042"/>
                          <w:spacing w:val="-5"/>
                          <w:sz w:val="44"/>
                          <w:szCs w:val="44"/>
                        </w:rPr>
                        <w:t>Strategic Plan 2021-</w:t>
                      </w:r>
                      <w:r w:rsidRPr="00E41CBB">
                        <w:rPr>
                          <w:rFonts w:ascii="Eras Medium ITC" w:hAnsi="Eras Medium ITC"/>
                          <w:color w:val="414042"/>
                          <w:spacing w:val="-5"/>
                          <w:sz w:val="44"/>
                          <w:szCs w:val="44"/>
                        </w:rPr>
                        <w:t>2024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615F1A" w:rsidRPr="004B7153">
        <w:rPr>
          <w:rFonts w:ascii="Arial" w:hAnsi="Arial" w:cs="Arial"/>
          <w:b/>
          <w:sz w:val="32"/>
          <w:szCs w:val="32"/>
        </w:rPr>
        <w:t>ss</w:t>
      </w:r>
      <w:proofErr w:type="spellEnd"/>
      <w:r w:rsidR="00615F1A" w:rsidRPr="004B7153">
        <w:rPr>
          <w:rFonts w:ascii="Arial" w:hAnsi="Arial" w:cs="Arial"/>
          <w:b/>
          <w:sz w:val="32"/>
          <w:szCs w:val="32"/>
        </w:rPr>
        <w:t xml:space="preserve"> Consortium</w:t>
      </w:r>
    </w:p>
    <w:p w14:paraId="018DDB31" w14:textId="77777777" w:rsidR="00465E29" w:rsidRDefault="00465E29" w:rsidP="00465E29">
      <w:pPr>
        <w:pStyle w:val="Titl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Access Consortium</w:t>
      </w:r>
    </w:p>
    <w:p w14:paraId="08EC5905" w14:textId="0AD41467" w:rsidR="000A7FE4" w:rsidRDefault="00465E29" w:rsidP="00465E29">
      <w:pPr>
        <w:pStyle w:val="Title"/>
        <w:jc w:val="center"/>
      </w:pPr>
      <w:r>
        <w:rPr>
          <w:rFonts w:ascii="Arial" w:hAnsi="Arial" w:cs="Arial"/>
          <w:b/>
          <w:sz w:val="32"/>
          <w:szCs w:val="32"/>
        </w:rPr>
        <w:t>S</w:t>
      </w:r>
      <w:r w:rsidR="00581EA5" w:rsidRPr="00581EA5">
        <w:rPr>
          <w:rFonts w:ascii="Arial" w:hAnsi="Arial" w:cs="Arial"/>
          <w:b/>
          <w:sz w:val="32"/>
          <w:szCs w:val="32"/>
        </w:rPr>
        <w:t>trategic Plan 2021</w:t>
      </w:r>
      <w:r w:rsidR="00A313BF">
        <w:rPr>
          <w:rFonts w:ascii="Arial" w:hAnsi="Arial" w:cs="Arial"/>
          <w:b/>
          <w:sz w:val="32"/>
          <w:szCs w:val="32"/>
        </w:rPr>
        <w:t>-</w:t>
      </w:r>
      <w:r w:rsidR="00581EA5" w:rsidRPr="00581EA5">
        <w:rPr>
          <w:rFonts w:ascii="Arial" w:hAnsi="Arial" w:cs="Arial"/>
          <w:b/>
          <w:sz w:val="32"/>
          <w:szCs w:val="32"/>
        </w:rPr>
        <w:t>2024</w:t>
      </w:r>
    </w:p>
    <w:p w14:paraId="52A6A6A0" w14:textId="77777777" w:rsidR="00605D3A" w:rsidRPr="008454C8" w:rsidRDefault="00605D3A" w:rsidP="00605D3A">
      <w:pPr>
        <w:pStyle w:val="Heading1"/>
      </w:pPr>
      <w:r w:rsidRPr="008454C8">
        <w:t>Vision</w:t>
      </w:r>
    </w:p>
    <w:p w14:paraId="74EB71E6" w14:textId="3D369183" w:rsidR="001F15AD" w:rsidRDefault="00605D3A" w:rsidP="00605D3A">
      <w:pPr>
        <w:rPr>
          <w:rFonts w:cs="Arial"/>
          <w:i/>
          <w:lang w:val="en-US"/>
        </w:rPr>
      </w:pPr>
      <w:r>
        <w:rPr>
          <w:rFonts w:cs="Arial"/>
          <w:i/>
          <w:lang w:val="en-US"/>
        </w:rPr>
        <w:t>Our vision is to provide faster access to safe</w:t>
      </w:r>
      <w:r w:rsidR="001F15AD">
        <w:rPr>
          <w:rFonts w:cs="Arial"/>
          <w:i/>
          <w:lang w:val="en-US"/>
        </w:rPr>
        <w:t xml:space="preserve">, </w:t>
      </w:r>
      <w:r>
        <w:rPr>
          <w:rFonts w:cs="Arial"/>
          <w:i/>
          <w:lang w:val="en-US"/>
        </w:rPr>
        <w:t xml:space="preserve">effective </w:t>
      </w:r>
      <w:r w:rsidR="001F15AD">
        <w:rPr>
          <w:rFonts w:cs="Arial"/>
          <w:i/>
          <w:lang w:val="en-US"/>
        </w:rPr>
        <w:t xml:space="preserve">and high quality </w:t>
      </w:r>
      <w:r>
        <w:rPr>
          <w:rFonts w:cs="Arial"/>
          <w:i/>
          <w:lang w:val="en-US"/>
        </w:rPr>
        <w:t>medicines for all our populations.</w:t>
      </w:r>
    </w:p>
    <w:p w14:paraId="3517403E" w14:textId="77777777" w:rsidR="00605D3A" w:rsidRPr="008454C8" w:rsidRDefault="00605D3A" w:rsidP="00605D3A">
      <w:pPr>
        <w:pStyle w:val="Heading1"/>
      </w:pPr>
      <w:r w:rsidRPr="008454C8">
        <w:t>Mission</w:t>
      </w:r>
    </w:p>
    <w:p w14:paraId="58085081" w14:textId="4CC488E0" w:rsidR="00605D3A" w:rsidRDefault="00605D3A" w:rsidP="00605D3A">
      <w:pPr>
        <w:rPr>
          <w:i/>
          <w:lang w:val="en-US"/>
        </w:rPr>
      </w:pPr>
      <w:r>
        <w:rPr>
          <w:i/>
          <w:lang w:val="en-US"/>
        </w:rPr>
        <w:t>Our mission is to align our regulations and policies to facilitate work-sharing on medicines and reduce duplication to ensure our populations have access to the health products they need for better health and wellbeing.</w:t>
      </w:r>
    </w:p>
    <w:p w14:paraId="40B1B249" w14:textId="275E3E91" w:rsidR="00615F1A" w:rsidRPr="008454C8" w:rsidRDefault="00615F1A" w:rsidP="008454C8">
      <w:pPr>
        <w:pStyle w:val="Heading1"/>
      </w:pPr>
      <w:r w:rsidRPr="008454C8">
        <w:t>Introduction</w:t>
      </w:r>
    </w:p>
    <w:p w14:paraId="19AB5E5B" w14:textId="652F1A2D" w:rsidR="00AA1406" w:rsidRDefault="00FA1A31" w:rsidP="0026571F">
      <w:pPr>
        <w:rPr>
          <w:rFonts w:cs="Arial"/>
          <w:lang w:val="en-US"/>
        </w:rPr>
      </w:pPr>
      <w:r w:rsidRPr="00FA1A31">
        <w:rPr>
          <w:rFonts w:cs="Arial"/>
          <w:lang w:val="en-US"/>
        </w:rPr>
        <w:t xml:space="preserve">The Access Consortium is a </w:t>
      </w:r>
      <w:r w:rsidR="00674A8C">
        <w:rPr>
          <w:rFonts w:cs="Arial"/>
          <w:lang w:val="en-US"/>
        </w:rPr>
        <w:t xml:space="preserve">collaborative initiative </w:t>
      </w:r>
      <w:r w:rsidR="008028FD">
        <w:rPr>
          <w:rFonts w:cs="Arial"/>
          <w:lang w:val="en-US"/>
        </w:rPr>
        <w:t xml:space="preserve">of </w:t>
      </w:r>
      <w:r w:rsidR="00674A8C">
        <w:rPr>
          <w:rFonts w:cs="Arial"/>
          <w:lang w:val="en-US"/>
        </w:rPr>
        <w:t xml:space="preserve">the </w:t>
      </w:r>
      <w:r w:rsidR="00AA1406">
        <w:rPr>
          <w:rFonts w:cs="Arial"/>
          <w:lang w:val="en-US"/>
        </w:rPr>
        <w:t xml:space="preserve">following governmental </w:t>
      </w:r>
      <w:r w:rsidRPr="00FA1A31">
        <w:rPr>
          <w:rFonts w:cs="Arial"/>
          <w:lang w:val="en-US"/>
        </w:rPr>
        <w:t>authorities</w:t>
      </w:r>
      <w:r w:rsidR="007313D7">
        <w:rPr>
          <w:rFonts w:cs="Arial"/>
          <w:lang w:val="en-US"/>
        </w:rPr>
        <w:t xml:space="preserve"> </w:t>
      </w:r>
      <w:r w:rsidR="00AA1406">
        <w:rPr>
          <w:rFonts w:cs="Arial"/>
          <w:lang w:val="en-US"/>
        </w:rPr>
        <w:t>that regulate human medicines and other health products:</w:t>
      </w:r>
    </w:p>
    <w:p w14:paraId="3CCBE4EB" w14:textId="4F5B30CB" w:rsidR="00AA1406" w:rsidRDefault="00AA1406" w:rsidP="007F5B07">
      <w:pPr>
        <w:pStyle w:val="ListParagraph"/>
        <w:numPr>
          <w:ilvl w:val="0"/>
          <w:numId w:val="14"/>
        </w:numPr>
        <w:rPr>
          <w:rFonts w:cs="Arial"/>
          <w:lang w:val="en-US"/>
        </w:rPr>
      </w:pPr>
      <w:r>
        <w:rPr>
          <w:rFonts w:cs="Arial"/>
          <w:lang w:val="en-US"/>
        </w:rPr>
        <w:t>Therapeutic Goods Administration, Australia</w:t>
      </w:r>
    </w:p>
    <w:p w14:paraId="4CDA9921" w14:textId="1A95BF54" w:rsidR="00AA1406" w:rsidRDefault="00AA1406" w:rsidP="007F5B07">
      <w:pPr>
        <w:pStyle w:val="ListParagraph"/>
        <w:numPr>
          <w:ilvl w:val="0"/>
          <w:numId w:val="14"/>
        </w:numPr>
        <w:rPr>
          <w:rFonts w:cs="Arial"/>
          <w:lang w:val="en-US"/>
        </w:rPr>
      </w:pPr>
      <w:r>
        <w:rPr>
          <w:rFonts w:cs="Arial"/>
          <w:lang w:val="en-US"/>
        </w:rPr>
        <w:t>Health Canada, Canada</w:t>
      </w:r>
    </w:p>
    <w:p w14:paraId="53485FF3" w14:textId="4D122F9C" w:rsidR="00AA1406" w:rsidRDefault="00AA1406" w:rsidP="007F5B07">
      <w:pPr>
        <w:pStyle w:val="ListParagraph"/>
        <w:numPr>
          <w:ilvl w:val="0"/>
          <w:numId w:val="14"/>
        </w:numPr>
        <w:rPr>
          <w:rFonts w:cs="Arial"/>
          <w:lang w:val="en-US"/>
        </w:rPr>
      </w:pPr>
      <w:r>
        <w:rPr>
          <w:rFonts w:cs="Arial"/>
          <w:lang w:val="en-US"/>
        </w:rPr>
        <w:t>Health Sciences Authority, Singapore</w:t>
      </w:r>
    </w:p>
    <w:p w14:paraId="4601E645" w14:textId="087D71E8" w:rsidR="00AA1406" w:rsidRDefault="00AA1406" w:rsidP="007F5B07">
      <w:pPr>
        <w:pStyle w:val="ListParagraph"/>
        <w:numPr>
          <w:ilvl w:val="0"/>
          <w:numId w:val="14"/>
        </w:numPr>
        <w:rPr>
          <w:rFonts w:cs="Arial"/>
          <w:lang w:val="en-US"/>
        </w:rPr>
      </w:pPr>
      <w:r>
        <w:rPr>
          <w:rFonts w:cs="Arial"/>
          <w:lang w:val="en-US"/>
        </w:rPr>
        <w:t>Swissmedic, Switzerland</w:t>
      </w:r>
    </w:p>
    <w:p w14:paraId="587DF2EF" w14:textId="590D0147" w:rsidR="00AA1406" w:rsidRDefault="00AA1406" w:rsidP="007F5B07">
      <w:pPr>
        <w:pStyle w:val="ListParagraph"/>
        <w:numPr>
          <w:ilvl w:val="0"/>
          <w:numId w:val="14"/>
        </w:numPr>
        <w:rPr>
          <w:rFonts w:cs="Arial"/>
          <w:lang w:val="en-US"/>
        </w:rPr>
      </w:pPr>
      <w:r>
        <w:rPr>
          <w:rFonts w:cs="Arial"/>
          <w:lang w:val="en-US"/>
        </w:rPr>
        <w:t>Medicines and Healthcare products Regulatory Agency, United Kingdom</w:t>
      </w:r>
    </w:p>
    <w:p w14:paraId="755500CF" w14:textId="77777777" w:rsidR="00AA1406" w:rsidRPr="007F5B07" w:rsidRDefault="00AA1406" w:rsidP="007F5B07">
      <w:pPr>
        <w:pStyle w:val="ListParagraph"/>
        <w:rPr>
          <w:rFonts w:cs="Arial"/>
          <w:lang w:val="en-US"/>
        </w:rPr>
      </w:pPr>
    </w:p>
    <w:p w14:paraId="7D769173" w14:textId="673FFA25" w:rsidR="00DC10A6" w:rsidRDefault="00674A8C" w:rsidP="00DC10A6">
      <w:pPr>
        <w:rPr>
          <w:rFonts w:cs="Arial"/>
          <w:lang w:val="en-US"/>
        </w:rPr>
      </w:pPr>
      <w:r>
        <w:rPr>
          <w:rFonts w:cs="Arial"/>
          <w:lang w:val="en-US"/>
        </w:rPr>
        <w:t xml:space="preserve">The Consortium is committed to </w:t>
      </w:r>
      <w:r w:rsidRPr="00BB79FF">
        <w:rPr>
          <w:rFonts w:cs="Arial"/>
          <w:lang w:val="en-US"/>
        </w:rPr>
        <w:t>maximiz</w:t>
      </w:r>
      <w:r>
        <w:rPr>
          <w:rFonts w:cs="Arial"/>
          <w:lang w:val="en-US"/>
        </w:rPr>
        <w:t xml:space="preserve">ing </w:t>
      </w:r>
      <w:r w:rsidRPr="00BB79FF">
        <w:rPr>
          <w:rFonts w:cs="Arial"/>
          <w:lang w:val="en-US"/>
        </w:rPr>
        <w:t>co</w:t>
      </w:r>
      <w:r>
        <w:rPr>
          <w:rFonts w:cs="Arial"/>
          <w:lang w:val="en-US"/>
        </w:rPr>
        <w:t>llaboration by aligning regulatory and policy approaches,</w:t>
      </w:r>
      <w:r w:rsidRPr="00BB79FF">
        <w:rPr>
          <w:rFonts w:cs="Arial"/>
          <w:lang w:val="en-US"/>
        </w:rPr>
        <w:t xml:space="preserve"> reduc</w:t>
      </w:r>
      <w:r>
        <w:rPr>
          <w:rFonts w:cs="Arial"/>
          <w:lang w:val="en-US"/>
        </w:rPr>
        <w:t xml:space="preserve">ing </w:t>
      </w:r>
      <w:r w:rsidRPr="00BB79FF">
        <w:rPr>
          <w:rFonts w:cs="Arial"/>
          <w:lang w:val="en-US"/>
        </w:rPr>
        <w:t>duplication</w:t>
      </w:r>
      <w:r>
        <w:rPr>
          <w:rFonts w:cs="Arial"/>
          <w:lang w:val="en-US"/>
        </w:rPr>
        <w:t>,</w:t>
      </w:r>
      <w:r w:rsidRPr="00BB79FF">
        <w:rPr>
          <w:rFonts w:cs="Arial"/>
          <w:lang w:val="en-US"/>
        </w:rPr>
        <w:t xml:space="preserve"> and </w:t>
      </w:r>
      <w:r>
        <w:rPr>
          <w:rFonts w:cs="Arial"/>
          <w:lang w:val="en-US"/>
        </w:rPr>
        <w:t xml:space="preserve">facilitating our populations’ </w:t>
      </w:r>
      <w:r w:rsidRPr="00BB79FF">
        <w:rPr>
          <w:rFonts w:cs="Arial"/>
          <w:lang w:val="en-US"/>
        </w:rPr>
        <w:t xml:space="preserve">access to high quality, safe and effective </w:t>
      </w:r>
      <w:r>
        <w:rPr>
          <w:rFonts w:cs="Arial"/>
          <w:lang w:val="en-US"/>
        </w:rPr>
        <w:t>health</w:t>
      </w:r>
      <w:r w:rsidRPr="00BB79FF">
        <w:rPr>
          <w:rFonts w:cs="Arial"/>
          <w:lang w:val="en-US"/>
        </w:rPr>
        <w:t xml:space="preserve"> products.</w:t>
      </w:r>
      <w:r>
        <w:rPr>
          <w:rFonts w:cs="Arial"/>
          <w:lang w:val="en-US"/>
        </w:rPr>
        <w:t xml:space="preserve"> </w:t>
      </w:r>
      <w:r w:rsidR="007313D7">
        <w:rPr>
          <w:rFonts w:cs="Arial"/>
          <w:lang w:val="en-US"/>
        </w:rPr>
        <w:t>This group</w:t>
      </w:r>
      <w:r w:rsidR="00DD6127">
        <w:rPr>
          <w:rFonts w:cs="Arial"/>
          <w:lang w:val="en-US"/>
        </w:rPr>
        <w:t xml:space="preserve"> </w:t>
      </w:r>
      <w:r w:rsidR="007313D7">
        <w:rPr>
          <w:rFonts w:cs="Arial"/>
          <w:lang w:val="en-US"/>
        </w:rPr>
        <w:t>originally</w:t>
      </w:r>
      <w:r w:rsidR="00490F7D">
        <w:rPr>
          <w:rFonts w:cs="Arial"/>
          <w:lang w:val="en-US"/>
        </w:rPr>
        <w:t xml:space="preserve"> consisted</w:t>
      </w:r>
      <w:r w:rsidR="007313D7">
        <w:rPr>
          <w:rFonts w:cs="Arial"/>
          <w:lang w:val="en-US"/>
        </w:rPr>
        <w:t xml:space="preserve"> of </w:t>
      </w:r>
      <w:r w:rsidR="0099299A">
        <w:rPr>
          <w:rFonts w:cs="Arial"/>
          <w:lang w:val="en-US"/>
        </w:rPr>
        <w:t xml:space="preserve">the </w:t>
      </w:r>
      <w:r w:rsidR="007313D7">
        <w:rPr>
          <w:rFonts w:cs="Arial"/>
          <w:lang w:val="en-US"/>
        </w:rPr>
        <w:t>regulator</w:t>
      </w:r>
      <w:r w:rsidR="0099299A">
        <w:rPr>
          <w:rFonts w:cs="Arial"/>
          <w:lang w:val="en-US"/>
        </w:rPr>
        <w:t>y authoritie</w:t>
      </w:r>
      <w:r w:rsidR="007313D7">
        <w:rPr>
          <w:rFonts w:cs="Arial"/>
          <w:lang w:val="en-US"/>
        </w:rPr>
        <w:t>s in Australia, Canada, Singapore and Switzerland</w:t>
      </w:r>
      <w:r>
        <w:rPr>
          <w:rFonts w:cs="Arial"/>
          <w:lang w:val="en-US"/>
        </w:rPr>
        <w:t xml:space="preserve"> (previously referred to as ACSS)</w:t>
      </w:r>
      <w:r w:rsidR="00FA1A31" w:rsidRPr="00FA1A31">
        <w:rPr>
          <w:rFonts w:cs="Arial"/>
          <w:lang w:val="en-US"/>
        </w:rPr>
        <w:t xml:space="preserve">. </w:t>
      </w:r>
      <w:r w:rsidR="00DD6127">
        <w:rPr>
          <w:rFonts w:cs="Arial"/>
          <w:lang w:val="en-US"/>
        </w:rPr>
        <w:t xml:space="preserve">With the </w:t>
      </w:r>
      <w:r w:rsidR="00586477">
        <w:rPr>
          <w:rFonts w:cs="Arial"/>
          <w:lang w:val="en-US"/>
        </w:rPr>
        <w:t xml:space="preserve">addition </w:t>
      </w:r>
      <w:r w:rsidR="00DD6127">
        <w:rPr>
          <w:rFonts w:cs="Arial"/>
          <w:lang w:val="en-US"/>
        </w:rPr>
        <w:t>of</w:t>
      </w:r>
      <w:r w:rsidR="0026571F">
        <w:rPr>
          <w:rFonts w:cs="Arial"/>
          <w:lang w:val="en-US"/>
        </w:rPr>
        <w:t xml:space="preserve"> the United Kingdom</w:t>
      </w:r>
      <w:r w:rsidR="00B87F95">
        <w:rPr>
          <w:rFonts w:cs="Arial"/>
          <w:lang w:val="en-US"/>
        </w:rPr>
        <w:t>’s</w:t>
      </w:r>
      <w:r w:rsidR="00BB79FF">
        <w:rPr>
          <w:rFonts w:cs="Arial"/>
          <w:lang w:val="en-US"/>
        </w:rPr>
        <w:t xml:space="preserve"> </w:t>
      </w:r>
      <w:r w:rsidR="0026571F" w:rsidRPr="0026571F">
        <w:rPr>
          <w:rFonts w:cs="Arial"/>
          <w:lang w:val="en-US"/>
        </w:rPr>
        <w:t>Medicines and Healthca</w:t>
      </w:r>
      <w:r w:rsidR="0026571F">
        <w:rPr>
          <w:rFonts w:cs="Arial"/>
          <w:lang w:val="en-US"/>
        </w:rPr>
        <w:t>re products Regulatory Agency</w:t>
      </w:r>
      <w:r w:rsidR="00DD6127">
        <w:rPr>
          <w:rFonts w:cs="Arial"/>
          <w:lang w:val="en-US"/>
        </w:rPr>
        <w:t>, a leading international medicines regulator,</w:t>
      </w:r>
      <w:r w:rsidR="0026571F">
        <w:rPr>
          <w:rFonts w:cs="Arial"/>
          <w:lang w:val="en-US"/>
        </w:rPr>
        <w:t xml:space="preserve"> </w:t>
      </w:r>
      <w:r w:rsidR="00DD6127">
        <w:rPr>
          <w:rFonts w:cs="Arial"/>
          <w:lang w:val="en-US"/>
        </w:rPr>
        <w:t>in October 2020</w:t>
      </w:r>
      <w:r w:rsidR="004D32B2">
        <w:rPr>
          <w:rFonts w:cs="Arial"/>
          <w:lang w:val="en-US"/>
        </w:rPr>
        <w:t>,</w:t>
      </w:r>
      <w:r w:rsidR="00DD6127">
        <w:rPr>
          <w:rFonts w:cs="Arial"/>
          <w:lang w:val="en-US"/>
        </w:rPr>
        <w:t xml:space="preserve"> </w:t>
      </w:r>
      <w:r w:rsidR="00AA1406">
        <w:rPr>
          <w:rFonts w:cs="Arial"/>
          <w:lang w:val="en-US"/>
        </w:rPr>
        <w:t xml:space="preserve">the Consortium changed its name to </w:t>
      </w:r>
      <w:r w:rsidR="00DD6127">
        <w:rPr>
          <w:rFonts w:cs="Arial"/>
          <w:lang w:val="en-US"/>
        </w:rPr>
        <w:t>Access</w:t>
      </w:r>
      <w:r w:rsidR="00AA1406">
        <w:rPr>
          <w:rFonts w:cs="Arial"/>
          <w:lang w:val="en-US"/>
        </w:rPr>
        <w:t xml:space="preserve">, reflecting the </w:t>
      </w:r>
      <w:r w:rsidR="00C56444">
        <w:rPr>
          <w:rFonts w:cs="Arial"/>
          <w:lang w:val="en-US"/>
        </w:rPr>
        <w:t>principal</w:t>
      </w:r>
      <w:r w:rsidR="00326A0B">
        <w:rPr>
          <w:rFonts w:cs="Arial"/>
          <w:lang w:val="en-US"/>
        </w:rPr>
        <w:t xml:space="preserve"> </w:t>
      </w:r>
      <w:r w:rsidR="00AA1406">
        <w:rPr>
          <w:rFonts w:cs="Arial"/>
          <w:lang w:val="en-US"/>
        </w:rPr>
        <w:t xml:space="preserve">goal of increasing </w:t>
      </w:r>
      <w:r w:rsidR="00AB70BA">
        <w:rPr>
          <w:rFonts w:cs="Arial"/>
          <w:lang w:val="en-US"/>
        </w:rPr>
        <w:t xml:space="preserve">our populations’ </w:t>
      </w:r>
      <w:r w:rsidR="00AA1406">
        <w:rPr>
          <w:rFonts w:cs="Arial"/>
          <w:lang w:val="en-US"/>
        </w:rPr>
        <w:t xml:space="preserve">access to health products through international collaboration and work-sharing. </w:t>
      </w:r>
      <w:r w:rsidR="00AB70BA">
        <w:rPr>
          <w:rFonts w:cs="Arial"/>
          <w:lang w:val="en-US"/>
        </w:rPr>
        <w:t xml:space="preserve">The </w:t>
      </w:r>
      <w:r w:rsidR="00AA1406">
        <w:rPr>
          <w:rFonts w:cs="Arial"/>
          <w:lang w:val="en-US"/>
        </w:rPr>
        <w:t>Access</w:t>
      </w:r>
      <w:r w:rsidR="00AB70BA">
        <w:rPr>
          <w:rFonts w:cs="Arial"/>
          <w:lang w:val="en-US"/>
        </w:rPr>
        <w:t xml:space="preserve"> Consortium</w:t>
      </w:r>
      <w:r w:rsidR="0074165B">
        <w:rPr>
          <w:rFonts w:cs="Arial"/>
          <w:lang w:val="en-US"/>
        </w:rPr>
        <w:t xml:space="preserve"> now represents a collective population base of 150M.</w:t>
      </w:r>
    </w:p>
    <w:p w14:paraId="45E42400" w14:textId="63756024" w:rsidR="008454C8" w:rsidRPr="008454C8" w:rsidRDefault="008454C8" w:rsidP="008454C8">
      <w:pPr>
        <w:pStyle w:val="Heading1"/>
      </w:pPr>
      <w:r w:rsidRPr="008454C8">
        <w:t>Background</w:t>
      </w:r>
    </w:p>
    <w:p w14:paraId="448251F8" w14:textId="1302DD75" w:rsidR="00353447" w:rsidRDefault="00353447" w:rsidP="00353447">
      <w:pPr>
        <w:rPr>
          <w:lang w:val="en-US"/>
        </w:rPr>
      </w:pPr>
      <w:r>
        <w:rPr>
          <w:lang w:val="en-US"/>
        </w:rPr>
        <w:t xml:space="preserve">To help achieve </w:t>
      </w:r>
      <w:r w:rsidR="00FF1C73">
        <w:rPr>
          <w:lang w:val="en-US"/>
        </w:rPr>
        <w:t>the Consortium’s</w:t>
      </w:r>
      <w:r w:rsidR="008454C8">
        <w:rPr>
          <w:lang w:val="en-US"/>
        </w:rPr>
        <w:t xml:space="preserve"> mission</w:t>
      </w:r>
      <w:r>
        <w:rPr>
          <w:lang w:val="en-US"/>
        </w:rPr>
        <w:t>,</w:t>
      </w:r>
      <w:r w:rsidR="009000B2">
        <w:rPr>
          <w:lang w:val="en-US"/>
        </w:rPr>
        <w:t xml:space="preserve"> we continue to </w:t>
      </w:r>
      <w:r w:rsidR="008454C8">
        <w:rPr>
          <w:lang w:val="en-US"/>
        </w:rPr>
        <w:t>focus on enhancing</w:t>
      </w:r>
      <w:r w:rsidR="009000B2">
        <w:rPr>
          <w:lang w:val="en-US"/>
        </w:rPr>
        <w:t xml:space="preserve"> our</w:t>
      </w:r>
      <w:r w:rsidR="008454C8">
        <w:rPr>
          <w:lang w:val="en-US"/>
        </w:rPr>
        <w:t xml:space="preserve"> systems to</w:t>
      </w:r>
      <w:r>
        <w:rPr>
          <w:lang w:val="en-US"/>
        </w:rPr>
        <w:t xml:space="preserve"> enable work-sharing of applications for the registration of medicines</w:t>
      </w:r>
      <w:r w:rsidRPr="002C77FA">
        <w:rPr>
          <w:lang w:val="en-US"/>
        </w:rPr>
        <w:t xml:space="preserve"> containing new active substances</w:t>
      </w:r>
      <w:r w:rsidR="008454C8">
        <w:rPr>
          <w:lang w:val="en-US"/>
        </w:rPr>
        <w:t xml:space="preserve">, </w:t>
      </w:r>
      <w:r>
        <w:rPr>
          <w:lang w:val="en-US"/>
        </w:rPr>
        <w:t>generic</w:t>
      </w:r>
      <w:r w:rsidR="008454C8">
        <w:rPr>
          <w:lang w:val="en-US"/>
        </w:rPr>
        <w:t>s and biosimilar</w:t>
      </w:r>
      <w:r>
        <w:rPr>
          <w:lang w:val="en-US"/>
        </w:rPr>
        <w:t xml:space="preserve"> medicines</w:t>
      </w:r>
      <w:r w:rsidRPr="002C77FA">
        <w:rPr>
          <w:lang w:val="en-US"/>
        </w:rPr>
        <w:t xml:space="preserve">. </w:t>
      </w:r>
      <w:r w:rsidR="009000B2">
        <w:rPr>
          <w:lang w:val="en-US"/>
        </w:rPr>
        <w:t>To date</w:t>
      </w:r>
      <w:r w:rsidR="006D681B">
        <w:rPr>
          <w:lang w:val="en-US"/>
        </w:rPr>
        <w:t>, Access</w:t>
      </w:r>
      <w:r w:rsidRPr="005F1BB1">
        <w:rPr>
          <w:lang w:val="en-US"/>
        </w:rPr>
        <w:t xml:space="preserve"> </w:t>
      </w:r>
      <w:r>
        <w:rPr>
          <w:lang w:val="en-US"/>
        </w:rPr>
        <w:t xml:space="preserve">has </w:t>
      </w:r>
      <w:r w:rsidRPr="005F1BB1">
        <w:rPr>
          <w:lang w:val="en-US"/>
        </w:rPr>
        <w:t>successfully</w:t>
      </w:r>
      <w:r>
        <w:rPr>
          <w:lang w:val="en-US"/>
        </w:rPr>
        <w:t xml:space="preserve"> evaluated </w:t>
      </w:r>
      <w:r w:rsidR="009000B2">
        <w:rPr>
          <w:lang w:val="en-US"/>
        </w:rPr>
        <w:t>numerous</w:t>
      </w:r>
      <w:r w:rsidRPr="005F1BB1">
        <w:rPr>
          <w:lang w:val="en-US"/>
        </w:rPr>
        <w:t xml:space="preserve"> new medicines</w:t>
      </w:r>
      <w:r>
        <w:rPr>
          <w:lang w:val="en-US"/>
        </w:rPr>
        <w:t xml:space="preserve">, with many more </w:t>
      </w:r>
      <w:r w:rsidRPr="005F1BB1">
        <w:rPr>
          <w:lang w:val="en-US"/>
        </w:rPr>
        <w:t xml:space="preserve">under active review </w:t>
      </w:r>
      <w:r w:rsidR="008454C8">
        <w:rPr>
          <w:lang w:val="en-US"/>
        </w:rPr>
        <w:t>or</w:t>
      </w:r>
      <w:r>
        <w:rPr>
          <w:lang w:val="en-US"/>
        </w:rPr>
        <w:t xml:space="preserve"> assessment for work-sharing. </w:t>
      </w:r>
      <w:r w:rsidRPr="00871DA3">
        <w:rPr>
          <w:lang w:val="en-US"/>
        </w:rPr>
        <w:t xml:space="preserve">Many Access </w:t>
      </w:r>
      <w:r w:rsidR="00802974">
        <w:rPr>
          <w:lang w:val="en-US"/>
        </w:rPr>
        <w:t xml:space="preserve">sponsor </w:t>
      </w:r>
      <w:r w:rsidRPr="00871DA3">
        <w:rPr>
          <w:lang w:val="en-US"/>
        </w:rPr>
        <w:t xml:space="preserve">applications </w:t>
      </w:r>
      <w:r w:rsidR="006D681B" w:rsidRPr="00871DA3">
        <w:rPr>
          <w:lang w:val="en-US"/>
        </w:rPr>
        <w:t xml:space="preserve">include </w:t>
      </w:r>
      <w:r w:rsidRPr="00871DA3">
        <w:rPr>
          <w:lang w:val="en-US"/>
        </w:rPr>
        <w:t xml:space="preserve">first-in-world medicines, with major medicines regulators performing the evaluation </w:t>
      </w:r>
      <w:r w:rsidR="006D681B" w:rsidRPr="00871DA3">
        <w:rPr>
          <w:lang w:val="en-US"/>
        </w:rPr>
        <w:t xml:space="preserve">at the same time or </w:t>
      </w:r>
      <w:r w:rsidRPr="00871DA3">
        <w:rPr>
          <w:lang w:val="en-US"/>
        </w:rPr>
        <w:t xml:space="preserve">only just ahead of the Access </w:t>
      </w:r>
      <w:r w:rsidR="00E6115B" w:rsidRPr="00871DA3">
        <w:rPr>
          <w:lang w:val="en-US"/>
        </w:rPr>
        <w:t>Consortium</w:t>
      </w:r>
      <w:r w:rsidRPr="00871DA3">
        <w:rPr>
          <w:lang w:val="en-US"/>
        </w:rPr>
        <w:t>.</w:t>
      </w:r>
      <w:r>
        <w:rPr>
          <w:lang w:val="en-US"/>
        </w:rPr>
        <w:t xml:space="preserve"> </w:t>
      </w:r>
    </w:p>
    <w:p w14:paraId="4F4EBE19" w14:textId="27B173F7" w:rsidR="002379EC" w:rsidRDefault="008454C8" w:rsidP="00353447">
      <w:pPr>
        <w:rPr>
          <w:lang w:val="en-US"/>
        </w:rPr>
      </w:pPr>
      <w:r>
        <w:rPr>
          <w:lang w:val="en-US"/>
        </w:rPr>
        <w:t xml:space="preserve">Regulatory innovation has become increasingly important as health products evolve, increase in complexity or become more personalized. Greater regulatory agility and international alignment </w:t>
      </w:r>
      <w:r>
        <w:rPr>
          <w:lang w:val="en-US"/>
        </w:rPr>
        <w:lastRenderedPageBreak/>
        <w:t xml:space="preserve">by sharing of </w:t>
      </w:r>
      <w:r w:rsidR="00802974">
        <w:rPr>
          <w:lang w:val="en-US"/>
        </w:rPr>
        <w:t xml:space="preserve">scientific </w:t>
      </w:r>
      <w:r>
        <w:rPr>
          <w:lang w:val="en-US"/>
        </w:rPr>
        <w:t xml:space="preserve">resources and expertise, while </w:t>
      </w:r>
      <w:r w:rsidR="00490F7D">
        <w:rPr>
          <w:lang w:val="en-US"/>
        </w:rPr>
        <w:t>at the same time</w:t>
      </w:r>
      <w:r>
        <w:rPr>
          <w:lang w:val="en-US"/>
        </w:rPr>
        <w:t xml:space="preserve"> maintaining independent regulatory decision-making within each </w:t>
      </w:r>
      <w:r w:rsidR="00490F7D">
        <w:rPr>
          <w:lang w:val="en-US"/>
        </w:rPr>
        <w:t>authority</w:t>
      </w:r>
      <w:r>
        <w:rPr>
          <w:lang w:val="en-US"/>
        </w:rPr>
        <w:t xml:space="preserve">, will reduce a product’s time to a wider market. </w:t>
      </w:r>
      <w:r w:rsidR="008C1B80">
        <w:rPr>
          <w:lang w:val="en-US"/>
        </w:rPr>
        <w:t>Exploring collaboration</w:t>
      </w:r>
      <w:r>
        <w:rPr>
          <w:lang w:val="en-US"/>
        </w:rPr>
        <w:t xml:space="preserve"> with </w:t>
      </w:r>
      <w:r w:rsidR="00802974">
        <w:rPr>
          <w:lang w:val="en-US"/>
        </w:rPr>
        <w:t xml:space="preserve">national </w:t>
      </w:r>
      <w:r w:rsidRPr="00152924">
        <w:rPr>
          <w:lang w:val="en-US"/>
        </w:rPr>
        <w:t>health technology assessment organizations</w:t>
      </w:r>
      <w:r>
        <w:rPr>
          <w:lang w:val="en-US"/>
        </w:rPr>
        <w:t xml:space="preserve"> (</w:t>
      </w:r>
      <w:r w:rsidRPr="00152924">
        <w:rPr>
          <w:lang w:val="en-US"/>
        </w:rPr>
        <w:t xml:space="preserve">and </w:t>
      </w:r>
      <w:r>
        <w:rPr>
          <w:lang w:val="en-US"/>
        </w:rPr>
        <w:t xml:space="preserve">similar) by Access countries also serves to improve patient access to safe and </w:t>
      </w:r>
      <w:r w:rsidR="00EC3662">
        <w:rPr>
          <w:lang w:val="en-US"/>
        </w:rPr>
        <w:t xml:space="preserve">effective </w:t>
      </w:r>
      <w:r>
        <w:rPr>
          <w:lang w:val="en-US"/>
        </w:rPr>
        <w:t xml:space="preserve">health products. </w:t>
      </w:r>
    </w:p>
    <w:p w14:paraId="65EE370A" w14:textId="04CF7D31" w:rsidR="008028FD" w:rsidRDefault="008028FD" w:rsidP="008028FD">
      <w:pPr>
        <w:rPr>
          <w:rFonts w:cs="Arial"/>
          <w:lang w:val="en-US"/>
        </w:rPr>
      </w:pPr>
      <w:r>
        <w:rPr>
          <w:rFonts w:cs="Arial"/>
          <w:lang w:val="en-US"/>
        </w:rPr>
        <w:t>The COVID-19 pandemic</w:t>
      </w:r>
      <w:r w:rsidR="00326A0B">
        <w:rPr>
          <w:rFonts w:cs="Arial"/>
          <w:lang w:val="en-US"/>
        </w:rPr>
        <w:t xml:space="preserve"> triggered </w:t>
      </w:r>
      <w:r w:rsidR="003176CB">
        <w:rPr>
          <w:rFonts w:cs="Arial"/>
          <w:lang w:val="en-US"/>
        </w:rPr>
        <w:t xml:space="preserve">rapid </w:t>
      </w:r>
      <w:r w:rsidR="00326A0B">
        <w:rPr>
          <w:rFonts w:cs="Arial"/>
          <w:lang w:val="en-US"/>
        </w:rPr>
        <w:t>r</w:t>
      </w:r>
      <w:r w:rsidR="008454C8">
        <w:rPr>
          <w:rFonts w:cs="Arial"/>
          <w:lang w:val="en-US"/>
        </w:rPr>
        <w:t>egulatory innovation</w:t>
      </w:r>
      <w:r w:rsidR="00326A0B">
        <w:rPr>
          <w:rFonts w:cs="Arial"/>
          <w:lang w:val="en-US"/>
        </w:rPr>
        <w:t xml:space="preserve"> to address the</w:t>
      </w:r>
      <w:r w:rsidRPr="001E2754">
        <w:rPr>
          <w:rFonts w:cs="Arial"/>
          <w:lang w:val="en-US"/>
        </w:rPr>
        <w:t xml:space="preserve"> urgent need for </w:t>
      </w:r>
      <w:r w:rsidR="0054507D">
        <w:rPr>
          <w:rFonts w:cs="Arial"/>
          <w:lang w:val="en-US"/>
        </w:rPr>
        <w:t>s</w:t>
      </w:r>
      <w:r w:rsidR="008A6167">
        <w:rPr>
          <w:rFonts w:cs="Arial"/>
          <w:lang w:val="en-US"/>
        </w:rPr>
        <w:t xml:space="preserve">pecific </w:t>
      </w:r>
      <w:r w:rsidRPr="001E2754">
        <w:rPr>
          <w:rFonts w:cs="Arial"/>
          <w:lang w:val="en-US"/>
        </w:rPr>
        <w:t>health products.</w:t>
      </w:r>
      <w:r>
        <w:rPr>
          <w:rFonts w:cs="Arial"/>
          <w:lang w:val="en-US"/>
        </w:rPr>
        <w:t xml:space="preserve"> </w:t>
      </w:r>
      <w:r w:rsidR="008A6167">
        <w:rPr>
          <w:rFonts w:cs="Arial"/>
          <w:lang w:val="en-US"/>
        </w:rPr>
        <w:t xml:space="preserve">Through </w:t>
      </w:r>
      <w:r w:rsidR="008454C8">
        <w:rPr>
          <w:rFonts w:cs="Arial"/>
          <w:lang w:val="en-US"/>
        </w:rPr>
        <w:t xml:space="preserve">agile </w:t>
      </w:r>
      <w:r w:rsidR="008A6167">
        <w:rPr>
          <w:rFonts w:cs="Arial"/>
          <w:lang w:val="en-US"/>
        </w:rPr>
        <w:t xml:space="preserve">regulatory processes, </w:t>
      </w:r>
      <w:r>
        <w:rPr>
          <w:rFonts w:cs="Arial"/>
          <w:lang w:val="en-US"/>
        </w:rPr>
        <w:t xml:space="preserve">Access </w:t>
      </w:r>
      <w:r w:rsidR="008A6167">
        <w:rPr>
          <w:rFonts w:cs="Arial"/>
          <w:lang w:val="en-US"/>
        </w:rPr>
        <w:t>partners</w:t>
      </w:r>
      <w:r>
        <w:rPr>
          <w:rFonts w:cs="Arial"/>
          <w:lang w:val="en-US"/>
        </w:rPr>
        <w:t xml:space="preserve"> have </w:t>
      </w:r>
      <w:r w:rsidR="00347381">
        <w:rPr>
          <w:rFonts w:cs="Arial"/>
          <w:lang w:val="en-US"/>
        </w:rPr>
        <w:t>collaborated to make these</w:t>
      </w:r>
      <w:r>
        <w:rPr>
          <w:rFonts w:cs="Arial"/>
          <w:lang w:val="en-US"/>
        </w:rPr>
        <w:t xml:space="preserve"> </w:t>
      </w:r>
      <w:r w:rsidRPr="001E2754">
        <w:rPr>
          <w:rFonts w:cs="Arial"/>
          <w:lang w:val="en-US"/>
        </w:rPr>
        <w:t xml:space="preserve">health products and medical supplies </w:t>
      </w:r>
      <w:r>
        <w:rPr>
          <w:rFonts w:cs="Arial"/>
          <w:lang w:val="en-US"/>
        </w:rPr>
        <w:t>available.</w:t>
      </w:r>
      <w:r w:rsidR="002B0153">
        <w:rPr>
          <w:rFonts w:cs="Arial"/>
          <w:lang w:val="en-US"/>
        </w:rPr>
        <w:t xml:space="preserve"> </w:t>
      </w:r>
      <w:r w:rsidR="00D929E7">
        <w:rPr>
          <w:rFonts w:cs="Arial"/>
          <w:lang w:val="en-US"/>
        </w:rPr>
        <w:t xml:space="preserve">We now have an </w:t>
      </w:r>
      <w:r w:rsidR="00D929E7" w:rsidRPr="00E6115B">
        <w:rPr>
          <w:rFonts w:cs="Arial"/>
          <w:lang w:val="en-US"/>
        </w:rPr>
        <w:t xml:space="preserve">opportunity to </w:t>
      </w:r>
      <w:r w:rsidR="008454C8" w:rsidRPr="00E6115B">
        <w:rPr>
          <w:rFonts w:cs="Arial"/>
          <w:lang w:val="en-US"/>
        </w:rPr>
        <w:t>build upon the learnings from</w:t>
      </w:r>
      <w:r w:rsidR="00D929E7" w:rsidRPr="00E6115B">
        <w:rPr>
          <w:rFonts w:cs="Arial"/>
          <w:lang w:val="en-US"/>
        </w:rPr>
        <w:t xml:space="preserve"> </w:t>
      </w:r>
      <w:r w:rsidR="008454C8" w:rsidRPr="00E6115B">
        <w:rPr>
          <w:rFonts w:cs="Arial"/>
          <w:lang w:val="en-US"/>
        </w:rPr>
        <w:t>COVID-19</w:t>
      </w:r>
      <w:r w:rsidR="002B0153" w:rsidRPr="00E6115B">
        <w:rPr>
          <w:rFonts w:cs="Arial"/>
          <w:lang w:val="en-US"/>
        </w:rPr>
        <w:t xml:space="preserve"> </w:t>
      </w:r>
      <w:r w:rsidR="00D929E7" w:rsidRPr="00E6115B">
        <w:rPr>
          <w:rFonts w:cs="Arial"/>
          <w:lang w:val="en-US"/>
        </w:rPr>
        <w:t xml:space="preserve">and apply </w:t>
      </w:r>
      <w:r w:rsidR="0054507D" w:rsidRPr="00E6115B">
        <w:rPr>
          <w:rFonts w:cs="Arial"/>
          <w:lang w:val="en-US"/>
        </w:rPr>
        <w:t xml:space="preserve">these </w:t>
      </w:r>
      <w:r w:rsidR="00347381" w:rsidRPr="00E6115B">
        <w:rPr>
          <w:rFonts w:cs="Arial"/>
          <w:lang w:val="en-US"/>
        </w:rPr>
        <w:t xml:space="preserve">agile </w:t>
      </w:r>
      <w:r w:rsidR="00D929E7" w:rsidRPr="00E6115B">
        <w:rPr>
          <w:rFonts w:cs="Arial"/>
          <w:lang w:val="en-US"/>
        </w:rPr>
        <w:t>practic</w:t>
      </w:r>
      <w:r w:rsidR="008D4E4D" w:rsidRPr="00E6115B">
        <w:rPr>
          <w:rFonts w:cs="Arial"/>
          <w:lang w:val="en-US"/>
        </w:rPr>
        <w:t>es to our work in Access.</w:t>
      </w:r>
      <w:r w:rsidR="008D4E4D">
        <w:rPr>
          <w:rFonts w:cs="Arial"/>
          <w:lang w:val="en-US"/>
        </w:rPr>
        <w:t xml:space="preserve"> </w:t>
      </w:r>
    </w:p>
    <w:p w14:paraId="2BB21207" w14:textId="65AD4FD2" w:rsidR="00615F1A" w:rsidRDefault="000F3657" w:rsidP="00615F1A">
      <w:pPr>
        <w:rPr>
          <w:rFonts w:cs="Arial"/>
          <w:lang w:val="en-US"/>
        </w:rPr>
      </w:pPr>
      <w:r>
        <w:rPr>
          <w:rFonts w:cs="Arial"/>
          <w:lang w:val="en-US"/>
        </w:rPr>
        <w:t xml:space="preserve">The 2021-2024 Strategic </w:t>
      </w:r>
      <w:r w:rsidRPr="000F3657">
        <w:rPr>
          <w:rFonts w:cs="Arial"/>
          <w:lang w:val="en-US"/>
        </w:rPr>
        <w:t xml:space="preserve">Plan </w:t>
      </w:r>
      <w:r w:rsidR="00615F1A" w:rsidRPr="000F3657">
        <w:rPr>
          <w:rFonts w:cs="Arial"/>
          <w:lang w:val="en-US"/>
        </w:rPr>
        <w:t>will guide</w:t>
      </w:r>
      <w:r w:rsidRPr="000F3657">
        <w:rPr>
          <w:rFonts w:cs="Arial"/>
          <w:lang w:val="en-US"/>
        </w:rPr>
        <w:t xml:space="preserve"> </w:t>
      </w:r>
      <w:r w:rsidR="008A6167">
        <w:rPr>
          <w:rFonts w:cs="Arial"/>
          <w:lang w:val="en-US"/>
        </w:rPr>
        <w:t>us</w:t>
      </w:r>
      <w:r w:rsidR="00615F1A" w:rsidRPr="00615F1A">
        <w:rPr>
          <w:rFonts w:cs="Arial"/>
          <w:lang w:val="en-US"/>
        </w:rPr>
        <w:t xml:space="preserve"> toward</w:t>
      </w:r>
      <w:r w:rsidR="008A6167">
        <w:rPr>
          <w:rFonts w:cs="Arial"/>
          <w:lang w:val="en-US"/>
        </w:rPr>
        <w:t xml:space="preserve"> </w:t>
      </w:r>
      <w:r w:rsidR="00615F1A" w:rsidRPr="00615F1A">
        <w:rPr>
          <w:rFonts w:cs="Arial"/>
          <w:lang w:val="en-US"/>
        </w:rPr>
        <w:t xml:space="preserve">enhanced efficiency of </w:t>
      </w:r>
      <w:r w:rsidR="005C1242">
        <w:rPr>
          <w:rFonts w:cs="Arial"/>
          <w:lang w:val="en-US"/>
        </w:rPr>
        <w:t xml:space="preserve">our </w:t>
      </w:r>
      <w:r w:rsidR="00C53A42">
        <w:rPr>
          <w:rFonts w:cs="Arial"/>
          <w:lang w:val="en-US"/>
        </w:rPr>
        <w:t>national</w:t>
      </w:r>
      <w:r w:rsidR="00615F1A" w:rsidRPr="00615F1A">
        <w:rPr>
          <w:rFonts w:cs="Arial"/>
          <w:lang w:val="en-US"/>
        </w:rPr>
        <w:t xml:space="preserve"> regulatory systems</w:t>
      </w:r>
      <w:r w:rsidR="00CC0597">
        <w:rPr>
          <w:rFonts w:cs="Arial"/>
          <w:lang w:val="en-US"/>
        </w:rPr>
        <w:t xml:space="preserve">, </w:t>
      </w:r>
      <w:r w:rsidR="005C1242">
        <w:rPr>
          <w:rFonts w:cs="Arial"/>
          <w:lang w:val="en-US"/>
        </w:rPr>
        <w:t xml:space="preserve">while optimizing </w:t>
      </w:r>
      <w:r w:rsidR="00615F1A" w:rsidRPr="00615F1A">
        <w:rPr>
          <w:rFonts w:cs="Arial"/>
          <w:lang w:val="en-US"/>
        </w:rPr>
        <w:t xml:space="preserve">synergies </w:t>
      </w:r>
      <w:r w:rsidR="00C53A42">
        <w:rPr>
          <w:rFonts w:cs="Arial"/>
          <w:lang w:val="en-US"/>
        </w:rPr>
        <w:t xml:space="preserve">and alignment </w:t>
      </w:r>
      <w:r w:rsidR="00615F1A" w:rsidRPr="00615F1A">
        <w:rPr>
          <w:rFonts w:cs="Arial"/>
          <w:lang w:val="en-US"/>
        </w:rPr>
        <w:t>between regulatory authorities</w:t>
      </w:r>
      <w:r w:rsidR="00802974">
        <w:rPr>
          <w:rFonts w:cs="Arial"/>
          <w:lang w:val="en-US"/>
        </w:rPr>
        <w:t xml:space="preserve"> and reduc</w:t>
      </w:r>
      <w:r w:rsidR="00514796">
        <w:rPr>
          <w:rFonts w:cs="Arial"/>
          <w:lang w:val="en-US"/>
        </w:rPr>
        <w:t>ing</w:t>
      </w:r>
      <w:r w:rsidR="00802974">
        <w:rPr>
          <w:rFonts w:cs="Arial"/>
          <w:lang w:val="en-US"/>
        </w:rPr>
        <w:t xml:space="preserve"> duplication for industry</w:t>
      </w:r>
      <w:r w:rsidR="00615F1A" w:rsidRPr="00615F1A">
        <w:rPr>
          <w:rFonts w:cs="Arial"/>
          <w:lang w:val="en-US"/>
        </w:rPr>
        <w:t xml:space="preserve">. </w:t>
      </w:r>
      <w:r w:rsidR="00802974">
        <w:rPr>
          <w:rFonts w:cs="Arial"/>
          <w:lang w:val="en-US"/>
        </w:rPr>
        <w:t>With our combined populations of 150</w:t>
      </w:r>
      <w:r w:rsidR="003966C2">
        <w:rPr>
          <w:rFonts w:cs="Arial"/>
          <w:lang w:val="en-US"/>
        </w:rPr>
        <w:t>M</w:t>
      </w:r>
      <w:r w:rsidR="00802974">
        <w:rPr>
          <w:rFonts w:cs="Arial"/>
          <w:lang w:val="en-US"/>
        </w:rPr>
        <w:t xml:space="preserve"> the Consortium aspires to be</w:t>
      </w:r>
      <w:r w:rsidR="00F323B3">
        <w:rPr>
          <w:rFonts w:cs="Arial"/>
          <w:lang w:val="en-US"/>
        </w:rPr>
        <w:t xml:space="preserve"> regulators of choice.</w:t>
      </w:r>
    </w:p>
    <w:p w14:paraId="302BB252" w14:textId="08D1E284" w:rsidR="00615F1A" w:rsidRDefault="009F10F9" w:rsidP="003C7F6F">
      <w:pPr>
        <w:pStyle w:val="Heading1"/>
        <w:rPr>
          <w:lang w:val="en-US"/>
        </w:rPr>
      </w:pPr>
      <w:r>
        <w:rPr>
          <w:lang w:val="en-US"/>
        </w:rPr>
        <w:t xml:space="preserve">Strategic Objectives </w:t>
      </w:r>
    </w:p>
    <w:p w14:paraId="1A3C87AE" w14:textId="7B55A8CE" w:rsidR="007A7F75" w:rsidRDefault="007A7F75" w:rsidP="007A7F75">
      <w:pPr>
        <w:rPr>
          <w:lang w:val="en-US"/>
        </w:rPr>
      </w:pPr>
      <w:r>
        <w:rPr>
          <w:lang w:val="en-US"/>
        </w:rPr>
        <w:t xml:space="preserve">The following </w:t>
      </w:r>
      <w:r w:rsidR="009F4BBB">
        <w:rPr>
          <w:lang w:val="en-US"/>
        </w:rPr>
        <w:t xml:space="preserve">are the </w:t>
      </w:r>
      <w:r>
        <w:rPr>
          <w:lang w:val="en-US"/>
        </w:rPr>
        <w:t xml:space="preserve">strategic objectives </w:t>
      </w:r>
      <w:r w:rsidR="009F4BBB">
        <w:rPr>
          <w:lang w:val="en-US"/>
        </w:rPr>
        <w:t>for 2021</w:t>
      </w:r>
      <w:r w:rsidR="00A313BF">
        <w:rPr>
          <w:lang w:val="en-US"/>
        </w:rPr>
        <w:t>-</w:t>
      </w:r>
      <w:r w:rsidR="009F4BBB">
        <w:rPr>
          <w:lang w:val="en-US"/>
        </w:rPr>
        <w:t xml:space="preserve">2024 to guide </w:t>
      </w:r>
      <w:r w:rsidR="001C0925">
        <w:rPr>
          <w:lang w:val="en-US"/>
        </w:rPr>
        <w:t xml:space="preserve">the </w:t>
      </w:r>
      <w:r w:rsidR="009F4BBB">
        <w:rPr>
          <w:lang w:val="en-US"/>
        </w:rPr>
        <w:t xml:space="preserve">Access </w:t>
      </w:r>
      <w:r w:rsidR="001C0925">
        <w:rPr>
          <w:lang w:val="en-US"/>
        </w:rPr>
        <w:t xml:space="preserve">Consortium </w:t>
      </w:r>
      <w:r w:rsidR="009F4BBB">
        <w:rPr>
          <w:lang w:val="en-US"/>
        </w:rPr>
        <w:t>in achieving its vision and mission</w:t>
      </w:r>
      <w:r w:rsidR="0042529D">
        <w:rPr>
          <w:lang w:val="en-US"/>
        </w:rPr>
        <w:t xml:space="preserve">. </w:t>
      </w:r>
    </w:p>
    <w:p w14:paraId="2F54EFC4" w14:textId="30C369BE" w:rsidR="0089461A" w:rsidRDefault="00DC10A6" w:rsidP="00DC10A6">
      <w:pPr>
        <w:pStyle w:val="Heading2"/>
        <w:rPr>
          <w:lang w:val="en-US"/>
        </w:rPr>
      </w:pPr>
      <w:r>
        <w:rPr>
          <w:lang w:val="en-US"/>
        </w:rPr>
        <w:t>Strengthening</w:t>
      </w:r>
      <w:r w:rsidR="003D182D">
        <w:rPr>
          <w:lang w:val="en-US"/>
        </w:rPr>
        <w:t xml:space="preserve"> Access w</w:t>
      </w:r>
      <w:r w:rsidR="0089461A">
        <w:rPr>
          <w:lang w:val="en-US"/>
        </w:rPr>
        <w:t>ork-sharing initiatives</w:t>
      </w:r>
    </w:p>
    <w:p w14:paraId="687F0E23" w14:textId="704711C6" w:rsidR="00475E8B" w:rsidRDefault="009F4BBB" w:rsidP="00855363">
      <w:pPr>
        <w:rPr>
          <w:lang w:val="en-US"/>
        </w:rPr>
      </w:pPr>
      <w:r>
        <w:rPr>
          <w:lang w:val="en-US"/>
        </w:rPr>
        <w:t>M</w:t>
      </w:r>
      <w:r w:rsidR="00855363">
        <w:rPr>
          <w:lang w:val="en-US"/>
        </w:rPr>
        <w:t>aking Access</w:t>
      </w:r>
      <w:r w:rsidR="00475E8B">
        <w:rPr>
          <w:lang w:val="en-US"/>
        </w:rPr>
        <w:t xml:space="preserve"> a</w:t>
      </w:r>
      <w:r w:rsidR="00F86BB6">
        <w:rPr>
          <w:lang w:val="en-US"/>
        </w:rPr>
        <w:t xml:space="preserve"> competitive and</w:t>
      </w:r>
      <w:r w:rsidR="00EF7F02">
        <w:rPr>
          <w:lang w:val="en-US"/>
        </w:rPr>
        <w:t xml:space="preserve"> efficient</w:t>
      </w:r>
      <w:r w:rsidR="00475E8B">
        <w:rPr>
          <w:lang w:val="en-US"/>
        </w:rPr>
        <w:t xml:space="preserve"> </w:t>
      </w:r>
      <w:r w:rsidR="007A7F75">
        <w:rPr>
          <w:lang w:val="en-US"/>
        </w:rPr>
        <w:t xml:space="preserve">submission </w:t>
      </w:r>
      <w:r w:rsidR="00475E8B">
        <w:rPr>
          <w:lang w:val="en-US"/>
        </w:rPr>
        <w:t>pathway of choice for industry</w:t>
      </w:r>
      <w:r w:rsidR="008D459B">
        <w:rPr>
          <w:lang w:val="en-US"/>
        </w:rPr>
        <w:t>, supported by regulators</w:t>
      </w:r>
      <w:r>
        <w:rPr>
          <w:lang w:val="en-US"/>
        </w:rPr>
        <w:t>:</w:t>
      </w:r>
    </w:p>
    <w:p w14:paraId="5DD95975" w14:textId="728DB3AE" w:rsidR="00326D05" w:rsidRDefault="00626593" w:rsidP="00855363">
      <w:pPr>
        <w:pStyle w:val="ListParagraph"/>
        <w:numPr>
          <w:ilvl w:val="0"/>
          <w:numId w:val="5"/>
        </w:numPr>
        <w:jc w:val="left"/>
        <w:rPr>
          <w:lang w:val="en-US"/>
        </w:rPr>
      </w:pPr>
      <w:r>
        <w:rPr>
          <w:lang w:val="en-US"/>
        </w:rPr>
        <w:t>Increase the number of</w:t>
      </w:r>
      <w:r w:rsidR="00855363">
        <w:rPr>
          <w:lang w:val="en-US"/>
        </w:rPr>
        <w:t xml:space="preserve"> applicat</w:t>
      </w:r>
      <w:r w:rsidR="00475E8B">
        <w:rPr>
          <w:lang w:val="en-US"/>
        </w:rPr>
        <w:t xml:space="preserve">ions </w:t>
      </w:r>
      <w:r w:rsidR="00A26619">
        <w:rPr>
          <w:lang w:val="en-US"/>
        </w:rPr>
        <w:t>assessed by</w:t>
      </w:r>
      <w:r w:rsidR="00855363">
        <w:rPr>
          <w:lang w:val="en-US"/>
        </w:rPr>
        <w:t xml:space="preserve"> </w:t>
      </w:r>
      <w:r w:rsidR="00326D05">
        <w:rPr>
          <w:lang w:val="en-US"/>
        </w:rPr>
        <w:t>Access work-sharing initiatives</w:t>
      </w:r>
    </w:p>
    <w:p w14:paraId="3FCF5887" w14:textId="182F2664" w:rsidR="002379EC" w:rsidRDefault="002379EC" w:rsidP="00855363">
      <w:pPr>
        <w:pStyle w:val="ListParagraph"/>
        <w:numPr>
          <w:ilvl w:val="0"/>
          <w:numId w:val="5"/>
        </w:numPr>
        <w:jc w:val="left"/>
        <w:rPr>
          <w:lang w:val="en-US"/>
        </w:rPr>
      </w:pPr>
      <w:r>
        <w:rPr>
          <w:lang w:val="en-US"/>
        </w:rPr>
        <w:t>Increase the variety of health products assessed within Access</w:t>
      </w:r>
    </w:p>
    <w:p w14:paraId="7061B572" w14:textId="7DCA8AC8" w:rsidR="00D93F63" w:rsidRDefault="0030020B" w:rsidP="00855363">
      <w:pPr>
        <w:pStyle w:val="ListParagraph"/>
        <w:numPr>
          <w:ilvl w:val="0"/>
          <w:numId w:val="5"/>
        </w:numPr>
        <w:jc w:val="left"/>
        <w:rPr>
          <w:lang w:val="en-US"/>
        </w:rPr>
      </w:pPr>
      <w:r>
        <w:rPr>
          <w:lang w:val="en-US"/>
        </w:rPr>
        <w:t>Optimi</w:t>
      </w:r>
      <w:r w:rsidR="00074341">
        <w:rPr>
          <w:lang w:val="en-US"/>
        </w:rPr>
        <w:t xml:space="preserve">ze </w:t>
      </w:r>
      <w:r w:rsidR="00326D05">
        <w:rPr>
          <w:lang w:val="en-US"/>
        </w:rPr>
        <w:t xml:space="preserve">work-sharing through greater alignment of </w:t>
      </w:r>
      <w:r w:rsidR="00626593">
        <w:rPr>
          <w:lang w:val="en-US"/>
        </w:rPr>
        <w:t>regulatory approaches a</w:t>
      </w:r>
      <w:r w:rsidR="00326D05">
        <w:rPr>
          <w:lang w:val="en-US"/>
        </w:rPr>
        <w:t xml:space="preserve">nd technical </w:t>
      </w:r>
      <w:r w:rsidR="0052442E">
        <w:rPr>
          <w:lang w:val="en-US"/>
        </w:rPr>
        <w:t xml:space="preserve">and scientific </w:t>
      </w:r>
      <w:r w:rsidR="00326D05">
        <w:rPr>
          <w:lang w:val="en-US"/>
        </w:rPr>
        <w:t>requirements</w:t>
      </w:r>
    </w:p>
    <w:p w14:paraId="3B183D29" w14:textId="569F3D64" w:rsidR="00323238" w:rsidRDefault="000D3378" w:rsidP="00FA1A31">
      <w:pPr>
        <w:pStyle w:val="ListParagraph"/>
        <w:numPr>
          <w:ilvl w:val="0"/>
          <w:numId w:val="5"/>
        </w:numPr>
        <w:jc w:val="left"/>
        <w:rPr>
          <w:lang w:val="en-US"/>
        </w:rPr>
      </w:pPr>
      <w:r>
        <w:rPr>
          <w:lang w:val="en-US"/>
        </w:rPr>
        <w:t>Strengthen</w:t>
      </w:r>
      <w:r w:rsidR="00FA1A31">
        <w:rPr>
          <w:lang w:val="en-US"/>
        </w:rPr>
        <w:t xml:space="preserve"> </w:t>
      </w:r>
      <w:r w:rsidR="002B0153">
        <w:rPr>
          <w:lang w:val="en-US"/>
        </w:rPr>
        <w:t xml:space="preserve">collaboration </w:t>
      </w:r>
      <w:r w:rsidR="009F4BBB">
        <w:rPr>
          <w:lang w:val="en-US"/>
        </w:rPr>
        <w:t xml:space="preserve">by </w:t>
      </w:r>
      <w:r w:rsidR="001C273F">
        <w:rPr>
          <w:lang w:val="en-US"/>
        </w:rPr>
        <w:t>support</w:t>
      </w:r>
      <w:r w:rsidR="002B0153">
        <w:rPr>
          <w:lang w:val="en-US"/>
        </w:rPr>
        <w:t>ing</w:t>
      </w:r>
      <w:r w:rsidR="001C273F">
        <w:rPr>
          <w:lang w:val="en-US"/>
        </w:rPr>
        <w:t xml:space="preserve"> </w:t>
      </w:r>
      <w:r w:rsidR="002B0153">
        <w:rPr>
          <w:lang w:val="en-US"/>
        </w:rPr>
        <w:t>Access</w:t>
      </w:r>
      <w:r w:rsidR="0084209E">
        <w:rPr>
          <w:lang w:val="en-US"/>
        </w:rPr>
        <w:t xml:space="preserve"> participation in</w:t>
      </w:r>
      <w:r>
        <w:rPr>
          <w:lang w:val="en-US"/>
        </w:rPr>
        <w:t xml:space="preserve"> </w:t>
      </w:r>
      <w:r w:rsidR="001C273F">
        <w:rPr>
          <w:lang w:val="en-US"/>
        </w:rPr>
        <w:t>international initiatives</w:t>
      </w:r>
      <w:r w:rsidR="00FA1A31">
        <w:rPr>
          <w:lang w:val="en-US"/>
        </w:rPr>
        <w:t xml:space="preserve"> </w:t>
      </w:r>
    </w:p>
    <w:p w14:paraId="14736CEB" w14:textId="4B152BBC" w:rsidR="00DB24A0" w:rsidRDefault="005D741D" w:rsidP="00DB24A0">
      <w:pPr>
        <w:pStyle w:val="ListParagraph"/>
        <w:numPr>
          <w:ilvl w:val="0"/>
          <w:numId w:val="5"/>
        </w:numPr>
        <w:jc w:val="left"/>
        <w:rPr>
          <w:lang w:val="en-US"/>
        </w:rPr>
      </w:pPr>
      <w:r w:rsidRPr="00990D39">
        <w:rPr>
          <w:lang w:val="en-US"/>
        </w:rPr>
        <w:t>Explo</w:t>
      </w:r>
      <w:r w:rsidR="00855363" w:rsidRPr="00990D39">
        <w:rPr>
          <w:lang w:val="en-US"/>
        </w:rPr>
        <w:t>re</w:t>
      </w:r>
      <w:r w:rsidRPr="00990D39">
        <w:rPr>
          <w:lang w:val="en-US"/>
        </w:rPr>
        <w:t xml:space="preserve"> best practices </w:t>
      </w:r>
      <w:r w:rsidR="009B369D" w:rsidRPr="00990D39">
        <w:rPr>
          <w:lang w:val="en-US"/>
        </w:rPr>
        <w:t>wi</w:t>
      </w:r>
      <w:r w:rsidR="00F72D6C" w:rsidRPr="00990D39">
        <w:rPr>
          <w:lang w:val="en-US"/>
        </w:rPr>
        <w:t xml:space="preserve">th </w:t>
      </w:r>
      <w:r w:rsidR="00A9718A" w:rsidRPr="00990D39">
        <w:rPr>
          <w:lang w:val="en-US"/>
        </w:rPr>
        <w:t>optimal</w:t>
      </w:r>
      <w:r w:rsidR="00A9718A">
        <w:rPr>
          <w:lang w:val="en-US"/>
        </w:rPr>
        <w:t xml:space="preserve"> use of resources </w:t>
      </w:r>
      <w:r w:rsidRPr="005D741D">
        <w:rPr>
          <w:lang w:val="en-US"/>
        </w:rPr>
        <w:t xml:space="preserve">for </w:t>
      </w:r>
      <w:r w:rsidR="007A7F75">
        <w:rPr>
          <w:lang w:val="en-US"/>
        </w:rPr>
        <w:t>assessment collaboration</w:t>
      </w:r>
      <w:r w:rsidR="00DB24A0" w:rsidRPr="00DB24A0">
        <w:rPr>
          <w:lang w:val="en-US"/>
        </w:rPr>
        <w:t xml:space="preserve"> </w:t>
      </w:r>
    </w:p>
    <w:p w14:paraId="5242A431" w14:textId="75A5E5FE" w:rsidR="00630DA9" w:rsidRPr="00E6115B" w:rsidRDefault="008D4E4D" w:rsidP="00A26619">
      <w:pPr>
        <w:pStyle w:val="ListParagraph"/>
        <w:numPr>
          <w:ilvl w:val="0"/>
          <w:numId w:val="5"/>
        </w:numPr>
        <w:jc w:val="left"/>
        <w:rPr>
          <w:lang w:val="en-US"/>
        </w:rPr>
      </w:pPr>
      <w:r w:rsidRPr="00E6115B">
        <w:rPr>
          <w:lang w:val="en-US"/>
        </w:rPr>
        <w:t xml:space="preserve">Capture lessons learned from the COVID-19 experience to </w:t>
      </w:r>
      <w:r w:rsidR="009F4BBB" w:rsidRPr="00E6115B">
        <w:rPr>
          <w:lang w:val="en-US"/>
        </w:rPr>
        <w:t xml:space="preserve">innovate together and </w:t>
      </w:r>
      <w:r w:rsidRPr="00E6115B">
        <w:rPr>
          <w:lang w:val="en-US"/>
        </w:rPr>
        <w:t>improve work-sharing</w:t>
      </w:r>
    </w:p>
    <w:p w14:paraId="3C0DB90C" w14:textId="77777777" w:rsidR="00630DA9" w:rsidRPr="00630DA9" w:rsidRDefault="00630DA9" w:rsidP="00630DA9">
      <w:pPr>
        <w:pStyle w:val="ListParagraph"/>
        <w:jc w:val="left"/>
        <w:rPr>
          <w:lang w:val="en-US"/>
        </w:rPr>
      </w:pPr>
    </w:p>
    <w:p w14:paraId="14F42E17" w14:textId="70D3FF62" w:rsidR="009F0ADE" w:rsidRDefault="009F0ADE" w:rsidP="009F0ADE">
      <w:pPr>
        <w:pStyle w:val="Heading2"/>
        <w:rPr>
          <w:lang w:val="en-US"/>
        </w:rPr>
      </w:pPr>
      <w:r w:rsidRPr="001A5D9C">
        <w:rPr>
          <w:lang w:val="en-US"/>
        </w:rPr>
        <w:t xml:space="preserve">Expanding </w:t>
      </w:r>
      <w:r>
        <w:rPr>
          <w:lang w:val="en-US"/>
        </w:rPr>
        <w:t>lifecycle a</w:t>
      </w:r>
      <w:r w:rsidRPr="001A5D9C">
        <w:rPr>
          <w:lang w:val="en-US"/>
        </w:rPr>
        <w:t>pproach</w:t>
      </w:r>
      <w:r w:rsidR="00630DA9">
        <w:rPr>
          <w:lang w:val="en-US"/>
        </w:rPr>
        <w:t xml:space="preserve"> </w:t>
      </w:r>
    </w:p>
    <w:p w14:paraId="355D00D2" w14:textId="0BFAD207" w:rsidR="009A6810" w:rsidRDefault="009A6810" w:rsidP="009F0ADE">
      <w:pPr>
        <w:rPr>
          <w:lang w:val="en-US"/>
        </w:rPr>
      </w:pPr>
      <w:r>
        <w:rPr>
          <w:lang w:val="en-US"/>
        </w:rPr>
        <w:t>Maximiz</w:t>
      </w:r>
      <w:r w:rsidR="009F4BBB">
        <w:rPr>
          <w:lang w:val="en-US"/>
        </w:rPr>
        <w:t>ing</w:t>
      </w:r>
      <w:r>
        <w:rPr>
          <w:lang w:val="en-US"/>
        </w:rPr>
        <w:t xml:space="preserve"> coll</w:t>
      </w:r>
      <w:r w:rsidR="00051131">
        <w:rPr>
          <w:lang w:val="en-US"/>
        </w:rPr>
        <w:t xml:space="preserve">aboration throughout the </w:t>
      </w:r>
      <w:r>
        <w:rPr>
          <w:lang w:val="en-US"/>
        </w:rPr>
        <w:t>health product lifecycle</w:t>
      </w:r>
      <w:r w:rsidR="009F4BBB">
        <w:rPr>
          <w:lang w:val="en-US"/>
        </w:rPr>
        <w:t>:</w:t>
      </w:r>
      <w:r>
        <w:rPr>
          <w:lang w:val="en-US"/>
        </w:rPr>
        <w:t xml:space="preserve"> </w:t>
      </w:r>
    </w:p>
    <w:p w14:paraId="62CF8CAE" w14:textId="28507B5E" w:rsidR="00347381" w:rsidRPr="00473678" w:rsidRDefault="00347381" w:rsidP="00473678">
      <w:pPr>
        <w:numPr>
          <w:ilvl w:val="0"/>
          <w:numId w:val="4"/>
        </w:numPr>
        <w:spacing w:after="0" w:line="240" w:lineRule="auto"/>
        <w:textAlignment w:val="center"/>
        <w:rPr>
          <w:rFonts w:cs="Arial"/>
        </w:rPr>
      </w:pPr>
      <w:r>
        <w:rPr>
          <w:rFonts w:cs="Arial"/>
          <w:lang w:val="en-US"/>
        </w:rPr>
        <w:t>Consider collaboration on clinical trials design and/or sponsor advice</w:t>
      </w:r>
    </w:p>
    <w:p w14:paraId="69F5B607" w14:textId="77777777" w:rsidR="00D92932" w:rsidRDefault="00D92932" w:rsidP="00D92932">
      <w:pPr>
        <w:pStyle w:val="ListParagraph"/>
        <w:numPr>
          <w:ilvl w:val="0"/>
          <w:numId w:val="4"/>
        </w:numPr>
        <w:spacing w:after="0"/>
        <w:ind w:left="714" w:hanging="357"/>
        <w:jc w:val="left"/>
        <w:rPr>
          <w:lang w:val="en-US"/>
        </w:rPr>
      </w:pPr>
      <w:r>
        <w:rPr>
          <w:lang w:val="en-US"/>
        </w:rPr>
        <w:t>Explore the use of real-world data and real-world evidence in clinical trial design and regulatory approaches</w:t>
      </w:r>
    </w:p>
    <w:p w14:paraId="4F54CED2" w14:textId="0DC064DB" w:rsidR="00347381" w:rsidRPr="00630DA9" w:rsidRDefault="00347381" w:rsidP="00347381">
      <w:pPr>
        <w:pStyle w:val="ListParagraph"/>
        <w:numPr>
          <w:ilvl w:val="0"/>
          <w:numId w:val="4"/>
        </w:numPr>
        <w:spacing w:after="0"/>
        <w:ind w:left="714" w:hanging="357"/>
        <w:jc w:val="left"/>
        <w:rPr>
          <w:lang w:val="en-US"/>
        </w:rPr>
      </w:pPr>
      <w:r>
        <w:rPr>
          <w:lang w:val="en-US"/>
        </w:rPr>
        <w:t xml:space="preserve">Establish </w:t>
      </w:r>
      <w:r w:rsidRPr="00630DA9">
        <w:rPr>
          <w:lang w:val="en-US"/>
        </w:rPr>
        <w:t xml:space="preserve">collaboration </w:t>
      </w:r>
      <w:r w:rsidR="008D459B">
        <w:rPr>
          <w:lang w:val="en-US"/>
        </w:rPr>
        <w:t xml:space="preserve">and scientific </w:t>
      </w:r>
      <w:r w:rsidR="00E63F92">
        <w:rPr>
          <w:lang w:val="en-US"/>
        </w:rPr>
        <w:t xml:space="preserve">information sharing </w:t>
      </w:r>
      <w:r w:rsidRPr="00630DA9">
        <w:rPr>
          <w:lang w:val="en-US"/>
        </w:rPr>
        <w:t xml:space="preserve">within Access on </w:t>
      </w:r>
      <w:r>
        <w:rPr>
          <w:lang w:val="en-US"/>
        </w:rPr>
        <w:t xml:space="preserve">risk management, pharmacovigilance and </w:t>
      </w:r>
      <w:r w:rsidRPr="00630DA9">
        <w:rPr>
          <w:lang w:val="en-US"/>
        </w:rPr>
        <w:t>post-market safety</w:t>
      </w:r>
    </w:p>
    <w:p w14:paraId="1313A426" w14:textId="03D8D46F" w:rsidR="009F136E" w:rsidRPr="00E6115B" w:rsidRDefault="00DB24A0" w:rsidP="00375B81">
      <w:pPr>
        <w:pStyle w:val="ListParagraph"/>
        <w:numPr>
          <w:ilvl w:val="0"/>
          <w:numId w:val="4"/>
        </w:numPr>
        <w:spacing w:after="0"/>
        <w:ind w:left="714" w:hanging="357"/>
        <w:jc w:val="left"/>
        <w:rPr>
          <w:lang w:val="en-US"/>
        </w:rPr>
      </w:pPr>
      <w:r w:rsidRPr="00E6115B">
        <w:rPr>
          <w:lang w:val="en-US"/>
        </w:rPr>
        <w:t>Explore the use of pharmacovigilance and real</w:t>
      </w:r>
      <w:r w:rsidR="00A26619" w:rsidRPr="00E6115B">
        <w:rPr>
          <w:lang w:val="en-US"/>
        </w:rPr>
        <w:t>-</w:t>
      </w:r>
      <w:r w:rsidRPr="00E6115B">
        <w:rPr>
          <w:lang w:val="en-US"/>
        </w:rPr>
        <w:t xml:space="preserve">world data to support early entry </w:t>
      </w:r>
      <w:r w:rsidR="00490F7D">
        <w:rPr>
          <w:lang w:val="en-US"/>
        </w:rPr>
        <w:t xml:space="preserve">on the market </w:t>
      </w:r>
      <w:r w:rsidRPr="00E6115B">
        <w:rPr>
          <w:lang w:val="en-US"/>
        </w:rPr>
        <w:t>of vaccines and therapeutics</w:t>
      </w:r>
      <w:r w:rsidR="00630DA9" w:rsidRPr="00E6115B">
        <w:rPr>
          <w:lang w:val="en-US"/>
        </w:rPr>
        <w:t xml:space="preserve"> </w:t>
      </w:r>
      <w:r w:rsidR="009F4BBB" w:rsidRPr="00E6115B">
        <w:rPr>
          <w:lang w:val="en-US"/>
        </w:rPr>
        <w:t xml:space="preserve">for </w:t>
      </w:r>
      <w:r w:rsidR="00630DA9" w:rsidRPr="00E6115B">
        <w:rPr>
          <w:lang w:val="en-US"/>
        </w:rPr>
        <w:t>COVID-19</w:t>
      </w:r>
      <w:r w:rsidR="009F4BBB" w:rsidRPr="00E6115B">
        <w:rPr>
          <w:lang w:val="en-US"/>
        </w:rPr>
        <w:t xml:space="preserve"> and other diseases</w:t>
      </w:r>
    </w:p>
    <w:p w14:paraId="5CD529EF" w14:textId="045B8796" w:rsidR="00854829" w:rsidRPr="00C34C7E" w:rsidRDefault="00CE7C5E" w:rsidP="00A04409">
      <w:pPr>
        <w:numPr>
          <w:ilvl w:val="0"/>
          <w:numId w:val="4"/>
        </w:numPr>
        <w:spacing w:after="0" w:line="240" w:lineRule="auto"/>
        <w:textAlignment w:val="center"/>
        <w:rPr>
          <w:rFonts w:ascii="HelveticaNeue" w:hAnsi="HelveticaNeue"/>
        </w:rPr>
      </w:pPr>
      <w:r>
        <w:rPr>
          <w:rFonts w:cs="Arial"/>
        </w:rPr>
        <w:t>Consider</w:t>
      </w:r>
      <w:r w:rsidR="00955254">
        <w:rPr>
          <w:rFonts w:cs="Arial"/>
        </w:rPr>
        <w:t xml:space="preserve"> </w:t>
      </w:r>
      <w:r w:rsidR="003B2FDE">
        <w:rPr>
          <w:rFonts w:cs="Arial"/>
        </w:rPr>
        <w:t xml:space="preserve">further </w:t>
      </w:r>
      <w:r w:rsidR="00955254">
        <w:rPr>
          <w:rFonts w:cs="Arial"/>
        </w:rPr>
        <w:t>collaboration</w:t>
      </w:r>
      <w:r w:rsidR="00D92932">
        <w:rPr>
          <w:rFonts w:cs="Arial"/>
        </w:rPr>
        <w:t>, including</w:t>
      </w:r>
      <w:r w:rsidR="003B2FDE">
        <w:rPr>
          <w:rFonts w:cs="Arial"/>
        </w:rPr>
        <w:t xml:space="preserve"> work-sharing</w:t>
      </w:r>
      <w:r w:rsidR="00D92932">
        <w:rPr>
          <w:rFonts w:cs="Arial"/>
        </w:rPr>
        <w:t>,</w:t>
      </w:r>
      <w:r w:rsidR="003B2FDE">
        <w:rPr>
          <w:rFonts w:cs="Arial"/>
        </w:rPr>
        <w:t xml:space="preserve"> </w:t>
      </w:r>
      <w:r w:rsidR="00955254">
        <w:rPr>
          <w:rFonts w:cs="Arial"/>
        </w:rPr>
        <w:t>on g</w:t>
      </w:r>
      <w:r w:rsidR="00630DA9" w:rsidRPr="00FD6D03">
        <w:rPr>
          <w:rFonts w:cs="Arial"/>
        </w:rPr>
        <w:t>lobal</w:t>
      </w:r>
      <w:r w:rsidR="002346E6">
        <w:rPr>
          <w:rFonts w:cs="Arial"/>
        </w:rPr>
        <w:t xml:space="preserve"> </w:t>
      </w:r>
      <w:r w:rsidR="00E6115B">
        <w:rPr>
          <w:rFonts w:cs="Arial"/>
        </w:rPr>
        <w:t>Good Practice (</w:t>
      </w:r>
      <w:proofErr w:type="spellStart"/>
      <w:r w:rsidR="002346E6">
        <w:rPr>
          <w:rFonts w:cs="Arial"/>
        </w:rPr>
        <w:t>GxP</w:t>
      </w:r>
      <w:proofErr w:type="spellEnd"/>
      <w:r w:rsidR="00E6115B">
        <w:rPr>
          <w:rFonts w:cs="Arial"/>
        </w:rPr>
        <w:t>)</w:t>
      </w:r>
      <w:r w:rsidR="00630DA9" w:rsidRPr="00FD6D03">
        <w:rPr>
          <w:rFonts w:cs="Arial"/>
        </w:rPr>
        <w:t xml:space="preserve"> </w:t>
      </w:r>
      <w:r w:rsidR="00051131" w:rsidRPr="00FD6D03">
        <w:rPr>
          <w:rFonts w:cs="Arial"/>
        </w:rPr>
        <w:t>i</w:t>
      </w:r>
      <w:r w:rsidR="00373F34">
        <w:rPr>
          <w:rFonts w:cs="Arial"/>
        </w:rPr>
        <w:t>nspections</w:t>
      </w:r>
      <w:r w:rsidR="00A04409">
        <w:rPr>
          <w:rFonts w:cs="Arial"/>
        </w:rPr>
        <w:t xml:space="preserve"> </w:t>
      </w:r>
      <w:r w:rsidR="00E57ABF">
        <w:rPr>
          <w:rFonts w:cs="Arial"/>
        </w:rPr>
        <w:t>complementary to</w:t>
      </w:r>
      <w:r w:rsidR="00715352">
        <w:rPr>
          <w:rFonts w:cs="Arial"/>
        </w:rPr>
        <w:t xml:space="preserve"> existing international initiatives  </w:t>
      </w:r>
    </w:p>
    <w:p w14:paraId="475CE975" w14:textId="77777777" w:rsidR="009F0ADE" w:rsidRPr="007A7F75" w:rsidRDefault="009F0ADE" w:rsidP="009F0ADE">
      <w:pPr>
        <w:pStyle w:val="ListParagraph"/>
        <w:jc w:val="left"/>
        <w:rPr>
          <w:lang w:val="en-US"/>
        </w:rPr>
      </w:pPr>
    </w:p>
    <w:p w14:paraId="2AA4FFD2" w14:textId="489B0471" w:rsidR="00F542DA" w:rsidRDefault="00051131" w:rsidP="00F542DA">
      <w:pPr>
        <w:pStyle w:val="Heading2"/>
        <w:rPr>
          <w:lang w:val="en-US"/>
        </w:rPr>
      </w:pPr>
      <w:r w:rsidRPr="009B6DE7">
        <w:rPr>
          <w:lang w:val="en-US"/>
        </w:rPr>
        <w:t xml:space="preserve">Regulatory </w:t>
      </w:r>
      <w:r w:rsidR="00F66F1E" w:rsidRPr="009B6DE7">
        <w:rPr>
          <w:lang w:val="en-US"/>
        </w:rPr>
        <w:t>i</w:t>
      </w:r>
      <w:r w:rsidRPr="009B6DE7">
        <w:rPr>
          <w:lang w:val="en-US"/>
        </w:rPr>
        <w:t xml:space="preserve">nnovation </w:t>
      </w:r>
      <w:r w:rsidR="00F66F1E" w:rsidRPr="009B6DE7">
        <w:rPr>
          <w:lang w:val="en-US"/>
        </w:rPr>
        <w:t>that integrates</w:t>
      </w:r>
      <w:r w:rsidR="009F4BBB" w:rsidRPr="009B6DE7">
        <w:rPr>
          <w:lang w:val="en-US"/>
        </w:rPr>
        <w:t xml:space="preserve"> </w:t>
      </w:r>
      <w:r w:rsidR="00F66F1E" w:rsidRPr="009B6DE7">
        <w:rPr>
          <w:lang w:val="en-US"/>
        </w:rPr>
        <w:t>a</w:t>
      </w:r>
      <w:r w:rsidR="00EB6951" w:rsidRPr="009B6DE7">
        <w:rPr>
          <w:lang w:val="en-US"/>
        </w:rPr>
        <w:t xml:space="preserve"> h</w:t>
      </w:r>
      <w:r w:rsidR="00F542DA" w:rsidRPr="009B6DE7">
        <w:rPr>
          <w:lang w:val="en-US"/>
        </w:rPr>
        <w:t>ealthcare systems approach</w:t>
      </w:r>
      <w:r w:rsidR="00FD6D03">
        <w:rPr>
          <w:lang w:val="en-US"/>
        </w:rPr>
        <w:t xml:space="preserve"> </w:t>
      </w:r>
    </w:p>
    <w:p w14:paraId="7DD800BA" w14:textId="68993DC6" w:rsidR="003870CC" w:rsidRPr="003870CC" w:rsidRDefault="0055463B" w:rsidP="00BD6AB8">
      <w:pPr>
        <w:rPr>
          <w:lang w:val="en-US"/>
        </w:rPr>
      </w:pPr>
      <w:r>
        <w:rPr>
          <w:lang w:val="en-US"/>
        </w:rPr>
        <w:t>Increasing regulatory capa</w:t>
      </w:r>
      <w:r w:rsidR="0042582C">
        <w:rPr>
          <w:lang w:val="en-US"/>
        </w:rPr>
        <w:t>city</w:t>
      </w:r>
      <w:r>
        <w:rPr>
          <w:lang w:val="en-US"/>
        </w:rPr>
        <w:t xml:space="preserve"> while c</w:t>
      </w:r>
      <w:r w:rsidR="00CE7C5E">
        <w:rPr>
          <w:lang w:val="en-US"/>
        </w:rPr>
        <w:t>ollaborat</w:t>
      </w:r>
      <w:r w:rsidR="00F66F1E">
        <w:rPr>
          <w:lang w:val="en-US"/>
        </w:rPr>
        <w:t xml:space="preserve">ing with key </w:t>
      </w:r>
      <w:r w:rsidR="008D459B">
        <w:rPr>
          <w:lang w:val="en-US"/>
        </w:rPr>
        <w:t xml:space="preserve">national </w:t>
      </w:r>
      <w:r w:rsidR="003870CC">
        <w:rPr>
          <w:lang w:val="en-US"/>
        </w:rPr>
        <w:t xml:space="preserve">healthcare systems </w:t>
      </w:r>
      <w:r w:rsidR="00F66F1E">
        <w:rPr>
          <w:lang w:val="en-US"/>
        </w:rPr>
        <w:t>partners to facilitate uptake of</w:t>
      </w:r>
      <w:r>
        <w:rPr>
          <w:lang w:val="en-US"/>
        </w:rPr>
        <w:t xml:space="preserve"> innovative</w:t>
      </w:r>
      <w:r w:rsidR="003870CC">
        <w:rPr>
          <w:lang w:val="en-US"/>
        </w:rPr>
        <w:t xml:space="preserve"> health </w:t>
      </w:r>
      <w:r w:rsidR="00CB0E47">
        <w:rPr>
          <w:lang w:val="en-US"/>
        </w:rPr>
        <w:t>products</w:t>
      </w:r>
      <w:r w:rsidR="00F66F1E">
        <w:rPr>
          <w:lang w:val="en-US"/>
        </w:rPr>
        <w:t>:</w:t>
      </w:r>
    </w:p>
    <w:p w14:paraId="0B2EF7D3" w14:textId="11C4F1D3" w:rsidR="00E63F92" w:rsidRDefault="008D459B" w:rsidP="00BD6AB8">
      <w:pPr>
        <w:pStyle w:val="ListParagraph"/>
        <w:numPr>
          <w:ilvl w:val="0"/>
          <w:numId w:val="11"/>
        </w:numPr>
        <w:jc w:val="left"/>
        <w:rPr>
          <w:lang w:val="en-US"/>
        </w:rPr>
      </w:pPr>
      <w:r>
        <w:rPr>
          <w:lang w:val="en-US"/>
        </w:rPr>
        <w:t>Strengthen and leverag</w:t>
      </w:r>
      <w:r w:rsidR="00C56444">
        <w:rPr>
          <w:lang w:val="en-US"/>
        </w:rPr>
        <w:t>e</w:t>
      </w:r>
      <w:r>
        <w:rPr>
          <w:lang w:val="en-US"/>
        </w:rPr>
        <w:t xml:space="preserve"> </w:t>
      </w:r>
      <w:r w:rsidR="0055463B">
        <w:rPr>
          <w:lang w:val="en-US"/>
        </w:rPr>
        <w:t xml:space="preserve">regulatory scientific capacity </w:t>
      </w:r>
      <w:r w:rsidR="00BD6AB8">
        <w:rPr>
          <w:lang w:val="en-US"/>
        </w:rPr>
        <w:t xml:space="preserve">within Access </w:t>
      </w:r>
      <w:r w:rsidR="0055463B">
        <w:rPr>
          <w:lang w:val="en-US"/>
        </w:rPr>
        <w:t>for emerging technologies and innovative products</w:t>
      </w:r>
    </w:p>
    <w:p w14:paraId="28DBB5F0" w14:textId="32F618D3" w:rsidR="00FD1F9C" w:rsidRPr="00FD6D03" w:rsidRDefault="00FD1F9C" w:rsidP="00BD6AB8">
      <w:pPr>
        <w:pStyle w:val="ListParagraph"/>
        <w:numPr>
          <w:ilvl w:val="0"/>
          <w:numId w:val="11"/>
        </w:numPr>
        <w:jc w:val="left"/>
        <w:rPr>
          <w:lang w:val="en-US"/>
        </w:rPr>
      </w:pPr>
      <w:r>
        <w:rPr>
          <w:lang w:val="en-US"/>
        </w:rPr>
        <w:t xml:space="preserve">Explore collaboration </w:t>
      </w:r>
      <w:r w:rsidRPr="00204F7F">
        <w:rPr>
          <w:lang w:val="en-US"/>
        </w:rPr>
        <w:t xml:space="preserve">with </w:t>
      </w:r>
      <w:r w:rsidR="008D459B">
        <w:rPr>
          <w:lang w:val="en-US"/>
        </w:rPr>
        <w:t xml:space="preserve">national </w:t>
      </w:r>
      <w:r w:rsidRPr="00204F7F">
        <w:rPr>
          <w:lang w:val="en-US"/>
        </w:rPr>
        <w:t>health technology assessment organizations (and similar)</w:t>
      </w:r>
      <w:r>
        <w:rPr>
          <w:lang w:val="en-US"/>
        </w:rPr>
        <w:t xml:space="preserve"> </w:t>
      </w:r>
    </w:p>
    <w:p w14:paraId="5E357738" w14:textId="13E7AC55" w:rsidR="00B11155" w:rsidRPr="00B11155" w:rsidRDefault="00B11155" w:rsidP="00514796">
      <w:pPr>
        <w:pStyle w:val="ListParagraph"/>
        <w:numPr>
          <w:ilvl w:val="0"/>
          <w:numId w:val="11"/>
        </w:numPr>
        <w:jc w:val="left"/>
        <w:rPr>
          <w:lang w:val="en-US"/>
        </w:rPr>
      </w:pPr>
      <w:r w:rsidRPr="00B11155">
        <w:rPr>
          <w:lang w:val="en-US"/>
        </w:rPr>
        <w:t>Explo</w:t>
      </w:r>
      <w:r w:rsidR="00BF11C1">
        <w:rPr>
          <w:lang w:val="en-US"/>
        </w:rPr>
        <w:t>re</w:t>
      </w:r>
      <w:r w:rsidRPr="00B11155">
        <w:rPr>
          <w:lang w:val="en-US"/>
        </w:rPr>
        <w:t xml:space="preserve"> </w:t>
      </w:r>
      <w:r w:rsidR="009F4001">
        <w:rPr>
          <w:lang w:val="en-US"/>
        </w:rPr>
        <w:t>a</w:t>
      </w:r>
      <w:r w:rsidR="00BF11C1">
        <w:rPr>
          <w:lang w:val="en-US"/>
        </w:rPr>
        <w:t xml:space="preserve"> </w:t>
      </w:r>
      <w:r w:rsidRPr="00B11155">
        <w:rPr>
          <w:lang w:val="en-US"/>
        </w:rPr>
        <w:t xml:space="preserve">more collaborative </w:t>
      </w:r>
      <w:r w:rsidR="008D459B">
        <w:rPr>
          <w:lang w:val="en-US"/>
        </w:rPr>
        <w:t xml:space="preserve">aligned </w:t>
      </w:r>
      <w:r w:rsidRPr="00B11155">
        <w:rPr>
          <w:lang w:val="en-US"/>
        </w:rPr>
        <w:t>“systems” approach to regul</w:t>
      </w:r>
      <w:r w:rsidR="002D504F">
        <w:rPr>
          <w:lang w:val="en-US"/>
        </w:rPr>
        <w:t>ating</w:t>
      </w:r>
      <w:r>
        <w:rPr>
          <w:lang w:val="en-US"/>
        </w:rPr>
        <w:t xml:space="preserve"> innovative products </w:t>
      </w:r>
      <w:r w:rsidRPr="00B11155">
        <w:rPr>
          <w:lang w:val="en-US"/>
        </w:rPr>
        <w:t>by:</w:t>
      </w:r>
    </w:p>
    <w:p w14:paraId="58A04452" w14:textId="4843C016" w:rsidR="00B11155" w:rsidRDefault="00B11155" w:rsidP="00514796">
      <w:pPr>
        <w:pStyle w:val="ListParagraph"/>
        <w:numPr>
          <w:ilvl w:val="1"/>
          <w:numId w:val="11"/>
        </w:numPr>
        <w:jc w:val="left"/>
        <w:rPr>
          <w:lang w:val="en-US"/>
        </w:rPr>
      </w:pPr>
      <w:r w:rsidRPr="00B11155">
        <w:rPr>
          <w:lang w:val="en-US"/>
        </w:rPr>
        <w:t>integrating</w:t>
      </w:r>
      <w:r w:rsidR="00F66F1E" w:rsidRPr="00B11155">
        <w:rPr>
          <w:lang w:val="en-US"/>
        </w:rPr>
        <w:t xml:space="preserve"> </w:t>
      </w:r>
      <w:r w:rsidR="008D459B">
        <w:rPr>
          <w:lang w:val="en-US"/>
        </w:rPr>
        <w:t xml:space="preserve">national </w:t>
      </w:r>
      <w:r w:rsidR="00F66F1E" w:rsidRPr="00B11155">
        <w:rPr>
          <w:lang w:val="en-US"/>
        </w:rPr>
        <w:t>healthcare system partners throughout the lifecycle of innovative products</w:t>
      </w:r>
      <w:r w:rsidRPr="00B11155">
        <w:rPr>
          <w:lang w:val="en-US"/>
        </w:rPr>
        <w:t>, and</w:t>
      </w:r>
    </w:p>
    <w:p w14:paraId="39B9C4B7" w14:textId="03B157DD" w:rsidR="00D57071" w:rsidRDefault="00B11155" w:rsidP="00514796">
      <w:pPr>
        <w:pStyle w:val="ListParagraph"/>
        <w:numPr>
          <w:ilvl w:val="1"/>
          <w:numId w:val="11"/>
        </w:numPr>
        <w:jc w:val="left"/>
        <w:rPr>
          <w:lang w:val="en-US"/>
        </w:rPr>
      </w:pPr>
      <w:r>
        <w:rPr>
          <w:lang w:val="en-US"/>
        </w:rPr>
        <w:t>fostering</w:t>
      </w:r>
      <w:r w:rsidR="00D57071">
        <w:rPr>
          <w:lang w:val="en-US"/>
        </w:rPr>
        <w:t xml:space="preserve"> links between healthcare system </w:t>
      </w:r>
      <w:r w:rsidR="00F66F1E">
        <w:rPr>
          <w:lang w:val="en-US"/>
        </w:rPr>
        <w:t>needs and regulatory oversight of innovative products</w:t>
      </w:r>
    </w:p>
    <w:p w14:paraId="747E9DA9" w14:textId="58079A4A" w:rsidR="00C5024B" w:rsidRPr="0055463B" w:rsidRDefault="00C5024B" w:rsidP="0055463B">
      <w:pPr>
        <w:pStyle w:val="ListParagraph"/>
        <w:jc w:val="left"/>
      </w:pPr>
    </w:p>
    <w:p w14:paraId="2CE5950E" w14:textId="35C86A1F" w:rsidR="00F542DA" w:rsidRDefault="00D57071" w:rsidP="00F542DA">
      <w:pPr>
        <w:pStyle w:val="Heading1"/>
        <w:rPr>
          <w:lang w:val="en-US"/>
        </w:rPr>
      </w:pPr>
      <w:r>
        <w:rPr>
          <w:lang w:val="en-US"/>
        </w:rPr>
        <w:t>Indicators</w:t>
      </w:r>
      <w:r w:rsidR="00F542DA">
        <w:rPr>
          <w:lang w:val="en-US"/>
        </w:rPr>
        <w:t xml:space="preserve"> of Success</w:t>
      </w:r>
    </w:p>
    <w:p w14:paraId="615302E7" w14:textId="25FE00B8" w:rsidR="005A1660" w:rsidRDefault="00682096" w:rsidP="00A313BF">
      <w:pPr>
        <w:rPr>
          <w:lang w:val="en-US"/>
        </w:rPr>
      </w:pPr>
      <w:r>
        <w:rPr>
          <w:lang w:val="en-US"/>
        </w:rPr>
        <w:t xml:space="preserve">The </w:t>
      </w:r>
      <w:r w:rsidR="005A1660">
        <w:rPr>
          <w:lang w:val="en-US"/>
        </w:rPr>
        <w:t>Access goal to be</w:t>
      </w:r>
      <w:r>
        <w:rPr>
          <w:lang w:val="en-US"/>
        </w:rPr>
        <w:t>come</w:t>
      </w:r>
      <w:r w:rsidR="005A1660">
        <w:rPr>
          <w:lang w:val="en-US"/>
        </w:rPr>
        <w:t xml:space="preserve"> regulators of choice</w:t>
      </w:r>
      <w:r>
        <w:rPr>
          <w:lang w:val="en-US"/>
        </w:rPr>
        <w:t xml:space="preserve"> will be measured by the following indicators of success:</w:t>
      </w:r>
      <w:r w:rsidR="005A1660">
        <w:rPr>
          <w:lang w:val="en-US"/>
        </w:rPr>
        <w:t xml:space="preserve"> </w:t>
      </w:r>
    </w:p>
    <w:p w14:paraId="5977AB35" w14:textId="082B25C3" w:rsidR="00E63F92" w:rsidRDefault="00726EBA" w:rsidP="00C8156C">
      <w:pPr>
        <w:pStyle w:val="ListParagraph"/>
        <w:numPr>
          <w:ilvl w:val="0"/>
          <w:numId w:val="12"/>
        </w:numPr>
        <w:jc w:val="left"/>
        <w:rPr>
          <w:lang w:val="en-US"/>
        </w:rPr>
      </w:pPr>
      <w:r>
        <w:rPr>
          <w:lang w:val="en-US"/>
        </w:rPr>
        <w:t>I</w:t>
      </w:r>
      <w:r w:rsidR="00E63F92">
        <w:rPr>
          <w:lang w:val="en-US"/>
        </w:rPr>
        <w:t xml:space="preserve">ncrease in applications </w:t>
      </w:r>
      <w:r w:rsidR="00682096">
        <w:rPr>
          <w:lang w:val="en-US"/>
        </w:rPr>
        <w:t>to Access at the same time or soon after</w:t>
      </w:r>
      <w:r w:rsidR="00E63F92">
        <w:rPr>
          <w:lang w:val="en-US"/>
        </w:rPr>
        <w:t xml:space="preserve"> </w:t>
      </w:r>
      <w:r w:rsidR="00C56444">
        <w:rPr>
          <w:lang w:val="en-US"/>
        </w:rPr>
        <w:t xml:space="preserve">being </w:t>
      </w:r>
      <w:r w:rsidR="008D459B">
        <w:rPr>
          <w:lang w:val="en-US"/>
        </w:rPr>
        <w:t xml:space="preserve">filed with </w:t>
      </w:r>
      <w:r w:rsidR="005A1660">
        <w:rPr>
          <w:lang w:val="en-US"/>
        </w:rPr>
        <w:t>other major medicines regulators</w:t>
      </w:r>
      <w:r w:rsidR="00682096">
        <w:rPr>
          <w:lang w:val="en-US"/>
        </w:rPr>
        <w:t xml:space="preserve"> </w:t>
      </w:r>
    </w:p>
    <w:p w14:paraId="443CDE3F" w14:textId="5E5C3B10" w:rsidR="00F542DA" w:rsidRDefault="00F542DA" w:rsidP="00C8156C">
      <w:pPr>
        <w:pStyle w:val="ListParagraph"/>
        <w:numPr>
          <w:ilvl w:val="0"/>
          <w:numId w:val="12"/>
        </w:numPr>
        <w:jc w:val="left"/>
        <w:rPr>
          <w:lang w:val="en-US"/>
        </w:rPr>
      </w:pPr>
      <w:r w:rsidRPr="00C8156C">
        <w:rPr>
          <w:lang w:val="en-US"/>
        </w:rPr>
        <w:t xml:space="preserve">Increase in number of </w:t>
      </w:r>
      <w:r w:rsidR="00C8156C">
        <w:rPr>
          <w:lang w:val="en-US"/>
        </w:rPr>
        <w:t>products made available to patients</w:t>
      </w:r>
      <w:r w:rsidRPr="00C8156C">
        <w:rPr>
          <w:lang w:val="en-US"/>
        </w:rPr>
        <w:t xml:space="preserve"> v</w:t>
      </w:r>
      <w:r w:rsidR="00EB6900">
        <w:rPr>
          <w:lang w:val="en-US"/>
        </w:rPr>
        <w:t>ia Access</w:t>
      </w:r>
      <w:r w:rsidR="009E5AAA">
        <w:rPr>
          <w:lang w:val="en-US"/>
        </w:rPr>
        <w:t xml:space="preserve"> </w:t>
      </w:r>
      <w:r w:rsidR="00C8156C">
        <w:rPr>
          <w:lang w:val="en-US"/>
        </w:rPr>
        <w:t xml:space="preserve"> </w:t>
      </w:r>
    </w:p>
    <w:p w14:paraId="35D2B524" w14:textId="7348D591" w:rsidR="005B77A6" w:rsidRDefault="005B77A6" w:rsidP="005B77A6">
      <w:pPr>
        <w:pStyle w:val="ListParagraph"/>
        <w:numPr>
          <w:ilvl w:val="0"/>
          <w:numId w:val="12"/>
        </w:numPr>
        <w:jc w:val="left"/>
        <w:rPr>
          <w:lang w:val="en-US"/>
        </w:rPr>
      </w:pPr>
      <w:r>
        <w:rPr>
          <w:lang w:val="en-US"/>
        </w:rPr>
        <w:t>Increase in diversity of products assessed via Access</w:t>
      </w:r>
    </w:p>
    <w:p w14:paraId="41405B56" w14:textId="66C2739B" w:rsidR="00E63F92" w:rsidRDefault="00EB6900" w:rsidP="00C8156C">
      <w:pPr>
        <w:pStyle w:val="ListParagraph"/>
        <w:numPr>
          <w:ilvl w:val="0"/>
          <w:numId w:val="12"/>
        </w:numPr>
        <w:jc w:val="left"/>
        <w:rPr>
          <w:lang w:val="en-US"/>
        </w:rPr>
      </w:pPr>
      <w:r>
        <w:rPr>
          <w:lang w:val="en-US"/>
        </w:rPr>
        <w:t>Decrease in</w:t>
      </w:r>
      <w:r w:rsidR="00C8156C">
        <w:rPr>
          <w:lang w:val="en-US"/>
        </w:rPr>
        <w:t xml:space="preserve"> average time to market </w:t>
      </w:r>
      <w:r w:rsidR="00955254">
        <w:rPr>
          <w:lang w:val="en-US"/>
        </w:rPr>
        <w:t>for</w:t>
      </w:r>
      <w:r w:rsidR="008454C8">
        <w:rPr>
          <w:lang w:val="en-US"/>
        </w:rPr>
        <w:t xml:space="preserve"> products assessed under Access</w:t>
      </w:r>
    </w:p>
    <w:p w14:paraId="70A7FCC4" w14:textId="491D077E" w:rsidR="00C8156C" w:rsidRDefault="00E63F92" w:rsidP="00C8156C">
      <w:pPr>
        <w:pStyle w:val="ListParagraph"/>
        <w:numPr>
          <w:ilvl w:val="0"/>
          <w:numId w:val="12"/>
        </w:numPr>
        <w:jc w:val="left"/>
        <w:rPr>
          <w:lang w:val="en-US"/>
        </w:rPr>
      </w:pPr>
      <w:r>
        <w:rPr>
          <w:lang w:val="en-US"/>
        </w:rPr>
        <w:t xml:space="preserve">Reduced effort </w:t>
      </w:r>
      <w:r w:rsidR="008D459B">
        <w:rPr>
          <w:lang w:val="en-US"/>
        </w:rPr>
        <w:t xml:space="preserve">and duplication </w:t>
      </w:r>
      <w:r>
        <w:rPr>
          <w:lang w:val="en-US"/>
        </w:rPr>
        <w:t>for both regulators and industry</w:t>
      </w:r>
      <w:r w:rsidR="00955254">
        <w:rPr>
          <w:lang w:val="en-US"/>
        </w:rPr>
        <w:t xml:space="preserve"> </w:t>
      </w:r>
    </w:p>
    <w:p w14:paraId="5BABBAD2" w14:textId="396F696F" w:rsidR="00F66F1E" w:rsidRPr="0039435F" w:rsidRDefault="00F66F1E" w:rsidP="00F66F1E">
      <w:pPr>
        <w:pStyle w:val="ListParagraph"/>
        <w:numPr>
          <w:ilvl w:val="0"/>
          <w:numId w:val="12"/>
        </w:numPr>
        <w:jc w:val="left"/>
        <w:rPr>
          <w:lang w:val="en-US"/>
        </w:rPr>
      </w:pPr>
      <w:r>
        <w:rPr>
          <w:lang w:val="en-US"/>
        </w:rPr>
        <w:t>Increase</w:t>
      </w:r>
      <w:r w:rsidR="009F4001">
        <w:rPr>
          <w:lang w:val="en-US"/>
        </w:rPr>
        <w:t>d</w:t>
      </w:r>
      <w:r>
        <w:rPr>
          <w:lang w:val="en-US"/>
        </w:rPr>
        <w:t xml:space="preserve"> </w:t>
      </w:r>
      <w:r w:rsidR="00502929">
        <w:rPr>
          <w:lang w:val="en-US"/>
        </w:rPr>
        <w:t xml:space="preserve">collaboration on </w:t>
      </w:r>
      <w:r w:rsidR="009F4001">
        <w:rPr>
          <w:lang w:val="en-US"/>
        </w:rPr>
        <w:t xml:space="preserve">the </w:t>
      </w:r>
      <w:r w:rsidR="00502929">
        <w:rPr>
          <w:lang w:val="en-US"/>
        </w:rPr>
        <w:t>align</w:t>
      </w:r>
      <w:r w:rsidR="009F4001">
        <w:rPr>
          <w:lang w:val="en-US"/>
        </w:rPr>
        <w:t>ment</w:t>
      </w:r>
      <w:r>
        <w:rPr>
          <w:lang w:val="en-US"/>
        </w:rPr>
        <w:t xml:space="preserve"> of products </w:t>
      </w:r>
      <w:r w:rsidR="00C56444">
        <w:rPr>
          <w:lang w:val="en-US"/>
        </w:rPr>
        <w:t xml:space="preserve">with healthcare system needs that are </w:t>
      </w:r>
      <w:r>
        <w:rPr>
          <w:lang w:val="en-US"/>
        </w:rPr>
        <w:t>made availa</w:t>
      </w:r>
      <w:r w:rsidR="0084209E">
        <w:rPr>
          <w:lang w:val="en-US"/>
        </w:rPr>
        <w:t>ble to patients via Access</w:t>
      </w:r>
    </w:p>
    <w:p w14:paraId="6F1DF962" w14:textId="44E70EF9" w:rsidR="005B77A6" w:rsidRDefault="005B77A6" w:rsidP="005B77A6">
      <w:pPr>
        <w:pStyle w:val="ListParagraph"/>
        <w:numPr>
          <w:ilvl w:val="0"/>
          <w:numId w:val="12"/>
        </w:numPr>
        <w:jc w:val="left"/>
        <w:rPr>
          <w:lang w:val="en-US"/>
        </w:rPr>
      </w:pPr>
      <w:r>
        <w:rPr>
          <w:lang w:val="en-US"/>
        </w:rPr>
        <w:t xml:space="preserve">Increased collaboration on global </w:t>
      </w:r>
      <w:proofErr w:type="spellStart"/>
      <w:r>
        <w:rPr>
          <w:lang w:val="en-US"/>
        </w:rPr>
        <w:t>GxP</w:t>
      </w:r>
      <w:proofErr w:type="spellEnd"/>
      <w:r>
        <w:rPr>
          <w:lang w:val="en-US"/>
        </w:rPr>
        <w:t xml:space="preserve"> inspections</w:t>
      </w:r>
    </w:p>
    <w:p w14:paraId="26707383" w14:textId="20C7D945" w:rsidR="00433BC6" w:rsidRPr="008454C8" w:rsidRDefault="00C8156C" w:rsidP="008454C8">
      <w:pPr>
        <w:pStyle w:val="ListParagraph"/>
        <w:numPr>
          <w:ilvl w:val="0"/>
          <w:numId w:val="12"/>
        </w:numPr>
        <w:jc w:val="left"/>
        <w:rPr>
          <w:lang w:val="en-US"/>
        </w:rPr>
      </w:pPr>
      <w:r>
        <w:rPr>
          <w:lang w:val="en-US"/>
        </w:rPr>
        <w:t xml:space="preserve">Increase in </w:t>
      </w:r>
      <w:r w:rsidR="00F66F1E">
        <w:rPr>
          <w:lang w:val="en-US"/>
        </w:rPr>
        <w:t xml:space="preserve">number of ICH </w:t>
      </w:r>
      <w:r>
        <w:rPr>
          <w:lang w:val="en-US"/>
        </w:rPr>
        <w:t>guid</w:t>
      </w:r>
      <w:r w:rsidR="00F66F1E">
        <w:rPr>
          <w:lang w:val="en-US"/>
        </w:rPr>
        <w:t xml:space="preserve">elines </w:t>
      </w:r>
      <w:r w:rsidR="00753E0C">
        <w:rPr>
          <w:lang w:val="en-US"/>
        </w:rPr>
        <w:t xml:space="preserve">implemented </w:t>
      </w:r>
      <w:r w:rsidR="00F66F1E">
        <w:rPr>
          <w:lang w:val="en-US"/>
        </w:rPr>
        <w:t>through Access</w:t>
      </w:r>
      <w:r>
        <w:rPr>
          <w:lang w:val="en-US"/>
        </w:rPr>
        <w:t xml:space="preserve"> collaboration </w:t>
      </w:r>
    </w:p>
    <w:sectPr w:rsidR="00433BC6" w:rsidRPr="008454C8" w:rsidSect="00705468">
      <w:headerReference w:type="default" r:id="rId9"/>
      <w:footerReference w:type="default" r:id="rId10"/>
      <w:pgSz w:w="12240" w:h="15840"/>
      <w:pgMar w:top="284" w:right="1440" w:bottom="1440" w:left="1440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6FF86" w16cex:dateUtc="2021-04-06T14:40:00Z"/>
  <w16cex:commentExtensible w16cex:durableId="2417FF79" w16cex:dateUtc="2021-04-07T08:52:00Z"/>
  <w16cex:commentExtensible w16cex:durableId="24180022" w16cex:dateUtc="2021-04-07T08:55:00Z"/>
  <w16cex:commentExtensible w16cex:durableId="2416FCF8" w16cex:dateUtc="2021-04-06T14:30:00Z"/>
  <w16cex:commentExtensible w16cex:durableId="2416E85D" w16cex:dateUtc="2021-04-06T13:02:00Z"/>
  <w16cex:commentExtensible w16cex:durableId="2416FD17" w16cex:dateUtc="2021-04-06T14:30:00Z"/>
  <w16cex:commentExtensible w16cex:durableId="24172A98" w16cex:dateUtc="2021-04-06T17:44:00Z"/>
  <w16cex:commentExtensible w16cex:durableId="241800C0" w16cex:dateUtc="2021-04-07T08:58:00Z"/>
  <w16cex:commentExtensible w16cex:durableId="2416E7E4" w16cex:dateUtc="2021-04-06T13:00:00Z"/>
  <w16cex:commentExtensible w16cex:durableId="24170D51" w16cex:dateUtc="2021-04-06T15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E3691F" w16cid:durableId="2416FF86"/>
  <w16cid:commentId w16cid:paraId="161C2421" w16cid:durableId="2417FF79"/>
  <w16cid:commentId w16cid:paraId="3D196C52" w16cid:durableId="24180022"/>
  <w16cid:commentId w16cid:paraId="596155C4" w16cid:durableId="2416FCF8"/>
  <w16cid:commentId w16cid:paraId="5175AABF" w16cid:durableId="2416E85D"/>
  <w16cid:commentId w16cid:paraId="682A3B4F" w16cid:durableId="2416FD17"/>
  <w16cid:commentId w16cid:paraId="488294D9" w16cid:durableId="24172A98"/>
  <w16cid:commentId w16cid:paraId="1490209F" w16cid:durableId="241800C0"/>
  <w16cid:commentId w16cid:paraId="364DE254" w16cid:durableId="2416E7E4"/>
  <w16cid:commentId w16cid:paraId="3C9F352B" w16cid:durableId="24170D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49A9E" w14:textId="77777777" w:rsidR="00457B01" w:rsidRDefault="00457B01" w:rsidP="00615F1A">
      <w:pPr>
        <w:spacing w:after="0" w:line="240" w:lineRule="auto"/>
      </w:pPr>
      <w:r>
        <w:separator/>
      </w:r>
    </w:p>
  </w:endnote>
  <w:endnote w:type="continuationSeparator" w:id="0">
    <w:p w14:paraId="7DD03DB6" w14:textId="77777777" w:rsidR="00457B01" w:rsidRDefault="00457B01" w:rsidP="00615F1A">
      <w:pPr>
        <w:spacing w:after="0" w:line="240" w:lineRule="auto"/>
      </w:pPr>
      <w:r>
        <w:continuationSeparator/>
      </w:r>
    </w:p>
  </w:endnote>
  <w:endnote w:type="continuationNotice" w:id="1">
    <w:p w14:paraId="79C48442" w14:textId="77777777" w:rsidR="00457B01" w:rsidRDefault="00457B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Medium ITC">
    <w:altName w:val="Lucida Sans Unicode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Helvetica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0133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2EA994" w14:textId="17FB2CC8" w:rsidR="00615F1A" w:rsidRDefault="00615F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32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72C595A" w14:textId="77777777" w:rsidR="00615F1A" w:rsidRDefault="00615F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F2AAF" w14:textId="77777777" w:rsidR="00457B01" w:rsidRDefault="00457B01" w:rsidP="00615F1A">
      <w:pPr>
        <w:spacing w:after="0" w:line="240" w:lineRule="auto"/>
      </w:pPr>
      <w:r>
        <w:separator/>
      </w:r>
    </w:p>
  </w:footnote>
  <w:footnote w:type="continuationSeparator" w:id="0">
    <w:p w14:paraId="39D8A3AA" w14:textId="77777777" w:rsidR="00457B01" w:rsidRDefault="00457B01" w:rsidP="00615F1A">
      <w:pPr>
        <w:spacing w:after="0" w:line="240" w:lineRule="auto"/>
      </w:pPr>
      <w:r>
        <w:continuationSeparator/>
      </w:r>
    </w:p>
  </w:footnote>
  <w:footnote w:type="continuationNotice" w:id="1">
    <w:p w14:paraId="20ED9FF6" w14:textId="77777777" w:rsidR="00457B01" w:rsidRDefault="00457B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0A6FD" w14:textId="793C19C0" w:rsidR="00465E29" w:rsidRDefault="00465E29" w:rsidP="00465E29">
    <w:pPr>
      <w:pStyle w:val="Header"/>
      <w:tabs>
        <w:tab w:val="right" w:pos="13721"/>
      </w:tabs>
      <w:spacing w:after="120"/>
      <w:jc w:val="right"/>
      <w:rPr>
        <w:b/>
        <w:sz w:val="20"/>
        <w:szCs w:val="20"/>
        <w:lang w:val="en-GB"/>
      </w:rPr>
    </w:pPr>
    <w:r>
      <w:rPr>
        <w:b/>
        <w:noProof/>
        <w:sz w:val="20"/>
        <w:szCs w:val="20"/>
        <w:lang w:val="en-AU" w:eastAsia="en-AU"/>
      </w:rPr>
      <w:drawing>
        <wp:anchor distT="0" distB="0" distL="114300" distR="114300" simplePos="0" relativeHeight="251658240" behindDoc="1" locked="0" layoutInCell="1" allowOverlap="1" wp14:anchorId="59C398C3" wp14:editId="1783AE1F">
          <wp:simplePos x="0" y="0"/>
          <wp:positionH relativeFrom="column">
            <wp:posOffset>-68580</wp:posOffset>
          </wp:positionH>
          <wp:positionV relativeFrom="paragraph">
            <wp:posOffset>19685</wp:posOffset>
          </wp:positionV>
          <wp:extent cx="1017905" cy="621665"/>
          <wp:effectExtent l="0" t="0" r="0" b="698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BAB23F8" w14:textId="2D4CE00D" w:rsidR="004B7153" w:rsidRDefault="00465E29" w:rsidP="00465E29">
    <w:pPr>
      <w:pStyle w:val="Header"/>
      <w:tabs>
        <w:tab w:val="right" w:pos="13721"/>
      </w:tabs>
      <w:spacing w:after="120"/>
      <w:jc w:val="right"/>
      <w:rPr>
        <w:b/>
        <w:sz w:val="20"/>
        <w:szCs w:val="20"/>
        <w:lang w:val="en-GB"/>
      </w:rPr>
    </w:pPr>
    <w:r>
      <w:rPr>
        <w:b/>
        <w:sz w:val="20"/>
        <w:szCs w:val="20"/>
        <w:lang w:val="en-GB"/>
      </w:rPr>
      <w:t>Access Consortium Strategic Plan 2021</w:t>
    </w:r>
    <w:r w:rsidRPr="004B7153">
      <w:rPr>
        <w:b/>
        <w:sz w:val="20"/>
        <w:szCs w:val="20"/>
        <w:lang w:val="en-GB"/>
      </w:rPr>
      <w:t>-202</w:t>
    </w:r>
    <w:r>
      <w:rPr>
        <w:b/>
        <w:sz w:val="20"/>
        <w:szCs w:val="20"/>
        <w:lang w:val="en-GB"/>
      </w:rPr>
      <w:t>4</w:t>
    </w:r>
  </w:p>
  <w:p w14:paraId="54C0257E" w14:textId="4C82F46E" w:rsidR="00465E29" w:rsidRPr="004B7153" w:rsidRDefault="00465E29" w:rsidP="00465E29">
    <w:pPr>
      <w:pStyle w:val="Header"/>
      <w:tabs>
        <w:tab w:val="right" w:pos="13721"/>
      </w:tabs>
      <w:spacing w:after="120"/>
      <w:rPr>
        <w:b/>
        <w:sz w:val="20"/>
        <w:szCs w:val="20"/>
      </w:rPr>
    </w:pPr>
    <w:r>
      <w:rPr>
        <w:b/>
        <w:sz w:val="20"/>
        <w:szCs w:val="20"/>
      </w:rP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34B6"/>
    <w:multiLevelType w:val="hybridMultilevel"/>
    <w:tmpl w:val="32CC4612"/>
    <w:lvl w:ilvl="0" w:tplc="819C9E0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2AB8"/>
    <w:multiLevelType w:val="hybridMultilevel"/>
    <w:tmpl w:val="27AAF8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D5844"/>
    <w:multiLevelType w:val="hybridMultilevel"/>
    <w:tmpl w:val="D4E887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17182"/>
    <w:multiLevelType w:val="hybridMultilevel"/>
    <w:tmpl w:val="7BF858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40544"/>
    <w:multiLevelType w:val="hybridMultilevel"/>
    <w:tmpl w:val="786E98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F5A13"/>
    <w:multiLevelType w:val="hybridMultilevel"/>
    <w:tmpl w:val="B4F469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0281E"/>
    <w:multiLevelType w:val="hybridMultilevel"/>
    <w:tmpl w:val="C1DCAF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13CE8"/>
    <w:multiLevelType w:val="hybridMultilevel"/>
    <w:tmpl w:val="91C6C4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6C5B74"/>
    <w:multiLevelType w:val="multilevel"/>
    <w:tmpl w:val="890E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135424"/>
    <w:multiLevelType w:val="hybridMultilevel"/>
    <w:tmpl w:val="842297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528DE"/>
    <w:multiLevelType w:val="hybridMultilevel"/>
    <w:tmpl w:val="32B480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75D87"/>
    <w:multiLevelType w:val="hybridMultilevel"/>
    <w:tmpl w:val="FE10598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A096E"/>
    <w:multiLevelType w:val="hybridMultilevel"/>
    <w:tmpl w:val="EF8ECF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C297C"/>
    <w:multiLevelType w:val="hybridMultilevel"/>
    <w:tmpl w:val="8508EA52"/>
    <w:lvl w:ilvl="0" w:tplc="7332A60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669CF"/>
    <w:multiLevelType w:val="hybridMultilevel"/>
    <w:tmpl w:val="BDC827CC"/>
    <w:lvl w:ilvl="0" w:tplc="DD1894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737A0"/>
    <w:multiLevelType w:val="hybridMultilevel"/>
    <w:tmpl w:val="38ACA4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2"/>
  </w:num>
  <w:num w:numId="5">
    <w:abstractNumId w:val="12"/>
  </w:num>
  <w:num w:numId="6">
    <w:abstractNumId w:val="13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  <w:num w:numId="11">
    <w:abstractNumId w:val="5"/>
  </w:num>
  <w:num w:numId="12">
    <w:abstractNumId w:val="7"/>
  </w:num>
  <w:num w:numId="13">
    <w:abstractNumId w:val="9"/>
  </w:num>
  <w:num w:numId="14">
    <w:abstractNumId w:val="4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1A"/>
    <w:rsid w:val="00001476"/>
    <w:rsid w:val="00006FF4"/>
    <w:rsid w:val="00024F61"/>
    <w:rsid w:val="00026329"/>
    <w:rsid w:val="0003207C"/>
    <w:rsid w:val="00040E4B"/>
    <w:rsid w:val="00051131"/>
    <w:rsid w:val="00054764"/>
    <w:rsid w:val="00056568"/>
    <w:rsid w:val="0006493C"/>
    <w:rsid w:val="00070B33"/>
    <w:rsid w:val="00074341"/>
    <w:rsid w:val="000833F5"/>
    <w:rsid w:val="00087D52"/>
    <w:rsid w:val="00095C5B"/>
    <w:rsid w:val="000A7FE4"/>
    <w:rsid w:val="000B5DDD"/>
    <w:rsid w:val="000C229D"/>
    <w:rsid w:val="000D14CE"/>
    <w:rsid w:val="000D3378"/>
    <w:rsid w:val="000E01B5"/>
    <w:rsid w:val="000E3096"/>
    <w:rsid w:val="000E4B73"/>
    <w:rsid w:val="000F3657"/>
    <w:rsid w:val="000F3C61"/>
    <w:rsid w:val="00101018"/>
    <w:rsid w:val="00115963"/>
    <w:rsid w:val="00127B11"/>
    <w:rsid w:val="001340ED"/>
    <w:rsid w:val="00172D85"/>
    <w:rsid w:val="00184830"/>
    <w:rsid w:val="001A7896"/>
    <w:rsid w:val="001B3D8E"/>
    <w:rsid w:val="001C0925"/>
    <w:rsid w:val="001C273F"/>
    <w:rsid w:val="001C649B"/>
    <w:rsid w:val="001D2B53"/>
    <w:rsid w:val="001D5799"/>
    <w:rsid w:val="001E2754"/>
    <w:rsid w:val="001F15AD"/>
    <w:rsid w:val="00200B36"/>
    <w:rsid w:val="00202E30"/>
    <w:rsid w:val="00203004"/>
    <w:rsid w:val="00204F7F"/>
    <w:rsid w:val="00210553"/>
    <w:rsid w:val="002156B4"/>
    <w:rsid w:val="0022410E"/>
    <w:rsid w:val="00233AE9"/>
    <w:rsid w:val="002346E6"/>
    <w:rsid w:val="00236718"/>
    <w:rsid w:val="00236901"/>
    <w:rsid w:val="002379EC"/>
    <w:rsid w:val="00242BB8"/>
    <w:rsid w:val="00256A64"/>
    <w:rsid w:val="00256DCA"/>
    <w:rsid w:val="0026571F"/>
    <w:rsid w:val="00270448"/>
    <w:rsid w:val="00274969"/>
    <w:rsid w:val="00284C26"/>
    <w:rsid w:val="00292CFC"/>
    <w:rsid w:val="002A5826"/>
    <w:rsid w:val="002B0153"/>
    <w:rsid w:val="002C0086"/>
    <w:rsid w:val="002C11CC"/>
    <w:rsid w:val="002C5384"/>
    <w:rsid w:val="002C597C"/>
    <w:rsid w:val="002C77FA"/>
    <w:rsid w:val="002D504F"/>
    <w:rsid w:val="002E0B67"/>
    <w:rsid w:val="002E5815"/>
    <w:rsid w:val="0030020B"/>
    <w:rsid w:val="003010A5"/>
    <w:rsid w:val="003176CB"/>
    <w:rsid w:val="00317F5E"/>
    <w:rsid w:val="0032064A"/>
    <w:rsid w:val="00323238"/>
    <w:rsid w:val="00326A0B"/>
    <w:rsid w:val="00326D05"/>
    <w:rsid w:val="00347381"/>
    <w:rsid w:val="00347F8A"/>
    <w:rsid w:val="00353447"/>
    <w:rsid w:val="00357B05"/>
    <w:rsid w:val="0037211E"/>
    <w:rsid w:val="00373F34"/>
    <w:rsid w:val="00375015"/>
    <w:rsid w:val="00375B81"/>
    <w:rsid w:val="00380D11"/>
    <w:rsid w:val="003870CC"/>
    <w:rsid w:val="0039116F"/>
    <w:rsid w:val="00393A80"/>
    <w:rsid w:val="0039435F"/>
    <w:rsid w:val="00395D5C"/>
    <w:rsid w:val="003966C2"/>
    <w:rsid w:val="003B2FDE"/>
    <w:rsid w:val="003B56C5"/>
    <w:rsid w:val="003B7AF1"/>
    <w:rsid w:val="003C2A7E"/>
    <w:rsid w:val="003C4DC8"/>
    <w:rsid w:val="003C7F6F"/>
    <w:rsid w:val="003D182D"/>
    <w:rsid w:val="003F184D"/>
    <w:rsid w:val="003F1ADC"/>
    <w:rsid w:val="004016B1"/>
    <w:rsid w:val="004055D1"/>
    <w:rsid w:val="004101D6"/>
    <w:rsid w:val="0042529D"/>
    <w:rsid w:val="0042582C"/>
    <w:rsid w:val="00433BC6"/>
    <w:rsid w:val="004371CD"/>
    <w:rsid w:val="00437AB3"/>
    <w:rsid w:val="004401CA"/>
    <w:rsid w:val="004450BB"/>
    <w:rsid w:val="00457B01"/>
    <w:rsid w:val="004642E6"/>
    <w:rsid w:val="00465E29"/>
    <w:rsid w:val="00473678"/>
    <w:rsid w:val="00473E09"/>
    <w:rsid w:val="00475E8B"/>
    <w:rsid w:val="0047691E"/>
    <w:rsid w:val="00487533"/>
    <w:rsid w:val="00490F7D"/>
    <w:rsid w:val="0049627C"/>
    <w:rsid w:val="004A146C"/>
    <w:rsid w:val="004A4562"/>
    <w:rsid w:val="004A4CBC"/>
    <w:rsid w:val="004A636A"/>
    <w:rsid w:val="004B1469"/>
    <w:rsid w:val="004B188D"/>
    <w:rsid w:val="004B2793"/>
    <w:rsid w:val="004B7153"/>
    <w:rsid w:val="004C0206"/>
    <w:rsid w:val="004C0717"/>
    <w:rsid w:val="004C3D7A"/>
    <w:rsid w:val="004C76EB"/>
    <w:rsid w:val="004D1683"/>
    <w:rsid w:val="004D19F4"/>
    <w:rsid w:val="004D32B2"/>
    <w:rsid w:val="004E4E18"/>
    <w:rsid w:val="004F2663"/>
    <w:rsid w:val="004F6F14"/>
    <w:rsid w:val="00502929"/>
    <w:rsid w:val="00504377"/>
    <w:rsid w:val="00504718"/>
    <w:rsid w:val="00504F3C"/>
    <w:rsid w:val="00513B43"/>
    <w:rsid w:val="00514796"/>
    <w:rsid w:val="005148A3"/>
    <w:rsid w:val="0052442E"/>
    <w:rsid w:val="00524A93"/>
    <w:rsid w:val="00533F22"/>
    <w:rsid w:val="0053438F"/>
    <w:rsid w:val="0054507D"/>
    <w:rsid w:val="0055463B"/>
    <w:rsid w:val="00557DBB"/>
    <w:rsid w:val="00566AF9"/>
    <w:rsid w:val="0058003C"/>
    <w:rsid w:val="00581EA5"/>
    <w:rsid w:val="0058216E"/>
    <w:rsid w:val="00586429"/>
    <w:rsid w:val="00586477"/>
    <w:rsid w:val="005A07D1"/>
    <w:rsid w:val="005A1660"/>
    <w:rsid w:val="005A2512"/>
    <w:rsid w:val="005B3DE0"/>
    <w:rsid w:val="005B77A6"/>
    <w:rsid w:val="005C1156"/>
    <w:rsid w:val="005C1242"/>
    <w:rsid w:val="005C5833"/>
    <w:rsid w:val="005D3370"/>
    <w:rsid w:val="005D741D"/>
    <w:rsid w:val="005F1BB1"/>
    <w:rsid w:val="00600126"/>
    <w:rsid w:val="00605D3A"/>
    <w:rsid w:val="006062EB"/>
    <w:rsid w:val="00607C13"/>
    <w:rsid w:val="00610940"/>
    <w:rsid w:val="00615F1A"/>
    <w:rsid w:val="00626593"/>
    <w:rsid w:val="00630DA9"/>
    <w:rsid w:val="006322D4"/>
    <w:rsid w:val="0063455E"/>
    <w:rsid w:val="00673E5F"/>
    <w:rsid w:val="00674A8C"/>
    <w:rsid w:val="00675219"/>
    <w:rsid w:val="00682096"/>
    <w:rsid w:val="006822F2"/>
    <w:rsid w:val="00684419"/>
    <w:rsid w:val="00686579"/>
    <w:rsid w:val="00687236"/>
    <w:rsid w:val="006927C3"/>
    <w:rsid w:val="00696ED2"/>
    <w:rsid w:val="006A6B91"/>
    <w:rsid w:val="006A6E0B"/>
    <w:rsid w:val="006B4806"/>
    <w:rsid w:val="006B6E59"/>
    <w:rsid w:val="006D681B"/>
    <w:rsid w:val="006D789D"/>
    <w:rsid w:val="006F1163"/>
    <w:rsid w:val="006F1FEC"/>
    <w:rsid w:val="006F4CB0"/>
    <w:rsid w:val="006F6E69"/>
    <w:rsid w:val="007034A6"/>
    <w:rsid w:val="00705468"/>
    <w:rsid w:val="00715352"/>
    <w:rsid w:val="00726EBA"/>
    <w:rsid w:val="007274FF"/>
    <w:rsid w:val="007313D7"/>
    <w:rsid w:val="00740F0F"/>
    <w:rsid w:val="0074100F"/>
    <w:rsid w:val="0074165B"/>
    <w:rsid w:val="00753E0C"/>
    <w:rsid w:val="00765106"/>
    <w:rsid w:val="00771EC9"/>
    <w:rsid w:val="00777D92"/>
    <w:rsid w:val="0078207E"/>
    <w:rsid w:val="00787FEE"/>
    <w:rsid w:val="00790756"/>
    <w:rsid w:val="007A7F75"/>
    <w:rsid w:val="007D0609"/>
    <w:rsid w:val="007D3A2A"/>
    <w:rsid w:val="007E5EE4"/>
    <w:rsid w:val="007F4EF8"/>
    <w:rsid w:val="007F5B07"/>
    <w:rsid w:val="008021D0"/>
    <w:rsid w:val="008028FD"/>
    <w:rsid w:val="00802974"/>
    <w:rsid w:val="008062D9"/>
    <w:rsid w:val="008104E2"/>
    <w:rsid w:val="00813205"/>
    <w:rsid w:val="0082065B"/>
    <w:rsid w:val="00830C69"/>
    <w:rsid w:val="0084209E"/>
    <w:rsid w:val="008454C8"/>
    <w:rsid w:val="00854829"/>
    <w:rsid w:val="00854D6F"/>
    <w:rsid w:val="00855363"/>
    <w:rsid w:val="00855904"/>
    <w:rsid w:val="008571F9"/>
    <w:rsid w:val="00871011"/>
    <w:rsid w:val="0087172B"/>
    <w:rsid w:val="00871DA3"/>
    <w:rsid w:val="00877205"/>
    <w:rsid w:val="00886ABF"/>
    <w:rsid w:val="00890990"/>
    <w:rsid w:val="00894599"/>
    <w:rsid w:val="0089461A"/>
    <w:rsid w:val="008A6167"/>
    <w:rsid w:val="008C0093"/>
    <w:rsid w:val="008C1B80"/>
    <w:rsid w:val="008C7084"/>
    <w:rsid w:val="008D1AC9"/>
    <w:rsid w:val="008D29C6"/>
    <w:rsid w:val="008D459B"/>
    <w:rsid w:val="008D4E4D"/>
    <w:rsid w:val="008D650D"/>
    <w:rsid w:val="008E032D"/>
    <w:rsid w:val="008E2B55"/>
    <w:rsid w:val="008E602C"/>
    <w:rsid w:val="009000B2"/>
    <w:rsid w:val="00900AE3"/>
    <w:rsid w:val="00904F44"/>
    <w:rsid w:val="00941B8C"/>
    <w:rsid w:val="00951E2B"/>
    <w:rsid w:val="00955254"/>
    <w:rsid w:val="009674D6"/>
    <w:rsid w:val="009705AF"/>
    <w:rsid w:val="009737D9"/>
    <w:rsid w:val="00990D39"/>
    <w:rsid w:val="00991036"/>
    <w:rsid w:val="009919AE"/>
    <w:rsid w:val="0099299A"/>
    <w:rsid w:val="009937E4"/>
    <w:rsid w:val="009939FE"/>
    <w:rsid w:val="009A3FF1"/>
    <w:rsid w:val="009A619A"/>
    <w:rsid w:val="009A6810"/>
    <w:rsid w:val="009B369D"/>
    <w:rsid w:val="009B6DE7"/>
    <w:rsid w:val="009C4573"/>
    <w:rsid w:val="009C5FA6"/>
    <w:rsid w:val="009E0ECA"/>
    <w:rsid w:val="009E56A3"/>
    <w:rsid w:val="009E5AAA"/>
    <w:rsid w:val="009F0ADE"/>
    <w:rsid w:val="009F10F9"/>
    <w:rsid w:val="009F136E"/>
    <w:rsid w:val="009F4001"/>
    <w:rsid w:val="009F4BBB"/>
    <w:rsid w:val="00A0257F"/>
    <w:rsid w:val="00A0302C"/>
    <w:rsid w:val="00A0328C"/>
    <w:rsid w:val="00A033F4"/>
    <w:rsid w:val="00A04409"/>
    <w:rsid w:val="00A0785D"/>
    <w:rsid w:val="00A13D44"/>
    <w:rsid w:val="00A14ADC"/>
    <w:rsid w:val="00A24C4A"/>
    <w:rsid w:val="00A26619"/>
    <w:rsid w:val="00A30562"/>
    <w:rsid w:val="00A313BF"/>
    <w:rsid w:val="00A40B21"/>
    <w:rsid w:val="00A4430F"/>
    <w:rsid w:val="00A471D6"/>
    <w:rsid w:val="00A5078C"/>
    <w:rsid w:val="00A50CBF"/>
    <w:rsid w:val="00A544C1"/>
    <w:rsid w:val="00A66799"/>
    <w:rsid w:val="00A9041D"/>
    <w:rsid w:val="00A94085"/>
    <w:rsid w:val="00A9718A"/>
    <w:rsid w:val="00A97CE2"/>
    <w:rsid w:val="00AA1406"/>
    <w:rsid w:val="00AA1475"/>
    <w:rsid w:val="00AB0325"/>
    <w:rsid w:val="00AB6059"/>
    <w:rsid w:val="00AB70BA"/>
    <w:rsid w:val="00AC32C1"/>
    <w:rsid w:val="00AE5021"/>
    <w:rsid w:val="00AF19FF"/>
    <w:rsid w:val="00B07769"/>
    <w:rsid w:val="00B11155"/>
    <w:rsid w:val="00B14EAF"/>
    <w:rsid w:val="00B171A5"/>
    <w:rsid w:val="00B22CC6"/>
    <w:rsid w:val="00B23B54"/>
    <w:rsid w:val="00B2498B"/>
    <w:rsid w:val="00B27B5F"/>
    <w:rsid w:val="00B4108D"/>
    <w:rsid w:val="00B5660D"/>
    <w:rsid w:val="00B64695"/>
    <w:rsid w:val="00B83F9B"/>
    <w:rsid w:val="00B87F95"/>
    <w:rsid w:val="00B929E8"/>
    <w:rsid w:val="00B95F87"/>
    <w:rsid w:val="00BA515C"/>
    <w:rsid w:val="00BB0456"/>
    <w:rsid w:val="00BB79FF"/>
    <w:rsid w:val="00BB7DC2"/>
    <w:rsid w:val="00BC179C"/>
    <w:rsid w:val="00BC1F3E"/>
    <w:rsid w:val="00BC4857"/>
    <w:rsid w:val="00BC712C"/>
    <w:rsid w:val="00BD2583"/>
    <w:rsid w:val="00BD437C"/>
    <w:rsid w:val="00BD6AB8"/>
    <w:rsid w:val="00BE5A15"/>
    <w:rsid w:val="00BF11C1"/>
    <w:rsid w:val="00C00A2C"/>
    <w:rsid w:val="00C02BFA"/>
    <w:rsid w:val="00C16CE9"/>
    <w:rsid w:val="00C20256"/>
    <w:rsid w:val="00C34C7E"/>
    <w:rsid w:val="00C5024B"/>
    <w:rsid w:val="00C5198F"/>
    <w:rsid w:val="00C53A42"/>
    <w:rsid w:val="00C56444"/>
    <w:rsid w:val="00C60991"/>
    <w:rsid w:val="00C62548"/>
    <w:rsid w:val="00C63DC2"/>
    <w:rsid w:val="00C74161"/>
    <w:rsid w:val="00C8156C"/>
    <w:rsid w:val="00C829B2"/>
    <w:rsid w:val="00C83942"/>
    <w:rsid w:val="00C938A3"/>
    <w:rsid w:val="00C95139"/>
    <w:rsid w:val="00C97843"/>
    <w:rsid w:val="00CB0E47"/>
    <w:rsid w:val="00CB1AEF"/>
    <w:rsid w:val="00CB349B"/>
    <w:rsid w:val="00CC0597"/>
    <w:rsid w:val="00CC72B2"/>
    <w:rsid w:val="00CE3EA6"/>
    <w:rsid w:val="00CE7C5E"/>
    <w:rsid w:val="00CF2F42"/>
    <w:rsid w:val="00D104C1"/>
    <w:rsid w:val="00D34A0F"/>
    <w:rsid w:val="00D3574E"/>
    <w:rsid w:val="00D362BA"/>
    <w:rsid w:val="00D36CED"/>
    <w:rsid w:val="00D433CD"/>
    <w:rsid w:val="00D54605"/>
    <w:rsid w:val="00D57071"/>
    <w:rsid w:val="00D6155A"/>
    <w:rsid w:val="00D64CAE"/>
    <w:rsid w:val="00D77363"/>
    <w:rsid w:val="00D80D87"/>
    <w:rsid w:val="00D91843"/>
    <w:rsid w:val="00D92932"/>
    <w:rsid w:val="00D929E7"/>
    <w:rsid w:val="00D93F63"/>
    <w:rsid w:val="00D96703"/>
    <w:rsid w:val="00DA11FD"/>
    <w:rsid w:val="00DB0122"/>
    <w:rsid w:val="00DB24A0"/>
    <w:rsid w:val="00DC09A0"/>
    <w:rsid w:val="00DC10A6"/>
    <w:rsid w:val="00DC1400"/>
    <w:rsid w:val="00DC2419"/>
    <w:rsid w:val="00DC77B1"/>
    <w:rsid w:val="00DD6127"/>
    <w:rsid w:val="00DE3A05"/>
    <w:rsid w:val="00E06425"/>
    <w:rsid w:val="00E06D00"/>
    <w:rsid w:val="00E12A81"/>
    <w:rsid w:val="00E12B05"/>
    <w:rsid w:val="00E12F8A"/>
    <w:rsid w:val="00E14246"/>
    <w:rsid w:val="00E21856"/>
    <w:rsid w:val="00E24AAC"/>
    <w:rsid w:val="00E24F8E"/>
    <w:rsid w:val="00E43558"/>
    <w:rsid w:val="00E57ABF"/>
    <w:rsid w:val="00E60E13"/>
    <w:rsid w:val="00E6115B"/>
    <w:rsid w:val="00E63F92"/>
    <w:rsid w:val="00E6505A"/>
    <w:rsid w:val="00E66397"/>
    <w:rsid w:val="00E72355"/>
    <w:rsid w:val="00E90A4D"/>
    <w:rsid w:val="00EA28ED"/>
    <w:rsid w:val="00EB32D9"/>
    <w:rsid w:val="00EB6900"/>
    <w:rsid w:val="00EB6951"/>
    <w:rsid w:val="00EC25D0"/>
    <w:rsid w:val="00EC3662"/>
    <w:rsid w:val="00EC6CCA"/>
    <w:rsid w:val="00EF7F02"/>
    <w:rsid w:val="00F030AD"/>
    <w:rsid w:val="00F13087"/>
    <w:rsid w:val="00F15A2F"/>
    <w:rsid w:val="00F2339D"/>
    <w:rsid w:val="00F323B3"/>
    <w:rsid w:val="00F323DC"/>
    <w:rsid w:val="00F344DD"/>
    <w:rsid w:val="00F37273"/>
    <w:rsid w:val="00F41D1A"/>
    <w:rsid w:val="00F5212C"/>
    <w:rsid w:val="00F542DA"/>
    <w:rsid w:val="00F65494"/>
    <w:rsid w:val="00F66F1E"/>
    <w:rsid w:val="00F72D6C"/>
    <w:rsid w:val="00F8110B"/>
    <w:rsid w:val="00F86BB6"/>
    <w:rsid w:val="00F878BA"/>
    <w:rsid w:val="00F937FA"/>
    <w:rsid w:val="00F93F35"/>
    <w:rsid w:val="00F94717"/>
    <w:rsid w:val="00FA1A31"/>
    <w:rsid w:val="00FA2BE3"/>
    <w:rsid w:val="00FA6381"/>
    <w:rsid w:val="00FB31DF"/>
    <w:rsid w:val="00FD1F9C"/>
    <w:rsid w:val="00FD2B4F"/>
    <w:rsid w:val="00FD6D03"/>
    <w:rsid w:val="00FD74A3"/>
    <w:rsid w:val="00FE354D"/>
    <w:rsid w:val="00FE3B40"/>
    <w:rsid w:val="00FF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6925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F1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F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46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F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5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nhideWhenUsed/>
    <w:rsid w:val="00615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F1A"/>
  </w:style>
  <w:style w:type="paragraph" w:styleId="Footer">
    <w:name w:val="footer"/>
    <w:basedOn w:val="Normal"/>
    <w:link w:val="FooterChar"/>
    <w:uiPriority w:val="99"/>
    <w:unhideWhenUsed/>
    <w:rsid w:val="00615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F1A"/>
  </w:style>
  <w:style w:type="character" w:customStyle="1" w:styleId="Heading1Char">
    <w:name w:val="Heading 1 Char"/>
    <w:basedOn w:val="DefaultParagraphFont"/>
    <w:link w:val="Heading1"/>
    <w:uiPriority w:val="9"/>
    <w:rsid w:val="00615F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615F1A"/>
    <w:pPr>
      <w:spacing w:after="40" w:line="240" w:lineRule="auto"/>
      <w:ind w:left="720"/>
      <w:contextualSpacing/>
      <w:jc w:val="both"/>
    </w:pPr>
    <w:rPr>
      <w:rFonts w:eastAsia="Times New Roman" w:cs="Times New Roman"/>
      <w:lang w:val="de-CH"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89461A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ListParagraphChar">
    <w:name w:val="List Paragraph Char"/>
    <w:link w:val="ListParagraph"/>
    <w:uiPriority w:val="34"/>
    <w:locked/>
    <w:rsid w:val="0089461A"/>
    <w:rPr>
      <w:rFonts w:ascii="Arial" w:eastAsia="Times New Roman" w:hAnsi="Arial" w:cs="Times New Roman"/>
      <w:lang w:val="de-CH" w:eastAsia="de-DE"/>
    </w:rPr>
  </w:style>
  <w:style w:type="paragraph" w:customStyle="1" w:styleId="Kennzeichnung">
    <w:name w:val="Kennzeichnung"/>
    <w:basedOn w:val="Normal"/>
    <w:rsid w:val="004B7153"/>
    <w:pPr>
      <w:spacing w:after="0" w:line="240" w:lineRule="auto"/>
      <w:jc w:val="right"/>
    </w:pPr>
    <w:rPr>
      <w:rFonts w:eastAsia="Times New Roman" w:cs="Times New Roman"/>
      <w:sz w:val="14"/>
      <w:szCs w:val="14"/>
      <w:lang w:val="en-GB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1E27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7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75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7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754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75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37AB3"/>
    <w:pPr>
      <w:spacing w:after="0" w:line="240" w:lineRule="auto"/>
    </w:pPr>
    <w:rPr>
      <w:rFonts w:ascii="Arial" w:hAnsi="Arial"/>
    </w:rPr>
  </w:style>
  <w:style w:type="character" w:customStyle="1" w:styleId="UnresolvedMention">
    <w:name w:val="Unresolved Mention"/>
    <w:basedOn w:val="DefaultParagraphFont"/>
    <w:uiPriority w:val="99"/>
    <w:unhideWhenUsed/>
    <w:rsid w:val="006A6B91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FA6381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6A6B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04025-19CD-4D04-9CF9-B94B794A7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 Consortium - Strategic Plan 2021-2024</vt:lpstr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 Consortium - Strategic Plan 2021-2024</dc:title>
  <dc:subject/>
  <dc:creator/>
  <cp:keywords/>
  <dc:description/>
  <cp:lastModifiedBy/>
  <dcterms:created xsi:type="dcterms:W3CDTF">2021-06-21T23:52:00Z</dcterms:created>
  <dcterms:modified xsi:type="dcterms:W3CDTF">2021-06-21T23:52:00Z</dcterms:modified>
</cp:coreProperties>
</file>