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77804" w14:textId="77777777" w:rsidR="007D565E" w:rsidRPr="0038119B" w:rsidRDefault="00CD5483">
      <w:pPr>
        <w:tabs>
          <w:tab w:val="left" w:pos="284"/>
        </w:tabs>
        <w:spacing w:after="480"/>
        <w:rPr>
          <w:rFonts w:ascii="Calibri Light" w:hAnsi="Calibri Light"/>
          <w:lang w:val="en-AU"/>
        </w:rPr>
      </w:pPr>
      <w:r w:rsidRPr="0038119B">
        <w:rPr>
          <w:noProof/>
          <w:lang w:val="en-AU" w:eastAsia="en-AU"/>
        </w:rPr>
        <mc:AlternateContent>
          <mc:Choice Requires="wps">
            <w:drawing>
              <wp:inline distT="0" distB="0" distL="0" distR="0" wp14:anchorId="60734A21" wp14:editId="41EFC881">
                <wp:extent cx="252095" cy="414020"/>
                <wp:effectExtent l="0" t="0" r="0" b="50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5CF46" w14:textId="77777777" w:rsidR="00982B01" w:rsidRDefault="00982B01">
                            <w:pPr>
                              <w:rPr>
                                <w:rFonts w:ascii="Wingdings 3" w:hAnsi="Wingdings 3" w:hint="eastAsia"/>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0734A21" id="_x0000_t202" coordsize="21600,21600" o:spt="202" path="m,l,21600r21600,l21600,xe">
                <v:stroke joinstyle="miter"/>
                <v:path gradientshapeok="t" o:connecttype="rect"/>
              </v:shapetype>
              <v:shape id="Text Box 1" o:spid="_x0000_s1026" type="#_x0000_t202"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QK+gEAAN4DAAAOAAAAZHJzL2Uyb0RvYy54bWysU9uO0zAQfUfiHyy/06TRLoKo6Wrpqghp&#10;gZV2+QDHcRILx2PGbpPy9YydplTwhsiDNZ7LyZyZ483dNBh2VOg12IqvVzlnykpotO0q/u1l/+Yd&#10;Zz4I2wgDVlX8pDy/275+tRldqQrowTQKGYFYX46u4n0IrswyL3s1CL8CpywFW8BBBLpilzUoRkIf&#10;TFbk+dtsBGwcglTek/dhDvJtwm9bJcPXtvUqMFNx6i2kE9NZxzPbbkTZoXC9luc2xD90MQht6acX&#10;qAcRBDug/gtq0BLBQxtWEoYM2lZLlTgQm3X+B5vnXjiVuNBwvLuMyf8/WPnl+IRMN7Q7zqwYaEUv&#10;agrsA0xsHaczOl9S0rOjtDCRO2ZGpt49gvzumYVdL2yn7hFh7JVoqLtUmV2Vzjg+gtTjZ2joN+IQ&#10;IAFNLQ4RkIbBCJ22dLpsJrYiyVncFvn7W84khW7WN3mRNpeJcil26MNHBQOLRsWRFp/AxfHRB6JB&#10;qUtKah6MbvbamHTBrt4ZZEdBItmnLzKnEn+dZmxMthDL5nD0JJaR2EwxTPV0nloNzYn4Isyio0dC&#10;Rg/4k7ORBFdx/+MgUHFmPlmaWVTnYuBi1IshrKTSigfOZnMXZhUfHOquJ+R5Kxbuaa6tTpzjAuYu&#10;zn2SiBKvs+CjSq/vKev3s9z+AgAA//8DAFBLAwQUAAYACAAAACEAF8LRbNoAAAADAQAADwAAAGRy&#10;cy9kb3ducmV2LnhtbEyPwU7DMAyG70i8Q2QkLoilFDGgNJ1gg9s4bEw7e41pKxqnatK1e3sMF7hY&#10;sv5fnz/ni8m16kh9aDwbuJkloIhLbxuuDOw+3q4fQIWIbLH1TAZOFGBRnJ/lmFk/8oaO21gpgXDI&#10;0EAdY5dpHcqaHIaZ74gl+/S9wyhrX2nb4yhw1+o0SebaYcNyocaOljWVX9vBGZiv+mHc8PJqtXtd&#10;43tXpfuX096Yy4vp+QlUpCn+leFHX9ShEKeDH9gG1RqQR+LvlOz28R7UQbh3Kegi1//di28AAAD/&#10;/wMAUEsBAi0AFAAGAAgAAAAhALaDOJL+AAAA4QEAABMAAAAAAAAAAAAAAAAAAAAAAFtDb250ZW50&#10;X1R5cGVzXS54bWxQSwECLQAUAAYACAAAACEAOP0h/9YAAACUAQAACwAAAAAAAAAAAAAAAAAvAQAA&#10;X3JlbHMvLnJlbHNQSwECLQAUAAYACAAAACEAwZjUCvoBAADeAwAADgAAAAAAAAAAAAAAAAAuAgAA&#10;ZHJzL2Uyb0RvYy54bWxQSwECLQAUAAYACAAAACEAF8LRbNoAAAADAQAADwAAAAAAAAAAAAAAAABU&#10;BAAAZHJzL2Rvd25yZXYueG1sUEsFBgAAAAAEAAQA8wAAAFsFAAAAAA==&#10;" stroked="f">
                <v:textbox inset="0,0,0,0">
                  <w:txbxContent>
                    <w:p w14:paraId="4015CF46" w14:textId="77777777" w:rsidR="00982B01" w:rsidRDefault="00982B01">
                      <w:pPr>
                        <w:rPr>
                          <w:rFonts w:ascii="Wingdings 3" w:hAnsi="Wingdings 3" w:hint="eastAsia"/>
                        </w:rPr>
                      </w:pPr>
                      <w:r>
                        <w:rPr>
                          <w:rFonts w:ascii="SimSun" w:eastAsia="SimSun" w:hAnsi="SimSun" w:cs="Arial" w:hint="eastAsia"/>
                          <w:sz w:val="40"/>
                        </w:rPr>
                        <w:t>▼</w:t>
                      </w:r>
                    </w:p>
                  </w:txbxContent>
                </v:textbox>
                <w10:anchorlock/>
              </v:shape>
            </w:pict>
          </mc:Fallback>
        </mc:AlternateContent>
      </w:r>
      <w:r w:rsidRPr="0038119B">
        <w:rPr>
          <w:rFonts w:ascii="Cambria" w:hAnsi="Cambria"/>
          <w:lang w:val="en-AU"/>
        </w:rPr>
        <w:t>This medicinal product is subject to additional monitoring in Australia due to provisional approval. This will allow quick identification of new safety information. Healthcare professionals are asked to report any suspected adverse events at www.tga.gov.au/reporting-problems</w:t>
      </w:r>
      <w:r w:rsidRPr="0038119B">
        <w:rPr>
          <w:rFonts w:ascii="Calibri Light" w:hAnsi="Calibri Light"/>
          <w:lang w:val="en-AU"/>
        </w:rPr>
        <w:t>.</w:t>
      </w:r>
    </w:p>
    <w:p w14:paraId="3DA4084C" w14:textId="28322252" w:rsidR="007D565E" w:rsidRPr="0038119B" w:rsidRDefault="00CD5483">
      <w:pPr>
        <w:pStyle w:val="Heading1"/>
        <w:keepNext w:val="0"/>
        <w:pageBreakBefore w:val="0"/>
        <w:numPr>
          <w:ilvl w:val="0"/>
          <w:numId w:val="0"/>
        </w:numPr>
        <w:spacing w:after="240"/>
        <w:rPr>
          <w:rFonts w:eastAsia="SimSun"/>
          <w:lang w:val="en-AU"/>
        </w:rPr>
      </w:pPr>
      <w:r w:rsidRPr="0038119B">
        <w:rPr>
          <w:rFonts w:eastAsia="SimSun"/>
          <w:lang w:val="en-AU"/>
        </w:rPr>
        <w:t>Australian Product Information – LIBTAYO</w:t>
      </w:r>
      <w:r w:rsidR="00EF7B4D" w:rsidRPr="0038119B">
        <w:rPr>
          <w:rFonts w:eastAsia="SimSun"/>
          <w:vertAlign w:val="superscript"/>
          <w:lang w:val="en-AU"/>
        </w:rPr>
        <w:t>®</w:t>
      </w:r>
      <w:r w:rsidRPr="0038119B">
        <w:rPr>
          <w:rFonts w:eastAsia="SimSun"/>
          <w:lang w:val="en-AU"/>
        </w:rPr>
        <w:t xml:space="preserve"> (Cemiplimab)</w:t>
      </w:r>
    </w:p>
    <w:p w14:paraId="58DF1317" w14:textId="77777777" w:rsidR="007D565E" w:rsidRPr="0038119B" w:rsidRDefault="00CD5483">
      <w:pPr>
        <w:pStyle w:val="Heading1"/>
        <w:pageBreakBefore w:val="0"/>
        <w:rPr>
          <w:lang w:val="en-AU"/>
        </w:rPr>
      </w:pPr>
      <w:r w:rsidRPr="0038119B">
        <w:rPr>
          <w:lang w:val="en-AU"/>
        </w:rPr>
        <w:t>Name of the medicine</w:t>
      </w:r>
    </w:p>
    <w:p w14:paraId="00EC3E23" w14:textId="77777777" w:rsidR="007D565E" w:rsidRPr="0038119B" w:rsidRDefault="00CD5483">
      <w:pPr>
        <w:rPr>
          <w:lang w:val="en-AU"/>
        </w:rPr>
      </w:pPr>
      <w:r w:rsidRPr="0038119B">
        <w:rPr>
          <w:lang w:val="en-AU"/>
        </w:rPr>
        <w:t>LIBTAYO 350 mg concentrate for solution for infusion.</w:t>
      </w:r>
    </w:p>
    <w:p w14:paraId="021883F5" w14:textId="77777777" w:rsidR="007D565E" w:rsidRPr="0038119B" w:rsidRDefault="00CD5483">
      <w:pPr>
        <w:pStyle w:val="Heading1"/>
        <w:pageBreakBefore w:val="0"/>
        <w:rPr>
          <w:lang w:val="en-AU"/>
        </w:rPr>
      </w:pPr>
      <w:r w:rsidRPr="0038119B">
        <w:rPr>
          <w:lang w:val="en-AU"/>
        </w:rPr>
        <w:t xml:space="preserve"> Qualitative and quantitative composition</w:t>
      </w:r>
    </w:p>
    <w:p w14:paraId="018B0D2C" w14:textId="77777777" w:rsidR="007D565E" w:rsidRPr="0038119B" w:rsidRDefault="00CD5483">
      <w:pPr>
        <w:rPr>
          <w:lang w:val="en-AU"/>
        </w:rPr>
      </w:pPr>
      <w:r w:rsidRPr="0038119B">
        <w:rPr>
          <w:lang w:val="en-AU"/>
        </w:rPr>
        <w:t>One mL of concentrate contains 50 mg of cemiplimab.</w:t>
      </w:r>
    </w:p>
    <w:p w14:paraId="4E8514AE" w14:textId="77777777" w:rsidR="007D565E" w:rsidRPr="0038119B" w:rsidRDefault="00CD5483">
      <w:pPr>
        <w:rPr>
          <w:lang w:val="en-AU"/>
        </w:rPr>
      </w:pPr>
      <w:r w:rsidRPr="0038119B">
        <w:rPr>
          <w:lang w:val="en-AU"/>
        </w:rPr>
        <w:t>Each vial contains 350 mg of cemiplimab in 7 mL of solution.</w:t>
      </w:r>
    </w:p>
    <w:p w14:paraId="6277318B" w14:textId="77777777" w:rsidR="007D565E" w:rsidRPr="0038119B" w:rsidRDefault="00CD5483">
      <w:pPr>
        <w:rPr>
          <w:lang w:val="en-AU"/>
        </w:rPr>
      </w:pPr>
      <w:r w:rsidRPr="0038119B">
        <w:rPr>
          <w:lang w:val="en-AU"/>
        </w:rPr>
        <w:t>Cemiplimab is produced by recombinant DNA technology in Chinese hamster ovary (CHO) cell suspension culture.</w:t>
      </w:r>
    </w:p>
    <w:p w14:paraId="11B49111" w14:textId="34ADBEA7" w:rsidR="007D565E" w:rsidRPr="0038119B" w:rsidRDefault="00CD5483">
      <w:pPr>
        <w:rPr>
          <w:lang w:val="en-AU"/>
        </w:rPr>
      </w:pPr>
      <w:r w:rsidRPr="0038119B">
        <w:rPr>
          <w:lang w:val="en-AU"/>
        </w:rPr>
        <w:t xml:space="preserve">For the full list of excipients, see Section </w:t>
      </w:r>
      <w:r w:rsidRPr="0038119B">
        <w:rPr>
          <w:color w:val="0000FF"/>
          <w:lang w:val="en-AU"/>
        </w:rPr>
        <w:fldChar w:fldCharType="begin"/>
      </w:r>
      <w:r w:rsidRPr="0038119B">
        <w:rPr>
          <w:color w:val="0000FF"/>
          <w:lang w:val="en-AU"/>
        </w:rPr>
        <w:instrText xml:space="preserve"> REF _Ref13466737 \r \h  \* MERGEFORMAT </w:instrText>
      </w:r>
      <w:r w:rsidRPr="0038119B">
        <w:rPr>
          <w:color w:val="0000FF"/>
          <w:lang w:val="en-AU"/>
        </w:rPr>
      </w:r>
      <w:r w:rsidRPr="0038119B">
        <w:rPr>
          <w:color w:val="0000FF"/>
          <w:lang w:val="en-AU"/>
        </w:rPr>
        <w:fldChar w:fldCharType="separate"/>
      </w:r>
      <w:r w:rsidR="006B35A8">
        <w:rPr>
          <w:color w:val="0000FF"/>
          <w:lang w:val="en-AU"/>
        </w:rPr>
        <w:t>6.1</w:t>
      </w:r>
      <w:r w:rsidRPr="0038119B">
        <w:rPr>
          <w:color w:val="0000FF"/>
          <w:lang w:val="en-AU"/>
        </w:rPr>
        <w:fldChar w:fldCharType="end"/>
      </w:r>
      <w:r w:rsidRPr="0038119B">
        <w:rPr>
          <w:lang w:val="en-AU"/>
        </w:rPr>
        <w:t>.</w:t>
      </w:r>
    </w:p>
    <w:p w14:paraId="572DFE69" w14:textId="77777777" w:rsidR="007D565E" w:rsidRPr="0038119B" w:rsidRDefault="00CD5483">
      <w:pPr>
        <w:pStyle w:val="Heading1"/>
        <w:pageBreakBefore w:val="0"/>
        <w:rPr>
          <w:lang w:val="en-AU"/>
        </w:rPr>
      </w:pPr>
      <w:r w:rsidRPr="0038119B">
        <w:rPr>
          <w:lang w:val="en-AU"/>
        </w:rPr>
        <w:t>Pharmaceutical form</w:t>
      </w:r>
    </w:p>
    <w:p w14:paraId="1A85D5B1" w14:textId="77777777" w:rsidR="007D565E" w:rsidRPr="0038119B" w:rsidRDefault="00CD5483">
      <w:pPr>
        <w:rPr>
          <w:lang w:val="en-AU"/>
        </w:rPr>
      </w:pPr>
      <w:r w:rsidRPr="0038119B">
        <w:rPr>
          <w:lang w:val="en-AU"/>
        </w:rPr>
        <w:t>Concentrate for solution for infusion (sterile concentrate).</w:t>
      </w:r>
    </w:p>
    <w:p w14:paraId="1B63AF16" w14:textId="77777777" w:rsidR="007D565E" w:rsidRPr="0038119B" w:rsidRDefault="00CD5483">
      <w:pPr>
        <w:rPr>
          <w:lang w:val="en-AU"/>
        </w:rPr>
      </w:pPr>
      <w:r w:rsidRPr="0038119B">
        <w:rPr>
          <w:lang w:val="en-AU"/>
        </w:rPr>
        <w:t>Clear to slightly opalescent, colourless to pale yellow solution with a pH of 6.0 and osmolality between 300 and 360 mmol/kg. The solution may contain trace amounts of translucent to white particles in a single-use vial.</w:t>
      </w:r>
    </w:p>
    <w:p w14:paraId="5A4092EB" w14:textId="77777777" w:rsidR="007D565E" w:rsidRPr="0038119B" w:rsidRDefault="00CD5483">
      <w:pPr>
        <w:pStyle w:val="Heading1"/>
        <w:pageBreakBefore w:val="0"/>
        <w:rPr>
          <w:lang w:val="en-AU"/>
        </w:rPr>
      </w:pPr>
      <w:r w:rsidRPr="0038119B">
        <w:rPr>
          <w:lang w:val="en-AU"/>
        </w:rPr>
        <w:t>Clinical particulars</w:t>
      </w:r>
    </w:p>
    <w:p w14:paraId="7A51167D" w14:textId="77777777" w:rsidR="007D565E" w:rsidRPr="0038119B" w:rsidRDefault="00CD5483">
      <w:pPr>
        <w:pStyle w:val="Heading2"/>
        <w:rPr>
          <w:lang w:val="en-AU"/>
        </w:rPr>
      </w:pPr>
      <w:r w:rsidRPr="0038119B">
        <w:rPr>
          <w:lang w:val="en-AU"/>
        </w:rPr>
        <w:t xml:space="preserve">Therapeutic indications </w:t>
      </w:r>
    </w:p>
    <w:p w14:paraId="63758BDF" w14:textId="2A27F399" w:rsidR="00D1110B" w:rsidRPr="00BD4A5F" w:rsidRDefault="00D1110B" w:rsidP="0074451F">
      <w:pPr>
        <w:pStyle w:val="Heading3"/>
        <w:numPr>
          <w:ilvl w:val="0"/>
          <w:numId w:val="0"/>
        </w:numPr>
        <w:rPr>
          <w:lang w:val="en-AU"/>
        </w:rPr>
      </w:pPr>
      <w:bookmarkStart w:id="0" w:name="_Hlk31612465"/>
      <w:r w:rsidRPr="00BD4A5F">
        <w:rPr>
          <w:lang w:val="en-AU"/>
        </w:rPr>
        <w:t>Cutaneous Squamous Cell Carcinoma</w:t>
      </w:r>
    </w:p>
    <w:p w14:paraId="3C44E943" w14:textId="30A2752A" w:rsidR="00842CCF" w:rsidRPr="00BD4A5F" w:rsidRDefault="00CD5483">
      <w:pPr>
        <w:rPr>
          <w:color w:val="auto"/>
          <w:lang w:val="en-AU"/>
        </w:rPr>
      </w:pPr>
      <w:r w:rsidRPr="00BD4A5F">
        <w:rPr>
          <w:color w:val="auto"/>
          <w:lang w:val="en-AU"/>
        </w:rPr>
        <w:t xml:space="preserve">LIBTAYO as monotherapy has </w:t>
      </w:r>
      <w:r w:rsidRPr="00BD4A5F">
        <w:rPr>
          <w:b/>
          <w:bCs/>
          <w:color w:val="auto"/>
          <w:lang w:val="en-AU"/>
        </w:rPr>
        <w:t xml:space="preserve">provisional approval </w:t>
      </w:r>
      <w:r w:rsidRPr="00BD4A5F">
        <w:rPr>
          <w:color w:val="auto"/>
          <w:lang w:val="en-AU"/>
        </w:rPr>
        <w:t xml:space="preserve">in Australia for </w:t>
      </w:r>
      <w:bookmarkStart w:id="1" w:name="_Hlk31612183"/>
      <w:r w:rsidRPr="00BD4A5F">
        <w:rPr>
          <w:color w:val="auto"/>
          <w:lang w:val="en-AU"/>
        </w:rPr>
        <w:t xml:space="preserve">the treatment of adult patients with metastatic or locally advanced cutaneous squamous cell carcinoma </w:t>
      </w:r>
      <w:r w:rsidR="00902FB8" w:rsidRPr="00BD4A5F">
        <w:rPr>
          <w:color w:val="auto"/>
          <w:lang w:val="en-AU"/>
        </w:rPr>
        <w:t xml:space="preserve">(mCSCC or laCSCC) </w:t>
      </w:r>
      <w:r w:rsidRPr="00BD4A5F">
        <w:rPr>
          <w:color w:val="auto"/>
          <w:lang w:val="en-AU"/>
        </w:rPr>
        <w:t>who are not candidates for curative surgery or curative radiation.</w:t>
      </w:r>
      <w:bookmarkEnd w:id="1"/>
      <w:r w:rsidRPr="00BD4A5F">
        <w:rPr>
          <w:color w:val="auto"/>
          <w:lang w:val="en-AU"/>
        </w:rPr>
        <w:t xml:space="preserve"> </w:t>
      </w:r>
    </w:p>
    <w:p w14:paraId="13D8A071" w14:textId="49C6976E" w:rsidR="007D565E" w:rsidRDefault="00CD5483">
      <w:pPr>
        <w:rPr>
          <w:color w:val="auto"/>
          <w:lang w:val="en-AU"/>
        </w:rPr>
      </w:pPr>
      <w:r w:rsidRPr="00BD4A5F">
        <w:rPr>
          <w:color w:val="auto"/>
          <w:lang w:val="en-AU"/>
        </w:rPr>
        <w:lastRenderedPageBreak/>
        <w:t xml:space="preserve">The decision to approve this indication has been made </w:t>
      </w:r>
      <w:proofErr w:type="gramStart"/>
      <w:r w:rsidRPr="00BD4A5F">
        <w:rPr>
          <w:color w:val="auto"/>
          <w:lang w:val="en-AU"/>
        </w:rPr>
        <w:t>on the basis of</w:t>
      </w:r>
      <w:proofErr w:type="gramEnd"/>
      <w:r w:rsidRPr="00BD4A5F">
        <w:rPr>
          <w:color w:val="auto"/>
          <w:lang w:val="en-AU"/>
        </w:rPr>
        <w:t xml:space="preserve"> </w:t>
      </w:r>
      <w:r w:rsidR="00593326" w:rsidRPr="00BD4A5F">
        <w:rPr>
          <w:color w:val="auto"/>
          <w:lang w:val="en-AU"/>
        </w:rPr>
        <w:t xml:space="preserve">objective response rate (ORR) </w:t>
      </w:r>
      <w:r w:rsidRPr="00BD4A5F">
        <w:rPr>
          <w:color w:val="auto"/>
          <w:lang w:val="en-AU"/>
        </w:rPr>
        <w:t>and duration of response from single arm clinical studies. The sponsor is required to submit further clinical data to confirm the clinical benefit of the medicine.</w:t>
      </w:r>
    </w:p>
    <w:p w14:paraId="05629CEC" w14:textId="77777777" w:rsidR="00E40D97" w:rsidRPr="004B546E" w:rsidRDefault="00E40D97" w:rsidP="00E40D97">
      <w:pPr>
        <w:pStyle w:val="Heading3"/>
        <w:numPr>
          <w:ilvl w:val="0"/>
          <w:numId w:val="0"/>
        </w:numPr>
        <w:rPr>
          <w:lang w:val="en-AU"/>
        </w:rPr>
      </w:pPr>
      <w:r w:rsidRPr="004B546E">
        <w:rPr>
          <w:lang w:val="en-AU"/>
        </w:rPr>
        <w:t>Basal Cell Carcinoma</w:t>
      </w:r>
    </w:p>
    <w:p w14:paraId="090E3B8C" w14:textId="69AC7888" w:rsidR="00CB57D8" w:rsidRPr="004B546E" w:rsidRDefault="00CB57D8" w:rsidP="00CB57D8">
      <w:pPr>
        <w:rPr>
          <w:color w:val="auto"/>
          <w:lang w:val="en-AU"/>
        </w:rPr>
      </w:pPr>
      <w:r w:rsidRPr="004B546E">
        <w:rPr>
          <w:color w:val="auto"/>
          <w:lang w:val="en-AU"/>
        </w:rPr>
        <w:t xml:space="preserve">LIBTAYO </w:t>
      </w:r>
      <w:r w:rsidR="008F5244" w:rsidRPr="00636DB9">
        <w:rPr>
          <w:color w:val="auto"/>
          <w:lang w:val="en-AU"/>
        </w:rPr>
        <w:t xml:space="preserve">as monotherapy </w:t>
      </w:r>
      <w:r w:rsidRPr="004B546E">
        <w:rPr>
          <w:color w:val="auto"/>
          <w:lang w:val="en-AU"/>
        </w:rPr>
        <w:t>is indicated for the treatment of adult patients with locally advanced basal cell carcinoma (BCC) previously treated with a hedgehog pathway inhibitor or for whom a hedgehog pathway inhibitor is not appropriate.</w:t>
      </w:r>
    </w:p>
    <w:p w14:paraId="020F2FB2" w14:textId="77777777" w:rsidR="00CB57D8" w:rsidRPr="004B546E" w:rsidRDefault="00CB57D8" w:rsidP="00CB57D8">
      <w:pPr>
        <w:rPr>
          <w:color w:val="auto"/>
          <w:lang w:val="en-AU"/>
        </w:rPr>
      </w:pPr>
      <w:r w:rsidRPr="004B546E">
        <w:rPr>
          <w:color w:val="auto"/>
          <w:lang w:val="en-AU"/>
        </w:rPr>
        <w:t xml:space="preserve">LIBTAYO as monotherapy has </w:t>
      </w:r>
      <w:r w:rsidRPr="008F5244">
        <w:rPr>
          <w:b/>
          <w:bCs/>
          <w:color w:val="auto"/>
          <w:lang w:val="en-AU"/>
        </w:rPr>
        <w:t>provisional approval</w:t>
      </w:r>
      <w:r w:rsidRPr="004B546E">
        <w:rPr>
          <w:color w:val="auto"/>
          <w:lang w:val="en-AU"/>
        </w:rPr>
        <w:t xml:space="preserve"> in Australia for the treatment of adult patients with metastatic BCC (mBCC) previously treated with a hedgehog pathway inhibitor or for whom a hedgehog pathway inhibitor is not appropriate.</w:t>
      </w:r>
    </w:p>
    <w:p w14:paraId="691DE3E6" w14:textId="2D8AA303" w:rsidR="00CB57D8" w:rsidRPr="008F5244" w:rsidRDefault="008F5244" w:rsidP="00CB57D8">
      <w:pPr>
        <w:rPr>
          <w:color w:val="FF0000"/>
          <w:lang w:val="en-AU"/>
        </w:rPr>
      </w:pPr>
      <w:r w:rsidRPr="00636DB9">
        <w:rPr>
          <w:color w:val="auto"/>
          <w:lang w:val="en-AU"/>
        </w:rPr>
        <w:t>The decision to approve th</w:t>
      </w:r>
      <w:r w:rsidR="00EF2BAB" w:rsidRPr="00636DB9">
        <w:rPr>
          <w:color w:val="auto"/>
          <w:lang w:val="en-AU"/>
        </w:rPr>
        <w:t>e mBCC</w:t>
      </w:r>
      <w:r w:rsidRPr="00636DB9">
        <w:rPr>
          <w:color w:val="auto"/>
          <w:lang w:val="en-AU"/>
        </w:rPr>
        <w:t xml:space="preserve"> indication has been made </w:t>
      </w:r>
      <w:proofErr w:type="gramStart"/>
      <w:r w:rsidRPr="00636DB9">
        <w:rPr>
          <w:color w:val="auto"/>
          <w:lang w:val="en-AU"/>
        </w:rPr>
        <w:t>on the basis of</w:t>
      </w:r>
      <w:proofErr w:type="gramEnd"/>
      <w:r w:rsidRPr="00636DB9">
        <w:rPr>
          <w:color w:val="auto"/>
          <w:lang w:val="en-AU"/>
        </w:rPr>
        <w:t xml:space="preserve"> objective response rate (ORR) and duration of response from a single arm clinical study. The sponsor is required to submit further clinical data to confirm the clinical benefit of the medicine.</w:t>
      </w:r>
      <w:r w:rsidRPr="008F5244">
        <w:rPr>
          <w:color w:val="auto"/>
          <w:lang w:val="en-AU"/>
        </w:rPr>
        <w:t xml:space="preserve"> </w:t>
      </w:r>
    </w:p>
    <w:p w14:paraId="7DDBB943" w14:textId="2C30D9BD" w:rsidR="00D1110B" w:rsidRPr="00BD4A5F" w:rsidRDefault="00D1110B" w:rsidP="00CB57D8">
      <w:pPr>
        <w:pStyle w:val="Heading3"/>
        <w:numPr>
          <w:ilvl w:val="0"/>
          <w:numId w:val="0"/>
        </w:numPr>
        <w:rPr>
          <w:lang w:val="en-AU"/>
        </w:rPr>
      </w:pPr>
      <w:r w:rsidRPr="00BD4A5F">
        <w:rPr>
          <w:lang w:val="en-AU"/>
        </w:rPr>
        <w:t>Non-Small Cell Lung Cancer</w:t>
      </w:r>
    </w:p>
    <w:p w14:paraId="715F350D" w14:textId="70BC8128" w:rsidR="00D1110B" w:rsidRPr="00BD4A5F" w:rsidRDefault="00D1110B" w:rsidP="00D1110B">
      <w:pPr>
        <w:rPr>
          <w:color w:val="auto"/>
          <w:lang w:val="en-AU"/>
        </w:rPr>
      </w:pPr>
      <w:bookmarkStart w:id="2" w:name="_Hlk36039464"/>
      <w:r w:rsidRPr="00BD4A5F">
        <w:rPr>
          <w:color w:val="auto"/>
          <w:lang w:val="en-AU"/>
        </w:rPr>
        <w:t xml:space="preserve">LIBTAYO </w:t>
      </w:r>
      <w:r w:rsidR="008F5244" w:rsidRPr="00636DB9">
        <w:rPr>
          <w:color w:val="auto"/>
          <w:lang w:val="en-AU"/>
        </w:rPr>
        <w:t xml:space="preserve">as monotherapy </w:t>
      </w:r>
      <w:r w:rsidRPr="00BD4A5F">
        <w:rPr>
          <w:color w:val="auto"/>
          <w:lang w:val="en-AU"/>
        </w:rPr>
        <w:t xml:space="preserve">is indicated for the first-line treatment of adult patients with non-small cell lung cancer (NSCLC) </w:t>
      </w:r>
      <w:r w:rsidRPr="00636DB9">
        <w:rPr>
          <w:color w:val="auto"/>
          <w:lang w:val="en-AU"/>
        </w:rPr>
        <w:t xml:space="preserve">expressing PD-L1 </w:t>
      </w:r>
      <w:r w:rsidR="004E3689" w:rsidRPr="00636DB9">
        <w:rPr>
          <w:color w:val="auto"/>
          <w:lang w:val="en-AU"/>
        </w:rPr>
        <w:t>tumour proportion score (TPS) ≥50% as determined by a validated test</w:t>
      </w:r>
      <w:r w:rsidRPr="00BD4A5F">
        <w:rPr>
          <w:color w:val="auto"/>
          <w:lang w:val="en-AU"/>
        </w:rPr>
        <w:t>, with no EGFR, ALK or ROS1 aberrations, who have:</w:t>
      </w:r>
    </w:p>
    <w:p w14:paraId="2BB51F02" w14:textId="5E6C1C74" w:rsidR="00636DB9" w:rsidRDefault="00D1110B" w:rsidP="00D74BAA">
      <w:pPr>
        <w:pStyle w:val="ListBulletLevel1"/>
        <w:rPr>
          <w:color w:val="auto"/>
          <w:lang w:val="en-AU"/>
        </w:rPr>
      </w:pPr>
      <w:r w:rsidRPr="00636DB9">
        <w:rPr>
          <w:color w:val="auto"/>
          <w:lang w:val="en-AU"/>
        </w:rPr>
        <w:t xml:space="preserve">locally advanced NSCLC and who are not candidates for </w:t>
      </w:r>
      <w:r w:rsidR="00D74BAA" w:rsidRPr="00B36E99">
        <w:rPr>
          <w:color w:val="auto"/>
          <w:lang w:val="en-AU"/>
        </w:rPr>
        <w:t>surgical resection or</w:t>
      </w:r>
      <w:r w:rsidR="00D74BAA" w:rsidRPr="00D74BAA">
        <w:rPr>
          <w:strike/>
          <w:color w:val="0070C0"/>
          <w:lang w:val="en-AU"/>
        </w:rPr>
        <w:t xml:space="preserve"> </w:t>
      </w:r>
      <w:r w:rsidRPr="00636DB9">
        <w:rPr>
          <w:color w:val="auto"/>
          <w:lang w:val="en-AU"/>
        </w:rPr>
        <w:t xml:space="preserve">definitive chemoradiation, or </w:t>
      </w:r>
    </w:p>
    <w:p w14:paraId="7CBD0743" w14:textId="276A1505" w:rsidR="00D1110B" w:rsidRPr="00636DB9" w:rsidRDefault="00D1110B" w:rsidP="00D74BAA">
      <w:pPr>
        <w:pStyle w:val="ListBulletLevel1"/>
        <w:rPr>
          <w:color w:val="auto"/>
          <w:lang w:val="en-AU"/>
        </w:rPr>
      </w:pPr>
      <w:r w:rsidRPr="00636DB9">
        <w:rPr>
          <w:color w:val="auto"/>
          <w:lang w:val="en-AU"/>
        </w:rPr>
        <w:t>metastatic NSCLC.</w:t>
      </w:r>
    </w:p>
    <w:p w14:paraId="3CC216C0" w14:textId="77777777" w:rsidR="007D565E" w:rsidRPr="00BD4A5F" w:rsidRDefault="00CD5483">
      <w:pPr>
        <w:pStyle w:val="Heading2"/>
        <w:rPr>
          <w:lang w:val="en-AU"/>
        </w:rPr>
      </w:pPr>
      <w:bookmarkStart w:id="3" w:name="_Ref13466856"/>
      <w:bookmarkEnd w:id="0"/>
      <w:bookmarkEnd w:id="2"/>
      <w:r w:rsidRPr="00BD4A5F">
        <w:rPr>
          <w:lang w:val="en-AU"/>
        </w:rPr>
        <w:t>Dose and method of administration</w:t>
      </w:r>
      <w:bookmarkEnd w:id="3"/>
      <w:r w:rsidRPr="00BD4A5F">
        <w:rPr>
          <w:lang w:val="en-AU"/>
        </w:rPr>
        <w:t xml:space="preserve"> </w:t>
      </w:r>
    </w:p>
    <w:p w14:paraId="7CEFA993" w14:textId="03058105" w:rsidR="007D565E" w:rsidRPr="00BD4A5F" w:rsidRDefault="00CD5483">
      <w:pPr>
        <w:rPr>
          <w:color w:val="auto"/>
          <w:lang w:val="en-AU"/>
        </w:rPr>
      </w:pPr>
      <w:r w:rsidRPr="00BD4A5F">
        <w:rPr>
          <w:color w:val="auto"/>
          <w:lang w:val="en-AU"/>
        </w:rPr>
        <w:t>Treatment must be initiated and supervised by physicians experienced in the treatment of cancer.</w:t>
      </w:r>
    </w:p>
    <w:p w14:paraId="0DECEA3C" w14:textId="1D6ACC3D" w:rsidR="00D1110B" w:rsidRPr="00BD4A5F" w:rsidRDefault="00EB3926" w:rsidP="00D1110B">
      <w:pPr>
        <w:rPr>
          <w:color w:val="auto"/>
          <w:u w:val="single"/>
          <w:lang w:val="en-AU"/>
        </w:rPr>
      </w:pPr>
      <w:r w:rsidRPr="00BD4A5F">
        <w:rPr>
          <w:color w:val="auto"/>
          <w:u w:val="single"/>
          <w:lang w:val="en-AU"/>
        </w:rPr>
        <w:t xml:space="preserve">Patient Selection for </w:t>
      </w:r>
      <w:r w:rsidR="00D1110B" w:rsidRPr="00BD4A5F">
        <w:rPr>
          <w:color w:val="auto"/>
          <w:u w:val="single"/>
          <w:lang w:val="en-AU"/>
        </w:rPr>
        <w:t>NSCLC</w:t>
      </w:r>
    </w:p>
    <w:p w14:paraId="54E2CAA6" w14:textId="4D0178B6" w:rsidR="00D1110B" w:rsidRPr="00BD4A5F" w:rsidRDefault="00D1110B" w:rsidP="00D1110B">
      <w:pPr>
        <w:rPr>
          <w:color w:val="auto"/>
          <w:lang w:val="en-AU"/>
        </w:rPr>
      </w:pPr>
      <w:r w:rsidRPr="00BD4A5F">
        <w:rPr>
          <w:color w:val="auto"/>
          <w:lang w:val="en-AU"/>
        </w:rPr>
        <w:t xml:space="preserve">Select patients for treatment with cemiplimab based on PD-L1 expression confirmed by a validated test in locally advanced or metastatic NSCLC (see </w:t>
      </w:r>
      <w:r w:rsidR="006E4DE1" w:rsidRPr="00BD4A5F">
        <w:rPr>
          <w:color w:val="auto"/>
          <w:lang w:val="en-AU"/>
        </w:rPr>
        <w:t xml:space="preserve">Section </w:t>
      </w:r>
      <w:r w:rsidR="006E4DE1" w:rsidRPr="00BD4A5F">
        <w:rPr>
          <w:color w:val="auto"/>
          <w:lang w:val="en-AU"/>
        </w:rPr>
        <w:fldChar w:fldCharType="begin"/>
      </w:r>
      <w:r w:rsidR="006E4DE1" w:rsidRPr="00BD4A5F">
        <w:rPr>
          <w:color w:val="auto"/>
          <w:lang w:val="en-AU"/>
        </w:rPr>
        <w:instrText xml:space="preserve"> REF _Ref13466766 \r \h  \* MERGEFORMAT </w:instrText>
      </w:r>
      <w:r w:rsidR="006E4DE1" w:rsidRPr="00BD4A5F">
        <w:rPr>
          <w:color w:val="auto"/>
          <w:lang w:val="en-AU"/>
        </w:rPr>
      </w:r>
      <w:r w:rsidR="006E4DE1" w:rsidRPr="00BD4A5F">
        <w:rPr>
          <w:color w:val="auto"/>
          <w:lang w:val="en-AU"/>
        </w:rPr>
        <w:fldChar w:fldCharType="separate"/>
      </w:r>
      <w:r w:rsidR="006B35A8">
        <w:rPr>
          <w:color w:val="auto"/>
          <w:lang w:val="en-AU"/>
        </w:rPr>
        <w:t>5.1</w:t>
      </w:r>
      <w:r w:rsidR="006E4DE1" w:rsidRPr="00BD4A5F">
        <w:rPr>
          <w:color w:val="auto"/>
          <w:lang w:val="en-AU"/>
        </w:rPr>
        <w:fldChar w:fldCharType="end"/>
      </w:r>
      <w:r w:rsidRPr="00BD4A5F">
        <w:rPr>
          <w:color w:val="auto"/>
          <w:lang w:val="en-AU"/>
        </w:rPr>
        <w:t>).</w:t>
      </w:r>
    </w:p>
    <w:p w14:paraId="114966D7" w14:textId="77777777" w:rsidR="007D565E" w:rsidRPr="00BD4A5F" w:rsidRDefault="00CD5483">
      <w:pPr>
        <w:pStyle w:val="Heading3"/>
        <w:numPr>
          <w:ilvl w:val="0"/>
          <w:numId w:val="0"/>
        </w:numPr>
        <w:ind w:left="680" w:hanging="680"/>
        <w:rPr>
          <w:lang w:val="en-AU"/>
        </w:rPr>
      </w:pPr>
      <w:r w:rsidRPr="00BD4A5F">
        <w:rPr>
          <w:lang w:val="en-AU"/>
        </w:rPr>
        <w:t>Posology</w:t>
      </w:r>
    </w:p>
    <w:p w14:paraId="47FAF217" w14:textId="77777777" w:rsidR="007D565E" w:rsidRPr="0038119B" w:rsidRDefault="00CD5483">
      <w:pPr>
        <w:pStyle w:val="Heading4"/>
        <w:numPr>
          <w:ilvl w:val="0"/>
          <w:numId w:val="0"/>
        </w:numPr>
        <w:ind w:left="862" w:hanging="862"/>
        <w:rPr>
          <w:lang w:val="en-AU"/>
        </w:rPr>
      </w:pPr>
      <w:r w:rsidRPr="0038119B">
        <w:rPr>
          <w:lang w:val="en-AU"/>
        </w:rPr>
        <w:t>Recommended dose</w:t>
      </w:r>
    </w:p>
    <w:p w14:paraId="012627BD" w14:textId="20FB4CF1" w:rsidR="007D565E" w:rsidRPr="0038119B" w:rsidRDefault="00CD5483">
      <w:pPr>
        <w:rPr>
          <w:lang w:val="en-AU"/>
        </w:rPr>
      </w:pPr>
      <w:r w:rsidRPr="0038119B">
        <w:rPr>
          <w:lang w:val="en-AU"/>
        </w:rPr>
        <w:t xml:space="preserve">The recommended dose is 350 mg </w:t>
      </w:r>
      <w:r w:rsidR="00D74BAA" w:rsidRPr="00B36E99">
        <w:rPr>
          <w:lang w:val="en-AU"/>
        </w:rPr>
        <w:t>LIBTAYO</w:t>
      </w:r>
      <w:r w:rsidRPr="0038119B">
        <w:rPr>
          <w:lang w:val="en-AU"/>
        </w:rPr>
        <w:t xml:space="preserve"> every 3 weeks </w:t>
      </w:r>
      <w:r w:rsidR="00902FB8" w:rsidRPr="0038119B">
        <w:rPr>
          <w:lang w:val="en-AU"/>
        </w:rPr>
        <w:t xml:space="preserve">(Q3W) </w:t>
      </w:r>
      <w:r w:rsidRPr="0038119B">
        <w:rPr>
          <w:lang w:val="en-AU"/>
        </w:rPr>
        <w:t xml:space="preserve">administered as an intravenous infusion over 30 minutes. Treatment may be continued until disease progression or unacceptable toxicity. </w:t>
      </w:r>
    </w:p>
    <w:p w14:paraId="2FCF26CC" w14:textId="77777777" w:rsidR="007D565E" w:rsidRPr="0038119B" w:rsidRDefault="00CD5483">
      <w:pPr>
        <w:pStyle w:val="Heading4"/>
        <w:numPr>
          <w:ilvl w:val="0"/>
          <w:numId w:val="0"/>
        </w:numPr>
        <w:ind w:left="862" w:hanging="862"/>
        <w:rPr>
          <w:lang w:val="en-AU"/>
        </w:rPr>
      </w:pPr>
      <w:r w:rsidRPr="0038119B">
        <w:rPr>
          <w:lang w:val="en-AU"/>
        </w:rPr>
        <w:lastRenderedPageBreak/>
        <w:t>Dose modifications</w:t>
      </w:r>
    </w:p>
    <w:p w14:paraId="39102F3C" w14:textId="36CEED66" w:rsidR="007D565E" w:rsidRPr="0038119B" w:rsidRDefault="00CD5483">
      <w:pPr>
        <w:rPr>
          <w:lang w:val="en-AU"/>
        </w:rPr>
      </w:pPr>
      <w:r w:rsidRPr="0038119B">
        <w:rPr>
          <w:lang w:val="en-AU"/>
        </w:rPr>
        <w:t xml:space="preserve">No dose reductions are recommended. Dosing delay or discontinuation may be required based on individual safety and tolerability. Recommended modifications to manage adverse reactions are provided in </w:t>
      </w:r>
      <w:r w:rsidRPr="0038119B">
        <w:rPr>
          <w:color w:val="0000FF"/>
          <w:lang w:val="en-AU"/>
        </w:rPr>
        <w:fldChar w:fldCharType="begin"/>
      </w:r>
      <w:r w:rsidRPr="0038119B">
        <w:rPr>
          <w:color w:val="0000FF"/>
          <w:lang w:val="en-AU"/>
        </w:rPr>
        <w:instrText xml:space="preserve"> REF _Ref13143991 \h  \* MERGEFORMAT </w:instrText>
      </w:r>
      <w:r w:rsidRPr="0038119B">
        <w:rPr>
          <w:color w:val="0000FF"/>
          <w:lang w:val="en-AU"/>
        </w:rPr>
      </w:r>
      <w:r w:rsidRPr="0038119B">
        <w:rPr>
          <w:color w:val="0000FF"/>
          <w:lang w:val="en-AU"/>
        </w:rPr>
        <w:fldChar w:fldCharType="separate"/>
      </w:r>
      <w:r w:rsidR="006B35A8" w:rsidRPr="006B35A8">
        <w:rPr>
          <w:color w:val="0000FF"/>
          <w:lang w:val="en-AU"/>
        </w:rPr>
        <w:t>Table 1</w:t>
      </w:r>
      <w:r w:rsidRPr="0038119B">
        <w:rPr>
          <w:color w:val="0000FF"/>
          <w:lang w:val="en-AU"/>
        </w:rPr>
        <w:fldChar w:fldCharType="end"/>
      </w:r>
      <w:r w:rsidRPr="0038119B">
        <w:rPr>
          <w:lang w:val="en-AU"/>
        </w:rPr>
        <w:t>.</w:t>
      </w:r>
    </w:p>
    <w:p w14:paraId="3CF0EEF2" w14:textId="2E18517C" w:rsidR="007D565E" w:rsidRPr="0038119B" w:rsidRDefault="00CD5483">
      <w:pPr>
        <w:rPr>
          <w:strike/>
          <w:color w:val="FF0000"/>
          <w:lang w:val="en-AU"/>
        </w:rPr>
        <w:sectPr w:rsidR="007D565E" w:rsidRPr="0038119B">
          <w:headerReference w:type="default" r:id="rId8"/>
          <w:footerReference w:type="default" r:id="rId9"/>
          <w:pgSz w:w="11906" w:h="16838"/>
          <w:pgMar w:top="1440" w:right="1440" w:bottom="1440" w:left="1440" w:header="708" w:footer="708" w:gutter="0"/>
          <w:cols w:space="708"/>
          <w:docGrid w:linePitch="360"/>
        </w:sectPr>
      </w:pPr>
      <w:r w:rsidRPr="0038119B">
        <w:rPr>
          <w:lang w:val="en-AU"/>
        </w:rPr>
        <w:t>Detailed guidelines for the management of immune</w:t>
      </w:r>
      <w:r w:rsidRPr="0038119B">
        <w:rPr>
          <w:lang w:val="en-AU"/>
        </w:rPr>
        <w:noBreakHyphen/>
        <w:t>related adverse reactions are described in</w:t>
      </w:r>
      <w:r w:rsidRPr="0038119B">
        <w:rPr>
          <w:strike/>
          <w:color w:val="FF0000"/>
          <w:lang w:val="en-AU"/>
        </w:rPr>
        <w:t xml:space="preserve"> </w:t>
      </w:r>
      <w:r w:rsidRPr="0038119B">
        <w:rPr>
          <w:color w:val="0000FF"/>
          <w:lang w:val="en-AU"/>
        </w:rPr>
        <w:fldChar w:fldCharType="begin"/>
      </w:r>
      <w:r w:rsidRPr="0038119B">
        <w:rPr>
          <w:color w:val="0000FF"/>
          <w:lang w:val="en-AU"/>
        </w:rPr>
        <w:instrText xml:space="preserve"> REF _Ref13143991 \h  \* MERGEFORMAT </w:instrText>
      </w:r>
      <w:r w:rsidRPr="0038119B">
        <w:rPr>
          <w:color w:val="0000FF"/>
          <w:lang w:val="en-AU"/>
        </w:rPr>
      </w:r>
      <w:r w:rsidRPr="0038119B">
        <w:rPr>
          <w:color w:val="0000FF"/>
          <w:lang w:val="en-AU"/>
        </w:rPr>
        <w:fldChar w:fldCharType="separate"/>
      </w:r>
      <w:r w:rsidR="006B35A8" w:rsidRPr="006B35A8">
        <w:rPr>
          <w:color w:val="0000FF"/>
          <w:lang w:val="en-AU"/>
        </w:rPr>
        <w:t>Table 1</w:t>
      </w:r>
      <w:r w:rsidRPr="0038119B">
        <w:rPr>
          <w:color w:val="0000FF"/>
          <w:lang w:val="en-AU"/>
        </w:rPr>
        <w:fldChar w:fldCharType="end"/>
      </w:r>
      <w:r w:rsidRPr="0038119B">
        <w:rPr>
          <w:color w:val="0000FF"/>
          <w:lang w:val="en-AU"/>
        </w:rPr>
        <w:t xml:space="preserve"> </w:t>
      </w:r>
      <w:r w:rsidRPr="0038119B">
        <w:rPr>
          <w:lang w:val="en-AU"/>
        </w:rPr>
        <w:t xml:space="preserve">(see also Section </w:t>
      </w:r>
      <w:r w:rsidRPr="0038119B">
        <w:rPr>
          <w:color w:val="0000FF"/>
          <w:lang w:val="en-AU"/>
        </w:rPr>
        <w:fldChar w:fldCharType="begin"/>
      </w:r>
      <w:r w:rsidRPr="0038119B">
        <w:rPr>
          <w:color w:val="0000FF"/>
          <w:lang w:val="en-AU"/>
        </w:rPr>
        <w:instrText xml:space="preserve"> REF _Ref13467260 \r \h  \* MERGEFORMAT </w:instrText>
      </w:r>
      <w:r w:rsidRPr="0038119B">
        <w:rPr>
          <w:color w:val="0000FF"/>
          <w:lang w:val="en-AU"/>
        </w:rPr>
      </w:r>
      <w:r w:rsidRPr="0038119B">
        <w:rPr>
          <w:color w:val="0000FF"/>
          <w:lang w:val="en-AU"/>
        </w:rPr>
        <w:fldChar w:fldCharType="separate"/>
      </w:r>
      <w:r w:rsidR="006B35A8">
        <w:rPr>
          <w:color w:val="0000FF"/>
          <w:lang w:val="en-AU"/>
        </w:rPr>
        <w:t>4.4</w:t>
      </w:r>
      <w:r w:rsidRPr="0038119B">
        <w:rPr>
          <w:color w:val="0000FF"/>
          <w:lang w:val="en-AU"/>
        </w:rPr>
        <w:fldChar w:fldCharType="end"/>
      </w:r>
      <w:r w:rsidRPr="0038119B">
        <w:rPr>
          <w:color w:val="0000FF"/>
          <w:lang w:val="en-AU"/>
        </w:rPr>
        <w:t xml:space="preserve"> </w:t>
      </w:r>
      <w:r w:rsidRPr="0038119B">
        <w:rPr>
          <w:lang w:val="en-AU"/>
        </w:rPr>
        <w:t xml:space="preserve">and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w:t>
      </w:r>
    </w:p>
    <w:p w14:paraId="020B897E" w14:textId="77777777" w:rsidR="007D565E" w:rsidRPr="0038119B" w:rsidRDefault="007D565E">
      <w:pPr>
        <w:rPr>
          <w:lang w:val="en-AU"/>
        </w:rPr>
      </w:pPr>
    </w:p>
    <w:p w14:paraId="0FA65682" w14:textId="6DFF1BBF" w:rsidR="007D565E" w:rsidRPr="0038119B" w:rsidRDefault="00CD5483">
      <w:pPr>
        <w:pStyle w:val="Caption"/>
        <w:rPr>
          <w:rFonts w:cs="Times New Roman"/>
          <w:lang w:val="en-AU"/>
        </w:rPr>
      </w:pPr>
      <w:bookmarkStart w:id="5" w:name="_Ref13143991"/>
      <w:r w:rsidRPr="0038119B">
        <w:rPr>
          <w:lang w:val="en-AU"/>
        </w:rPr>
        <w:t>Table </w:t>
      </w:r>
      <w:r w:rsidRPr="0038119B">
        <w:rPr>
          <w:lang w:val="en-AU"/>
        </w:rPr>
        <w:fldChar w:fldCharType="begin"/>
      </w:r>
      <w:r w:rsidRPr="0038119B">
        <w:rPr>
          <w:lang w:val="en-AU"/>
        </w:rPr>
        <w:instrText xml:space="preserve"> SEQ Table \* ARABIC </w:instrText>
      </w:r>
      <w:r w:rsidRPr="0038119B">
        <w:rPr>
          <w:lang w:val="en-AU"/>
        </w:rPr>
        <w:fldChar w:fldCharType="separate"/>
      </w:r>
      <w:r w:rsidR="006B35A8">
        <w:rPr>
          <w:noProof/>
          <w:lang w:val="en-AU"/>
        </w:rPr>
        <w:t>1</w:t>
      </w:r>
      <w:r w:rsidRPr="0038119B">
        <w:rPr>
          <w:lang w:val="en-AU"/>
        </w:rPr>
        <w:fldChar w:fldCharType="end"/>
      </w:r>
      <w:bookmarkEnd w:id="5"/>
      <w:r w:rsidRPr="0038119B">
        <w:rPr>
          <w:lang w:val="en-AU"/>
        </w:rPr>
        <w:t xml:space="preserve"> ­ Recommended treatment modifications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4394"/>
        <w:gridCol w:w="4314"/>
      </w:tblGrid>
      <w:tr w:rsidR="007D565E" w:rsidRPr="0038119B" w14:paraId="493F52D5" w14:textId="77777777">
        <w:trPr>
          <w:cantSplit/>
          <w:trHeight w:val="576"/>
          <w:tblHeader/>
          <w:jc w:val="center"/>
        </w:trPr>
        <w:tc>
          <w:tcPr>
            <w:tcW w:w="3114" w:type="dxa"/>
            <w:shd w:val="clear" w:color="auto" w:fill="auto"/>
            <w:vAlign w:val="center"/>
          </w:tcPr>
          <w:p w14:paraId="7B516163" w14:textId="77777777" w:rsidR="007D565E" w:rsidRPr="0038119B" w:rsidRDefault="00CD5483">
            <w:pPr>
              <w:pStyle w:val="TblHeadingCenter"/>
              <w:rPr>
                <w:lang w:val="en-AU"/>
              </w:rPr>
            </w:pPr>
            <w:r w:rsidRPr="0038119B">
              <w:rPr>
                <w:lang w:val="en-AU"/>
              </w:rPr>
              <w:t xml:space="preserve">Adverse </w:t>
            </w:r>
            <w:proofErr w:type="spellStart"/>
            <w:r w:rsidRPr="0038119B">
              <w:rPr>
                <w:lang w:val="en-AU"/>
              </w:rPr>
              <w:t>Reaction</w:t>
            </w:r>
            <w:r w:rsidRPr="0038119B">
              <w:rPr>
                <w:vertAlign w:val="superscript"/>
                <w:lang w:val="en-AU"/>
              </w:rPr>
              <w:t>a</w:t>
            </w:r>
            <w:proofErr w:type="spellEnd"/>
          </w:p>
        </w:tc>
        <w:tc>
          <w:tcPr>
            <w:tcW w:w="2126" w:type="dxa"/>
            <w:shd w:val="clear" w:color="auto" w:fill="auto"/>
            <w:vAlign w:val="center"/>
          </w:tcPr>
          <w:p w14:paraId="7C121197" w14:textId="2B996F1A" w:rsidR="007D565E" w:rsidRPr="0038119B" w:rsidRDefault="00CD5483">
            <w:pPr>
              <w:pStyle w:val="TblHeadingCenter"/>
              <w:rPr>
                <w:lang w:val="en-AU"/>
              </w:rPr>
            </w:pPr>
            <w:proofErr w:type="spellStart"/>
            <w:r w:rsidRPr="0038119B">
              <w:rPr>
                <w:lang w:val="en-AU"/>
              </w:rPr>
              <w:t>Severity</w:t>
            </w:r>
            <w:r w:rsidRPr="0038119B">
              <w:rPr>
                <w:vertAlign w:val="superscript"/>
                <w:lang w:val="en-AU"/>
              </w:rPr>
              <w:t>b</w:t>
            </w:r>
            <w:proofErr w:type="spellEnd"/>
          </w:p>
        </w:tc>
        <w:tc>
          <w:tcPr>
            <w:tcW w:w="4394" w:type="dxa"/>
            <w:shd w:val="clear" w:color="auto" w:fill="auto"/>
            <w:vAlign w:val="center"/>
          </w:tcPr>
          <w:p w14:paraId="5C39CD28" w14:textId="77777777" w:rsidR="007D565E" w:rsidRPr="0038119B" w:rsidRDefault="00CD5483">
            <w:pPr>
              <w:pStyle w:val="TblHeadingCenter"/>
              <w:rPr>
                <w:lang w:val="en-AU"/>
              </w:rPr>
            </w:pPr>
            <w:r w:rsidRPr="0038119B">
              <w:rPr>
                <w:lang w:val="en-AU"/>
              </w:rPr>
              <w:t>Dose modification</w:t>
            </w:r>
          </w:p>
        </w:tc>
        <w:tc>
          <w:tcPr>
            <w:tcW w:w="4314" w:type="dxa"/>
            <w:shd w:val="clear" w:color="auto" w:fill="auto"/>
            <w:vAlign w:val="center"/>
          </w:tcPr>
          <w:p w14:paraId="308068C0" w14:textId="77777777" w:rsidR="007D565E" w:rsidRPr="0038119B" w:rsidRDefault="00CD5483">
            <w:pPr>
              <w:pStyle w:val="TblHeadingCenter"/>
              <w:rPr>
                <w:lang w:val="en-AU"/>
              </w:rPr>
            </w:pPr>
            <w:r w:rsidRPr="0038119B">
              <w:rPr>
                <w:lang w:val="en-AU"/>
              </w:rPr>
              <w:t>Additional intervention</w:t>
            </w:r>
          </w:p>
        </w:tc>
      </w:tr>
      <w:tr w:rsidR="007D565E" w:rsidRPr="0038119B" w14:paraId="128FC9B9" w14:textId="77777777">
        <w:trPr>
          <w:cantSplit/>
          <w:trHeight w:val="313"/>
          <w:tblHeader/>
          <w:jc w:val="center"/>
        </w:trPr>
        <w:tc>
          <w:tcPr>
            <w:tcW w:w="13948" w:type="dxa"/>
            <w:gridSpan w:val="4"/>
            <w:shd w:val="clear" w:color="auto" w:fill="auto"/>
            <w:vAlign w:val="center"/>
          </w:tcPr>
          <w:p w14:paraId="1D59A15A" w14:textId="77777777" w:rsidR="007D565E" w:rsidRPr="0038119B" w:rsidRDefault="00CD5483" w:rsidP="000D00DD">
            <w:pPr>
              <w:pStyle w:val="TblHeadingCenter"/>
              <w:jc w:val="left"/>
              <w:rPr>
                <w:color w:val="0070C0"/>
                <w:u w:val="double"/>
                <w:lang w:val="en-AU"/>
              </w:rPr>
            </w:pPr>
            <w:r w:rsidRPr="0038119B">
              <w:rPr>
                <w:lang w:val="en-AU"/>
              </w:rPr>
              <w:t>Immune-Related Adverse Reactions</w:t>
            </w:r>
          </w:p>
        </w:tc>
      </w:tr>
      <w:tr w:rsidR="007D565E" w:rsidRPr="0038119B" w14:paraId="6E4CAC63" w14:textId="77777777">
        <w:trPr>
          <w:cantSplit/>
          <w:trHeight w:val="219"/>
          <w:jc w:val="center"/>
        </w:trPr>
        <w:tc>
          <w:tcPr>
            <w:tcW w:w="3114" w:type="dxa"/>
            <w:vMerge w:val="restart"/>
            <w:shd w:val="clear" w:color="auto" w:fill="auto"/>
            <w:vAlign w:val="center"/>
          </w:tcPr>
          <w:p w14:paraId="2A1C98C4" w14:textId="1FA26E6C" w:rsidR="007D565E" w:rsidRPr="0038119B" w:rsidRDefault="00CD5483" w:rsidP="00680930">
            <w:pPr>
              <w:pStyle w:val="TblTextCenter"/>
              <w:rPr>
                <w:lang w:val="en-AU"/>
              </w:rPr>
            </w:pPr>
            <w:r w:rsidRPr="0038119B">
              <w:rPr>
                <w:lang w:val="en-AU"/>
              </w:rPr>
              <w:t>Pneumonitis</w:t>
            </w:r>
          </w:p>
        </w:tc>
        <w:tc>
          <w:tcPr>
            <w:tcW w:w="2126" w:type="dxa"/>
            <w:vMerge w:val="restart"/>
            <w:shd w:val="clear" w:color="auto" w:fill="auto"/>
            <w:vAlign w:val="center"/>
          </w:tcPr>
          <w:p w14:paraId="261D5AB7" w14:textId="77777777" w:rsidR="007D565E" w:rsidRPr="0038119B" w:rsidRDefault="00CD5483">
            <w:pPr>
              <w:pStyle w:val="TblTextCenter"/>
              <w:rPr>
                <w:lang w:val="en-AU"/>
              </w:rPr>
            </w:pPr>
            <w:r w:rsidRPr="0038119B">
              <w:rPr>
                <w:lang w:val="en-AU"/>
              </w:rPr>
              <w:t>Grade 2</w:t>
            </w:r>
          </w:p>
        </w:tc>
        <w:tc>
          <w:tcPr>
            <w:tcW w:w="4394" w:type="dxa"/>
            <w:shd w:val="clear" w:color="auto" w:fill="auto"/>
            <w:vAlign w:val="center"/>
          </w:tcPr>
          <w:p w14:paraId="4F2DEB35"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2FA52A18"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66C3F71D" w14:textId="77777777">
        <w:trPr>
          <w:cantSplit/>
          <w:trHeight w:val="213"/>
          <w:jc w:val="center"/>
        </w:trPr>
        <w:tc>
          <w:tcPr>
            <w:tcW w:w="3114" w:type="dxa"/>
            <w:vMerge/>
            <w:shd w:val="clear" w:color="auto" w:fill="auto"/>
            <w:vAlign w:val="center"/>
          </w:tcPr>
          <w:p w14:paraId="0E7E51B9" w14:textId="77777777" w:rsidR="007D565E" w:rsidRPr="0038119B" w:rsidRDefault="007D565E">
            <w:pPr>
              <w:contextualSpacing/>
              <w:rPr>
                <w:sz w:val="20"/>
                <w:lang w:val="en-AU"/>
              </w:rPr>
            </w:pPr>
          </w:p>
        </w:tc>
        <w:tc>
          <w:tcPr>
            <w:tcW w:w="2126" w:type="dxa"/>
            <w:vMerge/>
            <w:shd w:val="clear" w:color="auto" w:fill="auto"/>
            <w:vAlign w:val="center"/>
          </w:tcPr>
          <w:p w14:paraId="1F11CE25" w14:textId="77777777" w:rsidR="007D565E" w:rsidRPr="0038119B" w:rsidRDefault="007D565E">
            <w:pPr>
              <w:contextualSpacing/>
              <w:rPr>
                <w:sz w:val="20"/>
                <w:lang w:val="en-AU"/>
              </w:rPr>
            </w:pPr>
          </w:p>
        </w:tc>
        <w:tc>
          <w:tcPr>
            <w:tcW w:w="8708" w:type="dxa"/>
            <w:gridSpan w:val="2"/>
            <w:shd w:val="clear" w:color="auto" w:fill="auto"/>
            <w:vAlign w:val="center"/>
          </w:tcPr>
          <w:p w14:paraId="091E342A" w14:textId="77777777" w:rsidR="007D565E" w:rsidRPr="0038119B" w:rsidRDefault="00CD5483">
            <w:pPr>
              <w:pStyle w:val="TblTextCenter"/>
              <w:rPr>
                <w:lang w:val="en-AU"/>
              </w:rPr>
            </w:pPr>
            <w:r w:rsidRPr="0038119B">
              <w:rPr>
                <w:lang w:val="en-AU"/>
              </w:rPr>
              <w:t>Resume LIBTAYO if pneumonitis improves and remains at Grade 0 to 1 after corticosteroid taper to ≤10 mg/day prednisone or equivalent</w:t>
            </w:r>
          </w:p>
        </w:tc>
      </w:tr>
      <w:tr w:rsidR="007D565E" w:rsidRPr="0038119B" w14:paraId="3EE5169E" w14:textId="77777777">
        <w:trPr>
          <w:cantSplit/>
          <w:trHeight w:val="193"/>
          <w:jc w:val="center"/>
        </w:trPr>
        <w:tc>
          <w:tcPr>
            <w:tcW w:w="3114" w:type="dxa"/>
            <w:vMerge/>
            <w:shd w:val="clear" w:color="auto" w:fill="auto"/>
            <w:vAlign w:val="center"/>
          </w:tcPr>
          <w:p w14:paraId="06EBF4CC" w14:textId="77777777" w:rsidR="007D565E" w:rsidRPr="0038119B" w:rsidRDefault="007D565E">
            <w:pPr>
              <w:contextualSpacing/>
              <w:rPr>
                <w:sz w:val="20"/>
                <w:lang w:val="en-AU"/>
              </w:rPr>
            </w:pPr>
          </w:p>
        </w:tc>
        <w:tc>
          <w:tcPr>
            <w:tcW w:w="2126" w:type="dxa"/>
            <w:shd w:val="clear" w:color="auto" w:fill="auto"/>
            <w:vAlign w:val="center"/>
          </w:tcPr>
          <w:p w14:paraId="132CC06D" w14:textId="60EFF486" w:rsidR="007D565E" w:rsidRPr="0038119B" w:rsidRDefault="00CD5483" w:rsidP="00680930">
            <w:pPr>
              <w:pStyle w:val="TblTextCenter"/>
              <w:rPr>
                <w:lang w:val="en-AU"/>
              </w:rPr>
            </w:pPr>
            <w:r w:rsidRPr="0038119B">
              <w:rPr>
                <w:lang w:val="en-AU"/>
              </w:rPr>
              <w:t>Grade 3 or 4 or</w:t>
            </w:r>
            <w:r w:rsidR="00680930" w:rsidRPr="0038119B">
              <w:rPr>
                <w:lang w:val="en-AU"/>
              </w:rPr>
              <w:t xml:space="preserve"> </w:t>
            </w:r>
            <w:r w:rsidRPr="0038119B">
              <w:rPr>
                <w:lang w:val="en-AU"/>
              </w:rPr>
              <w:t>recurrent Grade 2</w:t>
            </w:r>
          </w:p>
        </w:tc>
        <w:tc>
          <w:tcPr>
            <w:tcW w:w="4394" w:type="dxa"/>
            <w:shd w:val="clear" w:color="auto" w:fill="auto"/>
            <w:vAlign w:val="center"/>
          </w:tcPr>
          <w:p w14:paraId="36DEE28D" w14:textId="77777777" w:rsidR="007D565E" w:rsidRPr="0038119B" w:rsidRDefault="00CD5483">
            <w:pPr>
              <w:pStyle w:val="TblTextCenter"/>
              <w:rPr>
                <w:lang w:val="en-AU"/>
              </w:rPr>
            </w:pPr>
            <w:r w:rsidRPr="0038119B">
              <w:rPr>
                <w:lang w:val="en-AU"/>
              </w:rPr>
              <w:t>Permanently discontinue</w:t>
            </w:r>
          </w:p>
        </w:tc>
        <w:tc>
          <w:tcPr>
            <w:tcW w:w="4314" w:type="dxa"/>
            <w:shd w:val="clear" w:color="auto" w:fill="auto"/>
            <w:vAlign w:val="center"/>
          </w:tcPr>
          <w:p w14:paraId="1FA6039B" w14:textId="77777777" w:rsidR="007D565E" w:rsidRPr="0038119B" w:rsidRDefault="00CD5483">
            <w:pPr>
              <w:pStyle w:val="TblTextCenter"/>
              <w:rPr>
                <w:lang w:val="en-AU"/>
              </w:rPr>
            </w:pPr>
            <w:r w:rsidRPr="0038119B">
              <w:rPr>
                <w:lang w:val="en-AU"/>
              </w:rPr>
              <w:t>Initial dose of 2 to 4 mg/kg/day prednisone or equivalent followed by a taper</w:t>
            </w:r>
          </w:p>
        </w:tc>
      </w:tr>
      <w:tr w:rsidR="007D565E" w:rsidRPr="0038119B" w14:paraId="7D1D8493" w14:textId="77777777">
        <w:trPr>
          <w:cantSplit/>
          <w:trHeight w:val="245"/>
          <w:jc w:val="center"/>
        </w:trPr>
        <w:tc>
          <w:tcPr>
            <w:tcW w:w="3114" w:type="dxa"/>
            <w:vMerge w:val="restart"/>
            <w:shd w:val="clear" w:color="auto" w:fill="auto"/>
            <w:vAlign w:val="center"/>
          </w:tcPr>
          <w:p w14:paraId="509B25AB" w14:textId="0158C858" w:rsidR="007D565E" w:rsidRPr="0038119B" w:rsidRDefault="00CD5483" w:rsidP="00680930">
            <w:pPr>
              <w:pStyle w:val="TblTextCenter"/>
              <w:rPr>
                <w:lang w:val="en-AU"/>
              </w:rPr>
            </w:pPr>
            <w:r w:rsidRPr="0038119B">
              <w:rPr>
                <w:lang w:val="en-AU"/>
              </w:rPr>
              <w:t>Colitis</w:t>
            </w:r>
          </w:p>
        </w:tc>
        <w:tc>
          <w:tcPr>
            <w:tcW w:w="2126" w:type="dxa"/>
            <w:vMerge w:val="restart"/>
            <w:shd w:val="clear" w:color="auto" w:fill="auto"/>
            <w:vAlign w:val="center"/>
          </w:tcPr>
          <w:p w14:paraId="6B00EBDB" w14:textId="7084B37C" w:rsidR="007D565E" w:rsidRPr="0038119B" w:rsidRDefault="00CD5483">
            <w:pPr>
              <w:pStyle w:val="TblTextCenter"/>
              <w:rPr>
                <w:lang w:val="en-AU"/>
              </w:rPr>
            </w:pPr>
            <w:r w:rsidRPr="0038119B">
              <w:rPr>
                <w:lang w:val="en-AU"/>
              </w:rPr>
              <w:t>Grade 2 or 3</w:t>
            </w:r>
          </w:p>
        </w:tc>
        <w:tc>
          <w:tcPr>
            <w:tcW w:w="4394" w:type="dxa"/>
            <w:shd w:val="clear" w:color="auto" w:fill="auto"/>
            <w:vAlign w:val="center"/>
          </w:tcPr>
          <w:p w14:paraId="1D652F7D"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4DDB9CDC"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4E57483D" w14:textId="77777777">
        <w:trPr>
          <w:cantSplit/>
          <w:trHeight w:val="225"/>
          <w:jc w:val="center"/>
        </w:trPr>
        <w:tc>
          <w:tcPr>
            <w:tcW w:w="3114" w:type="dxa"/>
            <w:vMerge/>
            <w:shd w:val="clear" w:color="auto" w:fill="auto"/>
            <w:vAlign w:val="center"/>
          </w:tcPr>
          <w:p w14:paraId="707407BE" w14:textId="77777777" w:rsidR="007D565E" w:rsidRPr="0038119B" w:rsidRDefault="007D565E">
            <w:pPr>
              <w:contextualSpacing/>
              <w:rPr>
                <w:sz w:val="20"/>
                <w:lang w:val="en-AU"/>
              </w:rPr>
            </w:pPr>
          </w:p>
        </w:tc>
        <w:tc>
          <w:tcPr>
            <w:tcW w:w="2126" w:type="dxa"/>
            <w:vMerge/>
            <w:shd w:val="clear" w:color="auto" w:fill="auto"/>
            <w:vAlign w:val="center"/>
          </w:tcPr>
          <w:p w14:paraId="2E59E61B" w14:textId="77777777" w:rsidR="007D565E" w:rsidRPr="0038119B" w:rsidRDefault="007D565E">
            <w:pPr>
              <w:contextualSpacing/>
              <w:rPr>
                <w:sz w:val="20"/>
                <w:lang w:val="en-AU"/>
              </w:rPr>
            </w:pPr>
          </w:p>
        </w:tc>
        <w:tc>
          <w:tcPr>
            <w:tcW w:w="8708" w:type="dxa"/>
            <w:gridSpan w:val="2"/>
            <w:shd w:val="clear" w:color="auto" w:fill="auto"/>
            <w:vAlign w:val="center"/>
          </w:tcPr>
          <w:p w14:paraId="49DD6ACE" w14:textId="77777777" w:rsidR="007D565E" w:rsidRPr="0038119B" w:rsidRDefault="00CD5483">
            <w:pPr>
              <w:pStyle w:val="TblTextCenter"/>
              <w:rPr>
                <w:lang w:val="en-AU"/>
              </w:rPr>
            </w:pPr>
            <w:r w:rsidRPr="0038119B">
              <w:rPr>
                <w:lang w:val="en-AU"/>
              </w:rPr>
              <w:t>Resume LIBTAYO if colitis or diarrhoea improves and remains at Grade 0 to 1 after corticosteroid taper to ≤10 mg/day prednisone or equivalent</w:t>
            </w:r>
          </w:p>
        </w:tc>
      </w:tr>
      <w:tr w:rsidR="007D565E" w:rsidRPr="0038119B" w14:paraId="0F912F1A" w14:textId="77777777">
        <w:trPr>
          <w:cantSplit/>
          <w:trHeight w:val="347"/>
          <w:jc w:val="center"/>
        </w:trPr>
        <w:tc>
          <w:tcPr>
            <w:tcW w:w="3114" w:type="dxa"/>
            <w:vMerge/>
            <w:shd w:val="clear" w:color="auto" w:fill="auto"/>
            <w:vAlign w:val="center"/>
          </w:tcPr>
          <w:p w14:paraId="057B191E" w14:textId="77777777" w:rsidR="007D565E" w:rsidRPr="0038119B" w:rsidRDefault="007D565E">
            <w:pPr>
              <w:contextualSpacing/>
              <w:rPr>
                <w:sz w:val="20"/>
                <w:lang w:val="en-AU"/>
              </w:rPr>
            </w:pPr>
          </w:p>
        </w:tc>
        <w:tc>
          <w:tcPr>
            <w:tcW w:w="2126" w:type="dxa"/>
            <w:shd w:val="clear" w:color="auto" w:fill="auto"/>
            <w:vAlign w:val="center"/>
          </w:tcPr>
          <w:p w14:paraId="51443DAE" w14:textId="158E2626" w:rsidR="007D565E" w:rsidRPr="0038119B" w:rsidRDefault="00CD5483" w:rsidP="00680930">
            <w:pPr>
              <w:pStyle w:val="TblTextCenter"/>
              <w:rPr>
                <w:lang w:val="en-AU"/>
              </w:rPr>
            </w:pPr>
            <w:r w:rsidRPr="0038119B">
              <w:rPr>
                <w:lang w:val="en-AU"/>
              </w:rPr>
              <w:t>Grade 4 or</w:t>
            </w:r>
            <w:r w:rsidR="00680930" w:rsidRPr="0038119B">
              <w:rPr>
                <w:lang w:val="en-AU"/>
              </w:rPr>
              <w:t xml:space="preserve"> </w:t>
            </w:r>
            <w:r w:rsidRPr="0038119B">
              <w:rPr>
                <w:lang w:val="en-AU"/>
              </w:rPr>
              <w:t xml:space="preserve">recurrent Grade 3 </w:t>
            </w:r>
          </w:p>
        </w:tc>
        <w:tc>
          <w:tcPr>
            <w:tcW w:w="4394" w:type="dxa"/>
            <w:shd w:val="clear" w:color="auto" w:fill="auto"/>
            <w:vAlign w:val="center"/>
          </w:tcPr>
          <w:p w14:paraId="41FF16B9" w14:textId="77777777" w:rsidR="007D565E" w:rsidRPr="0038119B" w:rsidRDefault="00CD5483">
            <w:pPr>
              <w:pStyle w:val="TblTextCenter"/>
              <w:rPr>
                <w:lang w:val="en-AU"/>
              </w:rPr>
            </w:pPr>
            <w:r w:rsidRPr="0038119B">
              <w:rPr>
                <w:lang w:val="en-AU"/>
              </w:rPr>
              <w:t>Permanently discontinue</w:t>
            </w:r>
          </w:p>
        </w:tc>
        <w:tc>
          <w:tcPr>
            <w:tcW w:w="4314" w:type="dxa"/>
            <w:shd w:val="clear" w:color="auto" w:fill="auto"/>
            <w:vAlign w:val="center"/>
          </w:tcPr>
          <w:p w14:paraId="7217A13A"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69D72811" w14:textId="77777777">
        <w:trPr>
          <w:cantSplit/>
          <w:trHeight w:val="64"/>
          <w:jc w:val="center"/>
        </w:trPr>
        <w:tc>
          <w:tcPr>
            <w:tcW w:w="3114" w:type="dxa"/>
            <w:vMerge w:val="restart"/>
            <w:shd w:val="clear" w:color="auto" w:fill="auto"/>
            <w:vAlign w:val="center"/>
          </w:tcPr>
          <w:p w14:paraId="5F41DC5F" w14:textId="17F39F94" w:rsidR="007D565E" w:rsidRPr="0038119B" w:rsidRDefault="00CD5483" w:rsidP="00680930">
            <w:pPr>
              <w:pStyle w:val="TblTextCenter"/>
              <w:rPr>
                <w:lang w:val="en-AU"/>
              </w:rPr>
            </w:pPr>
            <w:r w:rsidRPr="0038119B">
              <w:rPr>
                <w:lang w:val="en-AU"/>
              </w:rPr>
              <w:t>Hepatitis</w:t>
            </w:r>
          </w:p>
        </w:tc>
        <w:tc>
          <w:tcPr>
            <w:tcW w:w="2126" w:type="dxa"/>
            <w:vMerge w:val="restart"/>
            <w:shd w:val="clear" w:color="auto" w:fill="auto"/>
            <w:vAlign w:val="center"/>
          </w:tcPr>
          <w:p w14:paraId="7CB018FA" w14:textId="77777777" w:rsidR="007D565E" w:rsidRPr="0038119B" w:rsidRDefault="00CD5483">
            <w:pPr>
              <w:pStyle w:val="TblTextCenter"/>
              <w:rPr>
                <w:lang w:val="en-AU"/>
              </w:rPr>
            </w:pPr>
            <w:r w:rsidRPr="0038119B">
              <w:rPr>
                <w:lang w:val="en-AU"/>
              </w:rPr>
              <w:t>Grade 2 with AST or ALT &gt;3 and ≤5×ULN</w:t>
            </w:r>
          </w:p>
          <w:p w14:paraId="0ABB2150" w14:textId="77777777" w:rsidR="007D565E" w:rsidRPr="0038119B" w:rsidRDefault="00CD5483">
            <w:pPr>
              <w:pStyle w:val="TblTextCenter"/>
              <w:rPr>
                <w:lang w:val="en-AU"/>
              </w:rPr>
            </w:pPr>
            <w:r w:rsidRPr="0038119B">
              <w:rPr>
                <w:lang w:val="en-AU"/>
              </w:rPr>
              <w:t>or</w:t>
            </w:r>
          </w:p>
          <w:p w14:paraId="47F9C285" w14:textId="77777777" w:rsidR="007D565E" w:rsidRPr="0038119B" w:rsidRDefault="00CD5483">
            <w:pPr>
              <w:pStyle w:val="TblTextCenter"/>
              <w:rPr>
                <w:lang w:val="en-AU"/>
              </w:rPr>
            </w:pPr>
            <w:r w:rsidRPr="0038119B">
              <w:rPr>
                <w:lang w:val="en-AU"/>
              </w:rPr>
              <w:t>total bilirubin &gt;1.5 and ≤3×ULN</w:t>
            </w:r>
          </w:p>
        </w:tc>
        <w:tc>
          <w:tcPr>
            <w:tcW w:w="4394" w:type="dxa"/>
            <w:shd w:val="clear" w:color="auto" w:fill="auto"/>
            <w:vAlign w:val="center"/>
          </w:tcPr>
          <w:p w14:paraId="53A83498"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76F6819C"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4623E1F0" w14:textId="77777777">
        <w:trPr>
          <w:cantSplit/>
          <w:trHeight w:val="95"/>
          <w:jc w:val="center"/>
        </w:trPr>
        <w:tc>
          <w:tcPr>
            <w:tcW w:w="3114" w:type="dxa"/>
            <w:vMerge/>
            <w:shd w:val="clear" w:color="auto" w:fill="auto"/>
            <w:vAlign w:val="center"/>
          </w:tcPr>
          <w:p w14:paraId="7E2911AD" w14:textId="77777777" w:rsidR="007D565E" w:rsidRPr="0038119B" w:rsidRDefault="007D565E">
            <w:pPr>
              <w:tabs>
                <w:tab w:val="center" w:pos="1488"/>
              </w:tabs>
              <w:contextualSpacing/>
              <w:rPr>
                <w:sz w:val="20"/>
                <w:lang w:val="en-AU"/>
              </w:rPr>
            </w:pPr>
          </w:p>
        </w:tc>
        <w:tc>
          <w:tcPr>
            <w:tcW w:w="2126" w:type="dxa"/>
            <w:vMerge/>
            <w:shd w:val="clear" w:color="auto" w:fill="auto"/>
            <w:vAlign w:val="center"/>
          </w:tcPr>
          <w:p w14:paraId="08982392" w14:textId="77777777" w:rsidR="007D565E" w:rsidRPr="0038119B" w:rsidRDefault="007D565E">
            <w:pPr>
              <w:contextualSpacing/>
              <w:rPr>
                <w:sz w:val="20"/>
                <w:lang w:val="en-AU"/>
              </w:rPr>
            </w:pPr>
          </w:p>
        </w:tc>
        <w:tc>
          <w:tcPr>
            <w:tcW w:w="8708" w:type="dxa"/>
            <w:gridSpan w:val="2"/>
            <w:shd w:val="clear" w:color="auto" w:fill="auto"/>
            <w:vAlign w:val="center"/>
          </w:tcPr>
          <w:p w14:paraId="4F99461F" w14:textId="77777777" w:rsidR="007D565E" w:rsidRPr="0038119B" w:rsidRDefault="00CD5483">
            <w:pPr>
              <w:pStyle w:val="TblTextCenter"/>
              <w:rPr>
                <w:lang w:val="en-AU"/>
              </w:rPr>
            </w:pPr>
            <w:r w:rsidRPr="0038119B">
              <w:rPr>
                <w:lang w:val="en-AU"/>
              </w:rPr>
              <w:t>Resume LIBTAYO if hepatitis improves and remains at Grade 0 to 1 after corticosteroid taper to ≤10 mg/day prednisone or equivalent or returns to baseline AST or ALT after completion of corticosteroid taper</w:t>
            </w:r>
          </w:p>
        </w:tc>
      </w:tr>
      <w:tr w:rsidR="007D565E" w:rsidRPr="0038119B" w14:paraId="147AD4C8" w14:textId="77777777">
        <w:trPr>
          <w:cantSplit/>
          <w:trHeight w:val="600"/>
          <w:jc w:val="center"/>
        </w:trPr>
        <w:tc>
          <w:tcPr>
            <w:tcW w:w="3114" w:type="dxa"/>
            <w:vMerge/>
            <w:shd w:val="clear" w:color="auto" w:fill="auto"/>
            <w:vAlign w:val="center"/>
          </w:tcPr>
          <w:p w14:paraId="699F8362" w14:textId="77777777" w:rsidR="007D565E" w:rsidRPr="0038119B" w:rsidRDefault="007D565E">
            <w:pPr>
              <w:tabs>
                <w:tab w:val="center" w:pos="1488"/>
              </w:tabs>
              <w:contextualSpacing/>
              <w:rPr>
                <w:sz w:val="20"/>
                <w:lang w:val="en-AU"/>
              </w:rPr>
            </w:pPr>
          </w:p>
        </w:tc>
        <w:tc>
          <w:tcPr>
            <w:tcW w:w="2126" w:type="dxa"/>
            <w:shd w:val="clear" w:color="auto" w:fill="auto"/>
            <w:vAlign w:val="center"/>
          </w:tcPr>
          <w:p w14:paraId="27804695" w14:textId="77777777" w:rsidR="007D565E" w:rsidRPr="0038119B" w:rsidRDefault="00CD5483">
            <w:pPr>
              <w:pStyle w:val="TblTextCenter"/>
              <w:rPr>
                <w:lang w:val="en-AU"/>
              </w:rPr>
            </w:pPr>
            <w:r w:rsidRPr="0038119B">
              <w:rPr>
                <w:lang w:val="en-AU"/>
              </w:rPr>
              <w:t>Grade ≥3 with AST or ALT &gt;5×ULN</w:t>
            </w:r>
          </w:p>
          <w:p w14:paraId="7F207EE4" w14:textId="77777777" w:rsidR="007D565E" w:rsidRPr="0038119B" w:rsidRDefault="00CD5483">
            <w:pPr>
              <w:pStyle w:val="TblTextCenter"/>
              <w:rPr>
                <w:lang w:val="en-AU"/>
              </w:rPr>
            </w:pPr>
            <w:r w:rsidRPr="0038119B">
              <w:rPr>
                <w:lang w:val="en-AU"/>
              </w:rPr>
              <w:t>or</w:t>
            </w:r>
          </w:p>
          <w:p w14:paraId="1CB0FCF2" w14:textId="77777777" w:rsidR="007D565E" w:rsidRPr="0038119B" w:rsidRDefault="00CD5483">
            <w:pPr>
              <w:pStyle w:val="TblTextCenter"/>
              <w:rPr>
                <w:lang w:val="en-AU"/>
              </w:rPr>
            </w:pPr>
            <w:r w:rsidRPr="0038119B">
              <w:rPr>
                <w:lang w:val="en-AU"/>
              </w:rPr>
              <w:t xml:space="preserve">total bilirubin &gt;3×ULN </w:t>
            </w:r>
          </w:p>
        </w:tc>
        <w:tc>
          <w:tcPr>
            <w:tcW w:w="4394" w:type="dxa"/>
            <w:shd w:val="clear" w:color="auto" w:fill="auto"/>
            <w:vAlign w:val="center"/>
          </w:tcPr>
          <w:p w14:paraId="4CE49D2A" w14:textId="77777777" w:rsidR="007D565E" w:rsidRPr="0038119B" w:rsidRDefault="00CD5483">
            <w:pPr>
              <w:pStyle w:val="TblTextCenter"/>
              <w:rPr>
                <w:lang w:val="en-AU"/>
              </w:rPr>
            </w:pPr>
            <w:r w:rsidRPr="0038119B">
              <w:rPr>
                <w:lang w:val="en-AU"/>
              </w:rPr>
              <w:t>Permanently discontinue</w:t>
            </w:r>
          </w:p>
        </w:tc>
        <w:tc>
          <w:tcPr>
            <w:tcW w:w="4314" w:type="dxa"/>
            <w:shd w:val="clear" w:color="auto" w:fill="auto"/>
            <w:vAlign w:val="center"/>
          </w:tcPr>
          <w:p w14:paraId="796E3882" w14:textId="77777777" w:rsidR="007D565E" w:rsidRPr="0038119B" w:rsidRDefault="00CD5483">
            <w:pPr>
              <w:pStyle w:val="TblTextCenter"/>
              <w:rPr>
                <w:lang w:val="en-AU"/>
              </w:rPr>
            </w:pPr>
            <w:r w:rsidRPr="0038119B">
              <w:rPr>
                <w:lang w:val="en-AU"/>
              </w:rPr>
              <w:t>Initial dose of 1 to 2 mg/kg/day prednisone or equivalent followed by a taper</w:t>
            </w:r>
          </w:p>
        </w:tc>
      </w:tr>
      <w:tr w:rsidR="007D565E" w:rsidRPr="0038119B" w14:paraId="679CD3AC" w14:textId="77777777">
        <w:trPr>
          <w:cantSplit/>
          <w:trHeight w:val="64"/>
          <w:jc w:val="center"/>
        </w:trPr>
        <w:tc>
          <w:tcPr>
            <w:tcW w:w="3114" w:type="dxa"/>
            <w:vMerge w:val="restart"/>
            <w:shd w:val="clear" w:color="auto" w:fill="auto"/>
            <w:vAlign w:val="center"/>
          </w:tcPr>
          <w:p w14:paraId="3E651625" w14:textId="50575A1A" w:rsidR="007D565E" w:rsidRPr="0038119B" w:rsidRDefault="00CD5483" w:rsidP="00680930">
            <w:pPr>
              <w:pStyle w:val="TblTextCenter"/>
              <w:rPr>
                <w:lang w:val="en-AU"/>
              </w:rPr>
            </w:pPr>
            <w:r w:rsidRPr="0038119B">
              <w:rPr>
                <w:lang w:val="en-AU"/>
              </w:rPr>
              <w:lastRenderedPageBreak/>
              <w:t>Hypothyroidism</w:t>
            </w:r>
          </w:p>
        </w:tc>
        <w:tc>
          <w:tcPr>
            <w:tcW w:w="2126" w:type="dxa"/>
            <w:vMerge w:val="restart"/>
            <w:shd w:val="clear" w:color="auto" w:fill="auto"/>
            <w:vAlign w:val="center"/>
          </w:tcPr>
          <w:p w14:paraId="470F5A4A" w14:textId="77777777" w:rsidR="007D565E" w:rsidRPr="0038119B" w:rsidRDefault="00CD5483">
            <w:pPr>
              <w:pStyle w:val="TblTextCenter"/>
              <w:rPr>
                <w:lang w:val="en-AU"/>
              </w:rPr>
            </w:pPr>
            <w:r w:rsidRPr="0038119B">
              <w:rPr>
                <w:lang w:val="en-AU"/>
              </w:rPr>
              <w:t>Grade 3 or 4</w:t>
            </w:r>
          </w:p>
        </w:tc>
        <w:tc>
          <w:tcPr>
            <w:tcW w:w="4394" w:type="dxa"/>
            <w:shd w:val="clear" w:color="auto" w:fill="auto"/>
            <w:vAlign w:val="center"/>
          </w:tcPr>
          <w:p w14:paraId="3307A259"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46EC0587" w14:textId="77777777" w:rsidR="007D565E" w:rsidRPr="0038119B" w:rsidRDefault="00CD5483">
            <w:pPr>
              <w:pStyle w:val="TblTextCenter"/>
              <w:rPr>
                <w:lang w:val="en-AU"/>
              </w:rPr>
            </w:pPr>
            <w:r w:rsidRPr="0038119B">
              <w:rPr>
                <w:lang w:val="en-AU"/>
              </w:rPr>
              <w:t>Initiate thyroid hormone replacement as clinically indicated</w:t>
            </w:r>
          </w:p>
        </w:tc>
      </w:tr>
      <w:tr w:rsidR="007D565E" w:rsidRPr="0038119B" w14:paraId="6A7D7B8A" w14:textId="77777777">
        <w:trPr>
          <w:cantSplit/>
          <w:trHeight w:val="64"/>
          <w:jc w:val="center"/>
        </w:trPr>
        <w:tc>
          <w:tcPr>
            <w:tcW w:w="3114" w:type="dxa"/>
            <w:vMerge/>
            <w:shd w:val="clear" w:color="auto" w:fill="auto"/>
            <w:vAlign w:val="center"/>
          </w:tcPr>
          <w:p w14:paraId="06716034" w14:textId="77777777" w:rsidR="007D565E" w:rsidRPr="0038119B" w:rsidRDefault="007D565E">
            <w:pPr>
              <w:contextualSpacing/>
              <w:rPr>
                <w:sz w:val="20"/>
                <w:lang w:val="en-AU"/>
              </w:rPr>
            </w:pPr>
          </w:p>
        </w:tc>
        <w:tc>
          <w:tcPr>
            <w:tcW w:w="2126" w:type="dxa"/>
            <w:vMerge/>
            <w:shd w:val="clear" w:color="auto" w:fill="auto"/>
            <w:vAlign w:val="center"/>
          </w:tcPr>
          <w:p w14:paraId="468461E3" w14:textId="77777777" w:rsidR="007D565E" w:rsidRPr="0038119B" w:rsidRDefault="007D565E">
            <w:pPr>
              <w:contextualSpacing/>
              <w:rPr>
                <w:sz w:val="20"/>
                <w:lang w:val="en-AU"/>
              </w:rPr>
            </w:pPr>
          </w:p>
        </w:tc>
        <w:tc>
          <w:tcPr>
            <w:tcW w:w="8708" w:type="dxa"/>
            <w:gridSpan w:val="2"/>
            <w:shd w:val="clear" w:color="auto" w:fill="auto"/>
            <w:vAlign w:val="center"/>
          </w:tcPr>
          <w:p w14:paraId="5FAC27BE" w14:textId="77777777" w:rsidR="007D565E" w:rsidRPr="0038119B" w:rsidRDefault="00CD5483">
            <w:pPr>
              <w:pStyle w:val="TblTextCenter"/>
              <w:rPr>
                <w:lang w:val="en-AU"/>
              </w:rPr>
            </w:pPr>
            <w:r w:rsidRPr="0038119B">
              <w:rPr>
                <w:lang w:val="en-AU"/>
              </w:rPr>
              <w:t>Resume LIBTAYO when hypothyroidism returns to Grade 0 to 1 or is otherwise clinically stable</w:t>
            </w:r>
          </w:p>
        </w:tc>
      </w:tr>
      <w:tr w:rsidR="007D565E" w:rsidRPr="0038119B" w14:paraId="1584A857" w14:textId="77777777">
        <w:trPr>
          <w:cantSplit/>
          <w:trHeight w:val="64"/>
          <w:jc w:val="center"/>
        </w:trPr>
        <w:tc>
          <w:tcPr>
            <w:tcW w:w="3114" w:type="dxa"/>
            <w:vMerge w:val="restart"/>
            <w:shd w:val="clear" w:color="auto" w:fill="auto"/>
            <w:vAlign w:val="center"/>
          </w:tcPr>
          <w:p w14:paraId="76A4B5C8" w14:textId="6118E376" w:rsidR="007D565E" w:rsidRPr="0038119B" w:rsidRDefault="00CD5483" w:rsidP="00680930">
            <w:pPr>
              <w:pStyle w:val="TblTextCenter"/>
              <w:rPr>
                <w:lang w:val="en-AU"/>
              </w:rPr>
            </w:pPr>
            <w:r w:rsidRPr="0038119B">
              <w:rPr>
                <w:lang w:val="en-AU"/>
              </w:rPr>
              <w:t>Hyperthyroidism</w:t>
            </w:r>
          </w:p>
        </w:tc>
        <w:tc>
          <w:tcPr>
            <w:tcW w:w="2126" w:type="dxa"/>
            <w:vMerge w:val="restart"/>
            <w:shd w:val="clear" w:color="auto" w:fill="auto"/>
            <w:vAlign w:val="center"/>
          </w:tcPr>
          <w:p w14:paraId="27DEA2C8" w14:textId="77777777" w:rsidR="007D565E" w:rsidRPr="0038119B" w:rsidRDefault="00CD5483">
            <w:pPr>
              <w:pStyle w:val="TblTextCenter"/>
              <w:rPr>
                <w:lang w:val="en-AU"/>
              </w:rPr>
            </w:pPr>
            <w:r w:rsidRPr="0038119B">
              <w:rPr>
                <w:lang w:val="en-AU"/>
              </w:rPr>
              <w:t>Grade 3 or 4</w:t>
            </w:r>
          </w:p>
        </w:tc>
        <w:tc>
          <w:tcPr>
            <w:tcW w:w="4394" w:type="dxa"/>
            <w:shd w:val="clear" w:color="auto" w:fill="auto"/>
            <w:vAlign w:val="center"/>
          </w:tcPr>
          <w:p w14:paraId="2317A681" w14:textId="77777777" w:rsidR="007D565E" w:rsidRPr="0038119B" w:rsidRDefault="00CD5483">
            <w:pPr>
              <w:pStyle w:val="TblTextCenter"/>
              <w:rPr>
                <w:lang w:val="en-AU"/>
              </w:rPr>
            </w:pPr>
            <w:r w:rsidRPr="0038119B">
              <w:rPr>
                <w:lang w:val="en-AU"/>
              </w:rPr>
              <w:t>Withhold LIBTAYO</w:t>
            </w:r>
          </w:p>
        </w:tc>
        <w:tc>
          <w:tcPr>
            <w:tcW w:w="4314" w:type="dxa"/>
            <w:shd w:val="clear" w:color="auto" w:fill="auto"/>
            <w:vAlign w:val="center"/>
          </w:tcPr>
          <w:p w14:paraId="5D5B6027" w14:textId="77777777" w:rsidR="007D565E" w:rsidRPr="0038119B" w:rsidRDefault="00CD5483">
            <w:pPr>
              <w:pStyle w:val="TblTextCenter"/>
              <w:rPr>
                <w:lang w:val="en-AU"/>
              </w:rPr>
            </w:pPr>
            <w:r w:rsidRPr="0038119B">
              <w:rPr>
                <w:lang w:val="en-AU"/>
              </w:rPr>
              <w:t>Initiate symptomatic management</w:t>
            </w:r>
          </w:p>
        </w:tc>
      </w:tr>
      <w:tr w:rsidR="007D565E" w:rsidRPr="0038119B" w14:paraId="30C90471" w14:textId="77777777">
        <w:trPr>
          <w:cantSplit/>
          <w:trHeight w:val="64"/>
          <w:jc w:val="center"/>
        </w:trPr>
        <w:tc>
          <w:tcPr>
            <w:tcW w:w="3114" w:type="dxa"/>
            <w:vMerge/>
            <w:shd w:val="clear" w:color="auto" w:fill="auto"/>
            <w:vAlign w:val="center"/>
          </w:tcPr>
          <w:p w14:paraId="1D3AC1DD" w14:textId="77777777" w:rsidR="007D565E" w:rsidRPr="0038119B" w:rsidRDefault="007D565E">
            <w:pPr>
              <w:contextualSpacing/>
              <w:rPr>
                <w:sz w:val="20"/>
                <w:lang w:val="en-AU"/>
              </w:rPr>
            </w:pPr>
          </w:p>
        </w:tc>
        <w:tc>
          <w:tcPr>
            <w:tcW w:w="2126" w:type="dxa"/>
            <w:vMerge/>
            <w:shd w:val="clear" w:color="auto" w:fill="auto"/>
            <w:vAlign w:val="center"/>
          </w:tcPr>
          <w:p w14:paraId="722BEDDC" w14:textId="77777777" w:rsidR="007D565E" w:rsidRPr="0038119B" w:rsidRDefault="007D565E">
            <w:pPr>
              <w:contextualSpacing/>
              <w:rPr>
                <w:sz w:val="20"/>
                <w:lang w:val="en-AU"/>
              </w:rPr>
            </w:pPr>
          </w:p>
        </w:tc>
        <w:tc>
          <w:tcPr>
            <w:tcW w:w="8708" w:type="dxa"/>
            <w:gridSpan w:val="2"/>
            <w:shd w:val="clear" w:color="auto" w:fill="auto"/>
            <w:vAlign w:val="center"/>
          </w:tcPr>
          <w:p w14:paraId="1A510211" w14:textId="77777777" w:rsidR="007D565E" w:rsidRPr="0038119B" w:rsidRDefault="00CD5483">
            <w:pPr>
              <w:pStyle w:val="TblTextCenter"/>
              <w:rPr>
                <w:lang w:val="en-AU"/>
              </w:rPr>
            </w:pPr>
            <w:r w:rsidRPr="0038119B">
              <w:rPr>
                <w:lang w:val="en-AU"/>
              </w:rPr>
              <w:t>Resume LIBTAYO when hyperthyroidism returns to Grade 0 to 1 or is otherwise clinically stable</w:t>
            </w:r>
          </w:p>
        </w:tc>
      </w:tr>
      <w:tr w:rsidR="00507F9A" w:rsidRPr="0038119B" w14:paraId="3A1580D6" w14:textId="77777777" w:rsidTr="00507F9A">
        <w:trPr>
          <w:cantSplit/>
          <w:trHeight w:val="387"/>
          <w:jc w:val="center"/>
        </w:trPr>
        <w:tc>
          <w:tcPr>
            <w:tcW w:w="3114" w:type="dxa"/>
            <w:vMerge w:val="restart"/>
            <w:shd w:val="clear" w:color="auto" w:fill="auto"/>
            <w:vAlign w:val="center"/>
          </w:tcPr>
          <w:p w14:paraId="5BC02A0A" w14:textId="41FDAE3A" w:rsidR="00507F9A" w:rsidRPr="00BD4A5F" w:rsidRDefault="00507F9A" w:rsidP="00507F9A">
            <w:pPr>
              <w:pStyle w:val="TblTextCenter"/>
              <w:rPr>
                <w:lang w:val="en-AU"/>
              </w:rPr>
            </w:pPr>
            <w:r w:rsidRPr="00BD4A5F">
              <w:rPr>
                <w:lang w:val="en-AU"/>
              </w:rPr>
              <w:t>Thyroiditis</w:t>
            </w:r>
          </w:p>
        </w:tc>
        <w:tc>
          <w:tcPr>
            <w:tcW w:w="2126" w:type="dxa"/>
            <w:vMerge w:val="restart"/>
            <w:shd w:val="clear" w:color="auto" w:fill="auto"/>
            <w:vAlign w:val="center"/>
          </w:tcPr>
          <w:p w14:paraId="7619A2D0" w14:textId="01065D5A" w:rsidR="00507F9A" w:rsidRPr="00BD4A5F" w:rsidRDefault="00507F9A" w:rsidP="00507F9A">
            <w:pPr>
              <w:pStyle w:val="TblTextCenter"/>
              <w:rPr>
                <w:lang w:val="en-AU"/>
              </w:rPr>
            </w:pPr>
            <w:r w:rsidRPr="00BD4A5F">
              <w:rPr>
                <w:lang w:val="en-AU"/>
              </w:rPr>
              <w:t>Grade 3 to 4</w:t>
            </w:r>
          </w:p>
        </w:tc>
        <w:tc>
          <w:tcPr>
            <w:tcW w:w="4394" w:type="dxa"/>
            <w:shd w:val="clear" w:color="auto" w:fill="auto"/>
            <w:vAlign w:val="center"/>
          </w:tcPr>
          <w:p w14:paraId="5087F5F4" w14:textId="7ED2C39E" w:rsidR="00507F9A" w:rsidRPr="00BD4A5F" w:rsidRDefault="00507F9A" w:rsidP="00507F9A">
            <w:pPr>
              <w:pStyle w:val="TblTextCenter"/>
              <w:rPr>
                <w:lang w:val="en-AU"/>
              </w:rPr>
            </w:pPr>
            <w:r w:rsidRPr="00BD4A5F">
              <w:rPr>
                <w:lang w:val="en-AU"/>
              </w:rPr>
              <w:t>Withhold LIBTAYO</w:t>
            </w:r>
          </w:p>
        </w:tc>
        <w:tc>
          <w:tcPr>
            <w:tcW w:w="4314" w:type="dxa"/>
            <w:shd w:val="clear" w:color="auto" w:fill="auto"/>
            <w:vAlign w:val="center"/>
          </w:tcPr>
          <w:p w14:paraId="0AF37D2B" w14:textId="77948D10" w:rsidR="00507F9A" w:rsidRPr="00BD4A5F" w:rsidRDefault="00507F9A" w:rsidP="00507F9A">
            <w:pPr>
              <w:pStyle w:val="TblTextCenter"/>
              <w:rPr>
                <w:lang w:val="en-AU"/>
              </w:rPr>
            </w:pPr>
            <w:r w:rsidRPr="00BD4A5F">
              <w:rPr>
                <w:lang w:val="en-AU"/>
              </w:rPr>
              <w:t>Initiate symptomatic management</w:t>
            </w:r>
          </w:p>
        </w:tc>
      </w:tr>
      <w:tr w:rsidR="00507F9A" w:rsidRPr="0038119B" w14:paraId="02667645" w14:textId="77777777" w:rsidTr="00507F9A">
        <w:trPr>
          <w:cantSplit/>
          <w:trHeight w:val="562"/>
          <w:jc w:val="center"/>
        </w:trPr>
        <w:tc>
          <w:tcPr>
            <w:tcW w:w="3114" w:type="dxa"/>
            <w:vMerge/>
            <w:shd w:val="clear" w:color="auto" w:fill="auto"/>
            <w:vAlign w:val="center"/>
          </w:tcPr>
          <w:p w14:paraId="1930A9B7" w14:textId="77777777" w:rsidR="00507F9A" w:rsidRPr="00BD4A5F" w:rsidRDefault="00507F9A" w:rsidP="00507F9A">
            <w:pPr>
              <w:pStyle w:val="TblTextCenter"/>
              <w:rPr>
                <w:lang w:val="en-AU"/>
              </w:rPr>
            </w:pPr>
          </w:p>
        </w:tc>
        <w:tc>
          <w:tcPr>
            <w:tcW w:w="2126" w:type="dxa"/>
            <w:vMerge/>
            <w:shd w:val="clear" w:color="auto" w:fill="auto"/>
            <w:vAlign w:val="center"/>
          </w:tcPr>
          <w:p w14:paraId="7AEBA04D" w14:textId="77777777" w:rsidR="00507F9A" w:rsidRPr="00BD4A5F" w:rsidRDefault="00507F9A" w:rsidP="00507F9A">
            <w:pPr>
              <w:pStyle w:val="TblTextCenter"/>
              <w:rPr>
                <w:lang w:val="en-AU"/>
              </w:rPr>
            </w:pPr>
          </w:p>
        </w:tc>
        <w:tc>
          <w:tcPr>
            <w:tcW w:w="8708" w:type="dxa"/>
            <w:gridSpan w:val="2"/>
            <w:shd w:val="clear" w:color="auto" w:fill="auto"/>
            <w:vAlign w:val="center"/>
          </w:tcPr>
          <w:p w14:paraId="7018CC67" w14:textId="31570621" w:rsidR="00507F9A" w:rsidRPr="00BD4A5F" w:rsidRDefault="00507F9A" w:rsidP="00507F9A">
            <w:pPr>
              <w:pStyle w:val="TblTextCenter"/>
              <w:rPr>
                <w:lang w:val="en-AU"/>
              </w:rPr>
            </w:pPr>
            <w:r w:rsidRPr="00BD4A5F">
              <w:rPr>
                <w:lang w:val="en-AU"/>
              </w:rPr>
              <w:t>Resume LIBTAYO when thyroiditis returns to Grade 0 to 1 or is otherwise clinically stable</w:t>
            </w:r>
          </w:p>
        </w:tc>
      </w:tr>
      <w:tr w:rsidR="00507F9A" w:rsidRPr="0038119B" w14:paraId="3DBA2FCC" w14:textId="77777777">
        <w:trPr>
          <w:cantSplit/>
          <w:trHeight w:val="978"/>
          <w:jc w:val="center"/>
        </w:trPr>
        <w:tc>
          <w:tcPr>
            <w:tcW w:w="3114" w:type="dxa"/>
            <w:vMerge w:val="restart"/>
            <w:shd w:val="clear" w:color="auto" w:fill="auto"/>
            <w:vAlign w:val="center"/>
          </w:tcPr>
          <w:p w14:paraId="12256C41" w14:textId="2F044B5F" w:rsidR="00507F9A" w:rsidRPr="0038119B" w:rsidRDefault="00507F9A" w:rsidP="00507F9A">
            <w:pPr>
              <w:pStyle w:val="TblTextCenter"/>
              <w:rPr>
                <w:lang w:val="en-AU"/>
              </w:rPr>
            </w:pPr>
            <w:r w:rsidRPr="0038119B">
              <w:rPr>
                <w:lang w:val="en-AU"/>
              </w:rPr>
              <w:t>Hypophysitis</w:t>
            </w:r>
          </w:p>
        </w:tc>
        <w:tc>
          <w:tcPr>
            <w:tcW w:w="2126" w:type="dxa"/>
            <w:vMerge w:val="restart"/>
            <w:shd w:val="clear" w:color="auto" w:fill="auto"/>
            <w:vAlign w:val="center"/>
          </w:tcPr>
          <w:p w14:paraId="40B6B10F" w14:textId="77777777" w:rsidR="00507F9A" w:rsidRPr="0038119B" w:rsidRDefault="00507F9A" w:rsidP="00507F9A">
            <w:pPr>
              <w:pStyle w:val="TblTextCenter"/>
              <w:rPr>
                <w:lang w:val="en-AU"/>
              </w:rPr>
            </w:pPr>
            <w:r w:rsidRPr="0038119B">
              <w:rPr>
                <w:lang w:val="en-AU"/>
              </w:rPr>
              <w:t>Grade 2 to 4</w:t>
            </w:r>
          </w:p>
        </w:tc>
        <w:tc>
          <w:tcPr>
            <w:tcW w:w="4394" w:type="dxa"/>
            <w:shd w:val="clear" w:color="auto" w:fill="auto"/>
            <w:vAlign w:val="center"/>
          </w:tcPr>
          <w:p w14:paraId="3BB3762C"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6EC95B23" w14:textId="77777777" w:rsidR="00507F9A" w:rsidRPr="0038119B" w:rsidRDefault="00507F9A" w:rsidP="00507F9A">
            <w:pPr>
              <w:pStyle w:val="TblTextCenter"/>
              <w:rPr>
                <w:lang w:val="en-AU"/>
              </w:rPr>
            </w:pPr>
            <w:r w:rsidRPr="0038119B">
              <w:rPr>
                <w:lang w:val="en-AU"/>
              </w:rPr>
              <w:t>Initial dose of 1 to 2 mg/kg/day prednisone or equivalent followed by a taper and hormone replacement as clinically indicated</w:t>
            </w:r>
          </w:p>
        </w:tc>
      </w:tr>
      <w:tr w:rsidR="00507F9A" w:rsidRPr="0038119B" w14:paraId="5061966B" w14:textId="77777777">
        <w:trPr>
          <w:cantSplit/>
          <w:trHeight w:val="64"/>
          <w:jc w:val="center"/>
        </w:trPr>
        <w:tc>
          <w:tcPr>
            <w:tcW w:w="3114" w:type="dxa"/>
            <w:vMerge/>
            <w:shd w:val="clear" w:color="auto" w:fill="auto"/>
            <w:vAlign w:val="center"/>
          </w:tcPr>
          <w:p w14:paraId="2AC8761C" w14:textId="77777777" w:rsidR="00507F9A" w:rsidRPr="0038119B" w:rsidRDefault="00507F9A" w:rsidP="00507F9A">
            <w:pPr>
              <w:contextualSpacing/>
              <w:rPr>
                <w:sz w:val="20"/>
                <w:lang w:val="en-AU"/>
              </w:rPr>
            </w:pPr>
          </w:p>
        </w:tc>
        <w:tc>
          <w:tcPr>
            <w:tcW w:w="2126" w:type="dxa"/>
            <w:vMerge/>
            <w:shd w:val="clear" w:color="auto" w:fill="auto"/>
            <w:vAlign w:val="center"/>
          </w:tcPr>
          <w:p w14:paraId="6767D135"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14D1D192" w14:textId="77777777" w:rsidR="00507F9A" w:rsidRPr="0038119B" w:rsidRDefault="00507F9A" w:rsidP="00507F9A">
            <w:pPr>
              <w:pStyle w:val="TblTextCenter"/>
              <w:rPr>
                <w:lang w:val="en-AU"/>
              </w:rPr>
            </w:pPr>
            <w:r w:rsidRPr="0038119B">
              <w:rPr>
                <w:lang w:val="en-AU"/>
              </w:rPr>
              <w:t>Resume LIBTAYO if hypophysitis improves and remains at Grade 0 to 1 after corticosteroid taper to ≤10 mg/day prednisone or equivalent or is otherwise clinically stable</w:t>
            </w:r>
          </w:p>
        </w:tc>
      </w:tr>
      <w:tr w:rsidR="00507F9A" w:rsidRPr="0038119B" w14:paraId="5BC5593A" w14:textId="77777777">
        <w:trPr>
          <w:cantSplit/>
          <w:trHeight w:val="800"/>
          <w:jc w:val="center"/>
        </w:trPr>
        <w:tc>
          <w:tcPr>
            <w:tcW w:w="3114" w:type="dxa"/>
            <w:vMerge w:val="restart"/>
            <w:shd w:val="clear" w:color="auto" w:fill="auto"/>
            <w:vAlign w:val="center"/>
          </w:tcPr>
          <w:p w14:paraId="533B1902" w14:textId="52CC4E02" w:rsidR="00507F9A" w:rsidRPr="0038119B" w:rsidRDefault="00507F9A" w:rsidP="00507F9A">
            <w:pPr>
              <w:pStyle w:val="TblTextCenter"/>
              <w:rPr>
                <w:lang w:val="en-AU"/>
              </w:rPr>
            </w:pPr>
            <w:r w:rsidRPr="0038119B">
              <w:rPr>
                <w:lang w:val="en-AU"/>
              </w:rPr>
              <w:t>Adrenal insufficiency</w:t>
            </w:r>
          </w:p>
        </w:tc>
        <w:tc>
          <w:tcPr>
            <w:tcW w:w="2126" w:type="dxa"/>
            <w:vMerge w:val="restart"/>
            <w:shd w:val="clear" w:color="auto" w:fill="auto"/>
            <w:vAlign w:val="center"/>
          </w:tcPr>
          <w:p w14:paraId="1D3B4BC1" w14:textId="77777777" w:rsidR="00507F9A" w:rsidRPr="0038119B" w:rsidRDefault="00507F9A" w:rsidP="00507F9A">
            <w:pPr>
              <w:pStyle w:val="TblTextCenter"/>
              <w:rPr>
                <w:lang w:val="en-AU"/>
              </w:rPr>
            </w:pPr>
            <w:r w:rsidRPr="0038119B">
              <w:rPr>
                <w:lang w:val="en-AU"/>
              </w:rPr>
              <w:t>Grade 2 to 4</w:t>
            </w:r>
          </w:p>
        </w:tc>
        <w:tc>
          <w:tcPr>
            <w:tcW w:w="4394" w:type="dxa"/>
            <w:shd w:val="clear" w:color="auto" w:fill="auto"/>
            <w:vAlign w:val="center"/>
          </w:tcPr>
          <w:p w14:paraId="06D5DF6B"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55E8B71B" w14:textId="77777777" w:rsidR="00507F9A" w:rsidRPr="0038119B" w:rsidRDefault="00507F9A" w:rsidP="00507F9A">
            <w:pPr>
              <w:pStyle w:val="TblTextCenter"/>
              <w:rPr>
                <w:lang w:val="en-AU"/>
              </w:rPr>
            </w:pPr>
            <w:r w:rsidRPr="0038119B">
              <w:rPr>
                <w:lang w:val="en-AU"/>
              </w:rPr>
              <w:t>Initial dose of 1 to 2 mg/kg/day prednisone or equivalent followed by a taper and hormone replacement as clinically indicated</w:t>
            </w:r>
          </w:p>
        </w:tc>
      </w:tr>
      <w:tr w:rsidR="00507F9A" w:rsidRPr="0038119B" w14:paraId="5DE7B6B0" w14:textId="77777777">
        <w:trPr>
          <w:cantSplit/>
          <w:trHeight w:val="64"/>
          <w:jc w:val="center"/>
        </w:trPr>
        <w:tc>
          <w:tcPr>
            <w:tcW w:w="3114" w:type="dxa"/>
            <w:vMerge/>
            <w:shd w:val="clear" w:color="auto" w:fill="auto"/>
            <w:vAlign w:val="center"/>
          </w:tcPr>
          <w:p w14:paraId="3CFCFEC8" w14:textId="77777777" w:rsidR="00507F9A" w:rsidRPr="0038119B" w:rsidRDefault="00507F9A" w:rsidP="00507F9A">
            <w:pPr>
              <w:contextualSpacing/>
              <w:rPr>
                <w:sz w:val="20"/>
                <w:lang w:val="en-AU"/>
              </w:rPr>
            </w:pPr>
          </w:p>
        </w:tc>
        <w:tc>
          <w:tcPr>
            <w:tcW w:w="2126" w:type="dxa"/>
            <w:vMerge/>
            <w:shd w:val="clear" w:color="auto" w:fill="auto"/>
            <w:vAlign w:val="center"/>
          </w:tcPr>
          <w:p w14:paraId="50C70A09"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7ED8CAC4" w14:textId="77777777" w:rsidR="00507F9A" w:rsidRPr="0038119B" w:rsidRDefault="00507F9A" w:rsidP="00507F9A">
            <w:pPr>
              <w:pStyle w:val="TblTextCenter"/>
              <w:rPr>
                <w:lang w:val="en-AU"/>
              </w:rPr>
            </w:pPr>
            <w:r w:rsidRPr="0038119B">
              <w:rPr>
                <w:lang w:val="en-AU"/>
              </w:rPr>
              <w:t>Resume LIBTAYO if adrenal insufficiency improves and remains at Grade 0 to 1 after corticosteroid taper to ≤10 mg/day prednisone or equivalent or is otherwise clinically stable</w:t>
            </w:r>
          </w:p>
        </w:tc>
      </w:tr>
      <w:tr w:rsidR="00507F9A" w:rsidRPr="0038119B" w14:paraId="3F0A1564" w14:textId="77777777">
        <w:trPr>
          <w:cantSplit/>
          <w:trHeight w:val="636"/>
          <w:jc w:val="center"/>
        </w:trPr>
        <w:tc>
          <w:tcPr>
            <w:tcW w:w="3114" w:type="dxa"/>
            <w:vMerge w:val="restart"/>
            <w:shd w:val="clear" w:color="auto" w:fill="auto"/>
            <w:vAlign w:val="center"/>
          </w:tcPr>
          <w:p w14:paraId="65D8092A" w14:textId="64D0827D" w:rsidR="00507F9A" w:rsidRPr="0038119B" w:rsidRDefault="00507F9A" w:rsidP="00507F9A">
            <w:pPr>
              <w:pStyle w:val="TblTextCenter"/>
              <w:rPr>
                <w:lang w:val="en-AU"/>
              </w:rPr>
            </w:pPr>
            <w:r w:rsidRPr="0038119B">
              <w:rPr>
                <w:lang w:val="en-AU"/>
              </w:rPr>
              <w:t>Type 1 diabetes mellitus</w:t>
            </w:r>
          </w:p>
        </w:tc>
        <w:tc>
          <w:tcPr>
            <w:tcW w:w="2126" w:type="dxa"/>
            <w:vMerge w:val="restart"/>
            <w:shd w:val="clear" w:color="auto" w:fill="auto"/>
            <w:vAlign w:val="center"/>
          </w:tcPr>
          <w:p w14:paraId="2BE475A3" w14:textId="77777777" w:rsidR="00507F9A" w:rsidRPr="0038119B" w:rsidRDefault="00507F9A" w:rsidP="00507F9A">
            <w:pPr>
              <w:pStyle w:val="TblTextCenter"/>
              <w:rPr>
                <w:lang w:val="en-AU"/>
              </w:rPr>
            </w:pPr>
            <w:r w:rsidRPr="0038119B">
              <w:rPr>
                <w:lang w:val="en-AU"/>
              </w:rPr>
              <w:t>Grade 3 or 4 (hyperglycaemia)</w:t>
            </w:r>
          </w:p>
        </w:tc>
        <w:tc>
          <w:tcPr>
            <w:tcW w:w="4394" w:type="dxa"/>
            <w:shd w:val="clear" w:color="auto" w:fill="auto"/>
            <w:vAlign w:val="center"/>
          </w:tcPr>
          <w:p w14:paraId="7681BED6"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6A8302AA" w14:textId="77777777" w:rsidR="00507F9A" w:rsidRPr="0038119B" w:rsidRDefault="00507F9A" w:rsidP="00507F9A">
            <w:pPr>
              <w:pStyle w:val="TblTextCenter"/>
              <w:rPr>
                <w:lang w:val="en-AU"/>
              </w:rPr>
            </w:pPr>
            <w:r w:rsidRPr="0038119B">
              <w:rPr>
                <w:lang w:val="en-AU"/>
              </w:rPr>
              <w:t>Initiate treatment with anti</w:t>
            </w:r>
            <w:r w:rsidRPr="0038119B">
              <w:rPr>
                <w:lang w:val="en-AU"/>
              </w:rPr>
              <w:noBreakHyphen/>
              <w:t>hyperglycaemics as clinically indicated</w:t>
            </w:r>
          </w:p>
        </w:tc>
      </w:tr>
      <w:tr w:rsidR="00507F9A" w:rsidRPr="0038119B" w14:paraId="2BF9817D" w14:textId="77777777">
        <w:trPr>
          <w:cantSplit/>
          <w:trHeight w:val="636"/>
          <w:jc w:val="center"/>
        </w:trPr>
        <w:tc>
          <w:tcPr>
            <w:tcW w:w="3114" w:type="dxa"/>
            <w:vMerge/>
            <w:shd w:val="clear" w:color="auto" w:fill="auto"/>
            <w:vAlign w:val="center"/>
          </w:tcPr>
          <w:p w14:paraId="00E36ACF" w14:textId="77777777" w:rsidR="00507F9A" w:rsidRPr="0038119B" w:rsidRDefault="00507F9A" w:rsidP="00507F9A">
            <w:pPr>
              <w:contextualSpacing/>
              <w:rPr>
                <w:sz w:val="20"/>
                <w:lang w:val="en-AU"/>
              </w:rPr>
            </w:pPr>
          </w:p>
        </w:tc>
        <w:tc>
          <w:tcPr>
            <w:tcW w:w="2126" w:type="dxa"/>
            <w:vMerge/>
            <w:shd w:val="clear" w:color="auto" w:fill="auto"/>
            <w:vAlign w:val="center"/>
          </w:tcPr>
          <w:p w14:paraId="2F8533A2"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241A9CAE" w14:textId="77777777" w:rsidR="00507F9A" w:rsidRPr="0038119B" w:rsidRDefault="00507F9A" w:rsidP="00507F9A">
            <w:pPr>
              <w:pStyle w:val="TblTextCenter"/>
              <w:rPr>
                <w:lang w:val="en-AU"/>
              </w:rPr>
            </w:pPr>
            <w:r w:rsidRPr="0038119B">
              <w:rPr>
                <w:lang w:val="en-AU"/>
              </w:rPr>
              <w:t>Resume LIBTAYO when diabetes mellitus returns to Grade 0 to 1 or is otherwise clinically stable</w:t>
            </w:r>
          </w:p>
        </w:tc>
      </w:tr>
      <w:tr w:rsidR="00507F9A" w:rsidRPr="0038119B" w14:paraId="2062CE32" w14:textId="77777777">
        <w:trPr>
          <w:cantSplit/>
          <w:trHeight w:val="580"/>
          <w:jc w:val="center"/>
        </w:trPr>
        <w:tc>
          <w:tcPr>
            <w:tcW w:w="3114" w:type="dxa"/>
            <w:vMerge w:val="restart"/>
            <w:shd w:val="clear" w:color="auto" w:fill="auto"/>
            <w:vAlign w:val="center"/>
          </w:tcPr>
          <w:p w14:paraId="1AFE3A78" w14:textId="65A85538" w:rsidR="00507F9A" w:rsidRPr="0038119B" w:rsidRDefault="00507F9A" w:rsidP="00507F9A">
            <w:pPr>
              <w:pStyle w:val="TblTextCenter"/>
              <w:rPr>
                <w:lang w:val="en-AU"/>
              </w:rPr>
            </w:pPr>
            <w:r w:rsidRPr="0038119B">
              <w:rPr>
                <w:lang w:val="en-AU"/>
              </w:rPr>
              <w:t>Skin adverse reactions</w:t>
            </w:r>
          </w:p>
        </w:tc>
        <w:tc>
          <w:tcPr>
            <w:tcW w:w="2126" w:type="dxa"/>
            <w:vMerge w:val="restart"/>
            <w:shd w:val="clear" w:color="auto" w:fill="auto"/>
            <w:vAlign w:val="center"/>
          </w:tcPr>
          <w:p w14:paraId="2615D916" w14:textId="77777777" w:rsidR="00507F9A" w:rsidRPr="0038119B" w:rsidRDefault="00507F9A" w:rsidP="00507F9A">
            <w:pPr>
              <w:pStyle w:val="TblTextCenter"/>
              <w:rPr>
                <w:lang w:val="en-AU"/>
              </w:rPr>
            </w:pPr>
            <w:r w:rsidRPr="0038119B">
              <w:rPr>
                <w:lang w:val="en-AU"/>
              </w:rPr>
              <w:t>Grade 2 lasting longer than 1 week,</w:t>
            </w:r>
          </w:p>
          <w:p w14:paraId="2F35E7C3" w14:textId="77777777" w:rsidR="00507F9A" w:rsidRPr="0038119B" w:rsidRDefault="00507F9A" w:rsidP="00507F9A">
            <w:pPr>
              <w:pStyle w:val="TblTextCenter"/>
              <w:rPr>
                <w:lang w:val="en-AU"/>
              </w:rPr>
            </w:pPr>
            <w:r w:rsidRPr="0038119B">
              <w:rPr>
                <w:lang w:val="en-AU"/>
              </w:rPr>
              <w:lastRenderedPageBreak/>
              <w:t>Grade 3 or suspected Stevens</w:t>
            </w:r>
            <w:r w:rsidRPr="0038119B">
              <w:rPr>
                <w:lang w:val="en-AU"/>
              </w:rPr>
              <w:noBreakHyphen/>
              <w:t>Johnson syndrome (SJS) or toxic epidermal necrolysis (TEN)</w:t>
            </w:r>
          </w:p>
        </w:tc>
        <w:tc>
          <w:tcPr>
            <w:tcW w:w="4394" w:type="dxa"/>
            <w:shd w:val="clear" w:color="auto" w:fill="auto"/>
            <w:vAlign w:val="center"/>
          </w:tcPr>
          <w:p w14:paraId="4208FFF7" w14:textId="77777777" w:rsidR="00507F9A" w:rsidRPr="0038119B" w:rsidRDefault="00507F9A" w:rsidP="00507F9A">
            <w:pPr>
              <w:pStyle w:val="TblTextCenter"/>
              <w:rPr>
                <w:lang w:val="en-AU"/>
              </w:rPr>
            </w:pPr>
            <w:r w:rsidRPr="0038119B">
              <w:rPr>
                <w:lang w:val="en-AU"/>
              </w:rPr>
              <w:lastRenderedPageBreak/>
              <w:t>Withhold LIBTAYO</w:t>
            </w:r>
          </w:p>
        </w:tc>
        <w:tc>
          <w:tcPr>
            <w:tcW w:w="4314" w:type="dxa"/>
            <w:shd w:val="clear" w:color="auto" w:fill="auto"/>
            <w:vAlign w:val="center"/>
          </w:tcPr>
          <w:p w14:paraId="6E5079F0"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0D807EA3" w14:textId="77777777">
        <w:trPr>
          <w:cantSplit/>
          <w:trHeight w:val="546"/>
          <w:jc w:val="center"/>
        </w:trPr>
        <w:tc>
          <w:tcPr>
            <w:tcW w:w="3114" w:type="dxa"/>
            <w:vMerge/>
            <w:shd w:val="clear" w:color="auto" w:fill="auto"/>
            <w:vAlign w:val="center"/>
          </w:tcPr>
          <w:p w14:paraId="098D1E1F" w14:textId="77777777" w:rsidR="00507F9A" w:rsidRPr="0038119B" w:rsidRDefault="00507F9A" w:rsidP="00507F9A">
            <w:pPr>
              <w:contextualSpacing/>
              <w:rPr>
                <w:sz w:val="20"/>
                <w:lang w:val="en-AU"/>
              </w:rPr>
            </w:pPr>
          </w:p>
        </w:tc>
        <w:tc>
          <w:tcPr>
            <w:tcW w:w="2126" w:type="dxa"/>
            <w:vMerge/>
            <w:shd w:val="clear" w:color="auto" w:fill="auto"/>
            <w:vAlign w:val="center"/>
          </w:tcPr>
          <w:p w14:paraId="05C94975"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1613B7D7" w14:textId="77777777" w:rsidR="00507F9A" w:rsidRPr="0038119B" w:rsidRDefault="00507F9A" w:rsidP="00507F9A">
            <w:pPr>
              <w:pStyle w:val="TblTextCenter"/>
              <w:rPr>
                <w:lang w:val="en-AU"/>
              </w:rPr>
            </w:pPr>
            <w:r w:rsidRPr="0038119B">
              <w:rPr>
                <w:lang w:val="en-AU"/>
              </w:rPr>
              <w:t>Resume LIBTAYO if skin reaction improves and remains at Grade 0 to 1 after corticosteroid taper to ≤10 mg/day prednisone or equivalent</w:t>
            </w:r>
          </w:p>
        </w:tc>
      </w:tr>
      <w:tr w:rsidR="00507F9A" w:rsidRPr="0038119B" w14:paraId="7F131DC8" w14:textId="77777777">
        <w:trPr>
          <w:cantSplit/>
          <w:trHeight w:val="175"/>
          <w:jc w:val="center"/>
        </w:trPr>
        <w:tc>
          <w:tcPr>
            <w:tcW w:w="3114" w:type="dxa"/>
            <w:vMerge/>
            <w:shd w:val="clear" w:color="auto" w:fill="auto"/>
            <w:vAlign w:val="center"/>
          </w:tcPr>
          <w:p w14:paraId="1586EA4A" w14:textId="77777777" w:rsidR="00507F9A" w:rsidRPr="0038119B" w:rsidRDefault="00507F9A" w:rsidP="00507F9A">
            <w:pPr>
              <w:contextualSpacing/>
              <w:rPr>
                <w:sz w:val="20"/>
                <w:lang w:val="en-AU"/>
              </w:rPr>
            </w:pPr>
          </w:p>
        </w:tc>
        <w:tc>
          <w:tcPr>
            <w:tcW w:w="2126" w:type="dxa"/>
            <w:shd w:val="clear" w:color="auto" w:fill="auto"/>
            <w:vAlign w:val="center"/>
          </w:tcPr>
          <w:p w14:paraId="73D6DFC3" w14:textId="77777777" w:rsidR="00507F9A" w:rsidRPr="0038119B" w:rsidRDefault="00507F9A" w:rsidP="00507F9A">
            <w:pPr>
              <w:pStyle w:val="TblTextCenter"/>
              <w:rPr>
                <w:lang w:val="en-AU"/>
              </w:rPr>
            </w:pPr>
            <w:r w:rsidRPr="0038119B">
              <w:rPr>
                <w:lang w:val="en-AU"/>
              </w:rPr>
              <w:t>Grade 4 or confirmed SJS or TEN</w:t>
            </w:r>
          </w:p>
        </w:tc>
        <w:tc>
          <w:tcPr>
            <w:tcW w:w="4394" w:type="dxa"/>
            <w:shd w:val="clear" w:color="auto" w:fill="auto"/>
            <w:vAlign w:val="center"/>
          </w:tcPr>
          <w:p w14:paraId="1553359A" w14:textId="77777777" w:rsidR="00507F9A" w:rsidRPr="0038119B" w:rsidRDefault="00507F9A" w:rsidP="00507F9A">
            <w:pPr>
              <w:pStyle w:val="TblTextCenter"/>
              <w:rPr>
                <w:lang w:val="en-AU"/>
              </w:rPr>
            </w:pPr>
            <w:r w:rsidRPr="0038119B">
              <w:rPr>
                <w:lang w:val="en-AU"/>
              </w:rPr>
              <w:t>Permanently discontinue</w:t>
            </w:r>
          </w:p>
        </w:tc>
        <w:tc>
          <w:tcPr>
            <w:tcW w:w="4314" w:type="dxa"/>
            <w:shd w:val="clear" w:color="auto" w:fill="auto"/>
            <w:vAlign w:val="center"/>
          </w:tcPr>
          <w:p w14:paraId="343C0EDE"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58E87847" w14:textId="77777777">
        <w:trPr>
          <w:cantSplit/>
          <w:trHeight w:val="64"/>
          <w:jc w:val="center"/>
        </w:trPr>
        <w:tc>
          <w:tcPr>
            <w:tcW w:w="3114" w:type="dxa"/>
            <w:vMerge w:val="restart"/>
            <w:shd w:val="clear" w:color="auto" w:fill="auto"/>
            <w:vAlign w:val="center"/>
          </w:tcPr>
          <w:p w14:paraId="1B6A7845" w14:textId="77777777" w:rsidR="00507F9A" w:rsidRPr="0038119B" w:rsidRDefault="00507F9A" w:rsidP="00507F9A">
            <w:pPr>
              <w:pStyle w:val="TblTextCenter"/>
              <w:rPr>
                <w:lang w:val="en-AU"/>
              </w:rPr>
            </w:pPr>
            <w:r w:rsidRPr="0038119B">
              <w:rPr>
                <w:lang w:val="en-AU"/>
              </w:rPr>
              <w:t>Immune</w:t>
            </w:r>
            <w:r w:rsidRPr="0038119B">
              <w:rPr>
                <w:lang w:val="en-AU"/>
              </w:rPr>
              <w:noBreakHyphen/>
              <w:t>related skin reaction or other immune</w:t>
            </w:r>
            <w:r w:rsidRPr="0038119B">
              <w:rPr>
                <w:lang w:val="en-AU"/>
              </w:rPr>
              <w:noBreakHyphen/>
              <w:t xml:space="preserve">related adverse reactions in patients with prior treatment with idelalisib </w:t>
            </w:r>
          </w:p>
        </w:tc>
        <w:tc>
          <w:tcPr>
            <w:tcW w:w="2126" w:type="dxa"/>
            <w:vMerge w:val="restart"/>
            <w:shd w:val="clear" w:color="auto" w:fill="auto"/>
            <w:vAlign w:val="center"/>
          </w:tcPr>
          <w:p w14:paraId="5E94B739" w14:textId="77777777" w:rsidR="00507F9A" w:rsidRPr="0038119B" w:rsidRDefault="00507F9A" w:rsidP="00507F9A">
            <w:pPr>
              <w:pStyle w:val="TblTextCenter"/>
              <w:rPr>
                <w:lang w:val="en-AU"/>
              </w:rPr>
            </w:pPr>
            <w:r w:rsidRPr="0038119B">
              <w:rPr>
                <w:lang w:val="en-AU"/>
              </w:rPr>
              <w:t>Grade 2</w:t>
            </w:r>
          </w:p>
        </w:tc>
        <w:tc>
          <w:tcPr>
            <w:tcW w:w="4394" w:type="dxa"/>
            <w:shd w:val="clear" w:color="auto" w:fill="auto"/>
            <w:vAlign w:val="center"/>
          </w:tcPr>
          <w:p w14:paraId="0A45DC7A"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3527F4D6" w14:textId="49F1131C" w:rsidR="00507F9A" w:rsidRPr="0038119B" w:rsidRDefault="00507F9A" w:rsidP="00507F9A">
            <w:pPr>
              <w:pStyle w:val="TblTextCenter"/>
              <w:rPr>
                <w:lang w:val="en-AU"/>
              </w:rPr>
            </w:pPr>
            <w:r w:rsidRPr="0038119B">
              <w:rPr>
                <w:lang w:val="en-AU"/>
              </w:rPr>
              <w:t>Initiate management immediately, including initial dose of 1 to 2 mg/kg/day prednisone or equivalent followed by a taper</w:t>
            </w:r>
          </w:p>
        </w:tc>
      </w:tr>
      <w:tr w:rsidR="00507F9A" w:rsidRPr="0038119B" w14:paraId="6FB0D695" w14:textId="77777777">
        <w:trPr>
          <w:cantSplit/>
          <w:trHeight w:val="179"/>
          <w:jc w:val="center"/>
        </w:trPr>
        <w:tc>
          <w:tcPr>
            <w:tcW w:w="3114" w:type="dxa"/>
            <w:vMerge/>
            <w:shd w:val="clear" w:color="auto" w:fill="auto"/>
            <w:vAlign w:val="center"/>
          </w:tcPr>
          <w:p w14:paraId="695B2105" w14:textId="77777777" w:rsidR="00507F9A" w:rsidRPr="0038119B" w:rsidRDefault="00507F9A" w:rsidP="00507F9A">
            <w:pPr>
              <w:contextualSpacing/>
              <w:rPr>
                <w:sz w:val="20"/>
                <w:lang w:val="en-AU"/>
              </w:rPr>
            </w:pPr>
          </w:p>
        </w:tc>
        <w:tc>
          <w:tcPr>
            <w:tcW w:w="2126" w:type="dxa"/>
            <w:vMerge/>
            <w:shd w:val="clear" w:color="auto" w:fill="auto"/>
            <w:vAlign w:val="center"/>
          </w:tcPr>
          <w:p w14:paraId="680EA5DD"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14FE0274" w14:textId="77777777" w:rsidR="00507F9A" w:rsidRPr="0038119B" w:rsidRDefault="00507F9A" w:rsidP="00507F9A">
            <w:pPr>
              <w:pStyle w:val="TblTextCenter"/>
              <w:rPr>
                <w:lang w:val="en-AU"/>
              </w:rPr>
            </w:pPr>
            <w:r w:rsidRPr="0038119B">
              <w:rPr>
                <w:lang w:val="en-AU"/>
              </w:rPr>
              <w:t>Resume LIBTAYO if skin reaction or other immune</w:t>
            </w:r>
            <w:r w:rsidRPr="0038119B">
              <w:rPr>
                <w:lang w:val="en-AU"/>
              </w:rPr>
              <w:noBreakHyphen/>
              <w:t>related adverse reaction improves and remains at Grade 0 to 1 after corticosteroid taper to ≤10 mg/day prednisone or equivalent</w:t>
            </w:r>
          </w:p>
        </w:tc>
      </w:tr>
      <w:tr w:rsidR="00507F9A" w:rsidRPr="0038119B" w14:paraId="4254A49D" w14:textId="77777777">
        <w:trPr>
          <w:cantSplit/>
          <w:jc w:val="center"/>
        </w:trPr>
        <w:tc>
          <w:tcPr>
            <w:tcW w:w="3114" w:type="dxa"/>
            <w:vMerge/>
            <w:shd w:val="clear" w:color="auto" w:fill="auto"/>
            <w:vAlign w:val="center"/>
          </w:tcPr>
          <w:p w14:paraId="6E25060A" w14:textId="77777777" w:rsidR="00507F9A" w:rsidRPr="0038119B" w:rsidRDefault="00507F9A" w:rsidP="00507F9A">
            <w:pPr>
              <w:contextualSpacing/>
              <w:rPr>
                <w:sz w:val="20"/>
                <w:lang w:val="en-AU"/>
              </w:rPr>
            </w:pPr>
          </w:p>
        </w:tc>
        <w:tc>
          <w:tcPr>
            <w:tcW w:w="2126" w:type="dxa"/>
            <w:shd w:val="clear" w:color="auto" w:fill="auto"/>
            <w:vAlign w:val="center"/>
          </w:tcPr>
          <w:p w14:paraId="1D65ADD6" w14:textId="77777777" w:rsidR="00507F9A" w:rsidRPr="0038119B" w:rsidRDefault="00507F9A" w:rsidP="00507F9A">
            <w:pPr>
              <w:pStyle w:val="TblTextCenter"/>
              <w:rPr>
                <w:lang w:val="en-AU"/>
              </w:rPr>
            </w:pPr>
            <w:r w:rsidRPr="0038119B">
              <w:rPr>
                <w:lang w:val="en-AU"/>
              </w:rPr>
              <w:t>Grade 3 or 4 (excluding endocrinopathies)</w:t>
            </w:r>
          </w:p>
          <w:p w14:paraId="60CABC7D" w14:textId="77777777" w:rsidR="00507F9A" w:rsidRPr="0038119B" w:rsidRDefault="00507F9A" w:rsidP="00507F9A">
            <w:pPr>
              <w:pStyle w:val="TblTextCenter"/>
              <w:rPr>
                <w:lang w:val="en-AU"/>
              </w:rPr>
            </w:pPr>
            <w:r w:rsidRPr="0038119B">
              <w:rPr>
                <w:lang w:val="en-AU"/>
              </w:rPr>
              <w:t>or recurrent Grade 2</w:t>
            </w:r>
          </w:p>
        </w:tc>
        <w:tc>
          <w:tcPr>
            <w:tcW w:w="4394" w:type="dxa"/>
            <w:shd w:val="clear" w:color="auto" w:fill="auto"/>
            <w:vAlign w:val="center"/>
          </w:tcPr>
          <w:p w14:paraId="5CADE7C4" w14:textId="77777777" w:rsidR="00507F9A" w:rsidRPr="0038119B" w:rsidRDefault="00507F9A" w:rsidP="00507F9A">
            <w:pPr>
              <w:pStyle w:val="TblTextCenter"/>
              <w:rPr>
                <w:lang w:val="en-AU"/>
              </w:rPr>
            </w:pPr>
            <w:r w:rsidRPr="0038119B">
              <w:rPr>
                <w:lang w:val="en-AU"/>
              </w:rPr>
              <w:t xml:space="preserve">Permanently discontinue </w:t>
            </w:r>
          </w:p>
        </w:tc>
        <w:tc>
          <w:tcPr>
            <w:tcW w:w="4314" w:type="dxa"/>
            <w:shd w:val="clear" w:color="auto" w:fill="auto"/>
            <w:vAlign w:val="center"/>
          </w:tcPr>
          <w:p w14:paraId="16A13AAC" w14:textId="5C56901C" w:rsidR="00507F9A" w:rsidRPr="0038119B" w:rsidRDefault="00507F9A" w:rsidP="00507F9A">
            <w:pPr>
              <w:pStyle w:val="TblTextCenter"/>
              <w:rPr>
                <w:lang w:val="en-AU"/>
              </w:rPr>
            </w:pPr>
            <w:r w:rsidRPr="0038119B">
              <w:rPr>
                <w:lang w:val="en-AU"/>
              </w:rPr>
              <w:t>Initiate management immediately, including initial dose of 1 to 2 mg/kg/day prednisone or equivalent followed by a taper</w:t>
            </w:r>
          </w:p>
        </w:tc>
      </w:tr>
      <w:tr w:rsidR="00507F9A" w:rsidRPr="0038119B" w14:paraId="3A35CE70" w14:textId="77777777">
        <w:trPr>
          <w:cantSplit/>
          <w:trHeight w:val="679"/>
          <w:jc w:val="center"/>
        </w:trPr>
        <w:tc>
          <w:tcPr>
            <w:tcW w:w="3114" w:type="dxa"/>
            <w:vMerge w:val="restart"/>
            <w:shd w:val="clear" w:color="auto" w:fill="auto"/>
            <w:vAlign w:val="center"/>
          </w:tcPr>
          <w:p w14:paraId="443BE37E" w14:textId="77777777" w:rsidR="00507F9A" w:rsidRPr="0038119B" w:rsidRDefault="00507F9A" w:rsidP="00507F9A">
            <w:pPr>
              <w:pStyle w:val="TblTextCenter"/>
              <w:rPr>
                <w:lang w:val="en-AU"/>
              </w:rPr>
            </w:pPr>
            <w:r w:rsidRPr="0038119B">
              <w:rPr>
                <w:lang w:val="en-AU"/>
              </w:rPr>
              <w:t xml:space="preserve">Nephritis </w:t>
            </w:r>
          </w:p>
          <w:p w14:paraId="4893250D" w14:textId="77777777" w:rsidR="00507F9A" w:rsidRPr="0038119B" w:rsidRDefault="00507F9A" w:rsidP="00507F9A">
            <w:pPr>
              <w:pStyle w:val="TblTextCenter"/>
              <w:rPr>
                <w:lang w:val="en-AU"/>
              </w:rPr>
            </w:pPr>
            <w:r w:rsidRPr="0038119B">
              <w:rPr>
                <w:lang w:val="en-AU"/>
              </w:rPr>
              <w:t>with renal dysfunction</w:t>
            </w:r>
          </w:p>
          <w:p w14:paraId="50013A1D" w14:textId="77777777" w:rsidR="00507F9A" w:rsidRPr="0038119B" w:rsidRDefault="00507F9A" w:rsidP="00507F9A">
            <w:pPr>
              <w:pStyle w:val="TblTextCenter"/>
              <w:rPr>
                <w:lang w:val="en-AU"/>
              </w:rPr>
            </w:pPr>
            <w:r w:rsidRPr="0038119B">
              <w:rPr>
                <w:lang w:val="en-AU"/>
              </w:rPr>
              <w:t xml:space="preserve"> </w:t>
            </w:r>
          </w:p>
        </w:tc>
        <w:tc>
          <w:tcPr>
            <w:tcW w:w="2126" w:type="dxa"/>
            <w:vMerge w:val="restart"/>
            <w:shd w:val="clear" w:color="auto" w:fill="auto"/>
            <w:vAlign w:val="center"/>
          </w:tcPr>
          <w:p w14:paraId="5A1F54EF" w14:textId="77777777" w:rsidR="00507F9A" w:rsidRPr="0038119B" w:rsidRDefault="00507F9A" w:rsidP="00507F9A">
            <w:pPr>
              <w:pStyle w:val="TblTextCenter"/>
              <w:rPr>
                <w:lang w:val="en-AU"/>
              </w:rPr>
            </w:pPr>
            <w:r w:rsidRPr="0038119B">
              <w:rPr>
                <w:lang w:val="en-AU"/>
              </w:rPr>
              <w:t>Grade 2 creatinine increased</w:t>
            </w:r>
          </w:p>
        </w:tc>
        <w:tc>
          <w:tcPr>
            <w:tcW w:w="4394" w:type="dxa"/>
            <w:shd w:val="clear" w:color="auto" w:fill="auto"/>
            <w:vAlign w:val="center"/>
          </w:tcPr>
          <w:p w14:paraId="7F0A2BF6"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44458616"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4E646006" w14:textId="77777777">
        <w:trPr>
          <w:cantSplit/>
          <w:trHeight w:val="703"/>
          <w:jc w:val="center"/>
        </w:trPr>
        <w:tc>
          <w:tcPr>
            <w:tcW w:w="3114" w:type="dxa"/>
            <w:vMerge/>
            <w:shd w:val="clear" w:color="auto" w:fill="auto"/>
            <w:vAlign w:val="center"/>
          </w:tcPr>
          <w:p w14:paraId="3D3D6D5D" w14:textId="77777777" w:rsidR="00507F9A" w:rsidRPr="0038119B" w:rsidRDefault="00507F9A" w:rsidP="00507F9A">
            <w:pPr>
              <w:contextualSpacing/>
              <w:rPr>
                <w:sz w:val="20"/>
                <w:lang w:val="en-AU"/>
              </w:rPr>
            </w:pPr>
          </w:p>
        </w:tc>
        <w:tc>
          <w:tcPr>
            <w:tcW w:w="2126" w:type="dxa"/>
            <w:vMerge/>
            <w:shd w:val="clear" w:color="auto" w:fill="auto"/>
            <w:vAlign w:val="center"/>
          </w:tcPr>
          <w:p w14:paraId="789957FB" w14:textId="77777777" w:rsidR="00507F9A" w:rsidRPr="0038119B" w:rsidRDefault="00507F9A" w:rsidP="00507F9A">
            <w:pPr>
              <w:pStyle w:val="TblTextCenter"/>
              <w:rPr>
                <w:lang w:val="en-AU"/>
              </w:rPr>
            </w:pPr>
          </w:p>
        </w:tc>
        <w:tc>
          <w:tcPr>
            <w:tcW w:w="8708" w:type="dxa"/>
            <w:gridSpan w:val="2"/>
            <w:shd w:val="clear" w:color="auto" w:fill="auto"/>
            <w:vAlign w:val="center"/>
          </w:tcPr>
          <w:p w14:paraId="2DD1382A" w14:textId="77777777" w:rsidR="00507F9A" w:rsidRPr="0038119B" w:rsidRDefault="00507F9A" w:rsidP="00507F9A">
            <w:pPr>
              <w:pStyle w:val="TblTextCenter"/>
              <w:rPr>
                <w:lang w:val="en-AU"/>
              </w:rPr>
            </w:pPr>
            <w:r w:rsidRPr="0038119B">
              <w:rPr>
                <w:lang w:val="en-AU"/>
              </w:rPr>
              <w:t>Resume LIBTAYO if nephritis improves and remains at Grade 0 to 1 after corticosteroid taper to ≤10 mg/day prednisone or equivalent</w:t>
            </w:r>
          </w:p>
        </w:tc>
      </w:tr>
      <w:tr w:rsidR="00507F9A" w:rsidRPr="0038119B" w14:paraId="4F892357" w14:textId="77777777">
        <w:trPr>
          <w:cantSplit/>
          <w:trHeight w:val="350"/>
          <w:jc w:val="center"/>
        </w:trPr>
        <w:tc>
          <w:tcPr>
            <w:tcW w:w="3114" w:type="dxa"/>
            <w:vMerge/>
            <w:shd w:val="clear" w:color="auto" w:fill="auto"/>
            <w:vAlign w:val="center"/>
          </w:tcPr>
          <w:p w14:paraId="7BC4ABEE" w14:textId="77777777" w:rsidR="00507F9A" w:rsidRPr="0038119B" w:rsidRDefault="00507F9A" w:rsidP="00507F9A">
            <w:pPr>
              <w:contextualSpacing/>
              <w:rPr>
                <w:sz w:val="20"/>
                <w:lang w:val="en-AU"/>
              </w:rPr>
            </w:pPr>
          </w:p>
        </w:tc>
        <w:tc>
          <w:tcPr>
            <w:tcW w:w="2126" w:type="dxa"/>
            <w:shd w:val="clear" w:color="auto" w:fill="auto"/>
            <w:vAlign w:val="center"/>
          </w:tcPr>
          <w:p w14:paraId="4304BCED" w14:textId="77777777" w:rsidR="00507F9A" w:rsidRPr="0038119B" w:rsidRDefault="00507F9A" w:rsidP="00507F9A">
            <w:pPr>
              <w:pStyle w:val="TblTextCenter"/>
              <w:rPr>
                <w:lang w:val="en-AU"/>
              </w:rPr>
            </w:pPr>
            <w:r w:rsidRPr="0038119B">
              <w:rPr>
                <w:lang w:val="en-AU"/>
              </w:rPr>
              <w:t>Grade 3 or 4 creatinine increased</w:t>
            </w:r>
          </w:p>
        </w:tc>
        <w:tc>
          <w:tcPr>
            <w:tcW w:w="4394" w:type="dxa"/>
            <w:shd w:val="clear" w:color="auto" w:fill="auto"/>
            <w:vAlign w:val="center"/>
          </w:tcPr>
          <w:p w14:paraId="27D0A67E" w14:textId="77777777" w:rsidR="00507F9A" w:rsidRPr="0038119B" w:rsidRDefault="00507F9A" w:rsidP="00507F9A">
            <w:pPr>
              <w:pStyle w:val="TblTextCenter"/>
              <w:rPr>
                <w:lang w:val="en-AU"/>
              </w:rPr>
            </w:pPr>
            <w:r w:rsidRPr="0038119B">
              <w:rPr>
                <w:lang w:val="en-AU"/>
              </w:rPr>
              <w:t>Permanently discontinue</w:t>
            </w:r>
          </w:p>
        </w:tc>
        <w:tc>
          <w:tcPr>
            <w:tcW w:w="4314" w:type="dxa"/>
            <w:shd w:val="clear" w:color="auto" w:fill="auto"/>
            <w:vAlign w:val="center"/>
          </w:tcPr>
          <w:p w14:paraId="0A8FF3D0" w14:textId="77777777" w:rsidR="00507F9A" w:rsidRPr="0038119B" w:rsidRDefault="00507F9A" w:rsidP="00507F9A">
            <w:pPr>
              <w:pStyle w:val="TblTextCenter"/>
              <w:rPr>
                <w:lang w:val="en-AU"/>
              </w:rPr>
            </w:pPr>
            <w:r w:rsidRPr="0038119B">
              <w:rPr>
                <w:lang w:val="en-AU"/>
              </w:rPr>
              <w:t>Initial dose of 1 to 2 mg/kg/day prednisone or equivalent followed by a taper</w:t>
            </w:r>
          </w:p>
        </w:tc>
      </w:tr>
      <w:tr w:rsidR="00507F9A" w:rsidRPr="0038119B" w14:paraId="43B91112" w14:textId="77777777">
        <w:trPr>
          <w:cantSplit/>
          <w:trHeight w:val="536"/>
          <w:jc w:val="center"/>
        </w:trPr>
        <w:tc>
          <w:tcPr>
            <w:tcW w:w="3114" w:type="dxa"/>
            <w:vMerge w:val="restart"/>
            <w:shd w:val="clear" w:color="auto" w:fill="auto"/>
            <w:vAlign w:val="center"/>
          </w:tcPr>
          <w:p w14:paraId="6515827E" w14:textId="6CF6D609" w:rsidR="00507F9A" w:rsidRPr="0038119B" w:rsidRDefault="00507F9A" w:rsidP="00507F9A">
            <w:pPr>
              <w:pStyle w:val="TblTextCenter"/>
              <w:rPr>
                <w:lang w:val="en-AU"/>
              </w:rPr>
            </w:pPr>
            <w:r w:rsidRPr="0038119B">
              <w:rPr>
                <w:lang w:val="en-AU"/>
              </w:rPr>
              <w:t>Other immune</w:t>
            </w:r>
            <w:r w:rsidRPr="0038119B">
              <w:rPr>
                <w:lang w:val="en-AU"/>
              </w:rPr>
              <w:noBreakHyphen/>
              <w:t xml:space="preserve">related adverse reactions </w:t>
            </w:r>
            <w:r w:rsidRPr="0038119B">
              <w:rPr>
                <w:strike/>
                <w:color w:val="FF0000"/>
                <w:vertAlign w:val="superscript"/>
                <w:lang w:val="en-AU"/>
              </w:rPr>
              <w:t xml:space="preserve"> </w:t>
            </w:r>
          </w:p>
        </w:tc>
        <w:tc>
          <w:tcPr>
            <w:tcW w:w="2126" w:type="dxa"/>
            <w:vMerge w:val="restart"/>
            <w:shd w:val="clear" w:color="auto" w:fill="auto"/>
            <w:vAlign w:val="center"/>
          </w:tcPr>
          <w:p w14:paraId="053C1995" w14:textId="7FE37BED" w:rsidR="00507F9A" w:rsidRPr="0038119B" w:rsidRDefault="00507F9A" w:rsidP="00507F9A">
            <w:pPr>
              <w:pStyle w:val="TblTextCenter"/>
              <w:rPr>
                <w:lang w:val="en-AU"/>
              </w:rPr>
            </w:pPr>
            <w:r w:rsidRPr="0038119B">
              <w:rPr>
                <w:lang w:val="en-AU"/>
              </w:rPr>
              <w:t xml:space="preserve">Grade 2 or 3 based on type of reaction </w:t>
            </w:r>
          </w:p>
        </w:tc>
        <w:tc>
          <w:tcPr>
            <w:tcW w:w="4394" w:type="dxa"/>
            <w:shd w:val="clear" w:color="auto" w:fill="auto"/>
            <w:vAlign w:val="center"/>
          </w:tcPr>
          <w:p w14:paraId="6DAE1BA1" w14:textId="77777777" w:rsidR="00507F9A" w:rsidRPr="0038119B" w:rsidRDefault="00507F9A" w:rsidP="00507F9A">
            <w:pPr>
              <w:pStyle w:val="TblTextCenter"/>
              <w:rPr>
                <w:lang w:val="en-AU"/>
              </w:rPr>
            </w:pPr>
            <w:r w:rsidRPr="0038119B">
              <w:rPr>
                <w:lang w:val="en-AU"/>
              </w:rPr>
              <w:t>Withhold LIBTAYO</w:t>
            </w:r>
          </w:p>
        </w:tc>
        <w:tc>
          <w:tcPr>
            <w:tcW w:w="4314" w:type="dxa"/>
            <w:shd w:val="clear" w:color="auto" w:fill="auto"/>
            <w:vAlign w:val="center"/>
          </w:tcPr>
          <w:p w14:paraId="4B66D9A9" w14:textId="04CFD4C7" w:rsidR="00507F9A" w:rsidRPr="0038119B" w:rsidRDefault="00507F9A" w:rsidP="00507F9A">
            <w:pPr>
              <w:pStyle w:val="TblTextCenter"/>
              <w:rPr>
                <w:lang w:val="en-AU"/>
              </w:rPr>
            </w:pPr>
            <w:r w:rsidRPr="0038119B">
              <w:rPr>
                <w:lang w:val="en-AU"/>
              </w:rPr>
              <w:t>Initiate symptomatic management including initial dose of 1 to 2 mg/kg/day prednisone or equivalent as clinically indicated followed by a taper</w:t>
            </w:r>
            <w:r w:rsidRPr="0038119B">
              <w:rPr>
                <w:color w:val="0070C0"/>
                <w:u w:val="double"/>
                <w:lang w:val="en-AU"/>
              </w:rPr>
              <w:t xml:space="preserve"> </w:t>
            </w:r>
          </w:p>
        </w:tc>
      </w:tr>
      <w:tr w:rsidR="00507F9A" w:rsidRPr="0038119B" w14:paraId="002BD8BF" w14:textId="77777777">
        <w:trPr>
          <w:cantSplit/>
          <w:trHeight w:val="700"/>
          <w:jc w:val="center"/>
        </w:trPr>
        <w:tc>
          <w:tcPr>
            <w:tcW w:w="3114" w:type="dxa"/>
            <w:vMerge/>
            <w:shd w:val="clear" w:color="auto" w:fill="auto"/>
            <w:vAlign w:val="center"/>
          </w:tcPr>
          <w:p w14:paraId="2DD0AFDD" w14:textId="77777777" w:rsidR="00507F9A" w:rsidRPr="0038119B" w:rsidRDefault="00507F9A" w:rsidP="00507F9A">
            <w:pPr>
              <w:contextualSpacing/>
              <w:rPr>
                <w:sz w:val="20"/>
                <w:lang w:val="en-AU"/>
              </w:rPr>
            </w:pPr>
          </w:p>
        </w:tc>
        <w:tc>
          <w:tcPr>
            <w:tcW w:w="2126" w:type="dxa"/>
            <w:vMerge/>
            <w:shd w:val="clear" w:color="auto" w:fill="auto"/>
            <w:vAlign w:val="center"/>
          </w:tcPr>
          <w:p w14:paraId="39F78056" w14:textId="77777777" w:rsidR="00507F9A" w:rsidRPr="0038119B" w:rsidRDefault="00507F9A" w:rsidP="00507F9A">
            <w:pPr>
              <w:contextualSpacing/>
              <w:rPr>
                <w:sz w:val="20"/>
                <w:lang w:val="en-AU"/>
              </w:rPr>
            </w:pPr>
          </w:p>
        </w:tc>
        <w:tc>
          <w:tcPr>
            <w:tcW w:w="8708" w:type="dxa"/>
            <w:gridSpan w:val="2"/>
            <w:shd w:val="clear" w:color="auto" w:fill="auto"/>
            <w:vAlign w:val="center"/>
          </w:tcPr>
          <w:p w14:paraId="67032EEB" w14:textId="77777777" w:rsidR="00507F9A" w:rsidRPr="0038119B" w:rsidRDefault="00507F9A" w:rsidP="00507F9A">
            <w:pPr>
              <w:pStyle w:val="TblTextCenter"/>
              <w:rPr>
                <w:lang w:val="en-AU"/>
              </w:rPr>
            </w:pPr>
            <w:r w:rsidRPr="0038119B">
              <w:rPr>
                <w:lang w:val="en-AU"/>
              </w:rPr>
              <w:t>Resume LIBTAYO if other immune</w:t>
            </w:r>
            <w:r w:rsidRPr="0038119B">
              <w:rPr>
                <w:lang w:val="en-AU"/>
              </w:rPr>
              <w:noBreakHyphen/>
              <w:t>related adverse reaction improves and remains at Grade 0 to 1 after corticosteroid taper to ≤10 mg/day prednisone or equivalent</w:t>
            </w:r>
          </w:p>
        </w:tc>
      </w:tr>
      <w:tr w:rsidR="00507F9A" w:rsidRPr="0038119B" w14:paraId="7F714EA8" w14:textId="77777777">
        <w:trPr>
          <w:cantSplit/>
          <w:jc w:val="center"/>
        </w:trPr>
        <w:tc>
          <w:tcPr>
            <w:tcW w:w="3114" w:type="dxa"/>
            <w:vMerge/>
            <w:shd w:val="clear" w:color="auto" w:fill="auto"/>
            <w:vAlign w:val="center"/>
          </w:tcPr>
          <w:p w14:paraId="2D26D607" w14:textId="77777777" w:rsidR="00507F9A" w:rsidRPr="0038119B" w:rsidRDefault="00507F9A" w:rsidP="00507F9A">
            <w:pPr>
              <w:contextualSpacing/>
              <w:rPr>
                <w:sz w:val="20"/>
                <w:lang w:val="en-AU"/>
              </w:rPr>
            </w:pPr>
          </w:p>
        </w:tc>
        <w:tc>
          <w:tcPr>
            <w:tcW w:w="2126" w:type="dxa"/>
            <w:shd w:val="clear" w:color="auto" w:fill="auto"/>
            <w:vAlign w:val="center"/>
          </w:tcPr>
          <w:p w14:paraId="45ED9EB0" w14:textId="53F089DC" w:rsidR="00507F9A" w:rsidRPr="0038119B" w:rsidRDefault="00507F9A" w:rsidP="00507F9A">
            <w:pPr>
              <w:pStyle w:val="TblTextCenter"/>
              <w:rPr>
                <w:lang w:val="en-AU"/>
              </w:rPr>
            </w:pPr>
            <w:r w:rsidRPr="0038119B">
              <w:rPr>
                <w:lang w:val="en-AU"/>
              </w:rPr>
              <w:t>Grade 3 based on type of reaction or Grade 4 (excluding endocrinopathies)</w:t>
            </w:r>
          </w:p>
          <w:p w14:paraId="47EDAD7D" w14:textId="77777777" w:rsidR="00507F9A" w:rsidRPr="0038119B" w:rsidRDefault="00507F9A" w:rsidP="00507F9A">
            <w:pPr>
              <w:pStyle w:val="TblTextCenter"/>
              <w:rPr>
                <w:lang w:val="en-AU"/>
              </w:rPr>
            </w:pPr>
            <w:r w:rsidRPr="0038119B">
              <w:rPr>
                <w:lang w:val="en-AU"/>
              </w:rPr>
              <w:t>Grade 3 or 4 neurologic toxicity</w:t>
            </w:r>
          </w:p>
          <w:p w14:paraId="04256F4D" w14:textId="77777777" w:rsidR="00507F9A" w:rsidRPr="0038119B" w:rsidRDefault="00507F9A" w:rsidP="00507F9A">
            <w:pPr>
              <w:pStyle w:val="TblTextCenter"/>
              <w:rPr>
                <w:lang w:val="en-AU"/>
              </w:rPr>
            </w:pPr>
            <w:r w:rsidRPr="0038119B">
              <w:rPr>
                <w:lang w:val="en-AU"/>
              </w:rPr>
              <w:t>Grade 3 or 4 myocarditis or pericarditis</w:t>
            </w:r>
          </w:p>
          <w:p w14:paraId="2B2B9D1D" w14:textId="4DE5A931" w:rsidR="00507F9A" w:rsidRPr="0038119B" w:rsidRDefault="00507F9A" w:rsidP="00507F9A">
            <w:pPr>
              <w:pStyle w:val="TblTextCenter"/>
              <w:rPr>
                <w:lang w:val="en-AU"/>
              </w:rPr>
            </w:pPr>
            <w:r w:rsidRPr="0038119B">
              <w:rPr>
                <w:lang w:val="en-AU"/>
              </w:rPr>
              <w:t>Recurrent Grade 3 immune</w:t>
            </w:r>
            <w:r w:rsidRPr="0038119B">
              <w:rPr>
                <w:lang w:val="en-AU"/>
              </w:rPr>
              <w:noBreakHyphen/>
              <w:t>related adverse reaction</w:t>
            </w:r>
          </w:p>
          <w:p w14:paraId="43372798" w14:textId="77777777" w:rsidR="00507F9A" w:rsidRPr="0038119B" w:rsidRDefault="00507F9A" w:rsidP="00507F9A">
            <w:pPr>
              <w:pStyle w:val="TblTextCenter"/>
              <w:rPr>
                <w:lang w:val="en-AU"/>
              </w:rPr>
            </w:pPr>
            <w:r w:rsidRPr="0038119B">
              <w:rPr>
                <w:lang w:val="en-AU"/>
              </w:rPr>
              <w:t>Persistent Grade 2 or 3 immune</w:t>
            </w:r>
            <w:r w:rsidRPr="0038119B">
              <w:rPr>
                <w:lang w:val="en-AU"/>
              </w:rPr>
              <w:noBreakHyphen/>
              <w:t>related adverse reactions lasting 12 weeks or longer (excluding endocrinopathies)</w:t>
            </w:r>
          </w:p>
          <w:p w14:paraId="35F6C5B1" w14:textId="77777777" w:rsidR="00507F9A" w:rsidRPr="0038119B" w:rsidRDefault="00507F9A" w:rsidP="00507F9A">
            <w:pPr>
              <w:pStyle w:val="TblTextCenter"/>
              <w:rPr>
                <w:lang w:val="en-AU"/>
              </w:rPr>
            </w:pPr>
            <w:r w:rsidRPr="0038119B">
              <w:rPr>
                <w:lang w:val="en-AU"/>
              </w:rPr>
              <w:t>Inability to reduce corticosteroid dose to 10 mg or less of prednisone or equivalent per day within 12 weeks</w:t>
            </w:r>
          </w:p>
        </w:tc>
        <w:tc>
          <w:tcPr>
            <w:tcW w:w="4394" w:type="dxa"/>
            <w:shd w:val="clear" w:color="auto" w:fill="auto"/>
            <w:vAlign w:val="center"/>
          </w:tcPr>
          <w:p w14:paraId="570AD81D" w14:textId="77777777" w:rsidR="00507F9A" w:rsidRPr="0038119B" w:rsidRDefault="00507F9A" w:rsidP="00507F9A">
            <w:pPr>
              <w:pStyle w:val="TblTextCenter"/>
              <w:rPr>
                <w:lang w:val="en-AU"/>
              </w:rPr>
            </w:pPr>
            <w:r w:rsidRPr="0038119B">
              <w:rPr>
                <w:lang w:val="en-AU"/>
              </w:rPr>
              <w:t>Permanently discontinue</w:t>
            </w:r>
          </w:p>
        </w:tc>
        <w:tc>
          <w:tcPr>
            <w:tcW w:w="4314" w:type="dxa"/>
            <w:shd w:val="clear" w:color="auto" w:fill="auto"/>
            <w:vAlign w:val="center"/>
          </w:tcPr>
          <w:p w14:paraId="5611AEF2" w14:textId="4B3E7FC8" w:rsidR="00507F9A" w:rsidRPr="0038119B" w:rsidRDefault="00507F9A" w:rsidP="00507F9A">
            <w:pPr>
              <w:pStyle w:val="TblTextCenter"/>
              <w:rPr>
                <w:lang w:val="en-AU"/>
              </w:rPr>
            </w:pPr>
            <w:r w:rsidRPr="0038119B">
              <w:rPr>
                <w:lang w:val="en-AU"/>
              </w:rPr>
              <w:t xml:space="preserve">Initial dose of 1 to 2 mg/kg/day prednisone or equivalent as clinically indicated followed by a taper </w:t>
            </w:r>
          </w:p>
        </w:tc>
      </w:tr>
      <w:tr w:rsidR="00507F9A" w:rsidRPr="0038119B" w14:paraId="34F18A07" w14:textId="77777777" w:rsidTr="00D11885">
        <w:trPr>
          <w:cantSplit/>
          <w:jc w:val="center"/>
        </w:trPr>
        <w:tc>
          <w:tcPr>
            <w:tcW w:w="13948" w:type="dxa"/>
            <w:gridSpan w:val="4"/>
            <w:shd w:val="clear" w:color="auto" w:fill="auto"/>
            <w:vAlign w:val="center"/>
          </w:tcPr>
          <w:p w14:paraId="5648765C" w14:textId="1B9589DD" w:rsidR="00507F9A" w:rsidRPr="0038119B" w:rsidRDefault="00507F9A" w:rsidP="00507F9A">
            <w:pPr>
              <w:pStyle w:val="TblHeadingCenter"/>
              <w:jc w:val="left"/>
              <w:rPr>
                <w:lang w:val="en-AU"/>
              </w:rPr>
            </w:pPr>
            <w:r w:rsidRPr="0038119B">
              <w:rPr>
                <w:lang w:val="en-AU"/>
              </w:rPr>
              <w:t xml:space="preserve">Infusion-related reactions </w:t>
            </w:r>
            <w:r w:rsidRPr="0038119B">
              <w:rPr>
                <w:vertAlign w:val="superscript"/>
                <w:lang w:val="en-AU"/>
              </w:rPr>
              <w:t>a</w:t>
            </w:r>
          </w:p>
        </w:tc>
      </w:tr>
      <w:tr w:rsidR="00507F9A" w:rsidRPr="0038119B" w14:paraId="4C651573" w14:textId="77777777">
        <w:trPr>
          <w:cantSplit/>
          <w:jc w:val="center"/>
        </w:trPr>
        <w:tc>
          <w:tcPr>
            <w:tcW w:w="3114" w:type="dxa"/>
            <w:vMerge w:val="restart"/>
            <w:shd w:val="clear" w:color="auto" w:fill="auto"/>
            <w:vAlign w:val="center"/>
          </w:tcPr>
          <w:p w14:paraId="38E36D94" w14:textId="77777777" w:rsidR="00507F9A" w:rsidRPr="0038119B" w:rsidRDefault="00507F9A" w:rsidP="00507F9A">
            <w:pPr>
              <w:pStyle w:val="TblTextCenter"/>
              <w:rPr>
                <w:lang w:val="en-AU"/>
              </w:rPr>
            </w:pPr>
            <w:r w:rsidRPr="0038119B">
              <w:rPr>
                <w:lang w:val="en-AU"/>
              </w:rPr>
              <w:t>Infusion</w:t>
            </w:r>
            <w:r w:rsidRPr="0038119B">
              <w:rPr>
                <w:lang w:val="en-AU"/>
              </w:rPr>
              <w:noBreakHyphen/>
              <w:t xml:space="preserve">related reaction  </w:t>
            </w:r>
          </w:p>
        </w:tc>
        <w:tc>
          <w:tcPr>
            <w:tcW w:w="2126" w:type="dxa"/>
            <w:shd w:val="clear" w:color="auto" w:fill="auto"/>
            <w:vAlign w:val="center"/>
          </w:tcPr>
          <w:p w14:paraId="07EFABFF" w14:textId="77777777" w:rsidR="00507F9A" w:rsidRPr="0038119B" w:rsidRDefault="00507F9A" w:rsidP="00507F9A">
            <w:pPr>
              <w:pStyle w:val="TblTextCenter"/>
              <w:rPr>
                <w:lang w:val="en-AU"/>
              </w:rPr>
            </w:pPr>
            <w:r w:rsidRPr="0038119B">
              <w:rPr>
                <w:lang w:val="en-AU"/>
              </w:rPr>
              <w:t>Grade 1 or 2</w:t>
            </w:r>
          </w:p>
        </w:tc>
        <w:tc>
          <w:tcPr>
            <w:tcW w:w="4394" w:type="dxa"/>
            <w:shd w:val="clear" w:color="auto" w:fill="auto"/>
            <w:vAlign w:val="center"/>
          </w:tcPr>
          <w:p w14:paraId="10A61853" w14:textId="77777777" w:rsidR="00507F9A" w:rsidRPr="0038119B" w:rsidRDefault="00507F9A" w:rsidP="00507F9A">
            <w:pPr>
              <w:pStyle w:val="TblTextCenter"/>
              <w:rPr>
                <w:lang w:val="en-AU"/>
              </w:rPr>
            </w:pPr>
            <w:r w:rsidRPr="0038119B">
              <w:rPr>
                <w:lang w:val="en-AU"/>
              </w:rPr>
              <w:t>Interrupt or slow rate of infusion</w:t>
            </w:r>
          </w:p>
        </w:tc>
        <w:tc>
          <w:tcPr>
            <w:tcW w:w="4314" w:type="dxa"/>
            <w:vMerge w:val="restart"/>
            <w:shd w:val="clear" w:color="auto" w:fill="auto"/>
            <w:vAlign w:val="center"/>
          </w:tcPr>
          <w:p w14:paraId="4EFFF4F4" w14:textId="77777777" w:rsidR="00507F9A" w:rsidRPr="0038119B" w:rsidRDefault="00507F9A" w:rsidP="00507F9A">
            <w:pPr>
              <w:pStyle w:val="TblTextCenter"/>
              <w:rPr>
                <w:lang w:val="en-AU"/>
              </w:rPr>
            </w:pPr>
            <w:r w:rsidRPr="0038119B">
              <w:rPr>
                <w:lang w:val="en-AU"/>
              </w:rPr>
              <w:t>Initiate symptomatic management</w:t>
            </w:r>
          </w:p>
        </w:tc>
      </w:tr>
      <w:tr w:rsidR="00507F9A" w:rsidRPr="0038119B" w14:paraId="2D4CFF2D" w14:textId="77777777">
        <w:trPr>
          <w:cantSplit/>
          <w:trHeight w:val="449"/>
          <w:jc w:val="center"/>
        </w:trPr>
        <w:tc>
          <w:tcPr>
            <w:tcW w:w="3114" w:type="dxa"/>
            <w:vMerge/>
            <w:shd w:val="clear" w:color="auto" w:fill="auto"/>
            <w:vAlign w:val="center"/>
          </w:tcPr>
          <w:p w14:paraId="5CF4AA54" w14:textId="77777777" w:rsidR="00507F9A" w:rsidRPr="0038119B" w:rsidRDefault="00507F9A" w:rsidP="00507F9A">
            <w:pPr>
              <w:contextualSpacing/>
              <w:rPr>
                <w:sz w:val="20"/>
                <w:lang w:val="en-AU"/>
              </w:rPr>
            </w:pPr>
          </w:p>
        </w:tc>
        <w:tc>
          <w:tcPr>
            <w:tcW w:w="2126" w:type="dxa"/>
            <w:shd w:val="clear" w:color="auto" w:fill="auto"/>
            <w:vAlign w:val="center"/>
          </w:tcPr>
          <w:p w14:paraId="31373248" w14:textId="77777777" w:rsidR="00507F9A" w:rsidRPr="0038119B" w:rsidRDefault="00507F9A" w:rsidP="00507F9A">
            <w:pPr>
              <w:pStyle w:val="TblTextCenter"/>
              <w:rPr>
                <w:lang w:val="en-AU"/>
              </w:rPr>
            </w:pPr>
            <w:r w:rsidRPr="0038119B">
              <w:rPr>
                <w:lang w:val="en-AU"/>
              </w:rPr>
              <w:t>Grade 3 or 4</w:t>
            </w:r>
          </w:p>
        </w:tc>
        <w:tc>
          <w:tcPr>
            <w:tcW w:w="4394" w:type="dxa"/>
            <w:shd w:val="clear" w:color="auto" w:fill="auto"/>
            <w:vAlign w:val="center"/>
          </w:tcPr>
          <w:p w14:paraId="2D90BEDC" w14:textId="77777777" w:rsidR="00507F9A" w:rsidRPr="0038119B" w:rsidRDefault="00507F9A" w:rsidP="00507F9A">
            <w:pPr>
              <w:pStyle w:val="TblTextCenter"/>
              <w:rPr>
                <w:lang w:val="en-AU"/>
              </w:rPr>
            </w:pPr>
            <w:r w:rsidRPr="0038119B">
              <w:rPr>
                <w:lang w:val="en-AU"/>
              </w:rPr>
              <w:t>Permanently discontinue</w:t>
            </w:r>
          </w:p>
        </w:tc>
        <w:tc>
          <w:tcPr>
            <w:tcW w:w="4314" w:type="dxa"/>
            <w:vMerge/>
            <w:shd w:val="clear" w:color="auto" w:fill="auto"/>
            <w:vAlign w:val="center"/>
          </w:tcPr>
          <w:p w14:paraId="24F6DB6F" w14:textId="77777777" w:rsidR="00507F9A" w:rsidRPr="0038119B" w:rsidRDefault="00507F9A" w:rsidP="00507F9A">
            <w:pPr>
              <w:contextualSpacing/>
              <w:rPr>
                <w:sz w:val="20"/>
                <w:lang w:val="en-AU"/>
              </w:rPr>
            </w:pPr>
          </w:p>
        </w:tc>
      </w:tr>
      <w:tr w:rsidR="00507F9A" w:rsidRPr="0038119B" w14:paraId="50CAD2BE" w14:textId="77777777">
        <w:trPr>
          <w:cantSplit/>
          <w:trHeight w:val="449"/>
          <w:jc w:val="center"/>
        </w:trPr>
        <w:tc>
          <w:tcPr>
            <w:tcW w:w="0" w:type="auto"/>
            <w:gridSpan w:val="4"/>
            <w:shd w:val="clear" w:color="auto" w:fill="auto"/>
            <w:vAlign w:val="center"/>
          </w:tcPr>
          <w:p w14:paraId="7DE6309E" w14:textId="77777777" w:rsidR="00507F9A" w:rsidRPr="0038119B" w:rsidRDefault="00507F9A" w:rsidP="00507F9A">
            <w:pPr>
              <w:tabs>
                <w:tab w:val="left" w:pos="144"/>
              </w:tabs>
              <w:spacing w:before="0"/>
              <w:ind w:left="144" w:hanging="144"/>
              <w:rPr>
                <w:rFonts w:ascii="Arial Narrow" w:hAnsi="Arial Narrow"/>
                <w:color w:val="auto"/>
                <w:sz w:val="18"/>
                <w:lang w:val="en-AU"/>
              </w:rPr>
            </w:pPr>
            <w:r w:rsidRPr="0038119B">
              <w:rPr>
                <w:rFonts w:ascii="Arial Narrow" w:hAnsi="Arial Narrow"/>
                <w:sz w:val="18"/>
                <w:lang w:val="en-AU"/>
              </w:rPr>
              <w:lastRenderedPageBreak/>
              <w:t xml:space="preserve">ALT: alanine </w:t>
            </w:r>
            <w:r w:rsidRPr="0038119B">
              <w:rPr>
                <w:rFonts w:ascii="Arial Narrow" w:hAnsi="Arial Narrow"/>
                <w:color w:val="auto"/>
                <w:sz w:val="18"/>
                <w:lang w:val="en-AU"/>
              </w:rPr>
              <w:t>aminotransferase; AST: aspartate aminotransferase; ULN: upper limit of normal.</w:t>
            </w:r>
          </w:p>
          <w:p w14:paraId="02E42459" w14:textId="784A5C80" w:rsidR="00507F9A" w:rsidRPr="0038119B" w:rsidRDefault="00507F9A" w:rsidP="00507F9A">
            <w:pPr>
              <w:tabs>
                <w:tab w:val="left" w:pos="144"/>
              </w:tabs>
              <w:spacing w:before="0"/>
              <w:ind w:left="144" w:hanging="144"/>
              <w:rPr>
                <w:rFonts w:ascii="Arial Narrow" w:hAnsi="Arial Narrow"/>
                <w:color w:val="auto"/>
                <w:sz w:val="18"/>
                <w:lang w:val="en-AU"/>
              </w:rPr>
            </w:pPr>
            <w:r w:rsidRPr="0038119B">
              <w:rPr>
                <w:rFonts w:ascii="Arial Narrow" w:hAnsi="Arial Narrow"/>
                <w:color w:val="auto"/>
                <w:sz w:val="18"/>
                <w:vertAlign w:val="superscript"/>
                <w:lang w:val="en-AU"/>
              </w:rPr>
              <w:t xml:space="preserve">a </w:t>
            </w:r>
            <w:r w:rsidRPr="0038119B">
              <w:rPr>
                <w:rFonts w:ascii="Arial Narrow" w:hAnsi="Arial Narrow"/>
                <w:color w:val="auto"/>
                <w:sz w:val="18"/>
                <w:lang w:val="en-AU"/>
              </w:rPr>
              <w:t>See also Warnings and Precautions (Section 4.4) and Adverse Reactions (Section 4.8)</w:t>
            </w:r>
          </w:p>
          <w:p w14:paraId="617496D2" w14:textId="36DDBF04" w:rsidR="00507F9A" w:rsidRPr="0038119B" w:rsidRDefault="00507F9A" w:rsidP="00507F9A">
            <w:pPr>
              <w:tabs>
                <w:tab w:val="left" w:pos="144"/>
              </w:tabs>
              <w:spacing w:before="0"/>
              <w:rPr>
                <w:rFonts w:ascii="Arial Narrow" w:hAnsi="Arial Narrow"/>
                <w:sz w:val="18"/>
                <w:lang w:val="en-AU"/>
              </w:rPr>
            </w:pPr>
            <w:r w:rsidRPr="0038119B">
              <w:rPr>
                <w:rFonts w:ascii="Arial Narrow" w:hAnsi="Arial Narrow"/>
                <w:color w:val="auto"/>
                <w:sz w:val="18"/>
                <w:vertAlign w:val="superscript"/>
                <w:lang w:val="en-AU"/>
              </w:rPr>
              <w:t xml:space="preserve"> b </w:t>
            </w:r>
            <w:r w:rsidRPr="0038119B">
              <w:rPr>
                <w:rFonts w:ascii="Arial Narrow" w:hAnsi="Arial Narrow"/>
                <w:color w:val="auto"/>
                <w:sz w:val="18"/>
                <w:lang w:val="en-AU"/>
              </w:rPr>
              <w:t xml:space="preserve">Toxicity should be graded </w:t>
            </w:r>
            <w:r w:rsidRPr="0038119B">
              <w:rPr>
                <w:rFonts w:ascii="Arial Narrow" w:hAnsi="Arial Narrow"/>
                <w:sz w:val="18"/>
                <w:lang w:val="en-AU"/>
              </w:rPr>
              <w:t>with the current version of National Cancer Institute Common Terminology Criteria for Adverse Events (NCI CTCAE).</w:t>
            </w:r>
          </w:p>
        </w:tc>
      </w:tr>
    </w:tbl>
    <w:p w14:paraId="10039320" w14:textId="77777777" w:rsidR="007D565E" w:rsidRPr="0038119B" w:rsidRDefault="007D565E">
      <w:pPr>
        <w:rPr>
          <w:lang w:val="en-AU"/>
        </w:rPr>
        <w:sectPr w:rsidR="007D565E" w:rsidRPr="0038119B">
          <w:footerReference w:type="default" r:id="rId10"/>
          <w:pgSz w:w="16838" w:h="11906" w:orient="landscape"/>
          <w:pgMar w:top="1440" w:right="1440" w:bottom="1440" w:left="1440" w:header="708" w:footer="708" w:gutter="0"/>
          <w:cols w:space="708"/>
          <w:docGrid w:linePitch="360"/>
        </w:sectPr>
      </w:pPr>
    </w:p>
    <w:p w14:paraId="742FECC4" w14:textId="77777777" w:rsidR="007D565E" w:rsidRPr="0038119B" w:rsidRDefault="00CD5483">
      <w:pPr>
        <w:pStyle w:val="Heading3"/>
        <w:numPr>
          <w:ilvl w:val="0"/>
          <w:numId w:val="0"/>
        </w:numPr>
        <w:ind w:left="680" w:hanging="680"/>
        <w:rPr>
          <w:lang w:val="en-AU"/>
        </w:rPr>
      </w:pPr>
      <w:bookmarkStart w:id="6" w:name="_Ref13466962"/>
      <w:r w:rsidRPr="0038119B">
        <w:rPr>
          <w:lang w:val="en-AU"/>
        </w:rPr>
        <w:lastRenderedPageBreak/>
        <w:t>Patient Alert Card</w:t>
      </w:r>
    </w:p>
    <w:p w14:paraId="6D9B199B" w14:textId="77777777" w:rsidR="007D565E" w:rsidRPr="0038119B" w:rsidRDefault="00CD5483">
      <w:pPr>
        <w:rPr>
          <w:lang w:val="en-AU"/>
        </w:rPr>
      </w:pPr>
      <w:r w:rsidRPr="0038119B">
        <w:rPr>
          <w:lang w:val="en-AU"/>
        </w:rPr>
        <w:t>All prescribers of LIBTAYO should be familiar with the educational materials and inform the patients about the Patient Alert Card explaining what to do should they experience any symptom of immune-related adverse reactions and infusion-related reactions. The physician will provide the Patient Alert Card to each patient.</w:t>
      </w:r>
    </w:p>
    <w:p w14:paraId="723239A1" w14:textId="77777777" w:rsidR="007D565E" w:rsidRPr="0038119B" w:rsidRDefault="00CD5483">
      <w:pPr>
        <w:pStyle w:val="Heading3"/>
        <w:numPr>
          <w:ilvl w:val="0"/>
          <w:numId w:val="0"/>
        </w:numPr>
        <w:ind w:left="680" w:hanging="680"/>
        <w:rPr>
          <w:lang w:val="en-AU"/>
        </w:rPr>
      </w:pPr>
      <w:r w:rsidRPr="0038119B">
        <w:rPr>
          <w:lang w:val="en-AU"/>
        </w:rPr>
        <w:t>Special populations</w:t>
      </w:r>
    </w:p>
    <w:p w14:paraId="0BD9CC1A" w14:textId="77777777" w:rsidR="007D565E" w:rsidRPr="0038119B" w:rsidRDefault="00CD5483">
      <w:pPr>
        <w:pStyle w:val="Heading4"/>
        <w:numPr>
          <w:ilvl w:val="0"/>
          <w:numId w:val="0"/>
        </w:numPr>
        <w:ind w:left="862" w:hanging="862"/>
        <w:rPr>
          <w:lang w:val="en-AU"/>
        </w:rPr>
      </w:pPr>
      <w:r w:rsidRPr="0038119B">
        <w:rPr>
          <w:lang w:val="en-AU"/>
        </w:rPr>
        <w:t>Paediatric population</w:t>
      </w:r>
    </w:p>
    <w:p w14:paraId="3D77C99A" w14:textId="77777777" w:rsidR="007D565E" w:rsidRPr="0038119B" w:rsidRDefault="00CD5483">
      <w:pPr>
        <w:rPr>
          <w:lang w:val="en-AU"/>
        </w:rPr>
      </w:pPr>
      <w:r w:rsidRPr="0038119B">
        <w:rPr>
          <w:lang w:val="en-AU"/>
        </w:rPr>
        <w:t>The safety and efficacy of LIBTAYO in children and adolescents below the age of 18 years have not been established. No data are available.</w:t>
      </w:r>
    </w:p>
    <w:p w14:paraId="377DEFB7" w14:textId="77777777" w:rsidR="007D565E" w:rsidRPr="0038119B" w:rsidRDefault="00CD5483">
      <w:pPr>
        <w:pStyle w:val="Heading4"/>
        <w:numPr>
          <w:ilvl w:val="0"/>
          <w:numId w:val="0"/>
        </w:numPr>
        <w:ind w:left="862" w:hanging="862"/>
        <w:rPr>
          <w:lang w:val="en-AU"/>
        </w:rPr>
      </w:pPr>
      <w:r w:rsidRPr="0038119B">
        <w:rPr>
          <w:lang w:val="en-AU"/>
        </w:rPr>
        <w:t xml:space="preserve">Elderly </w:t>
      </w:r>
    </w:p>
    <w:p w14:paraId="7561FFFE" w14:textId="5A136EE1" w:rsidR="007D565E" w:rsidRPr="0038119B" w:rsidRDefault="00CD5483">
      <w:pPr>
        <w:keepNext/>
        <w:rPr>
          <w:lang w:val="en-AU"/>
        </w:rPr>
      </w:pPr>
      <w:r w:rsidRPr="0038119B">
        <w:rPr>
          <w:lang w:val="en-AU"/>
        </w:rPr>
        <w:t xml:space="preserve">No dose adjustment is recommended for elderly patients. Cemiplimab exposure is similar across all age groups (see Section </w:t>
      </w:r>
      <w:r w:rsidRPr="0038119B">
        <w:rPr>
          <w:color w:val="0000FF"/>
          <w:lang w:val="en-AU"/>
        </w:rPr>
        <w:fldChar w:fldCharType="begin"/>
      </w:r>
      <w:r w:rsidRPr="0038119B">
        <w:rPr>
          <w:color w:val="0000FF"/>
          <w:lang w:val="en-AU"/>
        </w:rPr>
        <w:instrText xml:space="preserve"> REF _Ref13466766 \r \h  \* MERGEFORMAT </w:instrText>
      </w:r>
      <w:r w:rsidRPr="0038119B">
        <w:rPr>
          <w:color w:val="0000FF"/>
          <w:lang w:val="en-AU"/>
        </w:rPr>
      </w:r>
      <w:r w:rsidRPr="0038119B">
        <w:rPr>
          <w:color w:val="0000FF"/>
          <w:lang w:val="en-AU"/>
        </w:rPr>
        <w:fldChar w:fldCharType="separate"/>
      </w:r>
      <w:r w:rsidR="006B35A8">
        <w:rPr>
          <w:color w:val="0000FF"/>
          <w:lang w:val="en-AU"/>
        </w:rPr>
        <w:t>5.1</w:t>
      </w:r>
      <w:r w:rsidRPr="0038119B">
        <w:rPr>
          <w:color w:val="0000FF"/>
          <w:lang w:val="en-AU"/>
        </w:rPr>
        <w:fldChar w:fldCharType="end"/>
      </w:r>
      <w:r w:rsidRPr="0038119B">
        <w:rPr>
          <w:color w:val="0000FF"/>
          <w:lang w:val="en-AU"/>
        </w:rPr>
        <w:t xml:space="preserve"> </w:t>
      </w:r>
      <w:r w:rsidRPr="0038119B">
        <w:rPr>
          <w:lang w:val="en-AU"/>
        </w:rPr>
        <w:t xml:space="preserve">and Section </w:t>
      </w:r>
      <w:r w:rsidRPr="0038119B">
        <w:rPr>
          <w:color w:val="0000FF"/>
          <w:lang w:val="en-AU"/>
        </w:rPr>
        <w:fldChar w:fldCharType="begin"/>
      </w:r>
      <w:r w:rsidRPr="0038119B">
        <w:rPr>
          <w:color w:val="0000FF"/>
          <w:lang w:val="en-AU"/>
        </w:rPr>
        <w:instrText xml:space="preserve"> REF _Ref13466780 \r \h  \* MERGEFORMAT </w:instrText>
      </w:r>
      <w:r w:rsidRPr="0038119B">
        <w:rPr>
          <w:color w:val="0000FF"/>
          <w:lang w:val="en-AU"/>
        </w:rPr>
      </w:r>
      <w:r w:rsidRPr="0038119B">
        <w:rPr>
          <w:color w:val="0000FF"/>
          <w:lang w:val="en-AU"/>
        </w:rPr>
        <w:fldChar w:fldCharType="separate"/>
      </w:r>
      <w:r w:rsidR="006B35A8">
        <w:rPr>
          <w:color w:val="0000FF"/>
          <w:lang w:val="en-AU"/>
        </w:rPr>
        <w:t>5.2</w:t>
      </w:r>
      <w:r w:rsidRPr="0038119B">
        <w:rPr>
          <w:color w:val="0000FF"/>
          <w:lang w:val="en-AU"/>
        </w:rPr>
        <w:fldChar w:fldCharType="end"/>
      </w:r>
      <w:r w:rsidRPr="0038119B">
        <w:rPr>
          <w:lang w:val="en-AU"/>
        </w:rPr>
        <w:t>).</w:t>
      </w:r>
    </w:p>
    <w:p w14:paraId="4BA69C2C" w14:textId="77777777" w:rsidR="007D565E" w:rsidRPr="0038119B" w:rsidRDefault="00CD5483">
      <w:pPr>
        <w:pStyle w:val="Heading4"/>
        <w:numPr>
          <w:ilvl w:val="0"/>
          <w:numId w:val="0"/>
        </w:numPr>
        <w:ind w:left="862" w:hanging="862"/>
        <w:rPr>
          <w:lang w:val="en-AU"/>
        </w:rPr>
      </w:pPr>
      <w:r w:rsidRPr="0038119B">
        <w:rPr>
          <w:lang w:val="en-AU"/>
        </w:rPr>
        <w:t>Renal impairment</w:t>
      </w:r>
    </w:p>
    <w:p w14:paraId="20B3E5AB" w14:textId="0AE52998" w:rsidR="007D565E" w:rsidRPr="0038119B" w:rsidRDefault="00CD5483">
      <w:pPr>
        <w:keepNext/>
        <w:rPr>
          <w:lang w:val="en-AU"/>
        </w:rPr>
      </w:pPr>
      <w:r w:rsidRPr="0038119B">
        <w:rPr>
          <w:lang w:val="en-AU"/>
        </w:rPr>
        <w:t>No dose adjustment of LIBTAYO is recommended for patients with renal impairment. There are limited data for LIBTAYO in patients with severe renal impairment CL</w:t>
      </w:r>
      <w:r w:rsidRPr="0038119B">
        <w:rPr>
          <w:vertAlign w:val="subscript"/>
          <w:lang w:val="en-AU"/>
        </w:rPr>
        <w:t>cr</w:t>
      </w:r>
      <w:r w:rsidRPr="0038119B">
        <w:rPr>
          <w:lang w:val="en-AU"/>
        </w:rPr>
        <w:t xml:space="preserve"> 15 to 29 ml/min (see Section </w:t>
      </w:r>
      <w:r w:rsidRPr="0038119B">
        <w:rPr>
          <w:color w:val="0000FF"/>
          <w:lang w:val="en-AU"/>
        </w:rPr>
        <w:fldChar w:fldCharType="begin"/>
      </w:r>
      <w:r w:rsidRPr="0038119B">
        <w:rPr>
          <w:color w:val="0000FF"/>
          <w:lang w:val="en-AU"/>
        </w:rPr>
        <w:instrText xml:space="preserve"> REF _Ref13466780 \r \h  \* MERGEFORMAT </w:instrText>
      </w:r>
      <w:r w:rsidRPr="0038119B">
        <w:rPr>
          <w:color w:val="0000FF"/>
          <w:lang w:val="en-AU"/>
        </w:rPr>
      </w:r>
      <w:r w:rsidRPr="0038119B">
        <w:rPr>
          <w:color w:val="0000FF"/>
          <w:lang w:val="en-AU"/>
        </w:rPr>
        <w:fldChar w:fldCharType="separate"/>
      </w:r>
      <w:r w:rsidR="006B35A8">
        <w:rPr>
          <w:color w:val="0000FF"/>
          <w:lang w:val="en-AU"/>
        </w:rPr>
        <w:t>5.2</w:t>
      </w:r>
      <w:r w:rsidRPr="0038119B">
        <w:rPr>
          <w:color w:val="0000FF"/>
          <w:lang w:val="en-AU"/>
        </w:rPr>
        <w:fldChar w:fldCharType="end"/>
      </w:r>
      <w:r w:rsidRPr="0038119B">
        <w:rPr>
          <w:lang w:val="en-AU"/>
        </w:rPr>
        <w:t>).</w:t>
      </w:r>
    </w:p>
    <w:p w14:paraId="307E9DED" w14:textId="77777777" w:rsidR="007D565E" w:rsidRPr="0038119B" w:rsidRDefault="00CD5483">
      <w:pPr>
        <w:pStyle w:val="Heading4"/>
        <w:numPr>
          <w:ilvl w:val="0"/>
          <w:numId w:val="0"/>
        </w:numPr>
        <w:ind w:left="862" w:hanging="862"/>
        <w:rPr>
          <w:lang w:val="en-AU"/>
        </w:rPr>
      </w:pPr>
      <w:r w:rsidRPr="0038119B">
        <w:rPr>
          <w:lang w:val="en-AU"/>
        </w:rPr>
        <w:t>Hepatic impairment</w:t>
      </w:r>
    </w:p>
    <w:p w14:paraId="047D478C" w14:textId="0DA414FF" w:rsidR="007D565E" w:rsidRPr="0038119B" w:rsidRDefault="00CD5483">
      <w:pPr>
        <w:rPr>
          <w:lang w:val="en-AU"/>
        </w:rPr>
      </w:pPr>
      <w:r w:rsidRPr="0038119B">
        <w:rPr>
          <w:lang w:val="en-AU"/>
        </w:rPr>
        <w:t xml:space="preserve">No dose adjustment is recommended for patients with </w:t>
      </w:r>
      <w:r w:rsidRPr="00BD4A5F">
        <w:rPr>
          <w:color w:val="auto"/>
          <w:lang w:val="en-AU"/>
        </w:rPr>
        <w:t xml:space="preserve">mild </w:t>
      </w:r>
      <w:r w:rsidR="00507F9A" w:rsidRPr="00BD4A5F">
        <w:rPr>
          <w:color w:val="auto"/>
          <w:lang w:val="en-AU"/>
        </w:rPr>
        <w:t xml:space="preserve">or moderate </w:t>
      </w:r>
      <w:r w:rsidRPr="00BD4A5F">
        <w:rPr>
          <w:color w:val="auto"/>
          <w:lang w:val="en-AU"/>
        </w:rPr>
        <w:t>hepatic impairment</w:t>
      </w:r>
      <w:r w:rsidRPr="0038119B">
        <w:rPr>
          <w:lang w:val="en-AU"/>
        </w:rPr>
        <w:t xml:space="preserve">. LIBTAYO has not been studied in patients with severe hepatic impairment. There are insufficient data in patients with severe hepatic impairment for dosing recommendations (see Section </w:t>
      </w:r>
      <w:r w:rsidRPr="0038119B">
        <w:rPr>
          <w:color w:val="0000FF"/>
          <w:lang w:val="en-AU"/>
        </w:rPr>
        <w:fldChar w:fldCharType="begin"/>
      </w:r>
      <w:r w:rsidRPr="0038119B">
        <w:rPr>
          <w:color w:val="0000FF"/>
          <w:lang w:val="en-AU"/>
        </w:rPr>
        <w:instrText xml:space="preserve"> REF _Ref13466780 \r \h  \* MERGEFORMAT </w:instrText>
      </w:r>
      <w:r w:rsidRPr="0038119B">
        <w:rPr>
          <w:color w:val="0000FF"/>
          <w:lang w:val="en-AU"/>
        </w:rPr>
      </w:r>
      <w:r w:rsidRPr="0038119B">
        <w:rPr>
          <w:color w:val="0000FF"/>
          <w:lang w:val="en-AU"/>
        </w:rPr>
        <w:fldChar w:fldCharType="separate"/>
      </w:r>
      <w:r w:rsidR="006B35A8">
        <w:rPr>
          <w:color w:val="0000FF"/>
          <w:lang w:val="en-AU"/>
        </w:rPr>
        <w:t>5.2</w:t>
      </w:r>
      <w:r w:rsidRPr="0038119B">
        <w:rPr>
          <w:color w:val="0000FF"/>
          <w:lang w:val="en-AU"/>
        </w:rPr>
        <w:fldChar w:fldCharType="end"/>
      </w:r>
      <w:r w:rsidRPr="0038119B">
        <w:rPr>
          <w:lang w:val="en-AU"/>
        </w:rPr>
        <w:t>).</w:t>
      </w:r>
    </w:p>
    <w:p w14:paraId="552E6D0C" w14:textId="77777777" w:rsidR="007D565E" w:rsidRPr="0038119B" w:rsidRDefault="00CD5483">
      <w:pPr>
        <w:pStyle w:val="Heading3"/>
        <w:numPr>
          <w:ilvl w:val="0"/>
          <w:numId w:val="0"/>
        </w:numPr>
        <w:ind w:left="680" w:hanging="680"/>
        <w:rPr>
          <w:lang w:val="en-AU"/>
        </w:rPr>
      </w:pPr>
      <w:r w:rsidRPr="0038119B">
        <w:rPr>
          <w:lang w:val="en-AU"/>
        </w:rPr>
        <w:t>Method of administration</w:t>
      </w:r>
    </w:p>
    <w:p w14:paraId="711A3F1F" w14:textId="704F7FBD" w:rsidR="007D565E" w:rsidRPr="0038119B" w:rsidRDefault="00CD5483">
      <w:pPr>
        <w:rPr>
          <w:lang w:val="en-AU"/>
        </w:rPr>
      </w:pPr>
      <w:r w:rsidRPr="0038119B">
        <w:rPr>
          <w:lang w:val="en-AU"/>
        </w:rPr>
        <w:t>LIBTAYO is for intravenous use. It is administered by intravenous infusion over 30 minutes through an intravenous line containing a sterile, non</w:t>
      </w:r>
      <w:r w:rsidRPr="0038119B">
        <w:rPr>
          <w:lang w:val="en-AU"/>
        </w:rPr>
        <w:noBreakHyphen/>
        <w:t>pyrogenic, low</w:t>
      </w:r>
      <w:r w:rsidRPr="0038119B">
        <w:rPr>
          <w:lang w:val="en-AU"/>
        </w:rPr>
        <w:noBreakHyphen/>
        <w:t>protein binding, in</w:t>
      </w:r>
      <w:r w:rsidRPr="0038119B">
        <w:rPr>
          <w:lang w:val="en-AU"/>
        </w:rPr>
        <w:noBreakHyphen/>
        <w:t>line or add</w:t>
      </w:r>
      <w:r w:rsidRPr="0038119B">
        <w:rPr>
          <w:lang w:val="en-AU"/>
        </w:rPr>
        <w:noBreakHyphen/>
        <w:t xml:space="preserve">on filter (0.2 micron to </w:t>
      </w:r>
      <w:proofErr w:type="gramStart"/>
      <w:r w:rsidRPr="0038119B">
        <w:rPr>
          <w:lang w:val="en-AU"/>
        </w:rPr>
        <w:t>5 micron</w:t>
      </w:r>
      <w:proofErr w:type="gramEnd"/>
      <w:r w:rsidRPr="0038119B">
        <w:rPr>
          <w:lang w:val="en-AU"/>
        </w:rPr>
        <w:t xml:space="preserve"> pore size).</w:t>
      </w:r>
    </w:p>
    <w:p w14:paraId="16F47955" w14:textId="77777777" w:rsidR="007D565E" w:rsidRPr="0038119B" w:rsidRDefault="00CD5483">
      <w:pPr>
        <w:rPr>
          <w:lang w:val="en-AU"/>
        </w:rPr>
      </w:pPr>
      <w:r w:rsidRPr="0038119B">
        <w:rPr>
          <w:lang w:val="en-AU"/>
        </w:rPr>
        <w:t>Other medicinal products should not be co-administered through the same infusion line.</w:t>
      </w:r>
    </w:p>
    <w:p w14:paraId="3BDF691A" w14:textId="51B58B41" w:rsidR="007D565E" w:rsidRPr="0038119B" w:rsidRDefault="00CD5483">
      <w:pPr>
        <w:rPr>
          <w:lang w:val="en-AU"/>
        </w:rPr>
      </w:pPr>
      <w:r w:rsidRPr="0038119B">
        <w:rPr>
          <w:lang w:val="en-AU"/>
        </w:rPr>
        <w:t xml:space="preserve">For instructions on dilution of the medicinal product before administration, see Section </w:t>
      </w:r>
      <w:r w:rsidRPr="0038119B">
        <w:rPr>
          <w:color w:val="0000FF"/>
          <w:lang w:val="en-AU"/>
        </w:rPr>
        <w:fldChar w:fldCharType="begin"/>
      </w:r>
      <w:r w:rsidRPr="0038119B">
        <w:rPr>
          <w:color w:val="0000FF"/>
          <w:lang w:val="en-AU"/>
        </w:rPr>
        <w:instrText xml:space="preserve"> REF _Ref13466829 \r \h  \* MERGEFORMAT </w:instrText>
      </w:r>
      <w:r w:rsidRPr="0038119B">
        <w:rPr>
          <w:color w:val="0000FF"/>
          <w:lang w:val="en-AU"/>
        </w:rPr>
      </w:r>
      <w:r w:rsidRPr="0038119B">
        <w:rPr>
          <w:color w:val="0000FF"/>
          <w:lang w:val="en-AU"/>
        </w:rPr>
        <w:fldChar w:fldCharType="separate"/>
      </w:r>
      <w:r w:rsidR="006B35A8">
        <w:rPr>
          <w:color w:val="0000FF"/>
          <w:lang w:val="en-AU"/>
        </w:rPr>
        <w:t>6.6</w:t>
      </w:r>
      <w:r w:rsidRPr="0038119B">
        <w:rPr>
          <w:color w:val="0000FF"/>
          <w:lang w:val="en-AU"/>
        </w:rPr>
        <w:fldChar w:fldCharType="end"/>
      </w:r>
      <w:r w:rsidRPr="0038119B">
        <w:rPr>
          <w:lang w:val="en-AU"/>
        </w:rPr>
        <w:t>.</w:t>
      </w:r>
    </w:p>
    <w:p w14:paraId="04CFDF45" w14:textId="77777777" w:rsidR="007D565E" w:rsidRPr="0038119B" w:rsidRDefault="00CD5483">
      <w:pPr>
        <w:pStyle w:val="Heading2"/>
        <w:rPr>
          <w:lang w:val="en-AU"/>
        </w:rPr>
      </w:pPr>
      <w:r w:rsidRPr="0038119B">
        <w:rPr>
          <w:lang w:val="en-AU"/>
        </w:rPr>
        <w:t>Contraindications</w:t>
      </w:r>
    </w:p>
    <w:p w14:paraId="35B4FEDB" w14:textId="34448B04" w:rsidR="007D565E" w:rsidRPr="0038119B" w:rsidRDefault="00CD5483">
      <w:pPr>
        <w:rPr>
          <w:lang w:val="en-AU"/>
        </w:rPr>
      </w:pPr>
      <w:r w:rsidRPr="0038119B">
        <w:rPr>
          <w:lang w:val="en-AU"/>
        </w:rPr>
        <w:t xml:space="preserve">Hypersensitivity to the active substance or to any of the excipients listed in Section </w:t>
      </w:r>
      <w:r w:rsidRPr="0038119B">
        <w:rPr>
          <w:color w:val="0000FF"/>
          <w:lang w:val="en-AU"/>
        </w:rPr>
        <w:fldChar w:fldCharType="begin"/>
      </w:r>
      <w:r w:rsidRPr="0038119B">
        <w:rPr>
          <w:color w:val="0000FF"/>
          <w:lang w:val="en-AU"/>
        </w:rPr>
        <w:instrText xml:space="preserve"> REF _Ref13466737 \r \h  \* MERGEFORMAT </w:instrText>
      </w:r>
      <w:r w:rsidRPr="0038119B">
        <w:rPr>
          <w:color w:val="0000FF"/>
          <w:lang w:val="en-AU"/>
        </w:rPr>
      </w:r>
      <w:r w:rsidRPr="0038119B">
        <w:rPr>
          <w:color w:val="0000FF"/>
          <w:lang w:val="en-AU"/>
        </w:rPr>
        <w:fldChar w:fldCharType="separate"/>
      </w:r>
      <w:r w:rsidR="006B35A8">
        <w:rPr>
          <w:color w:val="0000FF"/>
          <w:lang w:val="en-AU"/>
        </w:rPr>
        <w:t>6.1</w:t>
      </w:r>
      <w:r w:rsidRPr="0038119B">
        <w:rPr>
          <w:color w:val="0000FF"/>
          <w:lang w:val="en-AU"/>
        </w:rPr>
        <w:fldChar w:fldCharType="end"/>
      </w:r>
      <w:r w:rsidRPr="0038119B">
        <w:rPr>
          <w:lang w:val="en-AU"/>
        </w:rPr>
        <w:t>.</w:t>
      </w:r>
    </w:p>
    <w:p w14:paraId="7BA1F883" w14:textId="77777777" w:rsidR="007D565E" w:rsidRPr="0038119B" w:rsidRDefault="00CD5483">
      <w:pPr>
        <w:pStyle w:val="Heading2"/>
        <w:rPr>
          <w:lang w:val="en-AU"/>
        </w:rPr>
      </w:pPr>
      <w:bookmarkStart w:id="7" w:name="_Ref13467260"/>
      <w:r w:rsidRPr="0038119B">
        <w:rPr>
          <w:lang w:val="en-AU"/>
        </w:rPr>
        <w:lastRenderedPageBreak/>
        <w:t>Special warnings and precautions for use</w:t>
      </w:r>
      <w:bookmarkEnd w:id="7"/>
    </w:p>
    <w:p w14:paraId="0FC7BB72" w14:textId="77777777" w:rsidR="007D565E" w:rsidRPr="0038119B" w:rsidRDefault="00CD5483">
      <w:pPr>
        <w:pStyle w:val="Heading3"/>
        <w:numPr>
          <w:ilvl w:val="0"/>
          <w:numId w:val="0"/>
        </w:numPr>
        <w:rPr>
          <w:lang w:val="en-AU"/>
        </w:rPr>
      </w:pPr>
      <w:r w:rsidRPr="0038119B">
        <w:rPr>
          <w:lang w:val="en-AU"/>
        </w:rPr>
        <w:t>Traceability</w:t>
      </w:r>
    </w:p>
    <w:p w14:paraId="7C6EAFA5" w14:textId="77777777" w:rsidR="007D565E" w:rsidRPr="0038119B" w:rsidRDefault="00CD5483">
      <w:pPr>
        <w:rPr>
          <w:lang w:val="en-AU"/>
        </w:rPr>
      </w:pPr>
      <w:proofErr w:type="gramStart"/>
      <w:r w:rsidRPr="0038119B">
        <w:rPr>
          <w:lang w:val="en-AU"/>
        </w:rPr>
        <w:t>In order to</w:t>
      </w:r>
      <w:proofErr w:type="gramEnd"/>
      <w:r w:rsidRPr="0038119B">
        <w:rPr>
          <w:lang w:val="en-AU"/>
        </w:rPr>
        <w:t xml:space="preserve"> improve the traceability of biological medicinal products, the name and the batch number of the administered product should be clearly recorded.</w:t>
      </w:r>
    </w:p>
    <w:p w14:paraId="3D5545BA" w14:textId="77777777" w:rsidR="007D565E" w:rsidRPr="0038119B" w:rsidRDefault="00CD5483">
      <w:pPr>
        <w:pStyle w:val="Heading3"/>
        <w:numPr>
          <w:ilvl w:val="0"/>
          <w:numId w:val="0"/>
        </w:numPr>
        <w:ind w:left="680" w:hanging="680"/>
        <w:rPr>
          <w:lang w:val="en-AU"/>
        </w:rPr>
      </w:pPr>
      <w:r w:rsidRPr="0038119B">
        <w:rPr>
          <w:lang w:val="en-AU"/>
        </w:rPr>
        <w:t>Immune-related adverse reactions</w:t>
      </w:r>
    </w:p>
    <w:p w14:paraId="0B60C2EC" w14:textId="77D85653" w:rsidR="007D565E" w:rsidRPr="0038119B" w:rsidRDefault="00CD5483">
      <w:pPr>
        <w:rPr>
          <w:lang w:val="en-AU"/>
        </w:rPr>
      </w:pPr>
      <w:r w:rsidRPr="0038119B">
        <w:rPr>
          <w:lang w:val="en-AU"/>
        </w:rPr>
        <w:t xml:space="preserve">Severe and fatal immune-related adverse reactions have been observed with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and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These immune-related reactions may involve any organ system. Most immune-related reactions initially manifest during treatment with cemiplimab; however, immune-related adverse reactions can occur after discontinuation of cemiplimab.</w:t>
      </w:r>
    </w:p>
    <w:p w14:paraId="1A227CC0" w14:textId="77777777" w:rsidR="007D565E" w:rsidRPr="0038119B" w:rsidRDefault="00CD5483">
      <w:pPr>
        <w:rPr>
          <w:lang w:val="en-AU"/>
        </w:rPr>
      </w:pPr>
      <w:r w:rsidRPr="0038119B">
        <w:rPr>
          <w:lang w:val="en-AU"/>
        </w:rPr>
        <w:t>Immune-related adverse reactions affecting more than one body system can occur simultaneously, such as myositis and myocarditis or myasthenia gravis, in patients treated with cemiplimab or other PD-1/PD-L1 inhibitors.</w:t>
      </w:r>
    </w:p>
    <w:p w14:paraId="1E95AC86" w14:textId="335A75EE" w:rsidR="007D565E" w:rsidRPr="0038119B" w:rsidRDefault="008A0A68">
      <w:pPr>
        <w:rPr>
          <w:lang w:val="en-AU"/>
        </w:rPr>
      </w:pPr>
      <w:r w:rsidRPr="004B546E">
        <w:rPr>
          <w:lang w:val="en-AU"/>
        </w:rPr>
        <w:t>Monitor closely for symptoms and signs that may be clinical manifestations of underlying immune-mediated adverse reactions, as outlined in the sections below</w:t>
      </w:r>
      <w:r w:rsidR="006E7B35" w:rsidRPr="004B546E">
        <w:rPr>
          <w:lang w:val="en-AU"/>
        </w:rPr>
        <w:t xml:space="preserve">. </w:t>
      </w:r>
      <w:r w:rsidR="00CD5483" w:rsidRPr="0038119B">
        <w:rPr>
          <w:lang w:val="en-AU"/>
        </w:rPr>
        <w:t>Immune-related adverse reactions should be managed with cemiplimab treatment modifications, hormone replacement therapy (if clinically indicated), and corticosteroids. For suspected immune</w:t>
      </w:r>
      <w:r w:rsidR="00CD5483" w:rsidRPr="0038119B">
        <w:rPr>
          <w:lang w:val="en-AU"/>
        </w:rPr>
        <w:noBreakHyphen/>
        <w:t>related adverse reactions, patients should be evaluated to confirm an immune</w:t>
      </w:r>
      <w:r w:rsidR="00CD5483" w:rsidRPr="0038119B">
        <w:rPr>
          <w:lang w:val="en-AU"/>
        </w:rPr>
        <w:noBreakHyphen/>
        <w:t>related adverse reaction and to exclude other possible causes</w:t>
      </w:r>
      <w:r w:rsidR="00902FB8" w:rsidRPr="0038119B">
        <w:rPr>
          <w:lang w:val="en-AU"/>
        </w:rPr>
        <w:t>, including infection</w:t>
      </w:r>
      <w:r w:rsidR="00CD5483" w:rsidRPr="0038119B">
        <w:rPr>
          <w:lang w:val="en-AU"/>
        </w:rPr>
        <w:t xml:space="preserve">. Depending upon the severity of the adverse reaction, cemiplimab should be withheld or permanently discontinued (see Section </w:t>
      </w:r>
      <w:r w:rsidR="00CD5483" w:rsidRPr="0038119B">
        <w:rPr>
          <w:color w:val="0000FF"/>
          <w:lang w:val="en-AU"/>
        </w:rPr>
        <w:fldChar w:fldCharType="begin"/>
      </w:r>
      <w:r w:rsidR="00CD5483" w:rsidRPr="0038119B">
        <w:rPr>
          <w:color w:val="0000FF"/>
          <w:lang w:val="en-AU"/>
        </w:rPr>
        <w:instrText xml:space="preserve"> REF _Ref13466856 \r \h  \* MERGEFORMAT </w:instrText>
      </w:r>
      <w:r w:rsidR="00CD5483" w:rsidRPr="0038119B">
        <w:rPr>
          <w:color w:val="0000FF"/>
          <w:lang w:val="en-AU"/>
        </w:rPr>
      </w:r>
      <w:r w:rsidR="00CD5483" w:rsidRPr="0038119B">
        <w:rPr>
          <w:color w:val="0000FF"/>
          <w:lang w:val="en-AU"/>
        </w:rPr>
        <w:fldChar w:fldCharType="separate"/>
      </w:r>
      <w:r w:rsidR="006B35A8">
        <w:rPr>
          <w:color w:val="0000FF"/>
          <w:lang w:val="en-AU"/>
        </w:rPr>
        <w:t>4.2</w:t>
      </w:r>
      <w:r w:rsidR="00CD5483" w:rsidRPr="0038119B">
        <w:rPr>
          <w:color w:val="0000FF"/>
          <w:lang w:val="en-AU"/>
        </w:rPr>
        <w:fldChar w:fldCharType="end"/>
      </w:r>
      <w:r w:rsidR="00CD5483" w:rsidRPr="0038119B">
        <w:rPr>
          <w:lang w:val="en-AU"/>
        </w:rPr>
        <w:t>).</w:t>
      </w:r>
    </w:p>
    <w:p w14:paraId="6F085191" w14:textId="77777777" w:rsidR="007D565E" w:rsidRPr="0038119B" w:rsidRDefault="00CD5483">
      <w:pPr>
        <w:pStyle w:val="Heading4"/>
        <w:numPr>
          <w:ilvl w:val="0"/>
          <w:numId w:val="0"/>
        </w:numPr>
        <w:ind w:left="862" w:hanging="862"/>
        <w:rPr>
          <w:lang w:val="en-AU"/>
        </w:rPr>
      </w:pPr>
      <w:r w:rsidRPr="0038119B">
        <w:rPr>
          <w:lang w:val="en-AU"/>
        </w:rPr>
        <w:t>Immune-related pneumonitis</w:t>
      </w:r>
    </w:p>
    <w:p w14:paraId="2D2E0D0E" w14:textId="778C90AA" w:rsidR="007D565E" w:rsidRPr="0038119B" w:rsidRDefault="00CD5483">
      <w:pPr>
        <w:rPr>
          <w:lang w:val="en-AU"/>
        </w:rPr>
      </w:pPr>
      <w:r w:rsidRPr="0038119B">
        <w:rPr>
          <w:lang w:val="en-AU"/>
        </w:rPr>
        <w:t xml:space="preserve">Immune-related pneumonitis, defined as requiring use of corticosteroids with no clear alternate aetiology, including fatal cases,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Patients should be monitored for signs and symptoms of pneumonitis</w:t>
      </w:r>
      <w:r w:rsidR="00902FB8" w:rsidRPr="0038119B">
        <w:rPr>
          <w:lang w:val="en-AU"/>
        </w:rPr>
        <w:t xml:space="preserve"> and causes other than immune-related pneumonitis should be ruled out.</w:t>
      </w:r>
      <w:r w:rsidRPr="0038119B">
        <w:rPr>
          <w:lang w:val="en-AU"/>
        </w:rPr>
        <w:t xml:space="preserve"> Patients with suspected pneumonitis should be evaluated with radiographic imaging as indicated based on clinical evaluation and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5AB7A2C8" w14:textId="77777777" w:rsidR="007D565E" w:rsidRPr="0038119B" w:rsidRDefault="00CD5483">
      <w:pPr>
        <w:pStyle w:val="Heading4"/>
        <w:numPr>
          <w:ilvl w:val="0"/>
          <w:numId w:val="0"/>
        </w:numPr>
        <w:ind w:left="862" w:hanging="862"/>
        <w:rPr>
          <w:lang w:val="en-AU"/>
        </w:rPr>
      </w:pPr>
      <w:r w:rsidRPr="0038119B">
        <w:rPr>
          <w:lang w:val="en-AU"/>
        </w:rPr>
        <w:t>Immune-related colitis</w:t>
      </w:r>
    </w:p>
    <w:p w14:paraId="51ECC48C" w14:textId="7D4CB405" w:rsidR="007D565E" w:rsidRPr="0038119B" w:rsidRDefault="00CD5483">
      <w:pPr>
        <w:rPr>
          <w:lang w:val="en-AU"/>
        </w:rPr>
      </w:pPr>
      <w:r w:rsidRPr="0038119B">
        <w:rPr>
          <w:lang w:val="en-AU"/>
        </w:rPr>
        <w:t xml:space="preserve">Immune-related diarrhoea or colitis, defined as requiring use of corticosteroids with no clear alternate aetiology,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Patients should be monitored for signs and symptoms of diarrhoea or colitis and managed with cemiplimab treatment modifications, anti</w:t>
      </w:r>
      <w:r w:rsidRPr="0038119B">
        <w:rPr>
          <w:lang w:val="en-AU"/>
        </w:rPr>
        <w:noBreakHyphen/>
        <w:t xml:space="preserve">diarrhoeal agents,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33D0C4D" w14:textId="77777777" w:rsidR="007D565E" w:rsidRPr="0038119B" w:rsidRDefault="00CD5483">
      <w:pPr>
        <w:pStyle w:val="Heading4"/>
        <w:numPr>
          <w:ilvl w:val="0"/>
          <w:numId w:val="0"/>
        </w:numPr>
        <w:ind w:left="862" w:hanging="862"/>
        <w:rPr>
          <w:lang w:val="en-AU"/>
        </w:rPr>
      </w:pPr>
      <w:r w:rsidRPr="0038119B">
        <w:rPr>
          <w:lang w:val="en-AU"/>
        </w:rPr>
        <w:lastRenderedPageBreak/>
        <w:t>Immune-related hepatitis</w:t>
      </w:r>
    </w:p>
    <w:p w14:paraId="580D867E" w14:textId="334D965A" w:rsidR="007D565E" w:rsidRPr="0038119B" w:rsidRDefault="00CD5483">
      <w:pPr>
        <w:rPr>
          <w:lang w:val="en-AU"/>
        </w:rPr>
      </w:pPr>
      <w:r w:rsidRPr="0038119B">
        <w:rPr>
          <w:lang w:val="en-AU"/>
        </w:rPr>
        <w:t xml:space="preserve">Immune-related hepatitis, defined as requiring use of corticosteroids with no clear alternate aetiology, including fatal cases,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monitored for abnormal liver tests prior to and periodically during treatment as indicated based on clinical evaluation and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19ED632C" w14:textId="77777777" w:rsidR="007D565E" w:rsidRPr="0038119B" w:rsidRDefault="00CD5483">
      <w:pPr>
        <w:pStyle w:val="Heading4"/>
        <w:numPr>
          <w:ilvl w:val="0"/>
          <w:numId w:val="0"/>
        </w:numPr>
        <w:ind w:left="862" w:hanging="862"/>
        <w:rPr>
          <w:lang w:val="en-AU"/>
        </w:rPr>
      </w:pPr>
      <w:r w:rsidRPr="0038119B">
        <w:rPr>
          <w:lang w:val="en-AU"/>
        </w:rPr>
        <w:t>Immune-related endocrinopathies</w:t>
      </w:r>
    </w:p>
    <w:p w14:paraId="43025FD5" w14:textId="5430F3AF" w:rsidR="007D565E" w:rsidRPr="0038119B" w:rsidRDefault="00CD5483">
      <w:pPr>
        <w:rPr>
          <w:lang w:val="en-AU"/>
        </w:rPr>
      </w:pPr>
      <w:r w:rsidRPr="0038119B">
        <w:rPr>
          <w:lang w:val="en-AU"/>
        </w:rPr>
        <w:t>Immune-related endocrinopathies, defined as treatment</w:t>
      </w:r>
      <w:r w:rsidRPr="0038119B">
        <w:rPr>
          <w:lang w:val="en-AU"/>
        </w:rPr>
        <w:noBreakHyphen/>
        <w:t xml:space="preserve">emergent endocrinopathies with no clear alternate aetiology, have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w:t>
      </w:r>
    </w:p>
    <w:p w14:paraId="4D2347D8" w14:textId="3C7BC4A3" w:rsidR="007D565E" w:rsidRPr="00BD4A5F" w:rsidRDefault="00CD5483">
      <w:pPr>
        <w:pStyle w:val="Heading5"/>
        <w:numPr>
          <w:ilvl w:val="0"/>
          <w:numId w:val="0"/>
        </w:numPr>
        <w:ind w:left="1009" w:hanging="1009"/>
        <w:rPr>
          <w:lang w:val="en-AU"/>
        </w:rPr>
      </w:pPr>
      <w:r w:rsidRPr="0038119B">
        <w:rPr>
          <w:lang w:val="en-AU"/>
        </w:rPr>
        <w:t>Thyroid disorders (</w:t>
      </w:r>
      <w:r w:rsidRPr="00BD4A5F">
        <w:rPr>
          <w:lang w:val="en-AU"/>
        </w:rPr>
        <w:t>Hypothyroidism/Hyperthyroidism</w:t>
      </w:r>
      <w:r w:rsidR="00507F9A" w:rsidRPr="00BD4A5F">
        <w:rPr>
          <w:lang w:val="en-AU"/>
        </w:rPr>
        <w:t>/Thyroiditis</w:t>
      </w:r>
      <w:r w:rsidRPr="00BD4A5F">
        <w:rPr>
          <w:lang w:val="en-AU"/>
        </w:rPr>
        <w:t>)</w:t>
      </w:r>
    </w:p>
    <w:p w14:paraId="5D87FEA9" w14:textId="3C275FEE" w:rsidR="007D565E" w:rsidRPr="0038119B" w:rsidRDefault="00CD5483">
      <w:pPr>
        <w:rPr>
          <w:lang w:val="en-AU"/>
        </w:rPr>
      </w:pPr>
      <w:r w:rsidRPr="0038119B">
        <w:rPr>
          <w:lang w:val="en-AU"/>
        </w:rPr>
        <w:t xml:space="preserve">Thyroid disorders have </w:t>
      </w:r>
      <w:r w:rsidRPr="00BD4A5F">
        <w:rPr>
          <w:color w:val="auto"/>
          <w:lang w:val="en-AU"/>
        </w:rPr>
        <w:t xml:space="preserve">been observed in patients receiving cemiplimab. </w:t>
      </w:r>
      <w:r w:rsidR="00507F9A" w:rsidRPr="00BD4A5F">
        <w:rPr>
          <w:color w:val="auto"/>
          <w:lang w:val="en-AU"/>
        </w:rPr>
        <w:t xml:space="preserve">Thyroiditis can present with or without an alteration in thyroid function tests. Hypothyroidism can follow hyperthyroidism. </w:t>
      </w:r>
      <w:r w:rsidRPr="00BD4A5F">
        <w:rPr>
          <w:color w:val="auto"/>
          <w:lang w:val="en-AU"/>
        </w:rPr>
        <w:t xml:space="preserve">Thyroid disorders can occur </w:t>
      </w:r>
      <w:r w:rsidRPr="0038119B">
        <w:rPr>
          <w:lang w:val="en-AU"/>
        </w:rPr>
        <w:t xml:space="preserve">at any time during the treatment. Patients should be monitored for changes in thyroid function at the start of treatment and periodically during the treatment as indicated based on clinical evaluation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managed with hormone replacement therapy (if indicated) and cemiplimab treatment modifications. Hyperthyroidism should be managed according to standard medical practice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45418764" w14:textId="77777777" w:rsidR="007D565E" w:rsidRPr="0038119B" w:rsidRDefault="00CD5483">
      <w:pPr>
        <w:pStyle w:val="Heading5"/>
        <w:numPr>
          <w:ilvl w:val="0"/>
          <w:numId w:val="0"/>
        </w:numPr>
        <w:ind w:left="1009" w:hanging="1009"/>
        <w:rPr>
          <w:lang w:val="en-AU"/>
        </w:rPr>
      </w:pPr>
      <w:r w:rsidRPr="0038119B">
        <w:rPr>
          <w:lang w:val="en-AU"/>
        </w:rPr>
        <w:t>Hypophysitis</w:t>
      </w:r>
    </w:p>
    <w:p w14:paraId="7DF3D3AD" w14:textId="558611CC" w:rsidR="007D565E" w:rsidRPr="0038119B" w:rsidRDefault="00CD5483">
      <w:pPr>
        <w:rPr>
          <w:lang w:val="en-AU"/>
        </w:rPr>
      </w:pPr>
      <w:r w:rsidRPr="0038119B">
        <w:rPr>
          <w:lang w:val="en-AU"/>
        </w:rPr>
        <w:t xml:space="preserve">Hypophysitis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Patients should be monitored for signs and symptoms of hypophysitis and managed with cemiplimab treatment modifications,</w:t>
      </w:r>
      <w:r w:rsidR="00FF3DB8" w:rsidRPr="0038119B">
        <w:rPr>
          <w:lang w:val="en-AU"/>
        </w:rPr>
        <w:t xml:space="preserve"> </w:t>
      </w:r>
      <w:proofErr w:type="gramStart"/>
      <w:r w:rsidRPr="0038119B">
        <w:rPr>
          <w:lang w:val="en-AU"/>
        </w:rPr>
        <w:t>corticosteroids</w:t>
      </w:r>
      <w:proofErr w:type="gramEnd"/>
      <w:r w:rsidRPr="0038119B">
        <w:rPr>
          <w:lang w:val="en-AU"/>
        </w:rPr>
        <w:t xml:space="preserve"> and hormone replacement, as clinically indicated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141FA278" w14:textId="77777777" w:rsidR="007D565E" w:rsidRPr="0038119B" w:rsidRDefault="00CD5483">
      <w:pPr>
        <w:pStyle w:val="Heading5"/>
        <w:numPr>
          <w:ilvl w:val="0"/>
          <w:numId w:val="0"/>
        </w:numPr>
        <w:ind w:left="1009" w:hanging="1009"/>
        <w:rPr>
          <w:lang w:val="en-AU"/>
        </w:rPr>
      </w:pPr>
      <w:r w:rsidRPr="0038119B">
        <w:rPr>
          <w:lang w:val="en-AU"/>
        </w:rPr>
        <w:t>Adrenal insufficiency</w:t>
      </w:r>
    </w:p>
    <w:p w14:paraId="1CA894B0" w14:textId="5C6D3C2E" w:rsidR="007D565E" w:rsidRPr="0038119B" w:rsidRDefault="00CD5483">
      <w:pPr>
        <w:rPr>
          <w:lang w:val="en-AU"/>
        </w:rPr>
      </w:pPr>
      <w:r w:rsidRPr="0038119B">
        <w:rPr>
          <w:lang w:val="en-AU"/>
        </w:rPr>
        <w:t xml:space="preserve">Adrenal insufficiency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monitored for signs and symptoms of adrenal insufficiency during and after treatment and managed with cemiplimab treatment modifications, </w:t>
      </w:r>
      <w:proofErr w:type="gramStart"/>
      <w:r w:rsidRPr="0038119B">
        <w:rPr>
          <w:lang w:val="en-AU"/>
        </w:rPr>
        <w:t>corticosteroids</w:t>
      </w:r>
      <w:proofErr w:type="gramEnd"/>
      <w:r w:rsidRPr="0038119B">
        <w:rPr>
          <w:lang w:val="en-AU"/>
        </w:rPr>
        <w:t xml:space="preserve"> and hormone replacement, as clinically indicated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A5CD52B" w14:textId="77777777" w:rsidR="007D565E" w:rsidRPr="0038119B" w:rsidRDefault="00CD5483">
      <w:pPr>
        <w:pStyle w:val="Heading5"/>
        <w:numPr>
          <w:ilvl w:val="0"/>
          <w:numId w:val="0"/>
        </w:numPr>
        <w:ind w:left="1009" w:hanging="1009"/>
        <w:rPr>
          <w:lang w:val="en-AU"/>
        </w:rPr>
      </w:pPr>
      <w:r w:rsidRPr="0038119B">
        <w:rPr>
          <w:lang w:val="en-AU"/>
        </w:rPr>
        <w:t>Type 1 Diabetes mellitus</w:t>
      </w:r>
    </w:p>
    <w:p w14:paraId="61988861" w14:textId="58DF5794" w:rsidR="007D565E" w:rsidRPr="0038119B" w:rsidRDefault="00F72471" w:rsidP="00FF3DB8">
      <w:pPr>
        <w:rPr>
          <w:lang w:val="en-AU"/>
        </w:rPr>
      </w:pPr>
      <w:r w:rsidRPr="0038119B">
        <w:rPr>
          <w:lang w:val="en-AU"/>
        </w:rPr>
        <w:t>T</w:t>
      </w:r>
      <w:r w:rsidR="00CD5483" w:rsidRPr="0038119B">
        <w:rPr>
          <w:lang w:val="en-AU"/>
        </w:rPr>
        <w:t xml:space="preserve">ype 1 diabetes mellitus, including diabetic ketoacidosis, has been observed in patients receiving </w:t>
      </w:r>
      <w:proofErr w:type="spellStart"/>
      <w:r w:rsidR="00CD5483" w:rsidRPr="0038119B">
        <w:rPr>
          <w:lang w:val="en-AU"/>
        </w:rPr>
        <w:t>cemiplimab</w:t>
      </w:r>
      <w:proofErr w:type="spellEnd"/>
      <w:r w:rsidR="00CD5483" w:rsidRPr="0038119B">
        <w:rPr>
          <w:lang w:val="en-AU"/>
        </w:rPr>
        <w:t xml:space="preserve"> (see Section </w:t>
      </w:r>
      <w:r w:rsidR="00CD5483" w:rsidRPr="0038119B">
        <w:rPr>
          <w:color w:val="0000FF"/>
          <w:lang w:val="en-AU"/>
        </w:rPr>
        <w:fldChar w:fldCharType="begin"/>
      </w:r>
      <w:r w:rsidR="00CD5483" w:rsidRPr="0038119B">
        <w:rPr>
          <w:color w:val="0000FF"/>
          <w:lang w:val="en-AU"/>
        </w:rPr>
        <w:instrText xml:space="preserve"> REF _Ref31784386 \r \h  \* MERGEFORMAT </w:instrText>
      </w:r>
      <w:r w:rsidR="00CD5483" w:rsidRPr="0038119B">
        <w:rPr>
          <w:color w:val="0000FF"/>
          <w:lang w:val="en-AU"/>
        </w:rPr>
      </w:r>
      <w:r w:rsidR="00CD5483" w:rsidRPr="0038119B">
        <w:rPr>
          <w:color w:val="0000FF"/>
          <w:lang w:val="en-AU"/>
        </w:rPr>
        <w:fldChar w:fldCharType="separate"/>
      </w:r>
      <w:r w:rsidR="006B35A8">
        <w:rPr>
          <w:color w:val="0000FF"/>
          <w:lang w:val="en-AU"/>
        </w:rPr>
        <w:t>4.8</w:t>
      </w:r>
      <w:r w:rsidR="00CD5483" w:rsidRPr="0038119B">
        <w:rPr>
          <w:color w:val="0000FF"/>
          <w:lang w:val="en-AU"/>
        </w:rPr>
        <w:fldChar w:fldCharType="end"/>
      </w:r>
      <w:r w:rsidR="00CD5483" w:rsidRPr="0038119B">
        <w:rPr>
          <w:lang w:val="en-AU"/>
        </w:rPr>
        <w:t>). Patients should be monitored for hyperglycaemia and signs and symptoms of diabetes as indicated based on clinical evaluation and managed with oral anti</w:t>
      </w:r>
      <w:r w:rsidR="00CD5483" w:rsidRPr="0038119B">
        <w:rPr>
          <w:lang w:val="en-AU"/>
        </w:rPr>
        <w:noBreakHyphen/>
        <w:t xml:space="preserve">hyperglycaemics or insulin and cemiplimab treatment modifications (see Section </w:t>
      </w:r>
      <w:r w:rsidR="00CD5483" w:rsidRPr="0038119B">
        <w:rPr>
          <w:color w:val="0000FF"/>
          <w:lang w:val="en-AU"/>
        </w:rPr>
        <w:fldChar w:fldCharType="begin"/>
      </w:r>
      <w:r w:rsidR="00CD5483" w:rsidRPr="0038119B">
        <w:rPr>
          <w:color w:val="0000FF"/>
          <w:lang w:val="en-AU"/>
        </w:rPr>
        <w:instrText xml:space="preserve"> REF _Ref13466856 \r \h  \* MERGEFORMAT </w:instrText>
      </w:r>
      <w:r w:rsidR="00CD5483" w:rsidRPr="0038119B">
        <w:rPr>
          <w:color w:val="0000FF"/>
          <w:lang w:val="en-AU"/>
        </w:rPr>
      </w:r>
      <w:r w:rsidR="00CD5483" w:rsidRPr="0038119B">
        <w:rPr>
          <w:color w:val="0000FF"/>
          <w:lang w:val="en-AU"/>
        </w:rPr>
        <w:fldChar w:fldCharType="separate"/>
      </w:r>
      <w:r w:rsidR="006B35A8">
        <w:rPr>
          <w:color w:val="0000FF"/>
          <w:lang w:val="en-AU"/>
        </w:rPr>
        <w:t>4.2</w:t>
      </w:r>
      <w:r w:rsidR="00CD5483" w:rsidRPr="0038119B">
        <w:rPr>
          <w:color w:val="0000FF"/>
          <w:lang w:val="en-AU"/>
        </w:rPr>
        <w:fldChar w:fldCharType="end"/>
      </w:r>
      <w:r w:rsidR="00CD5483" w:rsidRPr="0038119B">
        <w:rPr>
          <w:lang w:val="en-AU"/>
        </w:rPr>
        <w:t xml:space="preserve">). </w:t>
      </w:r>
    </w:p>
    <w:p w14:paraId="33B4DA97" w14:textId="77777777" w:rsidR="007D565E" w:rsidRPr="0038119B" w:rsidRDefault="00CD5483">
      <w:pPr>
        <w:pStyle w:val="Heading4"/>
        <w:numPr>
          <w:ilvl w:val="0"/>
          <w:numId w:val="0"/>
        </w:numPr>
        <w:ind w:left="862" w:hanging="862"/>
        <w:rPr>
          <w:lang w:val="en-AU"/>
        </w:rPr>
      </w:pPr>
      <w:r w:rsidRPr="0038119B">
        <w:rPr>
          <w:lang w:val="en-AU"/>
        </w:rPr>
        <w:lastRenderedPageBreak/>
        <w:t>Immune-related skin adverse reactions</w:t>
      </w:r>
    </w:p>
    <w:p w14:paraId="3C32952B" w14:textId="40580522" w:rsidR="007D565E" w:rsidRPr="0038119B" w:rsidRDefault="00CD5483">
      <w:pPr>
        <w:rPr>
          <w:lang w:val="en-AU"/>
        </w:rPr>
      </w:pPr>
      <w:r w:rsidRPr="0038119B">
        <w:rPr>
          <w:lang w:val="en-AU"/>
        </w:rPr>
        <w:t>Immune-related skin adverse reactions, defined as requiring use of systemic corticosteroids with no clear alternate aetiology, including severe cutaneous adverse reactions (SCARs), such as Stevens</w:t>
      </w:r>
      <w:r w:rsidRPr="0038119B">
        <w:rPr>
          <w:lang w:val="en-AU"/>
        </w:rPr>
        <w:noBreakHyphen/>
        <w:t xml:space="preserve">Johnson syndrome (SJS) and toxic epidermal necrolysis (TEN) (some cases with fatal outcome), and other skin reactions such as rash, erythema multiforme, pemphigoid, have been reported in association with cemiplimab treatment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w:t>
      </w:r>
    </w:p>
    <w:p w14:paraId="7B9162F1" w14:textId="69AFB4BC" w:rsidR="007D565E" w:rsidRPr="0038119B" w:rsidRDefault="00CD5483">
      <w:pPr>
        <w:rPr>
          <w:color w:val="auto"/>
          <w:lang w:val="en-AU"/>
        </w:rPr>
      </w:pPr>
      <w:r w:rsidRPr="0038119B">
        <w:rPr>
          <w:lang w:val="en-AU"/>
        </w:rPr>
        <w:t xml:space="preserve">Patients should be monitored for evidence of suspected severe skin reactions and exclude other causes. Patients should be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w:t>
      </w:r>
      <w:r w:rsidR="00902FB8" w:rsidRPr="0038119B">
        <w:rPr>
          <w:color w:val="auto"/>
          <w:lang w:val="en-AU"/>
        </w:rPr>
        <w:t xml:space="preserve">For symptoms or signs of SJS or TEN, refer the patient for specialised care for assessment and treatment and manage patient with treatment modifications (see section </w:t>
      </w:r>
      <w:r w:rsidR="00953F82" w:rsidRPr="0038119B">
        <w:rPr>
          <w:color w:val="0000FF"/>
          <w:lang w:val="en-AU"/>
        </w:rPr>
        <w:fldChar w:fldCharType="begin"/>
      </w:r>
      <w:r w:rsidR="00953F82" w:rsidRPr="0038119B">
        <w:rPr>
          <w:color w:val="0000FF"/>
          <w:lang w:val="en-AU"/>
        </w:rPr>
        <w:instrText xml:space="preserve"> REF _Ref13466856 \r \h  \* MERGEFORMAT </w:instrText>
      </w:r>
      <w:r w:rsidR="00953F82" w:rsidRPr="0038119B">
        <w:rPr>
          <w:color w:val="0000FF"/>
          <w:lang w:val="en-AU"/>
        </w:rPr>
      </w:r>
      <w:r w:rsidR="00953F82" w:rsidRPr="0038119B">
        <w:rPr>
          <w:color w:val="0000FF"/>
          <w:lang w:val="en-AU"/>
        </w:rPr>
        <w:fldChar w:fldCharType="separate"/>
      </w:r>
      <w:r w:rsidR="006B35A8">
        <w:rPr>
          <w:color w:val="0000FF"/>
          <w:lang w:val="en-AU"/>
        </w:rPr>
        <w:t>4.2</w:t>
      </w:r>
      <w:r w:rsidR="00953F82" w:rsidRPr="0038119B">
        <w:rPr>
          <w:color w:val="0000FF"/>
          <w:lang w:val="en-AU"/>
        </w:rPr>
        <w:fldChar w:fldCharType="end"/>
      </w:r>
      <w:r w:rsidR="00902FB8" w:rsidRPr="0038119B">
        <w:rPr>
          <w:color w:val="auto"/>
          <w:lang w:val="en-AU"/>
        </w:rPr>
        <w:t>).</w:t>
      </w:r>
    </w:p>
    <w:p w14:paraId="138DACF7" w14:textId="21E1536B" w:rsidR="007D565E" w:rsidRPr="0038119B" w:rsidRDefault="00CD5483">
      <w:pPr>
        <w:rPr>
          <w:lang w:val="en-AU"/>
        </w:rPr>
      </w:pPr>
      <w:r w:rsidRPr="0038119B">
        <w:rPr>
          <w:lang w:val="en-AU"/>
        </w:rPr>
        <w:t xml:space="preserve">Cases of SJS, fatal TEN and stomatitis occurred following </w:t>
      </w:r>
      <w:r w:rsidR="008E19CA" w:rsidRPr="0038119B">
        <w:rPr>
          <w:lang w:val="en-AU"/>
        </w:rPr>
        <w:t xml:space="preserve">1 dose of </w:t>
      </w:r>
      <w:r w:rsidRPr="0038119B">
        <w:rPr>
          <w:lang w:val="en-AU"/>
        </w:rPr>
        <w:t>cemiplimab in patients with prior exposure to idelalisib, who were participating in a clinical trial evaluating cemiplimab in Non</w:t>
      </w:r>
      <w:r w:rsidRPr="0038119B">
        <w:rPr>
          <w:lang w:val="en-AU"/>
        </w:rPr>
        <w:noBreakHyphen/>
        <w:t xml:space="preserve">Hodgkin Lymphoma (NHL), and who had recent exposure to </w:t>
      </w:r>
      <w:proofErr w:type="spellStart"/>
      <w:r w:rsidRPr="0038119B">
        <w:rPr>
          <w:lang w:val="en-AU"/>
        </w:rPr>
        <w:t>sulfa</w:t>
      </w:r>
      <w:proofErr w:type="spellEnd"/>
      <w:r w:rsidRPr="0038119B">
        <w:rPr>
          <w:lang w:val="en-AU"/>
        </w:rPr>
        <w:t xml:space="preserve"> containing antibiotics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managed with cemiplimab treatment modifications and corticosteroids as described above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For symptoms or signs of SJS or TEN, refer the patient for specialised care for assessment and treatment and manage patient with treatment modifications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3D314B7C" w14:textId="77777777" w:rsidR="007D565E" w:rsidRPr="0038119B" w:rsidRDefault="00CD5483">
      <w:pPr>
        <w:pStyle w:val="Heading4"/>
        <w:numPr>
          <w:ilvl w:val="0"/>
          <w:numId w:val="0"/>
        </w:numPr>
        <w:ind w:left="862" w:hanging="862"/>
        <w:rPr>
          <w:lang w:val="en-AU"/>
        </w:rPr>
      </w:pPr>
      <w:r w:rsidRPr="0038119B">
        <w:rPr>
          <w:lang w:val="en-AU"/>
        </w:rPr>
        <w:t>Immune-related nephritis</w:t>
      </w:r>
    </w:p>
    <w:p w14:paraId="2729A007" w14:textId="02AD65C3" w:rsidR="007D565E" w:rsidRPr="0038119B" w:rsidRDefault="00CD5483">
      <w:pPr>
        <w:rPr>
          <w:lang w:val="en-AU"/>
        </w:rPr>
      </w:pPr>
      <w:r w:rsidRPr="0038119B">
        <w:rPr>
          <w:lang w:val="en-AU"/>
        </w:rPr>
        <w:t xml:space="preserve">Immune-related nephritis, defined as requiring use of corticosteroids with no clear alternate aetiology, has been observed in patients receiving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Monitor patients for changes in renal function. Patients should be managed with cemiplimab treatment modifications and corticosteroids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2ECE711" w14:textId="77777777" w:rsidR="007D565E" w:rsidRPr="0038119B" w:rsidRDefault="00CD5483">
      <w:pPr>
        <w:pStyle w:val="Heading3"/>
        <w:numPr>
          <w:ilvl w:val="0"/>
          <w:numId w:val="0"/>
        </w:numPr>
        <w:ind w:left="680" w:hanging="680"/>
        <w:rPr>
          <w:lang w:val="en-AU"/>
        </w:rPr>
      </w:pPr>
      <w:r w:rsidRPr="0038119B">
        <w:rPr>
          <w:lang w:val="en-AU"/>
        </w:rPr>
        <w:t>Other immune-related adverse reactions</w:t>
      </w:r>
    </w:p>
    <w:p w14:paraId="55692555" w14:textId="2B029EC0" w:rsidR="007D565E" w:rsidRPr="0038119B" w:rsidRDefault="00CD5483">
      <w:pPr>
        <w:rPr>
          <w:lang w:val="en-AU"/>
        </w:rPr>
      </w:pPr>
      <w:r w:rsidRPr="0038119B">
        <w:rPr>
          <w:lang w:val="en-AU"/>
        </w:rPr>
        <w:t>Other fatal and life-threatening immune-related adverse reactions have been observed in patients receiving cemiplimab including paraneoplastic encephalomyeliti</w:t>
      </w:r>
      <w:r w:rsidR="00953F82" w:rsidRPr="0038119B">
        <w:rPr>
          <w:lang w:val="en-AU"/>
        </w:rPr>
        <w:t xml:space="preserve">s </w:t>
      </w:r>
      <w:r w:rsidRPr="0038119B">
        <w:rPr>
          <w:lang w:val="en-AU"/>
        </w:rPr>
        <w:t>meningitis</w:t>
      </w:r>
      <w:r w:rsidR="00902FB8" w:rsidRPr="0038119B">
        <w:rPr>
          <w:lang w:val="en-AU"/>
        </w:rPr>
        <w:t xml:space="preserve"> and myositis</w:t>
      </w:r>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for other immune</w:t>
      </w:r>
      <w:r w:rsidRPr="0038119B">
        <w:rPr>
          <w:lang w:val="en-AU"/>
        </w:rPr>
        <w:noBreakHyphen/>
        <w:t>related adverse reactions).</w:t>
      </w:r>
    </w:p>
    <w:p w14:paraId="3F7AC2C3" w14:textId="2548F4B6" w:rsidR="007D565E" w:rsidRPr="0038119B" w:rsidRDefault="00CD5483">
      <w:pPr>
        <w:rPr>
          <w:lang w:val="en-AU"/>
        </w:rPr>
      </w:pPr>
      <w:r w:rsidRPr="0038119B">
        <w:rPr>
          <w:lang w:val="en-AU"/>
        </w:rPr>
        <w:t>Evaluate suspected immune-related adverse reactions to exclude other causes. Patients should be monitored for signs and symptoms of immune</w:t>
      </w:r>
      <w:r w:rsidRPr="0038119B">
        <w:rPr>
          <w:lang w:val="en-AU"/>
        </w:rPr>
        <w:noBreakHyphen/>
        <w:t xml:space="preserve">related adverse reactions and managed with cemiplimab treatment modifications and corticosteroids as clinically indicated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color w:val="0000FF"/>
          <w:lang w:val="en-AU"/>
        </w:rPr>
        <w:t xml:space="preserve"> </w:t>
      </w:r>
      <w:r w:rsidRPr="0038119B">
        <w:rPr>
          <w:lang w:val="en-AU"/>
        </w:rPr>
        <w:t xml:space="preserve">and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color w:val="auto"/>
          <w:lang w:val="en-AU"/>
        </w:rPr>
        <w:t>).</w:t>
      </w:r>
    </w:p>
    <w:p w14:paraId="638E9345" w14:textId="77777777" w:rsidR="007D565E" w:rsidRPr="0038119B" w:rsidRDefault="00CD5483">
      <w:pPr>
        <w:rPr>
          <w:lang w:val="en-AU"/>
        </w:rPr>
      </w:pPr>
      <w:r w:rsidRPr="0038119B">
        <w:rPr>
          <w:lang w:val="en-AU"/>
        </w:rPr>
        <w:t>Cases of solid organ transplant rejection have been reported in the post-marketing setting with cemiplimab and other PD-1/PD-L1 inhibitors. Cases of graft-versus-host disease have been reported in the post-marketing setting in patients treated with other PD-1/PD-L1 inhibitors in association with allogeneic hematopoietic stem cell transplant.</w:t>
      </w:r>
    </w:p>
    <w:p w14:paraId="63837CEA" w14:textId="77777777" w:rsidR="007D565E" w:rsidRPr="0038119B" w:rsidRDefault="00CD5483">
      <w:pPr>
        <w:pStyle w:val="Heading3"/>
        <w:numPr>
          <w:ilvl w:val="0"/>
          <w:numId w:val="0"/>
        </w:numPr>
        <w:ind w:left="680" w:hanging="680"/>
        <w:rPr>
          <w:lang w:val="en-AU"/>
        </w:rPr>
      </w:pPr>
      <w:r w:rsidRPr="0038119B">
        <w:rPr>
          <w:lang w:val="en-AU"/>
        </w:rPr>
        <w:t>Infusion-related reactions</w:t>
      </w:r>
    </w:p>
    <w:p w14:paraId="465C1319" w14:textId="3BA65DFC" w:rsidR="007D565E" w:rsidRPr="0038119B" w:rsidRDefault="00CD5483">
      <w:pPr>
        <w:rPr>
          <w:lang w:val="en-AU"/>
        </w:rPr>
      </w:pPr>
      <w:r w:rsidRPr="0038119B">
        <w:rPr>
          <w:lang w:val="en-AU"/>
        </w:rPr>
        <w:t xml:space="preserve">Cemiplimab can cause severe or life-threatening infusion-related reactions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 xml:space="preserve">). Patients should be monitored for signs and symptoms of infusion-related reactions and </w:t>
      </w:r>
      <w:r w:rsidRPr="0038119B">
        <w:rPr>
          <w:lang w:val="en-AU"/>
        </w:rPr>
        <w:lastRenderedPageBreak/>
        <w:t xml:space="preserve">managed with cemiplimab treatment modifications and corticosteroids. Cemiplimab should be </w:t>
      </w:r>
      <w:proofErr w:type="gramStart"/>
      <w:r w:rsidRPr="0038119B">
        <w:rPr>
          <w:lang w:val="en-AU"/>
        </w:rPr>
        <w:t>interrupted</w:t>
      </w:r>
      <w:proofErr w:type="gramEnd"/>
      <w:r w:rsidRPr="0038119B">
        <w:rPr>
          <w:lang w:val="en-AU"/>
        </w:rPr>
        <w:t xml:space="preserve"> or the rate of infusion slowed </w:t>
      </w:r>
      <w:r w:rsidR="00902FB8" w:rsidRPr="0038119B">
        <w:rPr>
          <w:lang w:val="en-AU"/>
        </w:rPr>
        <w:t>for mild or moderate infusion-related reactions.</w:t>
      </w:r>
      <w:r w:rsidR="002B4560" w:rsidRPr="0038119B">
        <w:rPr>
          <w:lang w:val="en-AU"/>
        </w:rPr>
        <w:t xml:space="preserve"> </w:t>
      </w:r>
      <w:r w:rsidR="00FF3DB8" w:rsidRPr="0038119B">
        <w:rPr>
          <w:lang w:val="en-AU"/>
        </w:rPr>
        <w:t xml:space="preserve"> </w:t>
      </w:r>
      <w:r w:rsidR="002B4560" w:rsidRPr="0038119B">
        <w:rPr>
          <w:lang w:val="en-AU"/>
        </w:rPr>
        <w:t xml:space="preserve">The infusion should be stopped and cemiplimab should be permanently discontinued for severe (Grade 3) or life-threatening (Grade 4) infusion-related reactions </w:t>
      </w:r>
      <w:r w:rsidRPr="0038119B">
        <w:rPr>
          <w:lang w:val="en-AU"/>
        </w:rPr>
        <w:t xml:space="preserve">(see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4B52FB54" w14:textId="77777777" w:rsidR="007D565E" w:rsidRPr="0038119B" w:rsidRDefault="00CD5483">
      <w:pPr>
        <w:pStyle w:val="Heading3"/>
        <w:numPr>
          <w:ilvl w:val="0"/>
          <w:numId w:val="0"/>
        </w:numPr>
        <w:ind w:left="680" w:hanging="680"/>
        <w:rPr>
          <w:lang w:val="en-AU"/>
        </w:rPr>
      </w:pPr>
      <w:r w:rsidRPr="0038119B">
        <w:rPr>
          <w:lang w:val="en-AU"/>
        </w:rPr>
        <w:t>Patients excluded from clinical studies</w:t>
      </w:r>
    </w:p>
    <w:p w14:paraId="4980AEB7" w14:textId="09EF82D5" w:rsidR="007D565E" w:rsidRPr="0038119B" w:rsidRDefault="00CD5483">
      <w:pPr>
        <w:rPr>
          <w:lang w:val="en-AU"/>
        </w:rPr>
      </w:pPr>
      <w:r w:rsidRPr="0038119B">
        <w:rPr>
          <w:lang w:val="en-AU"/>
        </w:rPr>
        <w:t xml:space="preserve">Patients that had active infections or that were immunocompromised were not included in the main study. For a full list of patients excluded from clinical trials, see Section </w:t>
      </w:r>
      <w:r w:rsidRPr="0038119B">
        <w:rPr>
          <w:color w:val="0000FF"/>
          <w:lang w:val="en-AU"/>
        </w:rPr>
        <w:fldChar w:fldCharType="begin"/>
      </w:r>
      <w:r w:rsidRPr="0038119B">
        <w:rPr>
          <w:color w:val="0000FF"/>
          <w:lang w:val="en-AU"/>
        </w:rPr>
        <w:instrText xml:space="preserve"> REF _Ref13466766 \r \h  \* MERGEFORMAT </w:instrText>
      </w:r>
      <w:r w:rsidRPr="0038119B">
        <w:rPr>
          <w:color w:val="0000FF"/>
          <w:lang w:val="en-AU"/>
        </w:rPr>
      </w:r>
      <w:r w:rsidRPr="0038119B">
        <w:rPr>
          <w:color w:val="0000FF"/>
          <w:lang w:val="en-AU"/>
        </w:rPr>
        <w:fldChar w:fldCharType="separate"/>
      </w:r>
      <w:r w:rsidR="006B35A8">
        <w:rPr>
          <w:color w:val="0000FF"/>
          <w:lang w:val="en-AU"/>
        </w:rPr>
        <w:t>5.1</w:t>
      </w:r>
      <w:r w:rsidRPr="0038119B">
        <w:rPr>
          <w:color w:val="0000FF"/>
          <w:lang w:val="en-AU"/>
        </w:rPr>
        <w:fldChar w:fldCharType="end"/>
      </w:r>
      <w:r w:rsidRPr="0038119B">
        <w:rPr>
          <w:lang w:val="en-AU"/>
        </w:rPr>
        <w:t>.</w:t>
      </w:r>
    </w:p>
    <w:p w14:paraId="68BB7D37" w14:textId="77777777" w:rsidR="007D565E" w:rsidRPr="0038119B" w:rsidRDefault="00CD5483">
      <w:pPr>
        <w:rPr>
          <w:lang w:val="en-AU"/>
        </w:rPr>
      </w:pPr>
      <w:r w:rsidRPr="0038119B">
        <w:rPr>
          <w:lang w:val="en-AU"/>
        </w:rPr>
        <w:t>In the absence of data, cemiplimab should be used with caution in these populations after careful evaluation of the balance of benefits and risks for the patient.</w:t>
      </w:r>
    </w:p>
    <w:p w14:paraId="7BBFA5E8" w14:textId="77777777" w:rsidR="007D565E" w:rsidRPr="0038119B" w:rsidRDefault="00CD5483">
      <w:pPr>
        <w:pStyle w:val="Heading2"/>
        <w:rPr>
          <w:lang w:val="en-AU"/>
        </w:rPr>
      </w:pPr>
      <w:r w:rsidRPr="0038119B">
        <w:rPr>
          <w:lang w:val="en-AU"/>
        </w:rPr>
        <w:t>Interactions with other medicines and other forms of interactions</w:t>
      </w:r>
    </w:p>
    <w:p w14:paraId="024CA9F3" w14:textId="12A1DE1A" w:rsidR="007D565E" w:rsidRPr="0038119B" w:rsidRDefault="00CD5483">
      <w:pPr>
        <w:rPr>
          <w:lang w:val="en-AU"/>
        </w:rPr>
      </w:pPr>
      <w:bookmarkStart w:id="8" w:name="_Hlk7037136"/>
      <w:r w:rsidRPr="0038119B">
        <w:rPr>
          <w:lang w:val="en-AU"/>
        </w:rPr>
        <w:t xml:space="preserve">No pharmacokinetic </w:t>
      </w:r>
      <w:r w:rsidR="002B4560" w:rsidRPr="0038119B">
        <w:rPr>
          <w:lang w:val="en-AU"/>
        </w:rPr>
        <w:t xml:space="preserve">(PK) </w:t>
      </w:r>
      <w:r w:rsidRPr="0038119B">
        <w:rPr>
          <w:lang w:val="en-AU"/>
        </w:rPr>
        <w:t>drug-drug interaction studies have been conducted with cemiplimab.</w:t>
      </w:r>
    </w:p>
    <w:p w14:paraId="52207BB6" w14:textId="378D9EDA" w:rsidR="007D565E" w:rsidRPr="0038119B" w:rsidRDefault="00CD5483">
      <w:pPr>
        <w:rPr>
          <w:lang w:val="en-AU"/>
        </w:rPr>
      </w:pPr>
      <w:bookmarkStart w:id="9" w:name="_Hlk425978"/>
      <w:bookmarkStart w:id="10" w:name="_Hlk989909"/>
      <w:bookmarkEnd w:id="8"/>
      <w:r w:rsidRPr="0038119B">
        <w:rPr>
          <w:lang w:val="en-AU"/>
        </w:rPr>
        <w:t xml:space="preserve">The use of systemic corticosteroids or immunosuppressants before starting cemiplimab, except for physiological doses of systemic corticosteroid (≤10 mg/day prednisone or equivalent), should be avoided because of their potential interference with the pharmacodynamic activity and efficacy of cemiplimab. </w:t>
      </w:r>
      <w:bookmarkEnd w:id="9"/>
      <w:r w:rsidRPr="0038119B">
        <w:rPr>
          <w:lang w:val="en-AU"/>
        </w:rPr>
        <w:t>However, systemic corticosteroids or other immunosuppressants can be used after starting cemiplimab to treat immune</w:t>
      </w:r>
      <w:r w:rsidRPr="0038119B">
        <w:rPr>
          <w:lang w:val="en-AU"/>
        </w:rPr>
        <w:noBreakHyphen/>
        <w:t xml:space="preserve">related adverse reactions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bookmarkEnd w:id="10"/>
    </w:p>
    <w:p w14:paraId="4336C3F2" w14:textId="77777777" w:rsidR="007D565E" w:rsidRPr="0038119B" w:rsidRDefault="00CD5483">
      <w:pPr>
        <w:pStyle w:val="Heading2"/>
        <w:rPr>
          <w:lang w:val="en-AU"/>
        </w:rPr>
      </w:pPr>
      <w:bookmarkStart w:id="11" w:name="_Ref15366444"/>
      <w:r w:rsidRPr="0038119B">
        <w:rPr>
          <w:lang w:val="en-AU"/>
        </w:rPr>
        <w:t>Fertility, pregnancy and lactation</w:t>
      </w:r>
      <w:bookmarkEnd w:id="11"/>
      <w:r w:rsidRPr="0038119B">
        <w:rPr>
          <w:lang w:val="en-AU"/>
        </w:rPr>
        <w:t xml:space="preserve"> </w:t>
      </w:r>
    </w:p>
    <w:p w14:paraId="2707E8B1" w14:textId="77777777" w:rsidR="007D565E" w:rsidRPr="0038119B" w:rsidRDefault="00CD5483">
      <w:pPr>
        <w:pStyle w:val="Heading3"/>
        <w:numPr>
          <w:ilvl w:val="0"/>
          <w:numId w:val="0"/>
        </w:numPr>
        <w:rPr>
          <w:lang w:val="en-AU"/>
        </w:rPr>
      </w:pPr>
      <w:r w:rsidRPr="0038119B">
        <w:rPr>
          <w:lang w:val="en-AU"/>
        </w:rPr>
        <w:t>Women of childbearing potential</w:t>
      </w:r>
    </w:p>
    <w:p w14:paraId="7576969B" w14:textId="5129D838" w:rsidR="007D565E" w:rsidRPr="0038119B" w:rsidRDefault="00CD5483">
      <w:pPr>
        <w:rPr>
          <w:lang w:val="en-AU"/>
        </w:rPr>
      </w:pPr>
      <w:r w:rsidRPr="0038119B">
        <w:rPr>
          <w:lang w:val="en-AU"/>
        </w:rPr>
        <w:t>Women of childbearing potential should use effective contraception during treatment with cemiplimab and for at least 4 months after the last dose of cemiplimab.</w:t>
      </w:r>
    </w:p>
    <w:p w14:paraId="60C4CA10" w14:textId="77777777" w:rsidR="002436E7" w:rsidRPr="0038119B" w:rsidRDefault="002436E7" w:rsidP="002436E7">
      <w:pPr>
        <w:pStyle w:val="Heading3"/>
        <w:numPr>
          <w:ilvl w:val="0"/>
          <w:numId w:val="0"/>
        </w:numPr>
        <w:ind w:left="680" w:hanging="680"/>
        <w:rPr>
          <w:lang w:val="en-AU"/>
        </w:rPr>
      </w:pPr>
      <w:r w:rsidRPr="0038119B">
        <w:rPr>
          <w:lang w:val="en-AU"/>
        </w:rPr>
        <w:t>Effects on fertility</w:t>
      </w:r>
    </w:p>
    <w:p w14:paraId="7888A6AB" w14:textId="49997677" w:rsidR="002436E7" w:rsidRPr="0038119B" w:rsidRDefault="002436E7" w:rsidP="002436E7">
      <w:pPr>
        <w:rPr>
          <w:lang w:val="en-AU"/>
        </w:rPr>
      </w:pPr>
      <w:r w:rsidRPr="0038119B">
        <w:rPr>
          <w:lang w:val="en-AU"/>
        </w:rPr>
        <w:t xml:space="preserve">No clinical data are available on the possible effects of cemiplimab on fertility. No effects on fertility assessment </w:t>
      </w:r>
      <w:r w:rsidRPr="0038119B">
        <w:rPr>
          <w:color w:val="auto"/>
          <w:lang w:val="en-AU"/>
        </w:rPr>
        <w:t>parameters (menstrual cycle and semen analysis) or male and female reproductive organs were observed in a 3</w:t>
      </w:r>
      <w:r w:rsidRPr="0038119B">
        <w:rPr>
          <w:color w:val="auto"/>
          <w:lang w:val="en-AU"/>
        </w:rPr>
        <w:noBreakHyphen/>
        <w:t xml:space="preserve">month repeat dose fertility assessment study with sexually mature cynomolgus monkeys </w:t>
      </w:r>
      <w:r w:rsidR="00154208" w:rsidRPr="0038119B">
        <w:rPr>
          <w:color w:val="auto"/>
          <w:lang w:val="en-AU"/>
        </w:rPr>
        <w:t xml:space="preserve">at doses up to the highest dose studied of </w:t>
      </w:r>
      <w:r w:rsidRPr="0038119B">
        <w:rPr>
          <w:color w:val="auto"/>
          <w:lang w:val="en-AU"/>
        </w:rPr>
        <w:t>50 mg/kg/week IV, resulting in exposures (AUC and C</w:t>
      </w:r>
      <w:r w:rsidRPr="0038119B">
        <w:rPr>
          <w:color w:val="auto"/>
          <w:vertAlign w:val="subscript"/>
          <w:lang w:val="en-AU"/>
        </w:rPr>
        <w:t>max</w:t>
      </w:r>
      <w:r w:rsidRPr="0038119B">
        <w:rPr>
          <w:color w:val="auto"/>
          <w:lang w:val="en-AU"/>
        </w:rPr>
        <w:t xml:space="preserve">) </w:t>
      </w:r>
      <w:r w:rsidR="007676D0" w:rsidRPr="0038119B">
        <w:rPr>
          <w:color w:val="auto"/>
          <w:lang w:val="en-AU"/>
        </w:rPr>
        <w:t xml:space="preserve">approximately 20 times </w:t>
      </w:r>
      <w:r w:rsidRPr="0038119B">
        <w:rPr>
          <w:color w:val="auto"/>
          <w:lang w:val="en-AU"/>
        </w:rPr>
        <w:t>that expected in patients.</w:t>
      </w:r>
    </w:p>
    <w:p w14:paraId="56D3AE5F" w14:textId="2682F7F2" w:rsidR="002436E7" w:rsidRPr="0038119B" w:rsidRDefault="002436E7" w:rsidP="002436E7">
      <w:pPr>
        <w:pStyle w:val="Heading3"/>
        <w:numPr>
          <w:ilvl w:val="0"/>
          <w:numId w:val="0"/>
        </w:numPr>
        <w:ind w:left="680" w:hanging="680"/>
        <w:rPr>
          <w:b w:val="0"/>
          <w:bCs/>
          <w:lang w:val="en-AU"/>
        </w:rPr>
      </w:pPr>
      <w:r w:rsidRPr="0038119B">
        <w:rPr>
          <w:lang w:val="en-AU"/>
        </w:rPr>
        <w:t>Use in pregnancy (Category D)</w:t>
      </w:r>
    </w:p>
    <w:p w14:paraId="0D2BBA43" w14:textId="1A4F5376" w:rsidR="00A01640" w:rsidRPr="00BD4A5F" w:rsidRDefault="002436E7" w:rsidP="002436E7">
      <w:pPr>
        <w:rPr>
          <w:color w:val="auto"/>
          <w:lang w:val="en-AU"/>
        </w:rPr>
      </w:pPr>
      <w:r w:rsidRPr="0038119B">
        <w:rPr>
          <w:lang w:val="en-AU"/>
        </w:rPr>
        <w:t xml:space="preserve">Animal reproduction studies have not been conducted with cemiplimab. There are no available data on the use of cemiplimab in pregnant women. As reported in the literature, PD-1/PD-L1 signalling pathway plays a role in sustaining pregnancy by maintaining </w:t>
      </w:r>
      <w:r w:rsidRPr="0038119B">
        <w:rPr>
          <w:lang w:val="en-AU"/>
        </w:rPr>
        <w:lastRenderedPageBreak/>
        <w:t xml:space="preserve">immunological </w:t>
      </w:r>
      <w:r w:rsidRPr="00BD4A5F">
        <w:rPr>
          <w:color w:val="auto"/>
          <w:lang w:val="en-AU"/>
        </w:rPr>
        <w:t xml:space="preserve">tolerance and </w:t>
      </w:r>
      <w:r w:rsidR="00E8486D" w:rsidRPr="00BD4A5F">
        <w:rPr>
          <w:color w:val="auto"/>
          <w:lang w:val="en-AU"/>
        </w:rPr>
        <w:t xml:space="preserve">animal </w:t>
      </w:r>
      <w:r w:rsidRPr="00BD4A5F">
        <w:rPr>
          <w:color w:val="auto"/>
          <w:lang w:val="en-AU"/>
        </w:rPr>
        <w:t>studies have shown that PD-1 receptor blockade</w:t>
      </w:r>
      <w:r w:rsidR="00F86A56" w:rsidRPr="00BD4A5F">
        <w:rPr>
          <w:color w:val="auto"/>
          <w:lang w:val="en-AU"/>
        </w:rPr>
        <w:t xml:space="preserve"> </w:t>
      </w:r>
      <w:r w:rsidR="00E8486D" w:rsidRPr="00BD4A5F">
        <w:rPr>
          <w:color w:val="auto"/>
          <w:lang w:val="en-AU"/>
        </w:rPr>
        <w:t>can result in an increase in f</w:t>
      </w:r>
      <w:r w:rsidR="001A7724" w:rsidRPr="00BD4A5F">
        <w:rPr>
          <w:color w:val="auto"/>
          <w:lang w:val="en-AU"/>
        </w:rPr>
        <w:t>o</w:t>
      </w:r>
      <w:r w:rsidR="00E8486D" w:rsidRPr="00BD4A5F">
        <w:rPr>
          <w:color w:val="auto"/>
          <w:lang w:val="en-AU"/>
        </w:rPr>
        <w:t>etal loss</w:t>
      </w:r>
      <w:r w:rsidRPr="00BD4A5F">
        <w:rPr>
          <w:color w:val="auto"/>
          <w:lang w:val="en-AU"/>
        </w:rPr>
        <w:t xml:space="preserve">. </w:t>
      </w:r>
    </w:p>
    <w:p w14:paraId="11D55AE4" w14:textId="23FD3828" w:rsidR="002436E7" w:rsidRPr="00BD4A5F" w:rsidRDefault="002436E7" w:rsidP="002436E7">
      <w:pPr>
        <w:rPr>
          <w:color w:val="auto"/>
          <w:lang w:val="en-AU"/>
        </w:rPr>
      </w:pPr>
      <w:r w:rsidRPr="00BD4A5F">
        <w:rPr>
          <w:color w:val="auto"/>
          <w:lang w:val="en-AU"/>
        </w:rPr>
        <w:t>The increase of spontaneous abortion and/or resorption in animals with restricted PD-L1 expression (knock-out or anti-PD1/PD-L1 monoclonal antibodies) has been shown in both mice and monkeys. These animal species have similar maternal f</w:t>
      </w:r>
      <w:r w:rsidR="001A7724" w:rsidRPr="00BD4A5F">
        <w:rPr>
          <w:color w:val="auto"/>
          <w:lang w:val="en-AU"/>
        </w:rPr>
        <w:t>o</w:t>
      </w:r>
      <w:r w:rsidRPr="00BD4A5F">
        <w:rPr>
          <w:color w:val="auto"/>
          <w:lang w:val="en-AU"/>
        </w:rPr>
        <w:t>etal interface to that in humans.</w:t>
      </w:r>
    </w:p>
    <w:p w14:paraId="410C9147" w14:textId="6AA3ABA8" w:rsidR="002436E7" w:rsidRPr="0038119B" w:rsidRDefault="002436E7" w:rsidP="002436E7">
      <w:pPr>
        <w:rPr>
          <w:lang w:val="en-AU"/>
        </w:rPr>
      </w:pPr>
      <w:r w:rsidRPr="00BD4A5F">
        <w:rPr>
          <w:color w:val="auto"/>
          <w:lang w:val="en-AU"/>
        </w:rPr>
        <w:t>Human IgG4 is known to cross the placental barrier and cemiplimab is an IgG4; therefore, cemiplimab has the potential to be transmitted from the mother to the developing f</w:t>
      </w:r>
      <w:r w:rsidR="001A7724" w:rsidRPr="00BD4A5F">
        <w:rPr>
          <w:color w:val="auto"/>
          <w:lang w:val="en-AU"/>
        </w:rPr>
        <w:t>o</w:t>
      </w:r>
      <w:r w:rsidRPr="00BD4A5F">
        <w:rPr>
          <w:color w:val="auto"/>
          <w:lang w:val="en-AU"/>
        </w:rPr>
        <w:t xml:space="preserve">etus. Cemiplimab is not recommended during pregnancy and in women of childbearing potential </w:t>
      </w:r>
      <w:r w:rsidRPr="0038119B">
        <w:rPr>
          <w:lang w:val="en-AU"/>
        </w:rPr>
        <w:t xml:space="preserve">not using effective contraception unless the clinical benefit outweighs the potential risk. </w:t>
      </w:r>
    </w:p>
    <w:p w14:paraId="1A2E3054" w14:textId="77777777" w:rsidR="002436E7" w:rsidRPr="0038119B" w:rsidRDefault="002436E7" w:rsidP="002436E7">
      <w:pPr>
        <w:pStyle w:val="Heading3"/>
        <w:numPr>
          <w:ilvl w:val="0"/>
          <w:numId w:val="0"/>
        </w:numPr>
        <w:ind w:left="680" w:hanging="680"/>
        <w:rPr>
          <w:lang w:val="en-AU"/>
        </w:rPr>
      </w:pPr>
      <w:r w:rsidRPr="0038119B">
        <w:rPr>
          <w:lang w:val="en-AU"/>
        </w:rPr>
        <w:t xml:space="preserve">Use in lactation </w:t>
      </w:r>
    </w:p>
    <w:p w14:paraId="7900D0B1" w14:textId="715F846B" w:rsidR="002436E7" w:rsidRPr="0038119B" w:rsidRDefault="002436E7" w:rsidP="002436E7">
      <w:pPr>
        <w:rPr>
          <w:lang w:val="en-AU"/>
        </w:rPr>
      </w:pPr>
      <w:r w:rsidRPr="0038119B">
        <w:rPr>
          <w:lang w:val="en-AU"/>
        </w:rPr>
        <w:t>It is unknown whether cemiplimab is secreted in human milk. It is known that antibodies (including IgG4) are secreted in human milk; a risk to the breast</w:t>
      </w:r>
      <w:r w:rsidRPr="0038119B">
        <w:rPr>
          <w:lang w:val="en-AU"/>
        </w:rPr>
        <w:noBreakHyphen/>
        <w:t>feeding newborn/infant cannot be excluded.</w:t>
      </w:r>
    </w:p>
    <w:p w14:paraId="2F530FC3" w14:textId="77777777" w:rsidR="002436E7" w:rsidRPr="0038119B" w:rsidRDefault="002436E7" w:rsidP="002436E7">
      <w:pPr>
        <w:rPr>
          <w:lang w:val="en-AU"/>
        </w:rPr>
      </w:pPr>
      <w:r w:rsidRPr="0038119B">
        <w:rPr>
          <w:lang w:val="en-AU"/>
        </w:rPr>
        <w:t>If a woman chooses to be treated with cemiplimab, she should be instructed not to breast</w:t>
      </w:r>
      <w:r w:rsidRPr="0038119B">
        <w:rPr>
          <w:lang w:val="en-AU"/>
        </w:rPr>
        <w:noBreakHyphen/>
        <w:t>feed while being treated with cemiplimab and for at least 4 months after the last dose.</w:t>
      </w:r>
    </w:p>
    <w:p w14:paraId="7CCD50E5" w14:textId="77777777" w:rsidR="007D565E" w:rsidRPr="0038119B" w:rsidRDefault="00CD5483">
      <w:pPr>
        <w:pStyle w:val="Heading2"/>
        <w:rPr>
          <w:lang w:val="en-AU"/>
        </w:rPr>
      </w:pPr>
      <w:r w:rsidRPr="0038119B">
        <w:rPr>
          <w:lang w:val="en-AU"/>
        </w:rPr>
        <w:t xml:space="preserve">Effects on ability to drive and use machines </w:t>
      </w:r>
    </w:p>
    <w:p w14:paraId="6BA56271" w14:textId="4A26CA33" w:rsidR="007D565E" w:rsidRPr="0038119B" w:rsidRDefault="00CD5483">
      <w:pPr>
        <w:rPr>
          <w:lang w:val="en-AU"/>
        </w:rPr>
      </w:pPr>
      <w:r w:rsidRPr="0038119B">
        <w:rPr>
          <w:lang w:val="en-AU"/>
        </w:rPr>
        <w:t xml:space="preserve">Cemiplimab has no or negligible influence on the ability to drive and use machines. Fatigue has been reported following treatment with </w:t>
      </w:r>
      <w:proofErr w:type="spellStart"/>
      <w:r w:rsidRPr="0038119B">
        <w:rPr>
          <w:lang w:val="en-AU"/>
        </w:rPr>
        <w:t>cemiplimab</w:t>
      </w:r>
      <w:proofErr w:type="spellEnd"/>
      <w:r w:rsidRPr="0038119B">
        <w:rPr>
          <w:lang w:val="en-AU"/>
        </w:rPr>
        <w:t xml:space="preserve"> (see Section </w:t>
      </w:r>
      <w:r w:rsidRPr="0038119B">
        <w:rPr>
          <w:color w:val="0000FF"/>
          <w:lang w:val="en-AU"/>
        </w:rPr>
        <w:fldChar w:fldCharType="begin"/>
      </w:r>
      <w:r w:rsidRPr="0038119B">
        <w:rPr>
          <w:color w:val="0000FF"/>
          <w:lang w:val="en-AU"/>
        </w:rPr>
        <w:instrText xml:space="preserve"> REF _Ref31784386 \r \h  \* MERGEFORMAT </w:instrText>
      </w:r>
      <w:r w:rsidRPr="0038119B">
        <w:rPr>
          <w:color w:val="0000FF"/>
          <w:lang w:val="en-AU"/>
        </w:rPr>
      </w:r>
      <w:r w:rsidRPr="0038119B">
        <w:rPr>
          <w:color w:val="0000FF"/>
          <w:lang w:val="en-AU"/>
        </w:rPr>
        <w:fldChar w:fldCharType="separate"/>
      </w:r>
      <w:r w:rsidR="006B35A8">
        <w:rPr>
          <w:color w:val="0000FF"/>
          <w:lang w:val="en-AU"/>
        </w:rPr>
        <w:t>4.8</w:t>
      </w:r>
      <w:r w:rsidRPr="0038119B">
        <w:rPr>
          <w:color w:val="0000FF"/>
          <w:lang w:val="en-AU"/>
        </w:rPr>
        <w:fldChar w:fldCharType="end"/>
      </w:r>
      <w:r w:rsidRPr="0038119B">
        <w:rPr>
          <w:lang w:val="en-AU"/>
        </w:rPr>
        <w:t>).</w:t>
      </w:r>
    </w:p>
    <w:p w14:paraId="42BE6FA1" w14:textId="77777777" w:rsidR="007D565E" w:rsidRPr="0038119B" w:rsidRDefault="00CD5483">
      <w:pPr>
        <w:pStyle w:val="Heading2"/>
        <w:rPr>
          <w:lang w:val="en-AU"/>
        </w:rPr>
      </w:pPr>
      <w:bookmarkStart w:id="12" w:name="_Ref31784386"/>
      <w:r w:rsidRPr="0038119B">
        <w:rPr>
          <w:lang w:val="en-AU"/>
        </w:rPr>
        <w:t>Adverse effects (Undesirable effects)</w:t>
      </w:r>
      <w:bookmarkEnd w:id="6"/>
      <w:bookmarkEnd w:id="12"/>
    </w:p>
    <w:p w14:paraId="1ECD4098" w14:textId="77777777" w:rsidR="007D565E" w:rsidRPr="0038119B" w:rsidRDefault="00CD5483">
      <w:pPr>
        <w:pStyle w:val="Heading3"/>
        <w:numPr>
          <w:ilvl w:val="0"/>
          <w:numId w:val="0"/>
        </w:numPr>
        <w:rPr>
          <w:lang w:val="en-AU"/>
        </w:rPr>
      </w:pPr>
      <w:r w:rsidRPr="0038119B">
        <w:rPr>
          <w:lang w:val="en-AU"/>
        </w:rPr>
        <w:t>Summary of the safety profile</w:t>
      </w:r>
    </w:p>
    <w:p w14:paraId="4333B72C" w14:textId="77777777" w:rsidR="007D565E" w:rsidRPr="0038119B" w:rsidRDefault="00CD5483">
      <w:pPr>
        <w:rPr>
          <w:lang w:val="en-AU"/>
        </w:rPr>
      </w:pPr>
      <w:r w:rsidRPr="0038119B">
        <w:rPr>
          <w:lang w:val="en-AU"/>
        </w:rPr>
        <w:t>Immune</w:t>
      </w:r>
      <w:r w:rsidRPr="0038119B">
        <w:rPr>
          <w:lang w:val="en-AU"/>
        </w:rPr>
        <w:noBreakHyphen/>
        <w:t xml:space="preserve">related adverse reactions can occur with cemiplimab. Most of these, including severe reactions, resolved following initiation of appropriate medical therapy or withdrawal of cemiplimab (see </w:t>
      </w:r>
      <w:r w:rsidRPr="0038119B">
        <w:rPr>
          <w:i/>
          <w:lang w:val="en-AU"/>
        </w:rPr>
        <w:t>Description of selected adverse reactions</w:t>
      </w:r>
      <w:r w:rsidRPr="0038119B">
        <w:rPr>
          <w:lang w:val="en-AU"/>
        </w:rPr>
        <w:t xml:space="preserve"> below).</w:t>
      </w:r>
    </w:p>
    <w:p w14:paraId="0166323C" w14:textId="5D0E684E" w:rsidR="00507F9A" w:rsidRPr="00BD4A5F" w:rsidRDefault="00CD5483">
      <w:pPr>
        <w:rPr>
          <w:color w:val="auto"/>
          <w:lang w:val="en-AU"/>
        </w:rPr>
      </w:pPr>
      <w:r w:rsidRPr="0038119B">
        <w:rPr>
          <w:lang w:val="en-AU"/>
        </w:rPr>
        <w:t xml:space="preserve">The safety of </w:t>
      </w:r>
      <w:r w:rsidRPr="00BD4A5F">
        <w:rPr>
          <w:color w:val="auto"/>
          <w:lang w:val="en-AU"/>
        </w:rPr>
        <w:t xml:space="preserve">cemiplimab has been evaluated in </w:t>
      </w:r>
      <w:r w:rsidR="00507F9A" w:rsidRPr="00BD4A5F">
        <w:rPr>
          <w:color w:val="auto"/>
          <w:lang w:val="en-AU"/>
        </w:rPr>
        <w:t>1078</w:t>
      </w:r>
      <w:r w:rsidR="006E4DE1" w:rsidRPr="00BD4A5F">
        <w:rPr>
          <w:color w:val="auto"/>
          <w:lang w:val="en-AU"/>
        </w:rPr>
        <w:t xml:space="preserve"> </w:t>
      </w:r>
      <w:r w:rsidRPr="00BD4A5F">
        <w:rPr>
          <w:color w:val="auto"/>
          <w:lang w:val="en-AU"/>
        </w:rPr>
        <w:t xml:space="preserve">patients with advanced solid malignancies who received cemiplimab in </w:t>
      </w:r>
      <w:r w:rsidR="00507F9A" w:rsidRPr="00BD4A5F">
        <w:rPr>
          <w:color w:val="auto"/>
          <w:lang w:val="en-AU"/>
        </w:rPr>
        <w:t>4</w:t>
      </w:r>
      <w:r w:rsidR="006E4DE1" w:rsidRPr="00BD4A5F">
        <w:rPr>
          <w:color w:val="auto"/>
          <w:lang w:val="en-AU"/>
        </w:rPr>
        <w:t xml:space="preserve"> </w:t>
      </w:r>
      <w:r w:rsidRPr="00BD4A5F">
        <w:rPr>
          <w:color w:val="auto"/>
          <w:lang w:val="en-AU"/>
        </w:rPr>
        <w:t xml:space="preserve">clinical studies. </w:t>
      </w:r>
      <w:r w:rsidR="00661316" w:rsidRPr="00BD4A5F">
        <w:rPr>
          <w:color w:val="auto"/>
          <w:lang w:val="en-AU"/>
        </w:rPr>
        <w:t xml:space="preserve">These studies included </w:t>
      </w:r>
      <w:r w:rsidR="000D63B5" w:rsidRPr="00BD4A5F">
        <w:rPr>
          <w:color w:val="auto"/>
          <w:lang w:val="en-AU"/>
        </w:rPr>
        <w:t xml:space="preserve">219 </w:t>
      </w:r>
      <w:r w:rsidR="00661316" w:rsidRPr="00BD4A5F">
        <w:rPr>
          <w:color w:val="auto"/>
          <w:lang w:val="en-AU"/>
        </w:rPr>
        <w:t>patients with advanced CSCC, 132 patients with advanced BCC, 355 patients with advanced NSCLC and 372 patients with other solid tumours. A</w:t>
      </w:r>
      <w:r w:rsidR="00507F9A" w:rsidRPr="00BD4A5F">
        <w:rPr>
          <w:color w:val="auto"/>
          <w:lang w:val="en-AU"/>
        </w:rPr>
        <w:t xml:space="preserve"> total of 810 patients received cemiplimab monotherapy and 268 received combination therapy. The median duration of exposure to cemiplimab was 25 weeks (range: 2 days to 144 weeks).</w:t>
      </w:r>
    </w:p>
    <w:p w14:paraId="3206F66A" w14:textId="362695A0" w:rsidR="007D565E" w:rsidRPr="00BD4A5F" w:rsidRDefault="00CD5483">
      <w:pPr>
        <w:rPr>
          <w:color w:val="auto"/>
          <w:lang w:val="en-AU"/>
        </w:rPr>
      </w:pPr>
      <w:r w:rsidRPr="00BD4A5F">
        <w:rPr>
          <w:color w:val="auto"/>
          <w:lang w:val="en-AU"/>
        </w:rPr>
        <w:t>Immune</w:t>
      </w:r>
      <w:r w:rsidRPr="00BD4A5F">
        <w:rPr>
          <w:color w:val="auto"/>
          <w:lang w:val="en-AU"/>
        </w:rPr>
        <w:noBreakHyphen/>
        <w:t>related adverse reactions occurred in 20.</w:t>
      </w:r>
      <w:r w:rsidR="00507F9A" w:rsidRPr="00BD4A5F">
        <w:rPr>
          <w:color w:val="auto"/>
          <w:lang w:val="en-AU"/>
        </w:rPr>
        <w:t>1</w:t>
      </w:r>
      <w:r w:rsidRPr="00BD4A5F">
        <w:rPr>
          <w:color w:val="auto"/>
          <w:lang w:val="en-AU"/>
        </w:rPr>
        <w:t>% of patients treated with cemiplimab in clinical trials including Grade 5 (0.</w:t>
      </w:r>
      <w:r w:rsidR="00507F9A" w:rsidRPr="00BD4A5F">
        <w:rPr>
          <w:color w:val="auto"/>
          <w:lang w:val="en-AU"/>
        </w:rPr>
        <w:t>5</w:t>
      </w:r>
      <w:r w:rsidRPr="00BD4A5F">
        <w:rPr>
          <w:color w:val="auto"/>
          <w:lang w:val="en-AU"/>
        </w:rPr>
        <w:t>%), Grade 4 (</w:t>
      </w:r>
      <w:r w:rsidR="00507F9A" w:rsidRPr="00BD4A5F">
        <w:rPr>
          <w:color w:val="auto"/>
          <w:lang w:val="en-AU"/>
        </w:rPr>
        <w:t>0.9</w:t>
      </w:r>
      <w:r w:rsidRPr="00BD4A5F">
        <w:rPr>
          <w:color w:val="auto"/>
          <w:lang w:val="en-AU"/>
        </w:rPr>
        <w:t>%)</w:t>
      </w:r>
      <w:r w:rsidR="00507F9A" w:rsidRPr="00BD4A5F">
        <w:rPr>
          <w:color w:val="auto"/>
          <w:lang w:val="en-AU"/>
        </w:rPr>
        <w:t>,</w:t>
      </w:r>
      <w:r w:rsidRPr="00BD4A5F">
        <w:rPr>
          <w:color w:val="auto"/>
          <w:lang w:val="en-AU"/>
        </w:rPr>
        <w:t xml:space="preserve"> Grade 3 (</w:t>
      </w:r>
      <w:r w:rsidR="00507F9A" w:rsidRPr="00BD4A5F">
        <w:rPr>
          <w:color w:val="auto"/>
          <w:lang w:val="en-AU"/>
        </w:rPr>
        <w:t>5.3</w:t>
      </w:r>
      <w:r w:rsidRPr="00BD4A5F">
        <w:rPr>
          <w:color w:val="auto"/>
          <w:lang w:val="en-AU"/>
        </w:rPr>
        <w:t>%)</w:t>
      </w:r>
      <w:r w:rsidR="00507F9A" w:rsidRPr="00BD4A5F">
        <w:rPr>
          <w:color w:val="auto"/>
          <w:lang w:val="en-AU"/>
        </w:rPr>
        <w:t xml:space="preserve"> and Grade 2 (10.5%)</w:t>
      </w:r>
      <w:r w:rsidRPr="00BD4A5F">
        <w:rPr>
          <w:color w:val="auto"/>
          <w:lang w:val="en-AU"/>
        </w:rPr>
        <w:t>. Immune-related adverse reactions led to permanent discontinuation of cemiplimab in 4.</w:t>
      </w:r>
      <w:r w:rsidR="0067657D" w:rsidRPr="00BD4A5F">
        <w:rPr>
          <w:color w:val="auto"/>
          <w:lang w:val="en-AU"/>
        </w:rPr>
        <w:t>0</w:t>
      </w:r>
      <w:r w:rsidRPr="00BD4A5F">
        <w:rPr>
          <w:color w:val="auto"/>
          <w:lang w:val="en-AU"/>
        </w:rPr>
        <w:t>% of patients. The most common immune-related adverse reactions were hypothyroidism (</w:t>
      </w:r>
      <w:r w:rsidR="0067657D" w:rsidRPr="00BD4A5F">
        <w:rPr>
          <w:color w:val="auto"/>
          <w:lang w:val="en-AU"/>
        </w:rPr>
        <w:t>6.9</w:t>
      </w:r>
      <w:r w:rsidRPr="00BD4A5F">
        <w:rPr>
          <w:color w:val="auto"/>
          <w:lang w:val="en-AU"/>
        </w:rPr>
        <w:t>%), pneumonitis (3.</w:t>
      </w:r>
      <w:r w:rsidR="0067657D" w:rsidRPr="00BD4A5F">
        <w:rPr>
          <w:color w:val="auto"/>
          <w:lang w:val="en-AU"/>
        </w:rPr>
        <w:t>0</w:t>
      </w:r>
      <w:r w:rsidRPr="00BD4A5F">
        <w:rPr>
          <w:color w:val="auto"/>
          <w:lang w:val="en-AU"/>
        </w:rPr>
        <w:t>%),</w:t>
      </w:r>
      <w:r w:rsidR="002B4560" w:rsidRPr="00BD4A5F">
        <w:rPr>
          <w:color w:val="auto"/>
          <w:lang w:val="en-AU"/>
        </w:rPr>
        <w:t xml:space="preserve"> </w:t>
      </w:r>
      <w:r w:rsidRPr="00BD4A5F">
        <w:rPr>
          <w:color w:val="auto"/>
          <w:lang w:val="en-AU"/>
        </w:rPr>
        <w:t>hyperthyroidism (</w:t>
      </w:r>
      <w:r w:rsidR="0067657D" w:rsidRPr="00BD4A5F">
        <w:rPr>
          <w:color w:val="auto"/>
          <w:lang w:val="en-AU"/>
        </w:rPr>
        <w:t>2</w:t>
      </w:r>
      <w:r w:rsidRPr="00BD4A5F">
        <w:rPr>
          <w:color w:val="auto"/>
          <w:lang w:val="en-AU"/>
        </w:rPr>
        <w:t>.9%)</w:t>
      </w:r>
      <w:r w:rsidR="0067657D" w:rsidRPr="00BD4A5F">
        <w:rPr>
          <w:color w:val="auto"/>
          <w:lang w:val="en-AU"/>
        </w:rPr>
        <w:t>,</w:t>
      </w:r>
      <w:r w:rsidRPr="00BD4A5F">
        <w:rPr>
          <w:color w:val="auto"/>
          <w:lang w:val="en-AU"/>
        </w:rPr>
        <w:t xml:space="preserve"> hepatitis (1.9%)</w:t>
      </w:r>
      <w:r w:rsidR="0067657D" w:rsidRPr="00BD4A5F">
        <w:rPr>
          <w:color w:val="auto"/>
          <w:lang w:val="en-AU"/>
        </w:rPr>
        <w:t xml:space="preserve">, colitis (1.8%) and immune-related skin adverse reactions (1.8%) </w:t>
      </w:r>
      <w:r w:rsidRPr="00BD4A5F">
        <w:rPr>
          <w:color w:val="auto"/>
          <w:lang w:val="en-AU"/>
        </w:rPr>
        <w:t xml:space="preserve">(see </w:t>
      </w:r>
      <w:r w:rsidRPr="00BD4A5F">
        <w:rPr>
          <w:i/>
          <w:color w:val="auto"/>
          <w:lang w:val="en-AU"/>
        </w:rPr>
        <w:t xml:space="preserve">Description of selected </w:t>
      </w:r>
      <w:r w:rsidRPr="00BD4A5F">
        <w:rPr>
          <w:i/>
          <w:color w:val="auto"/>
          <w:lang w:val="en-AU"/>
        </w:rPr>
        <w:lastRenderedPageBreak/>
        <w:t>adverse reactions</w:t>
      </w:r>
      <w:r w:rsidRPr="00BD4A5F">
        <w:rPr>
          <w:color w:val="auto"/>
          <w:lang w:val="en-AU"/>
        </w:rPr>
        <w:t xml:space="preserve"> below, </w:t>
      </w:r>
      <w:r w:rsidRPr="00BD4A5F">
        <w:rPr>
          <w:i/>
          <w:color w:val="auto"/>
          <w:lang w:val="en-AU"/>
        </w:rPr>
        <w:t>Special warnings and precautions for use</w:t>
      </w:r>
      <w:r w:rsidRPr="00BD4A5F">
        <w:rPr>
          <w:color w:val="auto"/>
          <w:lang w:val="en-AU"/>
        </w:rPr>
        <w:t xml:space="preserve"> in Section </w:t>
      </w:r>
      <w:r w:rsidRPr="00BD4A5F">
        <w:rPr>
          <w:color w:val="auto"/>
          <w:lang w:val="en-AU"/>
        </w:rPr>
        <w:fldChar w:fldCharType="begin"/>
      </w:r>
      <w:r w:rsidRPr="00BD4A5F">
        <w:rPr>
          <w:color w:val="auto"/>
          <w:lang w:val="en-AU"/>
        </w:rPr>
        <w:instrText xml:space="preserve"> REF _Ref13467260 \r \h  \* MERGEFORMAT </w:instrText>
      </w:r>
      <w:r w:rsidRPr="00BD4A5F">
        <w:rPr>
          <w:color w:val="auto"/>
          <w:lang w:val="en-AU"/>
        </w:rPr>
      </w:r>
      <w:r w:rsidRPr="00BD4A5F">
        <w:rPr>
          <w:color w:val="auto"/>
          <w:lang w:val="en-AU"/>
        </w:rPr>
        <w:fldChar w:fldCharType="separate"/>
      </w:r>
      <w:r w:rsidR="006B35A8">
        <w:rPr>
          <w:color w:val="auto"/>
          <w:lang w:val="en-AU"/>
        </w:rPr>
        <w:t>4.4</w:t>
      </w:r>
      <w:r w:rsidRPr="00BD4A5F">
        <w:rPr>
          <w:color w:val="auto"/>
          <w:lang w:val="en-AU"/>
        </w:rPr>
        <w:fldChar w:fldCharType="end"/>
      </w:r>
      <w:r w:rsidRPr="00BD4A5F">
        <w:rPr>
          <w:color w:val="auto"/>
          <w:lang w:val="en-AU"/>
        </w:rPr>
        <w:t xml:space="preserve"> and </w:t>
      </w:r>
      <w:r w:rsidRPr="00BD4A5F">
        <w:rPr>
          <w:i/>
          <w:color w:val="auto"/>
          <w:lang w:val="en-AU"/>
        </w:rPr>
        <w:t>Recommended treatment modifications</w:t>
      </w:r>
      <w:r w:rsidRPr="00BD4A5F">
        <w:rPr>
          <w:color w:val="auto"/>
          <w:lang w:val="en-AU"/>
        </w:rPr>
        <w:t xml:space="preserve"> in Section </w:t>
      </w:r>
      <w:r w:rsidRPr="00BD4A5F">
        <w:rPr>
          <w:color w:val="auto"/>
          <w:lang w:val="en-AU"/>
        </w:rPr>
        <w:fldChar w:fldCharType="begin"/>
      </w:r>
      <w:r w:rsidRPr="00BD4A5F">
        <w:rPr>
          <w:color w:val="auto"/>
          <w:lang w:val="en-AU"/>
        </w:rPr>
        <w:instrText xml:space="preserve"> REF _Ref13466856 \r \h  \* MERGEFORMAT </w:instrText>
      </w:r>
      <w:r w:rsidRPr="00BD4A5F">
        <w:rPr>
          <w:color w:val="auto"/>
          <w:lang w:val="en-AU"/>
        </w:rPr>
      </w:r>
      <w:r w:rsidRPr="00BD4A5F">
        <w:rPr>
          <w:color w:val="auto"/>
          <w:lang w:val="en-AU"/>
        </w:rPr>
        <w:fldChar w:fldCharType="separate"/>
      </w:r>
      <w:r w:rsidR="006B35A8">
        <w:rPr>
          <w:color w:val="auto"/>
          <w:lang w:val="en-AU"/>
        </w:rPr>
        <w:t>4.2</w:t>
      </w:r>
      <w:r w:rsidRPr="00BD4A5F">
        <w:rPr>
          <w:color w:val="auto"/>
          <w:lang w:val="en-AU"/>
        </w:rPr>
        <w:fldChar w:fldCharType="end"/>
      </w:r>
      <w:r w:rsidRPr="00BD4A5F">
        <w:rPr>
          <w:color w:val="auto"/>
          <w:lang w:val="en-AU"/>
        </w:rPr>
        <w:t xml:space="preserve">). Adverse </w:t>
      </w:r>
      <w:r w:rsidR="0067657D" w:rsidRPr="00BD4A5F">
        <w:rPr>
          <w:color w:val="auto"/>
          <w:lang w:val="en-AU"/>
        </w:rPr>
        <w:t>event</w:t>
      </w:r>
      <w:r w:rsidR="00BD4A5F" w:rsidRPr="00BD4A5F">
        <w:rPr>
          <w:color w:val="auto"/>
          <w:lang w:val="en-AU"/>
        </w:rPr>
        <w:t xml:space="preserve">s </w:t>
      </w:r>
      <w:r w:rsidRPr="00BD4A5F">
        <w:rPr>
          <w:color w:val="auto"/>
          <w:lang w:val="en-AU"/>
        </w:rPr>
        <w:t xml:space="preserve">were serious in </w:t>
      </w:r>
      <w:r w:rsidR="0067657D" w:rsidRPr="00BD4A5F">
        <w:rPr>
          <w:color w:val="auto"/>
          <w:lang w:val="en-AU"/>
        </w:rPr>
        <w:t>30.0</w:t>
      </w:r>
      <w:r w:rsidRPr="00BD4A5F">
        <w:rPr>
          <w:color w:val="auto"/>
          <w:lang w:val="en-AU"/>
        </w:rPr>
        <w:t>%</w:t>
      </w:r>
      <w:r w:rsidR="002B4560" w:rsidRPr="00BD4A5F">
        <w:rPr>
          <w:color w:val="auto"/>
          <w:lang w:val="en-AU"/>
        </w:rPr>
        <w:t xml:space="preserve"> of</w:t>
      </w:r>
      <w:r w:rsidRPr="00BD4A5F">
        <w:rPr>
          <w:color w:val="auto"/>
          <w:lang w:val="en-AU"/>
        </w:rPr>
        <w:t> patients</w:t>
      </w:r>
      <w:r w:rsidR="0067657D" w:rsidRPr="00BD4A5F">
        <w:rPr>
          <w:color w:val="auto"/>
          <w:lang w:val="en-AU"/>
        </w:rPr>
        <w:t>.</w:t>
      </w:r>
      <w:r w:rsidRPr="00BD4A5F">
        <w:rPr>
          <w:color w:val="auto"/>
          <w:lang w:val="en-AU"/>
        </w:rPr>
        <w:t xml:space="preserve"> </w:t>
      </w:r>
      <w:r w:rsidR="0067657D" w:rsidRPr="00BD4A5F">
        <w:rPr>
          <w:color w:val="auto"/>
          <w:lang w:val="en-AU"/>
        </w:rPr>
        <w:t>Adverse events</w:t>
      </w:r>
      <w:r w:rsidRPr="00BD4A5F">
        <w:rPr>
          <w:color w:val="auto"/>
          <w:lang w:val="en-AU"/>
        </w:rPr>
        <w:t xml:space="preserve"> led to permanent discontinuation of cemiplimab in </w:t>
      </w:r>
      <w:r w:rsidR="0067657D" w:rsidRPr="00BD4A5F">
        <w:rPr>
          <w:color w:val="auto"/>
          <w:lang w:val="en-AU"/>
        </w:rPr>
        <w:t>7.5</w:t>
      </w:r>
      <w:r w:rsidRPr="00BD4A5F">
        <w:rPr>
          <w:color w:val="auto"/>
          <w:lang w:val="en-AU"/>
        </w:rPr>
        <w:t>% of patients.</w:t>
      </w:r>
    </w:p>
    <w:p w14:paraId="2DBE378C" w14:textId="19926085" w:rsidR="007D565E" w:rsidRPr="0038119B" w:rsidRDefault="00CD5483">
      <w:pPr>
        <w:rPr>
          <w:lang w:val="en-AU"/>
        </w:rPr>
      </w:pPr>
      <w:r w:rsidRPr="00BD4A5F">
        <w:rPr>
          <w:color w:val="auto"/>
          <w:lang w:val="en-AU"/>
        </w:rPr>
        <w:t>Severe cutaneous adverse reactions (SCARs), including Stevens</w:t>
      </w:r>
      <w:r w:rsidRPr="0038119B">
        <w:rPr>
          <w:lang w:val="en-AU"/>
        </w:rPr>
        <w:t xml:space="preserve">-Johnson syndrome (SJS) and toxic epidermal necrolysis (TEN) have been reported in association with cemiplimab treatment (see Section </w:t>
      </w:r>
      <w:r w:rsidRPr="0038119B">
        <w:rPr>
          <w:color w:val="0000FF"/>
          <w:lang w:val="en-AU"/>
        </w:rPr>
        <w:fldChar w:fldCharType="begin"/>
      </w:r>
      <w:r w:rsidRPr="0038119B">
        <w:rPr>
          <w:color w:val="0000FF"/>
          <w:lang w:val="en-AU"/>
        </w:rPr>
        <w:instrText xml:space="preserve"> REF _Ref13467260 \r \h  \* MERGEFORMAT </w:instrText>
      </w:r>
      <w:r w:rsidRPr="0038119B">
        <w:rPr>
          <w:color w:val="0000FF"/>
          <w:lang w:val="en-AU"/>
        </w:rPr>
      </w:r>
      <w:r w:rsidRPr="0038119B">
        <w:rPr>
          <w:color w:val="0000FF"/>
          <w:lang w:val="en-AU"/>
        </w:rPr>
        <w:fldChar w:fldCharType="separate"/>
      </w:r>
      <w:r w:rsidR="006B35A8">
        <w:rPr>
          <w:color w:val="0000FF"/>
          <w:lang w:val="en-AU"/>
        </w:rPr>
        <w:t>4.4</w:t>
      </w:r>
      <w:r w:rsidRPr="0038119B">
        <w:rPr>
          <w:color w:val="0000FF"/>
          <w:lang w:val="en-AU"/>
        </w:rPr>
        <w:fldChar w:fldCharType="end"/>
      </w:r>
      <w:r w:rsidRPr="0038119B">
        <w:rPr>
          <w:lang w:val="en-AU"/>
        </w:rPr>
        <w:t>).</w:t>
      </w:r>
    </w:p>
    <w:p w14:paraId="7565CDAC" w14:textId="77777777" w:rsidR="007D565E" w:rsidRPr="0038119B" w:rsidRDefault="00CD5483">
      <w:pPr>
        <w:pStyle w:val="Heading3"/>
        <w:numPr>
          <w:ilvl w:val="0"/>
          <w:numId w:val="0"/>
        </w:numPr>
        <w:ind w:left="680" w:hanging="680"/>
        <w:rPr>
          <w:lang w:val="en-AU"/>
        </w:rPr>
      </w:pPr>
      <w:r w:rsidRPr="0038119B">
        <w:rPr>
          <w:lang w:val="en-AU"/>
        </w:rPr>
        <w:t>Tabulated list of adverse reactions</w:t>
      </w:r>
    </w:p>
    <w:p w14:paraId="5D903B31" w14:textId="44018C92" w:rsidR="007D565E" w:rsidRPr="0038119B" w:rsidRDefault="00CD5483">
      <w:pPr>
        <w:rPr>
          <w:lang w:val="en-AU"/>
        </w:rPr>
      </w:pPr>
      <w:bookmarkStart w:id="13" w:name="_Hlk32587684"/>
      <w:r w:rsidRPr="0038119B">
        <w:rPr>
          <w:lang w:val="en-AU"/>
        </w:rPr>
        <w:t xml:space="preserve">Listed in </w:t>
      </w:r>
      <w:r w:rsidRPr="0038119B">
        <w:rPr>
          <w:color w:val="0000FF"/>
          <w:lang w:val="en-AU"/>
        </w:rPr>
        <w:fldChar w:fldCharType="begin"/>
      </w:r>
      <w:r w:rsidRPr="0038119B">
        <w:rPr>
          <w:color w:val="0000FF"/>
          <w:lang w:val="en-AU"/>
        </w:rPr>
        <w:instrText xml:space="preserve"> REF _Ref13467299 \h  \* MERGEFORMAT </w:instrText>
      </w:r>
      <w:r w:rsidRPr="0038119B">
        <w:rPr>
          <w:color w:val="0000FF"/>
          <w:lang w:val="en-AU"/>
        </w:rPr>
      </w:r>
      <w:r w:rsidRPr="0038119B">
        <w:rPr>
          <w:color w:val="0000FF"/>
          <w:lang w:val="en-AU"/>
        </w:rPr>
        <w:fldChar w:fldCharType="separate"/>
      </w:r>
      <w:r w:rsidR="006B35A8" w:rsidRPr="006B35A8">
        <w:rPr>
          <w:color w:val="0000FF"/>
          <w:lang w:val="en-AU"/>
        </w:rPr>
        <w:t>Table 2</w:t>
      </w:r>
      <w:r w:rsidRPr="0038119B">
        <w:rPr>
          <w:color w:val="0000FF"/>
          <w:lang w:val="en-AU"/>
        </w:rPr>
        <w:fldChar w:fldCharType="end"/>
      </w:r>
      <w:r w:rsidRPr="0038119B">
        <w:rPr>
          <w:lang w:val="en-AU"/>
        </w:rPr>
        <w:t xml:space="preserve"> are adverse reactions by system organ class and by frequency. Frequencies are defined as: very common (≥ 1/10); common (≥ 1/100 to &lt; 1/10); uncommon (≥ 1/1,000 to &lt; 1/100); rare (≥ 1/10,000 to &lt;1/1,000); very rare (&lt; 1/10,000); not known (cannot be estimated from available data). Within each frequency grouping, adverse reactions are presented in the order of decreasing seriousness.</w:t>
      </w:r>
    </w:p>
    <w:bookmarkEnd w:id="13"/>
    <w:p w14:paraId="013B9C73" w14:textId="5A009674" w:rsidR="007D565E" w:rsidRPr="0038119B" w:rsidRDefault="00CD5483">
      <w:pPr>
        <w:pStyle w:val="Caption"/>
        <w:rPr>
          <w:rFonts w:cs="Times New Roman"/>
          <w:lang w:val="en-AU"/>
        </w:rPr>
      </w:pPr>
      <w:r w:rsidRPr="0038119B">
        <w:rPr>
          <w:lang w:val="en-AU"/>
        </w:rPr>
        <w:t xml:space="preserve"> </w:t>
      </w:r>
      <w:bookmarkStart w:id="14" w:name="_Ref13467299"/>
      <w:r w:rsidRPr="0038119B">
        <w:rPr>
          <w:lang w:val="en-AU"/>
        </w:rPr>
        <w:t>Table </w:t>
      </w:r>
      <w:r w:rsidRPr="0038119B">
        <w:rPr>
          <w:lang w:val="en-AU"/>
        </w:rPr>
        <w:fldChar w:fldCharType="begin"/>
      </w:r>
      <w:r w:rsidRPr="0038119B">
        <w:rPr>
          <w:lang w:val="en-AU"/>
        </w:rPr>
        <w:instrText xml:space="preserve"> SEQ Table \* ARABIC </w:instrText>
      </w:r>
      <w:r w:rsidRPr="0038119B">
        <w:rPr>
          <w:lang w:val="en-AU"/>
        </w:rPr>
        <w:fldChar w:fldCharType="separate"/>
      </w:r>
      <w:r w:rsidR="006B35A8">
        <w:rPr>
          <w:noProof/>
          <w:lang w:val="en-AU"/>
        </w:rPr>
        <w:t>2</w:t>
      </w:r>
      <w:r w:rsidRPr="0038119B">
        <w:rPr>
          <w:lang w:val="en-AU"/>
        </w:rPr>
        <w:fldChar w:fldCharType="end"/>
      </w:r>
      <w:bookmarkEnd w:id="14"/>
      <w:r w:rsidRPr="0038119B">
        <w:rPr>
          <w:lang w:val="en-AU"/>
        </w:rPr>
        <w:t xml:space="preserve"> ­ </w:t>
      </w:r>
      <w:bookmarkStart w:id="15" w:name="_Hlk51080242"/>
      <w:r w:rsidRPr="0038119B">
        <w:rPr>
          <w:rFonts w:cs="Times New Roman"/>
          <w:lang w:val="en-AU"/>
        </w:rPr>
        <w:t>Tabulated list of adverse reactions in patients treated with cemiplimab</w:t>
      </w:r>
      <w:bookmarkEnd w:id="15"/>
      <w:r w:rsidR="00661316" w:rsidRPr="0038119B">
        <w:rPr>
          <w:rFonts w:cs="Times New Roman"/>
          <w:lang w:val="en-AU"/>
        </w:rPr>
        <w:t xml:space="preserve"> </w:t>
      </w:r>
    </w:p>
    <w:tbl>
      <w:tblPr>
        <w:tblStyle w:val="TableGrid"/>
        <w:tblW w:w="10345" w:type="dxa"/>
        <w:jc w:val="center"/>
        <w:tblLook w:val="04A0" w:firstRow="1" w:lastRow="0" w:firstColumn="1" w:lastColumn="0" w:noHBand="0" w:noVBand="1"/>
      </w:tblPr>
      <w:tblGrid>
        <w:gridCol w:w="4060"/>
        <w:gridCol w:w="2068"/>
        <w:gridCol w:w="1184"/>
        <w:gridCol w:w="1482"/>
        <w:gridCol w:w="1551"/>
      </w:tblGrid>
      <w:tr w:rsidR="006014C0" w:rsidRPr="0038119B" w14:paraId="182B4D9D" w14:textId="19BE7AA1" w:rsidTr="006014C0">
        <w:trPr>
          <w:cantSplit/>
          <w:trHeight w:val="720"/>
          <w:tblHeader/>
          <w:jc w:val="center"/>
        </w:trPr>
        <w:tc>
          <w:tcPr>
            <w:tcW w:w="0" w:type="auto"/>
            <w:shd w:val="clear" w:color="auto" w:fill="auto"/>
          </w:tcPr>
          <w:p w14:paraId="66ED8C7D" w14:textId="77777777" w:rsidR="006014C0" w:rsidRPr="00BD4A5F" w:rsidRDefault="006014C0">
            <w:pPr>
              <w:pStyle w:val="TblHeadingCenter"/>
              <w:rPr>
                <w:lang w:val="en-AU"/>
              </w:rPr>
            </w:pPr>
            <w:r w:rsidRPr="00BD4A5F">
              <w:rPr>
                <w:lang w:val="en-AU"/>
              </w:rPr>
              <w:t>System organ class</w:t>
            </w:r>
          </w:p>
          <w:p w14:paraId="423397C4" w14:textId="77777777" w:rsidR="006014C0" w:rsidRPr="00BD4A5F" w:rsidRDefault="006014C0">
            <w:pPr>
              <w:pStyle w:val="TblHeadingCenter"/>
              <w:rPr>
                <w:lang w:val="en-AU"/>
              </w:rPr>
            </w:pPr>
            <w:r w:rsidRPr="00BD4A5F">
              <w:rPr>
                <w:lang w:val="en-AU"/>
              </w:rPr>
              <w:t>preferred term</w:t>
            </w:r>
          </w:p>
        </w:tc>
        <w:tc>
          <w:tcPr>
            <w:tcW w:w="0" w:type="auto"/>
            <w:shd w:val="clear" w:color="auto" w:fill="auto"/>
          </w:tcPr>
          <w:p w14:paraId="5051FEE9" w14:textId="77777777" w:rsidR="006014C0" w:rsidRPr="00BD4A5F" w:rsidRDefault="006014C0">
            <w:pPr>
              <w:pStyle w:val="TblHeadingCenter"/>
              <w:rPr>
                <w:lang w:val="en-AU"/>
              </w:rPr>
            </w:pPr>
            <w:r w:rsidRPr="00BD4A5F">
              <w:rPr>
                <w:lang w:val="en-AU"/>
              </w:rPr>
              <w:t xml:space="preserve">Grades 1-5 </w:t>
            </w:r>
          </w:p>
          <w:p w14:paraId="74AD2023" w14:textId="77777777" w:rsidR="006014C0" w:rsidRPr="00BD4A5F" w:rsidRDefault="006014C0">
            <w:pPr>
              <w:pStyle w:val="TblHeadingCenter"/>
              <w:rPr>
                <w:lang w:val="en-AU"/>
              </w:rPr>
            </w:pPr>
            <w:r w:rsidRPr="00BD4A5F">
              <w:rPr>
                <w:lang w:val="en-AU"/>
              </w:rPr>
              <w:t>(Frequency category)</w:t>
            </w:r>
          </w:p>
        </w:tc>
        <w:tc>
          <w:tcPr>
            <w:tcW w:w="0" w:type="auto"/>
            <w:shd w:val="clear" w:color="auto" w:fill="auto"/>
          </w:tcPr>
          <w:p w14:paraId="30B6C358" w14:textId="77777777" w:rsidR="006014C0" w:rsidRPr="00BD4A5F" w:rsidRDefault="006014C0">
            <w:pPr>
              <w:pStyle w:val="TblHeadingCenter"/>
              <w:rPr>
                <w:lang w:val="en-AU"/>
              </w:rPr>
            </w:pPr>
            <w:r w:rsidRPr="00BD4A5F">
              <w:rPr>
                <w:lang w:val="en-AU"/>
              </w:rPr>
              <w:t xml:space="preserve">Grades 1-5 </w:t>
            </w:r>
          </w:p>
          <w:p w14:paraId="6E70DEB5" w14:textId="77777777" w:rsidR="006014C0" w:rsidRPr="00BD4A5F" w:rsidRDefault="006014C0">
            <w:pPr>
              <w:pStyle w:val="TblHeadingCenter"/>
              <w:rPr>
                <w:lang w:val="en-AU"/>
              </w:rPr>
            </w:pPr>
            <w:r w:rsidRPr="00BD4A5F">
              <w:rPr>
                <w:lang w:val="en-AU"/>
              </w:rPr>
              <w:t>(%)</w:t>
            </w:r>
          </w:p>
        </w:tc>
        <w:tc>
          <w:tcPr>
            <w:tcW w:w="0" w:type="auto"/>
            <w:shd w:val="clear" w:color="auto" w:fill="auto"/>
          </w:tcPr>
          <w:p w14:paraId="7B1CBA7D" w14:textId="3533FA0A" w:rsidR="006014C0" w:rsidRPr="0083621A" w:rsidRDefault="006014C0">
            <w:pPr>
              <w:pStyle w:val="TblHeadingCenter"/>
              <w:rPr>
                <w:lang w:val="en-AU"/>
              </w:rPr>
            </w:pPr>
            <w:r w:rsidRPr="0083621A">
              <w:rPr>
                <w:lang w:val="en-AU"/>
              </w:rPr>
              <w:t>Grades 3-4 (%)</w:t>
            </w:r>
          </w:p>
        </w:tc>
        <w:tc>
          <w:tcPr>
            <w:tcW w:w="1551" w:type="dxa"/>
          </w:tcPr>
          <w:p w14:paraId="3B7339E5" w14:textId="61499EFF" w:rsidR="006014C0" w:rsidRPr="0083621A" w:rsidRDefault="004B2109">
            <w:pPr>
              <w:pStyle w:val="TblHeadingCenter"/>
              <w:rPr>
                <w:lang w:val="en-AU"/>
              </w:rPr>
            </w:pPr>
            <w:r w:rsidRPr="0083621A">
              <w:rPr>
                <w:lang w:val="en-AU"/>
              </w:rPr>
              <w:t>Grade 5 (%)</w:t>
            </w:r>
          </w:p>
        </w:tc>
      </w:tr>
      <w:tr w:rsidR="006014C0" w:rsidRPr="0038119B" w14:paraId="4502B2DD" w14:textId="40F6475C" w:rsidTr="006014C0">
        <w:trPr>
          <w:cantSplit/>
          <w:trHeight w:val="360"/>
          <w:jc w:val="center"/>
        </w:trPr>
        <w:tc>
          <w:tcPr>
            <w:tcW w:w="0" w:type="auto"/>
            <w:gridSpan w:val="4"/>
            <w:shd w:val="clear" w:color="auto" w:fill="auto"/>
          </w:tcPr>
          <w:p w14:paraId="011CB2C4" w14:textId="3C4E9D6D" w:rsidR="006014C0" w:rsidRPr="00BD4A5F" w:rsidRDefault="006014C0" w:rsidP="00574C61">
            <w:pPr>
              <w:pStyle w:val="TblTextCenter"/>
              <w:jc w:val="left"/>
              <w:rPr>
                <w:rFonts w:cstheme="minorHAnsi"/>
                <w:lang w:val="en-AU"/>
              </w:rPr>
            </w:pPr>
            <w:r w:rsidRPr="00BD4A5F">
              <w:rPr>
                <w:rFonts w:cstheme="minorHAnsi"/>
                <w:b/>
                <w:lang w:val="en-AU"/>
              </w:rPr>
              <w:t>Infections and infestations</w:t>
            </w:r>
          </w:p>
        </w:tc>
        <w:tc>
          <w:tcPr>
            <w:tcW w:w="1551" w:type="dxa"/>
          </w:tcPr>
          <w:p w14:paraId="431C7681" w14:textId="77777777" w:rsidR="006014C0" w:rsidRPr="009C7CC3" w:rsidRDefault="006014C0" w:rsidP="00574C61">
            <w:pPr>
              <w:pStyle w:val="TblTextCenter"/>
              <w:jc w:val="left"/>
              <w:rPr>
                <w:rFonts w:cstheme="minorHAnsi"/>
                <w:b/>
                <w:color w:val="0070C0"/>
                <w:u w:val="double"/>
                <w:lang w:val="en-AU"/>
              </w:rPr>
            </w:pPr>
          </w:p>
        </w:tc>
      </w:tr>
      <w:tr w:rsidR="006014C0" w:rsidRPr="0038119B" w14:paraId="380CA80E" w14:textId="4BE33136" w:rsidTr="006014C0">
        <w:trPr>
          <w:cantSplit/>
          <w:trHeight w:val="360"/>
          <w:jc w:val="center"/>
        </w:trPr>
        <w:tc>
          <w:tcPr>
            <w:tcW w:w="0" w:type="auto"/>
            <w:shd w:val="clear" w:color="auto" w:fill="auto"/>
          </w:tcPr>
          <w:p w14:paraId="5445BE31" w14:textId="4EEBC48B" w:rsidR="006014C0" w:rsidRPr="00BD4A5F" w:rsidRDefault="006014C0" w:rsidP="00574C61">
            <w:pPr>
              <w:pStyle w:val="TblTextCenter"/>
              <w:rPr>
                <w:lang w:val="en-AU"/>
              </w:rPr>
            </w:pPr>
            <w:r w:rsidRPr="00BD4A5F">
              <w:rPr>
                <w:rFonts w:cstheme="minorHAnsi"/>
                <w:lang w:val="en-AU"/>
              </w:rPr>
              <w:t xml:space="preserve">Upper respiratory tract </w:t>
            </w:r>
            <w:proofErr w:type="spellStart"/>
            <w:r w:rsidRPr="00BD4A5F">
              <w:rPr>
                <w:rFonts w:cstheme="minorHAnsi"/>
                <w:lang w:val="en-AU"/>
              </w:rPr>
              <w:t>infection</w:t>
            </w:r>
            <w:r w:rsidRPr="00BD4A5F">
              <w:rPr>
                <w:rFonts w:cstheme="minorHAnsi"/>
                <w:vertAlign w:val="superscript"/>
                <w:lang w:val="en-AU"/>
              </w:rPr>
              <w:t>a</w:t>
            </w:r>
            <w:proofErr w:type="spellEnd"/>
          </w:p>
        </w:tc>
        <w:tc>
          <w:tcPr>
            <w:tcW w:w="0" w:type="auto"/>
            <w:shd w:val="clear" w:color="auto" w:fill="auto"/>
          </w:tcPr>
          <w:p w14:paraId="129E2E21" w14:textId="45DFF9A3" w:rsidR="006014C0" w:rsidRPr="00BD4A5F" w:rsidRDefault="006014C0" w:rsidP="00574C61">
            <w:pPr>
              <w:pStyle w:val="TblTextCenter"/>
              <w:rPr>
                <w:lang w:val="en-AU"/>
              </w:rPr>
            </w:pPr>
            <w:r w:rsidRPr="00BD4A5F">
              <w:rPr>
                <w:rFonts w:cstheme="minorHAnsi"/>
                <w:lang w:val="en-AU"/>
              </w:rPr>
              <w:t>Very Common</w:t>
            </w:r>
          </w:p>
        </w:tc>
        <w:tc>
          <w:tcPr>
            <w:tcW w:w="0" w:type="auto"/>
            <w:shd w:val="clear" w:color="auto" w:fill="auto"/>
          </w:tcPr>
          <w:p w14:paraId="595C50AC" w14:textId="3C78C6B2" w:rsidR="006014C0" w:rsidRPr="00BD4A5F" w:rsidRDefault="006014C0" w:rsidP="00574C61">
            <w:pPr>
              <w:pStyle w:val="TblTextCenter"/>
              <w:rPr>
                <w:rFonts w:cstheme="minorHAnsi"/>
                <w:lang w:val="en-AU"/>
              </w:rPr>
            </w:pPr>
            <w:r w:rsidRPr="00BD4A5F">
              <w:rPr>
                <w:rFonts w:cstheme="minorHAnsi"/>
                <w:lang w:val="en-AU"/>
              </w:rPr>
              <w:t>10.3</w:t>
            </w:r>
          </w:p>
        </w:tc>
        <w:tc>
          <w:tcPr>
            <w:tcW w:w="0" w:type="auto"/>
            <w:shd w:val="clear" w:color="auto" w:fill="auto"/>
          </w:tcPr>
          <w:p w14:paraId="458FC886" w14:textId="006B6466" w:rsidR="006014C0" w:rsidRPr="00BD4A5F" w:rsidRDefault="006014C0" w:rsidP="00574C61">
            <w:pPr>
              <w:pStyle w:val="TblTextCenter"/>
              <w:rPr>
                <w:rFonts w:cstheme="minorHAnsi"/>
                <w:lang w:val="en-AU"/>
              </w:rPr>
            </w:pPr>
            <w:r w:rsidRPr="00BD4A5F">
              <w:rPr>
                <w:rFonts w:cstheme="minorHAnsi"/>
                <w:lang w:val="en-AU"/>
              </w:rPr>
              <w:t>0.3</w:t>
            </w:r>
          </w:p>
        </w:tc>
        <w:tc>
          <w:tcPr>
            <w:tcW w:w="1551" w:type="dxa"/>
          </w:tcPr>
          <w:p w14:paraId="65E3D322" w14:textId="22918ABB"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4F194F03" w14:textId="4520D3EC" w:rsidTr="006014C0">
        <w:trPr>
          <w:cantSplit/>
          <w:trHeight w:val="360"/>
          <w:jc w:val="center"/>
        </w:trPr>
        <w:tc>
          <w:tcPr>
            <w:tcW w:w="0" w:type="auto"/>
            <w:shd w:val="clear" w:color="auto" w:fill="auto"/>
          </w:tcPr>
          <w:p w14:paraId="68BFA9DE" w14:textId="32F74657" w:rsidR="006014C0" w:rsidRPr="00BD4A5F" w:rsidRDefault="006014C0" w:rsidP="00574C61">
            <w:pPr>
              <w:pStyle w:val="TblTextCenter"/>
              <w:rPr>
                <w:lang w:val="en-AU"/>
              </w:rPr>
            </w:pPr>
            <w:r w:rsidRPr="00BD4A5F">
              <w:rPr>
                <w:rFonts w:cstheme="minorHAnsi"/>
                <w:lang w:val="en-AU"/>
              </w:rPr>
              <w:t>Urinary tract infection</w:t>
            </w:r>
          </w:p>
        </w:tc>
        <w:tc>
          <w:tcPr>
            <w:tcW w:w="0" w:type="auto"/>
            <w:shd w:val="clear" w:color="auto" w:fill="auto"/>
          </w:tcPr>
          <w:p w14:paraId="1BE49300" w14:textId="535254AB"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2AE82950" w14:textId="1886FA07" w:rsidR="006014C0" w:rsidRPr="00BD4A5F" w:rsidRDefault="006014C0" w:rsidP="00574C61">
            <w:pPr>
              <w:pStyle w:val="TblTextCenter"/>
              <w:rPr>
                <w:rFonts w:cstheme="minorHAnsi"/>
                <w:lang w:val="en-AU"/>
              </w:rPr>
            </w:pPr>
            <w:r w:rsidRPr="00BD4A5F">
              <w:rPr>
                <w:rFonts w:cstheme="minorHAnsi"/>
                <w:lang w:val="en-AU"/>
              </w:rPr>
              <w:t>6.4</w:t>
            </w:r>
          </w:p>
        </w:tc>
        <w:tc>
          <w:tcPr>
            <w:tcW w:w="0" w:type="auto"/>
            <w:shd w:val="clear" w:color="auto" w:fill="auto"/>
          </w:tcPr>
          <w:p w14:paraId="2785B263" w14:textId="0D32AEDF" w:rsidR="006014C0" w:rsidRPr="00BD4A5F" w:rsidRDefault="006014C0" w:rsidP="00574C61">
            <w:pPr>
              <w:pStyle w:val="TblTextCenter"/>
              <w:rPr>
                <w:rFonts w:cstheme="minorHAnsi"/>
                <w:lang w:val="en-AU"/>
              </w:rPr>
            </w:pPr>
            <w:r w:rsidRPr="00BD4A5F">
              <w:rPr>
                <w:rFonts w:cstheme="minorHAnsi"/>
                <w:lang w:val="en-AU"/>
              </w:rPr>
              <w:t>1.2</w:t>
            </w:r>
          </w:p>
        </w:tc>
        <w:tc>
          <w:tcPr>
            <w:tcW w:w="1551" w:type="dxa"/>
          </w:tcPr>
          <w:p w14:paraId="176EF0EF" w14:textId="4483DF15"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568E8C63" w14:textId="686C2E26" w:rsidTr="006014C0">
        <w:trPr>
          <w:cantSplit/>
          <w:trHeight w:val="360"/>
          <w:jc w:val="center"/>
        </w:trPr>
        <w:tc>
          <w:tcPr>
            <w:tcW w:w="0" w:type="auto"/>
            <w:shd w:val="clear" w:color="auto" w:fill="auto"/>
          </w:tcPr>
          <w:p w14:paraId="54ED482A" w14:textId="6C6B49B2" w:rsidR="006014C0" w:rsidRPr="00BD4A5F" w:rsidRDefault="006014C0" w:rsidP="00EB3926">
            <w:pPr>
              <w:pStyle w:val="TblTextCenter"/>
              <w:jc w:val="left"/>
              <w:rPr>
                <w:lang w:val="en-AU"/>
              </w:rPr>
            </w:pPr>
            <w:r w:rsidRPr="00BD4A5F">
              <w:rPr>
                <w:rFonts w:cstheme="minorHAnsi"/>
                <w:b/>
                <w:lang w:val="en-AU"/>
              </w:rPr>
              <w:t>Blood and lymphatic system disorders</w:t>
            </w:r>
          </w:p>
        </w:tc>
        <w:tc>
          <w:tcPr>
            <w:tcW w:w="0" w:type="auto"/>
            <w:shd w:val="clear" w:color="auto" w:fill="auto"/>
          </w:tcPr>
          <w:p w14:paraId="2DF64FCC" w14:textId="77777777" w:rsidR="006014C0" w:rsidRPr="00BD4A5F" w:rsidRDefault="006014C0" w:rsidP="00574C61">
            <w:pPr>
              <w:pStyle w:val="TblTextCenter"/>
              <w:rPr>
                <w:lang w:val="en-AU"/>
              </w:rPr>
            </w:pPr>
          </w:p>
        </w:tc>
        <w:tc>
          <w:tcPr>
            <w:tcW w:w="0" w:type="auto"/>
            <w:shd w:val="clear" w:color="auto" w:fill="auto"/>
          </w:tcPr>
          <w:p w14:paraId="5D600519" w14:textId="77777777" w:rsidR="006014C0" w:rsidRPr="00BD4A5F" w:rsidRDefault="006014C0" w:rsidP="00574C61">
            <w:pPr>
              <w:pStyle w:val="TblTextCenter"/>
              <w:rPr>
                <w:rFonts w:cstheme="minorHAnsi"/>
                <w:lang w:val="en-AU"/>
              </w:rPr>
            </w:pPr>
          </w:p>
        </w:tc>
        <w:tc>
          <w:tcPr>
            <w:tcW w:w="0" w:type="auto"/>
            <w:shd w:val="clear" w:color="auto" w:fill="auto"/>
          </w:tcPr>
          <w:p w14:paraId="47B06E91" w14:textId="77777777" w:rsidR="006014C0" w:rsidRPr="00BD4A5F" w:rsidRDefault="006014C0" w:rsidP="00574C61">
            <w:pPr>
              <w:pStyle w:val="TblTextCenter"/>
              <w:rPr>
                <w:rFonts w:cstheme="minorHAnsi"/>
                <w:lang w:val="en-AU"/>
              </w:rPr>
            </w:pPr>
          </w:p>
        </w:tc>
        <w:tc>
          <w:tcPr>
            <w:tcW w:w="1551" w:type="dxa"/>
          </w:tcPr>
          <w:p w14:paraId="1933471E" w14:textId="77777777" w:rsidR="006014C0" w:rsidRPr="0083621A" w:rsidRDefault="006014C0" w:rsidP="00574C61">
            <w:pPr>
              <w:pStyle w:val="TblTextCenter"/>
              <w:rPr>
                <w:rFonts w:cstheme="minorHAnsi"/>
                <w:lang w:val="en-AU"/>
              </w:rPr>
            </w:pPr>
          </w:p>
        </w:tc>
      </w:tr>
      <w:tr w:rsidR="006014C0" w:rsidRPr="0038119B" w14:paraId="364EC293" w14:textId="27384AA0" w:rsidTr="006014C0">
        <w:trPr>
          <w:cantSplit/>
          <w:trHeight w:val="360"/>
          <w:jc w:val="center"/>
        </w:trPr>
        <w:tc>
          <w:tcPr>
            <w:tcW w:w="0" w:type="auto"/>
            <w:shd w:val="clear" w:color="auto" w:fill="auto"/>
          </w:tcPr>
          <w:p w14:paraId="7945CCBF" w14:textId="6AF723B4" w:rsidR="006014C0" w:rsidRPr="00BD4A5F" w:rsidRDefault="006014C0" w:rsidP="00574C61">
            <w:pPr>
              <w:pStyle w:val="TblTextCenter"/>
              <w:rPr>
                <w:lang w:val="en-AU"/>
              </w:rPr>
            </w:pPr>
            <w:r w:rsidRPr="00BD4A5F">
              <w:rPr>
                <w:rFonts w:cstheme="minorHAnsi"/>
                <w:lang w:val="en-AU"/>
              </w:rPr>
              <w:t>Anaemia</w:t>
            </w:r>
          </w:p>
        </w:tc>
        <w:tc>
          <w:tcPr>
            <w:tcW w:w="0" w:type="auto"/>
            <w:shd w:val="clear" w:color="auto" w:fill="auto"/>
          </w:tcPr>
          <w:p w14:paraId="05CCB9CB" w14:textId="26219BEA" w:rsidR="006014C0" w:rsidRPr="00BD4A5F" w:rsidRDefault="006014C0" w:rsidP="00574C61">
            <w:pPr>
              <w:pStyle w:val="TblTextCenter"/>
              <w:rPr>
                <w:lang w:val="en-AU"/>
              </w:rPr>
            </w:pPr>
            <w:r w:rsidRPr="00BD4A5F">
              <w:rPr>
                <w:rFonts w:cstheme="minorHAnsi"/>
                <w:lang w:val="en-AU"/>
              </w:rPr>
              <w:t>Very Common</w:t>
            </w:r>
          </w:p>
        </w:tc>
        <w:tc>
          <w:tcPr>
            <w:tcW w:w="0" w:type="auto"/>
            <w:shd w:val="clear" w:color="auto" w:fill="auto"/>
          </w:tcPr>
          <w:p w14:paraId="1A0064B5" w14:textId="72672CA8" w:rsidR="006014C0" w:rsidRPr="00BD4A5F" w:rsidRDefault="006014C0" w:rsidP="00574C61">
            <w:pPr>
              <w:pStyle w:val="TblTextCenter"/>
              <w:rPr>
                <w:rFonts w:cstheme="minorHAnsi"/>
                <w:lang w:val="en-AU"/>
              </w:rPr>
            </w:pPr>
            <w:r w:rsidRPr="00BD4A5F">
              <w:rPr>
                <w:rFonts w:cstheme="minorHAnsi"/>
                <w:lang w:val="en-AU"/>
              </w:rPr>
              <w:t>13.8</w:t>
            </w:r>
          </w:p>
        </w:tc>
        <w:tc>
          <w:tcPr>
            <w:tcW w:w="0" w:type="auto"/>
            <w:shd w:val="clear" w:color="auto" w:fill="auto"/>
          </w:tcPr>
          <w:p w14:paraId="1C2443EE" w14:textId="7B292243" w:rsidR="006014C0" w:rsidRPr="00BD4A5F" w:rsidRDefault="006014C0" w:rsidP="00574C61">
            <w:pPr>
              <w:pStyle w:val="TblTextCenter"/>
              <w:rPr>
                <w:rFonts w:cstheme="minorHAnsi"/>
                <w:lang w:val="en-AU"/>
              </w:rPr>
            </w:pPr>
            <w:r w:rsidRPr="00BD4A5F">
              <w:rPr>
                <w:rFonts w:cstheme="minorHAnsi"/>
                <w:lang w:val="en-AU"/>
              </w:rPr>
              <w:t>4.3</w:t>
            </w:r>
          </w:p>
        </w:tc>
        <w:tc>
          <w:tcPr>
            <w:tcW w:w="1551" w:type="dxa"/>
          </w:tcPr>
          <w:p w14:paraId="3593B358" w14:textId="12120D7C"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7D6DC75E" w14:textId="635ECA7A" w:rsidTr="006014C0">
        <w:trPr>
          <w:cantSplit/>
          <w:trHeight w:val="360"/>
          <w:jc w:val="center"/>
        </w:trPr>
        <w:tc>
          <w:tcPr>
            <w:tcW w:w="0" w:type="auto"/>
            <w:gridSpan w:val="4"/>
            <w:shd w:val="clear" w:color="auto" w:fill="auto"/>
          </w:tcPr>
          <w:p w14:paraId="71419E96" w14:textId="6288DC10" w:rsidR="006014C0" w:rsidRPr="00BD4A5F" w:rsidRDefault="006014C0" w:rsidP="00574C61">
            <w:pPr>
              <w:pStyle w:val="TblTextCenter"/>
              <w:jc w:val="left"/>
              <w:rPr>
                <w:rFonts w:cstheme="minorHAnsi"/>
                <w:lang w:val="en-AU"/>
              </w:rPr>
            </w:pPr>
            <w:r w:rsidRPr="00BD4A5F">
              <w:rPr>
                <w:b/>
                <w:lang w:val="en-AU"/>
              </w:rPr>
              <w:t>Immune system disorders</w:t>
            </w:r>
          </w:p>
        </w:tc>
        <w:tc>
          <w:tcPr>
            <w:tcW w:w="1551" w:type="dxa"/>
          </w:tcPr>
          <w:p w14:paraId="468A8C40" w14:textId="77777777" w:rsidR="006014C0" w:rsidRPr="0083621A" w:rsidRDefault="006014C0" w:rsidP="00574C61">
            <w:pPr>
              <w:pStyle w:val="TblTextCenter"/>
              <w:jc w:val="left"/>
              <w:rPr>
                <w:b/>
                <w:lang w:val="en-AU"/>
              </w:rPr>
            </w:pPr>
          </w:p>
        </w:tc>
      </w:tr>
      <w:tr w:rsidR="006014C0" w:rsidRPr="0038119B" w14:paraId="2105BE71" w14:textId="2C1EAE4D" w:rsidTr="006014C0">
        <w:trPr>
          <w:cantSplit/>
          <w:trHeight w:val="360"/>
          <w:jc w:val="center"/>
        </w:trPr>
        <w:tc>
          <w:tcPr>
            <w:tcW w:w="0" w:type="auto"/>
            <w:shd w:val="clear" w:color="auto" w:fill="auto"/>
          </w:tcPr>
          <w:p w14:paraId="6655D18E" w14:textId="77777777" w:rsidR="006014C0" w:rsidRPr="00BD4A5F" w:rsidRDefault="006014C0" w:rsidP="00574C61">
            <w:pPr>
              <w:pStyle w:val="TblTextCenter"/>
              <w:rPr>
                <w:lang w:val="en-AU"/>
              </w:rPr>
            </w:pPr>
            <w:r w:rsidRPr="00BD4A5F">
              <w:rPr>
                <w:lang w:val="en-AU"/>
              </w:rPr>
              <w:t>Infusion-related reaction</w:t>
            </w:r>
          </w:p>
        </w:tc>
        <w:tc>
          <w:tcPr>
            <w:tcW w:w="0" w:type="auto"/>
            <w:shd w:val="clear" w:color="auto" w:fill="auto"/>
          </w:tcPr>
          <w:p w14:paraId="05552715" w14:textId="77777777" w:rsidR="006014C0" w:rsidRPr="00BD4A5F" w:rsidRDefault="006014C0" w:rsidP="00574C61">
            <w:pPr>
              <w:pStyle w:val="TblTextCenter"/>
              <w:rPr>
                <w:lang w:val="en-AU"/>
              </w:rPr>
            </w:pPr>
            <w:r w:rsidRPr="00BD4A5F">
              <w:rPr>
                <w:lang w:val="en-AU"/>
              </w:rPr>
              <w:t>Common</w:t>
            </w:r>
          </w:p>
        </w:tc>
        <w:tc>
          <w:tcPr>
            <w:tcW w:w="0" w:type="auto"/>
            <w:shd w:val="clear" w:color="auto" w:fill="auto"/>
          </w:tcPr>
          <w:p w14:paraId="2EC8F2B9" w14:textId="744E21A6" w:rsidR="006014C0" w:rsidRPr="00BD4A5F" w:rsidRDefault="006014C0" w:rsidP="00574C61">
            <w:pPr>
              <w:pStyle w:val="TblTextCenter"/>
              <w:rPr>
                <w:lang w:val="en-AU"/>
              </w:rPr>
            </w:pPr>
            <w:r w:rsidRPr="00BD4A5F">
              <w:rPr>
                <w:rFonts w:cstheme="minorHAnsi"/>
                <w:lang w:val="en-AU"/>
              </w:rPr>
              <w:t>3.6</w:t>
            </w:r>
          </w:p>
        </w:tc>
        <w:tc>
          <w:tcPr>
            <w:tcW w:w="0" w:type="auto"/>
            <w:shd w:val="clear" w:color="auto" w:fill="auto"/>
          </w:tcPr>
          <w:p w14:paraId="6E146F7B" w14:textId="73196F8E" w:rsidR="006014C0" w:rsidRPr="00BD4A5F" w:rsidRDefault="006014C0" w:rsidP="00574C61">
            <w:pPr>
              <w:pStyle w:val="TblTextCenter"/>
              <w:rPr>
                <w:lang w:val="en-AU"/>
              </w:rPr>
            </w:pPr>
            <w:r w:rsidRPr="00BD4A5F">
              <w:rPr>
                <w:rFonts w:cstheme="minorHAnsi"/>
                <w:lang w:val="en-AU"/>
              </w:rPr>
              <w:t>&lt;</w:t>
            </w:r>
            <w:r w:rsidRPr="00BD4A5F">
              <w:rPr>
                <w:lang w:val="en-AU"/>
              </w:rPr>
              <w:t>0</w:t>
            </w:r>
            <w:r w:rsidRPr="00BD4A5F">
              <w:rPr>
                <w:rFonts w:cstheme="minorHAnsi"/>
                <w:lang w:val="en-AU"/>
              </w:rPr>
              <w:t>.1</w:t>
            </w:r>
          </w:p>
        </w:tc>
        <w:tc>
          <w:tcPr>
            <w:tcW w:w="1551" w:type="dxa"/>
          </w:tcPr>
          <w:p w14:paraId="30118F06" w14:textId="599C1441"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199DF9D5" w14:textId="32329F77" w:rsidTr="006014C0">
        <w:trPr>
          <w:cantSplit/>
          <w:trHeight w:val="360"/>
          <w:jc w:val="center"/>
        </w:trPr>
        <w:tc>
          <w:tcPr>
            <w:tcW w:w="0" w:type="auto"/>
            <w:shd w:val="clear" w:color="auto" w:fill="auto"/>
          </w:tcPr>
          <w:p w14:paraId="7467B928" w14:textId="77777777" w:rsidR="006014C0" w:rsidRPr="00BD4A5F" w:rsidRDefault="006014C0" w:rsidP="00574C61">
            <w:pPr>
              <w:pStyle w:val="TblTextCenter"/>
              <w:rPr>
                <w:lang w:val="en-AU"/>
              </w:rPr>
            </w:pPr>
            <w:r w:rsidRPr="00BD4A5F">
              <w:rPr>
                <w:lang w:val="en-AU"/>
              </w:rPr>
              <w:t>Sjogren's syndrome</w:t>
            </w:r>
          </w:p>
        </w:tc>
        <w:tc>
          <w:tcPr>
            <w:tcW w:w="0" w:type="auto"/>
            <w:shd w:val="clear" w:color="auto" w:fill="auto"/>
          </w:tcPr>
          <w:p w14:paraId="4A373801"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436C5D99" w14:textId="746DC407"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0" w:type="auto"/>
            <w:shd w:val="clear" w:color="auto" w:fill="auto"/>
          </w:tcPr>
          <w:p w14:paraId="2F4F8B41" w14:textId="77777777" w:rsidR="006014C0" w:rsidRPr="00BD4A5F" w:rsidRDefault="006014C0" w:rsidP="00574C61">
            <w:pPr>
              <w:pStyle w:val="TblTextCenter"/>
              <w:rPr>
                <w:lang w:val="en-AU"/>
              </w:rPr>
            </w:pPr>
            <w:r w:rsidRPr="00BD4A5F">
              <w:rPr>
                <w:lang w:val="en-AU"/>
              </w:rPr>
              <w:t>0</w:t>
            </w:r>
          </w:p>
        </w:tc>
        <w:tc>
          <w:tcPr>
            <w:tcW w:w="1551" w:type="dxa"/>
          </w:tcPr>
          <w:p w14:paraId="5B1C6C60" w14:textId="53C1E305" w:rsidR="006014C0" w:rsidRPr="0083621A" w:rsidRDefault="00B17D41" w:rsidP="00574C61">
            <w:pPr>
              <w:pStyle w:val="TblTextCenter"/>
              <w:rPr>
                <w:lang w:val="en-AU"/>
              </w:rPr>
            </w:pPr>
            <w:r w:rsidRPr="0083621A">
              <w:rPr>
                <w:lang w:val="en-AU"/>
              </w:rPr>
              <w:t>0</w:t>
            </w:r>
          </w:p>
        </w:tc>
      </w:tr>
      <w:tr w:rsidR="006014C0" w:rsidRPr="0038119B" w14:paraId="5B741822" w14:textId="3907B69E" w:rsidTr="006014C0">
        <w:trPr>
          <w:cantSplit/>
          <w:trHeight w:val="360"/>
          <w:jc w:val="center"/>
        </w:trPr>
        <w:tc>
          <w:tcPr>
            <w:tcW w:w="0" w:type="auto"/>
            <w:shd w:val="clear" w:color="auto" w:fill="auto"/>
          </w:tcPr>
          <w:p w14:paraId="5C862337" w14:textId="77777777" w:rsidR="006014C0" w:rsidRPr="00BD4A5F" w:rsidRDefault="006014C0" w:rsidP="00574C61">
            <w:pPr>
              <w:pStyle w:val="TblTextCenter"/>
              <w:rPr>
                <w:lang w:val="en-AU"/>
              </w:rPr>
            </w:pPr>
            <w:r w:rsidRPr="00BD4A5F">
              <w:rPr>
                <w:lang w:val="en-AU"/>
              </w:rPr>
              <w:t>Immune thrombocytopenic purpura</w:t>
            </w:r>
          </w:p>
        </w:tc>
        <w:tc>
          <w:tcPr>
            <w:tcW w:w="0" w:type="auto"/>
            <w:shd w:val="clear" w:color="auto" w:fill="auto"/>
          </w:tcPr>
          <w:p w14:paraId="2101CFB9" w14:textId="04FDFD00"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5D8A9E68" w14:textId="2874E3F6"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29EBF072" w14:textId="77777777" w:rsidR="006014C0" w:rsidRPr="00BD4A5F" w:rsidRDefault="006014C0" w:rsidP="00574C61">
            <w:pPr>
              <w:pStyle w:val="TblTextCenter"/>
              <w:rPr>
                <w:lang w:val="en-AU"/>
              </w:rPr>
            </w:pPr>
            <w:r w:rsidRPr="00BD4A5F">
              <w:rPr>
                <w:lang w:val="en-AU"/>
              </w:rPr>
              <w:t>0</w:t>
            </w:r>
          </w:p>
        </w:tc>
        <w:tc>
          <w:tcPr>
            <w:tcW w:w="1551" w:type="dxa"/>
          </w:tcPr>
          <w:p w14:paraId="77F59D38" w14:textId="502F15C0" w:rsidR="006014C0" w:rsidRPr="0083621A" w:rsidRDefault="00B17D41" w:rsidP="00574C61">
            <w:pPr>
              <w:pStyle w:val="TblTextCenter"/>
              <w:rPr>
                <w:lang w:val="en-AU"/>
              </w:rPr>
            </w:pPr>
            <w:r w:rsidRPr="0083621A">
              <w:rPr>
                <w:lang w:val="en-AU"/>
              </w:rPr>
              <w:t>0</w:t>
            </w:r>
          </w:p>
        </w:tc>
      </w:tr>
      <w:tr w:rsidR="006014C0" w:rsidRPr="0038119B" w14:paraId="300BCC12" w14:textId="437577F7" w:rsidTr="006014C0">
        <w:trPr>
          <w:cantSplit/>
          <w:trHeight w:val="360"/>
          <w:jc w:val="center"/>
        </w:trPr>
        <w:tc>
          <w:tcPr>
            <w:tcW w:w="0" w:type="auto"/>
            <w:shd w:val="clear" w:color="auto" w:fill="auto"/>
          </w:tcPr>
          <w:p w14:paraId="0FCEBE93" w14:textId="77777777" w:rsidR="006014C0" w:rsidRPr="00BD4A5F" w:rsidRDefault="006014C0" w:rsidP="00574C61">
            <w:pPr>
              <w:pStyle w:val="TblTextCenter"/>
              <w:rPr>
                <w:lang w:val="en-AU"/>
              </w:rPr>
            </w:pPr>
            <w:r w:rsidRPr="00BD4A5F">
              <w:rPr>
                <w:lang w:val="en-AU"/>
              </w:rPr>
              <w:t>Vasculitis</w:t>
            </w:r>
          </w:p>
        </w:tc>
        <w:tc>
          <w:tcPr>
            <w:tcW w:w="0" w:type="auto"/>
            <w:shd w:val="clear" w:color="auto" w:fill="auto"/>
          </w:tcPr>
          <w:p w14:paraId="0971C84D" w14:textId="062EE737"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6D1DDC9B" w14:textId="52892FB3"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2DA50DB6" w14:textId="77777777" w:rsidR="006014C0" w:rsidRPr="00BD4A5F" w:rsidRDefault="006014C0" w:rsidP="00574C61">
            <w:pPr>
              <w:pStyle w:val="TblTextCenter"/>
              <w:rPr>
                <w:lang w:val="en-AU"/>
              </w:rPr>
            </w:pPr>
            <w:r w:rsidRPr="00BD4A5F">
              <w:rPr>
                <w:lang w:val="en-AU"/>
              </w:rPr>
              <w:t>0</w:t>
            </w:r>
          </w:p>
        </w:tc>
        <w:tc>
          <w:tcPr>
            <w:tcW w:w="1551" w:type="dxa"/>
          </w:tcPr>
          <w:p w14:paraId="0C8825E9" w14:textId="396245E9" w:rsidR="006014C0" w:rsidRPr="0083621A" w:rsidRDefault="00B17D41" w:rsidP="00574C61">
            <w:pPr>
              <w:pStyle w:val="TblTextCenter"/>
              <w:rPr>
                <w:lang w:val="en-AU"/>
              </w:rPr>
            </w:pPr>
            <w:r w:rsidRPr="0083621A">
              <w:rPr>
                <w:lang w:val="en-AU"/>
              </w:rPr>
              <w:t>0</w:t>
            </w:r>
          </w:p>
        </w:tc>
      </w:tr>
      <w:tr w:rsidR="006014C0" w:rsidRPr="0038119B" w14:paraId="3BD465BB" w14:textId="4B6D8A8B" w:rsidTr="006014C0">
        <w:trPr>
          <w:cantSplit/>
          <w:trHeight w:val="360"/>
          <w:jc w:val="center"/>
        </w:trPr>
        <w:tc>
          <w:tcPr>
            <w:tcW w:w="0" w:type="auto"/>
            <w:gridSpan w:val="4"/>
            <w:shd w:val="clear" w:color="auto" w:fill="auto"/>
          </w:tcPr>
          <w:p w14:paraId="3E9A2D9B" w14:textId="77777777" w:rsidR="006014C0" w:rsidRPr="00BD4A5F" w:rsidRDefault="006014C0" w:rsidP="00574C61">
            <w:pPr>
              <w:pStyle w:val="TblTextCenter"/>
              <w:jc w:val="left"/>
              <w:rPr>
                <w:b/>
                <w:lang w:val="en-AU"/>
              </w:rPr>
            </w:pPr>
            <w:r w:rsidRPr="00BD4A5F">
              <w:rPr>
                <w:b/>
                <w:lang w:val="en-AU"/>
              </w:rPr>
              <w:t>Endocrine disorders</w:t>
            </w:r>
          </w:p>
        </w:tc>
        <w:tc>
          <w:tcPr>
            <w:tcW w:w="1551" w:type="dxa"/>
          </w:tcPr>
          <w:p w14:paraId="4468DB94" w14:textId="77777777" w:rsidR="006014C0" w:rsidRPr="0083621A" w:rsidRDefault="006014C0" w:rsidP="00574C61">
            <w:pPr>
              <w:pStyle w:val="TblTextCenter"/>
              <w:jc w:val="left"/>
              <w:rPr>
                <w:b/>
                <w:lang w:val="en-AU"/>
              </w:rPr>
            </w:pPr>
          </w:p>
        </w:tc>
      </w:tr>
      <w:tr w:rsidR="006014C0" w:rsidRPr="0038119B" w14:paraId="17750973" w14:textId="7B067820" w:rsidTr="006014C0">
        <w:trPr>
          <w:cantSplit/>
          <w:trHeight w:val="360"/>
          <w:jc w:val="center"/>
        </w:trPr>
        <w:tc>
          <w:tcPr>
            <w:tcW w:w="0" w:type="auto"/>
            <w:shd w:val="clear" w:color="auto" w:fill="auto"/>
          </w:tcPr>
          <w:p w14:paraId="5E4F8947" w14:textId="0402913C" w:rsidR="006014C0" w:rsidRPr="00BD4A5F" w:rsidRDefault="006014C0" w:rsidP="00574C61">
            <w:pPr>
              <w:pStyle w:val="TblTextCenter"/>
              <w:rPr>
                <w:lang w:val="en-AU"/>
              </w:rPr>
            </w:pPr>
            <w:proofErr w:type="spellStart"/>
            <w:r w:rsidRPr="00BD4A5F">
              <w:rPr>
                <w:lang w:val="en-AU"/>
              </w:rPr>
              <w:t>Hypothyroidism</w:t>
            </w:r>
            <w:r w:rsidRPr="00BD4A5F">
              <w:rPr>
                <w:rFonts w:cstheme="minorHAnsi"/>
                <w:vertAlign w:val="superscript"/>
                <w:lang w:val="en-AU"/>
              </w:rPr>
              <w:t>b</w:t>
            </w:r>
            <w:proofErr w:type="spellEnd"/>
          </w:p>
        </w:tc>
        <w:tc>
          <w:tcPr>
            <w:tcW w:w="0" w:type="auto"/>
            <w:shd w:val="clear" w:color="auto" w:fill="auto"/>
          </w:tcPr>
          <w:p w14:paraId="2C525A89" w14:textId="77777777" w:rsidR="006014C0" w:rsidRPr="00BD4A5F" w:rsidRDefault="006014C0" w:rsidP="00574C61">
            <w:pPr>
              <w:pStyle w:val="TblTextCenter"/>
              <w:rPr>
                <w:lang w:val="en-AU"/>
              </w:rPr>
            </w:pPr>
            <w:r w:rsidRPr="00BD4A5F">
              <w:rPr>
                <w:lang w:val="en-AU"/>
              </w:rPr>
              <w:t>Common</w:t>
            </w:r>
          </w:p>
        </w:tc>
        <w:tc>
          <w:tcPr>
            <w:tcW w:w="0" w:type="auto"/>
            <w:shd w:val="clear" w:color="auto" w:fill="auto"/>
          </w:tcPr>
          <w:p w14:paraId="6E680944" w14:textId="32A05E1F" w:rsidR="006014C0" w:rsidRPr="00BD4A5F" w:rsidRDefault="006014C0" w:rsidP="00574C61">
            <w:pPr>
              <w:pStyle w:val="TblTextCenter"/>
              <w:rPr>
                <w:lang w:val="en-AU"/>
              </w:rPr>
            </w:pPr>
            <w:r w:rsidRPr="00BD4A5F">
              <w:rPr>
                <w:rFonts w:cstheme="minorHAnsi"/>
                <w:lang w:val="en-AU"/>
              </w:rPr>
              <w:t>6.9</w:t>
            </w:r>
          </w:p>
        </w:tc>
        <w:tc>
          <w:tcPr>
            <w:tcW w:w="0" w:type="auto"/>
            <w:shd w:val="clear" w:color="auto" w:fill="auto"/>
          </w:tcPr>
          <w:p w14:paraId="28386B31" w14:textId="416E2A32" w:rsidR="006014C0" w:rsidRPr="00BD4A5F" w:rsidRDefault="006014C0" w:rsidP="00574C61">
            <w:pPr>
              <w:pStyle w:val="TblTextCenter"/>
              <w:rPr>
                <w:lang w:val="en-AU"/>
              </w:rPr>
            </w:pPr>
            <w:r w:rsidRPr="00BD4A5F">
              <w:rPr>
                <w:rFonts w:cstheme="minorHAnsi"/>
                <w:lang w:val="en-AU"/>
              </w:rPr>
              <w:t>&lt;</w:t>
            </w:r>
            <w:r w:rsidRPr="00BD4A5F">
              <w:rPr>
                <w:lang w:val="en-AU"/>
              </w:rPr>
              <w:t>0</w:t>
            </w:r>
            <w:r w:rsidRPr="00BD4A5F">
              <w:rPr>
                <w:rFonts w:cstheme="minorHAnsi"/>
                <w:lang w:val="en-AU"/>
              </w:rPr>
              <w:t>.1</w:t>
            </w:r>
          </w:p>
        </w:tc>
        <w:tc>
          <w:tcPr>
            <w:tcW w:w="1551" w:type="dxa"/>
          </w:tcPr>
          <w:p w14:paraId="423B5E82" w14:textId="0A20C959"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485CFFA7" w14:textId="54E5907E" w:rsidTr="006014C0">
        <w:trPr>
          <w:cantSplit/>
          <w:trHeight w:val="360"/>
          <w:jc w:val="center"/>
        </w:trPr>
        <w:tc>
          <w:tcPr>
            <w:tcW w:w="0" w:type="auto"/>
            <w:shd w:val="clear" w:color="auto" w:fill="auto"/>
          </w:tcPr>
          <w:p w14:paraId="7FF841A9" w14:textId="77777777" w:rsidR="006014C0" w:rsidRPr="00BD4A5F" w:rsidRDefault="006014C0" w:rsidP="00574C61">
            <w:pPr>
              <w:pStyle w:val="TblTextCenter"/>
              <w:rPr>
                <w:lang w:val="en-AU"/>
              </w:rPr>
            </w:pPr>
            <w:r w:rsidRPr="00BD4A5F">
              <w:rPr>
                <w:lang w:val="en-AU"/>
              </w:rPr>
              <w:t>Hyperthyroidism</w:t>
            </w:r>
          </w:p>
        </w:tc>
        <w:tc>
          <w:tcPr>
            <w:tcW w:w="0" w:type="auto"/>
            <w:shd w:val="clear" w:color="auto" w:fill="auto"/>
          </w:tcPr>
          <w:p w14:paraId="71FBFC22" w14:textId="77777777" w:rsidR="006014C0" w:rsidRPr="00BD4A5F" w:rsidRDefault="006014C0" w:rsidP="00574C61">
            <w:pPr>
              <w:pStyle w:val="TblTextCenter"/>
              <w:rPr>
                <w:lang w:val="en-AU"/>
              </w:rPr>
            </w:pPr>
            <w:r w:rsidRPr="00BD4A5F">
              <w:rPr>
                <w:lang w:val="en-AU"/>
              </w:rPr>
              <w:t>Common</w:t>
            </w:r>
          </w:p>
        </w:tc>
        <w:tc>
          <w:tcPr>
            <w:tcW w:w="0" w:type="auto"/>
            <w:shd w:val="clear" w:color="auto" w:fill="auto"/>
          </w:tcPr>
          <w:p w14:paraId="6B049B69" w14:textId="4D479DAF" w:rsidR="006014C0" w:rsidRPr="00BD4A5F" w:rsidRDefault="006014C0" w:rsidP="00574C61">
            <w:pPr>
              <w:pStyle w:val="TblTextCenter"/>
              <w:rPr>
                <w:lang w:val="en-AU"/>
              </w:rPr>
            </w:pPr>
            <w:r w:rsidRPr="00BD4A5F">
              <w:rPr>
                <w:lang w:val="en-AU"/>
              </w:rPr>
              <w:t>2.</w:t>
            </w:r>
            <w:r w:rsidRPr="00BD4A5F">
              <w:rPr>
                <w:rFonts w:cstheme="minorHAnsi"/>
                <w:lang w:val="en-AU"/>
              </w:rPr>
              <w:t>9</w:t>
            </w:r>
          </w:p>
        </w:tc>
        <w:tc>
          <w:tcPr>
            <w:tcW w:w="0" w:type="auto"/>
            <w:shd w:val="clear" w:color="auto" w:fill="auto"/>
          </w:tcPr>
          <w:p w14:paraId="2ACAFD1D" w14:textId="01D98057" w:rsidR="006014C0" w:rsidRPr="00BD4A5F" w:rsidRDefault="006014C0" w:rsidP="00574C61">
            <w:pPr>
              <w:pStyle w:val="TblTextCenter"/>
              <w:rPr>
                <w:lang w:val="en-AU"/>
              </w:rPr>
            </w:pPr>
            <w:r w:rsidRPr="00BD4A5F">
              <w:rPr>
                <w:rFonts w:cstheme="minorHAnsi"/>
                <w:lang w:val="en-AU"/>
              </w:rPr>
              <w:t>&lt;</w:t>
            </w:r>
            <w:r w:rsidRPr="00BD4A5F">
              <w:rPr>
                <w:lang w:val="en-AU"/>
              </w:rPr>
              <w:t>0</w:t>
            </w:r>
            <w:r w:rsidRPr="00BD4A5F">
              <w:rPr>
                <w:rFonts w:cstheme="minorHAnsi"/>
                <w:lang w:val="en-AU"/>
              </w:rPr>
              <w:t>.1</w:t>
            </w:r>
          </w:p>
        </w:tc>
        <w:tc>
          <w:tcPr>
            <w:tcW w:w="1551" w:type="dxa"/>
          </w:tcPr>
          <w:p w14:paraId="05E51F53" w14:textId="26D91CAC" w:rsidR="006014C0" w:rsidRPr="0083621A" w:rsidRDefault="00B17D41" w:rsidP="00574C61">
            <w:pPr>
              <w:pStyle w:val="TblTextCenter"/>
              <w:rPr>
                <w:rFonts w:cstheme="minorHAnsi"/>
                <w:lang w:val="en-AU"/>
              </w:rPr>
            </w:pPr>
            <w:r w:rsidRPr="0083621A">
              <w:rPr>
                <w:rFonts w:cstheme="minorHAnsi"/>
                <w:lang w:val="en-AU"/>
              </w:rPr>
              <w:t>0</w:t>
            </w:r>
          </w:p>
        </w:tc>
      </w:tr>
      <w:tr w:rsidR="006014C0" w:rsidRPr="0038119B" w14:paraId="01230BC8" w14:textId="368682FF" w:rsidTr="006014C0">
        <w:trPr>
          <w:cantSplit/>
          <w:trHeight w:val="360"/>
          <w:jc w:val="center"/>
        </w:trPr>
        <w:tc>
          <w:tcPr>
            <w:tcW w:w="0" w:type="auto"/>
            <w:shd w:val="clear" w:color="auto" w:fill="auto"/>
          </w:tcPr>
          <w:p w14:paraId="32202379" w14:textId="065265A0" w:rsidR="006014C0" w:rsidRPr="00BD4A5F" w:rsidRDefault="006014C0" w:rsidP="00574C61">
            <w:pPr>
              <w:pStyle w:val="TblTextCenter"/>
              <w:rPr>
                <w:lang w:val="en-AU"/>
              </w:rPr>
            </w:pPr>
            <w:r w:rsidRPr="00BD4A5F">
              <w:rPr>
                <w:rFonts w:cstheme="minorHAnsi"/>
                <w:lang w:val="en-AU"/>
              </w:rPr>
              <w:t>Adrenal insufficiency</w:t>
            </w:r>
          </w:p>
        </w:tc>
        <w:tc>
          <w:tcPr>
            <w:tcW w:w="0" w:type="auto"/>
            <w:shd w:val="clear" w:color="auto" w:fill="auto"/>
          </w:tcPr>
          <w:p w14:paraId="15FDA7C9" w14:textId="22116F9D"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3F1A80CB" w14:textId="11F38E43" w:rsidR="006014C0" w:rsidRPr="00BD4A5F" w:rsidRDefault="006014C0" w:rsidP="00574C61">
            <w:pPr>
              <w:pStyle w:val="TblTextCenter"/>
              <w:rPr>
                <w:lang w:val="en-AU"/>
              </w:rPr>
            </w:pPr>
            <w:r w:rsidRPr="00BD4A5F">
              <w:rPr>
                <w:rFonts w:cstheme="minorHAnsi"/>
                <w:lang w:val="en-AU"/>
              </w:rPr>
              <w:t>0.5</w:t>
            </w:r>
          </w:p>
        </w:tc>
        <w:tc>
          <w:tcPr>
            <w:tcW w:w="0" w:type="auto"/>
            <w:shd w:val="clear" w:color="auto" w:fill="auto"/>
          </w:tcPr>
          <w:p w14:paraId="76CBBD1D" w14:textId="4F7914EB" w:rsidR="006014C0" w:rsidRPr="00BD4A5F" w:rsidRDefault="006014C0" w:rsidP="00574C61">
            <w:pPr>
              <w:pStyle w:val="TblTextCenter"/>
              <w:rPr>
                <w:lang w:val="en-AU"/>
              </w:rPr>
            </w:pPr>
            <w:r w:rsidRPr="00BD4A5F">
              <w:rPr>
                <w:rFonts w:cstheme="minorHAnsi"/>
                <w:lang w:val="en-AU"/>
              </w:rPr>
              <w:t>0.3</w:t>
            </w:r>
          </w:p>
        </w:tc>
        <w:tc>
          <w:tcPr>
            <w:tcW w:w="1551" w:type="dxa"/>
          </w:tcPr>
          <w:p w14:paraId="615C36EB" w14:textId="5769DE6E"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6E86CB80" w14:textId="14EA3B10" w:rsidTr="006014C0">
        <w:trPr>
          <w:cantSplit/>
          <w:trHeight w:val="360"/>
          <w:jc w:val="center"/>
        </w:trPr>
        <w:tc>
          <w:tcPr>
            <w:tcW w:w="0" w:type="auto"/>
            <w:shd w:val="clear" w:color="auto" w:fill="auto"/>
          </w:tcPr>
          <w:p w14:paraId="1FBE8315" w14:textId="628F0946" w:rsidR="006014C0" w:rsidRPr="00BD4A5F" w:rsidRDefault="006014C0" w:rsidP="00574C61">
            <w:pPr>
              <w:pStyle w:val="TblTextCenter"/>
              <w:rPr>
                <w:lang w:val="en-AU"/>
              </w:rPr>
            </w:pPr>
            <w:proofErr w:type="spellStart"/>
            <w:r w:rsidRPr="00BD4A5F">
              <w:rPr>
                <w:rFonts w:cstheme="minorHAnsi"/>
                <w:lang w:val="en-AU"/>
              </w:rPr>
              <w:t>Thyroiditis</w:t>
            </w:r>
            <w:r w:rsidRPr="00BD4A5F">
              <w:rPr>
                <w:rFonts w:cstheme="minorHAnsi"/>
                <w:vertAlign w:val="superscript"/>
                <w:lang w:val="en-AU"/>
              </w:rPr>
              <w:t>c</w:t>
            </w:r>
            <w:proofErr w:type="spellEnd"/>
          </w:p>
        </w:tc>
        <w:tc>
          <w:tcPr>
            <w:tcW w:w="0" w:type="auto"/>
            <w:shd w:val="clear" w:color="auto" w:fill="auto"/>
          </w:tcPr>
          <w:p w14:paraId="6AB78A7A" w14:textId="5E71792F"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1E485FF6" w14:textId="73246D1C" w:rsidR="006014C0" w:rsidRPr="00BD4A5F" w:rsidRDefault="006014C0" w:rsidP="00574C61">
            <w:pPr>
              <w:pStyle w:val="TblTextCenter"/>
              <w:rPr>
                <w:lang w:val="en-AU"/>
              </w:rPr>
            </w:pPr>
            <w:r w:rsidRPr="00BD4A5F">
              <w:rPr>
                <w:rFonts w:cstheme="minorHAnsi"/>
                <w:lang w:val="en-AU"/>
              </w:rPr>
              <w:t>0.5</w:t>
            </w:r>
          </w:p>
        </w:tc>
        <w:tc>
          <w:tcPr>
            <w:tcW w:w="0" w:type="auto"/>
            <w:shd w:val="clear" w:color="auto" w:fill="auto"/>
          </w:tcPr>
          <w:p w14:paraId="59961A96" w14:textId="1DCAC859" w:rsidR="006014C0" w:rsidRPr="00BD4A5F" w:rsidRDefault="006014C0" w:rsidP="00574C61">
            <w:pPr>
              <w:pStyle w:val="TblTextCenter"/>
              <w:rPr>
                <w:lang w:val="en-AU"/>
              </w:rPr>
            </w:pPr>
            <w:r w:rsidRPr="00BD4A5F">
              <w:rPr>
                <w:rFonts w:cstheme="minorHAnsi"/>
                <w:lang w:val="en-AU"/>
              </w:rPr>
              <w:t>0</w:t>
            </w:r>
          </w:p>
        </w:tc>
        <w:tc>
          <w:tcPr>
            <w:tcW w:w="1551" w:type="dxa"/>
          </w:tcPr>
          <w:p w14:paraId="78E89F10" w14:textId="13871940"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131C1980" w14:textId="14D4B26E" w:rsidTr="006014C0">
        <w:trPr>
          <w:cantSplit/>
          <w:trHeight w:val="360"/>
          <w:jc w:val="center"/>
        </w:trPr>
        <w:tc>
          <w:tcPr>
            <w:tcW w:w="0" w:type="auto"/>
            <w:shd w:val="clear" w:color="auto" w:fill="auto"/>
          </w:tcPr>
          <w:p w14:paraId="32C87366" w14:textId="5811E635" w:rsidR="006014C0" w:rsidRPr="00BD4A5F" w:rsidRDefault="006014C0" w:rsidP="00574C61">
            <w:pPr>
              <w:pStyle w:val="TblTextCenter"/>
              <w:rPr>
                <w:lang w:val="en-AU"/>
              </w:rPr>
            </w:pPr>
            <w:r w:rsidRPr="00BD4A5F">
              <w:rPr>
                <w:lang w:val="en-AU"/>
              </w:rPr>
              <w:t xml:space="preserve">Type 1 diabetes </w:t>
            </w:r>
            <w:proofErr w:type="spellStart"/>
            <w:r w:rsidRPr="00BD4A5F">
              <w:rPr>
                <w:lang w:val="en-AU"/>
              </w:rPr>
              <w:t>mellitus</w:t>
            </w:r>
            <w:r w:rsidRPr="00BD4A5F">
              <w:rPr>
                <w:rFonts w:cstheme="minorHAnsi"/>
                <w:vertAlign w:val="superscript"/>
                <w:lang w:val="en-AU"/>
              </w:rPr>
              <w:t>d</w:t>
            </w:r>
            <w:proofErr w:type="spellEnd"/>
          </w:p>
        </w:tc>
        <w:tc>
          <w:tcPr>
            <w:tcW w:w="0" w:type="auto"/>
            <w:shd w:val="clear" w:color="auto" w:fill="auto"/>
          </w:tcPr>
          <w:p w14:paraId="4EFFDFB4"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4935D974" w14:textId="577AC108" w:rsidR="006014C0" w:rsidRPr="00BD4A5F" w:rsidRDefault="006014C0" w:rsidP="00574C61">
            <w:pPr>
              <w:pStyle w:val="TblTextCenter"/>
              <w:rPr>
                <w:lang w:val="en-AU"/>
              </w:rPr>
            </w:pPr>
            <w:r w:rsidRPr="00BD4A5F">
              <w:rPr>
                <w:lang w:val="en-AU"/>
              </w:rPr>
              <w:t>0.</w:t>
            </w:r>
            <w:r w:rsidRPr="00BD4A5F">
              <w:rPr>
                <w:rFonts w:cstheme="minorHAnsi"/>
                <w:lang w:val="en-AU"/>
              </w:rPr>
              <w:t>4</w:t>
            </w:r>
          </w:p>
        </w:tc>
        <w:tc>
          <w:tcPr>
            <w:tcW w:w="0" w:type="auto"/>
            <w:shd w:val="clear" w:color="auto" w:fill="auto"/>
          </w:tcPr>
          <w:p w14:paraId="31E4018C" w14:textId="1B4C4579" w:rsidR="006014C0" w:rsidRPr="00BD4A5F" w:rsidRDefault="006014C0" w:rsidP="00574C61">
            <w:pPr>
              <w:pStyle w:val="TblTextCenter"/>
              <w:rPr>
                <w:lang w:val="en-AU"/>
              </w:rPr>
            </w:pPr>
            <w:r w:rsidRPr="00BD4A5F">
              <w:rPr>
                <w:lang w:val="en-AU"/>
              </w:rPr>
              <w:t>0.</w:t>
            </w:r>
            <w:r w:rsidRPr="00BD4A5F">
              <w:rPr>
                <w:rFonts w:cstheme="minorHAnsi"/>
                <w:lang w:val="en-AU"/>
              </w:rPr>
              <w:t>4</w:t>
            </w:r>
          </w:p>
        </w:tc>
        <w:tc>
          <w:tcPr>
            <w:tcW w:w="1551" w:type="dxa"/>
          </w:tcPr>
          <w:p w14:paraId="3ECDED11" w14:textId="40E06652" w:rsidR="006014C0" w:rsidRPr="0083621A" w:rsidRDefault="00BE201F" w:rsidP="00574C61">
            <w:pPr>
              <w:pStyle w:val="TblTextCenter"/>
              <w:rPr>
                <w:lang w:val="en-AU"/>
              </w:rPr>
            </w:pPr>
            <w:r w:rsidRPr="0083621A">
              <w:rPr>
                <w:lang w:val="en-AU"/>
              </w:rPr>
              <w:t>0</w:t>
            </w:r>
          </w:p>
        </w:tc>
      </w:tr>
      <w:tr w:rsidR="006014C0" w:rsidRPr="0038119B" w14:paraId="77DF4958" w14:textId="397C0FFD" w:rsidTr="006014C0">
        <w:trPr>
          <w:cantSplit/>
          <w:trHeight w:val="360"/>
          <w:jc w:val="center"/>
        </w:trPr>
        <w:tc>
          <w:tcPr>
            <w:tcW w:w="0" w:type="auto"/>
            <w:shd w:val="clear" w:color="auto" w:fill="auto"/>
          </w:tcPr>
          <w:p w14:paraId="1CC5E0D7" w14:textId="77777777" w:rsidR="006014C0" w:rsidRPr="00BD4A5F" w:rsidRDefault="006014C0" w:rsidP="00574C61">
            <w:pPr>
              <w:pStyle w:val="TblTextCenter"/>
              <w:rPr>
                <w:lang w:val="en-AU"/>
              </w:rPr>
            </w:pPr>
            <w:r w:rsidRPr="00BD4A5F">
              <w:rPr>
                <w:lang w:val="en-AU"/>
              </w:rPr>
              <w:t>Hypophysitis</w:t>
            </w:r>
          </w:p>
        </w:tc>
        <w:tc>
          <w:tcPr>
            <w:tcW w:w="0" w:type="auto"/>
            <w:shd w:val="clear" w:color="auto" w:fill="auto"/>
          </w:tcPr>
          <w:p w14:paraId="6E4F4FED"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73BA1D4C" w14:textId="00002F5C" w:rsidR="006014C0" w:rsidRPr="00BD4A5F" w:rsidRDefault="006014C0" w:rsidP="00574C61">
            <w:pPr>
              <w:pStyle w:val="TblTextCenter"/>
              <w:rPr>
                <w:lang w:val="en-AU"/>
              </w:rPr>
            </w:pPr>
            <w:r w:rsidRPr="00BD4A5F">
              <w:rPr>
                <w:lang w:val="en-AU"/>
              </w:rPr>
              <w:t>0.</w:t>
            </w:r>
            <w:r w:rsidRPr="00BD4A5F">
              <w:rPr>
                <w:rFonts w:cstheme="minorHAnsi"/>
                <w:lang w:val="en-AU"/>
              </w:rPr>
              <w:t>3</w:t>
            </w:r>
          </w:p>
        </w:tc>
        <w:tc>
          <w:tcPr>
            <w:tcW w:w="0" w:type="auto"/>
            <w:shd w:val="clear" w:color="auto" w:fill="auto"/>
          </w:tcPr>
          <w:p w14:paraId="4602E385" w14:textId="41B96262"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1551" w:type="dxa"/>
          </w:tcPr>
          <w:p w14:paraId="677E2DAE" w14:textId="7BC228DC" w:rsidR="006014C0" w:rsidRPr="0083621A" w:rsidRDefault="00BE201F" w:rsidP="00574C61">
            <w:pPr>
              <w:pStyle w:val="TblTextCenter"/>
              <w:rPr>
                <w:lang w:val="en-AU"/>
              </w:rPr>
            </w:pPr>
            <w:r w:rsidRPr="0083621A">
              <w:rPr>
                <w:lang w:val="en-AU"/>
              </w:rPr>
              <w:t>0</w:t>
            </w:r>
          </w:p>
        </w:tc>
      </w:tr>
      <w:tr w:rsidR="006014C0" w:rsidRPr="0038119B" w14:paraId="00DE170C" w14:textId="079864D2" w:rsidTr="006014C0">
        <w:trPr>
          <w:cantSplit/>
          <w:trHeight w:val="360"/>
          <w:jc w:val="center"/>
        </w:trPr>
        <w:tc>
          <w:tcPr>
            <w:tcW w:w="0" w:type="auto"/>
            <w:gridSpan w:val="4"/>
            <w:shd w:val="clear" w:color="auto" w:fill="auto"/>
          </w:tcPr>
          <w:p w14:paraId="640076E5" w14:textId="77777777" w:rsidR="006014C0" w:rsidRPr="00BD4A5F" w:rsidRDefault="006014C0" w:rsidP="00574C61">
            <w:pPr>
              <w:pStyle w:val="TblTextCenter"/>
              <w:jc w:val="left"/>
              <w:rPr>
                <w:b/>
                <w:lang w:val="en-AU"/>
              </w:rPr>
            </w:pPr>
            <w:r w:rsidRPr="00BD4A5F">
              <w:rPr>
                <w:b/>
                <w:lang w:val="en-AU"/>
              </w:rPr>
              <w:t>Nervous system disorders</w:t>
            </w:r>
          </w:p>
        </w:tc>
        <w:tc>
          <w:tcPr>
            <w:tcW w:w="1551" w:type="dxa"/>
          </w:tcPr>
          <w:p w14:paraId="7C6075CC" w14:textId="77777777" w:rsidR="006014C0" w:rsidRPr="0083621A" w:rsidRDefault="006014C0" w:rsidP="00574C61">
            <w:pPr>
              <w:pStyle w:val="TblTextCenter"/>
              <w:jc w:val="left"/>
              <w:rPr>
                <w:b/>
                <w:lang w:val="en-AU"/>
              </w:rPr>
            </w:pPr>
          </w:p>
        </w:tc>
      </w:tr>
      <w:tr w:rsidR="006014C0" w:rsidRPr="0038119B" w14:paraId="22B975B7" w14:textId="6FCA0F54" w:rsidTr="006014C0">
        <w:trPr>
          <w:cantSplit/>
          <w:trHeight w:val="360"/>
          <w:jc w:val="center"/>
        </w:trPr>
        <w:tc>
          <w:tcPr>
            <w:tcW w:w="0" w:type="auto"/>
            <w:shd w:val="clear" w:color="auto" w:fill="auto"/>
          </w:tcPr>
          <w:p w14:paraId="7A745A0B" w14:textId="3A152CE6" w:rsidR="006014C0" w:rsidRPr="00BD4A5F" w:rsidRDefault="006014C0" w:rsidP="00574C61">
            <w:pPr>
              <w:pStyle w:val="TblTextCenter"/>
              <w:rPr>
                <w:lang w:val="en-AU"/>
              </w:rPr>
            </w:pPr>
            <w:r w:rsidRPr="00BD4A5F">
              <w:rPr>
                <w:rFonts w:cstheme="minorHAnsi"/>
                <w:lang w:val="en-AU"/>
              </w:rPr>
              <w:t>Headache</w:t>
            </w:r>
          </w:p>
        </w:tc>
        <w:tc>
          <w:tcPr>
            <w:tcW w:w="0" w:type="auto"/>
            <w:shd w:val="clear" w:color="auto" w:fill="auto"/>
          </w:tcPr>
          <w:p w14:paraId="5CAF63BC" w14:textId="596836C4"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4F921A5B" w14:textId="0E09D46C" w:rsidR="006014C0" w:rsidRPr="00BD4A5F" w:rsidRDefault="006014C0" w:rsidP="00574C61">
            <w:pPr>
              <w:pStyle w:val="TblTextCenter"/>
              <w:rPr>
                <w:lang w:val="en-AU"/>
              </w:rPr>
            </w:pPr>
            <w:r w:rsidRPr="00BD4A5F">
              <w:rPr>
                <w:rFonts w:cstheme="minorHAnsi"/>
                <w:lang w:val="en-AU"/>
              </w:rPr>
              <w:t>8.8</w:t>
            </w:r>
          </w:p>
        </w:tc>
        <w:tc>
          <w:tcPr>
            <w:tcW w:w="0" w:type="auto"/>
            <w:shd w:val="clear" w:color="auto" w:fill="auto"/>
          </w:tcPr>
          <w:p w14:paraId="330A06F3" w14:textId="2A26F732" w:rsidR="006014C0" w:rsidRPr="00BD4A5F" w:rsidRDefault="006014C0" w:rsidP="00574C61">
            <w:pPr>
              <w:pStyle w:val="TblTextCenter"/>
              <w:rPr>
                <w:lang w:val="en-AU"/>
              </w:rPr>
            </w:pPr>
            <w:r w:rsidRPr="00BD4A5F">
              <w:rPr>
                <w:rFonts w:cstheme="minorHAnsi"/>
                <w:lang w:val="en-AU"/>
              </w:rPr>
              <w:t>0.5</w:t>
            </w:r>
          </w:p>
        </w:tc>
        <w:tc>
          <w:tcPr>
            <w:tcW w:w="1551" w:type="dxa"/>
          </w:tcPr>
          <w:p w14:paraId="35BAFF87" w14:textId="62A66E4A"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2FDB58F2" w14:textId="52CFFA82" w:rsidTr="006014C0">
        <w:trPr>
          <w:cantSplit/>
          <w:trHeight w:val="360"/>
          <w:jc w:val="center"/>
        </w:trPr>
        <w:tc>
          <w:tcPr>
            <w:tcW w:w="0" w:type="auto"/>
            <w:shd w:val="clear" w:color="auto" w:fill="auto"/>
          </w:tcPr>
          <w:p w14:paraId="2CCFD7CA" w14:textId="69497593" w:rsidR="006014C0" w:rsidRPr="00BD4A5F" w:rsidRDefault="006014C0" w:rsidP="00574C61">
            <w:pPr>
              <w:pStyle w:val="TblTextCenter"/>
              <w:rPr>
                <w:lang w:val="en-AU"/>
              </w:rPr>
            </w:pPr>
            <w:r w:rsidRPr="00BD4A5F">
              <w:rPr>
                <w:rFonts w:cstheme="minorHAnsi"/>
                <w:lang w:val="en-AU"/>
              </w:rPr>
              <w:t xml:space="preserve">Peripheral </w:t>
            </w:r>
            <w:proofErr w:type="spellStart"/>
            <w:r w:rsidRPr="00BD4A5F">
              <w:rPr>
                <w:rFonts w:cstheme="minorHAnsi"/>
                <w:lang w:val="en-AU"/>
              </w:rPr>
              <w:t>neuropathy</w:t>
            </w:r>
            <w:r w:rsidRPr="00BD4A5F">
              <w:rPr>
                <w:rFonts w:cstheme="minorHAnsi"/>
                <w:vertAlign w:val="superscript"/>
                <w:lang w:val="en-AU"/>
              </w:rPr>
              <w:t>e</w:t>
            </w:r>
            <w:proofErr w:type="spellEnd"/>
          </w:p>
        </w:tc>
        <w:tc>
          <w:tcPr>
            <w:tcW w:w="0" w:type="auto"/>
            <w:shd w:val="clear" w:color="auto" w:fill="auto"/>
          </w:tcPr>
          <w:p w14:paraId="3C963B0C" w14:textId="1B010FB9"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6A640CF4" w14:textId="12C4D9C4" w:rsidR="006014C0" w:rsidRPr="00BD4A5F" w:rsidRDefault="006014C0" w:rsidP="00574C61">
            <w:pPr>
              <w:pStyle w:val="TblTextCenter"/>
              <w:rPr>
                <w:lang w:val="en-AU"/>
              </w:rPr>
            </w:pPr>
            <w:r w:rsidRPr="00BD4A5F">
              <w:rPr>
                <w:rFonts w:cstheme="minorHAnsi"/>
                <w:lang w:val="en-AU"/>
              </w:rPr>
              <w:t>1.6</w:t>
            </w:r>
          </w:p>
        </w:tc>
        <w:tc>
          <w:tcPr>
            <w:tcW w:w="0" w:type="auto"/>
            <w:shd w:val="clear" w:color="auto" w:fill="auto"/>
          </w:tcPr>
          <w:p w14:paraId="1B51E56D" w14:textId="24E2F877" w:rsidR="006014C0" w:rsidRPr="00BD4A5F" w:rsidRDefault="006014C0" w:rsidP="00574C61">
            <w:pPr>
              <w:pStyle w:val="TblTextCenter"/>
              <w:rPr>
                <w:lang w:val="en-AU"/>
              </w:rPr>
            </w:pPr>
            <w:r w:rsidRPr="00BD4A5F">
              <w:rPr>
                <w:rFonts w:cstheme="minorHAnsi"/>
                <w:lang w:val="en-AU"/>
              </w:rPr>
              <w:t>&lt;0.1</w:t>
            </w:r>
          </w:p>
        </w:tc>
        <w:tc>
          <w:tcPr>
            <w:tcW w:w="1551" w:type="dxa"/>
          </w:tcPr>
          <w:p w14:paraId="0FCA2BF0" w14:textId="25E1FC27"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342C739D" w14:textId="6908A41C" w:rsidTr="006014C0">
        <w:trPr>
          <w:cantSplit/>
          <w:trHeight w:val="360"/>
          <w:jc w:val="center"/>
        </w:trPr>
        <w:tc>
          <w:tcPr>
            <w:tcW w:w="0" w:type="auto"/>
            <w:shd w:val="clear" w:color="auto" w:fill="auto"/>
          </w:tcPr>
          <w:p w14:paraId="6452B3AA" w14:textId="42307B7E" w:rsidR="006014C0" w:rsidRPr="00BD4A5F" w:rsidRDefault="006014C0" w:rsidP="00574C61">
            <w:pPr>
              <w:pStyle w:val="TblTextCenter"/>
              <w:rPr>
                <w:lang w:val="en-AU"/>
              </w:rPr>
            </w:pPr>
            <w:proofErr w:type="spellStart"/>
            <w:r w:rsidRPr="00BD4A5F">
              <w:rPr>
                <w:rFonts w:cstheme="minorHAnsi"/>
                <w:lang w:val="en-AU"/>
              </w:rPr>
              <w:lastRenderedPageBreak/>
              <w:t>Meningitis</w:t>
            </w:r>
            <w:r w:rsidRPr="00BD4A5F">
              <w:rPr>
                <w:rFonts w:cstheme="minorHAnsi"/>
                <w:vertAlign w:val="superscript"/>
                <w:lang w:val="en-AU"/>
              </w:rPr>
              <w:t>f</w:t>
            </w:r>
            <w:proofErr w:type="spellEnd"/>
          </w:p>
        </w:tc>
        <w:tc>
          <w:tcPr>
            <w:tcW w:w="0" w:type="auto"/>
            <w:shd w:val="clear" w:color="auto" w:fill="auto"/>
          </w:tcPr>
          <w:p w14:paraId="53C37652" w14:textId="0F769201"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0C9F0168" w14:textId="52CBDF6B" w:rsidR="006014C0" w:rsidRPr="00BD4A5F" w:rsidRDefault="006014C0" w:rsidP="00574C61">
            <w:pPr>
              <w:pStyle w:val="TblTextCenter"/>
              <w:rPr>
                <w:lang w:val="en-AU"/>
              </w:rPr>
            </w:pPr>
            <w:r w:rsidRPr="00BD4A5F">
              <w:rPr>
                <w:rFonts w:cstheme="minorHAnsi"/>
                <w:lang w:val="en-AU"/>
              </w:rPr>
              <w:t>0.2</w:t>
            </w:r>
          </w:p>
        </w:tc>
        <w:tc>
          <w:tcPr>
            <w:tcW w:w="0" w:type="auto"/>
            <w:shd w:val="clear" w:color="auto" w:fill="auto"/>
          </w:tcPr>
          <w:p w14:paraId="4B05AF8C" w14:textId="7246E868" w:rsidR="006014C0" w:rsidRPr="00BD4A5F" w:rsidRDefault="006014C0" w:rsidP="00574C61">
            <w:pPr>
              <w:pStyle w:val="TblTextCenter"/>
              <w:rPr>
                <w:lang w:val="en-AU"/>
              </w:rPr>
            </w:pPr>
            <w:r w:rsidRPr="00BD4A5F">
              <w:rPr>
                <w:rFonts w:cstheme="minorHAnsi"/>
                <w:lang w:val="en-AU"/>
              </w:rPr>
              <w:t>0.2</w:t>
            </w:r>
          </w:p>
        </w:tc>
        <w:tc>
          <w:tcPr>
            <w:tcW w:w="1551" w:type="dxa"/>
          </w:tcPr>
          <w:p w14:paraId="0B8CB9A4" w14:textId="699333E4"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19413528" w14:textId="5B5AD901" w:rsidTr="006014C0">
        <w:trPr>
          <w:cantSplit/>
          <w:trHeight w:val="360"/>
          <w:jc w:val="center"/>
        </w:trPr>
        <w:tc>
          <w:tcPr>
            <w:tcW w:w="0" w:type="auto"/>
            <w:shd w:val="clear" w:color="auto" w:fill="auto"/>
          </w:tcPr>
          <w:p w14:paraId="5B8102DD" w14:textId="52A97F57" w:rsidR="006014C0" w:rsidRPr="00BD4A5F" w:rsidRDefault="006014C0" w:rsidP="00574C61">
            <w:pPr>
              <w:pStyle w:val="TblTextCenter"/>
              <w:rPr>
                <w:lang w:val="en-AU"/>
              </w:rPr>
            </w:pPr>
            <w:proofErr w:type="spellStart"/>
            <w:r w:rsidRPr="00BD4A5F">
              <w:rPr>
                <w:lang w:val="en-AU"/>
              </w:rPr>
              <w:t>Encephalitis</w:t>
            </w:r>
            <w:r w:rsidRPr="00BD4A5F">
              <w:rPr>
                <w:vertAlign w:val="superscript"/>
                <w:lang w:val="en-AU"/>
              </w:rPr>
              <w:t>g</w:t>
            </w:r>
            <w:proofErr w:type="spellEnd"/>
          </w:p>
        </w:tc>
        <w:tc>
          <w:tcPr>
            <w:tcW w:w="0" w:type="auto"/>
            <w:shd w:val="clear" w:color="auto" w:fill="auto"/>
          </w:tcPr>
          <w:p w14:paraId="7F57B1D2" w14:textId="59C72AFC"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624DC7D0" w14:textId="48C8EF32" w:rsidR="006014C0" w:rsidRPr="00BD4A5F" w:rsidRDefault="006014C0" w:rsidP="00574C61">
            <w:pPr>
              <w:pStyle w:val="TblTextCenter"/>
              <w:rPr>
                <w:lang w:val="en-AU"/>
              </w:rPr>
            </w:pPr>
            <w:r w:rsidRPr="00BD4A5F">
              <w:rPr>
                <w:lang w:val="en-AU"/>
              </w:rPr>
              <w:t>0.2</w:t>
            </w:r>
          </w:p>
        </w:tc>
        <w:tc>
          <w:tcPr>
            <w:tcW w:w="0" w:type="auto"/>
            <w:shd w:val="clear" w:color="auto" w:fill="auto"/>
          </w:tcPr>
          <w:p w14:paraId="5CF76096" w14:textId="5F8D2F59" w:rsidR="006014C0" w:rsidRPr="00BD4A5F" w:rsidRDefault="006014C0" w:rsidP="00574C61">
            <w:pPr>
              <w:pStyle w:val="TblTextCenter"/>
              <w:rPr>
                <w:lang w:val="en-AU"/>
              </w:rPr>
            </w:pPr>
            <w:r w:rsidRPr="00BD4A5F">
              <w:rPr>
                <w:lang w:val="en-AU"/>
              </w:rPr>
              <w:t>0.2</w:t>
            </w:r>
          </w:p>
        </w:tc>
        <w:tc>
          <w:tcPr>
            <w:tcW w:w="1551" w:type="dxa"/>
          </w:tcPr>
          <w:p w14:paraId="4743DE7E" w14:textId="4F3A95DB" w:rsidR="006014C0" w:rsidRPr="0083621A" w:rsidRDefault="00BE201F" w:rsidP="00574C61">
            <w:pPr>
              <w:pStyle w:val="TblTextCenter"/>
              <w:rPr>
                <w:lang w:val="en-AU"/>
              </w:rPr>
            </w:pPr>
            <w:r w:rsidRPr="0083621A">
              <w:rPr>
                <w:lang w:val="en-AU"/>
              </w:rPr>
              <w:t>0</w:t>
            </w:r>
          </w:p>
        </w:tc>
      </w:tr>
      <w:tr w:rsidR="006014C0" w:rsidRPr="0038119B" w14:paraId="3E5EFFBE" w14:textId="7BE3DEC1" w:rsidTr="006014C0">
        <w:trPr>
          <w:cantSplit/>
          <w:trHeight w:val="360"/>
          <w:jc w:val="center"/>
        </w:trPr>
        <w:tc>
          <w:tcPr>
            <w:tcW w:w="0" w:type="auto"/>
            <w:shd w:val="clear" w:color="auto" w:fill="auto"/>
          </w:tcPr>
          <w:p w14:paraId="76F12431" w14:textId="465E4F89" w:rsidR="006014C0" w:rsidRPr="00BD4A5F" w:rsidRDefault="006014C0" w:rsidP="00574C61">
            <w:pPr>
              <w:pStyle w:val="TblTextCenter"/>
              <w:rPr>
                <w:lang w:val="en-AU"/>
              </w:rPr>
            </w:pPr>
            <w:r w:rsidRPr="00BD4A5F">
              <w:rPr>
                <w:rFonts w:cstheme="minorHAnsi"/>
                <w:lang w:val="en-AU"/>
              </w:rPr>
              <w:t>Myasthenia gravis</w:t>
            </w:r>
          </w:p>
        </w:tc>
        <w:tc>
          <w:tcPr>
            <w:tcW w:w="0" w:type="auto"/>
            <w:shd w:val="clear" w:color="auto" w:fill="auto"/>
          </w:tcPr>
          <w:p w14:paraId="1C065C92" w14:textId="2B1E0B52" w:rsidR="006014C0" w:rsidRPr="00BD4A5F" w:rsidRDefault="006014C0" w:rsidP="00574C61">
            <w:pPr>
              <w:pStyle w:val="TblTextCenter"/>
              <w:rPr>
                <w:lang w:val="en-AU"/>
              </w:rPr>
            </w:pPr>
            <w:r w:rsidRPr="00BD4A5F">
              <w:rPr>
                <w:rFonts w:cstheme="minorHAnsi"/>
                <w:lang w:val="en-AU"/>
              </w:rPr>
              <w:t>Uncommon</w:t>
            </w:r>
          </w:p>
        </w:tc>
        <w:tc>
          <w:tcPr>
            <w:tcW w:w="0" w:type="auto"/>
            <w:shd w:val="clear" w:color="auto" w:fill="auto"/>
          </w:tcPr>
          <w:p w14:paraId="3B1A0EC0" w14:textId="3AA50661" w:rsidR="006014C0" w:rsidRPr="00BD4A5F" w:rsidRDefault="006014C0" w:rsidP="00574C61">
            <w:pPr>
              <w:pStyle w:val="TblTextCenter"/>
              <w:rPr>
                <w:lang w:val="en-AU"/>
              </w:rPr>
            </w:pPr>
            <w:r w:rsidRPr="00BD4A5F">
              <w:rPr>
                <w:rFonts w:cstheme="minorHAnsi"/>
                <w:lang w:val="en-AU"/>
              </w:rPr>
              <w:t>0.2</w:t>
            </w:r>
          </w:p>
        </w:tc>
        <w:tc>
          <w:tcPr>
            <w:tcW w:w="0" w:type="auto"/>
            <w:shd w:val="clear" w:color="auto" w:fill="auto"/>
          </w:tcPr>
          <w:p w14:paraId="71B4C10D" w14:textId="67F29CEA" w:rsidR="006014C0" w:rsidRPr="00BD4A5F" w:rsidRDefault="006014C0" w:rsidP="00574C61">
            <w:pPr>
              <w:pStyle w:val="TblTextCenter"/>
              <w:rPr>
                <w:lang w:val="en-AU"/>
              </w:rPr>
            </w:pPr>
            <w:r w:rsidRPr="00BD4A5F">
              <w:rPr>
                <w:rFonts w:cstheme="minorHAnsi"/>
                <w:lang w:val="en-AU"/>
              </w:rPr>
              <w:t>0</w:t>
            </w:r>
          </w:p>
        </w:tc>
        <w:tc>
          <w:tcPr>
            <w:tcW w:w="1551" w:type="dxa"/>
          </w:tcPr>
          <w:p w14:paraId="6FE59BE7" w14:textId="1593DF35" w:rsidR="006014C0" w:rsidRPr="0083621A" w:rsidRDefault="00BE201F" w:rsidP="00574C61">
            <w:pPr>
              <w:pStyle w:val="TblTextCenter"/>
              <w:rPr>
                <w:rFonts w:cstheme="minorHAnsi"/>
                <w:lang w:val="en-AU"/>
              </w:rPr>
            </w:pPr>
            <w:r w:rsidRPr="0083621A">
              <w:rPr>
                <w:rFonts w:cstheme="minorHAnsi"/>
                <w:lang w:val="en-AU"/>
              </w:rPr>
              <w:t>0</w:t>
            </w:r>
          </w:p>
        </w:tc>
      </w:tr>
      <w:tr w:rsidR="006014C0" w:rsidRPr="0038119B" w14:paraId="2FC45A30" w14:textId="592CC2E5" w:rsidTr="006014C0">
        <w:trPr>
          <w:cantSplit/>
          <w:trHeight w:val="360"/>
          <w:jc w:val="center"/>
        </w:trPr>
        <w:tc>
          <w:tcPr>
            <w:tcW w:w="0" w:type="auto"/>
            <w:shd w:val="clear" w:color="auto" w:fill="auto"/>
          </w:tcPr>
          <w:p w14:paraId="6326D164" w14:textId="77777777" w:rsidR="006014C0" w:rsidRPr="00BD4A5F" w:rsidRDefault="006014C0" w:rsidP="00574C61">
            <w:pPr>
              <w:pStyle w:val="TblTextCenter"/>
              <w:rPr>
                <w:lang w:val="en-AU"/>
              </w:rPr>
            </w:pPr>
            <w:r w:rsidRPr="00BD4A5F">
              <w:rPr>
                <w:lang w:val="en-AU"/>
              </w:rPr>
              <w:t>Paraneoplastic encephalomyelitis</w:t>
            </w:r>
          </w:p>
        </w:tc>
        <w:tc>
          <w:tcPr>
            <w:tcW w:w="0" w:type="auto"/>
            <w:shd w:val="clear" w:color="auto" w:fill="auto"/>
          </w:tcPr>
          <w:p w14:paraId="633BE5B5" w14:textId="0D4A60D4"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0BE84A24" w14:textId="1AE1B2A7"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69710471" w14:textId="49C01744" w:rsidR="006014C0" w:rsidRPr="00BD4A5F" w:rsidRDefault="006014C0" w:rsidP="00574C61">
            <w:pPr>
              <w:pStyle w:val="TblTextCenter"/>
              <w:rPr>
                <w:lang w:val="en-AU"/>
              </w:rPr>
            </w:pPr>
            <w:r w:rsidRPr="00BD4A5F">
              <w:rPr>
                <w:rFonts w:cstheme="minorHAnsi"/>
                <w:lang w:val="en-AU"/>
              </w:rPr>
              <w:t>&lt;0.1</w:t>
            </w:r>
          </w:p>
        </w:tc>
        <w:tc>
          <w:tcPr>
            <w:tcW w:w="1551" w:type="dxa"/>
          </w:tcPr>
          <w:p w14:paraId="253DC327" w14:textId="04AE6198" w:rsidR="006014C0" w:rsidRPr="0083621A" w:rsidRDefault="00BE201F" w:rsidP="00574C61">
            <w:pPr>
              <w:pStyle w:val="TblTextCenter"/>
              <w:rPr>
                <w:rFonts w:cstheme="minorHAnsi"/>
                <w:lang w:val="en-AU"/>
              </w:rPr>
            </w:pPr>
            <w:r w:rsidRPr="0083621A">
              <w:rPr>
                <w:rFonts w:cstheme="minorHAnsi"/>
                <w:lang w:val="en-AU"/>
              </w:rPr>
              <w:t>&lt;0.1</w:t>
            </w:r>
          </w:p>
        </w:tc>
      </w:tr>
      <w:tr w:rsidR="006014C0" w:rsidRPr="0038119B" w14:paraId="31A390D3" w14:textId="4CBDA645" w:rsidTr="006014C0">
        <w:trPr>
          <w:cantSplit/>
          <w:trHeight w:val="360"/>
          <w:jc w:val="center"/>
        </w:trPr>
        <w:tc>
          <w:tcPr>
            <w:tcW w:w="0" w:type="auto"/>
            <w:shd w:val="clear" w:color="auto" w:fill="auto"/>
          </w:tcPr>
          <w:p w14:paraId="3CBEB805" w14:textId="77777777" w:rsidR="006014C0" w:rsidRPr="00BD4A5F" w:rsidRDefault="006014C0" w:rsidP="00574C61">
            <w:pPr>
              <w:pStyle w:val="TblTextCenter"/>
              <w:rPr>
                <w:lang w:val="en-AU"/>
              </w:rPr>
            </w:pPr>
            <w:r w:rsidRPr="00BD4A5F">
              <w:rPr>
                <w:lang w:val="en-AU"/>
              </w:rPr>
              <w:t>Guillain-Barre syndrome</w:t>
            </w:r>
          </w:p>
        </w:tc>
        <w:tc>
          <w:tcPr>
            <w:tcW w:w="0" w:type="auto"/>
            <w:shd w:val="clear" w:color="auto" w:fill="auto"/>
          </w:tcPr>
          <w:p w14:paraId="7BA67C71" w14:textId="266F2B25"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3D00F915" w14:textId="0024FCD2"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6960622F" w14:textId="6BD056EB" w:rsidR="006014C0" w:rsidRPr="00BD4A5F" w:rsidRDefault="006014C0" w:rsidP="00574C61">
            <w:pPr>
              <w:pStyle w:val="TblTextCenter"/>
              <w:rPr>
                <w:lang w:val="en-AU"/>
              </w:rPr>
            </w:pPr>
            <w:r w:rsidRPr="00BD4A5F">
              <w:rPr>
                <w:rFonts w:cstheme="minorHAnsi"/>
                <w:lang w:val="en-AU"/>
              </w:rPr>
              <w:t>&lt;0.1</w:t>
            </w:r>
          </w:p>
        </w:tc>
        <w:tc>
          <w:tcPr>
            <w:tcW w:w="1551" w:type="dxa"/>
          </w:tcPr>
          <w:p w14:paraId="22A07491" w14:textId="4CA237F2" w:rsidR="006014C0" w:rsidRPr="0083621A" w:rsidRDefault="0093697A" w:rsidP="00574C61">
            <w:pPr>
              <w:pStyle w:val="TblTextCenter"/>
              <w:rPr>
                <w:rFonts w:cstheme="minorHAnsi"/>
                <w:lang w:val="en-AU"/>
              </w:rPr>
            </w:pPr>
            <w:r w:rsidRPr="0083621A">
              <w:rPr>
                <w:rFonts w:cstheme="minorHAnsi"/>
                <w:lang w:val="en-AU"/>
              </w:rPr>
              <w:t>0</w:t>
            </w:r>
          </w:p>
        </w:tc>
      </w:tr>
      <w:tr w:rsidR="006014C0" w:rsidRPr="0038119B" w14:paraId="2770C247" w14:textId="1889BA27" w:rsidTr="006014C0">
        <w:trPr>
          <w:cantSplit/>
          <w:trHeight w:val="360"/>
          <w:jc w:val="center"/>
        </w:trPr>
        <w:tc>
          <w:tcPr>
            <w:tcW w:w="0" w:type="auto"/>
            <w:shd w:val="clear" w:color="auto" w:fill="auto"/>
          </w:tcPr>
          <w:p w14:paraId="6AF7A9C5" w14:textId="77777777" w:rsidR="006014C0" w:rsidRPr="00BD4A5F" w:rsidRDefault="006014C0" w:rsidP="00574C61">
            <w:pPr>
              <w:pStyle w:val="TblTextCenter"/>
              <w:rPr>
                <w:lang w:val="en-AU"/>
              </w:rPr>
            </w:pPr>
            <w:r w:rsidRPr="00BD4A5F">
              <w:rPr>
                <w:lang w:val="en-AU"/>
              </w:rPr>
              <w:t>Central nervous system inflammation</w:t>
            </w:r>
          </w:p>
        </w:tc>
        <w:tc>
          <w:tcPr>
            <w:tcW w:w="0" w:type="auto"/>
            <w:shd w:val="clear" w:color="auto" w:fill="auto"/>
          </w:tcPr>
          <w:p w14:paraId="3A38D078" w14:textId="6AE5F45A"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30A266A2" w14:textId="1E177E9D"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614822ED" w14:textId="77777777" w:rsidR="006014C0" w:rsidRPr="00BD4A5F" w:rsidRDefault="006014C0" w:rsidP="00574C61">
            <w:pPr>
              <w:pStyle w:val="TblTextCenter"/>
              <w:rPr>
                <w:lang w:val="en-AU"/>
              </w:rPr>
            </w:pPr>
            <w:r w:rsidRPr="00BD4A5F">
              <w:rPr>
                <w:lang w:val="en-AU"/>
              </w:rPr>
              <w:t>0</w:t>
            </w:r>
          </w:p>
        </w:tc>
        <w:tc>
          <w:tcPr>
            <w:tcW w:w="1551" w:type="dxa"/>
          </w:tcPr>
          <w:p w14:paraId="76B734A5" w14:textId="064917B5" w:rsidR="006014C0" w:rsidRPr="0083621A" w:rsidRDefault="0093697A" w:rsidP="00574C61">
            <w:pPr>
              <w:pStyle w:val="TblTextCenter"/>
              <w:rPr>
                <w:lang w:val="en-AU"/>
              </w:rPr>
            </w:pPr>
            <w:r w:rsidRPr="0083621A">
              <w:rPr>
                <w:lang w:val="en-AU"/>
              </w:rPr>
              <w:t>0</w:t>
            </w:r>
          </w:p>
        </w:tc>
      </w:tr>
      <w:tr w:rsidR="006014C0" w:rsidRPr="0038119B" w14:paraId="093286D3" w14:textId="566FC604" w:rsidTr="006014C0">
        <w:trPr>
          <w:cantSplit/>
          <w:trHeight w:val="360"/>
          <w:jc w:val="center"/>
        </w:trPr>
        <w:tc>
          <w:tcPr>
            <w:tcW w:w="0" w:type="auto"/>
            <w:shd w:val="clear" w:color="auto" w:fill="auto"/>
          </w:tcPr>
          <w:p w14:paraId="47F68FAC" w14:textId="2849FF44" w:rsidR="006014C0" w:rsidRPr="00BD4A5F" w:rsidRDefault="006014C0" w:rsidP="00574C61">
            <w:pPr>
              <w:pStyle w:val="TblTextCenter"/>
              <w:rPr>
                <w:lang w:val="en-AU"/>
              </w:rPr>
            </w:pPr>
            <w:r w:rsidRPr="00BD4A5F">
              <w:rPr>
                <w:rFonts w:cstheme="minorHAnsi"/>
                <w:lang w:val="en-AU"/>
              </w:rPr>
              <w:t>Chronic inflammatory demyelinating polyradiculoneuropathy</w:t>
            </w:r>
          </w:p>
        </w:tc>
        <w:tc>
          <w:tcPr>
            <w:tcW w:w="0" w:type="auto"/>
            <w:shd w:val="clear" w:color="auto" w:fill="auto"/>
          </w:tcPr>
          <w:p w14:paraId="58F28875" w14:textId="39D2A0F4" w:rsidR="006014C0" w:rsidRPr="00BD4A5F" w:rsidRDefault="006014C0" w:rsidP="00574C61">
            <w:pPr>
              <w:pStyle w:val="TblTextCenter"/>
              <w:rPr>
                <w:rFonts w:cstheme="minorHAnsi"/>
                <w:lang w:val="en-AU"/>
              </w:rPr>
            </w:pPr>
            <w:r w:rsidRPr="00BD4A5F">
              <w:rPr>
                <w:rFonts w:cstheme="minorHAnsi"/>
                <w:lang w:val="en-AU"/>
              </w:rPr>
              <w:t>Rare</w:t>
            </w:r>
          </w:p>
        </w:tc>
        <w:tc>
          <w:tcPr>
            <w:tcW w:w="0" w:type="auto"/>
            <w:shd w:val="clear" w:color="auto" w:fill="auto"/>
          </w:tcPr>
          <w:p w14:paraId="6B69DB93" w14:textId="607594E5" w:rsidR="006014C0" w:rsidRPr="00BD4A5F" w:rsidRDefault="006014C0" w:rsidP="00574C61">
            <w:pPr>
              <w:pStyle w:val="TblTextCenter"/>
              <w:rPr>
                <w:rFonts w:cstheme="minorHAnsi"/>
                <w:lang w:val="en-AU"/>
              </w:rPr>
            </w:pPr>
            <w:r w:rsidRPr="00BD4A5F">
              <w:rPr>
                <w:rFonts w:cstheme="minorHAnsi"/>
                <w:lang w:val="en-AU"/>
              </w:rPr>
              <w:t>&lt;0.1</w:t>
            </w:r>
          </w:p>
        </w:tc>
        <w:tc>
          <w:tcPr>
            <w:tcW w:w="0" w:type="auto"/>
            <w:shd w:val="clear" w:color="auto" w:fill="auto"/>
          </w:tcPr>
          <w:p w14:paraId="571985E5" w14:textId="19DDF062" w:rsidR="006014C0" w:rsidRPr="00BD4A5F" w:rsidRDefault="006014C0" w:rsidP="00574C61">
            <w:pPr>
              <w:pStyle w:val="TblTextCenter"/>
              <w:rPr>
                <w:lang w:val="en-AU"/>
              </w:rPr>
            </w:pPr>
            <w:r w:rsidRPr="00BD4A5F">
              <w:rPr>
                <w:rFonts w:cstheme="minorHAnsi"/>
                <w:lang w:val="en-AU"/>
              </w:rPr>
              <w:t>0</w:t>
            </w:r>
          </w:p>
        </w:tc>
        <w:tc>
          <w:tcPr>
            <w:tcW w:w="1551" w:type="dxa"/>
          </w:tcPr>
          <w:p w14:paraId="190C7573" w14:textId="3D1F3799" w:rsidR="006014C0" w:rsidRPr="0083621A" w:rsidRDefault="0093697A" w:rsidP="00574C61">
            <w:pPr>
              <w:pStyle w:val="TblTextCenter"/>
              <w:rPr>
                <w:rFonts w:cstheme="minorHAnsi"/>
                <w:lang w:val="en-AU"/>
              </w:rPr>
            </w:pPr>
            <w:r w:rsidRPr="0083621A">
              <w:rPr>
                <w:rFonts w:cstheme="minorHAnsi"/>
                <w:lang w:val="en-AU"/>
              </w:rPr>
              <w:t>0</w:t>
            </w:r>
          </w:p>
        </w:tc>
      </w:tr>
      <w:tr w:rsidR="006014C0" w:rsidRPr="0038119B" w14:paraId="699FD0EA" w14:textId="2B6F009C" w:rsidTr="006014C0">
        <w:trPr>
          <w:cantSplit/>
          <w:trHeight w:val="360"/>
          <w:jc w:val="center"/>
        </w:trPr>
        <w:tc>
          <w:tcPr>
            <w:tcW w:w="0" w:type="auto"/>
            <w:gridSpan w:val="4"/>
            <w:shd w:val="clear" w:color="auto" w:fill="auto"/>
          </w:tcPr>
          <w:p w14:paraId="193D8EE6" w14:textId="77777777" w:rsidR="006014C0" w:rsidRPr="00BD4A5F" w:rsidRDefault="006014C0" w:rsidP="00574C61">
            <w:pPr>
              <w:pStyle w:val="TblTextCenter"/>
              <w:jc w:val="left"/>
              <w:rPr>
                <w:b/>
                <w:lang w:val="en-AU"/>
              </w:rPr>
            </w:pPr>
            <w:r w:rsidRPr="00BD4A5F">
              <w:rPr>
                <w:b/>
                <w:lang w:val="en-AU"/>
              </w:rPr>
              <w:t>Eye disorders</w:t>
            </w:r>
          </w:p>
        </w:tc>
        <w:tc>
          <w:tcPr>
            <w:tcW w:w="1551" w:type="dxa"/>
          </w:tcPr>
          <w:p w14:paraId="5C773830" w14:textId="77777777" w:rsidR="006014C0" w:rsidRPr="0083621A" w:rsidRDefault="006014C0" w:rsidP="00574C61">
            <w:pPr>
              <w:pStyle w:val="TblTextCenter"/>
              <w:jc w:val="left"/>
              <w:rPr>
                <w:b/>
                <w:lang w:val="en-AU"/>
              </w:rPr>
            </w:pPr>
          </w:p>
        </w:tc>
      </w:tr>
      <w:tr w:rsidR="006014C0" w:rsidRPr="0038119B" w14:paraId="2822F194" w14:textId="41F301E0" w:rsidTr="006014C0">
        <w:trPr>
          <w:cantSplit/>
          <w:trHeight w:val="360"/>
          <w:jc w:val="center"/>
        </w:trPr>
        <w:tc>
          <w:tcPr>
            <w:tcW w:w="0" w:type="auto"/>
            <w:shd w:val="clear" w:color="auto" w:fill="auto"/>
          </w:tcPr>
          <w:p w14:paraId="331E862A" w14:textId="77777777" w:rsidR="006014C0" w:rsidRPr="00BD4A5F" w:rsidRDefault="006014C0" w:rsidP="00574C61">
            <w:pPr>
              <w:pStyle w:val="TblTextCenter"/>
              <w:rPr>
                <w:lang w:val="en-AU"/>
              </w:rPr>
            </w:pPr>
            <w:r w:rsidRPr="00BD4A5F">
              <w:rPr>
                <w:lang w:val="en-AU"/>
              </w:rPr>
              <w:t>Keratitis</w:t>
            </w:r>
          </w:p>
        </w:tc>
        <w:tc>
          <w:tcPr>
            <w:tcW w:w="0" w:type="auto"/>
            <w:shd w:val="clear" w:color="auto" w:fill="auto"/>
          </w:tcPr>
          <w:p w14:paraId="350DB4FA" w14:textId="42754A80" w:rsidR="006014C0" w:rsidRPr="00BD4A5F" w:rsidRDefault="006014C0" w:rsidP="00574C61">
            <w:pPr>
              <w:pStyle w:val="TblTextCenter"/>
              <w:rPr>
                <w:lang w:val="en-AU"/>
              </w:rPr>
            </w:pPr>
            <w:r w:rsidRPr="00BD4A5F">
              <w:rPr>
                <w:rFonts w:cstheme="minorHAnsi"/>
                <w:lang w:val="en-AU"/>
              </w:rPr>
              <w:t>Rare</w:t>
            </w:r>
          </w:p>
        </w:tc>
        <w:tc>
          <w:tcPr>
            <w:tcW w:w="0" w:type="auto"/>
            <w:shd w:val="clear" w:color="auto" w:fill="auto"/>
          </w:tcPr>
          <w:p w14:paraId="69E4ABBE" w14:textId="362A98D9" w:rsidR="006014C0" w:rsidRPr="00BD4A5F" w:rsidRDefault="006014C0" w:rsidP="00574C61">
            <w:pPr>
              <w:pStyle w:val="TblTextCenter"/>
              <w:rPr>
                <w:lang w:val="en-AU"/>
              </w:rPr>
            </w:pPr>
            <w:r w:rsidRPr="00BD4A5F">
              <w:rPr>
                <w:rFonts w:cstheme="minorHAnsi"/>
                <w:lang w:val="en-AU"/>
              </w:rPr>
              <w:t>&lt;0.1</w:t>
            </w:r>
          </w:p>
        </w:tc>
        <w:tc>
          <w:tcPr>
            <w:tcW w:w="0" w:type="auto"/>
            <w:shd w:val="clear" w:color="auto" w:fill="auto"/>
          </w:tcPr>
          <w:p w14:paraId="049D7876" w14:textId="77777777" w:rsidR="006014C0" w:rsidRPr="00BD4A5F" w:rsidRDefault="006014C0" w:rsidP="00574C61">
            <w:pPr>
              <w:pStyle w:val="TblTextCenter"/>
              <w:rPr>
                <w:lang w:val="en-AU"/>
              </w:rPr>
            </w:pPr>
            <w:r w:rsidRPr="00BD4A5F">
              <w:rPr>
                <w:lang w:val="en-AU"/>
              </w:rPr>
              <w:t>0</w:t>
            </w:r>
          </w:p>
        </w:tc>
        <w:tc>
          <w:tcPr>
            <w:tcW w:w="1551" w:type="dxa"/>
          </w:tcPr>
          <w:p w14:paraId="229BB436" w14:textId="71A4AEF0" w:rsidR="006014C0" w:rsidRPr="0083621A" w:rsidRDefault="0093697A" w:rsidP="00574C61">
            <w:pPr>
              <w:pStyle w:val="TblTextCenter"/>
              <w:rPr>
                <w:lang w:val="en-AU"/>
              </w:rPr>
            </w:pPr>
            <w:r w:rsidRPr="0083621A">
              <w:rPr>
                <w:lang w:val="en-AU"/>
              </w:rPr>
              <w:t>0</w:t>
            </w:r>
          </w:p>
        </w:tc>
      </w:tr>
      <w:tr w:rsidR="006014C0" w:rsidRPr="0038119B" w14:paraId="4597AEC3" w14:textId="60607689" w:rsidTr="006014C0">
        <w:trPr>
          <w:cantSplit/>
          <w:trHeight w:val="360"/>
          <w:jc w:val="center"/>
        </w:trPr>
        <w:tc>
          <w:tcPr>
            <w:tcW w:w="0" w:type="auto"/>
            <w:gridSpan w:val="4"/>
            <w:shd w:val="clear" w:color="auto" w:fill="auto"/>
          </w:tcPr>
          <w:p w14:paraId="5F9A82C5" w14:textId="77777777" w:rsidR="006014C0" w:rsidRPr="00BD4A5F" w:rsidRDefault="006014C0" w:rsidP="00574C61">
            <w:pPr>
              <w:pStyle w:val="TblTextCenter"/>
              <w:jc w:val="left"/>
              <w:rPr>
                <w:b/>
                <w:lang w:val="en-AU"/>
              </w:rPr>
            </w:pPr>
            <w:r w:rsidRPr="00BD4A5F">
              <w:rPr>
                <w:b/>
                <w:lang w:val="en-AU"/>
              </w:rPr>
              <w:t>Cardiac disorders</w:t>
            </w:r>
          </w:p>
        </w:tc>
        <w:tc>
          <w:tcPr>
            <w:tcW w:w="1551" w:type="dxa"/>
          </w:tcPr>
          <w:p w14:paraId="6FB04527" w14:textId="77777777" w:rsidR="006014C0" w:rsidRPr="0083621A" w:rsidRDefault="006014C0" w:rsidP="00574C61">
            <w:pPr>
              <w:pStyle w:val="TblTextCenter"/>
              <w:jc w:val="left"/>
              <w:rPr>
                <w:b/>
                <w:lang w:val="en-AU"/>
              </w:rPr>
            </w:pPr>
          </w:p>
        </w:tc>
      </w:tr>
      <w:tr w:rsidR="006014C0" w:rsidRPr="0038119B" w14:paraId="65E5D69F" w14:textId="67F388A6" w:rsidTr="006014C0">
        <w:trPr>
          <w:cantSplit/>
          <w:trHeight w:val="360"/>
          <w:jc w:val="center"/>
        </w:trPr>
        <w:tc>
          <w:tcPr>
            <w:tcW w:w="0" w:type="auto"/>
            <w:shd w:val="clear" w:color="auto" w:fill="auto"/>
          </w:tcPr>
          <w:p w14:paraId="67183798" w14:textId="17649FFD" w:rsidR="006014C0" w:rsidRPr="00BD4A5F" w:rsidRDefault="006014C0" w:rsidP="00574C61">
            <w:pPr>
              <w:pStyle w:val="TblTextCenter"/>
              <w:rPr>
                <w:lang w:val="en-AU"/>
              </w:rPr>
            </w:pPr>
            <w:proofErr w:type="spellStart"/>
            <w:r w:rsidRPr="00BD4A5F">
              <w:rPr>
                <w:lang w:val="en-AU"/>
              </w:rPr>
              <w:t>Myocarditis</w:t>
            </w:r>
            <w:r w:rsidRPr="00BD4A5F">
              <w:rPr>
                <w:rFonts w:cstheme="minorHAnsi"/>
                <w:vertAlign w:val="superscript"/>
                <w:lang w:val="en-AU"/>
              </w:rPr>
              <w:t>h</w:t>
            </w:r>
            <w:proofErr w:type="spellEnd"/>
          </w:p>
        </w:tc>
        <w:tc>
          <w:tcPr>
            <w:tcW w:w="0" w:type="auto"/>
            <w:shd w:val="clear" w:color="auto" w:fill="auto"/>
          </w:tcPr>
          <w:p w14:paraId="2719AA5F"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1EA9C46C" w14:textId="77777777" w:rsidR="006014C0" w:rsidRPr="00BD4A5F" w:rsidRDefault="006014C0" w:rsidP="00574C61">
            <w:pPr>
              <w:pStyle w:val="TblTextCenter"/>
              <w:rPr>
                <w:lang w:val="en-AU"/>
              </w:rPr>
            </w:pPr>
            <w:r w:rsidRPr="00BD4A5F">
              <w:rPr>
                <w:lang w:val="en-AU"/>
              </w:rPr>
              <w:t>0.5</w:t>
            </w:r>
          </w:p>
        </w:tc>
        <w:tc>
          <w:tcPr>
            <w:tcW w:w="0" w:type="auto"/>
            <w:shd w:val="clear" w:color="auto" w:fill="auto"/>
          </w:tcPr>
          <w:p w14:paraId="71E128C4" w14:textId="1B3690FB" w:rsidR="006014C0" w:rsidRPr="00BD4A5F" w:rsidRDefault="006014C0" w:rsidP="00574C61">
            <w:pPr>
              <w:pStyle w:val="TblTextCenter"/>
              <w:rPr>
                <w:lang w:val="en-AU"/>
              </w:rPr>
            </w:pPr>
            <w:r w:rsidRPr="00BD4A5F">
              <w:rPr>
                <w:lang w:val="en-AU"/>
              </w:rPr>
              <w:t>0.</w:t>
            </w:r>
            <w:r w:rsidRPr="00BD4A5F">
              <w:rPr>
                <w:rFonts w:cstheme="minorHAnsi"/>
                <w:lang w:val="en-AU"/>
              </w:rPr>
              <w:t>4</w:t>
            </w:r>
          </w:p>
        </w:tc>
        <w:tc>
          <w:tcPr>
            <w:tcW w:w="1551" w:type="dxa"/>
          </w:tcPr>
          <w:p w14:paraId="04CE425E" w14:textId="3BD1B2BB" w:rsidR="006014C0" w:rsidRPr="0083621A" w:rsidRDefault="0093697A" w:rsidP="00574C61">
            <w:pPr>
              <w:pStyle w:val="TblTextCenter"/>
              <w:rPr>
                <w:lang w:val="en-AU"/>
              </w:rPr>
            </w:pPr>
            <w:r w:rsidRPr="0083621A">
              <w:rPr>
                <w:rFonts w:cstheme="minorHAnsi"/>
                <w:lang w:val="en-AU"/>
              </w:rPr>
              <w:t>&lt;0.1</w:t>
            </w:r>
          </w:p>
        </w:tc>
      </w:tr>
      <w:tr w:rsidR="006014C0" w:rsidRPr="0038119B" w14:paraId="66F9DC9C" w14:textId="638E8596" w:rsidTr="006014C0">
        <w:trPr>
          <w:cantSplit/>
          <w:trHeight w:val="360"/>
          <w:jc w:val="center"/>
        </w:trPr>
        <w:tc>
          <w:tcPr>
            <w:tcW w:w="0" w:type="auto"/>
            <w:shd w:val="clear" w:color="auto" w:fill="auto"/>
          </w:tcPr>
          <w:p w14:paraId="3D676F7F" w14:textId="0B1A2CAE" w:rsidR="006014C0" w:rsidRPr="00BD4A5F" w:rsidRDefault="006014C0" w:rsidP="00574C61">
            <w:pPr>
              <w:pStyle w:val="TblTextCenter"/>
              <w:rPr>
                <w:lang w:val="en-AU"/>
              </w:rPr>
            </w:pPr>
            <w:proofErr w:type="spellStart"/>
            <w:r w:rsidRPr="00BD4A5F">
              <w:rPr>
                <w:lang w:val="en-AU"/>
              </w:rPr>
              <w:t>Pericarditis</w:t>
            </w:r>
            <w:r w:rsidRPr="00BD4A5F">
              <w:rPr>
                <w:rFonts w:cstheme="minorHAnsi"/>
                <w:vertAlign w:val="superscript"/>
                <w:lang w:val="en-AU"/>
              </w:rPr>
              <w:t>i</w:t>
            </w:r>
            <w:proofErr w:type="spellEnd"/>
          </w:p>
        </w:tc>
        <w:tc>
          <w:tcPr>
            <w:tcW w:w="0" w:type="auto"/>
            <w:shd w:val="clear" w:color="auto" w:fill="auto"/>
          </w:tcPr>
          <w:p w14:paraId="442D3DE4" w14:textId="77777777" w:rsidR="006014C0" w:rsidRPr="00BD4A5F" w:rsidRDefault="006014C0" w:rsidP="00574C61">
            <w:pPr>
              <w:pStyle w:val="TblTextCenter"/>
              <w:rPr>
                <w:lang w:val="en-AU"/>
              </w:rPr>
            </w:pPr>
            <w:r w:rsidRPr="00BD4A5F">
              <w:rPr>
                <w:lang w:val="en-AU"/>
              </w:rPr>
              <w:t>Uncommon</w:t>
            </w:r>
          </w:p>
        </w:tc>
        <w:tc>
          <w:tcPr>
            <w:tcW w:w="0" w:type="auto"/>
            <w:shd w:val="clear" w:color="auto" w:fill="auto"/>
          </w:tcPr>
          <w:p w14:paraId="16AC3D1B" w14:textId="0A5A663C"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0" w:type="auto"/>
            <w:shd w:val="clear" w:color="auto" w:fill="auto"/>
          </w:tcPr>
          <w:p w14:paraId="68B0F026" w14:textId="4910BD8D" w:rsidR="006014C0" w:rsidRPr="00BD4A5F" w:rsidRDefault="006014C0" w:rsidP="00574C61">
            <w:pPr>
              <w:pStyle w:val="TblTextCenter"/>
              <w:rPr>
                <w:lang w:val="en-AU"/>
              </w:rPr>
            </w:pPr>
            <w:r w:rsidRPr="00BD4A5F">
              <w:rPr>
                <w:lang w:val="en-AU"/>
              </w:rPr>
              <w:t>0.</w:t>
            </w:r>
            <w:r w:rsidRPr="00BD4A5F">
              <w:rPr>
                <w:rFonts w:cstheme="minorHAnsi"/>
                <w:lang w:val="en-AU"/>
              </w:rPr>
              <w:t>2</w:t>
            </w:r>
          </w:p>
        </w:tc>
        <w:tc>
          <w:tcPr>
            <w:tcW w:w="1551" w:type="dxa"/>
          </w:tcPr>
          <w:p w14:paraId="6DA7B271" w14:textId="3C51E00B" w:rsidR="006014C0" w:rsidRPr="0083621A" w:rsidRDefault="000C7689" w:rsidP="00574C61">
            <w:pPr>
              <w:pStyle w:val="TblTextCenter"/>
              <w:rPr>
                <w:lang w:val="en-AU"/>
              </w:rPr>
            </w:pPr>
            <w:r w:rsidRPr="0083621A">
              <w:rPr>
                <w:lang w:val="en-AU"/>
              </w:rPr>
              <w:t>0</w:t>
            </w:r>
          </w:p>
        </w:tc>
      </w:tr>
      <w:tr w:rsidR="006014C0" w:rsidRPr="0038119B" w14:paraId="42ECD771" w14:textId="75DA919D" w:rsidTr="006014C0">
        <w:trPr>
          <w:cantSplit/>
          <w:trHeight w:val="360"/>
          <w:jc w:val="center"/>
        </w:trPr>
        <w:tc>
          <w:tcPr>
            <w:tcW w:w="0" w:type="auto"/>
            <w:gridSpan w:val="4"/>
            <w:shd w:val="clear" w:color="auto" w:fill="auto"/>
          </w:tcPr>
          <w:p w14:paraId="76EED1A0" w14:textId="1342C9DF" w:rsidR="006014C0" w:rsidRPr="00BD4A5F" w:rsidRDefault="006014C0" w:rsidP="00574C61">
            <w:pPr>
              <w:pStyle w:val="TblTextCenter"/>
              <w:jc w:val="left"/>
              <w:rPr>
                <w:lang w:val="en-AU"/>
              </w:rPr>
            </w:pPr>
            <w:r w:rsidRPr="00BD4A5F">
              <w:rPr>
                <w:rFonts w:cstheme="minorHAnsi"/>
                <w:b/>
                <w:lang w:val="en-AU"/>
              </w:rPr>
              <w:t>Vascular disorders</w:t>
            </w:r>
          </w:p>
        </w:tc>
        <w:tc>
          <w:tcPr>
            <w:tcW w:w="1551" w:type="dxa"/>
          </w:tcPr>
          <w:p w14:paraId="5D111F8E" w14:textId="77777777" w:rsidR="006014C0" w:rsidRPr="0083621A" w:rsidRDefault="006014C0" w:rsidP="00574C61">
            <w:pPr>
              <w:pStyle w:val="TblTextCenter"/>
              <w:jc w:val="left"/>
              <w:rPr>
                <w:rFonts w:cstheme="minorHAnsi"/>
                <w:b/>
                <w:lang w:val="en-AU"/>
              </w:rPr>
            </w:pPr>
          </w:p>
        </w:tc>
      </w:tr>
      <w:tr w:rsidR="006014C0" w:rsidRPr="0038119B" w14:paraId="6BA58D7B" w14:textId="6299DADE" w:rsidTr="006014C0">
        <w:trPr>
          <w:cantSplit/>
          <w:trHeight w:val="360"/>
          <w:jc w:val="center"/>
        </w:trPr>
        <w:tc>
          <w:tcPr>
            <w:tcW w:w="0" w:type="auto"/>
            <w:shd w:val="clear" w:color="auto" w:fill="auto"/>
          </w:tcPr>
          <w:p w14:paraId="6D993CF9" w14:textId="164AFB64" w:rsidR="006014C0" w:rsidRPr="00BD4A5F" w:rsidRDefault="006014C0" w:rsidP="00574C61">
            <w:pPr>
              <w:pStyle w:val="TblTextCenter"/>
              <w:rPr>
                <w:lang w:val="en-AU"/>
              </w:rPr>
            </w:pPr>
            <w:proofErr w:type="spellStart"/>
            <w:r w:rsidRPr="00BD4A5F">
              <w:rPr>
                <w:rFonts w:cstheme="minorHAnsi"/>
                <w:lang w:val="en-AU"/>
              </w:rPr>
              <w:t>Hypertension</w:t>
            </w:r>
            <w:r w:rsidRPr="00BD4A5F">
              <w:rPr>
                <w:rFonts w:cstheme="minorHAnsi"/>
                <w:vertAlign w:val="superscript"/>
                <w:lang w:val="en-AU"/>
              </w:rPr>
              <w:t>j</w:t>
            </w:r>
            <w:proofErr w:type="spellEnd"/>
          </w:p>
        </w:tc>
        <w:tc>
          <w:tcPr>
            <w:tcW w:w="0" w:type="auto"/>
            <w:shd w:val="clear" w:color="auto" w:fill="auto"/>
          </w:tcPr>
          <w:p w14:paraId="2AC5019D" w14:textId="4A840319" w:rsidR="006014C0" w:rsidRPr="00BD4A5F" w:rsidRDefault="006014C0" w:rsidP="00574C61">
            <w:pPr>
              <w:pStyle w:val="TblTextCenter"/>
              <w:rPr>
                <w:lang w:val="en-AU"/>
              </w:rPr>
            </w:pPr>
            <w:r w:rsidRPr="00BD4A5F">
              <w:rPr>
                <w:rFonts w:cstheme="minorHAnsi"/>
                <w:lang w:val="en-AU"/>
              </w:rPr>
              <w:t>Common</w:t>
            </w:r>
          </w:p>
        </w:tc>
        <w:tc>
          <w:tcPr>
            <w:tcW w:w="0" w:type="auto"/>
            <w:shd w:val="clear" w:color="auto" w:fill="auto"/>
          </w:tcPr>
          <w:p w14:paraId="62DB9FE7" w14:textId="4577A37C" w:rsidR="006014C0" w:rsidRPr="00BD4A5F" w:rsidRDefault="006014C0" w:rsidP="00574C61">
            <w:pPr>
              <w:pStyle w:val="TblTextCenter"/>
              <w:rPr>
                <w:lang w:val="en-AU"/>
              </w:rPr>
            </w:pPr>
            <w:r w:rsidRPr="00BD4A5F">
              <w:rPr>
                <w:rFonts w:cstheme="minorHAnsi"/>
                <w:lang w:val="en-AU"/>
              </w:rPr>
              <w:t>4.8</w:t>
            </w:r>
          </w:p>
        </w:tc>
        <w:tc>
          <w:tcPr>
            <w:tcW w:w="0" w:type="auto"/>
            <w:shd w:val="clear" w:color="auto" w:fill="auto"/>
          </w:tcPr>
          <w:p w14:paraId="1E923FC8" w14:textId="19C797E1" w:rsidR="006014C0" w:rsidRPr="00BD4A5F" w:rsidRDefault="006014C0" w:rsidP="00574C61">
            <w:pPr>
              <w:pStyle w:val="TblTextCenter"/>
              <w:rPr>
                <w:lang w:val="en-AU"/>
              </w:rPr>
            </w:pPr>
            <w:r w:rsidRPr="00BD4A5F">
              <w:rPr>
                <w:rFonts w:cstheme="minorHAnsi"/>
                <w:lang w:val="en-AU"/>
              </w:rPr>
              <w:t>1.9</w:t>
            </w:r>
          </w:p>
        </w:tc>
        <w:tc>
          <w:tcPr>
            <w:tcW w:w="1551" w:type="dxa"/>
          </w:tcPr>
          <w:p w14:paraId="436E5D9A" w14:textId="2C0CDABE" w:rsidR="006014C0" w:rsidRPr="0083621A" w:rsidRDefault="000C7689" w:rsidP="00574C61">
            <w:pPr>
              <w:pStyle w:val="TblTextCenter"/>
              <w:rPr>
                <w:rFonts w:cstheme="minorHAnsi"/>
                <w:lang w:val="en-AU"/>
              </w:rPr>
            </w:pPr>
            <w:r w:rsidRPr="0083621A">
              <w:rPr>
                <w:rFonts w:cstheme="minorHAnsi"/>
                <w:lang w:val="en-AU"/>
              </w:rPr>
              <w:t>0</w:t>
            </w:r>
          </w:p>
        </w:tc>
      </w:tr>
      <w:tr w:rsidR="006014C0" w:rsidRPr="0038119B" w14:paraId="0803D5D2" w14:textId="4A684986" w:rsidTr="006014C0">
        <w:trPr>
          <w:cantSplit/>
          <w:trHeight w:val="360"/>
          <w:jc w:val="center"/>
        </w:trPr>
        <w:tc>
          <w:tcPr>
            <w:tcW w:w="0" w:type="auto"/>
            <w:gridSpan w:val="4"/>
            <w:shd w:val="clear" w:color="auto" w:fill="auto"/>
          </w:tcPr>
          <w:p w14:paraId="1AC4B942" w14:textId="5FCB95B4" w:rsidR="006014C0" w:rsidRPr="00BD4A5F" w:rsidRDefault="006014C0" w:rsidP="00574C61">
            <w:pPr>
              <w:pStyle w:val="TblTextCenter"/>
              <w:jc w:val="left"/>
              <w:rPr>
                <w:lang w:val="en-AU"/>
              </w:rPr>
            </w:pPr>
            <w:r w:rsidRPr="00BD4A5F">
              <w:rPr>
                <w:rFonts w:cstheme="minorHAnsi"/>
                <w:b/>
                <w:lang w:val="en-AU"/>
              </w:rPr>
              <w:t>Metabolism and nutrition disorders</w:t>
            </w:r>
          </w:p>
        </w:tc>
        <w:tc>
          <w:tcPr>
            <w:tcW w:w="1551" w:type="dxa"/>
          </w:tcPr>
          <w:p w14:paraId="1DD98953" w14:textId="77777777" w:rsidR="006014C0" w:rsidRPr="0083621A" w:rsidRDefault="006014C0" w:rsidP="00574C61">
            <w:pPr>
              <w:pStyle w:val="TblTextCenter"/>
              <w:jc w:val="left"/>
              <w:rPr>
                <w:rFonts w:cstheme="minorHAnsi"/>
                <w:b/>
                <w:lang w:val="en-AU"/>
              </w:rPr>
            </w:pPr>
          </w:p>
        </w:tc>
      </w:tr>
      <w:tr w:rsidR="006014C0" w:rsidRPr="0038119B" w14:paraId="4FACE0BE" w14:textId="000A9035" w:rsidTr="006014C0">
        <w:trPr>
          <w:cantSplit/>
          <w:trHeight w:val="360"/>
          <w:jc w:val="center"/>
        </w:trPr>
        <w:tc>
          <w:tcPr>
            <w:tcW w:w="0" w:type="auto"/>
            <w:shd w:val="clear" w:color="auto" w:fill="auto"/>
          </w:tcPr>
          <w:p w14:paraId="57CC17B3" w14:textId="1EFC098D" w:rsidR="006014C0" w:rsidRPr="00BD4A5F" w:rsidRDefault="006014C0" w:rsidP="00574C61">
            <w:pPr>
              <w:pStyle w:val="TblTextCenter"/>
              <w:rPr>
                <w:lang w:val="en-AU"/>
              </w:rPr>
            </w:pPr>
            <w:r w:rsidRPr="00BD4A5F">
              <w:rPr>
                <w:rFonts w:cstheme="minorHAnsi"/>
                <w:lang w:val="en-AU"/>
              </w:rPr>
              <w:t>Decreased appetite</w:t>
            </w:r>
          </w:p>
        </w:tc>
        <w:tc>
          <w:tcPr>
            <w:tcW w:w="0" w:type="auto"/>
            <w:shd w:val="clear" w:color="auto" w:fill="auto"/>
          </w:tcPr>
          <w:p w14:paraId="4BB612E1" w14:textId="46073B1E" w:rsidR="006014C0" w:rsidRPr="00BD4A5F" w:rsidRDefault="006014C0" w:rsidP="00574C61">
            <w:pPr>
              <w:pStyle w:val="TblTextCenter"/>
              <w:rPr>
                <w:lang w:val="en-AU"/>
              </w:rPr>
            </w:pPr>
            <w:r w:rsidRPr="00BD4A5F">
              <w:rPr>
                <w:rFonts w:cstheme="minorHAnsi"/>
                <w:lang w:val="en-AU"/>
              </w:rPr>
              <w:t>Very common</w:t>
            </w:r>
          </w:p>
        </w:tc>
        <w:tc>
          <w:tcPr>
            <w:tcW w:w="0" w:type="auto"/>
            <w:shd w:val="clear" w:color="auto" w:fill="auto"/>
          </w:tcPr>
          <w:p w14:paraId="22FF2E50" w14:textId="1E73C006" w:rsidR="006014C0" w:rsidRPr="00BD4A5F" w:rsidRDefault="006014C0" w:rsidP="00574C61">
            <w:pPr>
              <w:pStyle w:val="TblTextCenter"/>
              <w:rPr>
                <w:lang w:val="en-AU"/>
              </w:rPr>
            </w:pPr>
            <w:r w:rsidRPr="00BD4A5F">
              <w:rPr>
                <w:rFonts w:cstheme="minorHAnsi"/>
                <w:lang w:val="en-AU"/>
              </w:rPr>
              <w:t>14.5</w:t>
            </w:r>
          </w:p>
        </w:tc>
        <w:tc>
          <w:tcPr>
            <w:tcW w:w="0" w:type="auto"/>
            <w:shd w:val="clear" w:color="auto" w:fill="auto"/>
          </w:tcPr>
          <w:p w14:paraId="32A06E1B" w14:textId="599A5CA7" w:rsidR="006014C0" w:rsidRPr="00BD4A5F" w:rsidRDefault="006014C0" w:rsidP="00574C61">
            <w:pPr>
              <w:pStyle w:val="TblTextCenter"/>
              <w:rPr>
                <w:lang w:val="en-AU"/>
              </w:rPr>
            </w:pPr>
            <w:r w:rsidRPr="00BD4A5F">
              <w:rPr>
                <w:rFonts w:cstheme="minorHAnsi"/>
                <w:lang w:val="en-AU"/>
              </w:rPr>
              <w:t>0.6</w:t>
            </w:r>
          </w:p>
        </w:tc>
        <w:tc>
          <w:tcPr>
            <w:tcW w:w="1551" w:type="dxa"/>
          </w:tcPr>
          <w:p w14:paraId="304AF1BC" w14:textId="04306F36" w:rsidR="006014C0" w:rsidRPr="0083621A" w:rsidRDefault="000C7689" w:rsidP="00574C61">
            <w:pPr>
              <w:pStyle w:val="TblTextCenter"/>
              <w:rPr>
                <w:rFonts w:cstheme="minorHAnsi"/>
                <w:lang w:val="en-AU"/>
              </w:rPr>
            </w:pPr>
            <w:r w:rsidRPr="0083621A">
              <w:rPr>
                <w:rFonts w:cstheme="minorHAnsi"/>
                <w:lang w:val="en-AU"/>
              </w:rPr>
              <w:t>0</w:t>
            </w:r>
          </w:p>
        </w:tc>
      </w:tr>
      <w:tr w:rsidR="006014C0" w:rsidRPr="0038119B" w14:paraId="5192B251" w14:textId="4F15BB9B" w:rsidTr="006014C0">
        <w:trPr>
          <w:cantSplit/>
          <w:trHeight w:val="360"/>
          <w:jc w:val="center"/>
        </w:trPr>
        <w:tc>
          <w:tcPr>
            <w:tcW w:w="0" w:type="auto"/>
            <w:gridSpan w:val="4"/>
            <w:shd w:val="clear" w:color="auto" w:fill="auto"/>
          </w:tcPr>
          <w:p w14:paraId="1A9141B6" w14:textId="77777777" w:rsidR="006014C0" w:rsidRPr="00BD4A5F" w:rsidRDefault="006014C0" w:rsidP="00574C61">
            <w:pPr>
              <w:pStyle w:val="TblTextCenter"/>
              <w:jc w:val="left"/>
              <w:rPr>
                <w:b/>
                <w:lang w:val="en-AU"/>
              </w:rPr>
            </w:pPr>
            <w:r w:rsidRPr="00BD4A5F">
              <w:rPr>
                <w:b/>
                <w:lang w:val="en-AU"/>
              </w:rPr>
              <w:t xml:space="preserve">Respiratory, </w:t>
            </w:r>
            <w:proofErr w:type="gramStart"/>
            <w:r w:rsidRPr="00BD4A5F">
              <w:rPr>
                <w:b/>
                <w:lang w:val="en-AU"/>
              </w:rPr>
              <w:t>thoracic</w:t>
            </w:r>
            <w:proofErr w:type="gramEnd"/>
            <w:r w:rsidRPr="00BD4A5F">
              <w:rPr>
                <w:b/>
                <w:lang w:val="en-AU"/>
              </w:rPr>
              <w:t xml:space="preserve"> and mediastinal disorders</w:t>
            </w:r>
          </w:p>
        </w:tc>
        <w:tc>
          <w:tcPr>
            <w:tcW w:w="1551" w:type="dxa"/>
          </w:tcPr>
          <w:p w14:paraId="0FCAF9B6" w14:textId="77777777" w:rsidR="006014C0" w:rsidRPr="0083621A" w:rsidRDefault="006014C0" w:rsidP="00574C61">
            <w:pPr>
              <w:pStyle w:val="TblTextCenter"/>
              <w:jc w:val="left"/>
              <w:rPr>
                <w:b/>
                <w:lang w:val="en-AU"/>
              </w:rPr>
            </w:pPr>
          </w:p>
        </w:tc>
      </w:tr>
      <w:tr w:rsidR="006014C0" w:rsidRPr="0038119B" w14:paraId="1F8C1E73" w14:textId="005C81DF" w:rsidTr="006014C0">
        <w:trPr>
          <w:cantSplit/>
          <w:trHeight w:val="360"/>
          <w:jc w:val="center"/>
        </w:trPr>
        <w:tc>
          <w:tcPr>
            <w:tcW w:w="0" w:type="auto"/>
            <w:shd w:val="clear" w:color="auto" w:fill="auto"/>
          </w:tcPr>
          <w:p w14:paraId="1D75D742" w14:textId="31EC504D" w:rsidR="006014C0" w:rsidRPr="00BD4A5F" w:rsidRDefault="006014C0" w:rsidP="001B39B0">
            <w:pPr>
              <w:pStyle w:val="TblTextCenter"/>
              <w:rPr>
                <w:lang w:val="en-AU"/>
              </w:rPr>
            </w:pPr>
            <w:proofErr w:type="spellStart"/>
            <w:r w:rsidRPr="00BD4A5F">
              <w:rPr>
                <w:rFonts w:cstheme="minorHAnsi"/>
                <w:lang w:val="en-AU"/>
              </w:rPr>
              <w:t>Cough</w:t>
            </w:r>
            <w:r w:rsidRPr="00BD4A5F">
              <w:rPr>
                <w:rFonts w:cstheme="minorHAnsi"/>
                <w:vertAlign w:val="superscript"/>
                <w:lang w:val="en-AU"/>
              </w:rPr>
              <w:t>k</w:t>
            </w:r>
            <w:proofErr w:type="spellEnd"/>
          </w:p>
        </w:tc>
        <w:tc>
          <w:tcPr>
            <w:tcW w:w="0" w:type="auto"/>
            <w:shd w:val="clear" w:color="auto" w:fill="auto"/>
          </w:tcPr>
          <w:p w14:paraId="4CCFD272" w14:textId="3F92450F"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5BC94697" w14:textId="69701F1F" w:rsidR="006014C0" w:rsidRPr="00BD4A5F" w:rsidRDefault="006014C0" w:rsidP="001B39B0">
            <w:pPr>
              <w:pStyle w:val="TblTextCenter"/>
              <w:rPr>
                <w:lang w:val="en-AU"/>
              </w:rPr>
            </w:pPr>
            <w:r w:rsidRPr="00BD4A5F">
              <w:rPr>
                <w:rFonts w:cstheme="minorHAnsi"/>
                <w:lang w:val="en-AU"/>
              </w:rPr>
              <w:t>13.1</w:t>
            </w:r>
          </w:p>
        </w:tc>
        <w:tc>
          <w:tcPr>
            <w:tcW w:w="0" w:type="auto"/>
            <w:shd w:val="clear" w:color="auto" w:fill="auto"/>
          </w:tcPr>
          <w:p w14:paraId="53A5ED44" w14:textId="0D66DDD4" w:rsidR="006014C0" w:rsidRPr="00BD4A5F" w:rsidRDefault="006014C0" w:rsidP="001B39B0">
            <w:pPr>
              <w:pStyle w:val="TblTextCenter"/>
              <w:rPr>
                <w:lang w:val="en-AU"/>
              </w:rPr>
            </w:pPr>
            <w:r w:rsidRPr="0083621A">
              <w:rPr>
                <w:lang w:val="en-AU"/>
              </w:rPr>
              <w:t>0.2</w:t>
            </w:r>
          </w:p>
        </w:tc>
        <w:tc>
          <w:tcPr>
            <w:tcW w:w="1551" w:type="dxa"/>
          </w:tcPr>
          <w:p w14:paraId="77EF0A2C" w14:textId="5127295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6220AC54" w14:textId="0EEE1BF5" w:rsidTr="006014C0">
        <w:trPr>
          <w:cantSplit/>
          <w:trHeight w:val="360"/>
          <w:jc w:val="center"/>
        </w:trPr>
        <w:tc>
          <w:tcPr>
            <w:tcW w:w="0" w:type="auto"/>
            <w:shd w:val="clear" w:color="auto" w:fill="auto"/>
          </w:tcPr>
          <w:p w14:paraId="3639F554" w14:textId="6A5D8F5B" w:rsidR="006014C0" w:rsidRPr="00BD4A5F" w:rsidRDefault="006014C0" w:rsidP="001B39B0">
            <w:pPr>
              <w:pStyle w:val="TblTextCenter"/>
              <w:rPr>
                <w:lang w:val="en-AU"/>
              </w:rPr>
            </w:pPr>
            <w:r w:rsidRPr="00BD4A5F">
              <w:rPr>
                <w:rFonts w:cstheme="minorHAnsi"/>
                <w:lang w:val="en-AU"/>
              </w:rPr>
              <w:t>Dyspnoea</w:t>
            </w:r>
            <w:r w:rsidRPr="00BD4A5F">
              <w:rPr>
                <w:rFonts w:cstheme="minorHAnsi"/>
                <w:vertAlign w:val="superscript"/>
                <w:lang w:val="en-AU"/>
              </w:rPr>
              <w:t>l</w:t>
            </w:r>
          </w:p>
        </w:tc>
        <w:tc>
          <w:tcPr>
            <w:tcW w:w="0" w:type="auto"/>
            <w:shd w:val="clear" w:color="auto" w:fill="auto"/>
          </w:tcPr>
          <w:p w14:paraId="68855A6D" w14:textId="6DFB30D5"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5EEAE94D" w14:textId="588D4121" w:rsidR="006014C0" w:rsidRPr="00BD4A5F" w:rsidRDefault="006014C0" w:rsidP="001B39B0">
            <w:pPr>
              <w:pStyle w:val="TblTextCenter"/>
              <w:rPr>
                <w:lang w:val="en-AU"/>
              </w:rPr>
            </w:pPr>
            <w:r w:rsidRPr="00BD4A5F">
              <w:rPr>
                <w:rFonts w:cstheme="minorHAnsi"/>
                <w:lang w:val="en-AU"/>
              </w:rPr>
              <w:t>10.9</w:t>
            </w:r>
          </w:p>
        </w:tc>
        <w:tc>
          <w:tcPr>
            <w:tcW w:w="0" w:type="auto"/>
            <w:shd w:val="clear" w:color="auto" w:fill="auto"/>
          </w:tcPr>
          <w:p w14:paraId="750529C7" w14:textId="1F170E33" w:rsidR="006014C0" w:rsidRPr="00BD4A5F" w:rsidRDefault="000C7689" w:rsidP="001B39B0">
            <w:pPr>
              <w:pStyle w:val="TblTextCenter"/>
              <w:rPr>
                <w:lang w:val="en-AU"/>
              </w:rPr>
            </w:pPr>
            <w:r w:rsidRPr="0083621A">
              <w:rPr>
                <w:lang w:val="en-AU"/>
              </w:rPr>
              <w:t>1.5</w:t>
            </w:r>
          </w:p>
        </w:tc>
        <w:tc>
          <w:tcPr>
            <w:tcW w:w="1551" w:type="dxa"/>
          </w:tcPr>
          <w:p w14:paraId="5FB33A14" w14:textId="57F2907C" w:rsidR="006014C0" w:rsidRPr="0083621A" w:rsidRDefault="000C7689" w:rsidP="001B39B0">
            <w:pPr>
              <w:pStyle w:val="TblTextCenter"/>
              <w:rPr>
                <w:rFonts w:cstheme="minorHAnsi"/>
                <w:lang w:val="en-AU"/>
              </w:rPr>
            </w:pPr>
            <w:r w:rsidRPr="0083621A">
              <w:rPr>
                <w:rFonts w:cstheme="minorHAnsi"/>
                <w:lang w:val="en-AU"/>
              </w:rPr>
              <w:t>&lt;0.1</w:t>
            </w:r>
          </w:p>
        </w:tc>
      </w:tr>
      <w:tr w:rsidR="006014C0" w:rsidRPr="0038119B" w14:paraId="1FC5B32F" w14:textId="7858F4B2" w:rsidTr="006014C0">
        <w:trPr>
          <w:cantSplit/>
          <w:trHeight w:val="360"/>
          <w:jc w:val="center"/>
        </w:trPr>
        <w:tc>
          <w:tcPr>
            <w:tcW w:w="0" w:type="auto"/>
            <w:shd w:val="clear" w:color="auto" w:fill="auto"/>
          </w:tcPr>
          <w:p w14:paraId="03CFA70B" w14:textId="2A8C0D3A" w:rsidR="006014C0" w:rsidRPr="00BD4A5F" w:rsidRDefault="006014C0" w:rsidP="001B39B0">
            <w:pPr>
              <w:pStyle w:val="TblTextCenter"/>
              <w:rPr>
                <w:lang w:val="en-AU"/>
              </w:rPr>
            </w:pPr>
            <w:proofErr w:type="spellStart"/>
            <w:r w:rsidRPr="00BD4A5F">
              <w:rPr>
                <w:lang w:val="en-AU"/>
              </w:rPr>
              <w:t>Pneumonitis</w:t>
            </w:r>
            <w:r w:rsidRPr="00BD4A5F">
              <w:rPr>
                <w:rFonts w:cstheme="minorHAnsi"/>
                <w:vertAlign w:val="superscript"/>
                <w:lang w:val="en-AU"/>
              </w:rPr>
              <w:t>m</w:t>
            </w:r>
            <w:proofErr w:type="spellEnd"/>
          </w:p>
        </w:tc>
        <w:tc>
          <w:tcPr>
            <w:tcW w:w="0" w:type="auto"/>
            <w:shd w:val="clear" w:color="auto" w:fill="auto"/>
          </w:tcPr>
          <w:p w14:paraId="50480DC3" w14:textId="77777777"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7744D797" w14:textId="7BC6734D" w:rsidR="006014C0" w:rsidRPr="00BD4A5F" w:rsidRDefault="006014C0" w:rsidP="001B39B0">
            <w:pPr>
              <w:pStyle w:val="TblTextCenter"/>
              <w:rPr>
                <w:lang w:val="en-AU"/>
              </w:rPr>
            </w:pPr>
            <w:r w:rsidRPr="00BD4A5F">
              <w:rPr>
                <w:rFonts w:cstheme="minorHAnsi"/>
                <w:lang w:val="en-AU"/>
              </w:rPr>
              <w:t>3.8</w:t>
            </w:r>
          </w:p>
        </w:tc>
        <w:tc>
          <w:tcPr>
            <w:tcW w:w="0" w:type="auto"/>
            <w:shd w:val="clear" w:color="auto" w:fill="auto"/>
          </w:tcPr>
          <w:p w14:paraId="270FAF52" w14:textId="78960638" w:rsidR="006014C0" w:rsidRPr="00BD4A5F" w:rsidRDefault="000C7689" w:rsidP="001B39B0">
            <w:pPr>
              <w:pStyle w:val="TblTextCenter"/>
              <w:rPr>
                <w:lang w:val="en-AU"/>
              </w:rPr>
            </w:pPr>
            <w:r w:rsidRPr="0083621A">
              <w:rPr>
                <w:lang w:val="en-AU"/>
              </w:rPr>
              <w:t>1.1</w:t>
            </w:r>
          </w:p>
        </w:tc>
        <w:tc>
          <w:tcPr>
            <w:tcW w:w="1551" w:type="dxa"/>
          </w:tcPr>
          <w:p w14:paraId="07B053F1" w14:textId="3BC1F1C8" w:rsidR="006014C0" w:rsidRPr="0083621A" w:rsidRDefault="000C7689" w:rsidP="001B39B0">
            <w:pPr>
              <w:pStyle w:val="TblTextCenter"/>
              <w:rPr>
                <w:rFonts w:cstheme="minorHAnsi"/>
                <w:lang w:val="en-AU"/>
              </w:rPr>
            </w:pPr>
            <w:r w:rsidRPr="0083621A">
              <w:rPr>
                <w:rFonts w:cstheme="minorHAnsi"/>
                <w:lang w:val="en-AU"/>
              </w:rPr>
              <w:t>0.2</w:t>
            </w:r>
          </w:p>
        </w:tc>
      </w:tr>
      <w:tr w:rsidR="006014C0" w:rsidRPr="0038119B" w14:paraId="565DC750" w14:textId="51FF1840" w:rsidTr="006014C0">
        <w:trPr>
          <w:cantSplit/>
          <w:trHeight w:val="360"/>
          <w:jc w:val="center"/>
        </w:trPr>
        <w:tc>
          <w:tcPr>
            <w:tcW w:w="0" w:type="auto"/>
            <w:gridSpan w:val="4"/>
            <w:shd w:val="clear" w:color="auto" w:fill="auto"/>
          </w:tcPr>
          <w:p w14:paraId="7E77D61B" w14:textId="77777777" w:rsidR="006014C0" w:rsidRPr="00BD4A5F" w:rsidRDefault="006014C0" w:rsidP="001B39B0">
            <w:pPr>
              <w:pStyle w:val="TblTextCenter"/>
              <w:jc w:val="left"/>
              <w:rPr>
                <w:b/>
                <w:lang w:val="en-AU"/>
              </w:rPr>
            </w:pPr>
            <w:r w:rsidRPr="00BD4A5F">
              <w:rPr>
                <w:b/>
                <w:lang w:val="en-AU"/>
              </w:rPr>
              <w:t>Gastrointestinal disorders</w:t>
            </w:r>
          </w:p>
        </w:tc>
        <w:tc>
          <w:tcPr>
            <w:tcW w:w="1551" w:type="dxa"/>
          </w:tcPr>
          <w:p w14:paraId="42522412" w14:textId="77777777" w:rsidR="006014C0" w:rsidRPr="0083621A" w:rsidRDefault="006014C0" w:rsidP="001B39B0">
            <w:pPr>
              <w:pStyle w:val="TblTextCenter"/>
              <w:jc w:val="left"/>
              <w:rPr>
                <w:b/>
                <w:lang w:val="en-AU"/>
              </w:rPr>
            </w:pPr>
          </w:p>
        </w:tc>
      </w:tr>
      <w:tr w:rsidR="006014C0" w:rsidRPr="0038119B" w14:paraId="76AB9505" w14:textId="66DE0376" w:rsidTr="006014C0">
        <w:trPr>
          <w:cantSplit/>
          <w:trHeight w:val="360"/>
          <w:jc w:val="center"/>
        </w:trPr>
        <w:tc>
          <w:tcPr>
            <w:tcW w:w="0" w:type="auto"/>
            <w:shd w:val="clear" w:color="auto" w:fill="auto"/>
          </w:tcPr>
          <w:p w14:paraId="2A5B6B5E" w14:textId="66133340" w:rsidR="006014C0" w:rsidRPr="00BD4A5F" w:rsidRDefault="006014C0" w:rsidP="001B39B0">
            <w:pPr>
              <w:pStyle w:val="TblTextCenter"/>
              <w:rPr>
                <w:lang w:val="en-AU"/>
              </w:rPr>
            </w:pPr>
            <w:r w:rsidRPr="00BD4A5F">
              <w:rPr>
                <w:rFonts w:cstheme="minorHAnsi"/>
                <w:lang w:val="en-AU"/>
              </w:rPr>
              <w:t>Nausea</w:t>
            </w:r>
          </w:p>
        </w:tc>
        <w:tc>
          <w:tcPr>
            <w:tcW w:w="0" w:type="auto"/>
            <w:shd w:val="clear" w:color="auto" w:fill="auto"/>
          </w:tcPr>
          <w:p w14:paraId="1032CE6E" w14:textId="09A20CEC"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0826028E" w14:textId="28D67814" w:rsidR="006014C0" w:rsidRPr="00BD4A5F" w:rsidRDefault="006014C0" w:rsidP="001B39B0">
            <w:pPr>
              <w:pStyle w:val="TblTextCenter"/>
              <w:rPr>
                <w:lang w:val="en-AU"/>
              </w:rPr>
            </w:pPr>
            <w:r w:rsidRPr="00BD4A5F">
              <w:rPr>
                <w:rFonts w:cstheme="minorHAnsi"/>
                <w:lang w:val="en-AU"/>
              </w:rPr>
              <w:t>17.4</w:t>
            </w:r>
          </w:p>
        </w:tc>
        <w:tc>
          <w:tcPr>
            <w:tcW w:w="0" w:type="auto"/>
            <w:shd w:val="clear" w:color="auto" w:fill="auto"/>
          </w:tcPr>
          <w:p w14:paraId="353CC057" w14:textId="46C94F89" w:rsidR="006014C0" w:rsidRPr="00BD4A5F" w:rsidRDefault="006014C0" w:rsidP="001B39B0">
            <w:pPr>
              <w:pStyle w:val="TblTextCenter"/>
              <w:rPr>
                <w:lang w:val="en-AU"/>
              </w:rPr>
            </w:pPr>
            <w:r w:rsidRPr="00BD4A5F">
              <w:rPr>
                <w:rFonts w:cstheme="minorHAnsi"/>
                <w:lang w:val="en-AU"/>
              </w:rPr>
              <w:t>0.4</w:t>
            </w:r>
          </w:p>
        </w:tc>
        <w:tc>
          <w:tcPr>
            <w:tcW w:w="1551" w:type="dxa"/>
          </w:tcPr>
          <w:p w14:paraId="6E37BDC0" w14:textId="1A655E26"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1BD39C86" w14:textId="3AC44364" w:rsidTr="006014C0">
        <w:trPr>
          <w:cantSplit/>
          <w:trHeight w:val="360"/>
          <w:jc w:val="center"/>
        </w:trPr>
        <w:tc>
          <w:tcPr>
            <w:tcW w:w="0" w:type="auto"/>
            <w:shd w:val="clear" w:color="auto" w:fill="auto"/>
          </w:tcPr>
          <w:p w14:paraId="66B42B7E" w14:textId="1DEDEEEB" w:rsidR="006014C0" w:rsidRPr="00BD4A5F" w:rsidRDefault="006014C0" w:rsidP="001B39B0">
            <w:pPr>
              <w:pStyle w:val="TblTextCenter"/>
              <w:rPr>
                <w:lang w:val="en-AU"/>
              </w:rPr>
            </w:pPr>
            <w:r w:rsidRPr="00BD4A5F">
              <w:rPr>
                <w:lang w:val="en-AU"/>
              </w:rPr>
              <w:t>Diarrhoea</w:t>
            </w:r>
          </w:p>
        </w:tc>
        <w:tc>
          <w:tcPr>
            <w:tcW w:w="0" w:type="auto"/>
            <w:shd w:val="clear" w:color="auto" w:fill="auto"/>
          </w:tcPr>
          <w:p w14:paraId="28F55C0A"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67D8A83F" w14:textId="0A59389C" w:rsidR="006014C0" w:rsidRPr="00BD4A5F" w:rsidRDefault="006014C0" w:rsidP="001B39B0">
            <w:pPr>
              <w:pStyle w:val="TblTextCenter"/>
              <w:rPr>
                <w:lang w:val="en-AU"/>
              </w:rPr>
            </w:pPr>
            <w:r w:rsidRPr="00BD4A5F">
              <w:rPr>
                <w:rFonts w:cstheme="minorHAnsi"/>
                <w:lang w:val="en-AU"/>
              </w:rPr>
              <w:t>16.7</w:t>
            </w:r>
          </w:p>
        </w:tc>
        <w:tc>
          <w:tcPr>
            <w:tcW w:w="0" w:type="auto"/>
            <w:shd w:val="clear" w:color="auto" w:fill="auto"/>
          </w:tcPr>
          <w:p w14:paraId="7DBB7710" w14:textId="1BDD6076" w:rsidR="006014C0" w:rsidRPr="00BD4A5F" w:rsidRDefault="006014C0" w:rsidP="001B39B0">
            <w:pPr>
              <w:pStyle w:val="TblTextCenter"/>
              <w:rPr>
                <w:lang w:val="en-AU"/>
              </w:rPr>
            </w:pPr>
            <w:r w:rsidRPr="00BD4A5F">
              <w:rPr>
                <w:lang w:val="en-AU"/>
              </w:rPr>
              <w:t>0.</w:t>
            </w:r>
            <w:r w:rsidRPr="00BD4A5F">
              <w:rPr>
                <w:rFonts w:cstheme="minorHAnsi"/>
                <w:lang w:val="en-AU"/>
              </w:rPr>
              <w:t>6</w:t>
            </w:r>
          </w:p>
        </w:tc>
        <w:tc>
          <w:tcPr>
            <w:tcW w:w="1551" w:type="dxa"/>
          </w:tcPr>
          <w:p w14:paraId="165A2933" w14:textId="3DD99F23" w:rsidR="006014C0" w:rsidRPr="0083621A" w:rsidRDefault="000C7689" w:rsidP="001B39B0">
            <w:pPr>
              <w:pStyle w:val="TblTextCenter"/>
              <w:rPr>
                <w:lang w:val="en-AU"/>
              </w:rPr>
            </w:pPr>
            <w:r w:rsidRPr="0083621A">
              <w:rPr>
                <w:lang w:val="en-AU"/>
              </w:rPr>
              <w:t>0</w:t>
            </w:r>
          </w:p>
        </w:tc>
      </w:tr>
      <w:tr w:rsidR="006014C0" w:rsidRPr="0038119B" w14:paraId="763DA526" w14:textId="48DE1AB1" w:rsidTr="006014C0">
        <w:trPr>
          <w:cantSplit/>
          <w:trHeight w:val="360"/>
          <w:jc w:val="center"/>
        </w:trPr>
        <w:tc>
          <w:tcPr>
            <w:tcW w:w="0" w:type="auto"/>
            <w:shd w:val="clear" w:color="auto" w:fill="auto"/>
          </w:tcPr>
          <w:p w14:paraId="6AD6C44F" w14:textId="38A6AA9E" w:rsidR="006014C0" w:rsidRPr="00BD4A5F" w:rsidRDefault="006014C0" w:rsidP="001B39B0">
            <w:pPr>
              <w:pStyle w:val="TblTextCenter"/>
              <w:rPr>
                <w:lang w:val="en-AU"/>
              </w:rPr>
            </w:pPr>
            <w:r w:rsidRPr="00BD4A5F">
              <w:rPr>
                <w:rFonts w:cstheme="minorHAnsi"/>
                <w:lang w:val="en-AU"/>
              </w:rPr>
              <w:t>Constipation</w:t>
            </w:r>
          </w:p>
        </w:tc>
        <w:tc>
          <w:tcPr>
            <w:tcW w:w="0" w:type="auto"/>
            <w:shd w:val="clear" w:color="auto" w:fill="auto"/>
          </w:tcPr>
          <w:p w14:paraId="4C35EB82" w14:textId="6CEC33BB"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4B98A7C7" w14:textId="3C897FF3" w:rsidR="006014C0" w:rsidRPr="00BD4A5F" w:rsidRDefault="006014C0" w:rsidP="001B39B0">
            <w:pPr>
              <w:pStyle w:val="TblTextCenter"/>
              <w:rPr>
                <w:lang w:val="en-AU"/>
              </w:rPr>
            </w:pPr>
            <w:r w:rsidRPr="00BD4A5F">
              <w:rPr>
                <w:rFonts w:cstheme="minorHAnsi"/>
                <w:lang w:val="en-AU"/>
              </w:rPr>
              <w:t>13.7</w:t>
            </w:r>
          </w:p>
        </w:tc>
        <w:tc>
          <w:tcPr>
            <w:tcW w:w="0" w:type="auto"/>
            <w:shd w:val="clear" w:color="auto" w:fill="auto"/>
          </w:tcPr>
          <w:p w14:paraId="3A69570F" w14:textId="01FE603A" w:rsidR="006014C0" w:rsidRPr="00BD4A5F" w:rsidRDefault="006014C0" w:rsidP="001B39B0">
            <w:pPr>
              <w:pStyle w:val="TblTextCenter"/>
              <w:rPr>
                <w:lang w:val="en-AU"/>
              </w:rPr>
            </w:pPr>
            <w:r w:rsidRPr="00BD4A5F">
              <w:rPr>
                <w:rFonts w:cstheme="minorHAnsi"/>
                <w:lang w:val="en-AU"/>
              </w:rPr>
              <w:t>0.4</w:t>
            </w:r>
          </w:p>
        </w:tc>
        <w:tc>
          <w:tcPr>
            <w:tcW w:w="1551" w:type="dxa"/>
          </w:tcPr>
          <w:p w14:paraId="0BB2E540" w14:textId="6D0F03CB"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3289F4C7" w14:textId="4D65BE2E" w:rsidTr="006014C0">
        <w:trPr>
          <w:cantSplit/>
          <w:trHeight w:val="360"/>
          <w:jc w:val="center"/>
        </w:trPr>
        <w:tc>
          <w:tcPr>
            <w:tcW w:w="0" w:type="auto"/>
            <w:shd w:val="clear" w:color="auto" w:fill="auto"/>
          </w:tcPr>
          <w:p w14:paraId="587D6A69" w14:textId="2256729E" w:rsidR="006014C0" w:rsidRPr="00BD4A5F" w:rsidRDefault="006014C0" w:rsidP="001B39B0">
            <w:pPr>
              <w:pStyle w:val="TblTextCenter"/>
              <w:rPr>
                <w:lang w:val="en-AU"/>
              </w:rPr>
            </w:pPr>
            <w:r w:rsidRPr="00BD4A5F">
              <w:rPr>
                <w:rFonts w:cstheme="minorHAnsi"/>
                <w:lang w:val="en-AU"/>
              </w:rPr>
              <w:t xml:space="preserve">Abdominal </w:t>
            </w:r>
            <w:proofErr w:type="spellStart"/>
            <w:r w:rsidRPr="00BD4A5F">
              <w:rPr>
                <w:rFonts w:cstheme="minorHAnsi"/>
                <w:lang w:val="en-AU"/>
              </w:rPr>
              <w:t>pain</w:t>
            </w:r>
            <w:r w:rsidRPr="00BD4A5F">
              <w:rPr>
                <w:rFonts w:cstheme="minorHAnsi"/>
                <w:vertAlign w:val="superscript"/>
                <w:lang w:val="en-AU"/>
              </w:rPr>
              <w:t>n</w:t>
            </w:r>
            <w:proofErr w:type="spellEnd"/>
          </w:p>
        </w:tc>
        <w:tc>
          <w:tcPr>
            <w:tcW w:w="0" w:type="auto"/>
            <w:shd w:val="clear" w:color="auto" w:fill="auto"/>
          </w:tcPr>
          <w:p w14:paraId="5E682445" w14:textId="1CC89B7E" w:rsidR="006014C0" w:rsidRPr="00BD4A5F" w:rsidRDefault="006014C0" w:rsidP="001B39B0">
            <w:pPr>
              <w:pStyle w:val="TblTextCenter"/>
              <w:rPr>
                <w:lang w:val="en-AU"/>
              </w:rPr>
            </w:pPr>
            <w:r w:rsidRPr="00BD4A5F">
              <w:rPr>
                <w:rFonts w:cstheme="minorHAnsi"/>
                <w:lang w:val="en-AU"/>
              </w:rPr>
              <w:t>Very common</w:t>
            </w:r>
          </w:p>
        </w:tc>
        <w:tc>
          <w:tcPr>
            <w:tcW w:w="0" w:type="auto"/>
            <w:shd w:val="clear" w:color="auto" w:fill="auto"/>
          </w:tcPr>
          <w:p w14:paraId="5C445B02" w14:textId="5701F389" w:rsidR="006014C0" w:rsidRPr="00BD4A5F" w:rsidRDefault="006014C0" w:rsidP="001B39B0">
            <w:pPr>
              <w:pStyle w:val="TblTextCenter"/>
              <w:rPr>
                <w:lang w:val="en-AU"/>
              </w:rPr>
            </w:pPr>
            <w:r w:rsidRPr="00BD4A5F">
              <w:rPr>
                <w:rFonts w:cstheme="minorHAnsi"/>
                <w:lang w:val="en-AU"/>
              </w:rPr>
              <w:t>11.2</w:t>
            </w:r>
          </w:p>
        </w:tc>
        <w:tc>
          <w:tcPr>
            <w:tcW w:w="0" w:type="auto"/>
            <w:shd w:val="clear" w:color="auto" w:fill="auto"/>
          </w:tcPr>
          <w:p w14:paraId="456443CD" w14:textId="00E8A28B" w:rsidR="006014C0" w:rsidRPr="00BD4A5F" w:rsidRDefault="006014C0" w:rsidP="001B39B0">
            <w:pPr>
              <w:pStyle w:val="TblTextCenter"/>
              <w:rPr>
                <w:lang w:val="en-AU"/>
              </w:rPr>
            </w:pPr>
            <w:r w:rsidRPr="00BD4A5F">
              <w:rPr>
                <w:rFonts w:cstheme="minorHAnsi"/>
                <w:lang w:val="en-AU"/>
              </w:rPr>
              <w:t>0.8</w:t>
            </w:r>
          </w:p>
        </w:tc>
        <w:tc>
          <w:tcPr>
            <w:tcW w:w="1551" w:type="dxa"/>
          </w:tcPr>
          <w:p w14:paraId="533DB663" w14:textId="7411860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74F375EF" w14:textId="64D00408" w:rsidTr="006014C0">
        <w:trPr>
          <w:cantSplit/>
          <w:trHeight w:val="360"/>
          <w:jc w:val="center"/>
        </w:trPr>
        <w:tc>
          <w:tcPr>
            <w:tcW w:w="0" w:type="auto"/>
            <w:shd w:val="clear" w:color="auto" w:fill="auto"/>
          </w:tcPr>
          <w:p w14:paraId="746A8488" w14:textId="77B064D1" w:rsidR="006014C0" w:rsidRPr="00BD4A5F" w:rsidRDefault="006014C0" w:rsidP="001B39B0">
            <w:pPr>
              <w:pStyle w:val="TblTextCenter"/>
              <w:rPr>
                <w:lang w:val="en-AU"/>
              </w:rPr>
            </w:pPr>
            <w:r w:rsidRPr="00BD4A5F">
              <w:rPr>
                <w:rFonts w:cstheme="minorHAnsi"/>
                <w:lang w:val="en-AU"/>
              </w:rPr>
              <w:t>Vomiting</w:t>
            </w:r>
          </w:p>
        </w:tc>
        <w:tc>
          <w:tcPr>
            <w:tcW w:w="0" w:type="auto"/>
            <w:shd w:val="clear" w:color="auto" w:fill="auto"/>
          </w:tcPr>
          <w:p w14:paraId="356B4919" w14:textId="45189A37" w:rsidR="006014C0" w:rsidRPr="00BD4A5F" w:rsidRDefault="006014C0" w:rsidP="001B39B0">
            <w:pPr>
              <w:pStyle w:val="TblTextCenter"/>
              <w:rPr>
                <w:lang w:val="en-AU"/>
              </w:rPr>
            </w:pPr>
            <w:r w:rsidRPr="00BD4A5F">
              <w:rPr>
                <w:rFonts w:cstheme="minorHAnsi"/>
                <w:lang w:val="en-AU"/>
              </w:rPr>
              <w:t>Common</w:t>
            </w:r>
          </w:p>
        </w:tc>
        <w:tc>
          <w:tcPr>
            <w:tcW w:w="0" w:type="auto"/>
            <w:shd w:val="clear" w:color="auto" w:fill="auto"/>
          </w:tcPr>
          <w:p w14:paraId="6FE008F0" w14:textId="5BE111C3" w:rsidR="006014C0" w:rsidRPr="00BD4A5F" w:rsidRDefault="006014C0" w:rsidP="001B39B0">
            <w:pPr>
              <w:pStyle w:val="TblTextCenter"/>
              <w:rPr>
                <w:lang w:val="en-AU"/>
              </w:rPr>
            </w:pPr>
            <w:r w:rsidRPr="00BD4A5F">
              <w:rPr>
                <w:rFonts w:cstheme="minorHAnsi"/>
                <w:lang w:val="en-AU"/>
              </w:rPr>
              <w:t>9.5</w:t>
            </w:r>
          </w:p>
        </w:tc>
        <w:tc>
          <w:tcPr>
            <w:tcW w:w="0" w:type="auto"/>
            <w:shd w:val="clear" w:color="auto" w:fill="auto"/>
          </w:tcPr>
          <w:p w14:paraId="00C3DC9F" w14:textId="64734140" w:rsidR="006014C0" w:rsidRPr="00BD4A5F" w:rsidRDefault="006014C0" w:rsidP="001B39B0">
            <w:pPr>
              <w:pStyle w:val="TblTextCenter"/>
              <w:rPr>
                <w:lang w:val="en-AU"/>
              </w:rPr>
            </w:pPr>
            <w:r w:rsidRPr="00BD4A5F">
              <w:rPr>
                <w:rFonts w:cstheme="minorHAnsi"/>
                <w:lang w:val="en-AU"/>
              </w:rPr>
              <w:t>0.5</w:t>
            </w:r>
          </w:p>
        </w:tc>
        <w:tc>
          <w:tcPr>
            <w:tcW w:w="1551" w:type="dxa"/>
          </w:tcPr>
          <w:p w14:paraId="1B378B8A" w14:textId="5F4F50A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0DE81EB2" w14:textId="27321488" w:rsidTr="006014C0">
        <w:trPr>
          <w:cantSplit/>
          <w:trHeight w:val="360"/>
          <w:jc w:val="center"/>
        </w:trPr>
        <w:tc>
          <w:tcPr>
            <w:tcW w:w="0" w:type="auto"/>
            <w:shd w:val="clear" w:color="auto" w:fill="auto"/>
          </w:tcPr>
          <w:p w14:paraId="20286FF6" w14:textId="77777777" w:rsidR="006014C0" w:rsidRPr="00BD4A5F" w:rsidRDefault="006014C0" w:rsidP="001B39B0">
            <w:pPr>
              <w:pStyle w:val="TblTextCenter"/>
              <w:rPr>
                <w:lang w:val="en-AU"/>
              </w:rPr>
            </w:pPr>
            <w:r w:rsidRPr="00BD4A5F">
              <w:rPr>
                <w:lang w:val="en-AU"/>
              </w:rPr>
              <w:t>Stomatitis</w:t>
            </w:r>
          </w:p>
        </w:tc>
        <w:tc>
          <w:tcPr>
            <w:tcW w:w="0" w:type="auto"/>
            <w:shd w:val="clear" w:color="auto" w:fill="auto"/>
          </w:tcPr>
          <w:p w14:paraId="4A5BFB72" w14:textId="77777777"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45CA1E67" w14:textId="16CA53A7" w:rsidR="006014C0" w:rsidRPr="00BD4A5F" w:rsidRDefault="006014C0" w:rsidP="001B39B0">
            <w:pPr>
              <w:pStyle w:val="TblTextCenter"/>
              <w:rPr>
                <w:lang w:val="en-AU"/>
              </w:rPr>
            </w:pPr>
            <w:r w:rsidRPr="00BD4A5F">
              <w:rPr>
                <w:lang w:val="en-AU"/>
              </w:rPr>
              <w:t>2.1</w:t>
            </w:r>
          </w:p>
        </w:tc>
        <w:tc>
          <w:tcPr>
            <w:tcW w:w="0" w:type="auto"/>
            <w:shd w:val="clear" w:color="auto" w:fill="auto"/>
          </w:tcPr>
          <w:p w14:paraId="75FD3506" w14:textId="77777777" w:rsidR="006014C0" w:rsidRPr="00BD4A5F" w:rsidRDefault="006014C0" w:rsidP="001B39B0">
            <w:pPr>
              <w:pStyle w:val="TblTextCenter"/>
              <w:rPr>
                <w:lang w:val="en-AU"/>
              </w:rPr>
            </w:pPr>
            <w:r w:rsidRPr="00BD4A5F">
              <w:rPr>
                <w:lang w:val="en-AU"/>
              </w:rPr>
              <w:t>0</w:t>
            </w:r>
          </w:p>
        </w:tc>
        <w:tc>
          <w:tcPr>
            <w:tcW w:w="1551" w:type="dxa"/>
          </w:tcPr>
          <w:p w14:paraId="474A68C4" w14:textId="00D5BA43" w:rsidR="006014C0" w:rsidRPr="0083621A" w:rsidRDefault="000C7689" w:rsidP="001B39B0">
            <w:pPr>
              <w:pStyle w:val="TblTextCenter"/>
              <w:rPr>
                <w:lang w:val="en-AU"/>
              </w:rPr>
            </w:pPr>
            <w:r w:rsidRPr="0083621A">
              <w:rPr>
                <w:lang w:val="en-AU"/>
              </w:rPr>
              <w:t>0</w:t>
            </w:r>
          </w:p>
        </w:tc>
      </w:tr>
      <w:tr w:rsidR="006014C0" w:rsidRPr="0038119B" w14:paraId="400DC48B" w14:textId="6589F300" w:rsidTr="006014C0">
        <w:trPr>
          <w:cantSplit/>
          <w:trHeight w:val="360"/>
          <w:jc w:val="center"/>
        </w:trPr>
        <w:tc>
          <w:tcPr>
            <w:tcW w:w="0" w:type="auto"/>
            <w:shd w:val="clear" w:color="auto" w:fill="auto"/>
          </w:tcPr>
          <w:p w14:paraId="063CA401" w14:textId="3397C615" w:rsidR="006014C0" w:rsidRPr="00BD4A5F" w:rsidRDefault="006014C0" w:rsidP="001B39B0">
            <w:pPr>
              <w:pStyle w:val="TblTextCenter"/>
              <w:rPr>
                <w:lang w:val="en-AU"/>
              </w:rPr>
            </w:pPr>
            <w:proofErr w:type="spellStart"/>
            <w:r w:rsidRPr="00BD4A5F">
              <w:rPr>
                <w:lang w:val="en-AU"/>
              </w:rPr>
              <w:t>Colitis</w:t>
            </w:r>
            <w:r w:rsidRPr="00BD4A5F">
              <w:rPr>
                <w:vertAlign w:val="superscript"/>
                <w:lang w:val="en-AU"/>
              </w:rPr>
              <w:t>o</w:t>
            </w:r>
            <w:proofErr w:type="spellEnd"/>
          </w:p>
        </w:tc>
        <w:tc>
          <w:tcPr>
            <w:tcW w:w="0" w:type="auto"/>
            <w:shd w:val="clear" w:color="auto" w:fill="auto"/>
          </w:tcPr>
          <w:p w14:paraId="5F6C6C44" w14:textId="556A9FDF"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5D82457E" w14:textId="768400F4" w:rsidR="006014C0" w:rsidRPr="00BD4A5F" w:rsidRDefault="006014C0" w:rsidP="001B39B0">
            <w:pPr>
              <w:pStyle w:val="TblTextCenter"/>
              <w:rPr>
                <w:lang w:val="en-AU"/>
              </w:rPr>
            </w:pPr>
            <w:r w:rsidRPr="00BD4A5F">
              <w:rPr>
                <w:lang w:val="en-AU"/>
              </w:rPr>
              <w:t xml:space="preserve">1.9 </w:t>
            </w:r>
          </w:p>
        </w:tc>
        <w:tc>
          <w:tcPr>
            <w:tcW w:w="0" w:type="auto"/>
            <w:shd w:val="clear" w:color="auto" w:fill="auto"/>
          </w:tcPr>
          <w:p w14:paraId="69B0D5FA" w14:textId="412593C4" w:rsidR="006014C0" w:rsidRPr="00BD4A5F" w:rsidRDefault="006014C0" w:rsidP="001B39B0">
            <w:pPr>
              <w:pStyle w:val="TblTextCenter"/>
              <w:rPr>
                <w:lang w:val="en-AU"/>
              </w:rPr>
            </w:pPr>
            <w:r w:rsidRPr="00BD4A5F">
              <w:rPr>
                <w:lang w:val="en-AU"/>
              </w:rPr>
              <w:t>0.8</w:t>
            </w:r>
          </w:p>
        </w:tc>
        <w:tc>
          <w:tcPr>
            <w:tcW w:w="1551" w:type="dxa"/>
          </w:tcPr>
          <w:p w14:paraId="783C276E" w14:textId="22575A88" w:rsidR="006014C0" w:rsidRPr="0083621A" w:rsidRDefault="000C7689" w:rsidP="001B39B0">
            <w:pPr>
              <w:pStyle w:val="TblTextCenter"/>
              <w:rPr>
                <w:lang w:val="en-AU"/>
              </w:rPr>
            </w:pPr>
            <w:r w:rsidRPr="0083621A">
              <w:rPr>
                <w:lang w:val="en-AU"/>
              </w:rPr>
              <w:t>0</w:t>
            </w:r>
          </w:p>
        </w:tc>
      </w:tr>
      <w:tr w:rsidR="006014C0" w:rsidRPr="0038119B" w14:paraId="7A67B75F" w14:textId="70782962" w:rsidTr="006014C0">
        <w:trPr>
          <w:cantSplit/>
          <w:trHeight w:val="360"/>
          <w:jc w:val="center"/>
        </w:trPr>
        <w:tc>
          <w:tcPr>
            <w:tcW w:w="0" w:type="auto"/>
            <w:gridSpan w:val="4"/>
            <w:shd w:val="clear" w:color="auto" w:fill="auto"/>
          </w:tcPr>
          <w:p w14:paraId="1CEE3B5A" w14:textId="77777777" w:rsidR="006014C0" w:rsidRPr="00BD4A5F" w:rsidRDefault="006014C0" w:rsidP="001B39B0">
            <w:pPr>
              <w:pStyle w:val="TblTextCenter"/>
              <w:jc w:val="left"/>
              <w:rPr>
                <w:b/>
                <w:lang w:val="en-AU"/>
              </w:rPr>
            </w:pPr>
            <w:r w:rsidRPr="00BD4A5F">
              <w:rPr>
                <w:b/>
                <w:lang w:val="en-AU"/>
              </w:rPr>
              <w:t>Hepatobiliary disorders</w:t>
            </w:r>
          </w:p>
        </w:tc>
        <w:tc>
          <w:tcPr>
            <w:tcW w:w="1551" w:type="dxa"/>
          </w:tcPr>
          <w:p w14:paraId="4CD87B7A" w14:textId="77777777" w:rsidR="006014C0" w:rsidRPr="0083621A" w:rsidRDefault="006014C0" w:rsidP="001B39B0">
            <w:pPr>
              <w:pStyle w:val="TblTextCenter"/>
              <w:jc w:val="left"/>
              <w:rPr>
                <w:b/>
                <w:lang w:val="en-AU"/>
              </w:rPr>
            </w:pPr>
          </w:p>
        </w:tc>
      </w:tr>
      <w:tr w:rsidR="006014C0" w:rsidRPr="0038119B" w14:paraId="6EAFC59C" w14:textId="6BF798FA" w:rsidTr="006014C0">
        <w:trPr>
          <w:cantSplit/>
          <w:trHeight w:val="360"/>
          <w:jc w:val="center"/>
        </w:trPr>
        <w:tc>
          <w:tcPr>
            <w:tcW w:w="0" w:type="auto"/>
            <w:shd w:val="clear" w:color="auto" w:fill="auto"/>
          </w:tcPr>
          <w:p w14:paraId="77F2A2E2" w14:textId="6AF7FDC4" w:rsidR="006014C0" w:rsidRPr="00BD4A5F" w:rsidRDefault="006014C0" w:rsidP="001B39B0">
            <w:pPr>
              <w:pStyle w:val="TblTextCenter"/>
              <w:rPr>
                <w:lang w:val="en-AU"/>
              </w:rPr>
            </w:pPr>
            <w:proofErr w:type="spellStart"/>
            <w:r w:rsidRPr="00BD4A5F">
              <w:rPr>
                <w:lang w:val="en-AU"/>
              </w:rPr>
              <w:t>Hepatitis</w:t>
            </w:r>
            <w:r w:rsidRPr="00BD4A5F">
              <w:rPr>
                <w:rFonts w:cstheme="minorHAnsi"/>
                <w:vertAlign w:val="superscript"/>
                <w:lang w:val="en-AU"/>
              </w:rPr>
              <w:t>p</w:t>
            </w:r>
            <w:proofErr w:type="spellEnd"/>
          </w:p>
        </w:tc>
        <w:tc>
          <w:tcPr>
            <w:tcW w:w="0" w:type="auto"/>
            <w:shd w:val="clear" w:color="auto" w:fill="auto"/>
          </w:tcPr>
          <w:p w14:paraId="325F9D2E" w14:textId="77777777" w:rsidR="006014C0" w:rsidRPr="00BD4A5F" w:rsidRDefault="006014C0" w:rsidP="001B39B0">
            <w:pPr>
              <w:pStyle w:val="TblTextCenter"/>
              <w:rPr>
                <w:lang w:val="en-AU"/>
              </w:rPr>
            </w:pPr>
            <w:r w:rsidRPr="00BD4A5F">
              <w:rPr>
                <w:lang w:val="en-AU"/>
              </w:rPr>
              <w:t>Common</w:t>
            </w:r>
          </w:p>
        </w:tc>
        <w:tc>
          <w:tcPr>
            <w:tcW w:w="0" w:type="auto"/>
            <w:shd w:val="clear" w:color="auto" w:fill="auto"/>
          </w:tcPr>
          <w:p w14:paraId="191DC8E7" w14:textId="46CF28B6" w:rsidR="006014C0" w:rsidRPr="00BD4A5F" w:rsidRDefault="006014C0" w:rsidP="001B39B0">
            <w:pPr>
              <w:pStyle w:val="TblTextCenter"/>
              <w:rPr>
                <w:lang w:val="en-AU"/>
              </w:rPr>
            </w:pPr>
            <w:r w:rsidRPr="00BD4A5F">
              <w:rPr>
                <w:lang w:val="en-AU"/>
              </w:rPr>
              <w:t>1.</w:t>
            </w:r>
            <w:r w:rsidRPr="00BD4A5F">
              <w:rPr>
                <w:rFonts w:cstheme="minorHAnsi"/>
                <w:lang w:val="en-AU"/>
              </w:rPr>
              <w:t>9</w:t>
            </w:r>
          </w:p>
        </w:tc>
        <w:tc>
          <w:tcPr>
            <w:tcW w:w="0" w:type="auto"/>
            <w:shd w:val="clear" w:color="auto" w:fill="auto"/>
          </w:tcPr>
          <w:p w14:paraId="26B0FB92" w14:textId="2BFBB33B" w:rsidR="006014C0" w:rsidRPr="00BD4A5F" w:rsidRDefault="000C7689" w:rsidP="001B39B0">
            <w:pPr>
              <w:pStyle w:val="TblTextCenter"/>
              <w:rPr>
                <w:lang w:val="en-AU"/>
              </w:rPr>
            </w:pPr>
            <w:r w:rsidRPr="0083621A">
              <w:rPr>
                <w:rFonts w:cstheme="minorHAnsi"/>
                <w:lang w:val="en-AU"/>
              </w:rPr>
              <w:t>1.1</w:t>
            </w:r>
          </w:p>
        </w:tc>
        <w:tc>
          <w:tcPr>
            <w:tcW w:w="1551" w:type="dxa"/>
          </w:tcPr>
          <w:p w14:paraId="14B4A25D" w14:textId="4432D480" w:rsidR="006014C0" w:rsidRPr="0083621A" w:rsidRDefault="000C7689" w:rsidP="001B39B0">
            <w:pPr>
              <w:pStyle w:val="TblTextCenter"/>
              <w:rPr>
                <w:lang w:val="en-AU"/>
              </w:rPr>
            </w:pPr>
            <w:r w:rsidRPr="0083621A">
              <w:rPr>
                <w:rFonts w:cstheme="minorHAnsi"/>
                <w:lang w:val="en-AU"/>
              </w:rPr>
              <w:t>&lt;0.1</w:t>
            </w:r>
          </w:p>
        </w:tc>
      </w:tr>
      <w:tr w:rsidR="006014C0" w:rsidRPr="0038119B" w14:paraId="045D189B" w14:textId="1F8F3862" w:rsidTr="006014C0">
        <w:trPr>
          <w:cantSplit/>
          <w:trHeight w:val="360"/>
          <w:jc w:val="center"/>
        </w:trPr>
        <w:tc>
          <w:tcPr>
            <w:tcW w:w="0" w:type="auto"/>
            <w:gridSpan w:val="4"/>
            <w:shd w:val="clear" w:color="auto" w:fill="auto"/>
          </w:tcPr>
          <w:p w14:paraId="683CED00" w14:textId="77777777" w:rsidR="006014C0" w:rsidRPr="00BD4A5F" w:rsidRDefault="006014C0" w:rsidP="001B39B0">
            <w:pPr>
              <w:pStyle w:val="TblTextCenter"/>
              <w:jc w:val="left"/>
              <w:rPr>
                <w:b/>
                <w:lang w:val="en-AU"/>
              </w:rPr>
            </w:pPr>
            <w:r w:rsidRPr="00BD4A5F">
              <w:rPr>
                <w:b/>
                <w:lang w:val="en-AU"/>
              </w:rPr>
              <w:t>Skin and subcutaneous skin disorders</w:t>
            </w:r>
          </w:p>
        </w:tc>
        <w:tc>
          <w:tcPr>
            <w:tcW w:w="1551" w:type="dxa"/>
          </w:tcPr>
          <w:p w14:paraId="5472CF62" w14:textId="77777777" w:rsidR="006014C0" w:rsidRPr="0083621A" w:rsidRDefault="006014C0" w:rsidP="001B39B0">
            <w:pPr>
              <w:pStyle w:val="TblTextCenter"/>
              <w:jc w:val="left"/>
              <w:rPr>
                <w:b/>
                <w:lang w:val="en-AU"/>
              </w:rPr>
            </w:pPr>
          </w:p>
        </w:tc>
      </w:tr>
      <w:tr w:rsidR="006014C0" w:rsidRPr="0038119B" w14:paraId="5BA6DB30" w14:textId="3DD769F1" w:rsidTr="006014C0">
        <w:trPr>
          <w:cantSplit/>
          <w:trHeight w:val="360"/>
          <w:jc w:val="center"/>
        </w:trPr>
        <w:tc>
          <w:tcPr>
            <w:tcW w:w="0" w:type="auto"/>
            <w:shd w:val="clear" w:color="auto" w:fill="auto"/>
          </w:tcPr>
          <w:p w14:paraId="0285B29A" w14:textId="5E275959" w:rsidR="006014C0" w:rsidRPr="00BD4A5F" w:rsidRDefault="006014C0" w:rsidP="001B39B0">
            <w:pPr>
              <w:pStyle w:val="TblTextCenter"/>
              <w:rPr>
                <w:lang w:val="en-AU"/>
              </w:rPr>
            </w:pPr>
            <w:proofErr w:type="spellStart"/>
            <w:r w:rsidRPr="00BD4A5F">
              <w:rPr>
                <w:lang w:val="en-AU"/>
              </w:rPr>
              <w:t>Rash</w:t>
            </w:r>
            <w:r w:rsidRPr="00BD4A5F">
              <w:rPr>
                <w:rFonts w:cstheme="minorHAnsi"/>
                <w:vertAlign w:val="superscript"/>
                <w:lang w:val="en-AU"/>
              </w:rPr>
              <w:t>q</w:t>
            </w:r>
            <w:proofErr w:type="spellEnd"/>
          </w:p>
        </w:tc>
        <w:tc>
          <w:tcPr>
            <w:tcW w:w="0" w:type="auto"/>
            <w:shd w:val="clear" w:color="auto" w:fill="auto"/>
          </w:tcPr>
          <w:p w14:paraId="5E216B93"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4328D7FF" w14:textId="436A5FDC" w:rsidR="006014C0" w:rsidRPr="00BD4A5F" w:rsidRDefault="006014C0" w:rsidP="001B39B0">
            <w:pPr>
              <w:pStyle w:val="TblTextCenter"/>
              <w:rPr>
                <w:lang w:val="en-AU"/>
              </w:rPr>
            </w:pPr>
            <w:r w:rsidRPr="00BD4A5F">
              <w:rPr>
                <w:rFonts w:cstheme="minorHAnsi"/>
                <w:lang w:val="en-AU"/>
              </w:rPr>
              <w:t>21.9</w:t>
            </w:r>
          </w:p>
        </w:tc>
        <w:tc>
          <w:tcPr>
            <w:tcW w:w="0" w:type="auto"/>
            <w:shd w:val="clear" w:color="auto" w:fill="auto"/>
          </w:tcPr>
          <w:p w14:paraId="10F32A35" w14:textId="62EC6684" w:rsidR="006014C0" w:rsidRPr="00BD4A5F" w:rsidRDefault="006014C0" w:rsidP="001B39B0">
            <w:pPr>
              <w:pStyle w:val="TblTextCenter"/>
              <w:rPr>
                <w:lang w:val="en-AU"/>
              </w:rPr>
            </w:pPr>
            <w:r w:rsidRPr="00BD4A5F">
              <w:rPr>
                <w:lang w:val="en-AU"/>
              </w:rPr>
              <w:t>1.</w:t>
            </w:r>
            <w:r w:rsidRPr="00BD4A5F">
              <w:rPr>
                <w:rFonts w:cstheme="minorHAnsi"/>
                <w:lang w:val="en-AU"/>
              </w:rPr>
              <w:t>8</w:t>
            </w:r>
          </w:p>
        </w:tc>
        <w:tc>
          <w:tcPr>
            <w:tcW w:w="1551" w:type="dxa"/>
          </w:tcPr>
          <w:p w14:paraId="0C081307" w14:textId="0C38E41C" w:rsidR="006014C0" w:rsidRPr="0083621A" w:rsidRDefault="000C7689" w:rsidP="001B39B0">
            <w:pPr>
              <w:pStyle w:val="TblTextCenter"/>
              <w:rPr>
                <w:lang w:val="en-AU"/>
              </w:rPr>
            </w:pPr>
            <w:r w:rsidRPr="0083621A">
              <w:rPr>
                <w:lang w:val="en-AU"/>
              </w:rPr>
              <w:t>0</w:t>
            </w:r>
          </w:p>
        </w:tc>
      </w:tr>
      <w:tr w:rsidR="006014C0" w:rsidRPr="0038119B" w14:paraId="08EC645B" w14:textId="62ACC035" w:rsidTr="006014C0">
        <w:trPr>
          <w:cantSplit/>
          <w:trHeight w:val="360"/>
          <w:jc w:val="center"/>
        </w:trPr>
        <w:tc>
          <w:tcPr>
            <w:tcW w:w="0" w:type="auto"/>
            <w:shd w:val="clear" w:color="auto" w:fill="auto"/>
          </w:tcPr>
          <w:p w14:paraId="2B33B986" w14:textId="269B925C" w:rsidR="006014C0" w:rsidRPr="00BD4A5F" w:rsidRDefault="006014C0" w:rsidP="001B39B0">
            <w:pPr>
              <w:pStyle w:val="TblTextCenter"/>
              <w:rPr>
                <w:lang w:val="en-AU"/>
              </w:rPr>
            </w:pPr>
            <w:proofErr w:type="spellStart"/>
            <w:r w:rsidRPr="00BD4A5F">
              <w:rPr>
                <w:lang w:val="en-AU"/>
              </w:rPr>
              <w:t>Pruritus</w:t>
            </w:r>
            <w:r w:rsidRPr="00BD4A5F">
              <w:rPr>
                <w:vertAlign w:val="superscript"/>
                <w:lang w:val="en-AU"/>
              </w:rPr>
              <w:t>r</w:t>
            </w:r>
            <w:proofErr w:type="spellEnd"/>
          </w:p>
        </w:tc>
        <w:tc>
          <w:tcPr>
            <w:tcW w:w="0" w:type="auto"/>
            <w:shd w:val="clear" w:color="auto" w:fill="auto"/>
          </w:tcPr>
          <w:p w14:paraId="7A611188"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78EA9606" w14:textId="75627B76" w:rsidR="006014C0" w:rsidRPr="00BD4A5F" w:rsidRDefault="006014C0" w:rsidP="001B39B0">
            <w:pPr>
              <w:pStyle w:val="TblTextCenter"/>
              <w:rPr>
                <w:lang w:val="en-AU"/>
              </w:rPr>
            </w:pPr>
            <w:r w:rsidRPr="00BD4A5F">
              <w:rPr>
                <w:rFonts w:cstheme="minorHAnsi"/>
                <w:lang w:val="en-AU"/>
              </w:rPr>
              <w:t>11.4</w:t>
            </w:r>
          </w:p>
        </w:tc>
        <w:tc>
          <w:tcPr>
            <w:tcW w:w="0" w:type="auto"/>
            <w:shd w:val="clear" w:color="auto" w:fill="auto"/>
          </w:tcPr>
          <w:p w14:paraId="5A8A5BB0" w14:textId="2225CFDD" w:rsidR="006014C0" w:rsidRPr="00BD4A5F" w:rsidRDefault="006014C0" w:rsidP="001B39B0">
            <w:pPr>
              <w:pStyle w:val="TblTextCenter"/>
              <w:rPr>
                <w:lang w:val="en-AU"/>
              </w:rPr>
            </w:pPr>
            <w:r w:rsidRPr="00BD4A5F">
              <w:rPr>
                <w:rFonts w:cstheme="minorHAnsi"/>
                <w:lang w:val="en-AU"/>
              </w:rPr>
              <w:t>&lt;0.1</w:t>
            </w:r>
          </w:p>
        </w:tc>
        <w:tc>
          <w:tcPr>
            <w:tcW w:w="1551" w:type="dxa"/>
          </w:tcPr>
          <w:p w14:paraId="18568F37" w14:textId="7D93B6D6"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7DC5D3E1" w14:textId="66B5EE38" w:rsidTr="006014C0">
        <w:trPr>
          <w:cantSplit/>
          <w:trHeight w:val="360"/>
          <w:jc w:val="center"/>
        </w:trPr>
        <w:tc>
          <w:tcPr>
            <w:tcW w:w="0" w:type="auto"/>
            <w:gridSpan w:val="4"/>
            <w:shd w:val="clear" w:color="auto" w:fill="auto"/>
          </w:tcPr>
          <w:p w14:paraId="6FD29C5F" w14:textId="77777777" w:rsidR="006014C0" w:rsidRPr="00BD4A5F" w:rsidRDefault="006014C0" w:rsidP="001B39B0">
            <w:pPr>
              <w:pStyle w:val="TblTextCenter"/>
              <w:jc w:val="left"/>
              <w:rPr>
                <w:b/>
                <w:lang w:val="en-AU"/>
              </w:rPr>
            </w:pPr>
            <w:r w:rsidRPr="00BD4A5F">
              <w:rPr>
                <w:b/>
                <w:lang w:val="en-AU"/>
              </w:rPr>
              <w:lastRenderedPageBreak/>
              <w:t>Musculoskeletal and connective tissue disorders</w:t>
            </w:r>
          </w:p>
        </w:tc>
        <w:tc>
          <w:tcPr>
            <w:tcW w:w="1551" w:type="dxa"/>
          </w:tcPr>
          <w:p w14:paraId="6C80CA95" w14:textId="77777777" w:rsidR="006014C0" w:rsidRPr="0083621A" w:rsidRDefault="006014C0" w:rsidP="001B39B0">
            <w:pPr>
              <w:pStyle w:val="TblTextCenter"/>
              <w:jc w:val="left"/>
              <w:rPr>
                <w:b/>
                <w:lang w:val="en-AU"/>
              </w:rPr>
            </w:pPr>
          </w:p>
        </w:tc>
      </w:tr>
      <w:tr w:rsidR="006014C0" w:rsidRPr="0038119B" w14:paraId="76D37D75" w14:textId="12570505" w:rsidTr="006014C0">
        <w:trPr>
          <w:cantSplit/>
          <w:trHeight w:val="360"/>
          <w:jc w:val="center"/>
        </w:trPr>
        <w:tc>
          <w:tcPr>
            <w:tcW w:w="0" w:type="auto"/>
            <w:shd w:val="clear" w:color="auto" w:fill="auto"/>
          </w:tcPr>
          <w:p w14:paraId="22CCE175" w14:textId="7F7E652D" w:rsidR="006014C0" w:rsidRPr="00BD4A5F" w:rsidRDefault="006014C0" w:rsidP="001B39B0">
            <w:pPr>
              <w:pStyle w:val="TblTextCenter"/>
              <w:rPr>
                <w:lang w:val="en-AU"/>
              </w:rPr>
            </w:pPr>
            <w:r w:rsidRPr="00BD4A5F">
              <w:rPr>
                <w:lang w:val="en-AU"/>
              </w:rPr>
              <w:t>Musculoskeletal pain</w:t>
            </w:r>
            <w:r w:rsidRPr="00BD4A5F">
              <w:rPr>
                <w:rFonts w:cstheme="minorHAnsi"/>
                <w:vertAlign w:val="superscript"/>
                <w:lang w:val="en-AU"/>
              </w:rPr>
              <w:t>s</w:t>
            </w:r>
          </w:p>
        </w:tc>
        <w:tc>
          <w:tcPr>
            <w:tcW w:w="0" w:type="auto"/>
            <w:shd w:val="clear" w:color="auto" w:fill="auto"/>
          </w:tcPr>
          <w:p w14:paraId="28F1F7DC" w14:textId="04EA192F"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65BE68CB" w14:textId="47588E46" w:rsidR="006014C0" w:rsidRPr="00BD4A5F" w:rsidRDefault="006014C0" w:rsidP="001B39B0">
            <w:pPr>
              <w:pStyle w:val="TblTextCenter"/>
              <w:rPr>
                <w:lang w:val="en-AU"/>
              </w:rPr>
            </w:pPr>
            <w:r w:rsidRPr="00BD4A5F">
              <w:rPr>
                <w:rFonts w:cstheme="minorHAnsi"/>
                <w:lang w:val="en-AU"/>
              </w:rPr>
              <w:t>32.2</w:t>
            </w:r>
          </w:p>
        </w:tc>
        <w:tc>
          <w:tcPr>
            <w:tcW w:w="0" w:type="auto"/>
            <w:shd w:val="clear" w:color="auto" w:fill="auto"/>
          </w:tcPr>
          <w:p w14:paraId="54C72496" w14:textId="4E60A183" w:rsidR="006014C0" w:rsidRPr="00BD4A5F" w:rsidRDefault="006014C0" w:rsidP="001B39B0">
            <w:pPr>
              <w:pStyle w:val="TblTextCenter"/>
              <w:rPr>
                <w:lang w:val="en-AU"/>
              </w:rPr>
            </w:pPr>
            <w:r w:rsidRPr="00BD4A5F">
              <w:rPr>
                <w:rFonts w:cstheme="minorHAnsi"/>
                <w:lang w:val="en-AU"/>
              </w:rPr>
              <w:t>2.1</w:t>
            </w:r>
          </w:p>
        </w:tc>
        <w:tc>
          <w:tcPr>
            <w:tcW w:w="1551" w:type="dxa"/>
          </w:tcPr>
          <w:p w14:paraId="2F68474A" w14:textId="6CE4FD23"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5F1DAB63" w14:textId="0A4EB12E" w:rsidTr="006014C0">
        <w:trPr>
          <w:cantSplit/>
          <w:trHeight w:val="360"/>
          <w:jc w:val="center"/>
        </w:trPr>
        <w:tc>
          <w:tcPr>
            <w:tcW w:w="0" w:type="auto"/>
            <w:shd w:val="clear" w:color="auto" w:fill="auto"/>
          </w:tcPr>
          <w:p w14:paraId="2A80F215" w14:textId="51C9B167" w:rsidR="006014C0" w:rsidRPr="0083621A" w:rsidRDefault="006014C0" w:rsidP="001B39B0">
            <w:pPr>
              <w:pStyle w:val="TblTextCenter"/>
              <w:rPr>
                <w:lang w:val="en-AU"/>
              </w:rPr>
            </w:pPr>
            <w:proofErr w:type="spellStart"/>
            <w:r w:rsidRPr="0083621A">
              <w:rPr>
                <w:lang w:val="en-AU"/>
              </w:rPr>
              <w:t>Arthritis</w:t>
            </w:r>
            <w:r w:rsidRPr="0083621A">
              <w:rPr>
                <w:vertAlign w:val="superscript"/>
                <w:lang w:val="en-AU"/>
              </w:rPr>
              <w:t>t</w:t>
            </w:r>
            <w:proofErr w:type="spellEnd"/>
          </w:p>
        </w:tc>
        <w:tc>
          <w:tcPr>
            <w:tcW w:w="0" w:type="auto"/>
            <w:shd w:val="clear" w:color="auto" w:fill="auto"/>
          </w:tcPr>
          <w:p w14:paraId="2FD3DDC8" w14:textId="1C4D051C" w:rsidR="006014C0" w:rsidRPr="00BD4A5F" w:rsidRDefault="006014C0" w:rsidP="001B39B0">
            <w:pPr>
              <w:pStyle w:val="TblTextCenter"/>
              <w:rPr>
                <w:lang w:val="en-AU"/>
              </w:rPr>
            </w:pPr>
            <w:r w:rsidRPr="00BD4A5F">
              <w:rPr>
                <w:rFonts w:cstheme="minorHAnsi"/>
                <w:lang w:val="en-AU"/>
              </w:rPr>
              <w:t>Uncommon</w:t>
            </w:r>
          </w:p>
        </w:tc>
        <w:tc>
          <w:tcPr>
            <w:tcW w:w="0" w:type="auto"/>
            <w:shd w:val="clear" w:color="auto" w:fill="auto"/>
          </w:tcPr>
          <w:p w14:paraId="6DF00670" w14:textId="09D33026" w:rsidR="006014C0" w:rsidRPr="00BD4A5F" w:rsidRDefault="006014C0" w:rsidP="001B39B0">
            <w:pPr>
              <w:pStyle w:val="TblTextCenter"/>
              <w:rPr>
                <w:lang w:val="en-AU"/>
              </w:rPr>
            </w:pPr>
            <w:r w:rsidRPr="00BD4A5F">
              <w:rPr>
                <w:rFonts w:cstheme="minorHAnsi"/>
                <w:lang w:val="en-AU"/>
              </w:rPr>
              <w:t>0.8</w:t>
            </w:r>
          </w:p>
        </w:tc>
        <w:tc>
          <w:tcPr>
            <w:tcW w:w="0" w:type="auto"/>
            <w:shd w:val="clear" w:color="auto" w:fill="auto"/>
          </w:tcPr>
          <w:p w14:paraId="2C33ED27" w14:textId="5F707E9F" w:rsidR="006014C0" w:rsidRPr="00BD4A5F" w:rsidRDefault="006014C0" w:rsidP="001B39B0">
            <w:pPr>
              <w:pStyle w:val="TblTextCenter"/>
              <w:rPr>
                <w:lang w:val="en-AU"/>
              </w:rPr>
            </w:pPr>
            <w:r w:rsidRPr="00BD4A5F">
              <w:rPr>
                <w:rFonts w:cstheme="minorHAnsi"/>
                <w:lang w:val="en-AU"/>
              </w:rPr>
              <w:t>&lt;0.1</w:t>
            </w:r>
          </w:p>
        </w:tc>
        <w:tc>
          <w:tcPr>
            <w:tcW w:w="1551" w:type="dxa"/>
          </w:tcPr>
          <w:p w14:paraId="07EFE3B1" w14:textId="27D00E25"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71D01369" w14:textId="4D83F17B" w:rsidTr="006014C0">
        <w:trPr>
          <w:cantSplit/>
          <w:trHeight w:val="360"/>
          <w:jc w:val="center"/>
        </w:trPr>
        <w:tc>
          <w:tcPr>
            <w:tcW w:w="0" w:type="auto"/>
            <w:shd w:val="clear" w:color="auto" w:fill="auto"/>
          </w:tcPr>
          <w:p w14:paraId="1044D3FA" w14:textId="77777777" w:rsidR="006014C0" w:rsidRPr="0083621A" w:rsidRDefault="006014C0" w:rsidP="001B39B0">
            <w:pPr>
              <w:pStyle w:val="TblTextCenter"/>
              <w:rPr>
                <w:lang w:val="en-AU"/>
              </w:rPr>
            </w:pPr>
            <w:r w:rsidRPr="0083621A">
              <w:rPr>
                <w:lang w:val="en-AU"/>
              </w:rPr>
              <w:t>Muscular weakness</w:t>
            </w:r>
          </w:p>
        </w:tc>
        <w:tc>
          <w:tcPr>
            <w:tcW w:w="0" w:type="auto"/>
            <w:shd w:val="clear" w:color="auto" w:fill="auto"/>
          </w:tcPr>
          <w:p w14:paraId="3B84DD96" w14:textId="77777777" w:rsidR="006014C0" w:rsidRPr="00BD4A5F" w:rsidRDefault="006014C0" w:rsidP="001B39B0">
            <w:pPr>
              <w:pStyle w:val="TblTextCenter"/>
              <w:rPr>
                <w:lang w:val="en-AU"/>
              </w:rPr>
            </w:pPr>
            <w:r w:rsidRPr="00BD4A5F">
              <w:rPr>
                <w:lang w:val="en-AU"/>
              </w:rPr>
              <w:t>Uncommon</w:t>
            </w:r>
          </w:p>
        </w:tc>
        <w:tc>
          <w:tcPr>
            <w:tcW w:w="0" w:type="auto"/>
            <w:shd w:val="clear" w:color="auto" w:fill="auto"/>
          </w:tcPr>
          <w:p w14:paraId="73358D12" w14:textId="55A68EDD" w:rsidR="006014C0" w:rsidRPr="00BD4A5F" w:rsidRDefault="006014C0" w:rsidP="001B39B0">
            <w:pPr>
              <w:pStyle w:val="TblTextCenter"/>
              <w:rPr>
                <w:lang w:val="en-AU"/>
              </w:rPr>
            </w:pPr>
            <w:r w:rsidRPr="00BD4A5F">
              <w:rPr>
                <w:lang w:val="en-AU"/>
              </w:rPr>
              <w:t>0.</w:t>
            </w:r>
            <w:r w:rsidRPr="00BD4A5F">
              <w:rPr>
                <w:rFonts w:cstheme="minorHAnsi"/>
                <w:lang w:val="en-AU"/>
              </w:rPr>
              <w:t>4</w:t>
            </w:r>
          </w:p>
        </w:tc>
        <w:tc>
          <w:tcPr>
            <w:tcW w:w="0" w:type="auto"/>
            <w:shd w:val="clear" w:color="auto" w:fill="auto"/>
          </w:tcPr>
          <w:p w14:paraId="6871D39D" w14:textId="77777777" w:rsidR="006014C0" w:rsidRPr="00BD4A5F" w:rsidRDefault="006014C0" w:rsidP="001B39B0">
            <w:pPr>
              <w:pStyle w:val="TblTextCenter"/>
              <w:rPr>
                <w:lang w:val="en-AU"/>
              </w:rPr>
            </w:pPr>
            <w:r w:rsidRPr="00BD4A5F">
              <w:rPr>
                <w:lang w:val="en-AU"/>
              </w:rPr>
              <w:t>0</w:t>
            </w:r>
          </w:p>
        </w:tc>
        <w:tc>
          <w:tcPr>
            <w:tcW w:w="1551" w:type="dxa"/>
          </w:tcPr>
          <w:p w14:paraId="59D3E781" w14:textId="73BB609A" w:rsidR="006014C0" w:rsidRPr="0083621A" w:rsidRDefault="000C7689" w:rsidP="001B39B0">
            <w:pPr>
              <w:pStyle w:val="TblTextCenter"/>
              <w:rPr>
                <w:lang w:val="en-AU"/>
              </w:rPr>
            </w:pPr>
            <w:r w:rsidRPr="0083621A">
              <w:rPr>
                <w:lang w:val="en-AU"/>
              </w:rPr>
              <w:t>0</w:t>
            </w:r>
          </w:p>
        </w:tc>
      </w:tr>
      <w:tr w:rsidR="006014C0" w:rsidRPr="0038119B" w14:paraId="40E08470" w14:textId="731E47E1" w:rsidTr="006014C0">
        <w:trPr>
          <w:cantSplit/>
          <w:trHeight w:val="360"/>
          <w:jc w:val="center"/>
        </w:trPr>
        <w:tc>
          <w:tcPr>
            <w:tcW w:w="0" w:type="auto"/>
            <w:shd w:val="clear" w:color="auto" w:fill="auto"/>
          </w:tcPr>
          <w:p w14:paraId="716564E7" w14:textId="3B64900E" w:rsidR="006014C0" w:rsidRPr="00FB7E27" w:rsidRDefault="006014C0" w:rsidP="001B39B0">
            <w:pPr>
              <w:pStyle w:val="TblTextCenter"/>
              <w:rPr>
                <w:lang w:val="en-AU"/>
              </w:rPr>
            </w:pPr>
            <w:r w:rsidRPr="00FB7E27">
              <w:rPr>
                <w:lang w:val="en-AU"/>
              </w:rPr>
              <w:t>Myositis</w:t>
            </w:r>
          </w:p>
        </w:tc>
        <w:tc>
          <w:tcPr>
            <w:tcW w:w="0" w:type="auto"/>
            <w:shd w:val="clear" w:color="auto" w:fill="auto"/>
          </w:tcPr>
          <w:p w14:paraId="59DCF8F0" w14:textId="76445263" w:rsidR="006014C0" w:rsidRPr="00FB7E27" w:rsidRDefault="006014C0" w:rsidP="001B39B0">
            <w:pPr>
              <w:pStyle w:val="TblTextCenter"/>
              <w:rPr>
                <w:lang w:val="en-AU"/>
              </w:rPr>
            </w:pPr>
            <w:r w:rsidRPr="00FB7E27">
              <w:rPr>
                <w:rFonts w:cstheme="minorHAnsi"/>
                <w:lang w:val="en-AU"/>
              </w:rPr>
              <w:t>Rare</w:t>
            </w:r>
          </w:p>
        </w:tc>
        <w:tc>
          <w:tcPr>
            <w:tcW w:w="0" w:type="auto"/>
            <w:shd w:val="clear" w:color="auto" w:fill="auto"/>
          </w:tcPr>
          <w:p w14:paraId="0D46F551" w14:textId="0D62543A" w:rsidR="006014C0" w:rsidRPr="00FB7E27" w:rsidRDefault="006014C0" w:rsidP="001B39B0">
            <w:pPr>
              <w:pStyle w:val="TblTextCenter"/>
              <w:rPr>
                <w:lang w:val="en-AU"/>
              </w:rPr>
            </w:pPr>
            <w:r w:rsidRPr="00FB7E27">
              <w:rPr>
                <w:rFonts w:cstheme="minorHAnsi"/>
                <w:lang w:val="en-AU"/>
              </w:rPr>
              <w:t>&lt;0.1</w:t>
            </w:r>
          </w:p>
        </w:tc>
        <w:tc>
          <w:tcPr>
            <w:tcW w:w="0" w:type="auto"/>
            <w:shd w:val="clear" w:color="auto" w:fill="auto"/>
          </w:tcPr>
          <w:p w14:paraId="763DEE01" w14:textId="6AAE97D7" w:rsidR="006014C0" w:rsidRPr="00FB7E27" w:rsidRDefault="00F50FE6" w:rsidP="001B39B0">
            <w:pPr>
              <w:pStyle w:val="TblTextCenter"/>
              <w:rPr>
                <w:lang w:val="en-AU"/>
              </w:rPr>
            </w:pPr>
            <w:r w:rsidRPr="00FB7E27">
              <w:rPr>
                <w:rFonts w:cstheme="minorHAnsi"/>
                <w:lang w:val="en-AU"/>
              </w:rPr>
              <w:t>0</w:t>
            </w:r>
          </w:p>
        </w:tc>
        <w:tc>
          <w:tcPr>
            <w:tcW w:w="1551" w:type="dxa"/>
          </w:tcPr>
          <w:p w14:paraId="6BB873A7" w14:textId="7675F8DD" w:rsidR="006014C0" w:rsidRPr="00FB7E27" w:rsidRDefault="000C7689" w:rsidP="001B39B0">
            <w:pPr>
              <w:pStyle w:val="TblTextCenter"/>
              <w:rPr>
                <w:rFonts w:cstheme="minorHAnsi"/>
                <w:lang w:val="en-AU"/>
              </w:rPr>
            </w:pPr>
            <w:r w:rsidRPr="00FB7E27">
              <w:rPr>
                <w:rFonts w:cstheme="minorHAnsi"/>
                <w:lang w:val="en-AU"/>
              </w:rPr>
              <w:t>0</w:t>
            </w:r>
          </w:p>
        </w:tc>
      </w:tr>
      <w:tr w:rsidR="006014C0" w:rsidRPr="0038119B" w14:paraId="4E9CDBAB" w14:textId="1D3072B5" w:rsidTr="006014C0">
        <w:trPr>
          <w:cantSplit/>
          <w:trHeight w:val="360"/>
          <w:jc w:val="center"/>
        </w:trPr>
        <w:tc>
          <w:tcPr>
            <w:tcW w:w="0" w:type="auto"/>
            <w:shd w:val="clear" w:color="auto" w:fill="auto"/>
          </w:tcPr>
          <w:p w14:paraId="26C2C845" w14:textId="0448FFA8" w:rsidR="006014C0" w:rsidRPr="0083621A" w:rsidRDefault="006014C0" w:rsidP="001B39B0">
            <w:pPr>
              <w:pStyle w:val="TblTextCenter"/>
              <w:rPr>
                <w:rFonts w:cstheme="minorHAnsi"/>
                <w:lang w:val="en-AU"/>
              </w:rPr>
            </w:pPr>
            <w:r w:rsidRPr="0083621A">
              <w:rPr>
                <w:rFonts w:cstheme="minorHAnsi"/>
                <w:lang w:val="en-AU"/>
              </w:rPr>
              <w:t>Polymyalgia rheumatica</w:t>
            </w:r>
          </w:p>
        </w:tc>
        <w:tc>
          <w:tcPr>
            <w:tcW w:w="0" w:type="auto"/>
            <w:shd w:val="clear" w:color="auto" w:fill="auto"/>
          </w:tcPr>
          <w:p w14:paraId="1989B6BE" w14:textId="7F8493FD" w:rsidR="006014C0" w:rsidRPr="00BD4A5F" w:rsidRDefault="006014C0" w:rsidP="001B39B0">
            <w:pPr>
              <w:pStyle w:val="TblTextCenter"/>
              <w:rPr>
                <w:rFonts w:cstheme="minorHAnsi"/>
                <w:lang w:val="en-AU"/>
              </w:rPr>
            </w:pPr>
            <w:r w:rsidRPr="00BD4A5F">
              <w:rPr>
                <w:rFonts w:cstheme="minorHAnsi"/>
                <w:lang w:val="en-AU"/>
              </w:rPr>
              <w:t>Rare</w:t>
            </w:r>
          </w:p>
        </w:tc>
        <w:tc>
          <w:tcPr>
            <w:tcW w:w="0" w:type="auto"/>
            <w:shd w:val="clear" w:color="auto" w:fill="auto"/>
          </w:tcPr>
          <w:p w14:paraId="533448ED" w14:textId="1C2E4773" w:rsidR="006014C0" w:rsidRPr="00BD4A5F" w:rsidRDefault="006014C0" w:rsidP="001B39B0">
            <w:pPr>
              <w:pStyle w:val="TblTextCenter"/>
              <w:rPr>
                <w:rFonts w:cstheme="minorHAnsi"/>
                <w:lang w:val="en-AU"/>
              </w:rPr>
            </w:pPr>
            <w:r w:rsidRPr="00BD4A5F">
              <w:rPr>
                <w:rFonts w:cstheme="minorHAnsi"/>
                <w:lang w:val="en-AU"/>
              </w:rPr>
              <w:t>&lt; 0.1</w:t>
            </w:r>
          </w:p>
        </w:tc>
        <w:tc>
          <w:tcPr>
            <w:tcW w:w="0" w:type="auto"/>
            <w:shd w:val="clear" w:color="auto" w:fill="auto"/>
          </w:tcPr>
          <w:p w14:paraId="17DE84E4" w14:textId="3677C80A" w:rsidR="006014C0" w:rsidRPr="00BD4A5F" w:rsidRDefault="006014C0" w:rsidP="001B39B0">
            <w:pPr>
              <w:pStyle w:val="TblTextCenter"/>
              <w:rPr>
                <w:rFonts w:cstheme="minorHAnsi"/>
                <w:lang w:val="en-AU"/>
              </w:rPr>
            </w:pPr>
            <w:r w:rsidRPr="00BD4A5F">
              <w:rPr>
                <w:rFonts w:cstheme="minorHAnsi"/>
                <w:lang w:val="en-AU"/>
              </w:rPr>
              <w:t>0</w:t>
            </w:r>
          </w:p>
        </w:tc>
        <w:tc>
          <w:tcPr>
            <w:tcW w:w="1551" w:type="dxa"/>
          </w:tcPr>
          <w:p w14:paraId="66AD4745" w14:textId="26D93F7B"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0A6736CD" w14:textId="24F880ED" w:rsidTr="006014C0">
        <w:trPr>
          <w:cantSplit/>
          <w:trHeight w:val="360"/>
          <w:jc w:val="center"/>
        </w:trPr>
        <w:tc>
          <w:tcPr>
            <w:tcW w:w="0" w:type="auto"/>
            <w:gridSpan w:val="4"/>
            <w:shd w:val="clear" w:color="auto" w:fill="auto"/>
          </w:tcPr>
          <w:p w14:paraId="0045A212" w14:textId="77777777" w:rsidR="006014C0" w:rsidRPr="0083621A" w:rsidRDefault="006014C0" w:rsidP="001B39B0">
            <w:pPr>
              <w:pStyle w:val="TblTextCenter"/>
              <w:jc w:val="left"/>
              <w:rPr>
                <w:b/>
                <w:lang w:val="en-AU"/>
              </w:rPr>
            </w:pPr>
            <w:r w:rsidRPr="0083621A">
              <w:rPr>
                <w:b/>
                <w:lang w:val="en-AU"/>
              </w:rPr>
              <w:t>Renal and urinary disorders</w:t>
            </w:r>
          </w:p>
        </w:tc>
        <w:tc>
          <w:tcPr>
            <w:tcW w:w="1551" w:type="dxa"/>
          </w:tcPr>
          <w:p w14:paraId="6C76C44F" w14:textId="77777777" w:rsidR="006014C0" w:rsidRPr="0083621A" w:rsidRDefault="006014C0" w:rsidP="001B39B0">
            <w:pPr>
              <w:pStyle w:val="TblTextCenter"/>
              <w:jc w:val="left"/>
              <w:rPr>
                <w:b/>
                <w:lang w:val="en-AU"/>
              </w:rPr>
            </w:pPr>
          </w:p>
        </w:tc>
      </w:tr>
      <w:tr w:rsidR="006014C0" w:rsidRPr="0038119B" w14:paraId="46266D5C" w14:textId="16BFEBF2" w:rsidTr="006014C0">
        <w:trPr>
          <w:cantSplit/>
          <w:trHeight w:val="360"/>
          <w:jc w:val="center"/>
        </w:trPr>
        <w:tc>
          <w:tcPr>
            <w:tcW w:w="0" w:type="auto"/>
            <w:shd w:val="clear" w:color="auto" w:fill="auto"/>
          </w:tcPr>
          <w:p w14:paraId="34AE1B09" w14:textId="1BF729E7" w:rsidR="006014C0" w:rsidRPr="0083621A" w:rsidRDefault="006014C0" w:rsidP="001B39B0">
            <w:pPr>
              <w:pStyle w:val="TblTextCenter"/>
              <w:rPr>
                <w:lang w:val="en-AU"/>
              </w:rPr>
            </w:pPr>
            <w:proofErr w:type="spellStart"/>
            <w:r w:rsidRPr="0083621A">
              <w:rPr>
                <w:lang w:val="en-AU"/>
              </w:rPr>
              <w:t>Nephritis</w:t>
            </w:r>
            <w:r w:rsidR="00752FBB" w:rsidRPr="0083621A">
              <w:rPr>
                <w:vertAlign w:val="superscript"/>
                <w:lang w:val="en-AU"/>
              </w:rPr>
              <w:t>u</w:t>
            </w:r>
            <w:proofErr w:type="spellEnd"/>
          </w:p>
        </w:tc>
        <w:tc>
          <w:tcPr>
            <w:tcW w:w="0" w:type="auto"/>
            <w:shd w:val="clear" w:color="auto" w:fill="auto"/>
          </w:tcPr>
          <w:p w14:paraId="164FF1D8" w14:textId="1FD9642B" w:rsidR="006014C0" w:rsidRPr="00BD4A5F" w:rsidRDefault="006014C0" w:rsidP="001B39B0">
            <w:pPr>
              <w:pStyle w:val="TblTextCenter"/>
              <w:rPr>
                <w:lang w:val="en-AU"/>
              </w:rPr>
            </w:pPr>
            <w:r w:rsidRPr="00BD4A5F">
              <w:rPr>
                <w:rFonts w:cstheme="minorHAnsi"/>
                <w:lang w:val="en-AU"/>
              </w:rPr>
              <w:t>Common</w:t>
            </w:r>
          </w:p>
        </w:tc>
        <w:tc>
          <w:tcPr>
            <w:tcW w:w="0" w:type="auto"/>
            <w:shd w:val="clear" w:color="auto" w:fill="auto"/>
          </w:tcPr>
          <w:p w14:paraId="13FD9DF0" w14:textId="144B8AEC" w:rsidR="006014C0" w:rsidRPr="00BD4A5F" w:rsidRDefault="006014C0" w:rsidP="001B39B0">
            <w:pPr>
              <w:pStyle w:val="TblTextCenter"/>
              <w:rPr>
                <w:rFonts w:cstheme="minorHAnsi"/>
                <w:lang w:val="en-AU"/>
              </w:rPr>
            </w:pPr>
            <w:r w:rsidRPr="00BD4A5F">
              <w:rPr>
                <w:rFonts w:cstheme="minorHAnsi"/>
                <w:lang w:val="en-AU"/>
              </w:rPr>
              <w:t>1.1</w:t>
            </w:r>
          </w:p>
        </w:tc>
        <w:tc>
          <w:tcPr>
            <w:tcW w:w="0" w:type="auto"/>
            <w:shd w:val="clear" w:color="auto" w:fill="auto"/>
          </w:tcPr>
          <w:p w14:paraId="03A0AD56" w14:textId="6044685D" w:rsidR="006014C0" w:rsidRPr="00BD4A5F" w:rsidRDefault="000C7689" w:rsidP="001B39B0">
            <w:pPr>
              <w:pStyle w:val="TblTextCenter"/>
              <w:rPr>
                <w:lang w:val="en-AU"/>
              </w:rPr>
            </w:pPr>
            <w:r w:rsidRPr="0083621A">
              <w:rPr>
                <w:rFonts w:cstheme="minorHAnsi"/>
                <w:lang w:val="en-AU"/>
              </w:rPr>
              <w:t>0.2</w:t>
            </w:r>
          </w:p>
        </w:tc>
        <w:tc>
          <w:tcPr>
            <w:tcW w:w="1551" w:type="dxa"/>
          </w:tcPr>
          <w:p w14:paraId="5BCB5770" w14:textId="100E069B" w:rsidR="006014C0" w:rsidRPr="0083621A" w:rsidRDefault="000C7689" w:rsidP="001B39B0">
            <w:pPr>
              <w:pStyle w:val="TblTextCenter"/>
              <w:rPr>
                <w:lang w:val="en-AU"/>
              </w:rPr>
            </w:pPr>
            <w:r w:rsidRPr="0083621A">
              <w:rPr>
                <w:rFonts w:cstheme="minorHAnsi"/>
                <w:lang w:val="en-AU"/>
              </w:rPr>
              <w:t>&lt;0.1</w:t>
            </w:r>
          </w:p>
        </w:tc>
      </w:tr>
      <w:tr w:rsidR="006014C0" w:rsidRPr="0038119B" w14:paraId="2B1B14D3" w14:textId="0F3C6E65" w:rsidTr="006014C0">
        <w:trPr>
          <w:cantSplit/>
          <w:trHeight w:val="360"/>
          <w:jc w:val="center"/>
        </w:trPr>
        <w:tc>
          <w:tcPr>
            <w:tcW w:w="0" w:type="auto"/>
            <w:gridSpan w:val="4"/>
            <w:shd w:val="clear" w:color="auto" w:fill="auto"/>
          </w:tcPr>
          <w:p w14:paraId="4B3E2B97" w14:textId="77777777" w:rsidR="006014C0" w:rsidRPr="0083621A" w:rsidRDefault="006014C0" w:rsidP="001B39B0">
            <w:pPr>
              <w:pStyle w:val="TblTextCenter"/>
              <w:jc w:val="left"/>
              <w:rPr>
                <w:b/>
                <w:lang w:val="en-AU"/>
              </w:rPr>
            </w:pPr>
            <w:r w:rsidRPr="0083621A">
              <w:rPr>
                <w:b/>
                <w:lang w:val="en-AU"/>
              </w:rPr>
              <w:t>General disorders and administration site conditions</w:t>
            </w:r>
          </w:p>
        </w:tc>
        <w:tc>
          <w:tcPr>
            <w:tcW w:w="1551" w:type="dxa"/>
          </w:tcPr>
          <w:p w14:paraId="1C63D9A8" w14:textId="77777777" w:rsidR="006014C0" w:rsidRPr="0083621A" w:rsidRDefault="006014C0" w:rsidP="001B39B0">
            <w:pPr>
              <w:pStyle w:val="TblTextCenter"/>
              <w:jc w:val="left"/>
              <w:rPr>
                <w:b/>
                <w:lang w:val="en-AU"/>
              </w:rPr>
            </w:pPr>
          </w:p>
        </w:tc>
      </w:tr>
      <w:tr w:rsidR="006014C0" w:rsidRPr="0038119B" w14:paraId="735679DF" w14:textId="78BB34EF" w:rsidTr="006014C0">
        <w:trPr>
          <w:cantSplit/>
          <w:trHeight w:val="360"/>
          <w:jc w:val="center"/>
        </w:trPr>
        <w:tc>
          <w:tcPr>
            <w:tcW w:w="0" w:type="auto"/>
            <w:shd w:val="clear" w:color="auto" w:fill="auto"/>
          </w:tcPr>
          <w:p w14:paraId="48FABBBE" w14:textId="740F3AF6" w:rsidR="006014C0" w:rsidRPr="0083621A" w:rsidRDefault="006014C0" w:rsidP="001B39B0">
            <w:pPr>
              <w:pStyle w:val="TblTextCenter"/>
              <w:rPr>
                <w:lang w:val="en-AU"/>
              </w:rPr>
            </w:pPr>
            <w:proofErr w:type="spellStart"/>
            <w:r w:rsidRPr="0083621A">
              <w:rPr>
                <w:lang w:val="en-AU"/>
              </w:rPr>
              <w:t>Fatigue</w:t>
            </w:r>
            <w:r w:rsidR="00752FBB" w:rsidRPr="0083621A">
              <w:rPr>
                <w:vertAlign w:val="superscript"/>
                <w:lang w:val="en-AU"/>
              </w:rPr>
              <w:t>v</w:t>
            </w:r>
            <w:proofErr w:type="spellEnd"/>
          </w:p>
        </w:tc>
        <w:tc>
          <w:tcPr>
            <w:tcW w:w="0" w:type="auto"/>
            <w:shd w:val="clear" w:color="auto" w:fill="auto"/>
          </w:tcPr>
          <w:p w14:paraId="560140BD" w14:textId="77777777" w:rsidR="006014C0" w:rsidRPr="00BD4A5F" w:rsidRDefault="006014C0" w:rsidP="001B39B0">
            <w:pPr>
              <w:pStyle w:val="TblTextCenter"/>
              <w:rPr>
                <w:lang w:val="en-AU"/>
              </w:rPr>
            </w:pPr>
            <w:r w:rsidRPr="00BD4A5F">
              <w:rPr>
                <w:lang w:val="en-AU"/>
              </w:rPr>
              <w:t>Very common</w:t>
            </w:r>
          </w:p>
        </w:tc>
        <w:tc>
          <w:tcPr>
            <w:tcW w:w="0" w:type="auto"/>
            <w:shd w:val="clear" w:color="auto" w:fill="auto"/>
          </w:tcPr>
          <w:p w14:paraId="091D6EE7" w14:textId="21321836" w:rsidR="006014C0" w:rsidRPr="00BD4A5F" w:rsidRDefault="006014C0" w:rsidP="001B39B0">
            <w:pPr>
              <w:pStyle w:val="TblTextCenter"/>
              <w:rPr>
                <w:lang w:val="en-AU"/>
              </w:rPr>
            </w:pPr>
            <w:r w:rsidRPr="00BD4A5F">
              <w:rPr>
                <w:rFonts w:cstheme="minorHAnsi"/>
                <w:lang w:val="en-AU"/>
              </w:rPr>
              <w:t>32.5</w:t>
            </w:r>
          </w:p>
        </w:tc>
        <w:tc>
          <w:tcPr>
            <w:tcW w:w="0" w:type="auto"/>
            <w:shd w:val="clear" w:color="auto" w:fill="auto"/>
          </w:tcPr>
          <w:p w14:paraId="49343808" w14:textId="27F625E5" w:rsidR="006014C0" w:rsidRPr="00BD4A5F" w:rsidRDefault="006014C0" w:rsidP="001B39B0">
            <w:pPr>
              <w:pStyle w:val="TblTextCenter"/>
              <w:rPr>
                <w:lang w:val="en-AU"/>
              </w:rPr>
            </w:pPr>
            <w:r w:rsidRPr="00BD4A5F">
              <w:rPr>
                <w:rFonts w:cstheme="minorHAnsi"/>
                <w:lang w:val="en-AU"/>
              </w:rPr>
              <w:t>2.4</w:t>
            </w:r>
          </w:p>
        </w:tc>
        <w:tc>
          <w:tcPr>
            <w:tcW w:w="1551" w:type="dxa"/>
          </w:tcPr>
          <w:p w14:paraId="40EAB93A" w14:textId="052022C2" w:rsidR="006014C0" w:rsidRPr="0083621A" w:rsidRDefault="000C7689" w:rsidP="001B39B0">
            <w:pPr>
              <w:pStyle w:val="TblTextCenter"/>
              <w:rPr>
                <w:rFonts w:cstheme="minorHAnsi"/>
                <w:lang w:val="en-AU"/>
              </w:rPr>
            </w:pPr>
            <w:r w:rsidRPr="0083621A">
              <w:rPr>
                <w:rFonts w:cstheme="minorHAnsi"/>
                <w:lang w:val="en-AU"/>
              </w:rPr>
              <w:t>0</w:t>
            </w:r>
          </w:p>
        </w:tc>
      </w:tr>
      <w:tr w:rsidR="006014C0" w:rsidRPr="0038119B" w14:paraId="0C1C4F02" w14:textId="7817C486" w:rsidTr="006014C0">
        <w:trPr>
          <w:cantSplit/>
          <w:trHeight w:val="360"/>
          <w:jc w:val="center"/>
        </w:trPr>
        <w:tc>
          <w:tcPr>
            <w:tcW w:w="0" w:type="auto"/>
            <w:gridSpan w:val="4"/>
            <w:shd w:val="clear" w:color="auto" w:fill="auto"/>
          </w:tcPr>
          <w:p w14:paraId="578E6096" w14:textId="77777777" w:rsidR="006014C0" w:rsidRPr="00BD4A5F" w:rsidRDefault="006014C0" w:rsidP="001B39B0">
            <w:pPr>
              <w:pStyle w:val="TblTextCenter"/>
              <w:jc w:val="left"/>
              <w:rPr>
                <w:b/>
                <w:lang w:val="en-AU"/>
              </w:rPr>
            </w:pPr>
            <w:r w:rsidRPr="00BD4A5F">
              <w:rPr>
                <w:b/>
                <w:lang w:val="en-AU"/>
              </w:rPr>
              <w:t>Investigations</w:t>
            </w:r>
          </w:p>
        </w:tc>
        <w:tc>
          <w:tcPr>
            <w:tcW w:w="1551" w:type="dxa"/>
          </w:tcPr>
          <w:p w14:paraId="42DB3567" w14:textId="77777777" w:rsidR="006014C0" w:rsidRPr="0083621A" w:rsidRDefault="006014C0" w:rsidP="001B39B0">
            <w:pPr>
              <w:pStyle w:val="TblTextCenter"/>
              <w:jc w:val="left"/>
              <w:rPr>
                <w:b/>
                <w:lang w:val="en-AU"/>
              </w:rPr>
            </w:pPr>
          </w:p>
        </w:tc>
      </w:tr>
      <w:tr w:rsidR="006014C0" w:rsidRPr="0038119B" w14:paraId="453386D0" w14:textId="34712D56" w:rsidTr="006014C0">
        <w:trPr>
          <w:cantSplit/>
          <w:trHeight w:val="360"/>
          <w:jc w:val="center"/>
        </w:trPr>
        <w:tc>
          <w:tcPr>
            <w:tcW w:w="0" w:type="auto"/>
            <w:shd w:val="clear" w:color="auto" w:fill="auto"/>
          </w:tcPr>
          <w:p w14:paraId="7B7BAEE6" w14:textId="5DA278C8" w:rsidR="006014C0" w:rsidRPr="00BD4A5F" w:rsidRDefault="006014C0" w:rsidP="000D5070">
            <w:pPr>
              <w:pStyle w:val="TblTextCenter"/>
              <w:rPr>
                <w:lang w:val="en-AU"/>
              </w:rPr>
            </w:pPr>
            <w:r w:rsidRPr="00BD4A5F">
              <w:rPr>
                <w:rFonts w:cstheme="minorHAnsi"/>
                <w:lang w:val="en-AU"/>
              </w:rPr>
              <w:t>Aspartate aminotransferase increased</w:t>
            </w:r>
          </w:p>
        </w:tc>
        <w:tc>
          <w:tcPr>
            <w:tcW w:w="0" w:type="auto"/>
            <w:shd w:val="clear" w:color="auto" w:fill="auto"/>
          </w:tcPr>
          <w:p w14:paraId="52F1A690" w14:textId="3D006ADF" w:rsidR="006014C0" w:rsidRPr="00BD4A5F" w:rsidRDefault="006014C0" w:rsidP="000D5070">
            <w:pPr>
              <w:pStyle w:val="TblTextCenter"/>
              <w:rPr>
                <w:lang w:val="en-AU"/>
              </w:rPr>
            </w:pPr>
            <w:r w:rsidRPr="00BD4A5F">
              <w:rPr>
                <w:rFonts w:cstheme="minorHAnsi"/>
                <w:lang w:val="en-AU"/>
              </w:rPr>
              <w:t>Common</w:t>
            </w:r>
          </w:p>
        </w:tc>
        <w:tc>
          <w:tcPr>
            <w:tcW w:w="0" w:type="auto"/>
            <w:shd w:val="clear" w:color="auto" w:fill="auto"/>
          </w:tcPr>
          <w:p w14:paraId="1B8FC9A4" w14:textId="5410BB29" w:rsidR="006014C0" w:rsidRPr="00BD4A5F" w:rsidRDefault="006014C0" w:rsidP="000D5070">
            <w:pPr>
              <w:pStyle w:val="TblTextCenter"/>
              <w:rPr>
                <w:lang w:val="en-AU"/>
              </w:rPr>
            </w:pPr>
            <w:r w:rsidRPr="00BD4A5F">
              <w:rPr>
                <w:rFonts w:cstheme="minorHAnsi"/>
                <w:lang w:val="en-AU"/>
              </w:rPr>
              <w:t>4.0</w:t>
            </w:r>
          </w:p>
        </w:tc>
        <w:tc>
          <w:tcPr>
            <w:tcW w:w="0" w:type="auto"/>
            <w:shd w:val="clear" w:color="auto" w:fill="auto"/>
          </w:tcPr>
          <w:p w14:paraId="76375E8F" w14:textId="20E8FF0B" w:rsidR="006014C0" w:rsidRPr="00BD4A5F" w:rsidRDefault="006014C0" w:rsidP="000D5070">
            <w:pPr>
              <w:pStyle w:val="TblTextCenter"/>
              <w:rPr>
                <w:lang w:val="en-AU"/>
              </w:rPr>
            </w:pPr>
            <w:r w:rsidRPr="00BD4A5F">
              <w:rPr>
                <w:rFonts w:cstheme="minorHAnsi"/>
                <w:lang w:val="en-AU"/>
              </w:rPr>
              <w:t>0.8</w:t>
            </w:r>
          </w:p>
        </w:tc>
        <w:tc>
          <w:tcPr>
            <w:tcW w:w="1551" w:type="dxa"/>
          </w:tcPr>
          <w:p w14:paraId="74E51135" w14:textId="3CE213AA" w:rsidR="006014C0" w:rsidRPr="0083621A" w:rsidRDefault="000C7689" w:rsidP="000D5070">
            <w:pPr>
              <w:pStyle w:val="TblTextCenter"/>
              <w:rPr>
                <w:rFonts w:cstheme="minorHAnsi"/>
                <w:lang w:val="en-AU"/>
              </w:rPr>
            </w:pPr>
            <w:r w:rsidRPr="0083621A">
              <w:rPr>
                <w:rFonts w:cstheme="minorHAnsi"/>
                <w:lang w:val="en-AU"/>
              </w:rPr>
              <w:t>0</w:t>
            </w:r>
          </w:p>
        </w:tc>
      </w:tr>
      <w:tr w:rsidR="006014C0" w:rsidRPr="0038119B" w14:paraId="1EE1DE64" w14:textId="70D894B3" w:rsidTr="006014C0">
        <w:trPr>
          <w:cantSplit/>
          <w:trHeight w:val="360"/>
          <w:jc w:val="center"/>
        </w:trPr>
        <w:tc>
          <w:tcPr>
            <w:tcW w:w="0" w:type="auto"/>
            <w:shd w:val="clear" w:color="auto" w:fill="auto"/>
          </w:tcPr>
          <w:p w14:paraId="350FC483" w14:textId="77777777" w:rsidR="006014C0" w:rsidRPr="00BD4A5F" w:rsidRDefault="006014C0" w:rsidP="000D5070">
            <w:pPr>
              <w:pStyle w:val="TblTextCenter"/>
              <w:rPr>
                <w:lang w:val="en-AU"/>
              </w:rPr>
            </w:pPr>
            <w:r w:rsidRPr="00BD4A5F">
              <w:rPr>
                <w:lang w:val="en-AU"/>
              </w:rPr>
              <w:t>Alanine aminotransferase increased</w:t>
            </w:r>
          </w:p>
        </w:tc>
        <w:tc>
          <w:tcPr>
            <w:tcW w:w="0" w:type="auto"/>
            <w:shd w:val="clear" w:color="auto" w:fill="auto"/>
          </w:tcPr>
          <w:p w14:paraId="38F2A5B0" w14:textId="77777777" w:rsidR="006014C0" w:rsidRPr="00BD4A5F" w:rsidRDefault="006014C0" w:rsidP="000D5070">
            <w:pPr>
              <w:pStyle w:val="TblTextCenter"/>
              <w:rPr>
                <w:lang w:val="en-AU"/>
              </w:rPr>
            </w:pPr>
            <w:r w:rsidRPr="00BD4A5F">
              <w:rPr>
                <w:lang w:val="en-AU"/>
              </w:rPr>
              <w:t>Common</w:t>
            </w:r>
          </w:p>
        </w:tc>
        <w:tc>
          <w:tcPr>
            <w:tcW w:w="0" w:type="auto"/>
            <w:shd w:val="clear" w:color="auto" w:fill="auto"/>
          </w:tcPr>
          <w:p w14:paraId="4FCB3172" w14:textId="4001D1F6" w:rsidR="006014C0" w:rsidRPr="00BD4A5F" w:rsidRDefault="006014C0" w:rsidP="000D5070">
            <w:pPr>
              <w:pStyle w:val="TblTextCenter"/>
              <w:rPr>
                <w:lang w:val="en-AU"/>
              </w:rPr>
            </w:pPr>
            <w:r w:rsidRPr="00BD4A5F">
              <w:rPr>
                <w:rFonts w:cstheme="minorHAnsi"/>
                <w:lang w:val="en-AU"/>
              </w:rPr>
              <w:t>4.0</w:t>
            </w:r>
          </w:p>
        </w:tc>
        <w:tc>
          <w:tcPr>
            <w:tcW w:w="0" w:type="auto"/>
            <w:shd w:val="clear" w:color="auto" w:fill="auto"/>
          </w:tcPr>
          <w:p w14:paraId="4134BA74" w14:textId="20E0A4E2" w:rsidR="006014C0" w:rsidRPr="00BD4A5F" w:rsidRDefault="006014C0" w:rsidP="000D5070">
            <w:pPr>
              <w:pStyle w:val="TblTextCenter"/>
              <w:rPr>
                <w:lang w:val="en-AU"/>
              </w:rPr>
            </w:pPr>
            <w:r w:rsidRPr="00BD4A5F">
              <w:rPr>
                <w:lang w:val="en-AU"/>
              </w:rPr>
              <w:t>0.</w:t>
            </w:r>
            <w:r w:rsidRPr="00BD4A5F">
              <w:rPr>
                <w:rFonts w:cstheme="minorHAnsi"/>
                <w:lang w:val="en-AU"/>
              </w:rPr>
              <w:t>6</w:t>
            </w:r>
          </w:p>
        </w:tc>
        <w:tc>
          <w:tcPr>
            <w:tcW w:w="1551" w:type="dxa"/>
          </w:tcPr>
          <w:p w14:paraId="3FCD83C0" w14:textId="48193A86" w:rsidR="006014C0" w:rsidRPr="0083621A" w:rsidRDefault="000C7689" w:rsidP="000D5070">
            <w:pPr>
              <w:pStyle w:val="TblTextCenter"/>
              <w:rPr>
                <w:lang w:val="en-AU"/>
              </w:rPr>
            </w:pPr>
            <w:r w:rsidRPr="0083621A">
              <w:rPr>
                <w:lang w:val="en-AU"/>
              </w:rPr>
              <w:t>0</w:t>
            </w:r>
          </w:p>
        </w:tc>
      </w:tr>
      <w:tr w:rsidR="006014C0" w:rsidRPr="0038119B" w14:paraId="0F0475E5" w14:textId="31BD3CED" w:rsidTr="006014C0">
        <w:trPr>
          <w:cantSplit/>
          <w:trHeight w:val="360"/>
          <w:jc w:val="center"/>
        </w:trPr>
        <w:tc>
          <w:tcPr>
            <w:tcW w:w="0" w:type="auto"/>
            <w:shd w:val="clear" w:color="auto" w:fill="auto"/>
          </w:tcPr>
          <w:p w14:paraId="79637795" w14:textId="77777777" w:rsidR="006014C0" w:rsidRPr="00BD4A5F" w:rsidRDefault="006014C0" w:rsidP="000D5070">
            <w:pPr>
              <w:pStyle w:val="TblTextCenter"/>
              <w:rPr>
                <w:lang w:val="en-AU"/>
              </w:rPr>
            </w:pPr>
            <w:r w:rsidRPr="00BD4A5F">
              <w:rPr>
                <w:lang w:val="en-AU"/>
              </w:rPr>
              <w:t>Blood alkaline phosphatase increased</w:t>
            </w:r>
          </w:p>
        </w:tc>
        <w:tc>
          <w:tcPr>
            <w:tcW w:w="0" w:type="auto"/>
            <w:shd w:val="clear" w:color="auto" w:fill="auto"/>
          </w:tcPr>
          <w:p w14:paraId="77EF7627" w14:textId="77777777" w:rsidR="006014C0" w:rsidRPr="00BD4A5F" w:rsidRDefault="006014C0" w:rsidP="000D5070">
            <w:pPr>
              <w:pStyle w:val="TblTextCenter"/>
              <w:rPr>
                <w:lang w:val="en-AU"/>
              </w:rPr>
            </w:pPr>
            <w:r w:rsidRPr="00BD4A5F">
              <w:rPr>
                <w:lang w:val="en-AU"/>
              </w:rPr>
              <w:t>Common</w:t>
            </w:r>
          </w:p>
        </w:tc>
        <w:tc>
          <w:tcPr>
            <w:tcW w:w="0" w:type="auto"/>
            <w:shd w:val="clear" w:color="auto" w:fill="auto"/>
          </w:tcPr>
          <w:p w14:paraId="3894AD14" w14:textId="6C37AA75" w:rsidR="006014C0" w:rsidRPr="00BD4A5F" w:rsidRDefault="006014C0" w:rsidP="000D5070">
            <w:pPr>
              <w:pStyle w:val="TblTextCenter"/>
              <w:rPr>
                <w:lang w:val="en-AU"/>
              </w:rPr>
            </w:pPr>
            <w:r w:rsidRPr="00BD4A5F">
              <w:rPr>
                <w:rFonts w:cstheme="minorHAnsi"/>
                <w:lang w:val="en-AU"/>
              </w:rPr>
              <w:t>1.9</w:t>
            </w:r>
          </w:p>
        </w:tc>
        <w:tc>
          <w:tcPr>
            <w:tcW w:w="0" w:type="auto"/>
            <w:shd w:val="clear" w:color="auto" w:fill="auto"/>
          </w:tcPr>
          <w:p w14:paraId="3AC0BC4C" w14:textId="3E5B8FAA" w:rsidR="006014C0" w:rsidRPr="00BD4A5F" w:rsidRDefault="006014C0" w:rsidP="000D5070">
            <w:pPr>
              <w:pStyle w:val="TblTextCenter"/>
              <w:rPr>
                <w:lang w:val="en-AU"/>
              </w:rPr>
            </w:pPr>
            <w:r w:rsidRPr="00BD4A5F">
              <w:rPr>
                <w:lang w:val="en-AU"/>
              </w:rPr>
              <w:t>0</w:t>
            </w:r>
            <w:r w:rsidRPr="00BD4A5F">
              <w:rPr>
                <w:rFonts w:cstheme="minorHAnsi"/>
                <w:lang w:val="en-AU"/>
              </w:rPr>
              <w:t>.2</w:t>
            </w:r>
          </w:p>
        </w:tc>
        <w:tc>
          <w:tcPr>
            <w:tcW w:w="1551" w:type="dxa"/>
          </w:tcPr>
          <w:p w14:paraId="43D71721" w14:textId="01822AE2" w:rsidR="006014C0" w:rsidRPr="0083621A" w:rsidRDefault="00D14313" w:rsidP="000D5070">
            <w:pPr>
              <w:pStyle w:val="TblTextCenter"/>
              <w:rPr>
                <w:lang w:val="en-AU"/>
              </w:rPr>
            </w:pPr>
            <w:r w:rsidRPr="0083621A">
              <w:rPr>
                <w:lang w:val="en-AU"/>
              </w:rPr>
              <w:t>0</w:t>
            </w:r>
          </w:p>
        </w:tc>
      </w:tr>
      <w:tr w:rsidR="006014C0" w:rsidRPr="0038119B" w14:paraId="68677209" w14:textId="5721EA64" w:rsidTr="006014C0">
        <w:trPr>
          <w:cantSplit/>
          <w:trHeight w:val="360"/>
          <w:jc w:val="center"/>
        </w:trPr>
        <w:tc>
          <w:tcPr>
            <w:tcW w:w="0" w:type="auto"/>
            <w:shd w:val="clear" w:color="auto" w:fill="auto"/>
          </w:tcPr>
          <w:p w14:paraId="392B9434" w14:textId="77777777" w:rsidR="006014C0" w:rsidRPr="00BD4A5F" w:rsidRDefault="006014C0" w:rsidP="000D5070">
            <w:pPr>
              <w:pStyle w:val="TblTextCenter"/>
              <w:rPr>
                <w:lang w:val="en-AU"/>
              </w:rPr>
            </w:pPr>
            <w:r w:rsidRPr="00BD4A5F">
              <w:rPr>
                <w:lang w:val="en-AU"/>
              </w:rPr>
              <w:t>Blood creatinine increased</w:t>
            </w:r>
          </w:p>
        </w:tc>
        <w:tc>
          <w:tcPr>
            <w:tcW w:w="0" w:type="auto"/>
            <w:shd w:val="clear" w:color="auto" w:fill="auto"/>
          </w:tcPr>
          <w:p w14:paraId="57E169B4" w14:textId="77777777" w:rsidR="006014C0" w:rsidRPr="00BD4A5F" w:rsidRDefault="006014C0" w:rsidP="000D5070">
            <w:pPr>
              <w:pStyle w:val="TblTextCenter"/>
              <w:rPr>
                <w:lang w:val="en-AU"/>
              </w:rPr>
            </w:pPr>
            <w:r w:rsidRPr="00BD4A5F">
              <w:rPr>
                <w:lang w:val="en-AU"/>
              </w:rPr>
              <w:t>Common</w:t>
            </w:r>
          </w:p>
        </w:tc>
        <w:tc>
          <w:tcPr>
            <w:tcW w:w="0" w:type="auto"/>
            <w:shd w:val="clear" w:color="auto" w:fill="auto"/>
          </w:tcPr>
          <w:p w14:paraId="7DA0FDEC" w14:textId="2E93435D" w:rsidR="006014C0" w:rsidRPr="00BD4A5F" w:rsidRDefault="006014C0" w:rsidP="000D5070">
            <w:pPr>
              <w:pStyle w:val="TblTextCenter"/>
              <w:rPr>
                <w:lang w:val="en-AU"/>
              </w:rPr>
            </w:pPr>
            <w:r w:rsidRPr="00BD4A5F">
              <w:rPr>
                <w:lang w:val="en-AU"/>
              </w:rPr>
              <w:t>1.</w:t>
            </w:r>
            <w:r w:rsidRPr="00BD4A5F">
              <w:rPr>
                <w:rFonts w:cstheme="minorHAnsi"/>
                <w:lang w:val="en-AU"/>
              </w:rPr>
              <w:t>6</w:t>
            </w:r>
          </w:p>
        </w:tc>
        <w:tc>
          <w:tcPr>
            <w:tcW w:w="0" w:type="auto"/>
            <w:shd w:val="clear" w:color="auto" w:fill="auto"/>
          </w:tcPr>
          <w:p w14:paraId="243A3747" w14:textId="77777777" w:rsidR="006014C0" w:rsidRPr="00BD4A5F" w:rsidRDefault="006014C0" w:rsidP="000D5070">
            <w:pPr>
              <w:pStyle w:val="TblTextCenter"/>
              <w:rPr>
                <w:lang w:val="en-AU"/>
              </w:rPr>
            </w:pPr>
            <w:r w:rsidRPr="00BD4A5F">
              <w:rPr>
                <w:lang w:val="en-AU"/>
              </w:rPr>
              <w:t>0</w:t>
            </w:r>
          </w:p>
        </w:tc>
        <w:tc>
          <w:tcPr>
            <w:tcW w:w="1551" w:type="dxa"/>
          </w:tcPr>
          <w:p w14:paraId="4B29F204" w14:textId="79B3D2C0" w:rsidR="006014C0" w:rsidRPr="0083621A" w:rsidRDefault="00D14313" w:rsidP="000D5070">
            <w:pPr>
              <w:pStyle w:val="TblTextCenter"/>
              <w:rPr>
                <w:lang w:val="en-AU"/>
              </w:rPr>
            </w:pPr>
            <w:r w:rsidRPr="0083621A">
              <w:rPr>
                <w:lang w:val="en-AU"/>
              </w:rPr>
              <w:t>0</w:t>
            </w:r>
          </w:p>
        </w:tc>
      </w:tr>
      <w:tr w:rsidR="006014C0" w:rsidRPr="0038119B" w14:paraId="0AF4EAA4" w14:textId="20292266" w:rsidTr="006014C0">
        <w:trPr>
          <w:cantSplit/>
          <w:trHeight w:val="360"/>
          <w:jc w:val="center"/>
        </w:trPr>
        <w:tc>
          <w:tcPr>
            <w:tcW w:w="0" w:type="auto"/>
            <w:shd w:val="clear" w:color="auto" w:fill="auto"/>
          </w:tcPr>
          <w:p w14:paraId="5A4AABF8" w14:textId="71726F5D" w:rsidR="006014C0" w:rsidRPr="00BD4A5F" w:rsidRDefault="006014C0" w:rsidP="000D5070">
            <w:pPr>
              <w:pStyle w:val="TblTextCenter"/>
              <w:rPr>
                <w:lang w:val="en-AU"/>
              </w:rPr>
            </w:pPr>
            <w:r w:rsidRPr="00BD4A5F">
              <w:rPr>
                <w:rFonts w:cstheme="minorHAnsi"/>
                <w:lang w:val="en-AU"/>
              </w:rPr>
              <w:t>Blood thyroid stimulating hormone increased</w:t>
            </w:r>
          </w:p>
        </w:tc>
        <w:tc>
          <w:tcPr>
            <w:tcW w:w="0" w:type="auto"/>
            <w:shd w:val="clear" w:color="auto" w:fill="auto"/>
          </w:tcPr>
          <w:p w14:paraId="7DB42028" w14:textId="4E274995" w:rsidR="006014C0" w:rsidRPr="00BD4A5F" w:rsidRDefault="006014C0" w:rsidP="000D5070">
            <w:pPr>
              <w:pStyle w:val="TblTextCenter"/>
              <w:rPr>
                <w:lang w:val="en-AU"/>
              </w:rPr>
            </w:pPr>
            <w:r w:rsidRPr="00BD4A5F">
              <w:rPr>
                <w:rFonts w:cstheme="minorHAnsi"/>
                <w:lang w:val="en-AU"/>
              </w:rPr>
              <w:t>Uncommon</w:t>
            </w:r>
          </w:p>
        </w:tc>
        <w:tc>
          <w:tcPr>
            <w:tcW w:w="0" w:type="auto"/>
            <w:shd w:val="clear" w:color="auto" w:fill="auto"/>
          </w:tcPr>
          <w:p w14:paraId="0242A149" w14:textId="543EAA46" w:rsidR="006014C0" w:rsidRPr="00BD4A5F" w:rsidRDefault="006014C0" w:rsidP="000D5070">
            <w:pPr>
              <w:pStyle w:val="TblTextCenter"/>
              <w:rPr>
                <w:lang w:val="en-AU"/>
              </w:rPr>
            </w:pPr>
            <w:r w:rsidRPr="00BD4A5F">
              <w:rPr>
                <w:rFonts w:cstheme="minorHAnsi"/>
                <w:lang w:val="en-AU"/>
              </w:rPr>
              <w:t>0.6</w:t>
            </w:r>
          </w:p>
        </w:tc>
        <w:tc>
          <w:tcPr>
            <w:tcW w:w="0" w:type="auto"/>
            <w:shd w:val="clear" w:color="auto" w:fill="auto"/>
          </w:tcPr>
          <w:p w14:paraId="51321FA5" w14:textId="031734C5" w:rsidR="006014C0" w:rsidRPr="00BD4A5F" w:rsidRDefault="006014C0" w:rsidP="000D5070">
            <w:pPr>
              <w:pStyle w:val="TblTextCenter"/>
              <w:rPr>
                <w:lang w:val="en-AU"/>
              </w:rPr>
            </w:pPr>
            <w:r w:rsidRPr="00BD4A5F">
              <w:rPr>
                <w:rFonts w:cstheme="minorHAnsi"/>
                <w:lang w:val="en-AU"/>
              </w:rPr>
              <w:t>0</w:t>
            </w:r>
          </w:p>
        </w:tc>
        <w:tc>
          <w:tcPr>
            <w:tcW w:w="1551" w:type="dxa"/>
          </w:tcPr>
          <w:p w14:paraId="6519552E" w14:textId="02A907DE" w:rsidR="006014C0" w:rsidRPr="0083621A" w:rsidRDefault="00D14313" w:rsidP="000D5070">
            <w:pPr>
              <w:pStyle w:val="TblTextCenter"/>
              <w:rPr>
                <w:rFonts w:cstheme="minorHAnsi"/>
                <w:lang w:val="en-AU"/>
              </w:rPr>
            </w:pPr>
            <w:r w:rsidRPr="0083621A">
              <w:rPr>
                <w:rFonts w:cstheme="minorHAnsi"/>
                <w:lang w:val="en-AU"/>
              </w:rPr>
              <w:t>0</w:t>
            </w:r>
          </w:p>
        </w:tc>
      </w:tr>
      <w:tr w:rsidR="006014C0" w:rsidRPr="0038119B" w14:paraId="10CCF268" w14:textId="1200889C" w:rsidTr="006014C0">
        <w:trPr>
          <w:cantSplit/>
          <w:trHeight w:val="360"/>
          <w:jc w:val="center"/>
        </w:trPr>
        <w:tc>
          <w:tcPr>
            <w:tcW w:w="0" w:type="auto"/>
            <w:shd w:val="clear" w:color="auto" w:fill="auto"/>
          </w:tcPr>
          <w:p w14:paraId="66B59E8A" w14:textId="2C502E47" w:rsidR="006014C0" w:rsidRPr="00BD4A5F" w:rsidRDefault="006014C0" w:rsidP="000D5070">
            <w:pPr>
              <w:pStyle w:val="TblTextCenter"/>
              <w:rPr>
                <w:lang w:val="en-AU"/>
              </w:rPr>
            </w:pPr>
            <w:r w:rsidRPr="00BD4A5F">
              <w:rPr>
                <w:rFonts w:cstheme="minorHAnsi"/>
                <w:lang w:val="en-AU"/>
              </w:rPr>
              <w:t>Transaminases increased</w:t>
            </w:r>
          </w:p>
        </w:tc>
        <w:tc>
          <w:tcPr>
            <w:tcW w:w="0" w:type="auto"/>
            <w:shd w:val="clear" w:color="auto" w:fill="auto"/>
          </w:tcPr>
          <w:p w14:paraId="608FF730" w14:textId="1B0C22EE" w:rsidR="006014C0" w:rsidRPr="00BD4A5F" w:rsidRDefault="006014C0" w:rsidP="000D5070">
            <w:pPr>
              <w:pStyle w:val="TblTextCenter"/>
              <w:rPr>
                <w:lang w:val="en-AU"/>
              </w:rPr>
            </w:pPr>
            <w:r w:rsidRPr="00BD4A5F">
              <w:rPr>
                <w:rFonts w:cstheme="minorHAnsi"/>
                <w:lang w:val="en-AU"/>
              </w:rPr>
              <w:t>Uncommon</w:t>
            </w:r>
          </w:p>
        </w:tc>
        <w:tc>
          <w:tcPr>
            <w:tcW w:w="0" w:type="auto"/>
            <w:shd w:val="clear" w:color="auto" w:fill="auto"/>
          </w:tcPr>
          <w:p w14:paraId="0E0ACB3A" w14:textId="3BA4B35E" w:rsidR="006014C0" w:rsidRPr="00BD4A5F" w:rsidRDefault="006014C0" w:rsidP="000D5070">
            <w:pPr>
              <w:pStyle w:val="TblTextCenter"/>
              <w:rPr>
                <w:lang w:val="en-AU"/>
              </w:rPr>
            </w:pPr>
            <w:r w:rsidRPr="00BD4A5F">
              <w:rPr>
                <w:rFonts w:cstheme="minorHAnsi"/>
                <w:lang w:val="en-AU"/>
              </w:rPr>
              <w:t>0.5</w:t>
            </w:r>
          </w:p>
        </w:tc>
        <w:tc>
          <w:tcPr>
            <w:tcW w:w="0" w:type="auto"/>
            <w:shd w:val="clear" w:color="auto" w:fill="auto"/>
          </w:tcPr>
          <w:p w14:paraId="4F231AEE" w14:textId="3881EBC0" w:rsidR="006014C0" w:rsidRPr="00BD4A5F" w:rsidRDefault="006014C0" w:rsidP="000D5070">
            <w:pPr>
              <w:pStyle w:val="TblTextCenter"/>
              <w:rPr>
                <w:lang w:val="en-AU"/>
              </w:rPr>
            </w:pPr>
            <w:r w:rsidRPr="00BD4A5F">
              <w:rPr>
                <w:rFonts w:cstheme="minorHAnsi"/>
                <w:lang w:val="en-AU"/>
              </w:rPr>
              <w:t>0.2</w:t>
            </w:r>
          </w:p>
        </w:tc>
        <w:tc>
          <w:tcPr>
            <w:tcW w:w="1551" w:type="dxa"/>
          </w:tcPr>
          <w:p w14:paraId="39858716" w14:textId="299F6EE5" w:rsidR="006014C0" w:rsidRPr="0083621A" w:rsidRDefault="00D14313" w:rsidP="000D5070">
            <w:pPr>
              <w:pStyle w:val="TblTextCenter"/>
              <w:rPr>
                <w:rFonts w:cstheme="minorHAnsi"/>
                <w:lang w:val="en-AU"/>
              </w:rPr>
            </w:pPr>
            <w:r w:rsidRPr="0083621A">
              <w:rPr>
                <w:rFonts w:cstheme="minorHAnsi"/>
                <w:lang w:val="en-AU"/>
              </w:rPr>
              <w:t>0</w:t>
            </w:r>
          </w:p>
        </w:tc>
      </w:tr>
      <w:tr w:rsidR="006014C0" w:rsidRPr="0038119B" w14:paraId="3FD9C78D" w14:textId="3B9E15F2" w:rsidTr="006014C0">
        <w:trPr>
          <w:cantSplit/>
          <w:trHeight w:val="360"/>
          <w:jc w:val="center"/>
        </w:trPr>
        <w:tc>
          <w:tcPr>
            <w:tcW w:w="0" w:type="auto"/>
            <w:shd w:val="clear" w:color="auto" w:fill="auto"/>
          </w:tcPr>
          <w:p w14:paraId="308CEF28" w14:textId="6B3DECFB" w:rsidR="006014C0" w:rsidRPr="00BD4A5F" w:rsidRDefault="006014C0" w:rsidP="000D5070">
            <w:pPr>
              <w:pStyle w:val="TblTextCenter"/>
              <w:rPr>
                <w:lang w:val="en-AU"/>
              </w:rPr>
            </w:pPr>
            <w:r w:rsidRPr="00BD4A5F">
              <w:rPr>
                <w:rFonts w:cstheme="minorHAnsi"/>
                <w:lang w:val="en-AU"/>
              </w:rPr>
              <w:t>Blood bilirubin increased</w:t>
            </w:r>
          </w:p>
        </w:tc>
        <w:tc>
          <w:tcPr>
            <w:tcW w:w="0" w:type="auto"/>
            <w:shd w:val="clear" w:color="auto" w:fill="auto"/>
          </w:tcPr>
          <w:p w14:paraId="29BF9DBC" w14:textId="41B936EB" w:rsidR="006014C0" w:rsidRPr="00BD4A5F" w:rsidRDefault="006014C0" w:rsidP="000D5070">
            <w:pPr>
              <w:pStyle w:val="TblTextCenter"/>
              <w:rPr>
                <w:lang w:val="en-AU"/>
              </w:rPr>
            </w:pPr>
            <w:r w:rsidRPr="00BD4A5F">
              <w:rPr>
                <w:rFonts w:cstheme="minorHAnsi"/>
                <w:lang w:val="en-AU"/>
              </w:rPr>
              <w:t>Uncommon</w:t>
            </w:r>
          </w:p>
        </w:tc>
        <w:tc>
          <w:tcPr>
            <w:tcW w:w="0" w:type="auto"/>
            <w:shd w:val="clear" w:color="auto" w:fill="auto"/>
          </w:tcPr>
          <w:p w14:paraId="371304B9" w14:textId="797CB833" w:rsidR="006014C0" w:rsidRPr="00BD4A5F" w:rsidRDefault="006014C0" w:rsidP="000D5070">
            <w:pPr>
              <w:pStyle w:val="TblTextCenter"/>
              <w:rPr>
                <w:lang w:val="en-AU"/>
              </w:rPr>
            </w:pPr>
            <w:r w:rsidRPr="00BD4A5F">
              <w:rPr>
                <w:rFonts w:cstheme="minorHAnsi"/>
                <w:lang w:val="en-AU"/>
              </w:rPr>
              <w:t>0.5</w:t>
            </w:r>
          </w:p>
        </w:tc>
        <w:tc>
          <w:tcPr>
            <w:tcW w:w="0" w:type="auto"/>
            <w:shd w:val="clear" w:color="auto" w:fill="auto"/>
          </w:tcPr>
          <w:p w14:paraId="6FA8F55C" w14:textId="40B36CC5" w:rsidR="006014C0" w:rsidRPr="00BD4A5F" w:rsidRDefault="006014C0" w:rsidP="000D5070">
            <w:pPr>
              <w:pStyle w:val="TblTextCenter"/>
              <w:rPr>
                <w:lang w:val="en-AU"/>
              </w:rPr>
            </w:pPr>
            <w:r w:rsidRPr="00BD4A5F">
              <w:rPr>
                <w:rFonts w:cstheme="minorHAnsi"/>
                <w:lang w:val="en-AU"/>
              </w:rPr>
              <w:t>&lt;0.1</w:t>
            </w:r>
          </w:p>
        </w:tc>
        <w:tc>
          <w:tcPr>
            <w:tcW w:w="1551" w:type="dxa"/>
          </w:tcPr>
          <w:p w14:paraId="3ABCC798" w14:textId="646E1737" w:rsidR="006014C0" w:rsidRPr="0083621A" w:rsidRDefault="00D14313" w:rsidP="000D5070">
            <w:pPr>
              <w:pStyle w:val="TblTextCenter"/>
              <w:rPr>
                <w:rFonts w:cstheme="minorHAnsi"/>
                <w:lang w:val="en-AU"/>
              </w:rPr>
            </w:pPr>
            <w:r w:rsidRPr="0083621A">
              <w:rPr>
                <w:rFonts w:cstheme="minorHAnsi"/>
                <w:lang w:val="en-AU"/>
              </w:rPr>
              <w:t>0</w:t>
            </w:r>
          </w:p>
        </w:tc>
      </w:tr>
      <w:tr w:rsidR="006014C0" w:rsidRPr="0038119B" w14:paraId="6E7D60D9" w14:textId="3B23B55F" w:rsidTr="006014C0">
        <w:trPr>
          <w:cantSplit/>
          <w:trHeight w:val="360"/>
          <w:jc w:val="center"/>
        </w:trPr>
        <w:tc>
          <w:tcPr>
            <w:tcW w:w="0" w:type="auto"/>
            <w:shd w:val="clear" w:color="auto" w:fill="auto"/>
          </w:tcPr>
          <w:p w14:paraId="386B02B4" w14:textId="3E609F4D" w:rsidR="006014C0" w:rsidRPr="00BD4A5F" w:rsidRDefault="006014C0" w:rsidP="000D5070">
            <w:pPr>
              <w:pStyle w:val="TblTextCenter"/>
              <w:rPr>
                <w:lang w:val="en-AU"/>
              </w:rPr>
            </w:pPr>
            <w:r w:rsidRPr="00BD4A5F">
              <w:rPr>
                <w:rFonts w:cstheme="minorHAnsi"/>
                <w:lang w:val="en-AU"/>
              </w:rPr>
              <w:t>Blood thyroid stimulating hormone decreased</w:t>
            </w:r>
          </w:p>
        </w:tc>
        <w:tc>
          <w:tcPr>
            <w:tcW w:w="0" w:type="auto"/>
            <w:shd w:val="clear" w:color="auto" w:fill="auto"/>
          </w:tcPr>
          <w:p w14:paraId="7C53916C" w14:textId="1BCC2FBB" w:rsidR="006014C0" w:rsidRPr="00BD4A5F" w:rsidRDefault="006014C0" w:rsidP="000D5070">
            <w:pPr>
              <w:pStyle w:val="TblTextCenter"/>
              <w:rPr>
                <w:lang w:val="en-AU"/>
              </w:rPr>
            </w:pPr>
            <w:r w:rsidRPr="00BD4A5F">
              <w:rPr>
                <w:rFonts w:cstheme="minorHAnsi"/>
                <w:lang w:val="en-AU"/>
              </w:rPr>
              <w:t>Rare</w:t>
            </w:r>
          </w:p>
        </w:tc>
        <w:tc>
          <w:tcPr>
            <w:tcW w:w="0" w:type="auto"/>
            <w:shd w:val="clear" w:color="auto" w:fill="auto"/>
          </w:tcPr>
          <w:p w14:paraId="2CFEDADD" w14:textId="034FDBD9" w:rsidR="006014C0" w:rsidRPr="00BD4A5F" w:rsidRDefault="006014C0" w:rsidP="000D5070">
            <w:pPr>
              <w:pStyle w:val="TblTextCenter"/>
              <w:rPr>
                <w:lang w:val="en-AU"/>
              </w:rPr>
            </w:pPr>
            <w:r w:rsidRPr="00BD4A5F">
              <w:rPr>
                <w:rFonts w:cstheme="minorHAnsi"/>
                <w:lang w:val="en-AU"/>
              </w:rPr>
              <w:t>&lt;0.1</w:t>
            </w:r>
          </w:p>
        </w:tc>
        <w:tc>
          <w:tcPr>
            <w:tcW w:w="0" w:type="auto"/>
            <w:shd w:val="clear" w:color="auto" w:fill="auto"/>
          </w:tcPr>
          <w:p w14:paraId="481F293A" w14:textId="29B1CF2D" w:rsidR="006014C0" w:rsidRPr="00BD4A5F" w:rsidRDefault="006014C0" w:rsidP="000D5070">
            <w:pPr>
              <w:pStyle w:val="TblTextCenter"/>
              <w:rPr>
                <w:lang w:val="en-AU"/>
              </w:rPr>
            </w:pPr>
            <w:r w:rsidRPr="00BD4A5F">
              <w:rPr>
                <w:rFonts w:cstheme="minorHAnsi"/>
                <w:lang w:val="en-AU"/>
              </w:rPr>
              <w:t>0</w:t>
            </w:r>
          </w:p>
        </w:tc>
        <w:tc>
          <w:tcPr>
            <w:tcW w:w="1551" w:type="dxa"/>
          </w:tcPr>
          <w:p w14:paraId="63F1D6AD" w14:textId="6E7D8985" w:rsidR="006014C0" w:rsidRPr="0083621A" w:rsidRDefault="00D14313" w:rsidP="000D5070">
            <w:pPr>
              <w:pStyle w:val="TblTextCenter"/>
              <w:rPr>
                <w:rFonts w:cstheme="minorHAnsi"/>
                <w:lang w:val="en-AU"/>
              </w:rPr>
            </w:pPr>
            <w:r w:rsidRPr="0083621A">
              <w:rPr>
                <w:rFonts w:cstheme="minorHAnsi"/>
                <w:lang w:val="en-AU"/>
              </w:rPr>
              <w:t>0</w:t>
            </w:r>
          </w:p>
        </w:tc>
      </w:tr>
      <w:tr w:rsidR="00DC2B76" w:rsidRPr="00966D1D" w14:paraId="424CBD03" w14:textId="53A3EE88" w:rsidTr="00922A59">
        <w:trPr>
          <w:cantSplit/>
          <w:trHeight w:val="360"/>
          <w:jc w:val="center"/>
        </w:trPr>
        <w:tc>
          <w:tcPr>
            <w:tcW w:w="10345" w:type="dxa"/>
            <w:gridSpan w:val="5"/>
            <w:shd w:val="clear" w:color="auto" w:fill="auto"/>
          </w:tcPr>
          <w:p w14:paraId="7AFD954F" w14:textId="77777777" w:rsidR="00DC2B76" w:rsidRPr="00BD4A5F" w:rsidRDefault="00DC2B76" w:rsidP="00BD4A5F">
            <w:pPr>
              <w:pStyle w:val="TblFigFootnote"/>
              <w:rPr>
                <w:lang w:val="en-AU"/>
              </w:rPr>
            </w:pPr>
            <w:r w:rsidRPr="00BD4A5F">
              <w:rPr>
                <w:lang w:val="en-AU"/>
              </w:rPr>
              <w:lastRenderedPageBreak/>
              <w:t>Version 4.03 of NCI CTCAE was used to grade toxicity.</w:t>
            </w:r>
          </w:p>
          <w:p w14:paraId="6D55DFFF" w14:textId="77777777" w:rsidR="00DC2B76" w:rsidRPr="00BD4A5F" w:rsidRDefault="00DC2B76" w:rsidP="00C47C5D">
            <w:pPr>
              <w:pStyle w:val="TblFigFootnote"/>
              <w:numPr>
                <w:ilvl w:val="0"/>
                <w:numId w:val="23"/>
              </w:numPr>
              <w:rPr>
                <w:lang w:val="en-AU"/>
              </w:rPr>
            </w:pPr>
            <w:r w:rsidRPr="00BD4A5F">
              <w:rPr>
                <w:lang w:val="en-AU"/>
              </w:rPr>
              <w:t>Upper respiratory tract infection includes upper respiratory tract infection, respiratory tract infection, nasopharyngitis, sinusitis, pharyngitis, rhinitis, and viral upper respiratory tract infection.</w:t>
            </w:r>
          </w:p>
          <w:p w14:paraId="127F33D9" w14:textId="77777777" w:rsidR="00DC2B76" w:rsidRPr="00BD4A5F" w:rsidRDefault="00DC2B76" w:rsidP="00C47C5D">
            <w:pPr>
              <w:pStyle w:val="TblFigFootnote"/>
              <w:numPr>
                <w:ilvl w:val="0"/>
                <w:numId w:val="23"/>
              </w:numPr>
              <w:rPr>
                <w:lang w:val="en-AU"/>
              </w:rPr>
            </w:pPr>
            <w:r w:rsidRPr="00BD4A5F">
              <w:rPr>
                <w:lang w:val="en-AU"/>
              </w:rPr>
              <w:t>Hypothyroidism</w:t>
            </w:r>
            <w:bookmarkStart w:id="16" w:name="_Hlk45127939"/>
            <w:r w:rsidRPr="00BD4A5F">
              <w:rPr>
                <w:lang w:val="en-AU"/>
              </w:rPr>
              <w:t xml:space="preserve"> includes</w:t>
            </w:r>
            <w:bookmarkEnd w:id="16"/>
            <w:r w:rsidRPr="00BD4A5F">
              <w:rPr>
                <w:lang w:val="en-AU"/>
              </w:rPr>
              <w:t xml:space="preserve"> hypothyroidism and immune-mediated hypothyroidism.</w:t>
            </w:r>
          </w:p>
          <w:p w14:paraId="34F4C933" w14:textId="77777777" w:rsidR="00DC2B76" w:rsidRPr="00BD4A5F" w:rsidRDefault="00DC2B76" w:rsidP="00C47C5D">
            <w:pPr>
              <w:pStyle w:val="TblFigFootnote"/>
              <w:numPr>
                <w:ilvl w:val="0"/>
                <w:numId w:val="23"/>
              </w:numPr>
              <w:rPr>
                <w:lang w:val="en-AU"/>
              </w:rPr>
            </w:pPr>
            <w:r w:rsidRPr="00BD4A5F">
              <w:rPr>
                <w:lang w:val="en-AU"/>
              </w:rPr>
              <w:t>Thyroiditis includes autoimmune thyroiditis and thyroiditis.</w:t>
            </w:r>
          </w:p>
          <w:p w14:paraId="2DD77A4D" w14:textId="77777777" w:rsidR="00DC2B76" w:rsidRPr="00BD4A5F" w:rsidRDefault="00DC2B76" w:rsidP="00C47C5D">
            <w:pPr>
              <w:pStyle w:val="TblFigFootnote"/>
              <w:numPr>
                <w:ilvl w:val="0"/>
                <w:numId w:val="23"/>
              </w:numPr>
              <w:rPr>
                <w:lang w:val="en-AU"/>
              </w:rPr>
            </w:pPr>
            <w:r w:rsidRPr="00BD4A5F">
              <w:rPr>
                <w:lang w:val="en-AU"/>
              </w:rPr>
              <w:t xml:space="preserve">Type 1 diabetes mellitus includes diabetes mellitus, diabetic </w:t>
            </w:r>
            <w:proofErr w:type="gramStart"/>
            <w:r w:rsidRPr="00BD4A5F">
              <w:rPr>
                <w:lang w:val="en-AU"/>
              </w:rPr>
              <w:t>ketoacidosis</w:t>
            </w:r>
            <w:proofErr w:type="gramEnd"/>
            <w:r w:rsidRPr="00BD4A5F">
              <w:rPr>
                <w:lang w:val="en-AU"/>
              </w:rPr>
              <w:t xml:space="preserve"> and type 1 diabetes mellitus.</w:t>
            </w:r>
          </w:p>
          <w:p w14:paraId="3E7BAE78" w14:textId="77777777" w:rsidR="00DC2B76" w:rsidRPr="00BD4A5F" w:rsidRDefault="00DC2B76" w:rsidP="00C47C5D">
            <w:pPr>
              <w:pStyle w:val="TblFigFootnote"/>
              <w:numPr>
                <w:ilvl w:val="0"/>
                <w:numId w:val="23"/>
              </w:numPr>
              <w:rPr>
                <w:lang w:val="en-AU"/>
              </w:rPr>
            </w:pPr>
            <w:r w:rsidRPr="00BD4A5F">
              <w:rPr>
                <w:lang w:val="en-AU"/>
              </w:rPr>
              <w:t>Peripheral neuropathy includes peripheral neuropathy, peripheral sensory neuropathy, polyneuropathy, neuritis, paraesthesia, and peripheral motor neuropathy.</w:t>
            </w:r>
          </w:p>
          <w:p w14:paraId="29E10AE9" w14:textId="77777777" w:rsidR="00DC2B76" w:rsidRPr="00BD4A5F" w:rsidRDefault="00DC2B76" w:rsidP="00C47C5D">
            <w:pPr>
              <w:pStyle w:val="TblFigFootnote"/>
              <w:numPr>
                <w:ilvl w:val="0"/>
                <w:numId w:val="23"/>
              </w:numPr>
              <w:rPr>
                <w:lang w:val="en-AU"/>
              </w:rPr>
            </w:pPr>
            <w:r w:rsidRPr="00BD4A5F">
              <w:rPr>
                <w:lang w:val="en-AU"/>
              </w:rPr>
              <w:t>Meningitis includes meningitis and aseptic meningitis.</w:t>
            </w:r>
          </w:p>
          <w:p w14:paraId="396C53E7" w14:textId="77777777" w:rsidR="00DC2B76" w:rsidRPr="00BD4A5F" w:rsidRDefault="00DC2B76" w:rsidP="00C47C5D">
            <w:pPr>
              <w:pStyle w:val="TblFigFootnote"/>
              <w:numPr>
                <w:ilvl w:val="0"/>
                <w:numId w:val="23"/>
              </w:numPr>
              <w:rPr>
                <w:lang w:val="en-AU"/>
              </w:rPr>
            </w:pPr>
            <w:r w:rsidRPr="00BD4A5F">
              <w:rPr>
                <w:lang w:val="en-AU"/>
              </w:rPr>
              <w:t>Encephalitis includes encephalitis and noninfective encephalitis.</w:t>
            </w:r>
          </w:p>
          <w:p w14:paraId="0BDB94CC" w14:textId="77777777" w:rsidR="00DC2B76" w:rsidRPr="00BD4A5F" w:rsidRDefault="00DC2B76" w:rsidP="00C47C5D">
            <w:pPr>
              <w:pStyle w:val="TblFigFootnote"/>
              <w:numPr>
                <w:ilvl w:val="0"/>
                <w:numId w:val="23"/>
              </w:numPr>
              <w:rPr>
                <w:lang w:val="en-AU"/>
              </w:rPr>
            </w:pPr>
            <w:r w:rsidRPr="00BD4A5F">
              <w:rPr>
                <w:lang w:val="en-AU"/>
              </w:rPr>
              <w:t>Myocarditis includes autoimmune myocarditis, immune-mediated myocarditis, and myocarditis.</w:t>
            </w:r>
          </w:p>
          <w:p w14:paraId="01E7FB5A" w14:textId="77777777" w:rsidR="00DC2B76" w:rsidRPr="00BD4A5F" w:rsidRDefault="00DC2B76" w:rsidP="00C47C5D">
            <w:pPr>
              <w:pStyle w:val="TblFigFootnote"/>
              <w:numPr>
                <w:ilvl w:val="0"/>
                <w:numId w:val="23"/>
              </w:numPr>
              <w:rPr>
                <w:lang w:val="en-AU"/>
              </w:rPr>
            </w:pPr>
            <w:r w:rsidRPr="00BD4A5F">
              <w:rPr>
                <w:lang w:val="en-AU"/>
              </w:rPr>
              <w:t>Pericarditis includes autoimmune pericarditis and pericarditis.</w:t>
            </w:r>
          </w:p>
          <w:p w14:paraId="3BA269BD" w14:textId="77777777" w:rsidR="00DC2B76" w:rsidRPr="00BD4A5F" w:rsidRDefault="00DC2B76" w:rsidP="00C47C5D">
            <w:pPr>
              <w:pStyle w:val="TblFigFootnote"/>
              <w:numPr>
                <w:ilvl w:val="0"/>
                <w:numId w:val="23"/>
              </w:numPr>
              <w:rPr>
                <w:lang w:val="en-AU"/>
              </w:rPr>
            </w:pPr>
            <w:r w:rsidRPr="00BD4A5F">
              <w:rPr>
                <w:lang w:val="en-AU"/>
              </w:rPr>
              <w:t>Hypertension includes hypertension and hypertensive crisis.</w:t>
            </w:r>
          </w:p>
          <w:p w14:paraId="60BF3A6C" w14:textId="77777777" w:rsidR="00DC2B76" w:rsidRPr="00BD4A5F" w:rsidRDefault="00DC2B76" w:rsidP="00C47C5D">
            <w:pPr>
              <w:pStyle w:val="TblFigFootnote"/>
              <w:numPr>
                <w:ilvl w:val="0"/>
                <w:numId w:val="23"/>
              </w:numPr>
              <w:rPr>
                <w:lang w:val="en-AU"/>
              </w:rPr>
            </w:pPr>
            <w:r w:rsidRPr="00BD4A5F">
              <w:rPr>
                <w:lang w:val="en-AU"/>
              </w:rPr>
              <w:t>Cough includes cough, productive cough, and upper-airway cough syndrome.</w:t>
            </w:r>
          </w:p>
          <w:p w14:paraId="23312C02" w14:textId="77777777" w:rsidR="00DC2B76" w:rsidRPr="00BD4A5F" w:rsidRDefault="00DC2B76" w:rsidP="00C47C5D">
            <w:pPr>
              <w:pStyle w:val="TblFigFootnote"/>
              <w:numPr>
                <w:ilvl w:val="0"/>
                <w:numId w:val="23"/>
              </w:numPr>
              <w:rPr>
                <w:lang w:val="en-AU"/>
              </w:rPr>
            </w:pPr>
            <w:r w:rsidRPr="00BD4A5F">
              <w:rPr>
                <w:lang w:val="en-AU"/>
              </w:rPr>
              <w:t>Dyspnoea includes dyspnoea and dyspnoea exertional.</w:t>
            </w:r>
          </w:p>
          <w:p w14:paraId="30721C59" w14:textId="77777777" w:rsidR="00DC2B76" w:rsidRPr="00BD4A5F" w:rsidRDefault="00DC2B76" w:rsidP="00C47C5D">
            <w:pPr>
              <w:pStyle w:val="TblFigFootnote"/>
              <w:numPr>
                <w:ilvl w:val="0"/>
                <w:numId w:val="23"/>
              </w:numPr>
              <w:rPr>
                <w:lang w:val="en-AU"/>
              </w:rPr>
            </w:pPr>
            <w:r w:rsidRPr="00BD4A5F">
              <w:rPr>
                <w:lang w:val="en-AU"/>
              </w:rPr>
              <w:t>Pneumonitis includes pneumonitis, immune-mediated pneumonitis, interstitial lung disease.</w:t>
            </w:r>
          </w:p>
          <w:p w14:paraId="24B65115" w14:textId="77777777" w:rsidR="00DC2B76" w:rsidRPr="00BD4A5F" w:rsidRDefault="00DC2B76" w:rsidP="00C47C5D">
            <w:pPr>
              <w:pStyle w:val="TblFigFootnote"/>
              <w:numPr>
                <w:ilvl w:val="0"/>
                <w:numId w:val="23"/>
              </w:numPr>
              <w:rPr>
                <w:lang w:val="en-AU"/>
              </w:rPr>
            </w:pPr>
            <w:r w:rsidRPr="00BD4A5F">
              <w:rPr>
                <w:lang w:val="en-AU"/>
              </w:rPr>
              <w:t>Abdominal pain includes abdominal pain, upper abdominal pain, abdominal discomfort, lower abdominal pain, and gastrointestinal pain.</w:t>
            </w:r>
          </w:p>
          <w:p w14:paraId="015168CD" w14:textId="77777777" w:rsidR="00DC2B76" w:rsidRPr="00BD4A5F" w:rsidRDefault="00DC2B76" w:rsidP="00C47C5D">
            <w:pPr>
              <w:pStyle w:val="TblFigFootnote"/>
              <w:numPr>
                <w:ilvl w:val="0"/>
                <w:numId w:val="23"/>
              </w:numPr>
              <w:rPr>
                <w:lang w:val="en-AU"/>
              </w:rPr>
            </w:pPr>
            <w:r w:rsidRPr="00BD4A5F">
              <w:rPr>
                <w:lang w:val="en-AU"/>
              </w:rPr>
              <w:t>Colitis includes colitis, enterocolitis, immune-mediated enterocolitis, and autoimmune colitis.</w:t>
            </w:r>
          </w:p>
          <w:p w14:paraId="2B2E2F9B" w14:textId="77777777" w:rsidR="00DC2B76" w:rsidRPr="00BD4A5F" w:rsidRDefault="00DC2B76" w:rsidP="00C47C5D">
            <w:pPr>
              <w:pStyle w:val="TblFigFootnote"/>
              <w:numPr>
                <w:ilvl w:val="0"/>
                <w:numId w:val="23"/>
              </w:numPr>
              <w:rPr>
                <w:lang w:val="en-AU"/>
              </w:rPr>
            </w:pPr>
            <w:r w:rsidRPr="00BD4A5F">
              <w:rPr>
                <w:lang w:val="en-AU"/>
              </w:rPr>
              <w:t>Hepatitis includes autoimmune hepatitis, hepatocellular injury, immune-mediated hepatitis, hepatic failure, hepatitis, and hepatotoxicity.</w:t>
            </w:r>
          </w:p>
          <w:p w14:paraId="25E50A74" w14:textId="77777777" w:rsidR="00DC2B76" w:rsidRPr="00BD4A5F" w:rsidRDefault="00DC2B76" w:rsidP="00C47C5D">
            <w:pPr>
              <w:pStyle w:val="TblFigFootnote"/>
              <w:numPr>
                <w:ilvl w:val="0"/>
                <w:numId w:val="23"/>
              </w:numPr>
              <w:rPr>
                <w:lang w:val="en-AU"/>
              </w:rPr>
            </w:pPr>
            <w:r w:rsidRPr="00BD4A5F">
              <w:rPr>
                <w:lang w:val="en-AU"/>
              </w:rPr>
              <w:t xml:space="preserve"> Rash includes rash, dermatitis, urticaria, rash maculo-papular, erythema, rash erythematous, rash pruritic, psoriasis, autoimmune dermatitis, dermatitis acneiform, dermatitis allergic, atopic dermatitis, dermatitis bullous, drug eruption, dyshidrotic eczema, lichen planus, skin reaction, dermatitis exfoliative, erythema multiforme, parapsoriasis, pemphigoid, rash macular, and rash papular.</w:t>
            </w:r>
          </w:p>
          <w:p w14:paraId="5ECECB82" w14:textId="77777777" w:rsidR="00DC2B76" w:rsidRPr="00BD4A5F" w:rsidRDefault="00DC2B76" w:rsidP="00C47C5D">
            <w:pPr>
              <w:pStyle w:val="TblFigFootnote"/>
              <w:numPr>
                <w:ilvl w:val="0"/>
                <w:numId w:val="23"/>
              </w:numPr>
              <w:rPr>
                <w:lang w:val="en-AU"/>
              </w:rPr>
            </w:pPr>
            <w:r w:rsidRPr="00BD4A5F">
              <w:rPr>
                <w:lang w:val="en-AU"/>
              </w:rPr>
              <w:t>Pruritus includes pruritus and allergic pruritus.</w:t>
            </w:r>
          </w:p>
          <w:p w14:paraId="3E6227BC" w14:textId="77777777" w:rsidR="00DC2B76" w:rsidRPr="00BD4A5F" w:rsidRDefault="00DC2B76" w:rsidP="00C47C5D">
            <w:pPr>
              <w:pStyle w:val="TblFigFootnote"/>
              <w:numPr>
                <w:ilvl w:val="0"/>
                <w:numId w:val="23"/>
              </w:numPr>
              <w:rPr>
                <w:lang w:val="en-AU"/>
              </w:rPr>
            </w:pPr>
            <w:r w:rsidRPr="00BD4A5F">
              <w:rPr>
                <w:lang w:val="en-AU"/>
              </w:rPr>
              <w:t>Musculoskeletal pain includes back pain, arthralgia, pain in extremity, musculoskeletal pain, musculoskeletal chest pain, bone pain, myalgia, neck pain, spinal pain, musculoskeletal stiffness, and musculoskeletal discomfort.</w:t>
            </w:r>
          </w:p>
          <w:p w14:paraId="569B2FDC" w14:textId="77777777" w:rsidR="00DC2B76" w:rsidRPr="00BD4A5F" w:rsidRDefault="00DC2B76" w:rsidP="00C47C5D">
            <w:pPr>
              <w:pStyle w:val="TblFigFootnote"/>
              <w:numPr>
                <w:ilvl w:val="0"/>
                <w:numId w:val="23"/>
              </w:numPr>
              <w:rPr>
                <w:lang w:val="en-AU"/>
              </w:rPr>
            </w:pPr>
            <w:r w:rsidRPr="00BD4A5F">
              <w:rPr>
                <w:lang w:val="en-AU"/>
              </w:rPr>
              <w:t>Arthritis includes arthritis and polyarthritis.</w:t>
            </w:r>
          </w:p>
          <w:p w14:paraId="3952AE8C" w14:textId="77777777" w:rsidR="00E40D97" w:rsidRDefault="00DC2B76" w:rsidP="00E40D97">
            <w:pPr>
              <w:pStyle w:val="TblFigFootnote"/>
              <w:numPr>
                <w:ilvl w:val="0"/>
                <w:numId w:val="23"/>
              </w:numPr>
              <w:rPr>
                <w:lang w:val="en-AU"/>
              </w:rPr>
            </w:pPr>
            <w:bookmarkStart w:id="17" w:name="_Hlk46429871"/>
            <w:r w:rsidRPr="00BD4A5F">
              <w:rPr>
                <w:lang w:val="en-AU"/>
              </w:rPr>
              <w:t>Nephritis includes nephritis, toxic nephropathy, acute kidney injury, and renal failure.</w:t>
            </w:r>
            <w:bookmarkEnd w:id="17"/>
          </w:p>
          <w:p w14:paraId="5302C2DA" w14:textId="67B22C19" w:rsidR="00DC2B76" w:rsidRPr="00966D1D" w:rsidRDefault="00DC2B76" w:rsidP="00E40D97">
            <w:pPr>
              <w:pStyle w:val="TblFigFootnote"/>
              <w:numPr>
                <w:ilvl w:val="0"/>
                <w:numId w:val="23"/>
              </w:numPr>
              <w:rPr>
                <w:lang w:val="fr-FR"/>
              </w:rPr>
            </w:pPr>
            <w:r w:rsidRPr="00966D1D">
              <w:rPr>
                <w:lang w:val="fr-FR"/>
              </w:rPr>
              <w:t xml:space="preserve">Fatigue </w:t>
            </w:r>
            <w:proofErr w:type="spellStart"/>
            <w:r w:rsidRPr="00966D1D">
              <w:rPr>
                <w:lang w:val="fr-FR"/>
              </w:rPr>
              <w:t>includes</w:t>
            </w:r>
            <w:proofErr w:type="spellEnd"/>
            <w:r w:rsidRPr="00966D1D">
              <w:rPr>
                <w:lang w:val="fr-FR"/>
              </w:rPr>
              <w:t xml:space="preserve"> fatigue, </w:t>
            </w:r>
            <w:proofErr w:type="spellStart"/>
            <w:r w:rsidRPr="00966D1D">
              <w:rPr>
                <w:lang w:val="fr-FR"/>
              </w:rPr>
              <w:t>asthenia</w:t>
            </w:r>
            <w:proofErr w:type="spellEnd"/>
            <w:r w:rsidRPr="00966D1D">
              <w:rPr>
                <w:lang w:val="fr-FR"/>
              </w:rPr>
              <w:t>, and malaise.</w:t>
            </w:r>
          </w:p>
        </w:tc>
      </w:tr>
    </w:tbl>
    <w:p w14:paraId="208EC4B0" w14:textId="77777777" w:rsidR="007D565E" w:rsidRPr="0038119B" w:rsidRDefault="00CD5483">
      <w:pPr>
        <w:pStyle w:val="Heading3"/>
        <w:numPr>
          <w:ilvl w:val="0"/>
          <w:numId w:val="0"/>
        </w:numPr>
        <w:ind w:left="680" w:hanging="680"/>
        <w:rPr>
          <w:lang w:val="en-AU"/>
        </w:rPr>
      </w:pPr>
      <w:r w:rsidRPr="0038119B">
        <w:rPr>
          <w:lang w:val="en-AU"/>
        </w:rPr>
        <w:t>Description of selected adverse reactions</w:t>
      </w:r>
    </w:p>
    <w:p w14:paraId="201C5CD8" w14:textId="684A240F" w:rsidR="007D565E" w:rsidRPr="0038119B" w:rsidRDefault="00CD5483">
      <w:pPr>
        <w:rPr>
          <w:lang w:val="en-AU"/>
        </w:rPr>
      </w:pPr>
      <w:r w:rsidRPr="0038119B">
        <w:rPr>
          <w:lang w:val="en-AU"/>
        </w:rPr>
        <w:t xml:space="preserve">The </w:t>
      </w:r>
      <w:r w:rsidRPr="00BD4A5F">
        <w:rPr>
          <w:color w:val="auto"/>
          <w:lang w:val="en-AU"/>
        </w:rPr>
        <w:t xml:space="preserve">selected adverse reactions described below are based on safety of cemiplimab in </w:t>
      </w:r>
      <w:r w:rsidR="00C47C5D" w:rsidRPr="00BD4A5F">
        <w:rPr>
          <w:color w:val="auto"/>
          <w:lang w:val="en-AU"/>
        </w:rPr>
        <w:t>1078</w:t>
      </w:r>
      <w:r w:rsidRPr="00BD4A5F">
        <w:rPr>
          <w:color w:val="auto"/>
          <w:lang w:val="en-AU"/>
        </w:rPr>
        <w:t xml:space="preserve"> patients </w:t>
      </w:r>
      <w:r w:rsidR="00F83DB6" w:rsidRPr="00BD4A5F">
        <w:rPr>
          <w:color w:val="auto"/>
          <w:lang w:val="en-AU"/>
        </w:rPr>
        <w:t xml:space="preserve">with advanced solid malignancies </w:t>
      </w:r>
      <w:r w:rsidRPr="00BD4A5F">
        <w:rPr>
          <w:color w:val="auto"/>
          <w:lang w:val="en-AU"/>
        </w:rPr>
        <w:t xml:space="preserve">in </w:t>
      </w:r>
      <w:r w:rsidR="00F83DB6" w:rsidRPr="00BD4A5F">
        <w:rPr>
          <w:color w:val="auto"/>
          <w:lang w:val="en-AU"/>
        </w:rPr>
        <w:t xml:space="preserve">four </w:t>
      </w:r>
      <w:r w:rsidRPr="00BD4A5F">
        <w:rPr>
          <w:color w:val="auto"/>
          <w:lang w:val="en-AU"/>
        </w:rPr>
        <w:t xml:space="preserve">clinical </w:t>
      </w:r>
      <w:r w:rsidRPr="0038119B">
        <w:rPr>
          <w:lang w:val="en-AU"/>
        </w:rPr>
        <w:t xml:space="preserve">studies. </w:t>
      </w:r>
    </w:p>
    <w:p w14:paraId="7B229A30" w14:textId="598860AF" w:rsidR="007D565E" w:rsidRPr="0038119B" w:rsidRDefault="00CD5483">
      <w:pPr>
        <w:pStyle w:val="Heading4"/>
        <w:numPr>
          <w:ilvl w:val="0"/>
          <w:numId w:val="0"/>
        </w:numPr>
        <w:ind w:left="862" w:hanging="862"/>
        <w:rPr>
          <w:lang w:val="en-AU"/>
        </w:rPr>
      </w:pPr>
      <w:r w:rsidRPr="0038119B">
        <w:rPr>
          <w:lang w:val="en-AU"/>
        </w:rPr>
        <w:t xml:space="preserve">Immune-related adverse reactions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 xml:space="preserve"> and Section </w:t>
      </w:r>
      <w:r w:rsidRPr="0038119B">
        <w:rPr>
          <w:color w:val="0000FF"/>
          <w:lang w:val="en-AU"/>
        </w:rPr>
        <w:fldChar w:fldCharType="begin"/>
      </w:r>
      <w:r w:rsidRPr="0038119B">
        <w:rPr>
          <w:color w:val="0000FF"/>
          <w:lang w:val="en-AU"/>
        </w:rPr>
        <w:instrText xml:space="preserve"> REF _Ref13467260 \r \h  \* MERGEFORMAT </w:instrText>
      </w:r>
      <w:r w:rsidRPr="0038119B">
        <w:rPr>
          <w:color w:val="0000FF"/>
          <w:lang w:val="en-AU"/>
        </w:rPr>
      </w:r>
      <w:r w:rsidRPr="0038119B">
        <w:rPr>
          <w:color w:val="0000FF"/>
          <w:lang w:val="en-AU"/>
        </w:rPr>
        <w:fldChar w:fldCharType="separate"/>
      </w:r>
      <w:r w:rsidR="006B35A8">
        <w:rPr>
          <w:color w:val="0000FF"/>
          <w:lang w:val="en-AU"/>
        </w:rPr>
        <w:t>4.4</w:t>
      </w:r>
      <w:r w:rsidRPr="0038119B">
        <w:rPr>
          <w:color w:val="0000FF"/>
          <w:lang w:val="en-AU"/>
        </w:rPr>
        <w:fldChar w:fldCharType="end"/>
      </w:r>
      <w:r w:rsidRPr="0038119B">
        <w:rPr>
          <w:lang w:val="en-AU"/>
        </w:rPr>
        <w:t>)</w:t>
      </w:r>
    </w:p>
    <w:p w14:paraId="79822DD4" w14:textId="77777777" w:rsidR="007D565E" w:rsidRPr="0038119B" w:rsidRDefault="00CD5483">
      <w:pPr>
        <w:pStyle w:val="Heading5"/>
        <w:numPr>
          <w:ilvl w:val="0"/>
          <w:numId w:val="0"/>
        </w:numPr>
        <w:ind w:left="1009" w:hanging="1009"/>
        <w:rPr>
          <w:lang w:val="en-AU"/>
        </w:rPr>
      </w:pPr>
      <w:r w:rsidRPr="0038119B">
        <w:rPr>
          <w:lang w:val="en-AU"/>
        </w:rPr>
        <w:t>Immune-related pneumonitis</w:t>
      </w:r>
    </w:p>
    <w:p w14:paraId="12250ABD" w14:textId="5578A38C" w:rsidR="007D565E" w:rsidRPr="00F17760" w:rsidRDefault="00CD5483">
      <w:pPr>
        <w:rPr>
          <w:color w:val="auto"/>
          <w:lang w:val="en-AU"/>
        </w:rPr>
      </w:pPr>
      <w:r w:rsidRPr="00F17760">
        <w:rPr>
          <w:color w:val="auto"/>
          <w:lang w:val="en-AU"/>
        </w:rPr>
        <w:t xml:space="preserve">Immune-related pneumonitis occurred in </w:t>
      </w:r>
      <w:r w:rsidR="002C7D4B" w:rsidRPr="00F17760">
        <w:rPr>
          <w:color w:val="auto"/>
          <w:lang w:val="en-AU"/>
        </w:rPr>
        <w:t>3</w:t>
      </w:r>
      <w:r w:rsidR="00BD4A5F" w:rsidRPr="00F17760">
        <w:rPr>
          <w:color w:val="auto"/>
          <w:lang w:val="en-AU"/>
        </w:rPr>
        <w:t xml:space="preserve">2 </w:t>
      </w:r>
      <w:r w:rsidRPr="00F17760">
        <w:rPr>
          <w:color w:val="auto"/>
          <w:lang w:val="en-AU"/>
        </w:rPr>
        <w:t>(3.</w:t>
      </w:r>
      <w:r w:rsidR="002C7D4B" w:rsidRPr="00F17760">
        <w:rPr>
          <w:color w:val="auto"/>
          <w:lang w:val="en-AU"/>
        </w:rPr>
        <w:t>0</w:t>
      </w:r>
      <w:r w:rsidRPr="00F17760">
        <w:rPr>
          <w:color w:val="auto"/>
          <w:lang w:val="en-AU"/>
        </w:rPr>
        <w:t xml:space="preserve">%) of </w:t>
      </w:r>
      <w:r w:rsidR="002C7D4B" w:rsidRPr="00F17760">
        <w:rPr>
          <w:color w:val="auto"/>
          <w:lang w:val="en-AU"/>
        </w:rPr>
        <w:t>1078</w:t>
      </w:r>
      <w:r w:rsidRPr="00F17760">
        <w:rPr>
          <w:color w:val="auto"/>
          <w:lang w:val="en-AU"/>
        </w:rPr>
        <w:t> patients receiving cemiplimab, including 2 (0.</w:t>
      </w:r>
      <w:r w:rsidR="002C7D4B" w:rsidRPr="00F17760">
        <w:rPr>
          <w:color w:val="auto"/>
          <w:lang w:val="en-AU"/>
        </w:rPr>
        <w:t>2</w:t>
      </w:r>
      <w:r w:rsidRPr="00F17760">
        <w:rPr>
          <w:color w:val="auto"/>
          <w:lang w:val="en-AU"/>
        </w:rPr>
        <w:t xml:space="preserve">%) patients with Grade 5, </w:t>
      </w:r>
      <w:r w:rsidR="002C7D4B" w:rsidRPr="00F17760">
        <w:rPr>
          <w:color w:val="auto"/>
          <w:lang w:val="en-AU"/>
        </w:rPr>
        <w:t>4</w:t>
      </w:r>
      <w:r w:rsidRPr="00F17760">
        <w:rPr>
          <w:color w:val="auto"/>
          <w:lang w:val="en-AU"/>
        </w:rPr>
        <w:t> (0.</w:t>
      </w:r>
      <w:r w:rsidR="002C7D4B" w:rsidRPr="00F17760">
        <w:rPr>
          <w:color w:val="auto"/>
          <w:lang w:val="en-AU"/>
        </w:rPr>
        <w:t>4</w:t>
      </w:r>
      <w:r w:rsidRPr="00F17760">
        <w:rPr>
          <w:color w:val="auto"/>
          <w:lang w:val="en-AU"/>
        </w:rPr>
        <w:t>%) patients with Grade 4, 6 (</w:t>
      </w:r>
      <w:r w:rsidR="00E23570" w:rsidRPr="00F17760">
        <w:rPr>
          <w:color w:val="auto"/>
          <w:lang w:val="en-AU"/>
        </w:rPr>
        <w:t>0.6</w:t>
      </w:r>
      <w:r w:rsidRPr="00F17760">
        <w:rPr>
          <w:color w:val="auto"/>
          <w:lang w:val="en-AU"/>
        </w:rPr>
        <w:t>%) patients with Grade 3 pneumonitis. Immune-related pneumonitis led to permanent discontinuation of cemiplimab in 1</w:t>
      </w:r>
      <w:r w:rsidR="00F17760" w:rsidRPr="00F17760">
        <w:rPr>
          <w:color w:val="auto"/>
          <w:lang w:val="en-AU"/>
        </w:rPr>
        <w:t xml:space="preserve">5 </w:t>
      </w:r>
      <w:r w:rsidRPr="00F17760">
        <w:rPr>
          <w:color w:val="auto"/>
          <w:lang w:val="en-AU"/>
        </w:rPr>
        <w:t>(1.</w:t>
      </w:r>
      <w:r w:rsidR="00E23570" w:rsidRPr="00F17760">
        <w:rPr>
          <w:color w:val="auto"/>
          <w:lang w:val="en-AU"/>
        </w:rPr>
        <w:t>4</w:t>
      </w:r>
      <w:r w:rsidRPr="00F17760">
        <w:rPr>
          <w:color w:val="auto"/>
          <w:lang w:val="en-AU"/>
        </w:rPr>
        <w:t xml:space="preserve">%) of </w:t>
      </w:r>
      <w:r w:rsidR="00E23570" w:rsidRPr="00F17760">
        <w:rPr>
          <w:color w:val="auto"/>
          <w:lang w:val="en-AU"/>
        </w:rPr>
        <w:t>1078</w:t>
      </w:r>
      <w:r w:rsidRPr="00F17760">
        <w:rPr>
          <w:color w:val="auto"/>
          <w:lang w:val="en-AU"/>
        </w:rPr>
        <w:t xml:space="preserve"> patients. Among the </w:t>
      </w:r>
      <w:r w:rsidR="00E23570" w:rsidRPr="00F17760">
        <w:rPr>
          <w:color w:val="auto"/>
          <w:lang w:val="en-AU"/>
        </w:rPr>
        <w:t>32</w:t>
      </w:r>
      <w:r w:rsidRPr="00F17760">
        <w:rPr>
          <w:color w:val="auto"/>
          <w:lang w:val="en-AU"/>
        </w:rPr>
        <w:t> patients with immune-related pneumonitis, the median time to onset was 3.</w:t>
      </w:r>
      <w:r w:rsidR="00E23570" w:rsidRPr="00F17760">
        <w:rPr>
          <w:color w:val="auto"/>
          <w:lang w:val="en-AU"/>
        </w:rPr>
        <w:t>1</w:t>
      </w:r>
      <w:r w:rsidRPr="00F17760">
        <w:rPr>
          <w:color w:val="auto"/>
          <w:lang w:val="en-AU"/>
        </w:rPr>
        <w:t> months (range: 7 days to 18 months) and the median duration of pneumonitis was 2</w:t>
      </w:r>
      <w:r w:rsidR="00E23570" w:rsidRPr="00F17760">
        <w:rPr>
          <w:color w:val="auto"/>
          <w:lang w:val="en-AU"/>
        </w:rPr>
        <w:t>5</w:t>
      </w:r>
      <w:r w:rsidRPr="00F17760">
        <w:rPr>
          <w:color w:val="auto"/>
          <w:lang w:val="en-AU"/>
        </w:rPr>
        <w:t xml:space="preserve">.5 days (range: 5 days to 6.5 months). </w:t>
      </w:r>
      <w:r w:rsidR="00E23570" w:rsidRPr="00F17760">
        <w:rPr>
          <w:color w:val="auto"/>
          <w:lang w:val="en-AU"/>
        </w:rPr>
        <w:t>Twenty-eight</w:t>
      </w:r>
      <w:r w:rsidRPr="00F17760">
        <w:rPr>
          <w:strike/>
          <w:color w:val="auto"/>
          <w:lang w:val="en-AU"/>
        </w:rPr>
        <w:t xml:space="preserve"> </w:t>
      </w:r>
      <w:r w:rsidR="00E23570" w:rsidRPr="00F17760">
        <w:rPr>
          <w:color w:val="auto"/>
          <w:lang w:val="en-AU"/>
        </w:rPr>
        <w:t xml:space="preserve">of the 32 </w:t>
      </w:r>
      <w:r w:rsidRPr="00F17760">
        <w:rPr>
          <w:color w:val="auto"/>
          <w:lang w:val="en-AU"/>
        </w:rPr>
        <w:t>patients (</w:t>
      </w:r>
      <w:r w:rsidR="00E23570" w:rsidRPr="00F17760">
        <w:rPr>
          <w:color w:val="auto"/>
          <w:lang w:val="en-AU"/>
        </w:rPr>
        <w:t>87.5</w:t>
      </w:r>
      <w:r w:rsidRPr="00F17760">
        <w:rPr>
          <w:color w:val="auto"/>
          <w:lang w:val="en-AU"/>
        </w:rPr>
        <w:t xml:space="preserve">%) received high-dose corticosteroids for a median of </w:t>
      </w:r>
      <w:r w:rsidR="00F17760" w:rsidRPr="00F17760">
        <w:rPr>
          <w:color w:val="auto"/>
          <w:lang w:val="en-AU"/>
        </w:rPr>
        <w:t xml:space="preserve">9 </w:t>
      </w:r>
      <w:r w:rsidRPr="00F17760">
        <w:rPr>
          <w:color w:val="auto"/>
          <w:lang w:val="en-AU"/>
        </w:rPr>
        <w:t>days (range: 1 day to 5.9 months). Resolution of pneumonitis had occurred in 1</w:t>
      </w:r>
      <w:r w:rsidR="00E23570" w:rsidRPr="00F17760">
        <w:rPr>
          <w:color w:val="auto"/>
          <w:lang w:val="en-AU"/>
        </w:rPr>
        <w:t>7</w:t>
      </w:r>
      <w:r w:rsidR="00F17760" w:rsidRPr="00F17760">
        <w:rPr>
          <w:color w:val="auto"/>
          <w:lang w:val="en-AU"/>
        </w:rPr>
        <w:t xml:space="preserve"> </w:t>
      </w:r>
      <w:r w:rsidRPr="00F17760">
        <w:rPr>
          <w:color w:val="auto"/>
          <w:lang w:val="en-AU"/>
        </w:rPr>
        <w:t>(</w:t>
      </w:r>
      <w:r w:rsidR="00E23570" w:rsidRPr="00F17760">
        <w:rPr>
          <w:color w:val="auto"/>
          <w:lang w:val="en-AU"/>
        </w:rPr>
        <w:t>53.1</w:t>
      </w:r>
      <w:r w:rsidRPr="00F17760">
        <w:rPr>
          <w:color w:val="auto"/>
          <w:lang w:val="en-AU"/>
        </w:rPr>
        <w:t xml:space="preserve">%) of the </w:t>
      </w:r>
      <w:r w:rsidR="00E23570" w:rsidRPr="00F17760">
        <w:rPr>
          <w:color w:val="auto"/>
          <w:lang w:val="en-AU"/>
        </w:rPr>
        <w:t>3</w:t>
      </w:r>
      <w:r w:rsidRPr="00F17760">
        <w:rPr>
          <w:color w:val="auto"/>
          <w:lang w:val="en-AU"/>
        </w:rPr>
        <w:t>2 patients at the time of data cut-off.</w:t>
      </w:r>
    </w:p>
    <w:p w14:paraId="3219BDB7" w14:textId="77777777" w:rsidR="007D565E" w:rsidRPr="00F17760" w:rsidRDefault="00CD5483">
      <w:pPr>
        <w:pStyle w:val="Heading5"/>
        <w:numPr>
          <w:ilvl w:val="0"/>
          <w:numId w:val="0"/>
        </w:numPr>
        <w:ind w:left="1009" w:hanging="1009"/>
        <w:rPr>
          <w:lang w:val="en-AU"/>
        </w:rPr>
      </w:pPr>
      <w:r w:rsidRPr="00F17760">
        <w:rPr>
          <w:lang w:val="en-AU"/>
        </w:rPr>
        <w:lastRenderedPageBreak/>
        <w:t>Immune-related colitis</w:t>
      </w:r>
    </w:p>
    <w:p w14:paraId="208FF325" w14:textId="6B51FDF1" w:rsidR="007D565E" w:rsidRPr="00F17760" w:rsidRDefault="00CD5483">
      <w:pPr>
        <w:rPr>
          <w:color w:val="auto"/>
          <w:lang w:val="en-AU"/>
        </w:rPr>
      </w:pPr>
      <w:r w:rsidRPr="00F17760">
        <w:rPr>
          <w:color w:val="auto"/>
          <w:lang w:val="en-AU"/>
        </w:rPr>
        <w:t xml:space="preserve">Immune-related diarrhoea or colitis occurred in </w:t>
      </w:r>
      <w:r w:rsidR="00DC15D7" w:rsidRPr="00B03BBC">
        <w:rPr>
          <w:color w:val="auto"/>
          <w:highlight w:val="yellow"/>
          <w:lang w:val="en-AU"/>
        </w:rPr>
        <w:t>19</w:t>
      </w:r>
      <w:r w:rsidRPr="00B03BBC">
        <w:rPr>
          <w:strike/>
          <w:color w:val="FF0000"/>
          <w:highlight w:val="yellow"/>
          <w:lang w:val="en-AU"/>
        </w:rPr>
        <w:t>7</w:t>
      </w:r>
      <w:r w:rsidRPr="00F17760">
        <w:rPr>
          <w:color w:val="auto"/>
          <w:lang w:val="en-AU"/>
        </w:rPr>
        <w:t> (1.</w:t>
      </w:r>
      <w:r w:rsidR="00F83DB6" w:rsidRPr="00F17760">
        <w:rPr>
          <w:color w:val="auto"/>
          <w:lang w:val="en-AU"/>
        </w:rPr>
        <w:t>8</w:t>
      </w:r>
      <w:r w:rsidRPr="00F17760">
        <w:rPr>
          <w:color w:val="auto"/>
          <w:lang w:val="en-AU"/>
        </w:rPr>
        <w:t xml:space="preserve">%) of </w:t>
      </w:r>
      <w:r w:rsidR="00DC15D7" w:rsidRPr="00F17760">
        <w:rPr>
          <w:color w:val="auto"/>
          <w:lang w:val="en-AU"/>
        </w:rPr>
        <w:t>1078</w:t>
      </w:r>
      <w:r w:rsidRPr="00F17760">
        <w:rPr>
          <w:color w:val="auto"/>
          <w:lang w:val="en-AU"/>
        </w:rPr>
        <w:t xml:space="preserve"> patients receiving cemiplimab including </w:t>
      </w:r>
      <w:r w:rsidR="00DC15D7" w:rsidRPr="00F17760">
        <w:rPr>
          <w:color w:val="auto"/>
          <w:lang w:val="en-AU"/>
        </w:rPr>
        <w:t>8</w:t>
      </w:r>
      <w:r w:rsidRPr="00F17760">
        <w:rPr>
          <w:color w:val="auto"/>
          <w:lang w:val="en-AU"/>
        </w:rPr>
        <w:t> (0.</w:t>
      </w:r>
      <w:r w:rsidR="00DC15D7" w:rsidRPr="00F17760">
        <w:rPr>
          <w:color w:val="auto"/>
          <w:lang w:val="en-AU"/>
        </w:rPr>
        <w:t>7</w:t>
      </w:r>
      <w:r w:rsidRPr="00F17760">
        <w:rPr>
          <w:color w:val="auto"/>
          <w:lang w:val="en-AU"/>
        </w:rPr>
        <w:t xml:space="preserve">%) with Grade 3 immune-related diarrhoea or colitis. Immune-related diarrhoea or colitis led to permanent discontinuation of cemiplimab in </w:t>
      </w:r>
      <w:r w:rsidR="00DC15D7" w:rsidRPr="00F17760">
        <w:rPr>
          <w:color w:val="auto"/>
          <w:lang w:val="en-AU"/>
        </w:rPr>
        <w:t>4</w:t>
      </w:r>
      <w:r w:rsidRPr="00F17760">
        <w:rPr>
          <w:color w:val="auto"/>
          <w:lang w:val="en-AU"/>
        </w:rPr>
        <w:t> (0.</w:t>
      </w:r>
      <w:r w:rsidR="00DC15D7" w:rsidRPr="00F17760">
        <w:rPr>
          <w:color w:val="auto"/>
          <w:lang w:val="en-AU"/>
        </w:rPr>
        <w:t>4</w:t>
      </w:r>
      <w:r w:rsidRPr="00F17760">
        <w:rPr>
          <w:color w:val="auto"/>
          <w:lang w:val="en-AU"/>
        </w:rPr>
        <w:t xml:space="preserve">%) of </w:t>
      </w:r>
      <w:r w:rsidR="00DC15D7" w:rsidRPr="00F17760">
        <w:rPr>
          <w:color w:val="auto"/>
          <w:lang w:val="en-AU"/>
        </w:rPr>
        <w:t>1078</w:t>
      </w:r>
      <w:r w:rsidRPr="00F17760">
        <w:rPr>
          <w:color w:val="auto"/>
          <w:lang w:val="en-AU"/>
        </w:rPr>
        <w:t xml:space="preserve"> patients. Among the </w:t>
      </w:r>
      <w:r w:rsidR="00DC15D7" w:rsidRPr="00F17760">
        <w:rPr>
          <w:color w:val="auto"/>
          <w:lang w:val="en-AU"/>
        </w:rPr>
        <w:t>19</w:t>
      </w:r>
      <w:r w:rsidR="00F17760" w:rsidRPr="00F17760">
        <w:rPr>
          <w:color w:val="auto"/>
          <w:lang w:val="en-AU"/>
        </w:rPr>
        <w:t xml:space="preserve"> </w:t>
      </w:r>
      <w:r w:rsidRPr="00F17760">
        <w:rPr>
          <w:color w:val="auto"/>
          <w:lang w:val="en-AU"/>
        </w:rPr>
        <w:t>patients with immune-related diarrhoea or colitis, the median time to onset was 3.</w:t>
      </w:r>
      <w:r w:rsidR="00710C57" w:rsidRPr="00F17760">
        <w:rPr>
          <w:color w:val="auto"/>
          <w:lang w:val="en-AU"/>
        </w:rPr>
        <w:t>7</w:t>
      </w:r>
      <w:r w:rsidRPr="00F17760">
        <w:rPr>
          <w:color w:val="auto"/>
          <w:lang w:val="en-AU"/>
        </w:rPr>
        <w:t xml:space="preserve"> months (range: 15 days to </w:t>
      </w:r>
      <w:r w:rsidR="00710C57" w:rsidRPr="00F17760">
        <w:rPr>
          <w:color w:val="auto"/>
          <w:lang w:val="en-AU"/>
        </w:rPr>
        <w:t>15.5</w:t>
      </w:r>
      <w:r w:rsidRPr="00F17760">
        <w:rPr>
          <w:color w:val="auto"/>
          <w:lang w:val="en-AU"/>
        </w:rPr>
        <w:t> months) and the median duration of immune</w:t>
      </w:r>
      <w:r w:rsidRPr="00F17760">
        <w:rPr>
          <w:color w:val="auto"/>
          <w:lang w:val="en-AU"/>
        </w:rPr>
        <w:noBreakHyphen/>
        <w:t xml:space="preserve">related diarrhoea or colitis was </w:t>
      </w:r>
      <w:r w:rsidR="00710C57" w:rsidRPr="00F17760">
        <w:rPr>
          <w:color w:val="auto"/>
          <w:lang w:val="en-AU"/>
        </w:rPr>
        <w:t>2.0 months</w:t>
      </w:r>
      <w:r w:rsidRPr="00F17760">
        <w:rPr>
          <w:color w:val="auto"/>
          <w:lang w:val="en-AU"/>
        </w:rPr>
        <w:t xml:space="preserve"> (range: 4 days to </w:t>
      </w:r>
      <w:r w:rsidR="00710C57" w:rsidRPr="00F17760">
        <w:rPr>
          <w:color w:val="auto"/>
          <w:lang w:val="en-AU"/>
        </w:rPr>
        <w:t>10.0</w:t>
      </w:r>
      <w:r w:rsidRPr="00F17760">
        <w:rPr>
          <w:color w:val="auto"/>
          <w:lang w:val="en-AU"/>
        </w:rPr>
        <w:t> months). Four</w:t>
      </w:r>
      <w:r w:rsidR="00710C57" w:rsidRPr="00F17760">
        <w:rPr>
          <w:color w:val="auto"/>
          <w:lang w:val="en-AU"/>
        </w:rPr>
        <w:t>teen</w:t>
      </w:r>
      <w:r w:rsidRPr="00F17760">
        <w:rPr>
          <w:color w:val="auto"/>
          <w:lang w:val="en-AU"/>
        </w:rPr>
        <w:t> patients (</w:t>
      </w:r>
      <w:r w:rsidR="00710C57" w:rsidRPr="00F17760">
        <w:rPr>
          <w:color w:val="auto"/>
          <w:lang w:val="en-AU"/>
        </w:rPr>
        <w:t>73.7</w:t>
      </w:r>
      <w:r w:rsidRPr="00F17760">
        <w:rPr>
          <w:color w:val="auto"/>
          <w:lang w:val="en-AU"/>
        </w:rPr>
        <w:t xml:space="preserve">%) with immune-related diarrhoea or colitis received high-dose corticosteroids for a median of 29 days (range: </w:t>
      </w:r>
      <w:r w:rsidR="00710C57" w:rsidRPr="00F17760">
        <w:rPr>
          <w:color w:val="auto"/>
          <w:lang w:val="en-AU"/>
        </w:rPr>
        <w:t>5</w:t>
      </w:r>
      <w:r w:rsidRPr="00F17760">
        <w:rPr>
          <w:color w:val="auto"/>
          <w:lang w:val="en-AU"/>
        </w:rPr>
        <w:t xml:space="preserve"> days to </w:t>
      </w:r>
      <w:r w:rsidR="00710C57" w:rsidRPr="00F17760">
        <w:rPr>
          <w:color w:val="auto"/>
          <w:lang w:val="en-AU"/>
        </w:rPr>
        <w:t>5.2</w:t>
      </w:r>
      <w:r w:rsidRPr="00F17760">
        <w:rPr>
          <w:color w:val="auto"/>
          <w:lang w:val="en-AU"/>
        </w:rPr>
        <w:t xml:space="preserve"> months). Resolution of immune-related diarrhoea or colitis had occurred in </w:t>
      </w:r>
      <w:r w:rsidR="00710C57" w:rsidRPr="00F17760">
        <w:rPr>
          <w:color w:val="auto"/>
          <w:lang w:val="en-AU"/>
        </w:rPr>
        <w:t>8</w:t>
      </w:r>
      <w:r w:rsidRPr="00F17760">
        <w:rPr>
          <w:color w:val="auto"/>
          <w:lang w:val="en-AU"/>
        </w:rPr>
        <w:t> (</w:t>
      </w:r>
      <w:r w:rsidR="00710C57" w:rsidRPr="00F17760">
        <w:rPr>
          <w:color w:val="auto"/>
          <w:lang w:val="en-AU"/>
        </w:rPr>
        <w:t>42.1</w:t>
      </w:r>
      <w:r w:rsidRPr="00F17760">
        <w:rPr>
          <w:color w:val="auto"/>
          <w:lang w:val="en-AU"/>
        </w:rPr>
        <w:t>%) of the</w:t>
      </w:r>
      <w:r w:rsidR="00DC15D7" w:rsidRPr="00F17760">
        <w:rPr>
          <w:color w:val="auto"/>
          <w:lang w:val="en-AU"/>
        </w:rPr>
        <w:t xml:space="preserve"> 1</w:t>
      </w:r>
      <w:r w:rsidR="00F17760" w:rsidRPr="00F17760">
        <w:rPr>
          <w:color w:val="auto"/>
          <w:lang w:val="en-AU"/>
        </w:rPr>
        <w:t xml:space="preserve">9 </w:t>
      </w:r>
      <w:r w:rsidRPr="00F17760">
        <w:rPr>
          <w:color w:val="auto"/>
          <w:lang w:val="en-AU"/>
        </w:rPr>
        <w:t>patients at the time of data cut</w:t>
      </w:r>
      <w:r w:rsidRPr="00F17760">
        <w:rPr>
          <w:color w:val="auto"/>
          <w:lang w:val="en-AU"/>
        </w:rPr>
        <w:noBreakHyphen/>
        <w:t>off.</w:t>
      </w:r>
    </w:p>
    <w:p w14:paraId="4D6F87DD" w14:textId="77777777" w:rsidR="007D565E" w:rsidRPr="00F17760" w:rsidRDefault="00CD5483">
      <w:pPr>
        <w:pStyle w:val="Heading5"/>
        <w:numPr>
          <w:ilvl w:val="0"/>
          <w:numId w:val="0"/>
        </w:numPr>
        <w:ind w:left="1009" w:hanging="1009"/>
        <w:rPr>
          <w:lang w:val="en-AU"/>
        </w:rPr>
      </w:pPr>
      <w:r w:rsidRPr="00F17760">
        <w:rPr>
          <w:lang w:val="en-AU"/>
        </w:rPr>
        <w:t>Immune-related hepatitis</w:t>
      </w:r>
    </w:p>
    <w:p w14:paraId="4ABC16AE" w14:textId="48A28FB5" w:rsidR="007D565E" w:rsidRPr="00F17760" w:rsidRDefault="00CD5483">
      <w:pPr>
        <w:rPr>
          <w:color w:val="auto"/>
          <w:lang w:val="en-AU"/>
        </w:rPr>
      </w:pPr>
      <w:r w:rsidRPr="00F17760">
        <w:rPr>
          <w:color w:val="auto"/>
          <w:lang w:val="en-AU"/>
        </w:rPr>
        <w:t xml:space="preserve">Immune-related hepatitis occurred in </w:t>
      </w:r>
      <w:r w:rsidR="00710C57" w:rsidRPr="00F17760">
        <w:rPr>
          <w:color w:val="auto"/>
          <w:lang w:val="en-AU"/>
        </w:rPr>
        <w:t>20</w:t>
      </w:r>
      <w:r w:rsidRPr="00F17760">
        <w:rPr>
          <w:color w:val="auto"/>
          <w:lang w:val="en-AU"/>
        </w:rPr>
        <w:t xml:space="preserve"> (1.9%) of </w:t>
      </w:r>
      <w:r w:rsidR="00710C57" w:rsidRPr="00F17760">
        <w:rPr>
          <w:color w:val="auto"/>
          <w:lang w:val="en-AU"/>
        </w:rPr>
        <w:t>1078</w:t>
      </w:r>
      <w:r w:rsidRPr="00F17760">
        <w:rPr>
          <w:color w:val="auto"/>
          <w:lang w:val="en-AU"/>
        </w:rPr>
        <w:t> patients receiving cemiplimab including 1 (</w:t>
      </w:r>
      <w:r w:rsidR="00710C57" w:rsidRPr="00F17760">
        <w:rPr>
          <w:color w:val="auto"/>
          <w:lang w:val="en-AU"/>
        </w:rPr>
        <w:t>&lt;</w:t>
      </w:r>
      <w:r w:rsidRPr="00F17760">
        <w:rPr>
          <w:color w:val="auto"/>
          <w:lang w:val="en-AU"/>
        </w:rPr>
        <w:t>0.</w:t>
      </w:r>
      <w:r w:rsidR="00710C57" w:rsidRPr="00F17760">
        <w:rPr>
          <w:color w:val="auto"/>
          <w:lang w:val="en-AU"/>
        </w:rPr>
        <w:t>1</w:t>
      </w:r>
      <w:r w:rsidRPr="00F17760">
        <w:rPr>
          <w:color w:val="auto"/>
          <w:lang w:val="en-AU"/>
        </w:rPr>
        <w:t xml:space="preserve">%) patient with Grade 5, </w:t>
      </w:r>
      <w:r w:rsidR="00710C57" w:rsidRPr="00F17760">
        <w:rPr>
          <w:color w:val="auto"/>
          <w:lang w:val="en-AU"/>
        </w:rPr>
        <w:t>2</w:t>
      </w:r>
      <w:r w:rsidRPr="00F17760">
        <w:rPr>
          <w:color w:val="auto"/>
          <w:lang w:val="en-AU"/>
        </w:rPr>
        <w:t> (0.2%) patient</w:t>
      </w:r>
      <w:r w:rsidR="00710C57" w:rsidRPr="00F17760">
        <w:rPr>
          <w:color w:val="auto"/>
          <w:lang w:val="en-AU"/>
        </w:rPr>
        <w:t>s</w:t>
      </w:r>
      <w:r w:rsidRPr="00F17760">
        <w:rPr>
          <w:color w:val="auto"/>
          <w:lang w:val="en-AU"/>
        </w:rPr>
        <w:t xml:space="preserve"> with Grade 4, and </w:t>
      </w:r>
      <w:r w:rsidR="00710C57" w:rsidRPr="00F17760">
        <w:rPr>
          <w:color w:val="auto"/>
          <w:lang w:val="en-AU"/>
        </w:rPr>
        <w:t>14</w:t>
      </w:r>
      <w:r w:rsidRPr="00F17760">
        <w:rPr>
          <w:color w:val="auto"/>
          <w:lang w:val="en-AU"/>
        </w:rPr>
        <w:t xml:space="preserve"> (1.</w:t>
      </w:r>
      <w:r w:rsidR="00710C57" w:rsidRPr="00F17760">
        <w:rPr>
          <w:color w:val="auto"/>
          <w:lang w:val="en-AU"/>
        </w:rPr>
        <w:t>3</w:t>
      </w:r>
      <w:r w:rsidRPr="00F17760">
        <w:rPr>
          <w:color w:val="auto"/>
          <w:lang w:val="en-AU"/>
        </w:rPr>
        <w:t xml:space="preserve">%) patients with Grade 3 immune-related hepatitis. Immune-related hepatitis led to permanent discontinuation of cemiplimab in </w:t>
      </w:r>
      <w:r w:rsidR="00710C57" w:rsidRPr="00F17760">
        <w:rPr>
          <w:color w:val="auto"/>
          <w:lang w:val="en-AU"/>
        </w:rPr>
        <w:t>11</w:t>
      </w:r>
      <w:r w:rsidR="00F17760" w:rsidRPr="00F17760">
        <w:rPr>
          <w:color w:val="auto"/>
          <w:lang w:val="en-AU"/>
        </w:rPr>
        <w:t xml:space="preserve"> </w:t>
      </w:r>
      <w:r w:rsidRPr="00F17760">
        <w:rPr>
          <w:color w:val="auto"/>
          <w:lang w:val="en-AU"/>
        </w:rPr>
        <w:t>(</w:t>
      </w:r>
      <w:r w:rsidR="00710C57" w:rsidRPr="00F17760">
        <w:rPr>
          <w:color w:val="auto"/>
          <w:lang w:val="en-AU"/>
        </w:rPr>
        <w:t>1.0</w:t>
      </w:r>
      <w:r w:rsidRPr="00F17760">
        <w:rPr>
          <w:color w:val="auto"/>
          <w:lang w:val="en-AU"/>
        </w:rPr>
        <w:t xml:space="preserve">%) of </w:t>
      </w:r>
      <w:r w:rsidR="00710C57" w:rsidRPr="00F17760">
        <w:rPr>
          <w:color w:val="auto"/>
          <w:lang w:val="en-AU"/>
        </w:rPr>
        <w:t>1078</w:t>
      </w:r>
      <w:r w:rsidRPr="00F17760">
        <w:rPr>
          <w:color w:val="auto"/>
          <w:lang w:val="en-AU"/>
        </w:rPr>
        <w:t xml:space="preserve"> patients. Among the </w:t>
      </w:r>
      <w:r w:rsidR="00710C57" w:rsidRPr="00F17760">
        <w:rPr>
          <w:color w:val="auto"/>
          <w:lang w:val="en-AU"/>
        </w:rPr>
        <w:t>20</w:t>
      </w:r>
      <w:r w:rsidRPr="00F17760">
        <w:rPr>
          <w:color w:val="auto"/>
          <w:lang w:val="en-AU"/>
        </w:rPr>
        <w:t xml:space="preserve"> patients with immune-related hepatitis, the median time to onset was </w:t>
      </w:r>
      <w:r w:rsidR="00710C57" w:rsidRPr="00F17760">
        <w:rPr>
          <w:color w:val="auto"/>
          <w:lang w:val="en-AU"/>
        </w:rPr>
        <w:t>2.5</w:t>
      </w:r>
      <w:r w:rsidR="00F17760" w:rsidRPr="00F17760">
        <w:rPr>
          <w:color w:val="auto"/>
          <w:lang w:val="en-AU"/>
        </w:rPr>
        <w:t xml:space="preserve"> </w:t>
      </w:r>
      <w:r w:rsidRPr="00F17760">
        <w:rPr>
          <w:color w:val="auto"/>
          <w:lang w:val="en-AU"/>
        </w:rPr>
        <w:t>month</w:t>
      </w:r>
      <w:r w:rsidR="00710C57" w:rsidRPr="00F17760">
        <w:rPr>
          <w:color w:val="auto"/>
          <w:lang w:val="en-AU"/>
        </w:rPr>
        <w:t>s</w:t>
      </w:r>
      <w:r w:rsidRPr="00F17760">
        <w:rPr>
          <w:color w:val="auto"/>
          <w:lang w:val="en-AU"/>
        </w:rPr>
        <w:t xml:space="preserve"> (range: 7 days to </w:t>
      </w:r>
      <w:r w:rsidR="00710C57" w:rsidRPr="00F17760">
        <w:rPr>
          <w:color w:val="auto"/>
          <w:lang w:val="en-AU"/>
        </w:rPr>
        <w:t>22.5</w:t>
      </w:r>
      <w:r w:rsidRPr="00F17760">
        <w:rPr>
          <w:strike/>
          <w:color w:val="auto"/>
          <w:lang w:val="en-AU"/>
        </w:rPr>
        <w:t xml:space="preserve"> </w:t>
      </w:r>
      <w:r w:rsidRPr="00F17760">
        <w:rPr>
          <w:color w:val="auto"/>
          <w:lang w:val="en-AU"/>
        </w:rPr>
        <w:t>months) and the median duration of hepatitis was</w:t>
      </w:r>
      <w:r w:rsidR="00710C57" w:rsidRPr="00F17760">
        <w:rPr>
          <w:color w:val="auto"/>
          <w:lang w:val="en-AU"/>
        </w:rPr>
        <w:t xml:space="preserve"> 22.5</w:t>
      </w:r>
      <w:r w:rsidRPr="00F17760">
        <w:rPr>
          <w:color w:val="auto"/>
          <w:lang w:val="en-AU"/>
        </w:rPr>
        <w:t xml:space="preserve"> days (range: 8 days to </w:t>
      </w:r>
      <w:r w:rsidR="00710C57" w:rsidRPr="00F17760">
        <w:rPr>
          <w:color w:val="auto"/>
          <w:lang w:val="en-AU"/>
        </w:rPr>
        <w:t>7.6</w:t>
      </w:r>
      <w:r w:rsidR="00F17760" w:rsidRPr="00F17760">
        <w:rPr>
          <w:color w:val="auto"/>
          <w:lang w:val="en-AU"/>
        </w:rPr>
        <w:t xml:space="preserve"> </w:t>
      </w:r>
      <w:r w:rsidRPr="00F17760">
        <w:rPr>
          <w:color w:val="auto"/>
          <w:lang w:val="en-AU"/>
        </w:rPr>
        <w:t xml:space="preserve">months). </w:t>
      </w:r>
      <w:r w:rsidR="00710C57" w:rsidRPr="00F17760">
        <w:rPr>
          <w:color w:val="auto"/>
          <w:lang w:val="en-AU"/>
        </w:rPr>
        <w:t xml:space="preserve">Eighteen </w:t>
      </w:r>
      <w:r w:rsidRPr="00F17760">
        <w:rPr>
          <w:color w:val="auto"/>
          <w:lang w:val="en-AU"/>
        </w:rPr>
        <w:t>(</w:t>
      </w:r>
      <w:r w:rsidR="00710C57" w:rsidRPr="00F17760">
        <w:rPr>
          <w:color w:val="auto"/>
          <w:lang w:val="en-AU"/>
        </w:rPr>
        <w:t>90.0</w:t>
      </w:r>
      <w:r w:rsidRPr="00F17760">
        <w:rPr>
          <w:color w:val="auto"/>
          <w:lang w:val="en-AU"/>
        </w:rPr>
        <w:t>%) patients with immune-related hepatitis received high</w:t>
      </w:r>
      <w:r w:rsidRPr="00F17760">
        <w:rPr>
          <w:color w:val="auto"/>
          <w:lang w:val="en-AU"/>
        </w:rPr>
        <w:noBreakHyphen/>
        <w:t xml:space="preserve">dose corticosteroids for a median of </w:t>
      </w:r>
      <w:r w:rsidR="00710C57" w:rsidRPr="00F17760">
        <w:rPr>
          <w:color w:val="auto"/>
          <w:lang w:val="en-AU"/>
        </w:rPr>
        <w:t>24</w:t>
      </w:r>
      <w:r w:rsidR="00E461A8">
        <w:rPr>
          <w:color w:val="auto"/>
          <w:lang w:val="en-AU"/>
        </w:rPr>
        <w:t xml:space="preserve"> </w:t>
      </w:r>
      <w:r w:rsidRPr="00F17760">
        <w:rPr>
          <w:color w:val="auto"/>
          <w:lang w:val="en-AU"/>
        </w:rPr>
        <w:t xml:space="preserve">days (range: 2 days to </w:t>
      </w:r>
      <w:r w:rsidR="00710C57" w:rsidRPr="00F17760">
        <w:rPr>
          <w:color w:val="auto"/>
          <w:lang w:val="en-AU"/>
        </w:rPr>
        <w:t>3.1</w:t>
      </w:r>
      <w:r w:rsidRPr="00F17760">
        <w:rPr>
          <w:color w:val="auto"/>
          <w:lang w:val="en-AU"/>
        </w:rPr>
        <w:t xml:space="preserve">months). Resolution of hepatitis had occurred in </w:t>
      </w:r>
      <w:r w:rsidR="00710C57" w:rsidRPr="00F17760">
        <w:rPr>
          <w:color w:val="auto"/>
          <w:lang w:val="en-AU"/>
        </w:rPr>
        <w:t>10</w:t>
      </w:r>
      <w:r w:rsidRPr="00F17760">
        <w:rPr>
          <w:color w:val="auto"/>
          <w:lang w:val="en-AU"/>
        </w:rPr>
        <w:t> (</w:t>
      </w:r>
      <w:r w:rsidR="00710C57" w:rsidRPr="00F17760">
        <w:rPr>
          <w:color w:val="auto"/>
          <w:lang w:val="en-AU"/>
        </w:rPr>
        <w:t>50.0</w:t>
      </w:r>
      <w:r w:rsidRPr="00F17760">
        <w:rPr>
          <w:color w:val="auto"/>
          <w:lang w:val="en-AU"/>
        </w:rPr>
        <w:t xml:space="preserve">%) of the </w:t>
      </w:r>
      <w:r w:rsidR="00710C57" w:rsidRPr="00F17760">
        <w:rPr>
          <w:color w:val="auto"/>
          <w:lang w:val="en-AU"/>
        </w:rPr>
        <w:t>20</w:t>
      </w:r>
      <w:r w:rsidRPr="00F17760">
        <w:rPr>
          <w:color w:val="auto"/>
          <w:lang w:val="en-AU"/>
        </w:rPr>
        <w:t> patients at the time of data cut-off.</w:t>
      </w:r>
    </w:p>
    <w:p w14:paraId="2CBEF28B" w14:textId="77777777" w:rsidR="007D565E" w:rsidRPr="00F17760" w:rsidRDefault="00CD5483" w:rsidP="00E461A8">
      <w:pPr>
        <w:pStyle w:val="Heading5"/>
        <w:numPr>
          <w:ilvl w:val="0"/>
          <w:numId w:val="0"/>
        </w:numPr>
        <w:spacing w:after="240"/>
        <w:ind w:left="1009" w:hanging="1009"/>
        <w:rPr>
          <w:lang w:val="en-AU"/>
        </w:rPr>
      </w:pPr>
      <w:r w:rsidRPr="00F17760">
        <w:rPr>
          <w:lang w:val="en-AU"/>
        </w:rPr>
        <w:t>Immune-related endocrinopathies</w:t>
      </w:r>
    </w:p>
    <w:p w14:paraId="22366784" w14:textId="31828E4F" w:rsidR="00E461A8" w:rsidRPr="00F17760" w:rsidRDefault="00CD5483" w:rsidP="00E461A8">
      <w:pPr>
        <w:pStyle w:val="C-BodyText"/>
        <w:spacing w:before="0"/>
        <w:rPr>
          <w:lang w:val="en-AU"/>
        </w:rPr>
      </w:pPr>
      <w:r w:rsidRPr="00F17760">
        <w:rPr>
          <w:lang w:val="en-AU"/>
        </w:rPr>
        <w:t xml:space="preserve">Hypothyroidism occurred in </w:t>
      </w:r>
      <w:r w:rsidR="001638EC" w:rsidRPr="00F17760">
        <w:rPr>
          <w:lang w:val="en-AU"/>
        </w:rPr>
        <w:t>74</w:t>
      </w:r>
      <w:r w:rsidRPr="00F17760">
        <w:rPr>
          <w:lang w:val="en-AU"/>
        </w:rPr>
        <w:t> (</w:t>
      </w:r>
      <w:r w:rsidR="001638EC" w:rsidRPr="00F17760">
        <w:rPr>
          <w:lang w:val="en-AU"/>
        </w:rPr>
        <w:t>6.9</w:t>
      </w:r>
      <w:r w:rsidRPr="00F17760">
        <w:rPr>
          <w:lang w:val="en-AU"/>
        </w:rPr>
        <w:t xml:space="preserve">%) of </w:t>
      </w:r>
      <w:r w:rsidR="001638EC" w:rsidRPr="00F17760">
        <w:rPr>
          <w:lang w:val="en-AU"/>
        </w:rPr>
        <w:t>1078</w:t>
      </w:r>
      <w:r w:rsidRPr="00F17760">
        <w:rPr>
          <w:lang w:val="en-AU"/>
        </w:rPr>
        <w:t> patients receiving cemiplimab including 1 (</w:t>
      </w:r>
      <w:r w:rsidR="001638EC" w:rsidRPr="00F17760">
        <w:rPr>
          <w:lang w:val="en-AU"/>
        </w:rPr>
        <w:t>&lt;0.1</w:t>
      </w:r>
      <w:r w:rsidRPr="00F17760">
        <w:rPr>
          <w:lang w:val="en-AU"/>
        </w:rPr>
        <w:t xml:space="preserve">%) patient with Grade 3 hypothyroidism. </w:t>
      </w:r>
      <w:r w:rsidR="001638EC" w:rsidRPr="00F17760">
        <w:rPr>
          <w:lang w:val="en-AU"/>
        </w:rPr>
        <w:t>One</w:t>
      </w:r>
      <w:r w:rsidRPr="00F17760">
        <w:rPr>
          <w:lang w:val="en-AU"/>
        </w:rPr>
        <w:t xml:space="preserve"> patient discontinued cemiplimab due to hypothyroidism. Among the </w:t>
      </w:r>
      <w:r w:rsidR="001638EC" w:rsidRPr="00F17760">
        <w:rPr>
          <w:lang w:val="en-AU"/>
        </w:rPr>
        <w:t>74</w:t>
      </w:r>
      <w:r w:rsidRPr="00F17760">
        <w:rPr>
          <w:lang w:val="en-AU"/>
        </w:rPr>
        <w:t> patients with hypothyroidism, the median time to onset was 4.</w:t>
      </w:r>
      <w:r w:rsidR="001638EC" w:rsidRPr="00F17760">
        <w:rPr>
          <w:lang w:val="en-AU"/>
        </w:rPr>
        <w:t>0</w:t>
      </w:r>
      <w:r w:rsidR="00F17760" w:rsidRPr="00F17760">
        <w:rPr>
          <w:lang w:val="en-AU"/>
        </w:rPr>
        <w:t xml:space="preserve"> </w:t>
      </w:r>
      <w:r w:rsidRPr="00F17760">
        <w:rPr>
          <w:lang w:val="en-AU"/>
        </w:rPr>
        <w:t>months (range: 15 days to 18.9 months)</w:t>
      </w:r>
      <w:r w:rsidR="001638EC" w:rsidRPr="00E461A8">
        <w:rPr>
          <w:lang w:val="en-AU"/>
        </w:rPr>
        <w:t xml:space="preserve"> </w:t>
      </w:r>
      <w:r w:rsidR="001638EC" w:rsidRPr="00F17760">
        <w:rPr>
          <w:lang w:val="en-AU"/>
        </w:rPr>
        <w:t>with a median duration of 6.9 months (range: 1 day to 23.3 months). Resolution of hypothyroidism had occurred in 6 (8.1%) of the 74 patients at the time of data cutoff</w:t>
      </w:r>
      <w:r w:rsidRPr="00F17760">
        <w:rPr>
          <w:lang w:val="en-AU"/>
        </w:rPr>
        <w:t>.</w:t>
      </w:r>
    </w:p>
    <w:p w14:paraId="2C23B40C" w14:textId="4EF8951C" w:rsidR="001638EC" w:rsidRPr="00F17760" w:rsidRDefault="00CD5483" w:rsidP="001638EC">
      <w:pPr>
        <w:pStyle w:val="C-BodyText"/>
        <w:spacing w:before="0"/>
        <w:rPr>
          <w:lang w:val="en-AU"/>
        </w:rPr>
      </w:pPr>
      <w:r w:rsidRPr="00F17760">
        <w:rPr>
          <w:lang w:val="en-AU"/>
        </w:rPr>
        <w:t xml:space="preserve">Hyperthyroidism occurred in </w:t>
      </w:r>
      <w:r w:rsidR="001638EC" w:rsidRPr="00F17760">
        <w:rPr>
          <w:lang w:val="en-AU"/>
        </w:rPr>
        <w:t>31</w:t>
      </w:r>
      <w:r w:rsidRPr="00F17760">
        <w:rPr>
          <w:lang w:val="en-AU"/>
        </w:rPr>
        <w:t> (</w:t>
      </w:r>
      <w:r w:rsidR="001638EC" w:rsidRPr="00F17760">
        <w:rPr>
          <w:lang w:val="en-AU"/>
        </w:rPr>
        <w:t>2</w:t>
      </w:r>
      <w:r w:rsidRPr="00F17760">
        <w:rPr>
          <w:lang w:val="en-AU"/>
        </w:rPr>
        <w:t xml:space="preserve">.9%) of </w:t>
      </w:r>
      <w:r w:rsidR="001638EC" w:rsidRPr="00F17760">
        <w:rPr>
          <w:lang w:val="en-AU"/>
        </w:rPr>
        <w:t>1078</w:t>
      </w:r>
      <w:r w:rsidRPr="00F17760">
        <w:rPr>
          <w:lang w:val="en-AU"/>
        </w:rPr>
        <w:t> patients receiving cemiplimab including 1 (</w:t>
      </w:r>
      <w:r w:rsidR="001638EC" w:rsidRPr="00F17760">
        <w:rPr>
          <w:lang w:val="en-AU"/>
        </w:rPr>
        <w:t>&lt;0.1</w:t>
      </w:r>
      <w:r w:rsidRPr="00F17760">
        <w:rPr>
          <w:lang w:val="en-AU"/>
        </w:rPr>
        <w:t xml:space="preserve">%) patient with Grade 3 </w:t>
      </w:r>
      <w:bookmarkStart w:id="18" w:name="_Hlk47465213"/>
      <w:r w:rsidR="001638EC" w:rsidRPr="00F17760">
        <w:rPr>
          <w:szCs w:val="24"/>
          <w:lang w:val="en-AU"/>
        </w:rPr>
        <w:t>and 8 (0.7%) patients with Grade 2</w:t>
      </w:r>
      <w:r w:rsidR="001638EC" w:rsidRPr="00F17760">
        <w:rPr>
          <w:sz w:val="22"/>
          <w:szCs w:val="22"/>
          <w:lang w:val="en-AU"/>
        </w:rPr>
        <w:t xml:space="preserve"> </w:t>
      </w:r>
      <w:bookmarkEnd w:id="18"/>
      <w:r w:rsidRPr="00F17760">
        <w:rPr>
          <w:lang w:val="en-AU"/>
        </w:rPr>
        <w:t xml:space="preserve">hyperthyroidism. No patient discontinued cemiplimab due to hyperthyroidism. Among the </w:t>
      </w:r>
      <w:r w:rsidR="001638EC" w:rsidRPr="00F17760">
        <w:rPr>
          <w:lang w:val="en-AU"/>
        </w:rPr>
        <w:t>31</w:t>
      </w:r>
      <w:r w:rsidRPr="00F17760">
        <w:rPr>
          <w:lang w:val="en-AU"/>
        </w:rPr>
        <w:t xml:space="preserve"> patients with hyperthyroidism, the median time to onset was </w:t>
      </w:r>
      <w:r w:rsidR="001638EC" w:rsidRPr="00F17760">
        <w:rPr>
          <w:lang w:val="en-AU"/>
        </w:rPr>
        <w:t>2.1</w:t>
      </w:r>
      <w:r w:rsidR="00F17760" w:rsidRPr="00F17760">
        <w:rPr>
          <w:lang w:val="en-AU"/>
        </w:rPr>
        <w:t xml:space="preserve"> </w:t>
      </w:r>
      <w:r w:rsidRPr="00F17760">
        <w:rPr>
          <w:lang w:val="en-AU"/>
        </w:rPr>
        <w:t>months (range: 2</w:t>
      </w:r>
      <w:r w:rsidR="001638EC" w:rsidRPr="00F17760">
        <w:rPr>
          <w:lang w:val="en-AU"/>
        </w:rPr>
        <w:t>0</w:t>
      </w:r>
      <w:r w:rsidRPr="00F17760">
        <w:rPr>
          <w:lang w:val="en-AU"/>
        </w:rPr>
        <w:t xml:space="preserve"> days to </w:t>
      </w:r>
      <w:r w:rsidR="001638EC" w:rsidRPr="00F17760">
        <w:rPr>
          <w:lang w:val="en-AU"/>
        </w:rPr>
        <w:t>23.8</w:t>
      </w:r>
      <w:r w:rsidR="00F17760" w:rsidRPr="00F17760">
        <w:rPr>
          <w:lang w:val="en-AU"/>
        </w:rPr>
        <w:t xml:space="preserve"> </w:t>
      </w:r>
      <w:r w:rsidRPr="00F17760">
        <w:rPr>
          <w:lang w:val="en-AU"/>
        </w:rPr>
        <w:t>months)</w:t>
      </w:r>
      <w:r w:rsidR="001638EC" w:rsidRPr="00F17760">
        <w:rPr>
          <w:lang w:val="en-AU"/>
        </w:rPr>
        <w:t xml:space="preserve"> and the median duration was 1.9 months (range: 9 days to 24.5 months). Resolution of hyperthyroidism had occurred in 16 (51.6%) of the 31 patients at the time of data cutoff.</w:t>
      </w:r>
    </w:p>
    <w:p w14:paraId="1E781026" w14:textId="73722A55" w:rsidR="007D565E" w:rsidRPr="00F17760" w:rsidRDefault="001638EC" w:rsidP="001638EC">
      <w:pPr>
        <w:pStyle w:val="C-BodyText"/>
        <w:spacing w:before="0"/>
        <w:rPr>
          <w:lang w:val="en-AU"/>
        </w:rPr>
      </w:pPr>
      <w:r w:rsidRPr="00F17760">
        <w:rPr>
          <w:lang w:val="en-AU"/>
        </w:rPr>
        <w:t>Thyroiditis occurred in 5 (0.5%) of 1078 patients receiving cemiplimab including 2 (0.2%) patients with Grade 2 thyroiditis. No patient discontinued cemiplimab due to thyroiditis. Thyroiditis had not resolved in any patient at the time of data cutoff.</w:t>
      </w:r>
    </w:p>
    <w:p w14:paraId="26F6C187" w14:textId="1D7D4FDC" w:rsidR="002B72B2" w:rsidRPr="00F17760" w:rsidRDefault="00CD5483" w:rsidP="002B72B2">
      <w:pPr>
        <w:pStyle w:val="C-BodyText"/>
        <w:spacing w:before="0"/>
        <w:rPr>
          <w:sz w:val="22"/>
          <w:szCs w:val="22"/>
          <w:lang w:val="en-AU"/>
        </w:rPr>
      </w:pPr>
      <w:r w:rsidRPr="00F17760">
        <w:rPr>
          <w:lang w:val="en-AU"/>
        </w:rPr>
        <w:t xml:space="preserve">Adrenal insufficiency occurred in </w:t>
      </w:r>
      <w:r w:rsidR="002B72B2" w:rsidRPr="00F17760">
        <w:rPr>
          <w:lang w:val="en-AU"/>
        </w:rPr>
        <w:t>5</w:t>
      </w:r>
      <w:r w:rsidRPr="00F17760">
        <w:rPr>
          <w:lang w:val="en-AU"/>
        </w:rPr>
        <w:t xml:space="preserve"> (0.5%) of </w:t>
      </w:r>
      <w:r w:rsidR="001638EC" w:rsidRPr="00F17760">
        <w:rPr>
          <w:lang w:val="en-AU"/>
        </w:rPr>
        <w:t>1078</w:t>
      </w:r>
      <w:r w:rsidRPr="00F17760">
        <w:rPr>
          <w:lang w:val="en-AU"/>
        </w:rPr>
        <w:t xml:space="preserve"> patients receiving cemiplimab including </w:t>
      </w:r>
      <w:r w:rsidR="002B72B2" w:rsidRPr="00F17760">
        <w:rPr>
          <w:lang w:val="en-AU"/>
        </w:rPr>
        <w:t>3</w:t>
      </w:r>
      <w:r w:rsidRPr="00F17760">
        <w:rPr>
          <w:lang w:val="en-AU"/>
        </w:rPr>
        <w:t> (0.</w:t>
      </w:r>
      <w:r w:rsidR="002B72B2" w:rsidRPr="00F17760">
        <w:rPr>
          <w:lang w:val="en-AU"/>
        </w:rPr>
        <w:t>3</w:t>
      </w:r>
      <w:r w:rsidRPr="00F17760">
        <w:rPr>
          <w:lang w:val="en-AU"/>
        </w:rPr>
        <w:t>%) patient</w:t>
      </w:r>
      <w:r w:rsidR="002B72B2" w:rsidRPr="00F17760">
        <w:rPr>
          <w:lang w:val="en-AU"/>
        </w:rPr>
        <w:t>s</w:t>
      </w:r>
      <w:r w:rsidRPr="00F17760">
        <w:rPr>
          <w:lang w:val="en-AU"/>
        </w:rPr>
        <w:t xml:space="preserve"> with Grade 3</w:t>
      </w:r>
      <w:r w:rsidR="002B72B2" w:rsidRPr="00F17760">
        <w:rPr>
          <w:szCs w:val="24"/>
          <w:lang w:val="en-AU"/>
        </w:rPr>
        <w:t xml:space="preserve">, </w:t>
      </w:r>
      <w:bookmarkStart w:id="19" w:name="_Hlk47435134"/>
      <w:r w:rsidR="002B72B2" w:rsidRPr="00F17760">
        <w:rPr>
          <w:szCs w:val="24"/>
          <w:lang w:val="en-AU"/>
        </w:rPr>
        <w:t>and 2 (0.2%) patients with Grade 2</w:t>
      </w:r>
      <w:r w:rsidR="002B72B2" w:rsidRPr="00F17760">
        <w:rPr>
          <w:sz w:val="22"/>
          <w:szCs w:val="22"/>
          <w:lang w:val="en-AU"/>
        </w:rPr>
        <w:t xml:space="preserve"> </w:t>
      </w:r>
      <w:bookmarkEnd w:id="19"/>
      <w:r w:rsidRPr="00F17760">
        <w:rPr>
          <w:lang w:val="en-AU"/>
        </w:rPr>
        <w:t xml:space="preserve">adrenal insufficiency. </w:t>
      </w:r>
      <w:r w:rsidR="002B72B2" w:rsidRPr="00F17760">
        <w:rPr>
          <w:lang w:val="en-AU"/>
        </w:rPr>
        <w:t>One</w:t>
      </w:r>
      <w:r w:rsidRPr="00F17760">
        <w:rPr>
          <w:lang w:val="en-AU"/>
        </w:rPr>
        <w:t xml:space="preserve"> </w:t>
      </w:r>
      <w:r w:rsidR="002B72B2" w:rsidRPr="00F17760">
        <w:rPr>
          <w:szCs w:val="24"/>
          <w:lang w:val="en-AU"/>
        </w:rPr>
        <w:t>(&lt;0.1%) of 1078</w:t>
      </w:r>
      <w:r w:rsidR="002B72B2" w:rsidRPr="00F17760">
        <w:rPr>
          <w:sz w:val="22"/>
          <w:szCs w:val="22"/>
          <w:lang w:val="en-AU"/>
        </w:rPr>
        <w:t xml:space="preserve"> </w:t>
      </w:r>
      <w:r w:rsidRPr="00F17760">
        <w:rPr>
          <w:lang w:val="en-AU"/>
        </w:rPr>
        <w:t>patient</w:t>
      </w:r>
      <w:r w:rsidR="002B72B2" w:rsidRPr="00F17760">
        <w:rPr>
          <w:lang w:val="en-AU"/>
        </w:rPr>
        <w:t>s</w:t>
      </w:r>
      <w:r w:rsidRPr="00F17760">
        <w:rPr>
          <w:lang w:val="en-AU"/>
        </w:rPr>
        <w:t xml:space="preserve"> discontinued cemiplimab due to adrenal insufficiency. Among the </w:t>
      </w:r>
      <w:r w:rsidR="002B72B2" w:rsidRPr="00F17760">
        <w:rPr>
          <w:lang w:val="en-AU"/>
        </w:rPr>
        <w:t>5</w:t>
      </w:r>
      <w:r w:rsidRPr="00F17760">
        <w:rPr>
          <w:lang w:val="en-AU"/>
        </w:rPr>
        <w:t xml:space="preserve"> patients with adrenal insufficiency, the median time to onset was 11.5 months (range: </w:t>
      </w:r>
      <w:r w:rsidR="002B72B2" w:rsidRPr="00F17760">
        <w:rPr>
          <w:lang w:val="en-AU"/>
        </w:rPr>
        <w:t>4.2</w:t>
      </w:r>
      <w:r w:rsidR="00F17760" w:rsidRPr="00F17760">
        <w:rPr>
          <w:lang w:val="en-AU"/>
        </w:rPr>
        <w:t xml:space="preserve"> </w:t>
      </w:r>
      <w:r w:rsidRPr="00F17760">
        <w:rPr>
          <w:lang w:val="en-AU"/>
        </w:rPr>
        <w:t>months to 1</w:t>
      </w:r>
      <w:r w:rsidR="002B72B2" w:rsidRPr="00F17760">
        <w:rPr>
          <w:lang w:val="en-AU"/>
        </w:rPr>
        <w:t>8</w:t>
      </w:r>
      <w:r w:rsidRPr="00F17760">
        <w:rPr>
          <w:lang w:val="en-AU"/>
        </w:rPr>
        <w:t>.3 months)</w:t>
      </w:r>
      <w:r w:rsidR="002B72B2" w:rsidRPr="00F17760">
        <w:rPr>
          <w:sz w:val="22"/>
          <w:szCs w:val="22"/>
          <w:lang w:val="en-AU"/>
        </w:rPr>
        <w:t xml:space="preserve"> </w:t>
      </w:r>
      <w:r w:rsidR="002B72B2" w:rsidRPr="00F17760">
        <w:rPr>
          <w:szCs w:val="24"/>
          <w:lang w:val="en-AU"/>
        </w:rPr>
        <w:t xml:space="preserve">and the median duration was 5.1 months (range: 4.6 months to </w:t>
      </w:r>
      <w:r w:rsidR="002B72B2" w:rsidRPr="00F17760">
        <w:rPr>
          <w:szCs w:val="24"/>
          <w:lang w:val="en-AU"/>
        </w:rPr>
        <w:lastRenderedPageBreak/>
        <w:t>6.4 months)</w:t>
      </w:r>
      <w:r w:rsidRPr="00F17760">
        <w:rPr>
          <w:lang w:val="en-AU"/>
        </w:rPr>
        <w:t xml:space="preserve">. </w:t>
      </w:r>
      <w:r w:rsidR="002B72B2" w:rsidRPr="00F17760">
        <w:rPr>
          <w:lang w:val="en-AU"/>
        </w:rPr>
        <w:t xml:space="preserve">Three </w:t>
      </w:r>
      <w:r w:rsidRPr="00F17760">
        <w:rPr>
          <w:lang w:val="en-AU"/>
        </w:rPr>
        <w:t xml:space="preserve">of the </w:t>
      </w:r>
      <w:r w:rsidR="002B72B2" w:rsidRPr="00F17760">
        <w:rPr>
          <w:lang w:val="en-AU"/>
        </w:rPr>
        <w:t>5</w:t>
      </w:r>
      <w:r w:rsidRPr="00F17760">
        <w:rPr>
          <w:lang w:val="en-AU"/>
        </w:rPr>
        <w:t> patients</w:t>
      </w:r>
      <w:r w:rsidR="002B72B2" w:rsidRPr="00F17760">
        <w:rPr>
          <w:lang w:val="en-AU"/>
        </w:rPr>
        <w:t xml:space="preserve"> </w:t>
      </w:r>
      <w:r w:rsidR="002B72B2" w:rsidRPr="00F17760">
        <w:rPr>
          <w:szCs w:val="24"/>
          <w:lang w:val="en-AU"/>
        </w:rPr>
        <w:t>(60%)</w:t>
      </w:r>
      <w:r w:rsidR="002B72B2" w:rsidRPr="00F17760">
        <w:rPr>
          <w:lang w:val="en-AU"/>
        </w:rPr>
        <w:t xml:space="preserve"> were</w:t>
      </w:r>
      <w:r w:rsidRPr="00F17760">
        <w:rPr>
          <w:lang w:val="en-AU"/>
        </w:rPr>
        <w:t xml:space="preserve"> treated with systemic corticosteroids. </w:t>
      </w:r>
      <w:bookmarkStart w:id="20" w:name="_Hlk47262506"/>
      <w:r w:rsidR="002B72B2" w:rsidRPr="00F17760">
        <w:rPr>
          <w:lang w:val="en-AU"/>
        </w:rPr>
        <w:t>Adrenal insufficiency had not resolved in any patient at the time of data cutoff.</w:t>
      </w:r>
      <w:bookmarkEnd w:id="20"/>
    </w:p>
    <w:p w14:paraId="24179331" w14:textId="5B748877" w:rsidR="002B72B2" w:rsidRPr="00F17760" w:rsidRDefault="00CD5483" w:rsidP="002B72B2">
      <w:pPr>
        <w:pStyle w:val="C-BodyText"/>
        <w:spacing w:before="0"/>
        <w:rPr>
          <w:sz w:val="22"/>
          <w:szCs w:val="22"/>
          <w:lang w:val="en-AU"/>
        </w:rPr>
      </w:pPr>
      <w:r w:rsidRPr="00F17760">
        <w:rPr>
          <w:lang w:val="en-AU"/>
        </w:rPr>
        <w:t xml:space="preserve">Hypophysitis occurred in </w:t>
      </w:r>
      <w:r w:rsidR="002B72B2" w:rsidRPr="00F17760">
        <w:rPr>
          <w:lang w:val="en-AU"/>
        </w:rPr>
        <w:t>3</w:t>
      </w:r>
      <w:r w:rsidRPr="00F17760">
        <w:rPr>
          <w:lang w:val="en-AU"/>
        </w:rPr>
        <w:t> (0.</w:t>
      </w:r>
      <w:r w:rsidR="002B72B2" w:rsidRPr="00F17760">
        <w:rPr>
          <w:lang w:val="en-AU"/>
        </w:rPr>
        <w:t>3</w:t>
      </w:r>
      <w:r w:rsidRPr="00F17760">
        <w:rPr>
          <w:lang w:val="en-AU"/>
        </w:rPr>
        <w:t xml:space="preserve">%) of </w:t>
      </w:r>
      <w:r w:rsidR="001638EC" w:rsidRPr="00F17760">
        <w:rPr>
          <w:lang w:val="en-AU"/>
        </w:rPr>
        <w:t>1078</w:t>
      </w:r>
      <w:r w:rsidRPr="00F17760">
        <w:rPr>
          <w:lang w:val="en-AU"/>
        </w:rPr>
        <w:t> patients receiving cemiplimab</w:t>
      </w:r>
      <w:r w:rsidR="002B72B2" w:rsidRPr="00F17760">
        <w:rPr>
          <w:lang w:val="en-AU"/>
        </w:rPr>
        <w:t>, including 2 (0.2%) patients with Grade 3 hypophysitis</w:t>
      </w:r>
      <w:r w:rsidRPr="00F17760">
        <w:rPr>
          <w:lang w:val="en-AU"/>
        </w:rPr>
        <w:t xml:space="preserve">. </w:t>
      </w:r>
      <w:r w:rsidR="002B72B2" w:rsidRPr="00F17760">
        <w:rPr>
          <w:lang w:val="en-AU"/>
        </w:rPr>
        <w:t>One (&lt;0.1%) of 1078 patients discontinued cemiplimab due to hypophysitis. Among the 3 patients with hypophysitis, the median time to onset was 4.6 months (range: 2.6 months to 7.4 months) with a median duration of 23 days (range: 9 days to 1.5 months). Two of the 3 patients (66.7%) were treated with corticosteroids. Hypophysitis had not resolved in any patient at the time of data cutoff.</w:t>
      </w:r>
    </w:p>
    <w:p w14:paraId="56813EC2" w14:textId="18EDAB50" w:rsidR="007D565E" w:rsidRPr="00F17760" w:rsidRDefault="00CD5483">
      <w:pPr>
        <w:rPr>
          <w:color w:val="auto"/>
          <w:lang w:val="en-AU"/>
        </w:rPr>
      </w:pPr>
      <w:r w:rsidRPr="00F17760">
        <w:rPr>
          <w:color w:val="auto"/>
          <w:lang w:val="en-AU"/>
        </w:rPr>
        <w:t>Type 1 diabetes mellitus without an alternative aetiology occurred in 4 (0.</w:t>
      </w:r>
      <w:r w:rsidR="00F14A66" w:rsidRPr="00F17760">
        <w:rPr>
          <w:color w:val="auto"/>
          <w:lang w:val="en-AU"/>
        </w:rPr>
        <w:t>4</w:t>
      </w:r>
      <w:r w:rsidRPr="00F17760">
        <w:rPr>
          <w:color w:val="auto"/>
          <w:lang w:val="en-AU"/>
        </w:rPr>
        <w:t xml:space="preserve">%) of </w:t>
      </w:r>
      <w:r w:rsidR="001638EC" w:rsidRPr="00F17760">
        <w:rPr>
          <w:color w:val="auto"/>
          <w:lang w:val="en-AU"/>
        </w:rPr>
        <w:t>1078</w:t>
      </w:r>
      <w:r w:rsidRPr="00F17760">
        <w:rPr>
          <w:color w:val="auto"/>
          <w:lang w:val="en-AU"/>
        </w:rPr>
        <w:t> patients including 3 (0.</w:t>
      </w:r>
      <w:r w:rsidR="00F14A66" w:rsidRPr="00F17760">
        <w:rPr>
          <w:color w:val="auto"/>
          <w:lang w:val="en-AU"/>
        </w:rPr>
        <w:t>3</w:t>
      </w:r>
      <w:r w:rsidRPr="00F17760">
        <w:rPr>
          <w:color w:val="auto"/>
          <w:lang w:val="en-AU"/>
        </w:rPr>
        <w:t>%) patients with Grade 4 and 1 (</w:t>
      </w:r>
      <w:r w:rsidR="00F14A66" w:rsidRPr="00F17760">
        <w:rPr>
          <w:color w:val="auto"/>
          <w:lang w:val="en-AU"/>
        </w:rPr>
        <w:t>&lt;</w:t>
      </w:r>
      <w:r w:rsidRPr="00F17760">
        <w:rPr>
          <w:color w:val="auto"/>
          <w:lang w:val="en-AU"/>
        </w:rPr>
        <w:t>0.</w:t>
      </w:r>
      <w:r w:rsidR="00F14A66" w:rsidRPr="00F17760">
        <w:rPr>
          <w:color w:val="auto"/>
          <w:lang w:val="en-AU"/>
        </w:rPr>
        <w:t>1</w:t>
      </w:r>
      <w:r w:rsidRPr="00F17760">
        <w:rPr>
          <w:color w:val="auto"/>
          <w:lang w:val="en-AU"/>
        </w:rPr>
        <w:t>%) patient with Grade 3 type 1 diabetes mellitus. Type 1 diabetes mellitus led to permanent discontinuation of cemiplimab in 1 (</w:t>
      </w:r>
      <w:r w:rsidR="00F14A66" w:rsidRPr="00F17760">
        <w:rPr>
          <w:color w:val="auto"/>
          <w:lang w:val="en-AU"/>
        </w:rPr>
        <w:t>&lt;0.1</w:t>
      </w:r>
      <w:r w:rsidRPr="00F17760">
        <w:rPr>
          <w:color w:val="auto"/>
          <w:lang w:val="en-AU"/>
        </w:rPr>
        <w:t xml:space="preserve">%) of </w:t>
      </w:r>
      <w:r w:rsidR="001638EC" w:rsidRPr="00F17760">
        <w:rPr>
          <w:color w:val="auto"/>
          <w:lang w:val="en-AU"/>
        </w:rPr>
        <w:t>1078</w:t>
      </w:r>
      <w:r w:rsidRPr="00F17760">
        <w:rPr>
          <w:color w:val="auto"/>
          <w:lang w:val="en-AU"/>
        </w:rPr>
        <w:t> patients. Among the 4 patients with type 1 diabetes mellitus, the median time to onset was 2.3 months (range: 28 days to 6.2 months).</w:t>
      </w:r>
      <w:r w:rsidR="00F14A66" w:rsidRPr="00F17760">
        <w:rPr>
          <w:color w:val="auto"/>
          <w:lang w:val="en-AU"/>
        </w:rPr>
        <w:t xml:space="preserve"> </w:t>
      </w:r>
      <w:r w:rsidR="00F14A66" w:rsidRPr="00F17760">
        <w:rPr>
          <w:rFonts w:eastAsia="Times New Roman"/>
          <w:color w:val="auto"/>
          <w:szCs w:val="20"/>
          <w:lang w:val="en-AU"/>
        </w:rPr>
        <w:t xml:space="preserve">Type 1 diabetes had not resolved in any patient </w:t>
      </w:r>
      <w:bookmarkStart w:id="21" w:name="_Hlk47262468"/>
      <w:r w:rsidR="00F14A66" w:rsidRPr="00F17760">
        <w:rPr>
          <w:rFonts w:eastAsia="Times New Roman"/>
          <w:color w:val="auto"/>
          <w:szCs w:val="20"/>
          <w:lang w:val="en-AU"/>
        </w:rPr>
        <w:t>at the time of data cutoff.</w:t>
      </w:r>
      <w:bookmarkEnd w:id="21"/>
    </w:p>
    <w:p w14:paraId="37517BD5" w14:textId="77777777" w:rsidR="007D565E" w:rsidRPr="00F17760" w:rsidRDefault="00CD5483">
      <w:pPr>
        <w:pStyle w:val="Heading5"/>
        <w:numPr>
          <w:ilvl w:val="0"/>
          <w:numId w:val="0"/>
        </w:numPr>
        <w:ind w:left="1009" w:hanging="1009"/>
        <w:rPr>
          <w:lang w:val="en-AU"/>
        </w:rPr>
      </w:pPr>
      <w:r w:rsidRPr="00F17760">
        <w:rPr>
          <w:lang w:val="en-AU"/>
        </w:rPr>
        <w:t>Immune-related skin adverse reactions</w:t>
      </w:r>
    </w:p>
    <w:p w14:paraId="4C086EAC" w14:textId="294A734C" w:rsidR="007D565E" w:rsidRPr="00F17760" w:rsidRDefault="00CD5483">
      <w:pPr>
        <w:rPr>
          <w:color w:val="auto"/>
          <w:lang w:val="en-AU"/>
        </w:rPr>
      </w:pPr>
      <w:r w:rsidRPr="00F17760">
        <w:rPr>
          <w:color w:val="auto"/>
          <w:lang w:val="en-AU"/>
        </w:rPr>
        <w:t xml:space="preserve">Immune-related skin adverse reactions occurred in </w:t>
      </w:r>
      <w:r w:rsidR="00F14A66" w:rsidRPr="00F17760">
        <w:rPr>
          <w:color w:val="auto"/>
          <w:lang w:val="en-AU"/>
        </w:rPr>
        <w:t>19</w:t>
      </w:r>
      <w:r w:rsidRPr="00F17760">
        <w:rPr>
          <w:color w:val="auto"/>
          <w:lang w:val="en-AU"/>
        </w:rPr>
        <w:t> (</w:t>
      </w:r>
      <w:r w:rsidR="00F14A66" w:rsidRPr="00F17760">
        <w:rPr>
          <w:color w:val="auto"/>
          <w:lang w:val="en-AU"/>
        </w:rPr>
        <w:t>1.8</w:t>
      </w:r>
      <w:r w:rsidRPr="00F17760">
        <w:rPr>
          <w:color w:val="auto"/>
          <w:lang w:val="en-AU"/>
        </w:rPr>
        <w:t xml:space="preserve">%) of </w:t>
      </w:r>
      <w:r w:rsidR="00F14A66" w:rsidRPr="00F17760">
        <w:rPr>
          <w:color w:val="auto"/>
          <w:lang w:val="en-AU"/>
        </w:rPr>
        <w:t>1078</w:t>
      </w:r>
      <w:r w:rsidRPr="00F17760">
        <w:rPr>
          <w:color w:val="auto"/>
          <w:lang w:val="en-AU"/>
        </w:rPr>
        <w:t xml:space="preserve"> patients receiving cemiplimab including </w:t>
      </w:r>
      <w:r w:rsidR="00F14A66" w:rsidRPr="00F17760">
        <w:rPr>
          <w:color w:val="auto"/>
          <w:lang w:val="en-AU"/>
        </w:rPr>
        <w:t>10</w:t>
      </w:r>
      <w:r w:rsidRPr="00F17760">
        <w:rPr>
          <w:color w:val="auto"/>
          <w:lang w:val="en-AU"/>
        </w:rPr>
        <w:t> (</w:t>
      </w:r>
      <w:r w:rsidR="00F14A66" w:rsidRPr="00F17760">
        <w:rPr>
          <w:color w:val="auto"/>
          <w:lang w:val="en-AU"/>
        </w:rPr>
        <w:t>0.9</w:t>
      </w:r>
      <w:r w:rsidRPr="00F17760">
        <w:rPr>
          <w:color w:val="auto"/>
          <w:lang w:val="en-AU"/>
        </w:rPr>
        <w:t>%) patients with Grade 3 immune-related skin adverse reactions. Immune-related skin adverse reactions led to permanent discontinuation of cemiplimab in 2 (0.</w:t>
      </w:r>
      <w:r w:rsidR="00F14A66" w:rsidRPr="00F17760">
        <w:rPr>
          <w:color w:val="auto"/>
          <w:lang w:val="en-AU"/>
        </w:rPr>
        <w:t>2</w:t>
      </w:r>
      <w:r w:rsidRPr="00F17760">
        <w:rPr>
          <w:color w:val="auto"/>
          <w:lang w:val="en-AU"/>
        </w:rPr>
        <w:t xml:space="preserve">%) of </w:t>
      </w:r>
      <w:r w:rsidR="00F14A66" w:rsidRPr="00F17760">
        <w:rPr>
          <w:color w:val="auto"/>
          <w:lang w:val="en-AU"/>
        </w:rPr>
        <w:t>1078</w:t>
      </w:r>
      <w:r w:rsidRPr="00F17760">
        <w:rPr>
          <w:color w:val="auto"/>
          <w:lang w:val="en-AU"/>
        </w:rPr>
        <w:t xml:space="preserve"> patients. Among the </w:t>
      </w:r>
      <w:r w:rsidR="00F14A66" w:rsidRPr="00F17760">
        <w:rPr>
          <w:color w:val="auto"/>
          <w:lang w:val="en-AU"/>
        </w:rPr>
        <w:t>19</w:t>
      </w:r>
      <w:r w:rsidRPr="00F17760">
        <w:rPr>
          <w:color w:val="auto"/>
          <w:lang w:val="en-AU"/>
        </w:rPr>
        <w:t> patients with immune</w:t>
      </w:r>
      <w:r w:rsidRPr="00F17760">
        <w:rPr>
          <w:color w:val="auto"/>
          <w:lang w:val="en-AU"/>
        </w:rPr>
        <w:noBreakHyphen/>
        <w:t>related skin adverse reactions, the median time to onset was 1.</w:t>
      </w:r>
      <w:r w:rsidR="00F14A66" w:rsidRPr="00F17760">
        <w:rPr>
          <w:color w:val="auto"/>
          <w:lang w:val="en-AU"/>
        </w:rPr>
        <w:t>2</w:t>
      </w:r>
      <w:r w:rsidRPr="00F17760">
        <w:rPr>
          <w:color w:val="auto"/>
          <w:lang w:val="en-AU"/>
        </w:rPr>
        <w:t xml:space="preserve"> months (range: 2 days to </w:t>
      </w:r>
      <w:r w:rsidR="00E70C1E" w:rsidRPr="00F17760">
        <w:rPr>
          <w:color w:val="auto"/>
          <w:lang w:val="en-AU"/>
        </w:rPr>
        <w:t>17.0</w:t>
      </w:r>
      <w:r w:rsidR="00F17760" w:rsidRPr="00F17760">
        <w:rPr>
          <w:color w:val="auto"/>
          <w:lang w:val="en-AU"/>
        </w:rPr>
        <w:t xml:space="preserve"> </w:t>
      </w:r>
      <w:r w:rsidRPr="00F17760">
        <w:rPr>
          <w:color w:val="auto"/>
          <w:lang w:val="en-AU"/>
        </w:rPr>
        <w:t xml:space="preserve">months) and the median duration was </w:t>
      </w:r>
      <w:r w:rsidR="00E70C1E" w:rsidRPr="00F17760">
        <w:rPr>
          <w:color w:val="auto"/>
          <w:lang w:val="en-AU"/>
        </w:rPr>
        <w:t>2.</w:t>
      </w:r>
      <w:r w:rsidR="00F17760" w:rsidRPr="00F17760">
        <w:rPr>
          <w:color w:val="auto"/>
          <w:lang w:val="en-AU"/>
        </w:rPr>
        <w:t xml:space="preserve">7 </w:t>
      </w:r>
      <w:r w:rsidRPr="00F17760">
        <w:rPr>
          <w:color w:val="auto"/>
          <w:lang w:val="en-AU"/>
        </w:rPr>
        <w:t xml:space="preserve">months (range: </w:t>
      </w:r>
      <w:r w:rsidR="00E70C1E" w:rsidRPr="00F17760">
        <w:rPr>
          <w:color w:val="auto"/>
          <w:lang w:val="en-AU"/>
        </w:rPr>
        <w:t>13</w:t>
      </w:r>
      <w:r w:rsidRPr="00F17760">
        <w:rPr>
          <w:color w:val="auto"/>
          <w:lang w:val="en-AU"/>
        </w:rPr>
        <w:t xml:space="preserve"> days to </w:t>
      </w:r>
      <w:r w:rsidR="00E70C1E" w:rsidRPr="00F17760">
        <w:rPr>
          <w:color w:val="auto"/>
          <w:lang w:val="en-AU"/>
        </w:rPr>
        <w:t>12.5</w:t>
      </w:r>
      <w:r w:rsidR="00F17760" w:rsidRPr="00F17760">
        <w:rPr>
          <w:color w:val="auto"/>
          <w:lang w:val="en-AU"/>
        </w:rPr>
        <w:t xml:space="preserve"> </w:t>
      </w:r>
      <w:r w:rsidRPr="00F17760">
        <w:rPr>
          <w:color w:val="auto"/>
          <w:lang w:val="en-AU"/>
        </w:rPr>
        <w:t>months).</w:t>
      </w:r>
      <w:r w:rsidR="00E70C1E" w:rsidRPr="00F17760">
        <w:rPr>
          <w:color w:val="auto"/>
          <w:lang w:val="en-AU"/>
        </w:rPr>
        <w:t xml:space="preserve"> Thirteen</w:t>
      </w:r>
      <w:r w:rsidRPr="00F17760">
        <w:rPr>
          <w:color w:val="auto"/>
          <w:lang w:val="en-AU"/>
        </w:rPr>
        <w:t xml:space="preserve"> patients (</w:t>
      </w:r>
      <w:r w:rsidR="00E70C1E" w:rsidRPr="00F17760">
        <w:rPr>
          <w:color w:val="auto"/>
          <w:lang w:val="en-AU"/>
        </w:rPr>
        <w:t>68.4</w:t>
      </w:r>
      <w:r w:rsidRPr="00F17760">
        <w:rPr>
          <w:color w:val="auto"/>
          <w:lang w:val="en-AU"/>
        </w:rPr>
        <w:t>%) with immune-related skin adverse reactions received high</w:t>
      </w:r>
      <w:r w:rsidRPr="00F17760">
        <w:rPr>
          <w:color w:val="auto"/>
          <w:lang w:val="en-AU"/>
        </w:rPr>
        <w:noBreakHyphen/>
        <w:t xml:space="preserve">dose corticosteroids for a median of 16 days (range: </w:t>
      </w:r>
      <w:r w:rsidR="00E70C1E" w:rsidRPr="00F17760">
        <w:rPr>
          <w:color w:val="auto"/>
          <w:lang w:val="en-AU"/>
        </w:rPr>
        <w:t>4</w:t>
      </w:r>
      <w:r w:rsidRPr="00F17760">
        <w:rPr>
          <w:color w:val="auto"/>
          <w:lang w:val="en-AU"/>
        </w:rPr>
        <w:t xml:space="preserve"> days to 2.6 months). Resolution had occurred in </w:t>
      </w:r>
      <w:r w:rsidR="00E70C1E" w:rsidRPr="00F17760">
        <w:rPr>
          <w:color w:val="auto"/>
          <w:lang w:val="en-AU"/>
        </w:rPr>
        <w:t>11</w:t>
      </w:r>
      <w:r w:rsidR="00F17760" w:rsidRPr="00F17760">
        <w:rPr>
          <w:color w:val="auto"/>
          <w:lang w:val="en-AU"/>
        </w:rPr>
        <w:t xml:space="preserve"> </w:t>
      </w:r>
      <w:r w:rsidRPr="00F17760">
        <w:rPr>
          <w:color w:val="auto"/>
          <w:lang w:val="en-AU"/>
        </w:rPr>
        <w:t>(</w:t>
      </w:r>
      <w:r w:rsidR="00E70C1E" w:rsidRPr="00F17760">
        <w:rPr>
          <w:color w:val="auto"/>
          <w:lang w:val="en-AU"/>
        </w:rPr>
        <w:t>57.9</w:t>
      </w:r>
      <w:r w:rsidRPr="00F17760">
        <w:rPr>
          <w:color w:val="auto"/>
          <w:lang w:val="en-AU"/>
        </w:rPr>
        <w:t>%) of 1</w:t>
      </w:r>
      <w:r w:rsidR="00E70C1E" w:rsidRPr="00F17760">
        <w:rPr>
          <w:color w:val="auto"/>
          <w:lang w:val="en-AU"/>
        </w:rPr>
        <w:t>9</w:t>
      </w:r>
      <w:r w:rsidRPr="00F17760">
        <w:rPr>
          <w:color w:val="auto"/>
          <w:lang w:val="en-AU"/>
        </w:rPr>
        <w:t> patients at the time of data cut-off.</w:t>
      </w:r>
    </w:p>
    <w:p w14:paraId="7A8AA395" w14:textId="77777777" w:rsidR="007D565E" w:rsidRPr="00F17760" w:rsidRDefault="00CD5483">
      <w:pPr>
        <w:pStyle w:val="Heading5"/>
        <w:numPr>
          <w:ilvl w:val="0"/>
          <w:numId w:val="0"/>
        </w:numPr>
        <w:ind w:left="1009" w:hanging="1009"/>
        <w:rPr>
          <w:lang w:val="en-AU"/>
        </w:rPr>
      </w:pPr>
      <w:r w:rsidRPr="00F17760">
        <w:rPr>
          <w:lang w:val="en-AU"/>
        </w:rPr>
        <w:t>Immune-related nephritis</w:t>
      </w:r>
    </w:p>
    <w:p w14:paraId="33B288EF" w14:textId="5D00C331" w:rsidR="007D565E" w:rsidRPr="00F17760" w:rsidRDefault="00CD5483">
      <w:pPr>
        <w:rPr>
          <w:color w:val="auto"/>
          <w:lang w:val="en-AU"/>
        </w:rPr>
      </w:pPr>
      <w:r w:rsidRPr="00F17760">
        <w:rPr>
          <w:color w:val="auto"/>
          <w:lang w:val="en-AU"/>
        </w:rPr>
        <w:t xml:space="preserve">Immune-related nephritis occurred in </w:t>
      </w:r>
      <w:r w:rsidR="00E70C1E" w:rsidRPr="00F17760">
        <w:rPr>
          <w:color w:val="auto"/>
          <w:lang w:val="en-AU"/>
        </w:rPr>
        <w:t>6</w:t>
      </w:r>
      <w:r w:rsidRPr="00F17760">
        <w:rPr>
          <w:color w:val="auto"/>
          <w:lang w:val="en-AU"/>
        </w:rPr>
        <w:t> (0.</w:t>
      </w:r>
      <w:r w:rsidR="00E70C1E" w:rsidRPr="00F17760">
        <w:rPr>
          <w:color w:val="auto"/>
          <w:lang w:val="en-AU"/>
        </w:rPr>
        <w:t>6</w:t>
      </w:r>
      <w:r w:rsidRPr="00F17760">
        <w:rPr>
          <w:color w:val="auto"/>
          <w:lang w:val="en-AU"/>
        </w:rPr>
        <w:t xml:space="preserve">%) of </w:t>
      </w:r>
      <w:r w:rsidR="00E70C1E" w:rsidRPr="00F17760">
        <w:rPr>
          <w:color w:val="auto"/>
          <w:lang w:val="en-AU"/>
        </w:rPr>
        <w:t>1078</w:t>
      </w:r>
      <w:r w:rsidRPr="00F17760">
        <w:rPr>
          <w:color w:val="auto"/>
          <w:lang w:val="en-AU"/>
        </w:rPr>
        <w:t> patients receiving cemiplimab including</w:t>
      </w:r>
      <w:r w:rsidR="00E70C1E" w:rsidRPr="00F17760">
        <w:rPr>
          <w:color w:val="auto"/>
          <w:lang w:val="en-AU"/>
        </w:rPr>
        <w:t xml:space="preserve"> 1 (&lt;0.1%) patient with Grade 5, and </w:t>
      </w:r>
      <w:r w:rsidRPr="00F17760">
        <w:rPr>
          <w:color w:val="auto"/>
          <w:lang w:val="en-AU"/>
        </w:rPr>
        <w:t>2 (0.</w:t>
      </w:r>
      <w:r w:rsidR="00E70C1E" w:rsidRPr="00F17760">
        <w:rPr>
          <w:color w:val="auto"/>
          <w:lang w:val="en-AU"/>
        </w:rPr>
        <w:t>2</w:t>
      </w:r>
      <w:r w:rsidRPr="00F17760">
        <w:rPr>
          <w:color w:val="auto"/>
          <w:lang w:val="en-AU"/>
        </w:rPr>
        <w:t>%) patients with Grade 3 immune-related nephritis. Immune</w:t>
      </w:r>
      <w:r w:rsidRPr="00F17760">
        <w:rPr>
          <w:color w:val="auto"/>
          <w:lang w:val="en-AU"/>
        </w:rPr>
        <w:noBreakHyphen/>
        <w:t xml:space="preserve">related nephritis led to permanent discontinuation of cemiplimab in </w:t>
      </w:r>
      <w:r w:rsidR="00E70C1E" w:rsidRPr="00F17760">
        <w:rPr>
          <w:color w:val="auto"/>
          <w:lang w:val="en-AU"/>
        </w:rPr>
        <w:t>2</w:t>
      </w:r>
      <w:r w:rsidR="00F17760" w:rsidRPr="00F17760">
        <w:rPr>
          <w:color w:val="auto"/>
          <w:lang w:val="en-AU"/>
        </w:rPr>
        <w:t xml:space="preserve"> </w:t>
      </w:r>
      <w:r w:rsidRPr="00F17760">
        <w:rPr>
          <w:color w:val="auto"/>
          <w:lang w:val="en-AU"/>
        </w:rPr>
        <w:t xml:space="preserve">(0.2%) of </w:t>
      </w:r>
      <w:r w:rsidR="00E70C1E" w:rsidRPr="00F17760">
        <w:rPr>
          <w:color w:val="auto"/>
          <w:lang w:val="en-AU"/>
        </w:rPr>
        <w:t>1078</w:t>
      </w:r>
      <w:r w:rsidRPr="00F17760">
        <w:rPr>
          <w:color w:val="auto"/>
          <w:lang w:val="en-AU"/>
        </w:rPr>
        <w:t xml:space="preserve"> patients. Among the </w:t>
      </w:r>
      <w:r w:rsidR="00E70C1E" w:rsidRPr="00F17760">
        <w:rPr>
          <w:color w:val="auto"/>
          <w:lang w:val="en-AU"/>
        </w:rPr>
        <w:t>6</w:t>
      </w:r>
      <w:r w:rsidRPr="00F17760">
        <w:rPr>
          <w:color w:val="auto"/>
          <w:lang w:val="en-AU"/>
        </w:rPr>
        <w:t> patients with immune</w:t>
      </w:r>
      <w:r w:rsidRPr="00F17760">
        <w:rPr>
          <w:color w:val="auto"/>
          <w:lang w:val="en-AU"/>
        </w:rPr>
        <w:noBreakHyphen/>
        <w:t xml:space="preserve">related nephritis, the median time to onset was </w:t>
      </w:r>
      <w:r w:rsidR="00E70C1E" w:rsidRPr="00F17760">
        <w:rPr>
          <w:color w:val="auto"/>
          <w:lang w:val="en-AU"/>
        </w:rPr>
        <w:t>2.2</w:t>
      </w:r>
      <w:r w:rsidR="00F17760" w:rsidRPr="00F17760">
        <w:rPr>
          <w:color w:val="auto"/>
          <w:lang w:val="en-AU"/>
        </w:rPr>
        <w:t xml:space="preserve"> </w:t>
      </w:r>
      <w:r w:rsidRPr="00F17760">
        <w:rPr>
          <w:color w:val="auto"/>
          <w:lang w:val="en-AU"/>
        </w:rPr>
        <w:t xml:space="preserve">months (range: </w:t>
      </w:r>
      <w:r w:rsidR="00E70C1E" w:rsidRPr="00F17760">
        <w:rPr>
          <w:color w:val="auto"/>
          <w:lang w:val="en-AU"/>
        </w:rPr>
        <w:t>14</w:t>
      </w:r>
      <w:r w:rsidRPr="00F17760">
        <w:rPr>
          <w:color w:val="auto"/>
          <w:lang w:val="en-AU"/>
        </w:rPr>
        <w:t xml:space="preserve"> days to </w:t>
      </w:r>
      <w:r w:rsidR="00E70C1E" w:rsidRPr="00F17760">
        <w:rPr>
          <w:color w:val="auto"/>
          <w:lang w:val="en-AU"/>
        </w:rPr>
        <w:t>5.6</w:t>
      </w:r>
      <w:r w:rsidR="00F17760" w:rsidRPr="00F17760">
        <w:rPr>
          <w:color w:val="auto"/>
          <w:lang w:val="en-AU"/>
        </w:rPr>
        <w:t xml:space="preserve"> </w:t>
      </w:r>
      <w:r w:rsidRPr="00F17760">
        <w:rPr>
          <w:color w:val="auto"/>
          <w:lang w:val="en-AU"/>
        </w:rPr>
        <w:t xml:space="preserve">months) and the median duration of nephritis was </w:t>
      </w:r>
      <w:r w:rsidR="00E70C1E" w:rsidRPr="00F17760">
        <w:rPr>
          <w:color w:val="auto"/>
          <w:lang w:val="en-AU"/>
        </w:rPr>
        <w:t>22</w:t>
      </w:r>
      <w:r w:rsidRPr="00F17760">
        <w:rPr>
          <w:color w:val="auto"/>
          <w:lang w:val="en-AU"/>
        </w:rPr>
        <w:t xml:space="preserve"> days (range: 9 days to </w:t>
      </w:r>
      <w:r w:rsidR="00E70C1E" w:rsidRPr="00F17760">
        <w:rPr>
          <w:color w:val="auto"/>
          <w:lang w:val="en-AU"/>
        </w:rPr>
        <w:t>1.6 months</w:t>
      </w:r>
      <w:r w:rsidRPr="00F17760">
        <w:rPr>
          <w:color w:val="auto"/>
          <w:lang w:val="en-AU"/>
        </w:rPr>
        <w:t xml:space="preserve">). </w:t>
      </w:r>
      <w:r w:rsidR="00E70C1E" w:rsidRPr="00F17760">
        <w:rPr>
          <w:color w:val="auto"/>
          <w:lang w:val="en-AU"/>
        </w:rPr>
        <w:t xml:space="preserve">Five </w:t>
      </w:r>
      <w:r w:rsidRPr="00F17760">
        <w:rPr>
          <w:color w:val="auto"/>
          <w:lang w:val="en-AU"/>
        </w:rPr>
        <w:t>(</w:t>
      </w:r>
      <w:r w:rsidR="00E70C1E" w:rsidRPr="00F17760">
        <w:rPr>
          <w:color w:val="auto"/>
          <w:lang w:val="en-AU"/>
        </w:rPr>
        <w:t>83.3</w:t>
      </w:r>
      <w:r w:rsidRPr="00F17760">
        <w:rPr>
          <w:color w:val="auto"/>
          <w:lang w:val="en-AU"/>
        </w:rPr>
        <w:t>%) patients with immune</w:t>
      </w:r>
      <w:r w:rsidRPr="00F17760">
        <w:rPr>
          <w:color w:val="auto"/>
          <w:lang w:val="en-AU"/>
        </w:rPr>
        <w:noBreakHyphen/>
        <w:t xml:space="preserve">related nephritis received high-dose corticosteroids for a median of </w:t>
      </w:r>
      <w:r w:rsidR="00E70C1E" w:rsidRPr="00F17760">
        <w:rPr>
          <w:color w:val="auto"/>
          <w:lang w:val="en-AU"/>
        </w:rPr>
        <w:t>16 days</w:t>
      </w:r>
      <w:r w:rsidR="00F17760" w:rsidRPr="00F17760">
        <w:rPr>
          <w:color w:val="auto"/>
          <w:lang w:val="en-AU"/>
        </w:rPr>
        <w:t xml:space="preserve"> </w:t>
      </w:r>
      <w:r w:rsidRPr="00F17760">
        <w:rPr>
          <w:color w:val="auto"/>
          <w:lang w:val="en-AU"/>
        </w:rPr>
        <w:t xml:space="preserve">(range: </w:t>
      </w:r>
      <w:r w:rsidR="00E70C1E" w:rsidRPr="00F17760">
        <w:rPr>
          <w:color w:val="auto"/>
          <w:lang w:val="en-AU"/>
        </w:rPr>
        <w:t>3</w:t>
      </w:r>
      <w:r w:rsidRPr="00F17760">
        <w:rPr>
          <w:color w:val="auto"/>
          <w:lang w:val="en-AU"/>
        </w:rPr>
        <w:t xml:space="preserve"> days to 2.6 months). Resolution of nephritis had occurred in </w:t>
      </w:r>
      <w:r w:rsidR="00E70C1E" w:rsidRPr="00F17760">
        <w:rPr>
          <w:color w:val="auto"/>
          <w:lang w:val="en-AU"/>
        </w:rPr>
        <w:t>5 (83.3%) of the 6</w:t>
      </w:r>
      <w:r w:rsidR="00E70C1E" w:rsidRPr="00F17760">
        <w:rPr>
          <w:color w:val="auto"/>
          <w:sz w:val="22"/>
          <w:szCs w:val="22"/>
          <w:lang w:val="en-AU"/>
        </w:rPr>
        <w:t> </w:t>
      </w:r>
      <w:r w:rsidRPr="00F17760">
        <w:rPr>
          <w:color w:val="auto"/>
          <w:lang w:val="en-AU"/>
        </w:rPr>
        <w:t>patients at the time of data cut-off.</w:t>
      </w:r>
    </w:p>
    <w:p w14:paraId="633C11C3" w14:textId="77777777" w:rsidR="007D565E" w:rsidRPr="00F17760" w:rsidRDefault="00CD5483">
      <w:pPr>
        <w:pStyle w:val="Heading5"/>
        <w:numPr>
          <w:ilvl w:val="0"/>
          <w:numId w:val="0"/>
        </w:numPr>
        <w:ind w:left="1009" w:hanging="1009"/>
        <w:rPr>
          <w:lang w:val="en-AU"/>
        </w:rPr>
      </w:pPr>
      <w:bookmarkStart w:id="22" w:name="_Hlk113874"/>
      <w:r w:rsidRPr="00F17760">
        <w:rPr>
          <w:lang w:val="en-AU"/>
        </w:rPr>
        <w:t>Other immune-related adverse reactions</w:t>
      </w:r>
    </w:p>
    <w:bookmarkEnd w:id="22"/>
    <w:p w14:paraId="128256FC" w14:textId="27402784" w:rsidR="007D565E" w:rsidRPr="00F17760" w:rsidRDefault="00CD5483">
      <w:pPr>
        <w:rPr>
          <w:color w:val="auto"/>
          <w:lang w:val="en-AU"/>
        </w:rPr>
      </w:pPr>
      <w:r w:rsidRPr="00F17760">
        <w:rPr>
          <w:color w:val="auto"/>
          <w:lang w:val="en-AU"/>
        </w:rPr>
        <w:t xml:space="preserve">The following clinically significant, immune-related adverse reactions occurred at an incidence of less than 1% of </w:t>
      </w:r>
      <w:r w:rsidR="00E70C1E" w:rsidRPr="00F17760">
        <w:rPr>
          <w:color w:val="auto"/>
          <w:lang w:val="en-AU"/>
        </w:rPr>
        <w:t>1078</w:t>
      </w:r>
      <w:r w:rsidR="00F17760" w:rsidRPr="00F17760">
        <w:rPr>
          <w:color w:val="auto"/>
          <w:lang w:val="en-AU"/>
        </w:rPr>
        <w:t xml:space="preserve"> </w:t>
      </w:r>
      <w:r w:rsidRPr="00F17760">
        <w:rPr>
          <w:color w:val="auto"/>
          <w:lang w:val="en-AU"/>
        </w:rPr>
        <w:t xml:space="preserve">patients treated with cemiplimab. The events were Grade 3 or less unless stated otherwise: </w:t>
      </w:r>
    </w:p>
    <w:p w14:paraId="1A97D910" w14:textId="475F92C5" w:rsidR="007D565E" w:rsidRPr="00F17760" w:rsidRDefault="00CD5483" w:rsidP="002E02CC">
      <w:pPr>
        <w:rPr>
          <w:color w:val="auto"/>
          <w:lang w:val="en-AU"/>
        </w:rPr>
      </w:pPr>
      <w:r w:rsidRPr="00F17760">
        <w:rPr>
          <w:i/>
          <w:iCs/>
          <w:color w:val="auto"/>
          <w:lang w:val="en-AU"/>
        </w:rPr>
        <w:t>Nervous system disorders:</w:t>
      </w:r>
      <w:r w:rsidRPr="00F17760">
        <w:rPr>
          <w:color w:val="auto"/>
          <w:lang w:val="en-AU"/>
        </w:rPr>
        <w:t xml:space="preserve"> </w:t>
      </w:r>
      <w:proofErr w:type="spellStart"/>
      <w:r w:rsidRPr="00F17760">
        <w:rPr>
          <w:color w:val="auto"/>
          <w:lang w:val="en-AU"/>
        </w:rPr>
        <w:t>Meningitis</w:t>
      </w:r>
      <w:r w:rsidRPr="00F17760">
        <w:rPr>
          <w:color w:val="auto"/>
          <w:vertAlign w:val="superscript"/>
          <w:lang w:val="en-AU"/>
        </w:rPr>
        <w:t>a</w:t>
      </w:r>
      <w:proofErr w:type="spellEnd"/>
      <w:r w:rsidRPr="00F17760">
        <w:rPr>
          <w:color w:val="auto"/>
          <w:lang w:val="en-AU"/>
        </w:rPr>
        <w:t xml:space="preserve"> (Grade 4), </w:t>
      </w:r>
      <w:r w:rsidR="00527461" w:rsidRPr="00F17760">
        <w:rPr>
          <w:color w:val="auto"/>
          <w:lang w:val="en-AU"/>
        </w:rPr>
        <w:t>p</w:t>
      </w:r>
      <w:r w:rsidRPr="00F17760">
        <w:rPr>
          <w:color w:val="auto"/>
          <w:lang w:val="en-AU"/>
        </w:rPr>
        <w:t xml:space="preserve">araneoplastic encephalomyelitis (Grade 5), Guillain-Barre syndrome, central nervous system inflammation, chronic </w:t>
      </w:r>
      <w:r w:rsidRPr="00F17760">
        <w:rPr>
          <w:color w:val="auto"/>
          <w:lang w:val="en-AU"/>
        </w:rPr>
        <w:lastRenderedPageBreak/>
        <w:t xml:space="preserve">inflammatory demyelinating polyradiculoneuropathy, </w:t>
      </w:r>
      <w:proofErr w:type="spellStart"/>
      <w:r w:rsidRPr="00F17760">
        <w:rPr>
          <w:color w:val="auto"/>
          <w:lang w:val="en-AU"/>
        </w:rPr>
        <w:t>encephalitis</w:t>
      </w:r>
      <w:r w:rsidRPr="00F17760">
        <w:rPr>
          <w:color w:val="auto"/>
          <w:vertAlign w:val="superscript"/>
          <w:lang w:val="en-AU"/>
        </w:rPr>
        <w:t>b</w:t>
      </w:r>
      <w:proofErr w:type="spellEnd"/>
      <w:r w:rsidRPr="00F17760">
        <w:rPr>
          <w:color w:val="auto"/>
          <w:lang w:val="en-AU"/>
        </w:rPr>
        <w:t xml:space="preserve">, myasthenia gravis, </w:t>
      </w:r>
      <w:r w:rsidR="00E70C1E" w:rsidRPr="00F17760">
        <w:rPr>
          <w:color w:val="auto"/>
          <w:lang w:val="en-AU"/>
        </w:rPr>
        <w:t xml:space="preserve">peripheral </w:t>
      </w:r>
      <w:proofErr w:type="spellStart"/>
      <w:r w:rsidRPr="00F17760">
        <w:rPr>
          <w:color w:val="auto"/>
          <w:lang w:val="en-AU"/>
        </w:rPr>
        <w:t>neuropathy</w:t>
      </w:r>
      <w:r w:rsidR="00E70C1E" w:rsidRPr="00F17760">
        <w:rPr>
          <w:color w:val="auto"/>
          <w:vertAlign w:val="superscript"/>
          <w:lang w:val="en-AU"/>
        </w:rPr>
        <w:t>c</w:t>
      </w:r>
      <w:proofErr w:type="spellEnd"/>
    </w:p>
    <w:p w14:paraId="4E6EF182" w14:textId="588603EA" w:rsidR="007D565E" w:rsidRPr="00F17760" w:rsidRDefault="00CD5483">
      <w:pPr>
        <w:rPr>
          <w:color w:val="auto"/>
          <w:lang w:val="en-AU"/>
        </w:rPr>
      </w:pPr>
      <w:r w:rsidRPr="00F17760">
        <w:rPr>
          <w:i/>
          <w:iCs/>
          <w:color w:val="auto"/>
          <w:lang w:val="en-AU"/>
        </w:rPr>
        <w:t>Cardiac Disorders:</w:t>
      </w:r>
      <w:r w:rsidRPr="00F17760">
        <w:rPr>
          <w:color w:val="auto"/>
          <w:lang w:val="en-AU"/>
        </w:rPr>
        <w:t xml:space="preserve"> </w:t>
      </w:r>
      <w:proofErr w:type="spellStart"/>
      <w:r w:rsidRPr="00F17760">
        <w:rPr>
          <w:color w:val="auto"/>
          <w:lang w:val="en-AU"/>
        </w:rPr>
        <w:t>Myocarditis</w:t>
      </w:r>
      <w:r w:rsidRPr="00F17760">
        <w:rPr>
          <w:color w:val="auto"/>
          <w:vertAlign w:val="superscript"/>
          <w:lang w:val="en-AU"/>
        </w:rPr>
        <w:t>d</w:t>
      </w:r>
      <w:proofErr w:type="spellEnd"/>
      <w:r w:rsidRPr="00F17760">
        <w:rPr>
          <w:color w:val="auto"/>
          <w:lang w:val="en-AU"/>
        </w:rPr>
        <w:t xml:space="preserve">, </w:t>
      </w:r>
      <w:proofErr w:type="spellStart"/>
      <w:r w:rsidR="002B4560" w:rsidRPr="00F17760">
        <w:rPr>
          <w:color w:val="auto"/>
          <w:lang w:val="en-AU"/>
        </w:rPr>
        <w:t>p</w:t>
      </w:r>
      <w:r w:rsidRPr="00F17760">
        <w:rPr>
          <w:color w:val="auto"/>
          <w:lang w:val="en-AU"/>
        </w:rPr>
        <w:t>ericarditis</w:t>
      </w:r>
      <w:r w:rsidRPr="00F17760">
        <w:rPr>
          <w:color w:val="auto"/>
          <w:vertAlign w:val="superscript"/>
          <w:lang w:val="en-AU"/>
        </w:rPr>
        <w:t>e</w:t>
      </w:r>
      <w:proofErr w:type="spellEnd"/>
    </w:p>
    <w:p w14:paraId="11E41047" w14:textId="77777777" w:rsidR="007D565E" w:rsidRPr="00F17760" w:rsidRDefault="00CD5483">
      <w:pPr>
        <w:rPr>
          <w:color w:val="auto"/>
          <w:szCs w:val="22"/>
          <w:lang w:val="en-AU"/>
        </w:rPr>
      </w:pPr>
      <w:r w:rsidRPr="00F17760">
        <w:rPr>
          <w:i/>
          <w:iCs/>
          <w:color w:val="auto"/>
          <w:szCs w:val="22"/>
          <w:lang w:val="en-AU"/>
        </w:rPr>
        <w:t>Immune system disorders:</w:t>
      </w:r>
      <w:r w:rsidRPr="00F17760">
        <w:rPr>
          <w:color w:val="auto"/>
          <w:szCs w:val="22"/>
          <w:lang w:val="en-AU"/>
        </w:rPr>
        <w:t xml:space="preserve"> Immune thrombocytopenic purpura</w:t>
      </w:r>
    </w:p>
    <w:p w14:paraId="75512BC3" w14:textId="77777777" w:rsidR="007D565E" w:rsidRPr="00F17760" w:rsidRDefault="00CD5483">
      <w:pPr>
        <w:rPr>
          <w:color w:val="auto"/>
          <w:szCs w:val="22"/>
          <w:lang w:val="en-AU"/>
        </w:rPr>
      </w:pPr>
      <w:r w:rsidRPr="00F17760">
        <w:rPr>
          <w:i/>
          <w:iCs/>
          <w:color w:val="auto"/>
          <w:szCs w:val="22"/>
          <w:lang w:val="en-AU"/>
        </w:rPr>
        <w:t>Vascular disorders:</w:t>
      </w:r>
      <w:r w:rsidRPr="00F17760">
        <w:rPr>
          <w:color w:val="auto"/>
          <w:szCs w:val="22"/>
          <w:lang w:val="en-AU"/>
        </w:rPr>
        <w:t xml:space="preserve"> Vasculitis</w:t>
      </w:r>
    </w:p>
    <w:p w14:paraId="4608CBFB" w14:textId="05D4DF59" w:rsidR="007D565E" w:rsidRPr="00F17760" w:rsidRDefault="00CD5483">
      <w:pPr>
        <w:rPr>
          <w:color w:val="auto"/>
          <w:szCs w:val="22"/>
          <w:lang w:val="en-AU"/>
        </w:rPr>
      </w:pPr>
      <w:r w:rsidRPr="00F17760">
        <w:rPr>
          <w:i/>
          <w:iCs/>
          <w:color w:val="auto"/>
          <w:szCs w:val="22"/>
          <w:lang w:val="en-AU"/>
        </w:rPr>
        <w:t>Musculoskeletal and connective tissue disorders:</w:t>
      </w:r>
      <w:r w:rsidRPr="00F17760">
        <w:rPr>
          <w:color w:val="auto"/>
          <w:szCs w:val="22"/>
          <w:lang w:val="en-AU"/>
        </w:rPr>
        <w:t xml:space="preserve"> Arthralgia, </w:t>
      </w:r>
      <w:proofErr w:type="spellStart"/>
      <w:r w:rsidRPr="00F17760">
        <w:rPr>
          <w:color w:val="auto"/>
          <w:szCs w:val="22"/>
          <w:lang w:val="en-AU"/>
        </w:rPr>
        <w:t>arthritis</w:t>
      </w:r>
      <w:r w:rsidRPr="00F17760">
        <w:rPr>
          <w:color w:val="auto"/>
          <w:szCs w:val="22"/>
          <w:vertAlign w:val="superscript"/>
          <w:lang w:val="en-AU"/>
        </w:rPr>
        <w:t>f</w:t>
      </w:r>
      <w:proofErr w:type="spellEnd"/>
      <w:r w:rsidRPr="00F17760">
        <w:rPr>
          <w:color w:val="auto"/>
          <w:szCs w:val="22"/>
          <w:lang w:val="en-AU"/>
        </w:rPr>
        <w:t>, muscular weakness, myalgia,</w:t>
      </w:r>
      <w:r w:rsidR="00E70C1E" w:rsidRPr="00F17760">
        <w:rPr>
          <w:color w:val="auto"/>
          <w:szCs w:val="22"/>
          <w:lang w:val="en-AU"/>
        </w:rPr>
        <w:t xml:space="preserve"> myositis</w:t>
      </w:r>
      <w:r w:rsidR="00966CC4" w:rsidRPr="00F17760">
        <w:rPr>
          <w:color w:val="auto"/>
          <w:szCs w:val="22"/>
          <w:lang w:val="en-AU"/>
        </w:rPr>
        <w:t>,</w:t>
      </w:r>
      <w:r w:rsidRPr="00F17760">
        <w:rPr>
          <w:color w:val="auto"/>
          <w:szCs w:val="22"/>
          <w:lang w:val="en-AU"/>
        </w:rPr>
        <w:t xml:space="preserve"> polymyalgia rheumatica, Sjogren's syndrome</w:t>
      </w:r>
    </w:p>
    <w:p w14:paraId="673873DA" w14:textId="77777777" w:rsidR="007D565E" w:rsidRPr="00F17760" w:rsidRDefault="00CD5483">
      <w:pPr>
        <w:rPr>
          <w:color w:val="auto"/>
          <w:szCs w:val="22"/>
          <w:lang w:val="en-AU"/>
        </w:rPr>
      </w:pPr>
      <w:r w:rsidRPr="00F17760">
        <w:rPr>
          <w:i/>
          <w:iCs/>
          <w:color w:val="auto"/>
          <w:szCs w:val="22"/>
          <w:lang w:val="en-AU"/>
        </w:rPr>
        <w:t>Eye disorders:</w:t>
      </w:r>
      <w:r w:rsidRPr="00F17760">
        <w:rPr>
          <w:color w:val="auto"/>
          <w:szCs w:val="22"/>
          <w:lang w:val="en-AU"/>
        </w:rPr>
        <w:t xml:space="preserve"> Keratitis</w:t>
      </w:r>
    </w:p>
    <w:p w14:paraId="7BC16EF3" w14:textId="77777777" w:rsidR="007D565E" w:rsidRPr="00F17760" w:rsidRDefault="00CD5483">
      <w:pPr>
        <w:rPr>
          <w:color w:val="auto"/>
          <w:szCs w:val="22"/>
          <w:lang w:val="en-AU"/>
        </w:rPr>
      </w:pPr>
      <w:r w:rsidRPr="00F17760">
        <w:rPr>
          <w:i/>
          <w:iCs/>
          <w:color w:val="auto"/>
          <w:szCs w:val="22"/>
          <w:lang w:val="en-AU"/>
        </w:rPr>
        <w:t>Gastrointestinal disorders:</w:t>
      </w:r>
      <w:r w:rsidRPr="00F17760">
        <w:rPr>
          <w:color w:val="auto"/>
          <w:szCs w:val="22"/>
          <w:lang w:val="en-AU"/>
        </w:rPr>
        <w:t xml:space="preserve"> Stomatitis</w:t>
      </w:r>
    </w:p>
    <w:p w14:paraId="599FA5FD" w14:textId="30287FA1" w:rsidR="007D565E" w:rsidRPr="00F17760" w:rsidRDefault="00CD5483">
      <w:pPr>
        <w:rPr>
          <w:color w:val="auto"/>
          <w:sz w:val="20"/>
          <w:lang w:val="en-AU"/>
        </w:rPr>
      </w:pPr>
      <w:proofErr w:type="spellStart"/>
      <w:r w:rsidRPr="00F17760">
        <w:rPr>
          <w:color w:val="auto"/>
          <w:sz w:val="20"/>
          <w:vertAlign w:val="superscript"/>
          <w:lang w:val="en-AU"/>
        </w:rPr>
        <w:t>a</w:t>
      </w:r>
      <w:proofErr w:type="spellEnd"/>
      <w:r w:rsidRPr="00F17760">
        <w:rPr>
          <w:color w:val="auto"/>
          <w:sz w:val="20"/>
          <w:lang w:val="en-AU"/>
        </w:rPr>
        <w:t xml:space="preserve"> includes meningitis and </w:t>
      </w:r>
      <w:r w:rsidR="00E70C1E" w:rsidRPr="00F17760">
        <w:rPr>
          <w:color w:val="auto"/>
          <w:sz w:val="20"/>
          <w:lang w:val="en-AU"/>
        </w:rPr>
        <w:t xml:space="preserve">aseptic </w:t>
      </w:r>
      <w:r w:rsidRPr="00F17760">
        <w:rPr>
          <w:color w:val="auto"/>
          <w:sz w:val="20"/>
          <w:lang w:val="en-AU"/>
        </w:rPr>
        <w:t>meningitis</w:t>
      </w:r>
      <w:r w:rsidRPr="00F17760">
        <w:rPr>
          <w:color w:val="auto"/>
          <w:sz w:val="20"/>
          <w:lang w:val="en-AU"/>
        </w:rPr>
        <w:br/>
      </w:r>
      <w:r w:rsidRPr="00F17760">
        <w:rPr>
          <w:color w:val="auto"/>
          <w:sz w:val="20"/>
          <w:vertAlign w:val="superscript"/>
          <w:lang w:val="en-AU"/>
        </w:rPr>
        <w:t>b</w:t>
      </w:r>
      <w:r w:rsidRPr="00F17760">
        <w:rPr>
          <w:color w:val="auto"/>
          <w:sz w:val="20"/>
          <w:lang w:val="en-AU"/>
        </w:rPr>
        <w:t xml:space="preserve"> includes encephalitis and noninfective encephalitis</w:t>
      </w:r>
      <w:r w:rsidRPr="00F17760">
        <w:rPr>
          <w:color w:val="auto"/>
          <w:lang w:val="en-AU"/>
        </w:rPr>
        <w:t xml:space="preserve"> </w:t>
      </w:r>
    </w:p>
    <w:p w14:paraId="5CAFBE43" w14:textId="561964E2" w:rsidR="007D565E" w:rsidRPr="00F17760" w:rsidRDefault="00CD5483">
      <w:pPr>
        <w:spacing w:before="0"/>
        <w:rPr>
          <w:color w:val="auto"/>
          <w:sz w:val="20"/>
          <w:lang w:val="en-AU"/>
        </w:rPr>
      </w:pPr>
      <w:r w:rsidRPr="00F17760">
        <w:rPr>
          <w:color w:val="auto"/>
          <w:sz w:val="20"/>
          <w:vertAlign w:val="superscript"/>
          <w:lang w:val="en-AU"/>
        </w:rPr>
        <w:t>c</w:t>
      </w:r>
      <w:r w:rsidRPr="00F17760">
        <w:rPr>
          <w:color w:val="auto"/>
          <w:sz w:val="20"/>
          <w:lang w:val="en-AU"/>
        </w:rPr>
        <w:t xml:space="preserve"> includes neuritis and </w:t>
      </w:r>
      <w:r w:rsidR="00E70C1E" w:rsidRPr="00F17760">
        <w:rPr>
          <w:color w:val="auto"/>
          <w:sz w:val="20"/>
          <w:lang w:val="en-AU"/>
        </w:rPr>
        <w:t xml:space="preserve">peripheral </w:t>
      </w:r>
      <w:r w:rsidRPr="00F17760">
        <w:rPr>
          <w:color w:val="auto"/>
          <w:sz w:val="20"/>
          <w:lang w:val="en-AU"/>
        </w:rPr>
        <w:t>neuropathy</w:t>
      </w:r>
    </w:p>
    <w:p w14:paraId="5D230AFF" w14:textId="4FCB1835" w:rsidR="007D565E" w:rsidRPr="00F17760" w:rsidRDefault="00CD5483">
      <w:pPr>
        <w:spacing w:before="0"/>
        <w:rPr>
          <w:color w:val="auto"/>
          <w:sz w:val="20"/>
          <w:lang w:val="en-AU"/>
        </w:rPr>
      </w:pPr>
      <w:r w:rsidRPr="00F17760">
        <w:rPr>
          <w:color w:val="auto"/>
          <w:sz w:val="20"/>
          <w:vertAlign w:val="superscript"/>
          <w:lang w:val="en-AU"/>
        </w:rPr>
        <w:t>d</w:t>
      </w:r>
      <w:r w:rsidRPr="00F17760">
        <w:rPr>
          <w:color w:val="auto"/>
          <w:sz w:val="20"/>
          <w:lang w:val="en-AU"/>
        </w:rPr>
        <w:t xml:space="preserve"> includes autoimmune myocarditis and myocarditis</w:t>
      </w:r>
    </w:p>
    <w:p w14:paraId="2469BFBD" w14:textId="77777777" w:rsidR="007D565E" w:rsidRPr="00F17760" w:rsidRDefault="00CD5483">
      <w:pPr>
        <w:spacing w:before="0"/>
        <w:rPr>
          <w:color w:val="auto"/>
          <w:sz w:val="20"/>
          <w:lang w:val="en-AU"/>
        </w:rPr>
      </w:pPr>
      <w:r w:rsidRPr="00F17760">
        <w:rPr>
          <w:color w:val="auto"/>
          <w:sz w:val="20"/>
          <w:vertAlign w:val="superscript"/>
          <w:lang w:val="en-AU"/>
        </w:rPr>
        <w:t>e</w:t>
      </w:r>
      <w:r w:rsidRPr="00F17760">
        <w:rPr>
          <w:color w:val="auto"/>
          <w:sz w:val="20"/>
          <w:lang w:val="en-AU"/>
        </w:rPr>
        <w:t xml:space="preserve"> includes autoimmune pericarditis and pericarditis</w:t>
      </w:r>
    </w:p>
    <w:p w14:paraId="07ED8D1B" w14:textId="77777777" w:rsidR="007D565E" w:rsidRPr="00F17760" w:rsidRDefault="00CD5483">
      <w:pPr>
        <w:spacing w:before="0"/>
        <w:rPr>
          <w:color w:val="auto"/>
          <w:sz w:val="20"/>
          <w:lang w:val="en-AU"/>
        </w:rPr>
      </w:pPr>
      <w:r w:rsidRPr="00F17760">
        <w:rPr>
          <w:color w:val="auto"/>
          <w:sz w:val="20"/>
          <w:vertAlign w:val="superscript"/>
          <w:lang w:val="en-AU"/>
        </w:rPr>
        <w:t>f</w:t>
      </w:r>
      <w:r w:rsidRPr="00F17760">
        <w:rPr>
          <w:color w:val="auto"/>
          <w:sz w:val="20"/>
          <w:lang w:val="en-AU"/>
        </w:rPr>
        <w:t xml:space="preserve"> includes arthritis and polyarthritis</w:t>
      </w:r>
    </w:p>
    <w:p w14:paraId="39FE7BE0" w14:textId="77777777" w:rsidR="007D565E" w:rsidRPr="0038119B" w:rsidRDefault="00CD5483">
      <w:pPr>
        <w:pStyle w:val="Heading4"/>
        <w:numPr>
          <w:ilvl w:val="0"/>
          <w:numId w:val="0"/>
        </w:numPr>
        <w:ind w:left="862" w:hanging="862"/>
        <w:rPr>
          <w:lang w:val="en-AU"/>
        </w:rPr>
      </w:pPr>
      <w:r w:rsidRPr="0038119B">
        <w:rPr>
          <w:lang w:val="en-AU"/>
        </w:rPr>
        <w:t>Infusion-related reactions</w:t>
      </w:r>
    </w:p>
    <w:p w14:paraId="72E3029C" w14:textId="3C91297C" w:rsidR="007D565E" w:rsidRPr="00F17760" w:rsidRDefault="00CD5483">
      <w:pPr>
        <w:rPr>
          <w:color w:val="auto"/>
          <w:lang w:val="en-AU"/>
        </w:rPr>
      </w:pPr>
      <w:r w:rsidRPr="0038119B">
        <w:rPr>
          <w:lang w:val="en-AU"/>
        </w:rPr>
        <w:t xml:space="preserve">Infusion-related </w:t>
      </w:r>
      <w:r w:rsidRPr="00F17760">
        <w:rPr>
          <w:color w:val="auto"/>
          <w:lang w:val="en-AU"/>
        </w:rPr>
        <w:t xml:space="preserve">reactions occurred in </w:t>
      </w:r>
      <w:r w:rsidR="00A53565" w:rsidRPr="00F17760">
        <w:rPr>
          <w:color w:val="auto"/>
          <w:lang w:val="en-AU"/>
        </w:rPr>
        <w:t>89</w:t>
      </w:r>
      <w:r w:rsidRPr="00F17760">
        <w:rPr>
          <w:color w:val="auto"/>
          <w:lang w:val="en-AU"/>
        </w:rPr>
        <w:t xml:space="preserve"> (9.1%) of </w:t>
      </w:r>
      <w:r w:rsidR="00A53565" w:rsidRPr="00F17760">
        <w:rPr>
          <w:color w:val="auto"/>
          <w:lang w:val="en-AU"/>
        </w:rPr>
        <w:t>1078</w:t>
      </w:r>
      <w:r w:rsidRPr="00F17760">
        <w:rPr>
          <w:color w:val="auto"/>
          <w:lang w:val="en-AU"/>
        </w:rPr>
        <w:t xml:space="preserve"> patients treated with cemiplimab including </w:t>
      </w:r>
      <w:r w:rsidR="00A53565" w:rsidRPr="00F17760">
        <w:rPr>
          <w:color w:val="auto"/>
          <w:lang w:val="en-AU"/>
        </w:rPr>
        <w:t>2</w:t>
      </w:r>
      <w:r w:rsidRPr="00F17760">
        <w:rPr>
          <w:color w:val="auto"/>
          <w:lang w:val="en-AU"/>
        </w:rPr>
        <w:t> (0.2%) patient</w:t>
      </w:r>
      <w:r w:rsidR="00A53565" w:rsidRPr="00F17760">
        <w:rPr>
          <w:color w:val="auto"/>
          <w:lang w:val="en-AU"/>
        </w:rPr>
        <w:t>s</w:t>
      </w:r>
      <w:r w:rsidRPr="00F17760">
        <w:rPr>
          <w:color w:val="auto"/>
          <w:lang w:val="en-AU"/>
        </w:rPr>
        <w:t xml:space="preserve"> with Grade 3 infusion-related reaction. Infusion-related reaction led to permanent discontinuation of cemiplimab in </w:t>
      </w:r>
      <w:r w:rsidR="00A53565" w:rsidRPr="00F17760">
        <w:rPr>
          <w:color w:val="auto"/>
          <w:lang w:val="en-AU"/>
        </w:rPr>
        <w:t>3</w:t>
      </w:r>
      <w:r w:rsidRPr="00F17760">
        <w:rPr>
          <w:color w:val="auto"/>
          <w:lang w:val="en-AU"/>
        </w:rPr>
        <w:t xml:space="preserve"> (0.3%) patients. The most common symptoms of infusion-related reaction were nausea, pyrexia, vomiting, </w:t>
      </w:r>
      <w:r w:rsidR="00A53565" w:rsidRPr="00F17760">
        <w:rPr>
          <w:color w:val="auto"/>
          <w:lang w:val="en-AU"/>
        </w:rPr>
        <w:t>and rash</w:t>
      </w:r>
      <w:r w:rsidR="00F17760" w:rsidRPr="00F17760">
        <w:rPr>
          <w:color w:val="auto"/>
          <w:lang w:val="en-AU"/>
        </w:rPr>
        <w:t xml:space="preserve">. </w:t>
      </w:r>
      <w:r w:rsidRPr="00F17760">
        <w:rPr>
          <w:color w:val="auto"/>
          <w:lang w:val="en-AU"/>
        </w:rPr>
        <w:t>All patients recovered from the infusion-related reaction.</w:t>
      </w:r>
    </w:p>
    <w:p w14:paraId="09E80A65" w14:textId="77777777" w:rsidR="007D565E" w:rsidRPr="00F17760" w:rsidRDefault="00CD5483">
      <w:pPr>
        <w:pStyle w:val="Heading3"/>
        <w:numPr>
          <w:ilvl w:val="0"/>
          <w:numId w:val="0"/>
        </w:numPr>
        <w:ind w:left="680" w:hanging="680"/>
        <w:rPr>
          <w:lang w:val="en-AU"/>
        </w:rPr>
      </w:pPr>
      <w:r w:rsidRPr="00F17760">
        <w:rPr>
          <w:lang w:val="en-AU"/>
        </w:rPr>
        <w:t>Immunogenicity</w:t>
      </w:r>
    </w:p>
    <w:p w14:paraId="25E37193" w14:textId="130238C5" w:rsidR="007D565E" w:rsidRPr="00F17760" w:rsidRDefault="00CD5483" w:rsidP="00A846E5">
      <w:pPr>
        <w:rPr>
          <w:color w:val="auto"/>
          <w:lang w:val="en-AU"/>
        </w:rPr>
      </w:pPr>
      <w:r w:rsidRPr="00F17760">
        <w:rPr>
          <w:color w:val="auto"/>
          <w:lang w:val="en-AU"/>
        </w:rPr>
        <w:t xml:space="preserve">As with all therapeutic proteins, there is a potential for immunogenicity with cemiplimab. </w:t>
      </w:r>
      <w:bookmarkStart w:id="23" w:name="_Hlk1731578"/>
      <w:r w:rsidR="00A846E5" w:rsidRPr="00F17760">
        <w:rPr>
          <w:color w:val="auto"/>
          <w:lang w:val="en-AU"/>
        </w:rPr>
        <w:t xml:space="preserve">Approximately 2.2% of patients </w:t>
      </w:r>
      <w:r w:rsidRPr="00F17760">
        <w:rPr>
          <w:color w:val="auto"/>
          <w:lang w:val="en-AU"/>
        </w:rPr>
        <w:t>developed</w:t>
      </w:r>
      <w:bookmarkEnd w:id="23"/>
      <w:r w:rsidRPr="00F17760">
        <w:rPr>
          <w:color w:val="auto"/>
          <w:lang w:val="en-AU"/>
        </w:rPr>
        <w:t xml:space="preserve"> treatment-emergent antibodies</w:t>
      </w:r>
      <w:r w:rsidR="00A846E5" w:rsidRPr="00F17760">
        <w:rPr>
          <w:color w:val="auto"/>
          <w:lang w:val="en-AU"/>
        </w:rPr>
        <w:t xml:space="preserve"> to cemiplimab</w:t>
      </w:r>
      <w:r w:rsidRPr="00F17760">
        <w:rPr>
          <w:color w:val="auto"/>
          <w:lang w:val="en-AU"/>
        </w:rPr>
        <w:t xml:space="preserve">, with </w:t>
      </w:r>
      <w:r w:rsidR="00A846E5" w:rsidRPr="00F17760">
        <w:rPr>
          <w:color w:val="auto"/>
          <w:lang w:val="en-AU"/>
        </w:rPr>
        <w:t>approximately 0.4% of</w:t>
      </w:r>
      <w:r w:rsidR="002E02CC" w:rsidRPr="00F17760">
        <w:rPr>
          <w:color w:val="auto"/>
          <w:lang w:val="en-AU"/>
        </w:rPr>
        <w:t xml:space="preserve"> </w:t>
      </w:r>
      <w:r w:rsidRPr="00F17760">
        <w:rPr>
          <w:color w:val="auto"/>
          <w:lang w:val="en-AU"/>
        </w:rPr>
        <w:t>patients exhibiting persistent antibody responses.</w:t>
      </w:r>
      <w:r w:rsidR="00A53565" w:rsidRPr="00F17760">
        <w:rPr>
          <w:color w:val="auto"/>
          <w:lang w:val="en-AU"/>
        </w:rPr>
        <w:t xml:space="preserve"> </w:t>
      </w:r>
      <w:r w:rsidRPr="00F17760">
        <w:rPr>
          <w:color w:val="auto"/>
          <w:lang w:val="en-AU"/>
        </w:rPr>
        <w:t>No neutrali</w:t>
      </w:r>
      <w:r w:rsidR="001A7724" w:rsidRPr="00F17760">
        <w:rPr>
          <w:color w:val="auto"/>
          <w:lang w:val="en-AU"/>
        </w:rPr>
        <w:t>s</w:t>
      </w:r>
      <w:r w:rsidRPr="00F17760">
        <w:rPr>
          <w:color w:val="auto"/>
          <w:lang w:val="en-AU"/>
        </w:rPr>
        <w:t xml:space="preserve">ing antibodies have been observed. There was no evidence of an altered </w:t>
      </w:r>
      <w:r w:rsidR="002B4560" w:rsidRPr="00F17760">
        <w:rPr>
          <w:color w:val="auto"/>
          <w:lang w:val="en-AU"/>
        </w:rPr>
        <w:t xml:space="preserve">PK </w:t>
      </w:r>
      <w:r w:rsidRPr="00F17760">
        <w:rPr>
          <w:color w:val="auto"/>
          <w:lang w:val="en-AU"/>
        </w:rPr>
        <w:t>or safety profile with anti</w:t>
      </w:r>
      <w:r w:rsidRPr="00F17760">
        <w:rPr>
          <w:color w:val="auto"/>
          <w:lang w:val="en-AU"/>
        </w:rPr>
        <w:noBreakHyphen/>
        <w:t>cemiplimab antibody development.</w:t>
      </w:r>
      <w:r w:rsidR="00A846E5" w:rsidRPr="00F17760">
        <w:rPr>
          <w:color w:val="auto"/>
          <w:lang w:val="en-AU"/>
        </w:rPr>
        <w:t xml:space="preserve"> Immunogenicity data are highly dependent on the sensitivity and specificity of the assay as well as other factors. Additionally, the observed incidence of antibody positivity in an assay may be influenced by several factors, including sample handling, timing of sample collection, concomitant medications, and underlying disease. For these reasons, comparison of the incidence of antibodies to cemiplimab with the incidence of antibodies to other products may be misleading.</w:t>
      </w:r>
    </w:p>
    <w:p w14:paraId="11551614" w14:textId="22C2A889" w:rsidR="002E02CC" w:rsidRPr="00F17760" w:rsidRDefault="002E02CC" w:rsidP="002E02CC">
      <w:pPr>
        <w:pStyle w:val="Heading3"/>
        <w:numPr>
          <w:ilvl w:val="0"/>
          <w:numId w:val="0"/>
        </w:numPr>
        <w:ind w:left="680" w:hanging="680"/>
        <w:rPr>
          <w:lang w:val="en-AU"/>
        </w:rPr>
      </w:pPr>
      <w:r w:rsidRPr="00F17760">
        <w:rPr>
          <w:lang w:val="en-AU"/>
        </w:rPr>
        <w:t>Postmarketing Experience</w:t>
      </w:r>
    </w:p>
    <w:p w14:paraId="001B1075" w14:textId="61AF08AF" w:rsidR="002E02CC" w:rsidRPr="00F17760" w:rsidRDefault="002E02CC" w:rsidP="002E02CC">
      <w:pPr>
        <w:rPr>
          <w:color w:val="auto"/>
          <w:lang w:val="en-AU"/>
        </w:rPr>
      </w:pPr>
      <w:r w:rsidRPr="00F17760">
        <w:rPr>
          <w:color w:val="auto"/>
          <w:lang w:val="en-AU"/>
        </w:rPr>
        <w:t xml:space="preserve">The following adverse reactions have been reported during post-approval use of Libtayo. Because these reactions are reported voluntarily from a population of uncertain size, it is not always possible to reliably estimate their frequency or establish a causal relationship to drug exposure (see Section </w:t>
      </w:r>
      <w:r w:rsidRPr="00F17760">
        <w:rPr>
          <w:color w:val="auto"/>
          <w:lang w:val="en-AU"/>
        </w:rPr>
        <w:fldChar w:fldCharType="begin"/>
      </w:r>
      <w:r w:rsidRPr="00F17760">
        <w:rPr>
          <w:color w:val="auto"/>
          <w:lang w:val="en-AU"/>
        </w:rPr>
        <w:instrText xml:space="preserve"> REF _Ref13467260 \r \h  \* MERGEFORMAT </w:instrText>
      </w:r>
      <w:r w:rsidRPr="00F17760">
        <w:rPr>
          <w:color w:val="auto"/>
          <w:lang w:val="en-AU"/>
        </w:rPr>
      </w:r>
      <w:r w:rsidRPr="00F17760">
        <w:rPr>
          <w:color w:val="auto"/>
          <w:lang w:val="en-AU"/>
        </w:rPr>
        <w:fldChar w:fldCharType="separate"/>
      </w:r>
      <w:r w:rsidR="006B35A8">
        <w:rPr>
          <w:color w:val="auto"/>
          <w:lang w:val="en-AU"/>
        </w:rPr>
        <w:t>4.4</w:t>
      </w:r>
      <w:r w:rsidRPr="00F17760">
        <w:rPr>
          <w:color w:val="auto"/>
          <w:lang w:val="en-AU"/>
        </w:rPr>
        <w:fldChar w:fldCharType="end"/>
      </w:r>
      <w:r w:rsidRPr="00F17760">
        <w:rPr>
          <w:color w:val="auto"/>
          <w:lang w:val="en-AU"/>
        </w:rPr>
        <w:t xml:space="preserve"> Special Warnings and Precautions for Use).</w:t>
      </w:r>
    </w:p>
    <w:p w14:paraId="140318EB" w14:textId="5E9CB2F9" w:rsidR="002E02CC" w:rsidRPr="00F17760" w:rsidRDefault="002E02CC" w:rsidP="002E02CC">
      <w:pPr>
        <w:rPr>
          <w:color w:val="auto"/>
          <w:lang w:val="en-AU"/>
        </w:rPr>
      </w:pPr>
      <w:r w:rsidRPr="00F17760">
        <w:rPr>
          <w:i/>
          <w:iCs/>
          <w:color w:val="auto"/>
          <w:lang w:val="en-AU"/>
        </w:rPr>
        <w:lastRenderedPageBreak/>
        <w:t>Immune System Disorder:</w:t>
      </w:r>
      <w:r w:rsidRPr="00F17760">
        <w:rPr>
          <w:color w:val="auto"/>
          <w:lang w:val="en-AU"/>
        </w:rPr>
        <w:t xml:space="preserve"> Solid organ transplant rejection</w:t>
      </w:r>
    </w:p>
    <w:p w14:paraId="2188E6AD" w14:textId="77777777" w:rsidR="007D565E" w:rsidRPr="0038119B" w:rsidRDefault="00CD5483">
      <w:pPr>
        <w:pStyle w:val="Heading3"/>
        <w:numPr>
          <w:ilvl w:val="0"/>
          <w:numId w:val="0"/>
        </w:numPr>
        <w:ind w:left="680" w:hanging="680"/>
        <w:rPr>
          <w:lang w:val="en-AU"/>
        </w:rPr>
      </w:pPr>
      <w:r w:rsidRPr="0038119B">
        <w:rPr>
          <w:lang w:val="en-AU"/>
        </w:rPr>
        <w:t>Reporting of suspected adverse reactions</w:t>
      </w:r>
    </w:p>
    <w:p w14:paraId="36B59A99" w14:textId="542E515A" w:rsidR="007D565E" w:rsidRPr="0038119B" w:rsidRDefault="00CD5483" w:rsidP="00011BC3">
      <w:pPr>
        <w:rPr>
          <w:lang w:val="en-AU"/>
        </w:rPr>
      </w:pPr>
      <w:r w:rsidRPr="0038119B">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38119B">
          <w:rPr>
            <w:lang w:val="en-AU"/>
          </w:rPr>
          <w:t>www.tga.gov.au/reporting-problems</w:t>
        </w:r>
      </w:hyperlink>
      <w:r w:rsidRPr="0038119B">
        <w:rPr>
          <w:lang w:val="en-AU"/>
        </w:rPr>
        <w:t>.</w:t>
      </w:r>
    </w:p>
    <w:p w14:paraId="6FF8AE54" w14:textId="77777777" w:rsidR="007D565E" w:rsidRPr="0038119B" w:rsidRDefault="00CD5483" w:rsidP="00011BC3">
      <w:pPr>
        <w:pStyle w:val="Heading2"/>
        <w:rPr>
          <w:lang w:val="en-AU"/>
        </w:rPr>
      </w:pPr>
      <w:r w:rsidRPr="0038119B">
        <w:rPr>
          <w:lang w:val="en-AU"/>
        </w:rPr>
        <w:t>Overdose</w:t>
      </w:r>
    </w:p>
    <w:p w14:paraId="3244C90C" w14:textId="4F533734" w:rsidR="007D565E" w:rsidRPr="0038119B" w:rsidRDefault="00CD5483">
      <w:pPr>
        <w:rPr>
          <w:lang w:val="en-AU"/>
        </w:rPr>
      </w:pPr>
      <w:r w:rsidRPr="0038119B">
        <w:rPr>
          <w:lang w:val="en-AU"/>
        </w:rPr>
        <w:t>In case of overdose, patients should be closely monitored for signs or symptoms of adverse reactions, and appropriate symptomatic treatment instituted.</w:t>
      </w:r>
    </w:p>
    <w:p w14:paraId="13E1A701" w14:textId="77777777" w:rsidR="007D565E" w:rsidRPr="0038119B" w:rsidRDefault="00CD5483">
      <w:pPr>
        <w:rPr>
          <w:lang w:val="en-AU"/>
        </w:rPr>
      </w:pPr>
      <w:r w:rsidRPr="0038119B">
        <w:rPr>
          <w:lang w:val="en-AU"/>
        </w:rPr>
        <w:t>For general advice on overdose management, contact the Poisons Information Centre at telephone number 13 11 26.</w:t>
      </w:r>
    </w:p>
    <w:p w14:paraId="52D09C71" w14:textId="77777777" w:rsidR="007D565E" w:rsidRPr="0038119B" w:rsidRDefault="00CD5483">
      <w:pPr>
        <w:pStyle w:val="Heading1"/>
        <w:pageBreakBefore w:val="0"/>
        <w:rPr>
          <w:lang w:val="en-AU"/>
        </w:rPr>
      </w:pPr>
      <w:r w:rsidRPr="0038119B">
        <w:rPr>
          <w:lang w:val="en-AU"/>
        </w:rPr>
        <w:t>Pharmacological properties</w:t>
      </w:r>
    </w:p>
    <w:p w14:paraId="280E750B" w14:textId="77777777" w:rsidR="007D565E" w:rsidRPr="0038119B" w:rsidRDefault="00CD5483">
      <w:pPr>
        <w:pStyle w:val="Heading2"/>
        <w:rPr>
          <w:lang w:val="en-AU"/>
        </w:rPr>
      </w:pPr>
      <w:bookmarkStart w:id="24" w:name="_Ref13466766"/>
      <w:r w:rsidRPr="0038119B">
        <w:rPr>
          <w:lang w:val="en-AU"/>
        </w:rPr>
        <w:t>Pharmacodynamic properties</w:t>
      </w:r>
      <w:bookmarkEnd w:id="24"/>
      <w:r w:rsidRPr="0038119B">
        <w:rPr>
          <w:lang w:val="en-AU"/>
        </w:rPr>
        <w:t xml:space="preserve"> </w:t>
      </w:r>
    </w:p>
    <w:p w14:paraId="4DACE03E" w14:textId="0709CCB7" w:rsidR="007D565E" w:rsidRPr="0038119B" w:rsidRDefault="00CD5483">
      <w:pPr>
        <w:rPr>
          <w:lang w:val="en-AU"/>
        </w:rPr>
      </w:pPr>
      <w:r w:rsidRPr="0038119B">
        <w:rPr>
          <w:lang w:val="en-AU"/>
        </w:rPr>
        <w:t>Pharmacotherapeutic group: Antineoplastic agents, monoclonal antibodies. ATC code: L01XC33.</w:t>
      </w:r>
    </w:p>
    <w:p w14:paraId="7C237BAB" w14:textId="77777777" w:rsidR="007D565E" w:rsidRPr="0038119B" w:rsidRDefault="00CD5483">
      <w:pPr>
        <w:pStyle w:val="Heading3"/>
        <w:numPr>
          <w:ilvl w:val="0"/>
          <w:numId w:val="0"/>
        </w:numPr>
        <w:ind w:left="680" w:hanging="680"/>
        <w:rPr>
          <w:lang w:val="en-AU"/>
        </w:rPr>
      </w:pPr>
      <w:r w:rsidRPr="0038119B">
        <w:rPr>
          <w:lang w:val="en-AU"/>
        </w:rPr>
        <w:t>Mechanism of action</w:t>
      </w:r>
    </w:p>
    <w:p w14:paraId="784C4475" w14:textId="77777777" w:rsidR="007D565E" w:rsidRPr="0038119B" w:rsidRDefault="00CD5483" w:rsidP="00731E66">
      <w:pPr>
        <w:jc w:val="both"/>
        <w:rPr>
          <w:lang w:val="en-AU"/>
        </w:rPr>
      </w:pPr>
      <w:r w:rsidRPr="0038119B">
        <w:rPr>
          <w:lang w:val="en-AU"/>
        </w:rPr>
        <w:t>Cemiplimab is a fully human immunoglobulin G4 (IgG4) monoclonal antibody that binds to the programmed cell death-1 (PD-1) receptor and blocks its interaction with its ligands PD-L1 and PD-L2. Engagement of PD-1 with its ligands PD-L1 and PD-L2, which are expressed by antigen presenting cells and may be expressed by tumour cells and/or other cells in the tumour microenvironment, results in inhibition of T cell function such as proliferation, cytokine secretion, and cytotoxic activity. Cemiplimab potentiates T cell responses, including anti-tumour responses, through blockade of PD-1 binding to PD-L1 and PD-L2 ligands.</w:t>
      </w:r>
    </w:p>
    <w:p w14:paraId="20EB27BB" w14:textId="49F3AA98" w:rsidR="007D565E" w:rsidRPr="0038119B" w:rsidRDefault="00CD5483">
      <w:pPr>
        <w:pStyle w:val="Heading3"/>
        <w:numPr>
          <w:ilvl w:val="0"/>
          <w:numId w:val="0"/>
        </w:numPr>
        <w:ind w:left="680" w:hanging="680"/>
        <w:rPr>
          <w:lang w:val="en-AU"/>
        </w:rPr>
      </w:pPr>
      <w:r w:rsidRPr="0038119B">
        <w:rPr>
          <w:lang w:val="en-AU"/>
        </w:rPr>
        <w:t xml:space="preserve">Clinical </w:t>
      </w:r>
      <w:r w:rsidR="008329D4" w:rsidRPr="004B546E">
        <w:rPr>
          <w:lang w:val="en-AU"/>
        </w:rPr>
        <w:t>trials</w:t>
      </w:r>
    </w:p>
    <w:p w14:paraId="73330421" w14:textId="763CAEE1" w:rsidR="00C47C5D" w:rsidRPr="00F17760" w:rsidRDefault="00C47C5D" w:rsidP="00C47C5D">
      <w:pPr>
        <w:pStyle w:val="Heading4"/>
        <w:numPr>
          <w:ilvl w:val="0"/>
          <w:numId w:val="0"/>
        </w:numPr>
        <w:ind w:left="862" w:hanging="862"/>
        <w:rPr>
          <w:lang w:val="en-AU"/>
        </w:rPr>
      </w:pPr>
      <w:r w:rsidRPr="00F17760">
        <w:rPr>
          <w:lang w:val="en-AU"/>
        </w:rPr>
        <w:t>CSCC</w:t>
      </w:r>
    </w:p>
    <w:p w14:paraId="785FE1B5" w14:textId="28A0257A" w:rsidR="007D565E" w:rsidRPr="0038119B" w:rsidRDefault="00CD5483">
      <w:pPr>
        <w:rPr>
          <w:lang w:val="en-AU"/>
        </w:rPr>
      </w:pPr>
      <w:r w:rsidRPr="0038119B">
        <w:rPr>
          <w:lang w:val="en-AU"/>
        </w:rPr>
        <w:t>The efficacy and safety of cemiplimab in patients with mCSCC</w:t>
      </w:r>
      <w:r w:rsidR="002B4560" w:rsidRPr="0038119B">
        <w:rPr>
          <w:lang w:val="en-AU"/>
        </w:rPr>
        <w:t xml:space="preserve"> (nodal or distant)</w:t>
      </w:r>
      <w:r w:rsidRPr="0038119B">
        <w:rPr>
          <w:lang w:val="en-AU"/>
        </w:rPr>
        <w:t xml:space="preserve"> or laCSCC who were not candidates for curative surgery or curative radiation were studied in clinical trial R2810-ONC-1540 (Study 1540). Study 1540 was a phase 2, open label, multi-centre study that enrolled 193 patients with mCSCC or laCSCC with a combined median </w:t>
      </w:r>
      <w:r w:rsidR="00765536" w:rsidRPr="0038119B">
        <w:rPr>
          <w:lang w:val="en-AU"/>
        </w:rPr>
        <w:t xml:space="preserve">duration of </w:t>
      </w:r>
      <w:r w:rsidRPr="0038119B">
        <w:rPr>
          <w:lang w:val="en-AU"/>
        </w:rPr>
        <w:t xml:space="preserve">follow up time of 9.4 months total. Median duration of follow up was 16.5 months for the mCSCC 3 mg/kg every 2 weeks (Q2W) group, 9.3 months for the laCSCC 3 mg/kg Q2W group and 8.1 months for the mCSCC 350 mg every 3 weeks (Q3W) group. </w:t>
      </w:r>
    </w:p>
    <w:p w14:paraId="1162E67A" w14:textId="64241CEF" w:rsidR="007D565E" w:rsidRPr="0038119B" w:rsidRDefault="00CD5483">
      <w:pPr>
        <w:rPr>
          <w:lang w:val="en-AU"/>
        </w:rPr>
      </w:pPr>
      <w:r w:rsidRPr="0038119B">
        <w:rPr>
          <w:lang w:val="en-AU"/>
        </w:rPr>
        <w:lastRenderedPageBreak/>
        <w:t>Patients with any of the following were excluded: autoimmune disease that required systemic therapy with immunosuppressant agents within 5 years; history of solid organ transplant; history of pneumonitis within the last 5 years; prior treatment with anti PD-1/PD-L1 or other immune checkpoint inhibitor therapy; active infection requiring therapy, including known infection with human immunodeficiency virus, or active infection with hepatitis B or hepatitis C virus;  chronic lymphocytic leukaemia (CLL); brain metastases or Eastern Cooperative Oncology Group (ECOG) performance score</w:t>
      </w:r>
      <w:r w:rsidR="005B090A" w:rsidRPr="0038119B">
        <w:rPr>
          <w:lang w:val="en-AU"/>
        </w:rPr>
        <w:t xml:space="preserve"> (PS)</w:t>
      </w:r>
      <w:r w:rsidRPr="0038119B">
        <w:rPr>
          <w:lang w:val="en-AU"/>
        </w:rPr>
        <w:t xml:space="preserve"> ≥2.</w:t>
      </w:r>
    </w:p>
    <w:p w14:paraId="1A308467" w14:textId="1F2C923B" w:rsidR="007D565E" w:rsidRPr="0038119B" w:rsidRDefault="00CD5483" w:rsidP="000B689F">
      <w:pPr>
        <w:rPr>
          <w:color w:val="0070C0"/>
          <w:u w:val="double"/>
          <w:lang w:val="en-AU"/>
        </w:rPr>
      </w:pPr>
      <w:r w:rsidRPr="0038119B">
        <w:rPr>
          <w:lang w:val="en-AU"/>
        </w:rPr>
        <w:t>In Study 1540, patients received cemiplimab</w:t>
      </w:r>
      <w:r w:rsidR="00C47C5D" w:rsidRPr="0038119B">
        <w:rPr>
          <w:lang w:val="en-AU"/>
        </w:rPr>
        <w:t xml:space="preserve"> </w:t>
      </w:r>
      <w:r w:rsidRPr="0038119B">
        <w:rPr>
          <w:lang w:val="en-AU"/>
        </w:rPr>
        <w:t xml:space="preserve">until progression of disease, unacceptable </w:t>
      </w:r>
      <w:proofErr w:type="gramStart"/>
      <w:r w:rsidRPr="0038119B">
        <w:rPr>
          <w:lang w:val="en-AU"/>
        </w:rPr>
        <w:t>toxicity</w:t>
      </w:r>
      <w:proofErr w:type="gramEnd"/>
      <w:r w:rsidRPr="0038119B">
        <w:rPr>
          <w:lang w:val="en-AU"/>
        </w:rPr>
        <w:t xml:space="preserve"> or completion of planned treatment [3 mg/kg Q2W for 96 weeks or 350 mg Q3W for 54 weeks]. If patients with locally advanced disease showed sufficient response to treatment, surgery with curative intent was permitted. Tumour response assessments were performed every 8 or 9 weeks (for patients receiving 3 mg/kg Q2W or 350 mg Q3W, respectively). The primary endpoint of Study 1540 was confirmed </w:t>
      </w:r>
      <w:r w:rsidRPr="00EC6104">
        <w:rPr>
          <w:lang w:val="en-AU"/>
        </w:rPr>
        <w:t>objective response rate (</w:t>
      </w:r>
      <w:r w:rsidRPr="0038119B">
        <w:rPr>
          <w:lang w:val="en-AU"/>
        </w:rPr>
        <w:t>ORR</w:t>
      </w:r>
      <w:r w:rsidRPr="00EC6104">
        <w:rPr>
          <w:lang w:val="en-AU"/>
        </w:rPr>
        <w:t>)</w:t>
      </w:r>
      <w:r w:rsidR="000B689F" w:rsidRPr="0038119B">
        <w:rPr>
          <w:lang w:val="en-AU"/>
        </w:rPr>
        <w:t>,</w:t>
      </w:r>
      <w:r w:rsidRPr="0038119B">
        <w:rPr>
          <w:lang w:val="en-AU"/>
        </w:rPr>
        <w:t xml:space="preserve"> as assessed by independent central review (ICR). For patients with mCSCC without externally visible target lesions, ORR was determined by Response Evaluation Criteria in Solid Tumours (RECIST 1.1). For patients with externally visible target lesions (laCSCC and mCSCC), ORR was determined by a composite endpoint that integrated ICR assessments of radiologic data (RECIST 1.1) and digital medical photography (WHO criteria). The key secondary endpoint was duration of response (DOR) by ICR. Other secondary endpoints included </w:t>
      </w:r>
      <w:r w:rsidR="005B090A" w:rsidRPr="0038119B">
        <w:rPr>
          <w:lang w:val="en-AU"/>
        </w:rPr>
        <w:t>O</w:t>
      </w:r>
      <w:r w:rsidR="000172EC" w:rsidRPr="0038119B">
        <w:rPr>
          <w:lang w:val="en-AU"/>
        </w:rPr>
        <w:t>R</w:t>
      </w:r>
      <w:r w:rsidR="005B090A" w:rsidRPr="0038119B">
        <w:rPr>
          <w:lang w:val="en-AU"/>
        </w:rPr>
        <w:t xml:space="preserve">R and </w:t>
      </w:r>
      <w:r w:rsidRPr="0038119B">
        <w:rPr>
          <w:lang w:val="en-AU"/>
        </w:rPr>
        <w:t xml:space="preserve">DOR by </w:t>
      </w:r>
      <w:r w:rsidR="005B090A" w:rsidRPr="0038119B">
        <w:rPr>
          <w:lang w:val="en-AU"/>
        </w:rPr>
        <w:t xml:space="preserve">investigator </w:t>
      </w:r>
      <w:r w:rsidRPr="0038119B">
        <w:rPr>
          <w:lang w:val="en-AU"/>
        </w:rPr>
        <w:t xml:space="preserve">assessment (IA), progression free survival (PFS) </w:t>
      </w:r>
      <w:r w:rsidRPr="00EC6104">
        <w:rPr>
          <w:lang w:val="en-AU"/>
        </w:rPr>
        <w:t>by ICR and IA</w:t>
      </w:r>
      <w:r w:rsidRPr="0038119B">
        <w:rPr>
          <w:lang w:val="en-AU"/>
        </w:rPr>
        <w:t xml:space="preserve">, overall survival (OS), </w:t>
      </w:r>
      <w:r w:rsidRPr="00EC6104">
        <w:rPr>
          <w:lang w:val="en-AU"/>
        </w:rPr>
        <w:t>complete response rate (</w:t>
      </w:r>
      <w:r w:rsidRPr="0038119B">
        <w:rPr>
          <w:lang w:val="en-AU"/>
        </w:rPr>
        <w:t>CR</w:t>
      </w:r>
      <w:r w:rsidRPr="00EC6104">
        <w:rPr>
          <w:lang w:val="en-AU"/>
        </w:rPr>
        <w:t>) by ICR</w:t>
      </w:r>
      <w:r w:rsidRPr="0038119B">
        <w:rPr>
          <w:lang w:val="en-AU"/>
        </w:rPr>
        <w:t xml:space="preserve">, </w:t>
      </w:r>
      <w:r w:rsidRPr="00EC6104">
        <w:rPr>
          <w:lang w:val="en-AU"/>
        </w:rPr>
        <w:t>and change in scores in patient reported outcomes on the</w:t>
      </w:r>
      <w:r w:rsidRPr="0038119B">
        <w:rPr>
          <w:lang w:val="en-AU"/>
        </w:rPr>
        <w:t xml:space="preserve"> European Organisation for Research and Treatment of Cancer (EORTC) Quality of Life Questionnaire (EORTC QLQ-C30)</w:t>
      </w:r>
      <w:r w:rsidR="00C47C5D" w:rsidRPr="00EC6104">
        <w:rPr>
          <w:lang w:val="en-AU"/>
        </w:rPr>
        <w:t>.</w:t>
      </w:r>
    </w:p>
    <w:p w14:paraId="52543218" w14:textId="36A1F7B6" w:rsidR="007D565E" w:rsidRPr="0038119B" w:rsidRDefault="00CD5483">
      <w:pPr>
        <w:rPr>
          <w:lang w:val="en-AU"/>
        </w:rPr>
      </w:pPr>
      <w:r w:rsidRPr="0038119B">
        <w:rPr>
          <w:lang w:val="en-AU"/>
        </w:rPr>
        <w:t xml:space="preserve">Results are presented from 193 patients in Study 1540. Of these 193 patients, 115 had mCSCC and 78 had laCSCC. The median age was 72 years (range: 38 to 96): Seventy-eight (40.4%) patients were 75 years or older, 66 patients (34.2%) were 65 to less than 75 years, and 49 patients (25.4%) were less than 65 years. A total of 161 (83.4%) patients were male, and 187 (96.9%) patients were White; the ECOG </w:t>
      </w:r>
      <w:r w:rsidR="005B090A" w:rsidRPr="0038119B">
        <w:rPr>
          <w:lang w:val="en-AU"/>
        </w:rPr>
        <w:t>PS</w:t>
      </w:r>
      <w:r w:rsidRPr="0038119B">
        <w:rPr>
          <w:lang w:val="en-AU"/>
        </w:rPr>
        <w:t xml:space="preserve"> was 0 (44.6%) and</w:t>
      </w:r>
      <w:r w:rsidR="00FF3DB8" w:rsidRPr="0038119B">
        <w:rPr>
          <w:lang w:val="en-AU"/>
        </w:rPr>
        <w:t xml:space="preserve"> </w:t>
      </w:r>
      <w:r w:rsidRPr="0038119B">
        <w:rPr>
          <w:lang w:val="en-AU"/>
        </w:rPr>
        <w:t xml:space="preserve">1 (55.4%). Thirty-three and 7/10 per cent (33.7%) of patients had received at least 1 prior anti-cancer systemic therapy, 90.2% of patients had received prior cancer related surgery, and 67.9% of patients had received prior radiotherapy. Among patients with mCSCC, 76.5% had distant metastases, and 22.6% had only nodal metastases. </w:t>
      </w:r>
    </w:p>
    <w:p w14:paraId="031291EC" w14:textId="13923703" w:rsidR="007D565E" w:rsidRPr="0038119B" w:rsidRDefault="00CD5483">
      <w:pPr>
        <w:rPr>
          <w:lang w:val="en-AU"/>
        </w:rPr>
      </w:pPr>
      <w:r w:rsidRPr="0038119B">
        <w:rPr>
          <w:lang w:val="en-AU"/>
        </w:rPr>
        <w:t xml:space="preserve">Efficacy results for Study 1540 are presented in </w:t>
      </w:r>
      <w:r w:rsidRPr="0038119B">
        <w:rPr>
          <w:color w:val="0000FF"/>
          <w:lang w:val="en-AU"/>
        </w:rPr>
        <w:fldChar w:fldCharType="begin"/>
      </w:r>
      <w:r w:rsidRPr="0038119B">
        <w:rPr>
          <w:color w:val="0000FF"/>
          <w:lang w:val="en-AU"/>
        </w:rPr>
        <w:instrText xml:space="preserve"> REF _Ref13467392 \h  \* MERGEFORMAT </w:instrText>
      </w:r>
      <w:r w:rsidRPr="0038119B">
        <w:rPr>
          <w:color w:val="0000FF"/>
          <w:lang w:val="en-AU"/>
        </w:rPr>
      </w:r>
      <w:r w:rsidRPr="0038119B">
        <w:rPr>
          <w:color w:val="0000FF"/>
          <w:lang w:val="en-AU"/>
        </w:rPr>
        <w:fldChar w:fldCharType="separate"/>
      </w:r>
      <w:r w:rsidR="006B35A8" w:rsidRPr="006B35A8">
        <w:rPr>
          <w:color w:val="0000FF"/>
          <w:lang w:val="en-AU"/>
        </w:rPr>
        <w:t>Table 3</w:t>
      </w:r>
      <w:r w:rsidRPr="0038119B">
        <w:rPr>
          <w:color w:val="0000FF"/>
          <w:lang w:val="en-AU"/>
        </w:rPr>
        <w:fldChar w:fldCharType="end"/>
      </w:r>
      <w:r w:rsidRPr="0038119B">
        <w:rPr>
          <w:color w:val="auto"/>
          <w:lang w:val="en-AU"/>
        </w:rPr>
        <w:t>.</w:t>
      </w:r>
    </w:p>
    <w:p w14:paraId="7A74BDFB" w14:textId="2C4785C3" w:rsidR="007D565E" w:rsidRPr="0038119B" w:rsidRDefault="00CD5483">
      <w:pPr>
        <w:pStyle w:val="Caption"/>
        <w:rPr>
          <w:rFonts w:eastAsiaTheme="minorHAnsi"/>
          <w:lang w:val="en-AU"/>
        </w:rPr>
      </w:pPr>
      <w:r w:rsidRPr="0038119B">
        <w:rPr>
          <w:lang w:val="en-AU"/>
        </w:rPr>
        <w:lastRenderedPageBreak/>
        <w:t xml:space="preserve"> </w:t>
      </w:r>
      <w:bookmarkStart w:id="25" w:name="_Ref13467392"/>
      <w:r w:rsidRPr="0038119B">
        <w:rPr>
          <w:lang w:val="en-AU"/>
        </w:rPr>
        <w:t>Table </w:t>
      </w:r>
      <w:r w:rsidRPr="0038119B">
        <w:rPr>
          <w:lang w:val="en-AU"/>
        </w:rPr>
        <w:fldChar w:fldCharType="begin"/>
      </w:r>
      <w:r w:rsidRPr="0038119B">
        <w:rPr>
          <w:lang w:val="en-AU"/>
        </w:rPr>
        <w:instrText xml:space="preserve"> SEQ Table \* ARABIC </w:instrText>
      </w:r>
      <w:r w:rsidRPr="0038119B">
        <w:rPr>
          <w:lang w:val="en-AU"/>
        </w:rPr>
        <w:fldChar w:fldCharType="separate"/>
      </w:r>
      <w:r w:rsidR="006B35A8">
        <w:rPr>
          <w:noProof/>
          <w:lang w:val="en-AU"/>
        </w:rPr>
        <w:t>3</w:t>
      </w:r>
      <w:r w:rsidRPr="0038119B">
        <w:rPr>
          <w:lang w:val="en-AU"/>
        </w:rPr>
        <w:fldChar w:fldCharType="end"/>
      </w:r>
      <w:bookmarkEnd w:id="25"/>
      <w:r w:rsidRPr="0038119B">
        <w:rPr>
          <w:lang w:val="en-AU"/>
        </w:rPr>
        <w:t xml:space="preserve"> ­ </w:t>
      </w:r>
      <w:r w:rsidRPr="0038119B">
        <w:rPr>
          <w:rFonts w:eastAsiaTheme="minorHAnsi"/>
          <w:lang w:val="en-AU"/>
        </w:rPr>
        <w:t>Efficacy results: Study 1540 - metastatic CSCC by dosing group, locally advanced CSCC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056"/>
        <w:gridCol w:w="2056"/>
        <w:gridCol w:w="1912"/>
      </w:tblGrid>
      <w:tr w:rsidR="007D565E" w:rsidRPr="0038119B" w14:paraId="1607EA57" w14:textId="77777777" w:rsidTr="00B0158D">
        <w:trPr>
          <w:cantSplit/>
          <w:tblHeader/>
          <w:jc w:val="center"/>
        </w:trPr>
        <w:tc>
          <w:tcPr>
            <w:tcW w:w="3261" w:type="dxa"/>
            <w:shd w:val="clear" w:color="auto" w:fill="auto"/>
          </w:tcPr>
          <w:p w14:paraId="6BA94FAD" w14:textId="7F11F765" w:rsidR="007D565E" w:rsidRPr="00F17760" w:rsidRDefault="00C47C5D">
            <w:pPr>
              <w:pStyle w:val="TblHeadingCenter"/>
              <w:rPr>
                <w:lang w:val="en-AU"/>
              </w:rPr>
            </w:pPr>
            <w:r w:rsidRPr="00F17760">
              <w:rPr>
                <w:lang w:val="en-AU"/>
              </w:rPr>
              <w:t>Efficacy endpoints</w:t>
            </w:r>
          </w:p>
        </w:tc>
        <w:tc>
          <w:tcPr>
            <w:tcW w:w="1979" w:type="dxa"/>
            <w:shd w:val="clear" w:color="auto" w:fill="auto"/>
          </w:tcPr>
          <w:p w14:paraId="59629C9A" w14:textId="77777777" w:rsidR="007D565E" w:rsidRPr="0038119B" w:rsidRDefault="00CD5483">
            <w:pPr>
              <w:pStyle w:val="TblHeadingCenter"/>
              <w:rPr>
                <w:lang w:val="en-AU"/>
              </w:rPr>
            </w:pPr>
            <w:r w:rsidRPr="0038119B">
              <w:rPr>
                <w:lang w:val="en-AU"/>
              </w:rPr>
              <w:t xml:space="preserve">mCSCC </w:t>
            </w:r>
          </w:p>
          <w:p w14:paraId="371EAA6B" w14:textId="77777777" w:rsidR="007D565E" w:rsidRPr="0038119B" w:rsidRDefault="00CD5483">
            <w:pPr>
              <w:pStyle w:val="TblHeadingCenter"/>
              <w:rPr>
                <w:lang w:val="en-AU"/>
              </w:rPr>
            </w:pPr>
            <w:r w:rsidRPr="0038119B">
              <w:rPr>
                <w:lang w:val="en-AU"/>
              </w:rPr>
              <w:t xml:space="preserve">cemiplimab: </w:t>
            </w:r>
            <w:r w:rsidRPr="0038119B">
              <w:rPr>
                <w:lang w:val="en-AU"/>
              </w:rPr>
              <w:br/>
              <w:t>3 mg/kg Q2W</w:t>
            </w:r>
          </w:p>
          <w:p w14:paraId="2E7CA8FC" w14:textId="77777777" w:rsidR="007D565E" w:rsidRPr="0038119B" w:rsidRDefault="00CD5483">
            <w:pPr>
              <w:pStyle w:val="TblHeadingCenter"/>
              <w:rPr>
                <w:lang w:val="en-AU"/>
              </w:rPr>
            </w:pPr>
            <w:r w:rsidRPr="0038119B">
              <w:rPr>
                <w:lang w:val="en-AU"/>
              </w:rPr>
              <w:t>(Group 1)</w:t>
            </w:r>
          </w:p>
          <w:p w14:paraId="7F6B846A" w14:textId="77777777" w:rsidR="007D565E" w:rsidRPr="0038119B" w:rsidRDefault="00CD5483">
            <w:pPr>
              <w:pStyle w:val="TblHeadingCenter"/>
              <w:rPr>
                <w:lang w:val="en-AU"/>
              </w:rPr>
            </w:pPr>
            <w:r w:rsidRPr="0038119B">
              <w:rPr>
                <w:lang w:val="en-AU"/>
              </w:rPr>
              <w:t>(N = 59)</w:t>
            </w:r>
          </w:p>
          <w:p w14:paraId="5AC3D18A" w14:textId="77777777" w:rsidR="007D565E" w:rsidRPr="0038119B" w:rsidRDefault="007D565E">
            <w:pPr>
              <w:pStyle w:val="TblHeadingCenter"/>
              <w:rPr>
                <w:lang w:val="en-AU"/>
              </w:rPr>
            </w:pPr>
          </w:p>
        </w:tc>
        <w:tc>
          <w:tcPr>
            <w:tcW w:w="1979" w:type="dxa"/>
            <w:shd w:val="clear" w:color="auto" w:fill="auto"/>
          </w:tcPr>
          <w:p w14:paraId="254A7EDD" w14:textId="77777777" w:rsidR="007D565E" w:rsidRPr="0038119B" w:rsidRDefault="00CD5483">
            <w:pPr>
              <w:pStyle w:val="TblHeadingCenter"/>
              <w:rPr>
                <w:lang w:val="en-AU"/>
              </w:rPr>
            </w:pPr>
            <w:r w:rsidRPr="0038119B">
              <w:rPr>
                <w:lang w:val="en-AU"/>
              </w:rPr>
              <w:t xml:space="preserve">laCSCC </w:t>
            </w:r>
          </w:p>
          <w:p w14:paraId="35F1B50F" w14:textId="77777777" w:rsidR="007D565E" w:rsidRPr="0038119B" w:rsidRDefault="00CD5483">
            <w:pPr>
              <w:pStyle w:val="TblHeadingCenter"/>
              <w:rPr>
                <w:lang w:val="en-AU"/>
              </w:rPr>
            </w:pPr>
            <w:r w:rsidRPr="0038119B">
              <w:rPr>
                <w:lang w:val="en-AU"/>
              </w:rPr>
              <w:t xml:space="preserve">cemiplimab: </w:t>
            </w:r>
            <w:r w:rsidRPr="0038119B">
              <w:rPr>
                <w:lang w:val="en-AU"/>
              </w:rPr>
              <w:br/>
              <w:t>3 mg/kg Q2W</w:t>
            </w:r>
          </w:p>
          <w:p w14:paraId="14BBD2F3" w14:textId="77777777" w:rsidR="007D565E" w:rsidRPr="0038119B" w:rsidRDefault="00CD5483">
            <w:pPr>
              <w:pStyle w:val="TblHeadingCenter"/>
              <w:rPr>
                <w:lang w:val="en-AU"/>
              </w:rPr>
            </w:pPr>
            <w:r w:rsidRPr="0038119B">
              <w:rPr>
                <w:lang w:val="en-AU"/>
              </w:rPr>
              <w:t>(Group 2)</w:t>
            </w:r>
          </w:p>
          <w:p w14:paraId="0498673C" w14:textId="77777777" w:rsidR="007D565E" w:rsidRPr="0038119B" w:rsidRDefault="00CD5483">
            <w:pPr>
              <w:pStyle w:val="TblHeadingCenter"/>
              <w:rPr>
                <w:lang w:val="en-AU"/>
              </w:rPr>
            </w:pPr>
            <w:r w:rsidRPr="0038119B">
              <w:rPr>
                <w:lang w:val="en-AU"/>
              </w:rPr>
              <w:t>(N = 78)</w:t>
            </w:r>
          </w:p>
        </w:tc>
        <w:tc>
          <w:tcPr>
            <w:tcW w:w="1797" w:type="dxa"/>
            <w:shd w:val="clear" w:color="auto" w:fill="auto"/>
          </w:tcPr>
          <w:p w14:paraId="65BD09B0" w14:textId="77777777" w:rsidR="007D565E" w:rsidRPr="0038119B" w:rsidRDefault="00CD5483">
            <w:pPr>
              <w:pStyle w:val="TblHeadingCenter"/>
              <w:rPr>
                <w:lang w:val="en-AU"/>
              </w:rPr>
            </w:pPr>
            <w:r w:rsidRPr="0038119B">
              <w:rPr>
                <w:lang w:val="en-AU"/>
              </w:rPr>
              <w:t xml:space="preserve">mCSCC </w:t>
            </w:r>
          </w:p>
          <w:p w14:paraId="20299B2D" w14:textId="77777777" w:rsidR="007D565E" w:rsidRPr="0038119B" w:rsidRDefault="00CD5483">
            <w:pPr>
              <w:pStyle w:val="TblHeadingCenter"/>
              <w:rPr>
                <w:lang w:val="en-AU"/>
              </w:rPr>
            </w:pPr>
            <w:r w:rsidRPr="0038119B">
              <w:rPr>
                <w:lang w:val="en-AU"/>
              </w:rPr>
              <w:t xml:space="preserve">cemiplimab: </w:t>
            </w:r>
            <w:r w:rsidRPr="0038119B">
              <w:rPr>
                <w:lang w:val="en-AU"/>
              </w:rPr>
              <w:br/>
              <w:t>350 mg Q3W</w:t>
            </w:r>
          </w:p>
          <w:p w14:paraId="7732D8F2" w14:textId="77777777" w:rsidR="007D565E" w:rsidRPr="0038119B" w:rsidRDefault="00CD5483">
            <w:pPr>
              <w:pStyle w:val="TblHeadingCenter"/>
              <w:rPr>
                <w:lang w:val="en-AU"/>
              </w:rPr>
            </w:pPr>
            <w:r w:rsidRPr="0038119B">
              <w:rPr>
                <w:lang w:val="en-AU"/>
              </w:rPr>
              <w:t>(Group 3)</w:t>
            </w:r>
          </w:p>
          <w:p w14:paraId="74B9C6AE" w14:textId="77777777" w:rsidR="007D565E" w:rsidRPr="0038119B" w:rsidRDefault="00CD5483">
            <w:pPr>
              <w:pStyle w:val="TblHeadingCenter"/>
              <w:rPr>
                <w:lang w:val="en-AU"/>
              </w:rPr>
            </w:pPr>
            <w:r w:rsidRPr="0038119B">
              <w:rPr>
                <w:lang w:val="en-AU"/>
              </w:rPr>
              <w:t>(N = 56)</w:t>
            </w:r>
          </w:p>
        </w:tc>
      </w:tr>
      <w:tr w:rsidR="007D565E" w:rsidRPr="0038119B" w14:paraId="6F765431" w14:textId="77777777" w:rsidTr="00B0158D">
        <w:trPr>
          <w:cantSplit/>
          <w:trHeight w:val="254"/>
          <w:tblHeader/>
          <w:jc w:val="center"/>
        </w:trPr>
        <w:tc>
          <w:tcPr>
            <w:tcW w:w="3261" w:type="dxa"/>
            <w:shd w:val="clear" w:color="auto" w:fill="auto"/>
          </w:tcPr>
          <w:p w14:paraId="48B5B916" w14:textId="77777777" w:rsidR="007D565E" w:rsidRPr="00F17760" w:rsidRDefault="007D565E">
            <w:pPr>
              <w:pStyle w:val="TblTextCenter"/>
              <w:rPr>
                <w:lang w:val="en-AU"/>
              </w:rPr>
            </w:pPr>
          </w:p>
        </w:tc>
        <w:tc>
          <w:tcPr>
            <w:tcW w:w="1979" w:type="dxa"/>
            <w:shd w:val="clear" w:color="auto" w:fill="auto"/>
          </w:tcPr>
          <w:p w14:paraId="7E8A64A5" w14:textId="77777777" w:rsidR="007D565E" w:rsidRPr="0038119B" w:rsidRDefault="00CD5483">
            <w:pPr>
              <w:pStyle w:val="TblTextCenter"/>
              <w:rPr>
                <w:lang w:val="en-AU"/>
              </w:rPr>
            </w:pPr>
            <w:r w:rsidRPr="0038119B">
              <w:rPr>
                <w:lang w:val="en-AU"/>
              </w:rPr>
              <w:t>ICR</w:t>
            </w:r>
          </w:p>
        </w:tc>
        <w:tc>
          <w:tcPr>
            <w:tcW w:w="1979" w:type="dxa"/>
            <w:shd w:val="clear" w:color="auto" w:fill="auto"/>
          </w:tcPr>
          <w:p w14:paraId="1E43FE1D" w14:textId="77777777" w:rsidR="007D565E" w:rsidRPr="0038119B" w:rsidRDefault="00CD5483">
            <w:pPr>
              <w:pStyle w:val="TblTextCenter"/>
              <w:rPr>
                <w:lang w:val="en-AU"/>
              </w:rPr>
            </w:pPr>
            <w:r w:rsidRPr="0038119B">
              <w:rPr>
                <w:lang w:val="en-AU"/>
              </w:rPr>
              <w:t>ICR</w:t>
            </w:r>
          </w:p>
        </w:tc>
        <w:tc>
          <w:tcPr>
            <w:tcW w:w="1797" w:type="dxa"/>
            <w:shd w:val="clear" w:color="auto" w:fill="auto"/>
          </w:tcPr>
          <w:p w14:paraId="31784EDD" w14:textId="77777777" w:rsidR="007D565E" w:rsidRPr="0038119B" w:rsidRDefault="00CD5483">
            <w:pPr>
              <w:pStyle w:val="TblTextCenter"/>
              <w:rPr>
                <w:lang w:val="en-AU"/>
              </w:rPr>
            </w:pPr>
            <w:r w:rsidRPr="0038119B">
              <w:rPr>
                <w:lang w:val="en-AU"/>
              </w:rPr>
              <w:t>ICR</w:t>
            </w:r>
          </w:p>
        </w:tc>
      </w:tr>
      <w:tr w:rsidR="007D565E" w:rsidRPr="0038119B" w14:paraId="14AF0400" w14:textId="77777777" w:rsidTr="00B0158D">
        <w:trPr>
          <w:cantSplit/>
          <w:jc w:val="center"/>
        </w:trPr>
        <w:tc>
          <w:tcPr>
            <w:tcW w:w="3261" w:type="dxa"/>
            <w:shd w:val="clear" w:color="auto" w:fill="auto"/>
          </w:tcPr>
          <w:p w14:paraId="2988C8D3" w14:textId="77777777" w:rsidR="007D565E" w:rsidRPr="00F17760" w:rsidRDefault="00CD5483">
            <w:pPr>
              <w:pStyle w:val="TblTextCenter"/>
              <w:rPr>
                <w:b/>
                <w:lang w:val="en-AU"/>
              </w:rPr>
            </w:pPr>
            <w:r w:rsidRPr="00F17760">
              <w:rPr>
                <w:b/>
                <w:lang w:val="en-AU"/>
              </w:rPr>
              <w:t xml:space="preserve">Confirmed objective response rate (ORR) </w:t>
            </w:r>
            <w:r w:rsidRPr="00F17760">
              <w:rPr>
                <w:b/>
                <w:vertAlign w:val="superscript"/>
                <w:lang w:val="en-AU"/>
              </w:rPr>
              <w:t>a</w:t>
            </w:r>
          </w:p>
        </w:tc>
        <w:tc>
          <w:tcPr>
            <w:tcW w:w="1979" w:type="dxa"/>
            <w:shd w:val="clear" w:color="auto" w:fill="auto"/>
          </w:tcPr>
          <w:p w14:paraId="7F8D0537" w14:textId="77777777" w:rsidR="007D565E" w:rsidRPr="0038119B" w:rsidRDefault="007D565E">
            <w:pPr>
              <w:pStyle w:val="TblTextCenter"/>
              <w:rPr>
                <w:lang w:val="en-AU"/>
              </w:rPr>
            </w:pPr>
          </w:p>
        </w:tc>
        <w:tc>
          <w:tcPr>
            <w:tcW w:w="1979" w:type="dxa"/>
            <w:shd w:val="clear" w:color="auto" w:fill="auto"/>
          </w:tcPr>
          <w:p w14:paraId="600E0285" w14:textId="77777777" w:rsidR="007D565E" w:rsidRPr="0038119B" w:rsidRDefault="007D565E">
            <w:pPr>
              <w:pStyle w:val="TblTextCenter"/>
              <w:rPr>
                <w:lang w:val="en-AU"/>
              </w:rPr>
            </w:pPr>
          </w:p>
        </w:tc>
        <w:tc>
          <w:tcPr>
            <w:tcW w:w="1797" w:type="dxa"/>
            <w:shd w:val="clear" w:color="auto" w:fill="auto"/>
          </w:tcPr>
          <w:p w14:paraId="148385C1" w14:textId="77777777" w:rsidR="007D565E" w:rsidRPr="0038119B" w:rsidRDefault="007D565E">
            <w:pPr>
              <w:pStyle w:val="TblTextCenter"/>
              <w:rPr>
                <w:lang w:val="en-AU"/>
              </w:rPr>
            </w:pPr>
          </w:p>
        </w:tc>
      </w:tr>
      <w:tr w:rsidR="007D565E" w:rsidRPr="0038119B" w14:paraId="19174592" w14:textId="77777777" w:rsidTr="00B0158D">
        <w:trPr>
          <w:cantSplit/>
          <w:jc w:val="center"/>
        </w:trPr>
        <w:tc>
          <w:tcPr>
            <w:tcW w:w="3261" w:type="dxa"/>
            <w:shd w:val="clear" w:color="auto" w:fill="auto"/>
          </w:tcPr>
          <w:p w14:paraId="19392109" w14:textId="77777777" w:rsidR="007D565E" w:rsidRPr="00F17760" w:rsidRDefault="00CD5483">
            <w:pPr>
              <w:pStyle w:val="TblTextCenter"/>
              <w:rPr>
                <w:lang w:val="en-AU"/>
              </w:rPr>
            </w:pPr>
            <w:r w:rsidRPr="00F17760">
              <w:rPr>
                <w:lang w:val="en-AU"/>
              </w:rPr>
              <w:t>ORR</w:t>
            </w:r>
          </w:p>
        </w:tc>
        <w:tc>
          <w:tcPr>
            <w:tcW w:w="1979" w:type="dxa"/>
            <w:shd w:val="clear" w:color="auto" w:fill="auto"/>
            <w:vAlign w:val="center"/>
          </w:tcPr>
          <w:p w14:paraId="3FB5101D" w14:textId="77777777" w:rsidR="007D565E" w:rsidRPr="0038119B" w:rsidRDefault="00CD5483">
            <w:pPr>
              <w:pStyle w:val="TblTextCenter"/>
              <w:rPr>
                <w:lang w:val="en-AU"/>
              </w:rPr>
            </w:pPr>
            <w:r w:rsidRPr="0038119B">
              <w:rPr>
                <w:lang w:val="en-AU"/>
              </w:rPr>
              <w:t>49.2%</w:t>
            </w:r>
          </w:p>
        </w:tc>
        <w:tc>
          <w:tcPr>
            <w:tcW w:w="1979" w:type="dxa"/>
            <w:shd w:val="clear" w:color="auto" w:fill="auto"/>
          </w:tcPr>
          <w:p w14:paraId="20380B11" w14:textId="77777777" w:rsidR="007D565E" w:rsidRPr="0038119B" w:rsidRDefault="00CD5483">
            <w:pPr>
              <w:pStyle w:val="TblTextCenter"/>
              <w:rPr>
                <w:lang w:val="en-AU"/>
              </w:rPr>
            </w:pPr>
            <w:r w:rsidRPr="0038119B">
              <w:rPr>
                <w:lang w:val="en-AU"/>
              </w:rPr>
              <w:t>43.6%</w:t>
            </w:r>
          </w:p>
        </w:tc>
        <w:tc>
          <w:tcPr>
            <w:tcW w:w="1797" w:type="dxa"/>
            <w:shd w:val="clear" w:color="auto" w:fill="auto"/>
          </w:tcPr>
          <w:p w14:paraId="210D5F8C" w14:textId="579F5A47" w:rsidR="007D565E" w:rsidRPr="0038119B" w:rsidRDefault="00CD5483">
            <w:pPr>
              <w:pStyle w:val="TblTextCenter"/>
              <w:rPr>
                <w:lang w:val="en-AU"/>
              </w:rPr>
            </w:pPr>
            <w:r w:rsidRPr="0038119B">
              <w:rPr>
                <w:lang w:val="en-AU"/>
              </w:rPr>
              <w:t>41.1%</w:t>
            </w:r>
          </w:p>
        </w:tc>
      </w:tr>
      <w:tr w:rsidR="007D565E" w:rsidRPr="0038119B" w14:paraId="5A641A1A" w14:textId="77777777" w:rsidTr="00B0158D">
        <w:trPr>
          <w:cantSplit/>
          <w:jc w:val="center"/>
        </w:trPr>
        <w:tc>
          <w:tcPr>
            <w:tcW w:w="3261" w:type="dxa"/>
            <w:shd w:val="clear" w:color="auto" w:fill="auto"/>
          </w:tcPr>
          <w:p w14:paraId="2CD49EFF" w14:textId="77777777" w:rsidR="007D565E" w:rsidRPr="00F17760" w:rsidRDefault="00CD5483">
            <w:pPr>
              <w:pStyle w:val="TblTextCenter"/>
              <w:rPr>
                <w:lang w:val="en-AU"/>
              </w:rPr>
            </w:pPr>
            <w:r w:rsidRPr="00F17760">
              <w:rPr>
                <w:lang w:val="en-AU"/>
              </w:rPr>
              <w:t xml:space="preserve">95% CI for ORR </w:t>
            </w:r>
          </w:p>
        </w:tc>
        <w:tc>
          <w:tcPr>
            <w:tcW w:w="1979" w:type="dxa"/>
            <w:shd w:val="clear" w:color="auto" w:fill="auto"/>
          </w:tcPr>
          <w:p w14:paraId="73E475E0" w14:textId="77777777" w:rsidR="007D565E" w:rsidRPr="0038119B" w:rsidRDefault="00CD5483">
            <w:pPr>
              <w:pStyle w:val="TblTextCenter"/>
              <w:rPr>
                <w:lang w:val="en-AU"/>
              </w:rPr>
            </w:pPr>
            <w:r w:rsidRPr="0038119B">
              <w:rPr>
                <w:lang w:val="en-AU"/>
              </w:rPr>
              <w:t>(35.9, 62.5)</w:t>
            </w:r>
          </w:p>
        </w:tc>
        <w:tc>
          <w:tcPr>
            <w:tcW w:w="1979" w:type="dxa"/>
            <w:shd w:val="clear" w:color="auto" w:fill="auto"/>
          </w:tcPr>
          <w:p w14:paraId="1E8AF907" w14:textId="77777777" w:rsidR="007D565E" w:rsidRPr="0038119B" w:rsidRDefault="00CD5483">
            <w:pPr>
              <w:pStyle w:val="TblTextCenter"/>
              <w:rPr>
                <w:lang w:val="en-AU"/>
              </w:rPr>
            </w:pPr>
            <w:r w:rsidRPr="0038119B">
              <w:rPr>
                <w:lang w:val="en-AU"/>
              </w:rPr>
              <w:t>(32.4, 55.3)</w:t>
            </w:r>
          </w:p>
        </w:tc>
        <w:tc>
          <w:tcPr>
            <w:tcW w:w="1797" w:type="dxa"/>
            <w:shd w:val="clear" w:color="auto" w:fill="auto"/>
          </w:tcPr>
          <w:p w14:paraId="548055B0" w14:textId="5668B718" w:rsidR="007D565E" w:rsidRPr="0038119B" w:rsidRDefault="00CD5483">
            <w:pPr>
              <w:pStyle w:val="TblTextCenter"/>
              <w:rPr>
                <w:lang w:val="en-AU"/>
              </w:rPr>
            </w:pPr>
            <w:r w:rsidRPr="0038119B">
              <w:rPr>
                <w:lang w:val="en-AU"/>
              </w:rPr>
              <w:t>(28.1, 55.0)</w:t>
            </w:r>
          </w:p>
        </w:tc>
      </w:tr>
      <w:tr w:rsidR="007D565E" w:rsidRPr="0038119B" w14:paraId="3E5C8914" w14:textId="77777777" w:rsidTr="00B0158D">
        <w:trPr>
          <w:cantSplit/>
          <w:jc w:val="center"/>
        </w:trPr>
        <w:tc>
          <w:tcPr>
            <w:tcW w:w="3261" w:type="dxa"/>
            <w:shd w:val="clear" w:color="auto" w:fill="auto"/>
          </w:tcPr>
          <w:p w14:paraId="4D4A3721" w14:textId="77777777" w:rsidR="007D565E" w:rsidRPr="00F17760" w:rsidRDefault="00CD5483">
            <w:pPr>
              <w:pStyle w:val="TblTextCenter"/>
              <w:rPr>
                <w:lang w:val="en-AU"/>
              </w:rPr>
            </w:pPr>
            <w:r w:rsidRPr="00F17760">
              <w:rPr>
                <w:lang w:val="en-AU"/>
              </w:rPr>
              <w:t xml:space="preserve">Complete response (CR) </w:t>
            </w:r>
            <w:r w:rsidRPr="00F17760">
              <w:rPr>
                <w:vertAlign w:val="superscript"/>
                <w:lang w:val="en-AU"/>
              </w:rPr>
              <w:t>b</w:t>
            </w:r>
          </w:p>
        </w:tc>
        <w:tc>
          <w:tcPr>
            <w:tcW w:w="1979" w:type="dxa"/>
            <w:shd w:val="clear" w:color="auto" w:fill="auto"/>
          </w:tcPr>
          <w:p w14:paraId="3331C51B" w14:textId="77777777" w:rsidR="007D565E" w:rsidRPr="0038119B" w:rsidRDefault="00CD5483">
            <w:pPr>
              <w:pStyle w:val="TblTextCenter"/>
              <w:rPr>
                <w:lang w:val="en-AU"/>
              </w:rPr>
            </w:pPr>
            <w:r w:rsidRPr="0038119B">
              <w:rPr>
                <w:lang w:val="en-AU"/>
              </w:rPr>
              <w:t>16.9%</w:t>
            </w:r>
          </w:p>
        </w:tc>
        <w:tc>
          <w:tcPr>
            <w:tcW w:w="1979" w:type="dxa"/>
            <w:shd w:val="clear" w:color="auto" w:fill="auto"/>
          </w:tcPr>
          <w:p w14:paraId="176367AA" w14:textId="77777777" w:rsidR="007D565E" w:rsidRPr="0038119B" w:rsidRDefault="00CD5483">
            <w:pPr>
              <w:pStyle w:val="TblTextCenter"/>
              <w:rPr>
                <w:lang w:val="en-AU"/>
              </w:rPr>
            </w:pPr>
            <w:r w:rsidRPr="0038119B">
              <w:rPr>
                <w:lang w:val="en-AU"/>
              </w:rPr>
              <w:t>12.8%</w:t>
            </w:r>
          </w:p>
        </w:tc>
        <w:tc>
          <w:tcPr>
            <w:tcW w:w="1797" w:type="dxa"/>
            <w:shd w:val="clear" w:color="auto" w:fill="auto"/>
          </w:tcPr>
          <w:p w14:paraId="5B8CA9D7" w14:textId="27314B44" w:rsidR="007D565E" w:rsidRPr="0038119B" w:rsidRDefault="00CD5483">
            <w:pPr>
              <w:pStyle w:val="TblTextCenter"/>
              <w:rPr>
                <w:lang w:val="en-AU"/>
              </w:rPr>
            </w:pPr>
            <w:r w:rsidRPr="0038119B">
              <w:rPr>
                <w:lang w:val="en-AU"/>
              </w:rPr>
              <w:t>5.4%</w:t>
            </w:r>
          </w:p>
        </w:tc>
      </w:tr>
      <w:tr w:rsidR="007D565E" w:rsidRPr="0038119B" w14:paraId="29BD744B" w14:textId="77777777" w:rsidTr="00B0158D">
        <w:trPr>
          <w:cantSplit/>
          <w:jc w:val="center"/>
        </w:trPr>
        <w:tc>
          <w:tcPr>
            <w:tcW w:w="3261" w:type="dxa"/>
            <w:shd w:val="clear" w:color="auto" w:fill="auto"/>
          </w:tcPr>
          <w:p w14:paraId="7F039449" w14:textId="77777777" w:rsidR="007D565E" w:rsidRPr="00F17760" w:rsidRDefault="00CD5483">
            <w:pPr>
              <w:pStyle w:val="TblTextCenter"/>
              <w:rPr>
                <w:lang w:val="en-AU"/>
              </w:rPr>
            </w:pPr>
            <w:r w:rsidRPr="00F17760">
              <w:rPr>
                <w:lang w:val="en-AU"/>
              </w:rPr>
              <w:t>Partial response (PR)</w:t>
            </w:r>
          </w:p>
        </w:tc>
        <w:tc>
          <w:tcPr>
            <w:tcW w:w="1979" w:type="dxa"/>
            <w:shd w:val="clear" w:color="auto" w:fill="auto"/>
          </w:tcPr>
          <w:p w14:paraId="475CB46C" w14:textId="77777777" w:rsidR="007D565E" w:rsidRPr="0038119B" w:rsidRDefault="00CD5483">
            <w:pPr>
              <w:pStyle w:val="TblTextCenter"/>
              <w:rPr>
                <w:lang w:val="en-AU"/>
              </w:rPr>
            </w:pPr>
            <w:r w:rsidRPr="0038119B">
              <w:rPr>
                <w:lang w:val="en-AU"/>
              </w:rPr>
              <w:t>32.2%</w:t>
            </w:r>
          </w:p>
        </w:tc>
        <w:tc>
          <w:tcPr>
            <w:tcW w:w="1979" w:type="dxa"/>
            <w:shd w:val="clear" w:color="auto" w:fill="auto"/>
          </w:tcPr>
          <w:p w14:paraId="4A826F79" w14:textId="77777777" w:rsidR="007D565E" w:rsidRPr="0038119B" w:rsidRDefault="00CD5483">
            <w:pPr>
              <w:pStyle w:val="TblTextCenter"/>
              <w:rPr>
                <w:lang w:val="en-AU"/>
              </w:rPr>
            </w:pPr>
            <w:r w:rsidRPr="0038119B">
              <w:rPr>
                <w:lang w:val="en-AU"/>
              </w:rPr>
              <w:t>30.8%</w:t>
            </w:r>
          </w:p>
        </w:tc>
        <w:tc>
          <w:tcPr>
            <w:tcW w:w="1797" w:type="dxa"/>
            <w:shd w:val="clear" w:color="auto" w:fill="auto"/>
          </w:tcPr>
          <w:p w14:paraId="08FB3F70" w14:textId="77777777" w:rsidR="007D565E" w:rsidRPr="0038119B" w:rsidRDefault="00CD5483">
            <w:pPr>
              <w:pStyle w:val="TblTextCenter"/>
              <w:rPr>
                <w:lang w:val="en-AU"/>
              </w:rPr>
            </w:pPr>
            <w:r w:rsidRPr="0038119B">
              <w:rPr>
                <w:lang w:val="en-AU"/>
              </w:rPr>
              <w:t>35.7%</w:t>
            </w:r>
          </w:p>
        </w:tc>
      </w:tr>
      <w:tr w:rsidR="007D565E" w:rsidRPr="0038119B" w14:paraId="2CC19A81" w14:textId="77777777" w:rsidTr="00B0158D">
        <w:trPr>
          <w:cantSplit/>
          <w:jc w:val="center"/>
        </w:trPr>
        <w:tc>
          <w:tcPr>
            <w:tcW w:w="3261" w:type="dxa"/>
            <w:shd w:val="clear" w:color="auto" w:fill="auto"/>
          </w:tcPr>
          <w:p w14:paraId="64233B75" w14:textId="77777777" w:rsidR="007D565E" w:rsidRPr="00F17760" w:rsidRDefault="00CD5483">
            <w:pPr>
              <w:pStyle w:val="TblTextCenter"/>
              <w:rPr>
                <w:lang w:val="en-AU"/>
              </w:rPr>
            </w:pPr>
            <w:r w:rsidRPr="00F17760">
              <w:rPr>
                <w:lang w:val="en-AU"/>
              </w:rPr>
              <w:t>Stable disease (SD)</w:t>
            </w:r>
          </w:p>
        </w:tc>
        <w:tc>
          <w:tcPr>
            <w:tcW w:w="1979" w:type="dxa"/>
            <w:shd w:val="clear" w:color="auto" w:fill="auto"/>
          </w:tcPr>
          <w:p w14:paraId="36ACEC05" w14:textId="77777777" w:rsidR="007D565E" w:rsidRPr="0038119B" w:rsidRDefault="00CD5483">
            <w:pPr>
              <w:pStyle w:val="TblTextCenter"/>
              <w:rPr>
                <w:lang w:val="en-AU"/>
              </w:rPr>
            </w:pPr>
            <w:r w:rsidRPr="0038119B">
              <w:rPr>
                <w:lang w:val="en-AU"/>
              </w:rPr>
              <w:t>15.3%</w:t>
            </w:r>
          </w:p>
        </w:tc>
        <w:tc>
          <w:tcPr>
            <w:tcW w:w="1979" w:type="dxa"/>
            <w:shd w:val="clear" w:color="auto" w:fill="auto"/>
          </w:tcPr>
          <w:p w14:paraId="22E7409A" w14:textId="77777777" w:rsidR="007D565E" w:rsidRPr="0038119B" w:rsidRDefault="00CD5483">
            <w:pPr>
              <w:pStyle w:val="TblTextCenter"/>
              <w:rPr>
                <w:lang w:val="en-AU"/>
              </w:rPr>
            </w:pPr>
            <w:r w:rsidRPr="0038119B">
              <w:rPr>
                <w:lang w:val="en-AU"/>
              </w:rPr>
              <w:t>35.9%</w:t>
            </w:r>
          </w:p>
        </w:tc>
        <w:tc>
          <w:tcPr>
            <w:tcW w:w="1797" w:type="dxa"/>
            <w:shd w:val="clear" w:color="auto" w:fill="auto"/>
          </w:tcPr>
          <w:p w14:paraId="1CA6240C" w14:textId="77777777" w:rsidR="007D565E" w:rsidRPr="0038119B" w:rsidRDefault="00CD5483">
            <w:pPr>
              <w:pStyle w:val="TblTextCenter"/>
              <w:rPr>
                <w:lang w:val="en-AU"/>
              </w:rPr>
            </w:pPr>
            <w:r w:rsidRPr="0038119B">
              <w:rPr>
                <w:lang w:val="en-AU"/>
              </w:rPr>
              <w:t>14.3%</w:t>
            </w:r>
          </w:p>
        </w:tc>
      </w:tr>
      <w:tr w:rsidR="007D565E" w:rsidRPr="0038119B" w14:paraId="72243CCB" w14:textId="77777777" w:rsidTr="00B0158D">
        <w:trPr>
          <w:cantSplit/>
          <w:jc w:val="center"/>
        </w:trPr>
        <w:tc>
          <w:tcPr>
            <w:tcW w:w="3261" w:type="dxa"/>
            <w:shd w:val="clear" w:color="auto" w:fill="auto"/>
          </w:tcPr>
          <w:p w14:paraId="1A511EE8" w14:textId="77777777" w:rsidR="007D565E" w:rsidRPr="00F17760" w:rsidRDefault="00CD5483">
            <w:pPr>
              <w:pStyle w:val="TblTextCenter"/>
              <w:rPr>
                <w:lang w:val="en-AU"/>
              </w:rPr>
            </w:pPr>
            <w:r w:rsidRPr="00F17760">
              <w:rPr>
                <w:lang w:val="en-AU"/>
              </w:rPr>
              <w:t>Progressive disease (PD)</w:t>
            </w:r>
          </w:p>
        </w:tc>
        <w:tc>
          <w:tcPr>
            <w:tcW w:w="1979" w:type="dxa"/>
            <w:shd w:val="clear" w:color="auto" w:fill="auto"/>
          </w:tcPr>
          <w:p w14:paraId="351B6E2B" w14:textId="77777777" w:rsidR="007D565E" w:rsidRPr="0038119B" w:rsidRDefault="00CD5483">
            <w:pPr>
              <w:pStyle w:val="TblTextCenter"/>
              <w:rPr>
                <w:lang w:val="en-AU"/>
              </w:rPr>
            </w:pPr>
            <w:r w:rsidRPr="0038119B">
              <w:rPr>
                <w:lang w:val="en-AU"/>
              </w:rPr>
              <w:t>16.9%</w:t>
            </w:r>
          </w:p>
        </w:tc>
        <w:tc>
          <w:tcPr>
            <w:tcW w:w="1979" w:type="dxa"/>
            <w:shd w:val="clear" w:color="auto" w:fill="auto"/>
          </w:tcPr>
          <w:p w14:paraId="785E30D3" w14:textId="77777777" w:rsidR="007D565E" w:rsidRPr="0038119B" w:rsidRDefault="00CD5483">
            <w:pPr>
              <w:pStyle w:val="TblTextCenter"/>
              <w:rPr>
                <w:lang w:val="en-AU"/>
              </w:rPr>
            </w:pPr>
            <w:r w:rsidRPr="0038119B">
              <w:rPr>
                <w:lang w:val="en-AU"/>
              </w:rPr>
              <w:t>11.5%</w:t>
            </w:r>
          </w:p>
        </w:tc>
        <w:tc>
          <w:tcPr>
            <w:tcW w:w="1797" w:type="dxa"/>
            <w:shd w:val="clear" w:color="auto" w:fill="auto"/>
          </w:tcPr>
          <w:p w14:paraId="5083FA40" w14:textId="471EAB6A" w:rsidR="007D565E" w:rsidRPr="0038119B" w:rsidRDefault="00CD5483">
            <w:pPr>
              <w:pStyle w:val="TblTextCenter"/>
              <w:rPr>
                <w:lang w:val="en-AU"/>
              </w:rPr>
            </w:pPr>
            <w:r w:rsidRPr="0038119B">
              <w:rPr>
                <w:lang w:val="en-AU"/>
              </w:rPr>
              <w:t>25.0%</w:t>
            </w:r>
          </w:p>
        </w:tc>
      </w:tr>
      <w:tr w:rsidR="007D565E" w:rsidRPr="0038119B" w14:paraId="4E260B74" w14:textId="77777777" w:rsidTr="00B0158D">
        <w:trPr>
          <w:cantSplit/>
          <w:jc w:val="center"/>
        </w:trPr>
        <w:tc>
          <w:tcPr>
            <w:tcW w:w="3261" w:type="dxa"/>
            <w:shd w:val="clear" w:color="auto" w:fill="auto"/>
          </w:tcPr>
          <w:p w14:paraId="733D25E3" w14:textId="77777777" w:rsidR="007D565E" w:rsidRPr="00F17760" w:rsidRDefault="007D565E">
            <w:pPr>
              <w:pStyle w:val="TblTextCenter"/>
              <w:rPr>
                <w:lang w:val="en-AU"/>
              </w:rPr>
            </w:pPr>
          </w:p>
        </w:tc>
        <w:tc>
          <w:tcPr>
            <w:tcW w:w="1979" w:type="dxa"/>
            <w:shd w:val="clear" w:color="auto" w:fill="auto"/>
          </w:tcPr>
          <w:p w14:paraId="0BE37645" w14:textId="77777777" w:rsidR="007D565E" w:rsidRPr="0038119B" w:rsidRDefault="007D565E">
            <w:pPr>
              <w:pStyle w:val="TblTextCenter"/>
              <w:rPr>
                <w:lang w:val="en-AU"/>
              </w:rPr>
            </w:pPr>
          </w:p>
        </w:tc>
        <w:tc>
          <w:tcPr>
            <w:tcW w:w="1979" w:type="dxa"/>
            <w:shd w:val="clear" w:color="auto" w:fill="auto"/>
          </w:tcPr>
          <w:p w14:paraId="303CF1D6" w14:textId="77777777" w:rsidR="007D565E" w:rsidRPr="0038119B" w:rsidRDefault="007D565E">
            <w:pPr>
              <w:pStyle w:val="TblTextCenter"/>
              <w:rPr>
                <w:lang w:val="en-AU"/>
              </w:rPr>
            </w:pPr>
          </w:p>
        </w:tc>
        <w:tc>
          <w:tcPr>
            <w:tcW w:w="1797" w:type="dxa"/>
            <w:shd w:val="clear" w:color="auto" w:fill="auto"/>
          </w:tcPr>
          <w:p w14:paraId="2D165E22" w14:textId="77777777" w:rsidR="007D565E" w:rsidRPr="0038119B" w:rsidRDefault="007D565E">
            <w:pPr>
              <w:pStyle w:val="TblTextCenter"/>
              <w:rPr>
                <w:lang w:val="en-AU"/>
              </w:rPr>
            </w:pPr>
          </w:p>
        </w:tc>
      </w:tr>
      <w:tr w:rsidR="007D565E" w:rsidRPr="0038119B" w14:paraId="7EC9E845" w14:textId="77777777" w:rsidTr="00B0158D">
        <w:trPr>
          <w:cantSplit/>
          <w:jc w:val="center"/>
        </w:trPr>
        <w:tc>
          <w:tcPr>
            <w:tcW w:w="3261" w:type="dxa"/>
            <w:shd w:val="clear" w:color="auto" w:fill="auto"/>
          </w:tcPr>
          <w:p w14:paraId="24923776" w14:textId="77777777" w:rsidR="007D565E" w:rsidRPr="00F17760" w:rsidRDefault="00CD5483">
            <w:pPr>
              <w:pStyle w:val="TblTextCenter"/>
              <w:rPr>
                <w:b/>
                <w:lang w:val="en-AU"/>
              </w:rPr>
            </w:pPr>
            <w:r w:rsidRPr="00F17760">
              <w:rPr>
                <w:rFonts w:cs="Arial Narrow"/>
                <w:b/>
                <w:bCs/>
                <w:lang w:val="en-AU"/>
              </w:rPr>
              <w:t xml:space="preserve">Duration of response (DOR) </w:t>
            </w:r>
          </w:p>
        </w:tc>
        <w:tc>
          <w:tcPr>
            <w:tcW w:w="1979" w:type="dxa"/>
            <w:shd w:val="clear" w:color="auto" w:fill="auto"/>
          </w:tcPr>
          <w:p w14:paraId="186666F0" w14:textId="77777777" w:rsidR="007D565E" w:rsidRPr="0038119B" w:rsidRDefault="007D565E">
            <w:pPr>
              <w:pStyle w:val="TblTextCenter"/>
              <w:rPr>
                <w:lang w:val="en-AU"/>
              </w:rPr>
            </w:pPr>
          </w:p>
        </w:tc>
        <w:tc>
          <w:tcPr>
            <w:tcW w:w="1979" w:type="dxa"/>
            <w:shd w:val="clear" w:color="auto" w:fill="auto"/>
          </w:tcPr>
          <w:p w14:paraId="2B87BA17" w14:textId="77777777" w:rsidR="007D565E" w:rsidRPr="0038119B" w:rsidRDefault="007D565E">
            <w:pPr>
              <w:pStyle w:val="TblTextCenter"/>
              <w:rPr>
                <w:lang w:val="en-AU"/>
              </w:rPr>
            </w:pPr>
          </w:p>
        </w:tc>
        <w:tc>
          <w:tcPr>
            <w:tcW w:w="1797" w:type="dxa"/>
            <w:shd w:val="clear" w:color="auto" w:fill="auto"/>
          </w:tcPr>
          <w:p w14:paraId="10FAC0FA" w14:textId="77777777" w:rsidR="007D565E" w:rsidRPr="0038119B" w:rsidRDefault="007D565E">
            <w:pPr>
              <w:pStyle w:val="TblTextCenter"/>
              <w:rPr>
                <w:lang w:val="en-AU"/>
              </w:rPr>
            </w:pPr>
          </w:p>
        </w:tc>
      </w:tr>
      <w:tr w:rsidR="007D565E" w:rsidRPr="0038119B" w14:paraId="1A6EA1C8" w14:textId="77777777" w:rsidTr="00B0158D">
        <w:trPr>
          <w:cantSplit/>
          <w:jc w:val="center"/>
        </w:trPr>
        <w:tc>
          <w:tcPr>
            <w:tcW w:w="3261" w:type="dxa"/>
            <w:shd w:val="clear" w:color="auto" w:fill="auto"/>
          </w:tcPr>
          <w:p w14:paraId="22E09AC6" w14:textId="4F8C0A30" w:rsidR="007D565E" w:rsidRPr="00F17760" w:rsidRDefault="00CD5483">
            <w:pPr>
              <w:pStyle w:val="TblTextCenter"/>
              <w:rPr>
                <w:lang w:val="en-AU"/>
              </w:rPr>
            </w:pPr>
            <w:proofErr w:type="spellStart"/>
            <w:r w:rsidRPr="00F17760">
              <w:rPr>
                <w:lang w:val="en-AU"/>
              </w:rPr>
              <w:t>Median</w:t>
            </w:r>
            <w:r w:rsidRPr="00F17760">
              <w:rPr>
                <w:vertAlign w:val="superscript"/>
                <w:lang w:val="en-AU"/>
              </w:rPr>
              <w:t>c</w:t>
            </w:r>
            <w:proofErr w:type="spellEnd"/>
            <w:r w:rsidRPr="00F17760">
              <w:rPr>
                <w:lang w:val="en-AU"/>
              </w:rPr>
              <w:t xml:space="preserve"> (months)</w:t>
            </w:r>
          </w:p>
        </w:tc>
        <w:tc>
          <w:tcPr>
            <w:tcW w:w="1979" w:type="dxa"/>
            <w:shd w:val="clear" w:color="auto" w:fill="auto"/>
          </w:tcPr>
          <w:p w14:paraId="62C4997B" w14:textId="2B6267A1" w:rsidR="007D565E" w:rsidRPr="0038119B" w:rsidRDefault="00CD5483" w:rsidP="00FF3DB8">
            <w:pPr>
              <w:pStyle w:val="TblTextCenter"/>
              <w:rPr>
                <w:lang w:val="en-AU"/>
              </w:rPr>
            </w:pPr>
            <w:r w:rsidRPr="0038119B">
              <w:rPr>
                <w:lang w:val="en-AU"/>
              </w:rPr>
              <w:t xml:space="preserve">NR </w:t>
            </w:r>
          </w:p>
        </w:tc>
        <w:tc>
          <w:tcPr>
            <w:tcW w:w="1979" w:type="dxa"/>
            <w:shd w:val="clear" w:color="auto" w:fill="auto"/>
          </w:tcPr>
          <w:p w14:paraId="7284EF17" w14:textId="5D41995A" w:rsidR="007D565E" w:rsidRPr="0038119B" w:rsidRDefault="00CD5483" w:rsidP="00FF3DB8">
            <w:pPr>
              <w:pStyle w:val="TblTextCenter"/>
              <w:rPr>
                <w:lang w:val="en-AU"/>
              </w:rPr>
            </w:pPr>
            <w:r w:rsidRPr="0038119B">
              <w:rPr>
                <w:lang w:val="en-AU"/>
              </w:rPr>
              <w:t>NR</w:t>
            </w:r>
          </w:p>
        </w:tc>
        <w:tc>
          <w:tcPr>
            <w:tcW w:w="1797" w:type="dxa"/>
            <w:shd w:val="clear" w:color="auto" w:fill="auto"/>
          </w:tcPr>
          <w:p w14:paraId="3F8CDFB3" w14:textId="4B43DA4B" w:rsidR="007D565E" w:rsidRPr="0038119B" w:rsidRDefault="00CD5483" w:rsidP="00FF3DB8">
            <w:pPr>
              <w:pStyle w:val="TblTextCenter"/>
              <w:rPr>
                <w:lang w:val="en-AU"/>
              </w:rPr>
            </w:pPr>
            <w:r w:rsidRPr="0038119B">
              <w:rPr>
                <w:lang w:val="en-AU"/>
              </w:rPr>
              <w:t>NR</w:t>
            </w:r>
          </w:p>
        </w:tc>
      </w:tr>
      <w:tr w:rsidR="007D565E" w:rsidRPr="0038119B" w14:paraId="5AC6AB1E" w14:textId="77777777" w:rsidTr="00B0158D">
        <w:trPr>
          <w:cantSplit/>
          <w:jc w:val="center"/>
        </w:trPr>
        <w:tc>
          <w:tcPr>
            <w:tcW w:w="3261" w:type="dxa"/>
            <w:shd w:val="clear" w:color="auto" w:fill="auto"/>
          </w:tcPr>
          <w:p w14:paraId="214141A3" w14:textId="77777777" w:rsidR="007D565E" w:rsidRPr="00F17760" w:rsidRDefault="00CD5483">
            <w:pPr>
              <w:pStyle w:val="TblTextCenter"/>
              <w:rPr>
                <w:lang w:val="en-AU"/>
              </w:rPr>
            </w:pPr>
            <w:r w:rsidRPr="00F17760">
              <w:rPr>
                <w:lang w:val="en-AU"/>
              </w:rPr>
              <w:t>Range (months)</w:t>
            </w:r>
          </w:p>
        </w:tc>
        <w:tc>
          <w:tcPr>
            <w:tcW w:w="1979" w:type="dxa"/>
            <w:shd w:val="clear" w:color="auto" w:fill="auto"/>
          </w:tcPr>
          <w:p w14:paraId="5F7FC4BB" w14:textId="77777777" w:rsidR="007D565E" w:rsidRPr="0038119B" w:rsidRDefault="00CD5483">
            <w:pPr>
              <w:pStyle w:val="TblTextCenter"/>
              <w:rPr>
                <w:lang w:val="en-AU"/>
              </w:rPr>
            </w:pPr>
            <w:r w:rsidRPr="0038119B">
              <w:rPr>
                <w:lang w:val="en-AU"/>
              </w:rPr>
              <w:t>(2.8-21.6+)</w:t>
            </w:r>
          </w:p>
        </w:tc>
        <w:tc>
          <w:tcPr>
            <w:tcW w:w="1979" w:type="dxa"/>
            <w:shd w:val="clear" w:color="auto" w:fill="auto"/>
          </w:tcPr>
          <w:p w14:paraId="43AB34D1" w14:textId="77777777" w:rsidR="007D565E" w:rsidRPr="0038119B" w:rsidRDefault="00CD5483">
            <w:pPr>
              <w:pStyle w:val="TblTextCenter"/>
              <w:rPr>
                <w:lang w:val="en-AU"/>
              </w:rPr>
            </w:pPr>
            <w:r w:rsidRPr="0038119B">
              <w:rPr>
                <w:lang w:val="en-AU"/>
              </w:rPr>
              <w:t>(1.9 – 24.2+)</w:t>
            </w:r>
          </w:p>
        </w:tc>
        <w:tc>
          <w:tcPr>
            <w:tcW w:w="1797" w:type="dxa"/>
            <w:shd w:val="clear" w:color="auto" w:fill="auto"/>
          </w:tcPr>
          <w:p w14:paraId="1A160B92" w14:textId="77777777" w:rsidR="007D565E" w:rsidRPr="0038119B" w:rsidRDefault="00CD5483">
            <w:pPr>
              <w:pStyle w:val="TblTextCenter"/>
              <w:rPr>
                <w:lang w:val="en-AU"/>
              </w:rPr>
            </w:pPr>
            <w:r w:rsidRPr="0038119B">
              <w:rPr>
                <w:lang w:val="en-AU"/>
              </w:rPr>
              <w:t>(2.1-11.1+)</w:t>
            </w:r>
          </w:p>
        </w:tc>
      </w:tr>
      <w:tr w:rsidR="007D565E" w:rsidRPr="0038119B" w14:paraId="1913C9BD" w14:textId="77777777" w:rsidTr="00B0158D">
        <w:trPr>
          <w:cantSplit/>
          <w:jc w:val="center"/>
        </w:trPr>
        <w:tc>
          <w:tcPr>
            <w:tcW w:w="3261" w:type="dxa"/>
            <w:shd w:val="clear" w:color="auto" w:fill="auto"/>
          </w:tcPr>
          <w:p w14:paraId="129F77E4" w14:textId="58799783" w:rsidR="007D565E" w:rsidRPr="00F17760" w:rsidRDefault="00CD5483">
            <w:pPr>
              <w:pStyle w:val="TblTextCenter"/>
              <w:rPr>
                <w:lang w:val="en-AU"/>
              </w:rPr>
            </w:pPr>
            <w:r w:rsidRPr="00F17760">
              <w:rPr>
                <w:lang w:val="en-AU"/>
              </w:rPr>
              <w:t>Patients with DOR ≥ 6 months</w:t>
            </w:r>
          </w:p>
        </w:tc>
        <w:tc>
          <w:tcPr>
            <w:tcW w:w="1979" w:type="dxa"/>
            <w:shd w:val="clear" w:color="auto" w:fill="auto"/>
          </w:tcPr>
          <w:p w14:paraId="0AC71F14" w14:textId="77777777" w:rsidR="007D565E" w:rsidRPr="0038119B" w:rsidRDefault="00CD5483">
            <w:pPr>
              <w:pStyle w:val="TblTextCenter"/>
              <w:rPr>
                <w:lang w:val="en-AU"/>
              </w:rPr>
            </w:pPr>
            <w:r w:rsidRPr="0038119B">
              <w:rPr>
                <w:lang w:val="en-AU"/>
              </w:rPr>
              <w:t>93.1%</w:t>
            </w:r>
          </w:p>
        </w:tc>
        <w:tc>
          <w:tcPr>
            <w:tcW w:w="1979" w:type="dxa"/>
            <w:shd w:val="clear" w:color="auto" w:fill="auto"/>
          </w:tcPr>
          <w:p w14:paraId="13FFED0D" w14:textId="77777777" w:rsidR="007D565E" w:rsidRPr="0038119B" w:rsidRDefault="00CD5483">
            <w:pPr>
              <w:pStyle w:val="TblTextCenter"/>
              <w:rPr>
                <w:lang w:val="en-AU"/>
              </w:rPr>
            </w:pPr>
            <w:r w:rsidRPr="0038119B">
              <w:rPr>
                <w:lang w:val="en-AU"/>
              </w:rPr>
              <w:t>67.6%</w:t>
            </w:r>
          </w:p>
        </w:tc>
        <w:tc>
          <w:tcPr>
            <w:tcW w:w="1797" w:type="dxa"/>
            <w:shd w:val="clear" w:color="auto" w:fill="auto"/>
          </w:tcPr>
          <w:p w14:paraId="5C35DAB2" w14:textId="4C85FC26" w:rsidR="007D565E" w:rsidRPr="0038119B" w:rsidRDefault="00CD5483">
            <w:pPr>
              <w:pStyle w:val="TblTextCenter"/>
              <w:rPr>
                <w:lang w:val="en-AU"/>
              </w:rPr>
            </w:pPr>
            <w:r w:rsidRPr="0038119B">
              <w:rPr>
                <w:lang w:val="en-AU"/>
              </w:rPr>
              <w:t>65.2</w:t>
            </w:r>
            <w:r w:rsidR="00154208" w:rsidRPr="0038119B">
              <w:rPr>
                <w:lang w:val="en-AU"/>
              </w:rPr>
              <w:t>%</w:t>
            </w:r>
          </w:p>
        </w:tc>
      </w:tr>
      <w:tr w:rsidR="007D565E" w:rsidRPr="0038119B" w14:paraId="44AA9CE9" w14:textId="77777777" w:rsidTr="00B0158D">
        <w:trPr>
          <w:cantSplit/>
          <w:jc w:val="center"/>
        </w:trPr>
        <w:tc>
          <w:tcPr>
            <w:tcW w:w="3261" w:type="dxa"/>
            <w:shd w:val="clear" w:color="auto" w:fill="auto"/>
          </w:tcPr>
          <w:p w14:paraId="272F20CB" w14:textId="77777777" w:rsidR="007D565E" w:rsidRPr="00F17760" w:rsidRDefault="007D565E">
            <w:pPr>
              <w:pStyle w:val="TblTextCenter"/>
              <w:rPr>
                <w:lang w:val="en-AU"/>
              </w:rPr>
            </w:pPr>
          </w:p>
        </w:tc>
        <w:tc>
          <w:tcPr>
            <w:tcW w:w="1979" w:type="dxa"/>
            <w:shd w:val="clear" w:color="auto" w:fill="auto"/>
          </w:tcPr>
          <w:p w14:paraId="5609CA03" w14:textId="77777777" w:rsidR="007D565E" w:rsidRPr="0038119B" w:rsidRDefault="007D565E">
            <w:pPr>
              <w:pStyle w:val="TblTextCenter"/>
              <w:rPr>
                <w:lang w:val="en-AU"/>
              </w:rPr>
            </w:pPr>
          </w:p>
        </w:tc>
        <w:tc>
          <w:tcPr>
            <w:tcW w:w="1979" w:type="dxa"/>
            <w:shd w:val="clear" w:color="auto" w:fill="auto"/>
          </w:tcPr>
          <w:p w14:paraId="5097ACC1" w14:textId="77777777" w:rsidR="007D565E" w:rsidRPr="0038119B" w:rsidRDefault="007D565E">
            <w:pPr>
              <w:pStyle w:val="TblTextCenter"/>
              <w:rPr>
                <w:lang w:val="en-AU"/>
              </w:rPr>
            </w:pPr>
          </w:p>
        </w:tc>
        <w:tc>
          <w:tcPr>
            <w:tcW w:w="1797" w:type="dxa"/>
            <w:shd w:val="clear" w:color="auto" w:fill="auto"/>
          </w:tcPr>
          <w:p w14:paraId="65CB55E2" w14:textId="77777777" w:rsidR="007D565E" w:rsidRPr="0038119B" w:rsidRDefault="007D565E">
            <w:pPr>
              <w:pStyle w:val="TblTextCenter"/>
              <w:rPr>
                <w:lang w:val="en-AU"/>
              </w:rPr>
            </w:pPr>
          </w:p>
        </w:tc>
      </w:tr>
      <w:tr w:rsidR="007D565E" w:rsidRPr="0038119B" w14:paraId="59966228" w14:textId="77777777" w:rsidTr="00B0158D">
        <w:trPr>
          <w:cantSplit/>
          <w:jc w:val="center"/>
        </w:trPr>
        <w:tc>
          <w:tcPr>
            <w:tcW w:w="3261" w:type="dxa"/>
            <w:shd w:val="clear" w:color="auto" w:fill="auto"/>
          </w:tcPr>
          <w:p w14:paraId="6052805E" w14:textId="72D91132" w:rsidR="007D565E" w:rsidRPr="00F17760" w:rsidRDefault="00CD5483">
            <w:pPr>
              <w:pStyle w:val="TblTextCenter"/>
              <w:rPr>
                <w:b/>
                <w:lang w:val="en-AU"/>
              </w:rPr>
            </w:pPr>
            <w:r w:rsidRPr="00F17760">
              <w:rPr>
                <w:b/>
                <w:lang w:val="en-AU"/>
              </w:rPr>
              <w:t>Time to response</w:t>
            </w:r>
            <w:r w:rsidR="00C47C5D" w:rsidRPr="00F17760">
              <w:rPr>
                <w:b/>
                <w:lang w:val="en-AU"/>
              </w:rPr>
              <w:t xml:space="preserve"> (TTR)</w:t>
            </w:r>
          </w:p>
        </w:tc>
        <w:tc>
          <w:tcPr>
            <w:tcW w:w="1979" w:type="dxa"/>
            <w:shd w:val="clear" w:color="auto" w:fill="auto"/>
          </w:tcPr>
          <w:p w14:paraId="58137B4D" w14:textId="77777777" w:rsidR="007D565E" w:rsidRPr="0038119B" w:rsidRDefault="007D565E">
            <w:pPr>
              <w:pStyle w:val="TblTextCenter"/>
              <w:rPr>
                <w:lang w:val="en-AU"/>
              </w:rPr>
            </w:pPr>
          </w:p>
        </w:tc>
        <w:tc>
          <w:tcPr>
            <w:tcW w:w="1979" w:type="dxa"/>
            <w:shd w:val="clear" w:color="auto" w:fill="auto"/>
          </w:tcPr>
          <w:p w14:paraId="7E6E1B0D" w14:textId="77777777" w:rsidR="007D565E" w:rsidRPr="0038119B" w:rsidRDefault="007D565E">
            <w:pPr>
              <w:pStyle w:val="TblTextCenter"/>
              <w:rPr>
                <w:lang w:val="en-AU"/>
              </w:rPr>
            </w:pPr>
          </w:p>
        </w:tc>
        <w:tc>
          <w:tcPr>
            <w:tcW w:w="1797" w:type="dxa"/>
            <w:shd w:val="clear" w:color="auto" w:fill="auto"/>
          </w:tcPr>
          <w:p w14:paraId="6110B902" w14:textId="77777777" w:rsidR="007D565E" w:rsidRPr="0038119B" w:rsidRDefault="007D565E">
            <w:pPr>
              <w:pStyle w:val="TblTextCenter"/>
              <w:rPr>
                <w:lang w:val="en-AU"/>
              </w:rPr>
            </w:pPr>
          </w:p>
        </w:tc>
      </w:tr>
      <w:tr w:rsidR="007D565E" w:rsidRPr="0038119B" w14:paraId="2F9AF3BB" w14:textId="77777777" w:rsidTr="00B0158D">
        <w:trPr>
          <w:cantSplit/>
          <w:jc w:val="center"/>
        </w:trPr>
        <w:tc>
          <w:tcPr>
            <w:tcW w:w="3261" w:type="dxa"/>
            <w:shd w:val="clear" w:color="auto" w:fill="auto"/>
          </w:tcPr>
          <w:p w14:paraId="79408FF7" w14:textId="77777777" w:rsidR="007D565E" w:rsidRPr="00F17760" w:rsidRDefault="00CD5483">
            <w:pPr>
              <w:pStyle w:val="TblTextCenter"/>
              <w:rPr>
                <w:lang w:val="en-AU"/>
              </w:rPr>
            </w:pPr>
            <w:r w:rsidRPr="00F17760">
              <w:rPr>
                <w:lang w:val="en-AU"/>
              </w:rPr>
              <w:t>Median (months) range (</w:t>
            </w:r>
            <w:proofErr w:type="spellStart"/>
            <w:r w:rsidRPr="00F17760">
              <w:rPr>
                <w:lang w:val="en-AU"/>
              </w:rPr>
              <w:t>min:max</w:t>
            </w:r>
            <w:proofErr w:type="spellEnd"/>
            <w:r w:rsidRPr="00F17760">
              <w:rPr>
                <w:lang w:val="en-AU"/>
              </w:rPr>
              <w:t>)</w:t>
            </w:r>
          </w:p>
        </w:tc>
        <w:tc>
          <w:tcPr>
            <w:tcW w:w="1979" w:type="dxa"/>
            <w:shd w:val="clear" w:color="auto" w:fill="auto"/>
          </w:tcPr>
          <w:p w14:paraId="3CDFE51A" w14:textId="77777777" w:rsidR="007D565E" w:rsidRPr="0038119B" w:rsidRDefault="00CD5483">
            <w:pPr>
              <w:pStyle w:val="TblTextCenter"/>
              <w:rPr>
                <w:lang w:val="en-AU"/>
              </w:rPr>
            </w:pPr>
            <w:r w:rsidRPr="0038119B">
              <w:rPr>
                <w:lang w:val="en-AU"/>
              </w:rPr>
              <w:t>1.9</w:t>
            </w:r>
          </w:p>
          <w:p w14:paraId="7464DF59" w14:textId="77777777" w:rsidR="007D565E" w:rsidRPr="0038119B" w:rsidRDefault="00CD5483">
            <w:pPr>
              <w:pStyle w:val="TblTextCenter"/>
              <w:rPr>
                <w:lang w:val="en-AU"/>
              </w:rPr>
            </w:pPr>
            <w:r w:rsidRPr="0038119B">
              <w:rPr>
                <w:lang w:val="en-AU"/>
              </w:rPr>
              <w:t>(1.7: 9.1)</w:t>
            </w:r>
          </w:p>
        </w:tc>
        <w:tc>
          <w:tcPr>
            <w:tcW w:w="1979" w:type="dxa"/>
            <w:shd w:val="clear" w:color="auto" w:fill="auto"/>
          </w:tcPr>
          <w:p w14:paraId="5CD94F6B" w14:textId="77777777" w:rsidR="007D565E" w:rsidRPr="0038119B" w:rsidRDefault="00CD5483">
            <w:pPr>
              <w:pStyle w:val="TblTextCenter"/>
              <w:rPr>
                <w:lang w:val="en-AU"/>
              </w:rPr>
            </w:pPr>
            <w:r w:rsidRPr="0038119B">
              <w:rPr>
                <w:lang w:val="en-AU"/>
              </w:rPr>
              <w:t xml:space="preserve">1.9 </w:t>
            </w:r>
          </w:p>
          <w:p w14:paraId="17C89FE7" w14:textId="77777777" w:rsidR="007D565E" w:rsidRPr="0038119B" w:rsidRDefault="00CD5483">
            <w:pPr>
              <w:pStyle w:val="TblTextCenter"/>
              <w:rPr>
                <w:lang w:val="en-AU"/>
              </w:rPr>
            </w:pPr>
            <w:r w:rsidRPr="0038119B">
              <w:rPr>
                <w:lang w:val="en-AU"/>
              </w:rPr>
              <w:t>(1.8: 8.8)</w:t>
            </w:r>
          </w:p>
        </w:tc>
        <w:tc>
          <w:tcPr>
            <w:tcW w:w="1797" w:type="dxa"/>
            <w:shd w:val="clear" w:color="auto" w:fill="auto"/>
          </w:tcPr>
          <w:p w14:paraId="06AB2734" w14:textId="77777777" w:rsidR="007D565E" w:rsidRPr="0038119B" w:rsidRDefault="00CD5483">
            <w:pPr>
              <w:pStyle w:val="TblTextCenter"/>
              <w:rPr>
                <w:lang w:val="en-AU"/>
              </w:rPr>
            </w:pPr>
            <w:r w:rsidRPr="0038119B">
              <w:rPr>
                <w:lang w:val="en-AU"/>
              </w:rPr>
              <w:t xml:space="preserve">2.1 </w:t>
            </w:r>
          </w:p>
          <w:p w14:paraId="6F0BB7E6" w14:textId="77777777" w:rsidR="007D565E" w:rsidRPr="0038119B" w:rsidRDefault="00CD5483">
            <w:pPr>
              <w:pStyle w:val="TblTextCenter"/>
              <w:rPr>
                <w:lang w:val="en-AU"/>
              </w:rPr>
            </w:pPr>
            <w:r w:rsidRPr="0038119B">
              <w:rPr>
                <w:lang w:val="en-AU"/>
              </w:rPr>
              <w:t>(2.0: 8.3)</w:t>
            </w:r>
          </w:p>
        </w:tc>
      </w:tr>
      <w:tr w:rsidR="007D565E" w:rsidRPr="0038119B" w14:paraId="29229064" w14:textId="77777777" w:rsidTr="00B0158D">
        <w:trPr>
          <w:cantSplit/>
          <w:jc w:val="center"/>
        </w:trPr>
        <w:tc>
          <w:tcPr>
            <w:tcW w:w="3261" w:type="dxa"/>
            <w:shd w:val="clear" w:color="auto" w:fill="auto"/>
          </w:tcPr>
          <w:p w14:paraId="66852C77" w14:textId="77777777" w:rsidR="007D565E" w:rsidRPr="00F17760" w:rsidRDefault="007D565E">
            <w:pPr>
              <w:pStyle w:val="TblTextCenter"/>
              <w:rPr>
                <w:lang w:val="en-AU"/>
              </w:rPr>
            </w:pPr>
          </w:p>
        </w:tc>
        <w:tc>
          <w:tcPr>
            <w:tcW w:w="1979" w:type="dxa"/>
            <w:shd w:val="clear" w:color="auto" w:fill="auto"/>
          </w:tcPr>
          <w:p w14:paraId="1E07C1C6" w14:textId="77777777" w:rsidR="007D565E" w:rsidRPr="0038119B" w:rsidRDefault="007D565E">
            <w:pPr>
              <w:pStyle w:val="TblTextCenter"/>
              <w:rPr>
                <w:lang w:val="en-AU"/>
              </w:rPr>
            </w:pPr>
          </w:p>
        </w:tc>
        <w:tc>
          <w:tcPr>
            <w:tcW w:w="1979" w:type="dxa"/>
            <w:shd w:val="clear" w:color="auto" w:fill="auto"/>
          </w:tcPr>
          <w:p w14:paraId="2AA19C07" w14:textId="77777777" w:rsidR="007D565E" w:rsidRPr="0038119B" w:rsidRDefault="007D565E">
            <w:pPr>
              <w:pStyle w:val="TblTextCenter"/>
              <w:rPr>
                <w:lang w:val="en-AU"/>
              </w:rPr>
            </w:pPr>
          </w:p>
        </w:tc>
        <w:tc>
          <w:tcPr>
            <w:tcW w:w="1797" w:type="dxa"/>
            <w:shd w:val="clear" w:color="auto" w:fill="auto"/>
          </w:tcPr>
          <w:p w14:paraId="14EB7CE1" w14:textId="77777777" w:rsidR="007D565E" w:rsidRPr="0038119B" w:rsidRDefault="007D565E">
            <w:pPr>
              <w:pStyle w:val="TblTextCenter"/>
              <w:rPr>
                <w:lang w:val="en-AU"/>
              </w:rPr>
            </w:pPr>
          </w:p>
        </w:tc>
      </w:tr>
      <w:tr w:rsidR="007D565E" w:rsidRPr="0038119B" w14:paraId="466A877D" w14:textId="77777777" w:rsidTr="00B0158D">
        <w:trPr>
          <w:cantSplit/>
          <w:jc w:val="center"/>
        </w:trPr>
        <w:tc>
          <w:tcPr>
            <w:tcW w:w="3261" w:type="dxa"/>
            <w:shd w:val="clear" w:color="auto" w:fill="auto"/>
          </w:tcPr>
          <w:p w14:paraId="2E0A1F33" w14:textId="77777777" w:rsidR="007D565E" w:rsidRPr="00F17760" w:rsidRDefault="00CD5483">
            <w:pPr>
              <w:pStyle w:val="TblTextCenter"/>
              <w:rPr>
                <w:b/>
                <w:lang w:val="en-AU"/>
              </w:rPr>
            </w:pPr>
            <w:r w:rsidRPr="00F17760">
              <w:rPr>
                <w:b/>
                <w:lang w:val="en-AU"/>
              </w:rPr>
              <w:t xml:space="preserve">Progression free survival (PFS) </w:t>
            </w:r>
            <w:r w:rsidRPr="00F17760">
              <w:rPr>
                <w:b/>
                <w:vertAlign w:val="superscript"/>
                <w:lang w:val="en-AU"/>
              </w:rPr>
              <w:t>a, c</w:t>
            </w:r>
          </w:p>
        </w:tc>
        <w:tc>
          <w:tcPr>
            <w:tcW w:w="1979" w:type="dxa"/>
            <w:shd w:val="clear" w:color="auto" w:fill="auto"/>
          </w:tcPr>
          <w:p w14:paraId="555BBD52" w14:textId="77777777" w:rsidR="007D565E" w:rsidRPr="0038119B" w:rsidRDefault="007D565E">
            <w:pPr>
              <w:pStyle w:val="TblTextCenter"/>
              <w:rPr>
                <w:lang w:val="en-AU"/>
              </w:rPr>
            </w:pPr>
          </w:p>
        </w:tc>
        <w:tc>
          <w:tcPr>
            <w:tcW w:w="1979" w:type="dxa"/>
            <w:shd w:val="clear" w:color="auto" w:fill="auto"/>
          </w:tcPr>
          <w:p w14:paraId="3B7ACBCE" w14:textId="77777777" w:rsidR="007D565E" w:rsidRPr="0038119B" w:rsidRDefault="007D565E">
            <w:pPr>
              <w:pStyle w:val="TblTextCenter"/>
              <w:rPr>
                <w:lang w:val="en-AU"/>
              </w:rPr>
            </w:pPr>
          </w:p>
        </w:tc>
        <w:tc>
          <w:tcPr>
            <w:tcW w:w="1797" w:type="dxa"/>
            <w:shd w:val="clear" w:color="auto" w:fill="auto"/>
          </w:tcPr>
          <w:p w14:paraId="70E96F94" w14:textId="77777777" w:rsidR="007D565E" w:rsidRPr="0038119B" w:rsidRDefault="007D565E">
            <w:pPr>
              <w:pStyle w:val="TblTextCenter"/>
              <w:rPr>
                <w:lang w:val="en-AU"/>
              </w:rPr>
            </w:pPr>
          </w:p>
        </w:tc>
      </w:tr>
      <w:tr w:rsidR="007D565E" w:rsidRPr="0038119B" w14:paraId="1FF0570A" w14:textId="77777777" w:rsidTr="00B0158D">
        <w:trPr>
          <w:cantSplit/>
          <w:jc w:val="center"/>
        </w:trPr>
        <w:tc>
          <w:tcPr>
            <w:tcW w:w="3261" w:type="dxa"/>
            <w:shd w:val="clear" w:color="auto" w:fill="auto"/>
          </w:tcPr>
          <w:p w14:paraId="7FDC90A9" w14:textId="77777777" w:rsidR="007D565E" w:rsidRPr="00F17760" w:rsidRDefault="00CD5483">
            <w:pPr>
              <w:pStyle w:val="TblTextCenter"/>
              <w:rPr>
                <w:lang w:val="en-AU"/>
              </w:rPr>
            </w:pPr>
            <w:r w:rsidRPr="00F17760">
              <w:rPr>
                <w:lang w:val="en-AU"/>
              </w:rPr>
              <w:t>6 months</w:t>
            </w:r>
          </w:p>
          <w:p w14:paraId="4BA6A3D2" w14:textId="77777777" w:rsidR="007D565E" w:rsidRPr="00F17760" w:rsidRDefault="00CD5483">
            <w:pPr>
              <w:pStyle w:val="TblTextCenter"/>
              <w:rPr>
                <w:lang w:val="en-AU"/>
              </w:rPr>
            </w:pPr>
            <w:r w:rsidRPr="00F17760">
              <w:rPr>
                <w:lang w:val="en-AU"/>
              </w:rPr>
              <w:t>(95% CI)</w:t>
            </w:r>
          </w:p>
        </w:tc>
        <w:tc>
          <w:tcPr>
            <w:tcW w:w="1979" w:type="dxa"/>
            <w:shd w:val="clear" w:color="auto" w:fill="auto"/>
          </w:tcPr>
          <w:p w14:paraId="52E79604" w14:textId="5A9B5735" w:rsidR="007D565E" w:rsidRPr="0038119B" w:rsidRDefault="00CD5483">
            <w:pPr>
              <w:pStyle w:val="TblTextCenter"/>
              <w:rPr>
                <w:lang w:val="en-AU"/>
              </w:rPr>
            </w:pPr>
            <w:r w:rsidRPr="0038119B">
              <w:rPr>
                <w:lang w:val="en-AU"/>
              </w:rPr>
              <w:t>65.8%</w:t>
            </w:r>
          </w:p>
          <w:p w14:paraId="1972F26B" w14:textId="3EA20D22" w:rsidR="007D565E" w:rsidRPr="0038119B" w:rsidRDefault="00CD5483">
            <w:pPr>
              <w:pStyle w:val="TblTextCenter"/>
              <w:rPr>
                <w:lang w:val="en-AU"/>
              </w:rPr>
            </w:pPr>
            <w:r w:rsidRPr="0038119B">
              <w:rPr>
                <w:lang w:val="en-AU"/>
              </w:rPr>
              <w:t>(51.8, 76.7)</w:t>
            </w:r>
          </w:p>
        </w:tc>
        <w:tc>
          <w:tcPr>
            <w:tcW w:w="1979" w:type="dxa"/>
            <w:shd w:val="clear" w:color="auto" w:fill="auto"/>
          </w:tcPr>
          <w:p w14:paraId="69CAB9FA" w14:textId="77777777" w:rsidR="007D565E" w:rsidRPr="0038119B" w:rsidRDefault="00CD5483">
            <w:pPr>
              <w:pStyle w:val="TblTextCenter"/>
              <w:rPr>
                <w:lang w:val="en-AU"/>
              </w:rPr>
            </w:pPr>
            <w:r w:rsidRPr="0038119B">
              <w:rPr>
                <w:lang w:val="en-AU"/>
              </w:rPr>
              <w:t>71.5%</w:t>
            </w:r>
          </w:p>
          <w:p w14:paraId="214D941F" w14:textId="77777777" w:rsidR="007D565E" w:rsidRPr="0038119B" w:rsidRDefault="00CD5483">
            <w:pPr>
              <w:pStyle w:val="TblTextCenter"/>
              <w:rPr>
                <w:lang w:val="en-AU"/>
              </w:rPr>
            </w:pPr>
            <w:r w:rsidRPr="0038119B">
              <w:rPr>
                <w:lang w:val="en-AU"/>
              </w:rPr>
              <w:t>(58.9, 80.9)</w:t>
            </w:r>
          </w:p>
        </w:tc>
        <w:tc>
          <w:tcPr>
            <w:tcW w:w="1797" w:type="dxa"/>
            <w:shd w:val="clear" w:color="auto" w:fill="auto"/>
          </w:tcPr>
          <w:p w14:paraId="38383D1B" w14:textId="77777777" w:rsidR="007D565E" w:rsidRPr="0038119B" w:rsidRDefault="00CD5483">
            <w:pPr>
              <w:pStyle w:val="TblTextCenter"/>
              <w:rPr>
                <w:lang w:val="en-AU"/>
              </w:rPr>
            </w:pPr>
            <w:r w:rsidRPr="0038119B">
              <w:rPr>
                <w:lang w:val="en-AU"/>
              </w:rPr>
              <w:t>59.3%</w:t>
            </w:r>
          </w:p>
          <w:p w14:paraId="608D1876" w14:textId="77777777" w:rsidR="007D565E" w:rsidRPr="0038119B" w:rsidRDefault="00CD5483">
            <w:pPr>
              <w:pStyle w:val="TblTextCenter"/>
              <w:rPr>
                <w:lang w:val="en-AU"/>
              </w:rPr>
            </w:pPr>
            <w:r w:rsidRPr="0038119B">
              <w:rPr>
                <w:lang w:val="en-AU"/>
              </w:rPr>
              <w:t>(45.0, 71.0)</w:t>
            </w:r>
          </w:p>
        </w:tc>
      </w:tr>
      <w:tr w:rsidR="007D565E" w:rsidRPr="0038119B" w14:paraId="5EA750AF" w14:textId="77777777" w:rsidTr="00B0158D">
        <w:trPr>
          <w:cantSplit/>
          <w:jc w:val="center"/>
        </w:trPr>
        <w:tc>
          <w:tcPr>
            <w:tcW w:w="3261" w:type="dxa"/>
            <w:shd w:val="clear" w:color="auto" w:fill="auto"/>
          </w:tcPr>
          <w:p w14:paraId="6247CAE3" w14:textId="77777777" w:rsidR="007D565E" w:rsidRPr="00F17760" w:rsidRDefault="00CD5483">
            <w:pPr>
              <w:pStyle w:val="TblTextCenter"/>
              <w:rPr>
                <w:lang w:val="en-AU"/>
              </w:rPr>
            </w:pPr>
            <w:r w:rsidRPr="00F17760">
              <w:rPr>
                <w:lang w:val="en-AU"/>
              </w:rPr>
              <w:t>12 months</w:t>
            </w:r>
          </w:p>
          <w:p w14:paraId="773F3F67" w14:textId="77777777" w:rsidR="007D565E" w:rsidRPr="00F17760" w:rsidRDefault="00CD5483">
            <w:pPr>
              <w:pStyle w:val="TblTextCenter"/>
              <w:rPr>
                <w:lang w:val="en-AU"/>
              </w:rPr>
            </w:pPr>
            <w:r w:rsidRPr="00F17760">
              <w:rPr>
                <w:lang w:val="en-AU"/>
              </w:rPr>
              <w:t>(95% CI)</w:t>
            </w:r>
          </w:p>
        </w:tc>
        <w:tc>
          <w:tcPr>
            <w:tcW w:w="1979" w:type="dxa"/>
            <w:shd w:val="clear" w:color="auto" w:fill="auto"/>
          </w:tcPr>
          <w:p w14:paraId="5070438F" w14:textId="1CF9213A" w:rsidR="007D565E" w:rsidRPr="0038119B" w:rsidRDefault="00CD5483">
            <w:pPr>
              <w:pStyle w:val="TblTextCenter"/>
              <w:rPr>
                <w:lang w:val="en-AU"/>
              </w:rPr>
            </w:pPr>
            <w:r w:rsidRPr="0038119B">
              <w:rPr>
                <w:lang w:val="en-AU"/>
              </w:rPr>
              <w:t>52.9%</w:t>
            </w:r>
          </w:p>
          <w:p w14:paraId="7DDCA993" w14:textId="6B9A1F50" w:rsidR="007D565E" w:rsidRPr="0038119B" w:rsidRDefault="00CD5483">
            <w:pPr>
              <w:pStyle w:val="TblTextCenter"/>
              <w:rPr>
                <w:lang w:val="en-AU"/>
              </w:rPr>
            </w:pPr>
            <w:r w:rsidRPr="0038119B">
              <w:rPr>
                <w:lang w:val="en-AU"/>
              </w:rPr>
              <w:t>(39.0, 65.0)</w:t>
            </w:r>
          </w:p>
        </w:tc>
        <w:tc>
          <w:tcPr>
            <w:tcW w:w="1979" w:type="dxa"/>
            <w:shd w:val="clear" w:color="auto" w:fill="auto"/>
          </w:tcPr>
          <w:p w14:paraId="15626A6F" w14:textId="77777777" w:rsidR="007D565E" w:rsidRPr="0038119B" w:rsidRDefault="00CD5483">
            <w:pPr>
              <w:pStyle w:val="TblTextCenter"/>
              <w:rPr>
                <w:lang w:val="en-AU"/>
              </w:rPr>
            </w:pPr>
            <w:r w:rsidRPr="0038119B">
              <w:rPr>
                <w:lang w:val="en-AU"/>
              </w:rPr>
              <w:t>58.1%</w:t>
            </w:r>
          </w:p>
          <w:p w14:paraId="7B99EBE1" w14:textId="77777777" w:rsidR="007D565E" w:rsidRPr="0038119B" w:rsidRDefault="00CD5483">
            <w:pPr>
              <w:pStyle w:val="TblTextCenter"/>
              <w:rPr>
                <w:lang w:val="en-AU"/>
              </w:rPr>
            </w:pPr>
            <w:r w:rsidRPr="0038119B">
              <w:rPr>
                <w:lang w:val="en-AU"/>
              </w:rPr>
              <w:t>(43.7, 70.0)</w:t>
            </w:r>
          </w:p>
        </w:tc>
        <w:tc>
          <w:tcPr>
            <w:tcW w:w="1797" w:type="dxa"/>
            <w:shd w:val="clear" w:color="auto" w:fill="auto"/>
          </w:tcPr>
          <w:p w14:paraId="5AFB027C" w14:textId="322ABFBD" w:rsidR="007D565E" w:rsidRPr="0038119B" w:rsidRDefault="00CD5483">
            <w:pPr>
              <w:pStyle w:val="TblTextCenter"/>
              <w:rPr>
                <w:lang w:val="en-AU"/>
              </w:rPr>
            </w:pPr>
            <w:r w:rsidRPr="0038119B">
              <w:rPr>
                <w:lang w:val="en-AU"/>
              </w:rPr>
              <w:t>47.4%</w:t>
            </w:r>
          </w:p>
          <w:p w14:paraId="6A9B30AD" w14:textId="06181092" w:rsidR="007D565E" w:rsidRPr="0038119B" w:rsidRDefault="00CD5483">
            <w:pPr>
              <w:pStyle w:val="TblTextCenter"/>
              <w:rPr>
                <w:lang w:val="en-AU"/>
              </w:rPr>
            </w:pPr>
            <w:r w:rsidRPr="0038119B">
              <w:rPr>
                <w:lang w:val="en-AU"/>
              </w:rPr>
              <w:t>(29.6, 63.3)</w:t>
            </w:r>
          </w:p>
        </w:tc>
      </w:tr>
      <w:tr w:rsidR="007D565E" w:rsidRPr="0038119B" w14:paraId="488F867A" w14:textId="77777777" w:rsidTr="00B0158D">
        <w:trPr>
          <w:cantSplit/>
          <w:jc w:val="center"/>
        </w:trPr>
        <w:tc>
          <w:tcPr>
            <w:tcW w:w="3261" w:type="dxa"/>
            <w:shd w:val="clear" w:color="auto" w:fill="auto"/>
          </w:tcPr>
          <w:p w14:paraId="53CF42BB" w14:textId="77777777" w:rsidR="007D565E" w:rsidRPr="00F17760" w:rsidRDefault="007D565E">
            <w:pPr>
              <w:pStyle w:val="TblTextCenter"/>
              <w:rPr>
                <w:lang w:val="en-AU"/>
              </w:rPr>
            </w:pPr>
          </w:p>
        </w:tc>
        <w:tc>
          <w:tcPr>
            <w:tcW w:w="1979" w:type="dxa"/>
            <w:shd w:val="clear" w:color="auto" w:fill="auto"/>
          </w:tcPr>
          <w:p w14:paraId="513FF51F" w14:textId="77777777" w:rsidR="007D565E" w:rsidRPr="0038119B" w:rsidRDefault="007D565E">
            <w:pPr>
              <w:pStyle w:val="TblTextCenter"/>
              <w:rPr>
                <w:lang w:val="en-AU"/>
              </w:rPr>
            </w:pPr>
          </w:p>
        </w:tc>
        <w:tc>
          <w:tcPr>
            <w:tcW w:w="1979" w:type="dxa"/>
            <w:shd w:val="clear" w:color="auto" w:fill="auto"/>
          </w:tcPr>
          <w:p w14:paraId="1DAB8366" w14:textId="77777777" w:rsidR="007D565E" w:rsidRPr="0038119B" w:rsidRDefault="007D565E">
            <w:pPr>
              <w:pStyle w:val="TblTextCenter"/>
              <w:rPr>
                <w:lang w:val="en-AU"/>
              </w:rPr>
            </w:pPr>
          </w:p>
        </w:tc>
        <w:tc>
          <w:tcPr>
            <w:tcW w:w="1797" w:type="dxa"/>
            <w:shd w:val="clear" w:color="auto" w:fill="auto"/>
          </w:tcPr>
          <w:p w14:paraId="57DCB16D" w14:textId="77777777" w:rsidR="007D565E" w:rsidRPr="0038119B" w:rsidRDefault="007D565E">
            <w:pPr>
              <w:pStyle w:val="TblTextCenter"/>
              <w:rPr>
                <w:lang w:val="en-AU"/>
              </w:rPr>
            </w:pPr>
          </w:p>
        </w:tc>
      </w:tr>
      <w:tr w:rsidR="007D565E" w:rsidRPr="0038119B" w14:paraId="53412DE5" w14:textId="77777777" w:rsidTr="00B0158D">
        <w:trPr>
          <w:cantSplit/>
          <w:jc w:val="center"/>
        </w:trPr>
        <w:tc>
          <w:tcPr>
            <w:tcW w:w="3261" w:type="dxa"/>
            <w:shd w:val="clear" w:color="auto" w:fill="auto"/>
          </w:tcPr>
          <w:p w14:paraId="4526D508" w14:textId="24CD5A27" w:rsidR="007D565E" w:rsidRPr="00F17760" w:rsidRDefault="00CD5483">
            <w:pPr>
              <w:pStyle w:val="TblTextCenter"/>
              <w:rPr>
                <w:b/>
                <w:lang w:val="en-AU"/>
              </w:rPr>
            </w:pPr>
            <w:r w:rsidRPr="00F17760">
              <w:rPr>
                <w:b/>
                <w:lang w:val="en-AU"/>
              </w:rPr>
              <w:t>Overall survival</w:t>
            </w:r>
            <w:r w:rsidR="00C47C5D" w:rsidRPr="00F17760">
              <w:rPr>
                <w:b/>
                <w:lang w:val="en-AU"/>
              </w:rPr>
              <w:t xml:space="preserve"> (OS)</w:t>
            </w:r>
            <w:r w:rsidRPr="00F17760">
              <w:rPr>
                <w:b/>
                <w:vertAlign w:val="superscript"/>
                <w:lang w:val="en-AU"/>
              </w:rPr>
              <w:t>a, c</w:t>
            </w:r>
          </w:p>
        </w:tc>
        <w:tc>
          <w:tcPr>
            <w:tcW w:w="1979" w:type="dxa"/>
            <w:shd w:val="clear" w:color="auto" w:fill="auto"/>
          </w:tcPr>
          <w:p w14:paraId="7DC75E28" w14:textId="77777777" w:rsidR="007D565E" w:rsidRPr="0038119B" w:rsidRDefault="007D565E">
            <w:pPr>
              <w:pStyle w:val="TblTextCenter"/>
              <w:rPr>
                <w:lang w:val="en-AU"/>
              </w:rPr>
            </w:pPr>
          </w:p>
        </w:tc>
        <w:tc>
          <w:tcPr>
            <w:tcW w:w="1979" w:type="dxa"/>
            <w:shd w:val="clear" w:color="auto" w:fill="auto"/>
          </w:tcPr>
          <w:p w14:paraId="647424F5" w14:textId="77777777" w:rsidR="007D565E" w:rsidRPr="0038119B" w:rsidRDefault="007D565E">
            <w:pPr>
              <w:pStyle w:val="TblTextCenter"/>
              <w:rPr>
                <w:lang w:val="en-AU"/>
              </w:rPr>
            </w:pPr>
          </w:p>
        </w:tc>
        <w:tc>
          <w:tcPr>
            <w:tcW w:w="1797" w:type="dxa"/>
            <w:shd w:val="clear" w:color="auto" w:fill="auto"/>
          </w:tcPr>
          <w:p w14:paraId="56BAB1BB" w14:textId="77777777" w:rsidR="007D565E" w:rsidRPr="0038119B" w:rsidRDefault="007D565E">
            <w:pPr>
              <w:pStyle w:val="TblTextCenter"/>
              <w:rPr>
                <w:lang w:val="en-AU"/>
              </w:rPr>
            </w:pPr>
          </w:p>
        </w:tc>
      </w:tr>
      <w:tr w:rsidR="007D565E" w:rsidRPr="0038119B" w14:paraId="3869D37E" w14:textId="77777777" w:rsidTr="00B0158D">
        <w:trPr>
          <w:cantSplit/>
          <w:trHeight w:val="655"/>
          <w:jc w:val="center"/>
        </w:trPr>
        <w:tc>
          <w:tcPr>
            <w:tcW w:w="3261" w:type="dxa"/>
            <w:shd w:val="clear" w:color="auto" w:fill="auto"/>
          </w:tcPr>
          <w:p w14:paraId="068A97AA" w14:textId="77777777" w:rsidR="007D565E" w:rsidRPr="00F17760" w:rsidRDefault="00CD5483">
            <w:pPr>
              <w:pStyle w:val="TblTextCenter"/>
              <w:rPr>
                <w:lang w:val="en-AU"/>
              </w:rPr>
            </w:pPr>
            <w:r w:rsidRPr="00F17760">
              <w:rPr>
                <w:lang w:val="en-AU"/>
              </w:rPr>
              <w:t>12 months</w:t>
            </w:r>
          </w:p>
          <w:p w14:paraId="0DE916B3" w14:textId="77777777" w:rsidR="007D565E" w:rsidRPr="00F17760" w:rsidRDefault="00CD5483">
            <w:pPr>
              <w:pStyle w:val="TblTextCenter"/>
              <w:rPr>
                <w:lang w:val="en-AU"/>
              </w:rPr>
            </w:pPr>
            <w:r w:rsidRPr="00F17760">
              <w:rPr>
                <w:lang w:val="en-AU"/>
              </w:rPr>
              <w:t>(95% CI)</w:t>
            </w:r>
          </w:p>
        </w:tc>
        <w:tc>
          <w:tcPr>
            <w:tcW w:w="1979" w:type="dxa"/>
            <w:shd w:val="clear" w:color="auto" w:fill="auto"/>
          </w:tcPr>
          <w:p w14:paraId="42187E82" w14:textId="77777777" w:rsidR="007D565E" w:rsidRPr="0038119B" w:rsidRDefault="00CD5483">
            <w:pPr>
              <w:pStyle w:val="TblTextCenter"/>
              <w:rPr>
                <w:lang w:val="en-AU"/>
              </w:rPr>
            </w:pPr>
            <w:r w:rsidRPr="0038119B">
              <w:rPr>
                <w:lang w:val="en-AU"/>
              </w:rPr>
              <w:t>81.3%</w:t>
            </w:r>
          </w:p>
          <w:p w14:paraId="40BA24E2" w14:textId="77777777" w:rsidR="007D565E" w:rsidRPr="0038119B" w:rsidRDefault="00CD5483">
            <w:pPr>
              <w:pStyle w:val="TblTextCenter"/>
              <w:rPr>
                <w:lang w:val="en-AU"/>
              </w:rPr>
            </w:pPr>
            <w:r w:rsidRPr="0038119B">
              <w:rPr>
                <w:lang w:val="en-AU"/>
              </w:rPr>
              <w:t>(68.7, 89.2)</w:t>
            </w:r>
          </w:p>
        </w:tc>
        <w:tc>
          <w:tcPr>
            <w:tcW w:w="1979" w:type="dxa"/>
            <w:shd w:val="clear" w:color="auto" w:fill="auto"/>
          </w:tcPr>
          <w:p w14:paraId="4025BBE8" w14:textId="77777777" w:rsidR="007D565E" w:rsidRPr="0038119B" w:rsidRDefault="00CD5483">
            <w:pPr>
              <w:pStyle w:val="TblTextCenter"/>
              <w:rPr>
                <w:lang w:val="en-AU"/>
              </w:rPr>
            </w:pPr>
            <w:r w:rsidRPr="0038119B">
              <w:rPr>
                <w:lang w:val="en-AU"/>
              </w:rPr>
              <w:t>93.2%</w:t>
            </w:r>
          </w:p>
          <w:p w14:paraId="02A689E7" w14:textId="77777777" w:rsidR="007D565E" w:rsidRPr="0038119B" w:rsidRDefault="00CD5483">
            <w:pPr>
              <w:pStyle w:val="TblTextCenter"/>
              <w:rPr>
                <w:lang w:val="en-AU"/>
              </w:rPr>
            </w:pPr>
            <w:r w:rsidRPr="0038119B">
              <w:rPr>
                <w:lang w:val="en-AU"/>
              </w:rPr>
              <w:t>(84.4, 97.1)</w:t>
            </w:r>
          </w:p>
        </w:tc>
        <w:tc>
          <w:tcPr>
            <w:tcW w:w="1797" w:type="dxa"/>
            <w:shd w:val="clear" w:color="auto" w:fill="auto"/>
          </w:tcPr>
          <w:p w14:paraId="4A05157F" w14:textId="77777777" w:rsidR="007D565E" w:rsidRPr="0038119B" w:rsidRDefault="00CD5483">
            <w:pPr>
              <w:pStyle w:val="TblTextCenter"/>
              <w:rPr>
                <w:lang w:val="en-AU"/>
              </w:rPr>
            </w:pPr>
            <w:r w:rsidRPr="0038119B">
              <w:rPr>
                <w:lang w:val="en-AU"/>
              </w:rPr>
              <w:t>76.1%</w:t>
            </w:r>
          </w:p>
          <w:p w14:paraId="401673EB" w14:textId="77777777" w:rsidR="007D565E" w:rsidRPr="0038119B" w:rsidRDefault="00CD5483">
            <w:pPr>
              <w:pStyle w:val="TblTextCenter"/>
              <w:rPr>
                <w:lang w:val="en-AU"/>
              </w:rPr>
            </w:pPr>
            <w:r w:rsidRPr="0038119B">
              <w:rPr>
                <w:lang w:val="en-AU"/>
              </w:rPr>
              <w:t>(56.9, 87.6)</w:t>
            </w:r>
          </w:p>
        </w:tc>
      </w:tr>
      <w:tr w:rsidR="007D565E" w:rsidRPr="0038119B" w14:paraId="0BB5F3D6" w14:textId="77777777">
        <w:trPr>
          <w:cantSplit/>
          <w:jc w:val="center"/>
        </w:trPr>
        <w:tc>
          <w:tcPr>
            <w:tcW w:w="0" w:type="auto"/>
            <w:gridSpan w:val="4"/>
            <w:shd w:val="clear" w:color="auto" w:fill="auto"/>
          </w:tcPr>
          <w:p w14:paraId="4EE34970" w14:textId="77777777" w:rsidR="007D565E" w:rsidRPr="0038119B" w:rsidRDefault="00CD5483">
            <w:pPr>
              <w:pStyle w:val="TblFigFootnote"/>
              <w:rPr>
                <w:lang w:val="en-AU"/>
              </w:rPr>
            </w:pPr>
            <w:r w:rsidRPr="0038119B">
              <w:rPr>
                <w:lang w:val="en-AU"/>
              </w:rPr>
              <w:lastRenderedPageBreak/>
              <w:t>Data cut-off was Sep 20, 2018 for Groups 1 and 3 patients, and Oct 10, 2018 for Group 2 patients.</w:t>
            </w:r>
          </w:p>
          <w:p w14:paraId="00851E2A" w14:textId="77777777" w:rsidR="007D565E" w:rsidRPr="0038119B" w:rsidRDefault="00CD5483">
            <w:pPr>
              <w:pStyle w:val="TblFigFootnote"/>
              <w:rPr>
                <w:lang w:val="en-AU"/>
              </w:rPr>
            </w:pPr>
            <w:r w:rsidRPr="0038119B">
              <w:rPr>
                <w:lang w:val="en-AU"/>
              </w:rPr>
              <w:t>CI: confidence interval; ICR: Independent Central Review; NR: Not Reached; +: Denotes ongoing at last assessment</w:t>
            </w:r>
            <w:r w:rsidRPr="0038119B">
              <w:rPr>
                <w:rFonts w:eastAsiaTheme="minorHAnsi"/>
                <w:sz w:val="20"/>
                <w:lang w:val="en-AU"/>
              </w:rPr>
              <w:t>; Q2W: every 2 weeks; Q3W: every 3 weeks</w:t>
            </w:r>
          </w:p>
          <w:p w14:paraId="0DE2E7E2" w14:textId="77777777" w:rsidR="007D565E" w:rsidRPr="0038119B" w:rsidRDefault="00CD5483">
            <w:pPr>
              <w:pStyle w:val="TblFigFootnote"/>
              <w:numPr>
                <w:ilvl w:val="0"/>
                <w:numId w:val="11"/>
              </w:numPr>
              <w:rPr>
                <w:lang w:val="en-AU"/>
              </w:rPr>
            </w:pPr>
            <w:r w:rsidRPr="0038119B">
              <w:rPr>
                <w:lang w:val="en-AU"/>
              </w:rPr>
              <w:t xml:space="preserve">In Groups 1, 2, and 3, median durations of follow-up were 16.5, 9.3, and 8.1 months, respectively. </w:t>
            </w:r>
          </w:p>
          <w:p w14:paraId="54E68C8A" w14:textId="2DDE2AFA" w:rsidR="007D565E" w:rsidRPr="0038119B" w:rsidRDefault="00CD5483">
            <w:pPr>
              <w:pStyle w:val="TblFigFootnote"/>
              <w:numPr>
                <w:ilvl w:val="0"/>
                <w:numId w:val="11"/>
              </w:numPr>
              <w:rPr>
                <w:lang w:val="en-AU"/>
              </w:rPr>
            </w:pPr>
            <w:r w:rsidRPr="0038119B">
              <w:rPr>
                <w:lang w:val="en-AU"/>
              </w:rPr>
              <w:t xml:space="preserve">Only includes patients with complete healing of prior cutaneous involvement; </w:t>
            </w:r>
            <w:r w:rsidR="00BB4E1A" w:rsidRPr="0038119B">
              <w:rPr>
                <w:lang w:val="en-AU"/>
              </w:rPr>
              <w:t>la</w:t>
            </w:r>
            <w:r w:rsidRPr="0038119B">
              <w:rPr>
                <w:lang w:val="en-AU"/>
              </w:rPr>
              <w:t>CSCC patients in Study 1540 required biopsy to confirm complete response.</w:t>
            </w:r>
          </w:p>
          <w:p w14:paraId="4180F7F9" w14:textId="47A36D73" w:rsidR="007D565E" w:rsidRPr="0038119B" w:rsidRDefault="00CD5483" w:rsidP="00953F82">
            <w:pPr>
              <w:pStyle w:val="TblFigFootnote"/>
              <w:numPr>
                <w:ilvl w:val="0"/>
                <w:numId w:val="11"/>
              </w:numPr>
              <w:rPr>
                <w:lang w:val="en-AU"/>
              </w:rPr>
            </w:pPr>
            <w:r w:rsidRPr="0038119B">
              <w:rPr>
                <w:lang w:val="en-AU"/>
              </w:rPr>
              <w:t>Based on Kaplan Meier estimates</w:t>
            </w:r>
          </w:p>
        </w:tc>
      </w:tr>
    </w:tbl>
    <w:p w14:paraId="72FEF055" w14:textId="77777777" w:rsidR="007D565E" w:rsidRPr="0038119B" w:rsidRDefault="00CD5483" w:rsidP="000B23F2">
      <w:pPr>
        <w:pStyle w:val="Heading5"/>
        <w:numPr>
          <w:ilvl w:val="0"/>
          <w:numId w:val="0"/>
        </w:numPr>
        <w:ind w:left="1009" w:hanging="1009"/>
        <w:rPr>
          <w:lang w:val="en-AU"/>
        </w:rPr>
      </w:pPr>
      <w:r w:rsidRPr="0038119B">
        <w:rPr>
          <w:lang w:val="en-AU"/>
        </w:rPr>
        <w:t>Efficacy and PD</w:t>
      </w:r>
      <w:r w:rsidRPr="0038119B">
        <w:rPr>
          <w:lang w:val="en-AU"/>
        </w:rPr>
        <w:noBreakHyphen/>
        <w:t>L1 status</w:t>
      </w:r>
    </w:p>
    <w:p w14:paraId="3956DD6C" w14:textId="750847FB" w:rsidR="007D565E" w:rsidRPr="00F17760" w:rsidRDefault="00CD5483">
      <w:pPr>
        <w:rPr>
          <w:color w:val="auto"/>
          <w:lang w:val="en-AU"/>
        </w:rPr>
      </w:pPr>
      <w:r w:rsidRPr="0038119B">
        <w:rPr>
          <w:lang w:val="en-AU"/>
        </w:rPr>
        <w:t>Clinical activity was observed regardless of tumour PD</w:t>
      </w:r>
      <w:r w:rsidRPr="0038119B">
        <w:rPr>
          <w:lang w:val="en-AU"/>
        </w:rPr>
        <w:noBreakHyphen/>
        <w:t>L1 expression status. The relationship between PD</w:t>
      </w:r>
      <w:r w:rsidRPr="0038119B">
        <w:rPr>
          <w:lang w:val="en-AU"/>
        </w:rPr>
        <w:noBreakHyphen/>
        <w:t xml:space="preserve">L1 status and efficacy was analysed post-hoc in patients with available tissue samples. </w:t>
      </w:r>
      <w:proofErr w:type="gramStart"/>
      <w:r w:rsidRPr="00F17760">
        <w:rPr>
          <w:color w:val="auto"/>
          <w:lang w:val="en-AU"/>
        </w:rPr>
        <w:t>Overall</w:t>
      </w:r>
      <w:proofErr w:type="gramEnd"/>
      <w:r w:rsidRPr="00F17760">
        <w:rPr>
          <w:color w:val="auto"/>
          <w:lang w:val="en-AU"/>
        </w:rPr>
        <w:t xml:space="preserve"> in Studies 1423 and 1540, PD</w:t>
      </w:r>
      <w:r w:rsidRPr="00F17760">
        <w:rPr>
          <w:color w:val="auto"/>
          <w:lang w:val="en-AU"/>
        </w:rPr>
        <w:noBreakHyphen/>
        <w:t>L1 IHC results were available for 75 advanced CSCC patients. Among 22 advanced CSCC patients with PD</w:t>
      </w:r>
      <w:r w:rsidRPr="00F17760">
        <w:rPr>
          <w:color w:val="auto"/>
          <w:lang w:val="en-AU"/>
        </w:rPr>
        <w:noBreakHyphen/>
        <w:t xml:space="preserve">L1 &lt;1%, ORR per </w:t>
      </w:r>
      <w:r w:rsidR="005B090A" w:rsidRPr="00F17760">
        <w:rPr>
          <w:color w:val="auto"/>
          <w:lang w:val="en-AU"/>
        </w:rPr>
        <w:t xml:space="preserve">ICR </w:t>
      </w:r>
      <w:r w:rsidRPr="00F17760">
        <w:rPr>
          <w:color w:val="auto"/>
          <w:lang w:val="en-AU"/>
        </w:rPr>
        <w:t>was 40.9% (9/22). Among 53 advanced CSCC patients with PD</w:t>
      </w:r>
      <w:r w:rsidRPr="00F17760">
        <w:rPr>
          <w:color w:val="auto"/>
          <w:lang w:val="en-AU"/>
        </w:rPr>
        <w:noBreakHyphen/>
        <w:t>L1 ≥1%, ORR was 54.7% (29/53). Among 21 mCSCC patients, ORR was 60% (3/5) in patients with PD</w:t>
      </w:r>
      <w:r w:rsidRPr="00F17760">
        <w:rPr>
          <w:color w:val="auto"/>
          <w:lang w:val="en-AU"/>
        </w:rPr>
        <w:noBreakHyphen/>
        <w:t>L1 &lt;1% and 56.3% (9/16) among patients with PD</w:t>
      </w:r>
      <w:r w:rsidRPr="00F17760">
        <w:rPr>
          <w:color w:val="auto"/>
          <w:lang w:val="en-AU"/>
        </w:rPr>
        <w:noBreakHyphen/>
        <w:t>L1 ≥1%. Among 54 patients with laCSCC, ORR was 35.3% (6/17) in patients with PD</w:t>
      </w:r>
      <w:r w:rsidRPr="00F17760">
        <w:rPr>
          <w:color w:val="auto"/>
          <w:lang w:val="en-AU"/>
        </w:rPr>
        <w:noBreakHyphen/>
        <w:t>L1 &lt;1% and 54.1% (20/37) among patients with PD</w:t>
      </w:r>
      <w:r w:rsidRPr="00F17760">
        <w:rPr>
          <w:color w:val="auto"/>
          <w:lang w:val="en-AU"/>
        </w:rPr>
        <w:noBreakHyphen/>
        <w:t>L1 ≥1%.</w:t>
      </w:r>
    </w:p>
    <w:p w14:paraId="59BE62C4" w14:textId="55BF5947" w:rsidR="00C47C5D" w:rsidRPr="00F17760" w:rsidRDefault="00B0158D" w:rsidP="00B0158D">
      <w:pPr>
        <w:pStyle w:val="Heading4"/>
        <w:numPr>
          <w:ilvl w:val="0"/>
          <w:numId w:val="0"/>
        </w:numPr>
        <w:ind w:left="862" w:hanging="862"/>
        <w:rPr>
          <w:lang w:val="en-AU"/>
        </w:rPr>
      </w:pPr>
      <w:r w:rsidRPr="00F17760">
        <w:rPr>
          <w:lang w:val="en-AU"/>
        </w:rPr>
        <w:t>NSCLC</w:t>
      </w:r>
    </w:p>
    <w:p w14:paraId="544C74D2" w14:textId="549B4A64" w:rsidR="00D05117" w:rsidRPr="00B36E99" w:rsidRDefault="000E6F43" w:rsidP="00B36E99">
      <w:pPr>
        <w:rPr>
          <w:color w:val="auto"/>
          <w:lang w:val="en-AU"/>
        </w:rPr>
      </w:pPr>
      <w:bookmarkStart w:id="26" w:name="_Hlk46401876"/>
      <w:bookmarkStart w:id="27" w:name="_Hlk47459524"/>
      <w:bookmarkStart w:id="28" w:name="_Hlk43379773"/>
      <w:r w:rsidRPr="000E6F43">
        <w:rPr>
          <w:color w:val="auto"/>
          <w:lang w:val="en-AU"/>
        </w:rPr>
        <w:t>The efficacy and safety of cemiplimab compared with platinum-doublet chemotherapy in patients with locally advanced NSCLC who were not candidates for surgical resection or definitive chemoradiation, or with metastatic NSCLC who had tumour PD-L1 expression ≥ 50% using the PD-L1 IHC 22C3 pharmDx assay were evaluated in Study 1624, a randomised, open-label, multi-centre study. A total of 710 patients were enrolled</w:t>
      </w:r>
      <w:r w:rsidR="00D05117" w:rsidRPr="00B36E99">
        <w:rPr>
          <w:color w:val="auto"/>
          <w:lang w:val="en-AU"/>
        </w:rPr>
        <w:t>.</w:t>
      </w:r>
    </w:p>
    <w:bookmarkEnd w:id="26"/>
    <w:p w14:paraId="07867BA0" w14:textId="661D27D4" w:rsidR="00B0158D" w:rsidRPr="00F17760" w:rsidRDefault="00B0158D" w:rsidP="00BA00BF">
      <w:pPr>
        <w:rPr>
          <w:color w:val="auto"/>
          <w:lang w:val="en-AU"/>
        </w:rPr>
      </w:pPr>
      <w:r w:rsidRPr="00F17760">
        <w:rPr>
          <w:color w:val="auto"/>
          <w:lang w:val="en-AU"/>
        </w:rPr>
        <w:t xml:space="preserve">The study excluded patients with EGFR, ALK or ROS1 genomic tumour aberrations, medical conditions that required systemic immunosuppression, uncontrolled infection with hepatitis B (HBV) or hepatitis C (HCV) or human immunodeficiency virus (HIV), or autoimmune disease that required systemic therapy within 2 years of treatment. Patients with type </w:t>
      </w:r>
      <w:r w:rsidR="00774D10" w:rsidRPr="00F17760">
        <w:rPr>
          <w:color w:val="auto"/>
          <w:lang w:val="en-AU"/>
        </w:rPr>
        <w:t xml:space="preserve">1 </w:t>
      </w:r>
      <w:r w:rsidRPr="00F17760">
        <w:rPr>
          <w:color w:val="auto"/>
          <w:lang w:val="en-AU"/>
        </w:rPr>
        <w:t xml:space="preserve">diabetes mellitus or hypothyroidism only requiring hormone replacement were eligible. The study included patients who had not received prior systemic therapy for recurrent or metastatic NSCLC. Treatment of brain metastases was permitted, and patients could be enrolled if they had been adequately treated and had neurologically returned to baseline for at least 2 weeks prior to randomisation. Radiological confirmation of stability or response was not required. </w:t>
      </w:r>
    </w:p>
    <w:p w14:paraId="0C3F366C" w14:textId="77777777" w:rsidR="00D55E11" w:rsidRPr="00F17760" w:rsidRDefault="00B0158D" w:rsidP="00BA00BF">
      <w:pPr>
        <w:rPr>
          <w:color w:val="auto"/>
          <w:lang w:val="en-AU"/>
        </w:rPr>
      </w:pPr>
      <w:bookmarkStart w:id="29" w:name="_Hlk47955630"/>
      <w:bookmarkEnd w:id="27"/>
      <w:bookmarkEnd w:id="28"/>
      <w:r w:rsidRPr="00F17760">
        <w:rPr>
          <w:color w:val="auto"/>
          <w:lang w:val="en-AU"/>
        </w:rPr>
        <w:t xml:space="preserve">Randomisation was stratified by histology (non-squamous vs squamous). Patients were randomised (1:1) to receive cemiplimab 350 mg intravenously (IV) every 3 weeks for up to </w:t>
      </w:r>
      <w:r w:rsidRPr="00F17760">
        <w:rPr>
          <w:color w:val="auto"/>
          <w:lang w:val="en-AU"/>
        </w:rPr>
        <w:lastRenderedPageBreak/>
        <w:t xml:space="preserve">108 weeks or investigator’s choice of the following platinum-doublet chemotherapy regimens for 4 to 6 cycles: </w:t>
      </w:r>
    </w:p>
    <w:p w14:paraId="4F8C64FB" w14:textId="2E5B855E" w:rsidR="00D55E11" w:rsidRPr="00F17760" w:rsidRDefault="00D55E11" w:rsidP="00D55E11">
      <w:pPr>
        <w:pStyle w:val="ListBulletLevel1"/>
        <w:numPr>
          <w:ilvl w:val="0"/>
          <w:numId w:val="30"/>
        </w:numPr>
        <w:rPr>
          <w:color w:val="auto"/>
          <w:lang w:val="en-AU"/>
        </w:rPr>
      </w:pPr>
      <w:r w:rsidRPr="00F17760">
        <w:rPr>
          <w:color w:val="auto"/>
          <w:lang w:val="en-AU"/>
        </w:rPr>
        <w:t>P</w:t>
      </w:r>
      <w:r w:rsidR="00B0158D" w:rsidRPr="00F17760">
        <w:rPr>
          <w:color w:val="auto"/>
          <w:lang w:val="en-AU"/>
        </w:rPr>
        <w:t>aclitaxel + cisplatin or carboplatin</w:t>
      </w:r>
    </w:p>
    <w:p w14:paraId="30CAFA79" w14:textId="08183D18" w:rsidR="00D55E11" w:rsidRPr="00F17760" w:rsidRDefault="00D55E11" w:rsidP="00D55E11">
      <w:pPr>
        <w:pStyle w:val="ListBulletLevel1"/>
        <w:numPr>
          <w:ilvl w:val="0"/>
          <w:numId w:val="30"/>
        </w:numPr>
        <w:rPr>
          <w:color w:val="auto"/>
          <w:lang w:val="en-AU"/>
        </w:rPr>
      </w:pPr>
      <w:r w:rsidRPr="00F17760">
        <w:rPr>
          <w:color w:val="auto"/>
          <w:lang w:val="en-AU"/>
        </w:rPr>
        <w:t>G</w:t>
      </w:r>
      <w:r w:rsidR="00B0158D" w:rsidRPr="00F17760">
        <w:rPr>
          <w:color w:val="auto"/>
          <w:lang w:val="en-AU"/>
        </w:rPr>
        <w:t xml:space="preserve">emcitabine + cisplatin or carboplatin </w:t>
      </w:r>
    </w:p>
    <w:p w14:paraId="4D4150FD" w14:textId="6FF4A5B4" w:rsidR="00B0158D" w:rsidRPr="00F17760" w:rsidRDefault="00D55E11" w:rsidP="00D55E11">
      <w:pPr>
        <w:pStyle w:val="ListBulletLevel1"/>
        <w:numPr>
          <w:ilvl w:val="0"/>
          <w:numId w:val="30"/>
        </w:numPr>
        <w:rPr>
          <w:color w:val="auto"/>
          <w:lang w:val="en-AU"/>
        </w:rPr>
      </w:pPr>
      <w:r w:rsidRPr="00F17760">
        <w:rPr>
          <w:color w:val="auto"/>
          <w:lang w:val="en-AU"/>
        </w:rPr>
        <w:t>P</w:t>
      </w:r>
      <w:r w:rsidR="00B0158D" w:rsidRPr="00F17760">
        <w:rPr>
          <w:color w:val="auto"/>
          <w:lang w:val="en-AU"/>
        </w:rPr>
        <w:t>emetrexed + cisplatin or carboplatin followed by optional pemetrexed maintenance (This regimen was not recommended for patients with squamous NSCLC).</w:t>
      </w:r>
      <w:bookmarkEnd w:id="29"/>
    </w:p>
    <w:p w14:paraId="5DCCC5A9" w14:textId="3803326A" w:rsidR="00B0158D" w:rsidRDefault="00B0158D" w:rsidP="00BA00BF">
      <w:pPr>
        <w:rPr>
          <w:color w:val="auto"/>
          <w:lang w:val="en-AU"/>
        </w:rPr>
      </w:pPr>
      <w:bookmarkStart w:id="30" w:name="_Hlk43381065"/>
      <w:r w:rsidRPr="00F17760">
        <w:rPr>
          <w:color w:val="auto"/>
          <w:lang w:val="en-AU"/>
        </w:rPr>
        <w:t>Treatment with cemiplimab continued until RECIST 1.1-defined progressive disease, unacceptable toxicity, or up to 108 weeks. Patients who experienced IRC-assessed RECIST 1.1-defined progressive disease on cemiplimab therapy were permitted to continue treatment with cemiplimab with an addition of 4 cycles of histology-specific chemotherapy until further progression was observed. Patients who experienced IRC-assessed RECIST 1.1-defined progressive disease on chemotherapy treatment were permitted to receive cemiplimab treatment until further progression, unacceptable toxicity or up to 108 weeks. Of the 203 patients randomised to receive chemotherapy who had IRC-assessed RECIST 1.1- defined disease progression, 150 (73.9%) patients crossed over to treatment with cemiplimab. Assessment of tumour status was performed every 9 weeks. The primary efficacy endpoints were overall survival (OS) and progression-free survival (PFS). An additional efficacy endpoint was objective response rate (ORR).</w:t>
      </w:r>
      <w:bookmarkEnd w:id="30"/>
    </w:p>
    <w:p w14:paraId="6DB1D32A" w14:textId="67E7D3B8" w:rsidR="004E3689" w:rsidRPr="00636DB9" w:rsidRDefault="006A311D" w:rsidP="00BA00BF">
      <w:pPr>
        <w:rPr>
          <w:color w:val="auto"/>
          <w:lang w:val="en-AU"/>
        </w:rPr>
      </w:pPr>
      <w:r w:rsidRPr="00636DB9">
        <w:rPr>
          <w:color w:val="auto"/>
          <w:lang w:val="en-AU"/>
        </w:rPr>
        <w:t>Among the 710 patients, baseline characteristics were: median age of 63 years (range: 31 to 84 years), 45% age 65 or older; 85% male, 86% white. Twenty-seven percent had ECOG PS 0 and 73% had ECOG PS 1; 84% had metastatic disease and 16% had stage IIIB or IIIC disease. 56% had non-squamous and 44% had squamous histology; and 12% had history of treated brain metastases at baseline.</w:t>
      </w:r>
    </w:p>
    <w:p w14:paraId="09A2E754" w14:textId="77777777" w:rsidR="001556CC" w:rsidRPr="00B36E99" w:rsidRDefault="001556CC" w:rsidP="00B36E99">
      <w:pPr>
        <w:rPr>
          <w:color w:val="auto"/>
          <w:lang w:val="en-AU"/>
        </w:rPr>
      </w:pPr>
      <w:r w:rsidRPr="00B36E99">
        <w:rPr>
          <w:color w:val="auto"/>
          <w:lang w:val="en-AU"/>
        </w:rPr>
        <w:t>The study demonstrated statistically significant improvement in OS and PFS for patients randomised to cemiplimab as compared with chemotherapy.</w:t>
      </w:r>
    </w:p>
    <w:p w14:paraId="44ED6F56" w14:textId="225E94FC" w:rsidR="00B0158D" w:rsidRDefault="00B0158D" w:rsidP="00B0158D">
      <w:pPr>
        <w:spacing w:after="120"/>
        <w:rPr>
          <w:strike/>
          <w:color w:val="FF0000"/>
          <w:lang w:val="en-AU"/>
        </w:rPr>
      </w:pPr>
      <w:r w:rsidRPr="001556CC">
        <w:rPr>
          <w:color w:val="auto"/>
          <w:lang w:val="en-AU"/>
        </w:rPr>
        <w:t>Efficacy result</w:t>
      </w:r>
      <w:r w:rsidR="00B36E99">
        <w:rPr>
          <w:color w:val="auto"/>
          <w:lang w:val="en-AU"/>
        </w:rPr>
        <w:t xml:space="preserve">s </w:t>
      </w:r>
      <w:r w:rsidRPr="001556CC">
        <w:rPr>
          <w:color w:val="auto"/>
          <w:lang w:val="en-AU"/>
        </w:rPr>
        <w:t xml:space="preserve">are presented in </w:t>
      </w:r>
      <w:r w:rsidR="00BA00BF" w:rsidRPr="001556CC">
        <w:rPr>
          <w:color w:val="auto"/>
          <w:lang w:val="en-AU"/>
        </w:rPr>
        <w:fldChar w:fldCharType="begin"/>
      </w:r>
      <w:r w:rsidR="00BA00BF" w:rsidRPr="001556CC">
        <w:rPr>
          <w:color w:val="auto"/>
          <w:lang w:val="en-AU"/>
        </w:rPr>
        <w:instrText xml:space="preserve"> REF _Ref51337143 \h  \* MERGEFORMAT </w:instrText>
      </w:r>
      <w:r w:rsidR="00BA00BF" w:rsidRPr="001556CC">
        <w:rPr>
          <w:color w:val="auto"/>
          <w:lang w:val="en-AU"/>
        </w:rPr>
      </w:r>
      <w:r w:rsidR="00BA00BF" w:rsidRPr="001556CC">
        <w:rPr>
          <w:color w:val="auto"/>
          <w:lang w:val="en-AU"/>
        </w:rPr>
        <w:fldChar w:fldCharType="separate"/>
      </w:r>
      <w:r w:rsidR="006B35A8" w:rsidRPr="006B35A8">
        <w:rPr>
          <w:color w:val="auto"/>
          <w:lang w:val="en-AU"/>
        </w:rPr>
        <w:t>Table 4</w:t>
      </w:r>
      <w:r w:rsidR="00BA00BF" w:rsidRPr="001556CC">
        <w:rPr>
          <w:color w:val="auto"/>
          <w:lang w:val="en-AU"/>
        </w:rPr>
        <w:fldChar w:fldCharType="end"/>
      </w:r>
      <w:r w:rsidRPr="001556CC">
        <w:rPr>
          <w:color w:val="auto"/>
          <w:lang w:val="en-AU"/>
        </w:rPr>
        <w:t>, and</w:t>
      </w:r>
      <w:r w:rsidR="00BA00BF" w:rsidRPr="001556CC">
        <w:rPr>
          <w:color w:val="auto"/>
          <w:lang w:val="en-AU"/>
        </w:rPr>
        <w:t xml:space="preserve"> </w:t>
      </w:r>
      <w:r w:rsidR="00BA00BF" w:rsidRPr="001556CC">
        <w:rPr>
          <w:color w:val="auto"/>
          <w:lang w:val="en-AU"/>
        </w:rPr>
        <w:fldChar w:fldCharType="begin"/>
      </w:r>
      <w:r w:rsidR="00BA00BF" w:rsidRPr="001556CC">
        <w:rPr>
          <w:color w:val="auto"/>
          <w:lang w:val="en-AU"/>
        </w:rPr>
        <w:instrText xml:space="preserve"> REF _Ref51337202 \h  \* MERGEFORMAT </w:instrText>
      </w:r>
      <w:r w:rsidR="00BA00BF" w:rsidRPr="001556CC">
        <w:rPr>
          <w:color w:val="auto"/>
          <w:lang w:val="en-AU"/>
        </w:rPr>
      </w:r>
      <w:r w:rsidR="00BA00BF" w:rsidRPr="001556CC">
        <w:rPr>
          <w:color w:val="auto"/>
          <w:lang w:val="en-AU"/>
        </w:rPr>
        <w:fldChar w:fldCharType="separate"/>
      </w:r>
      <w:r w:rsidR="006B35A8" w:rsidRPr="006B35A8">
        <w:rPr>
          <w:color w:val="auto"/>
          <w:lang w:val="en-AU"/>
        </w:rPr>
        <w:t>Figure 1</w:t>
      </w:r>
      <w:r w:rsidR="00BA00BF" w:rsidRPr="001556CC">
        <w:rPr>
          <w:color w:val="auto"/>
          <w:lang w:val="en-AU"/>
        </w:rPr>
        <w:fldChar w:fldCharType="end"/>
      </w:r>
      <w:r w:rsidR="00B36E99">
        <w:rPr>
          <w:color w:val="auto"/>
          <w:lang w:val="en-AU"/>
        </w:rPr>
        <w:t xml:space="preserve"> </w:t>
      </w:r>
      <w:r w:rsidR="001556CC" w:rsidRPr="00B36E99">
        <w:rPr>
          <w:color w:val="auto"/>
          <w:lang w:val="en-AU"/>
        </w:rPr>
        <w:t>and</w:t>
      </w:r>
      <w:r w:rsidR="00B36E99">
        <w:rPr>
          <w:color w:val="auto"/>
          <w:lang w:val="en-AU"/>
        </w:rPr>
        <w:t xml:space="preserve"> </w:t>
      </w:r>
      <w:r w:rsidR="00BA00BF" w:rsidRPr="001556CC">
        <w:rPr>
          <w:color w:val="auto"/>
          <w:lang w:val="en-AU"/>
        </w:rPr>
        <w:fldChar w:fldCharType="begin"/>
      </w:r>
      <w:r w:rsidR="00BA00BF" w:rsidRPr="001556CC">
        <w:rPr>
          <w:color w:val="auto"/>
          <w:lang w:val="en-AU"/>
        </w:rPr>
        <w:instrText xml:space="preserve"> REF _Ref51337222 \h  \* MERGEFORMAT </w:instrText>
      </w:r>
      <w:r w:rsidR="00BA00BF" w:rsidRPr="001556CC">
        <w:rPr>
          <w:color w:val="auto"/>
          <w:lang w:val="en-AU"/>
        </w:rPr>
      </w:r>
      <w:r w:rsidR="00BA00BF" w:rsidRPr="001556CC">
        <w:rPr>
          <w:color w:val="auto"/>
          <w:lang w:val="en-AU"/>
        </w:rPr>
        <w:fldChar w:fldCharType="separate"/>
      </w:r>
      <w:r w:rsidR="006B35A8" w:rsidRPr="006B35A8">
        <w:rPr>
          <w:color w:val="auto"/>
          <w:lang w:val="en-AU"/>
        </w:rPr>
        <w:t>Figure 2</w:t>
      </w:r>
      <w:r w:rsidR="00BA00BF" w:rsidRPr="001556CC">
        <w:rPr>
          <w:color w:val="auto"/>
          <w:lang w:val="en-AU"/>
        </w:rPr>
        <w:fldChar w:fldCharType="end"/>
      </w:r>
      <w:r w:rsidRPr="001556CC">
        <w:rPr>
          <w:color w:val="auto"/>
          <w:lang w:val="en-AU"/>
        </w:rPr>
        <w:t>.</w:t>
      </w:r>
    </w:p>
    <w:p w14:paraId="06AE5B8C" w14:textId="21016D1A" w:rsidR="00B0158D" w:rsidRDefault="00B0158D" w:rsidP="00B0158D">
      <w:pPr>
        <w:pStyle w:val="Caption"/>
        <w:rPr>
          <w:lang w:val="en-AU"/>
        </w:rPr>
      </w:pPr>
      <w:bookmarkStart w:id="31" w:name="_Ref51337143"/>
      <w:r w:rsidRPr="00F17760">
        <w:rPr>
          <w:lang w:val="en-AU"/>
        </w:rPr>
        <w:t>Table </w:t>
      </w:r>
      <w:r w:rsidRPr="00F17760">
        <w:rPr>
          <w:lang w:val="en-AU"/>
        </w:rPr>
        <w:fldChar w:fldCharType="begin"/>
      </w:r>
      <w:r w:rsidRPr="00F17760">
        <w:rPr>
          <w:lang w:val="en-AU"/>
        </w:rPr>
        <w:instrText xml:space="preserve"> SEQ Table \* ARABIC </w:instrText>
      </w:r>
      <w:r w:rsidRPr="00F17760">
        <w:rPr>
          <w:lang w:val="en-AU"/>
        </w:rPr>
        <w:fldChar w:fldCharType="separate"/>
      </w:r>
      <w:r w:rsidR="006B35A8">
        <w:rPr>
          <w:noProof/>
          <w:lang w:val="en-AU"/>
        </w:rPr>
        <w:t>4</w:t>
      </w:r>
      <w:r w:rsidRPr="00F17760">
        <w:rPr>
          <w:lang w:val="en-AU"/>
        </w:rPr>
        <w:fldChar w:fldCharType="end"/>
      </w:r>
      <w:bookmarkEnd w:id="31"/>
      <w:r w:rsidRPr="00F17760">
        <w:rPr>
          <w:lang w:val="en-AU"/>
        </w:rPr>
        <w:t xml:space="preserve"> ­ Efficacy results from study 1624 in non-small cell lung cancer</w:t>
      </w:r>
    </w:p>
    <w:tbl>
      <w:tblPr>
        <w:tblStyle w:val="TableGrid"/>
        <w:tblW w:w="0" w:type="auto"/>
        <w:jc w:val="center"/>
        <w:tblLook w:val="04A0" w:firstRow="1" w:lastRow="0" w:firstColumn="1" w:lastColumn="0" w:noHBand="0" w:noVBand="1"/>
      </w:tblPr>
      <w:tblGrid>
        <w:gridCol w:w="3402"/>
        <w:gridCol w:w="2830"/>
        <w:gridCol w:w="2784"/>
      </w:tblGrid>
      <w:tr w:rsidR="008A1239" w14:paraId="52F976C9" w14:textId="77777777" w:rsidTr="008A1239">
        <w:trPr>
          <w:cantSplit/>
          <w:tblHeader/>
          <w:jc w:val="center"/>
        </w:trPr>
        <w:tc>
          <w:tcPr>
            <w:tcW w:w="3402" w:type="dxa"/>
            <w:shd w:val="clear" w:color="auto" w:fill="auto"/>
          </w:tcPr>
          <w:p w14:paraId="630C83A7" w14:textId="397B9E1A" w:rsidR="008A1239" w:rsidRPr="008A1239" w:rsidRDefault="008A1239" w:rsidP="008A1239">
            <w:pPr>
              <w:pStyle w:val="TblTextCenter"/>
              <w:rPr>
                <w:b/>
                <w:bCs/>
                <w:lang w:val="en-AU"/>
              </w:rPr>
            </w:pPr>
            <w:r w:rsidRPr="00F17760">
              <w:rPr>
                <w:b/>
                <w:bCs/>
                <w:lang w:val="en-AU"/>
              </w:rPr>
              <w:t>Efficacy endpoints</w:t>
            </w:r>
          </w:p>
        </w:tc>
        <w:tc>
          <w:tcPr>
            <w:tcW w:w="2830" w:type="dxa"/>
            <w:shd w:val="clear" w:color="auto" w:fill="auto"/>
          </w:tcPr>
          <w:p w14:paraId="335EDD27" w14:textId="1DDCF58D" w:rsidR="008A1239" w:rsidRPr="00F17760" w:rsidRDefault="008A1239" w:rsidP="008A1239">
            <w:pPr>
              <w:pStyle w:val="TblTextCenter"/>
              <w:rPr>
                <w:b/>
                <w:bCs/>
                <w:lang w:val="en-AU"/>
              </w:rPr>
            </w:pPr>
            <w:r w:rsidRPr="00F17760">
              <w:rPr>
                <w:b/>
                <w:bCs/>
                <w:lang w:val="en-AU"/>
              </w:rPr>
              <w:t>Cemiplimab</w:t>
            </w:r>
            <w:r>
              <w:rPr>
                <w:b/>
                <w:bCs/>
                <w:lang w:val="en-AU"/>
              </w:rPr>
              <w:br/>
            </w:r>
            <w:r w:rsidRPr="00F17760">
              <w:rPr>
                <w:b/>
                <w:bCs/>
                <w:lang w:val="en-AU"/>
              </w:rPr>
              <w:t>350 mg every 3 weeks</w:t>
            </w:r>
          </w:p>
          <w:p w14:paraId="722376FB" w14:textId="5956DE9C" w:rsidR="008A1239" w:rsidRPr="008A1239" w:rsidRDefault="008A1239" w:rsidP="008A1239">
            <w:pPr>
              <w:pStyle w:val="TblTextCenter"/>
              <w:rPr>
                <w:b/>
                <w:bCs/>
                <w:lang w:val="en-AU"/>
              </w:rPr>
            </w:pPr>
            <w:r w:rsidRPr="00F17760">
              <w:rPr>
                <w:b/>
                <w:bCs/>
                <w:lang w:val="en-AU"/>
              </w:rPr>
              <w:t>N=356</w:t>
            </w:r>
          </w:p>
        </w:tc>
        <w:tc>
          <w:tcPr>
            <w:tcW w:w="2784" w:type="dxa"/>
            <w:shd w:val="clear" w:color="auto" w:fill="auto"/>
          </w:tcPr>
          <w:p w14:paraId="74A6DE69" w14:textId="77777777" w:rsidR="008A1239" w:rsidRPr="00F17760" w:rsidRDefault="008A1239" w:rsidP="008A1239">
            <w:pPr>
              <w:pStyle w:val="TblTextCenter"/>
              <w:rPr>
                <w:b/>
                <w:bCs/>
                <w:lang w:val="en-AU"/>
              </w:rPr>
            </w:pPr>
            <w:r w:rsidRPr="00F17760">
              <w:rPr>
                <w:b/>
                <w:bCs/>
                <w:lang w:val="en-AU"/>
              </w:rPr>
              <w:t>Chemotherapy</w:t>
            </w:r>
          </w:p>
          <w:p w14:paraId="559868CD" w14:textId="40AF56E2" w:rsidR="008A1239" w:rsidRPr="008A1239" w:rsidRDefault="008A1239" w:rsidP="008A1239">
            <w:pPr>
              <w:pStyle w:val="TblTextCenter"/>
              <w:rPr>
                <w:b/>
                <w:bCs/>
                <w:lang w:val="en-AU"/>
              </w:rPr>
            </w:pPr>
            <w:r w:rsidRPr="00F17760">
              <w:rPr>
                <w:b/>
                <w:bCs/>
                <w:lang w:val="en-AU"/>
              </w:rPr>
              <w:t>N=354</w:t>
            </w:r>
          </w:p>
        </w:tc>
      </w:tr>
      <w:tr w:rsidR="008A1239" w14:paraId="640CF318" w14:textId="77777777" w:rsidTr="008A1239">
        <w:trPr>
          <w:cantSplit/>
          <w:jc w:val="center"/>
        </w:trPr>
        <w:tc>
          <w:tcPr>
            <w:tcW w:w="3402" w:type="dxa"/>
            <w:shd w:val="clear" w:color="auto" w:fill="auto"/>
          </w:tcPr>
          <w:p w14:paraId="2A3B8847" w14:textId="403EFBA6" w:rsidR="008A1239" w:rsidRPr="00B36E99" w:rsidRDefault="008A1239" w:rsidP="008A1239">
            <w:pPr>
              <w:pStyle w:val="TblTextCenter"/>
            </w:pPr>
            <w:r w:rsidRPr="00F17760">
              <w:rPr>
                <w:b/>
                <w:bCs/>
                <w:lang w:val="en-AU"/>
              </w:rPr>
              <w:t>Overall survival (OS)</w:t>
            </w:r>
          </w:p>
        </w:tc>
        <w:tc>
          <w:tcPr>
            <w:tcW w:w="2830" w:type="dxa"/>
            <w:shd w:val="clear" w:color="auto" w:fill="auto"/>
          </w:tcPr>
          <w:p w14:paraId="48E7DD64" w14:textId="77777777" w:rsidR="008A1239" w:rsidRPr="00B36E99" w:rsidRDefault="008A1239" w:rsidP="008A1239">
            <w:pPr>
              <w:pStyle w:val="TblTextCenter"/>
            </w:pPr>
          </w:p>
        </w:tc>
        <w:tc>
          <w:tcPr>
            <w:tcW w:w="2784" w:type="dxa"/>
            <w:shd w:val="clear" w:color="auto" w:fill="auto"/>
          </w:tcPr>
          <w:p w14:paraId="022517C1" w14:textId="77777777" w:rsidR="008A1239" w:rsidRPr="00B36E99" w:rsidRDefault="008A1239" w:rsidP="008A1239">
            <w:pPr>
              <w:pStyle w:val="TblTextCenter"/>
            </w:pPr>
          </w:p>
        </w:tc>
      </w:tr>
      <w:tr w:rsidR="008A1239" w14:paraId="75BC8082" w14:textId="77777777" w:rsidTr="008A1239">
        <w:trPr>
          <w:cantSplit/>
          <w:jc w:val="center"/>
        </w:trPr>
        <w:tc>
          <w:tcPr>
            <w:tcW w:w="3402" w:type="dxa"/>
            <w:shd w:val="clear" w:color="auto" w:fill="auto"/>
          </w:tcPr>
          <w:p w14:paraId="5FD6D176" w14:textId="6F30D9EB" w:rsidR="008A1239" w:rsidRPr="00B36E99" w:rsidRDefault="008A1239" w:rsidP="008A1239">
            <w:pPr>
              <w:pStyle w:val="TblTextCenter"/>
            </w:pPr>
            <w:r w:rsidRPr="00F17760">
              <w:rPr>
                <w:lang w:val="en-AU"/>
              </w:rPr>
              <w:t>Number of deaths (%)</w:t>
            </w:r>
          </w:p>
        </w:tc>
        <w:tc>
          <w:tcPr>
            <w:tcW w:w="2830" w:type="dxa"/>
            <w:shd w:val="clear" w:color="auto" w:fill="auto"/>
          </w:tcPr>
          <w:p w14:paraId="4F2E825E" w14:textId="4024F8B8" w:rsidR="008A1239" w:rsidRPr="00B36E99" w:rsidRDefault="008A1239" w:rsidP="008A1239">
            <w:pPr>
              <w:pStyle w:val="TblTextCenter"/>
            </w:pPr>
            <w:r w:rsidRPr="00F17760">
              <w:rPr>
                <w:lang w:val="en-AU"/>
              </w:rPr>
              <w:t>108 (30.3)</w:t>
            </w:r>
          </w:p>
        </w:tc>
        <w:tc>
          <w:tcPr>
            <w:tcW w:w="2784" w:type="dxa"/>
            <w:shd w:val="clear" w:color="auto" w:fill="auto"/>
          </w:tcPr>
          <w:p w14:paraId="464C3C92" w14:textId="6566777E" w:rsidR="008A1239" w:rsidRPr="00B36E99" w:rsidRDefault="008A1239" w:rsidP="008A1239">
            <w:pPr>
              <w:pStyle w:val="TblTextCenter"/>
            </w:pPr>
            <w:r w:rsidRPr="00F17760">
              <w:rPr>
                <w:lang w:val="en-AU"/>
              </w:rPr>
              <w:t>141 (39.8)</w:t>
            </w:r>
          </w:p>
        </w:tc>
      </w:tr>
      <w:tr w:rsidR="008A1239" w14:paraId="3901DAEA" w14:textId="77777777" w:rsidTr="008A1239">
        <w:trPr>
          <w:cantSplit/>
          <w:jc w:val="center"/>
        </w:trPr>
        <w:tc>
          <w:tcPr>
            <w:tcW w:w="3402" w:type="dxa"/>
            <w:shd w:val="clear" w:color="auto" w:fill="auto"/>
          </w:tcPr>
          <w:p w14:paraId="5B9AE267" w14:textId="27031602" w:rsidR="008A1239" w:rsidRPr="00B36E99" w:rsidRDefault="008A1239" w:rsidP="008A1239">
            <w:pPr>
              <w:pStyle w:val="TblTextCenter"/>
            </w:pPr>
            <w:r w:rsidRPr="00F17760">
              <w:rPr>
                <w:lang w:val="en-AU"/>
              </w:rPr>
              <w:t xml:space="preserve">Median in months (95% </w:t>
            </w:r>
            <w:proofErr w:type="gramStart"/>
            <w:r w:rsidRPr="00F17760">
              <w:rPr>
                <w:lang w:val="en-AU"/>
              </w:rPr>
              <w:t>CI)</w:t>
            </w:r>
            <w:r w:rsidRPr="00F17760">
              <w:rPr>
                <w:vertAlign w:val="superscript"/>
                <w:lang w:val="en-AU"/>
              </w:rPr>
              <w:t>a</w:t>
            </w:r>
            <w:proofErr w:type="gramEnd"/>
          </w:p>
        </w:tc>
        <w:tc>
          <w:tcPr>
            <w:tcW w:w="2830" w:type="dxa"/>
            <w:shd w:val="clear" w:color="auto" w:fill="auto"/>
          </w:tcPr>
          <w:p w14:paraId="5FEC67E7" w14:textId="3C702085" w:rsidR="008A1239" w:rsidRPr="00B36E99" w:rsidRDefault="008A1239" w:rsidP="008A1239">
            <w:pPr>
              <w:pStyle w:val="TblTextCenter"/>
            </w:pPr>
            <w:r w:rsidRPr="00F17760">
              <w:rPr>
                <w:lang w:val="en-AU"/>
              </w:rPr>
              <w:t>22.1 (17.7, NE)</w:t>
            </w:r>
          </w:p>
        </w:tc>
        <w:tc>
          <w:tcPr>
            <w:tcW w:w="2784" w:type="dxa"/>
            <w:shd w:val="clear" w:color="auto" w:fill="auto"/>
          </w:tcPr>
          <w:p w14:paraId="0B5AE4A2" w14:textId="349C6755" w:rsidR="008A1239" w:rsidRPr="00B36E99" w:rsidRDefault="008A1239" w:rsidP="008A1239">
            <w:pPr>
              <w:pStyle w:val="TblTextCenter"/>
            </w:pPr>
            <w:r w:rsidRPr="00F17760">
              <w:rPr>
                <w:lang w:val="en-AU"/>
              </w:rPr>
              <w:t>14.3 (11.7, 19.2)</w:t>
            </w:r>
          </w:p>
        </w:tc>
      </w:tr>
      <w:tr w:rsidR="008A1239" w14:paraId="12DEE345" w14:textId="77777777" w:rsidTr="008A1239">
        <w:trPr>
          <w:cantSplit/>
          <w:jc w:val="center"/>
        </w:trPr>
        <w:tc>
          <w:tcPr>
            <w:tcW w:w="3402" w:type="dxa"/>
            <w:shd w:val="clear" w:color="auto" w:fill="auto"/>
          </w:tcPr>
          <w:p w14:paraId="17382877" w14:textId="6F34F9A0" w:rsidR="008A1239" w:rsidRPr="00B36E99" w:rsidRDefault="008A1239" w:rsidP="008A1239">
            <w:pPr>
              <w:pStyle w:val="TblTextCenter"/>
            </w:pPr>
            <w:r w:rsidRPr="00F17760">
              <w:rPr>
                <w:lang w:val="en-AU"/>
              </w:rPr>
              <w:t xml:space="preserve">Hazard ratio (95% </w:t>
            </w:r>
            <w:proofErr w:type="gramStart"/>
            <w:r w:rsidRPr="00F17760">
              <w:rPr>
                <w:lang w:val="en-AU"/>
              </w:rPr>
              <w:t>CI)</w:t>
            </w:r>
            <w:r w:rsidRPr="00F17760">
              <w:rPr>
                <w:vertAlign w:val="superscript"/>
                <w:lang w:val="en-AU"/>
              </w:rPr>
              <w:t>b</w:t>
            </w:r>
            <w:proofErr w:type="gramEnd"/>
          </w:p>
        </w:tc>
        <w:tc>
          <w:tcPr>
            <w:tcW w:w="5614" w:type="dxa"/>
            <w:gridSpan w:val="2"/>
            <w:shd w:val="clear" w:color="auto" w:fill="auto"/>
          </w:tcPr>
          <w:p w14:paraId="05B8854F" w14:textId="16E51135" w:rsidR="008A1239" w:rsidRPr="00B36E99" w:rsidRDefault="008A1239" w:rsidP="008A1239">
            <w:pPr>
              <w:pStyle w:val="TblTextCenter"/>
            </w:pPr>
            <w:r w:rsidRPr="00F17760">
              <w:rPr>
                <w:lang w:val="en-AU"/>
              </w:rPr>
              <w:t>0.68 (0.53, 0.87)</w:t>
            </w:r>
          </w:p>
        </w:tc>
      </w:tr>
      <w:tr w:rsidR="008A1239" w14:paraId="326F354A" w14:textId="77777777" w:rsidTr="008A1239">
        <w:trPr>
          <w:cantSplit/>
          <w:jc w:val="center"/>
        </w:trPr>
        <w:tc>
          <w:tcPr>
            <w:tcW w:w="3402" w:type="dxa"/>
            <w:shd w:val="clear" w:color="auto" w:fill="auto"/>
          </w:tcPr>
          <w:p w14:paraId="0BC1910E" w14:textId="234B124E" w:rsidR="008A1239" w:rsidRPr="00B36E99" w:rsidRDefault="008A1239" w:rsidP="008A1239">
            <w:pPr>
              <w:pStyle w:val="TblTextCenter"/>
            </w:pPr>
            <w:r w:rsidRPr="00F17760">
              <w:rPr>
                <w:lang w:val="en-AU"/>
              </w:rPr>
              <w:t>p-</w:t>
            </w:r>
            <w:proofErr w:type="spellStart"/>
            <w:r w:rsidRPr="00F17760">
              <w:rPr>
                <w:lang w:val="en-AU"/>
              </w:rPr>
              <w:t>Value</w:t>
            </w:r>
            <w:r w:rsidRPr="00F17760">
              <w:rPr>
                <w:vertAlign w:val="superscript"/>
                <w:lang w:val="en-AU"/>
              </w:rPr>
              <w:t>c</w:t>
            </w:r>
            <w:proofErr w:type="spellEnd"/>
          </w:p>
        </w:tc>
        <w:tc>
          <w:tcPr>
            <w:tcW w:w="5614" w:type="dxa"/>
            <w:gridSpan w:val="2"/>
            <w:shd w:val="clear" w:color="auto" w:fill="auto"/>
          </w:tcPr>
          <w:p w14:paraId="760B8160" w14:textId="6F3BECD8" w:rsidR="008A1239" w:rsidRPr="00B36E99" w:rsidRDefault="008A1239" w:rsidP="008A1239">
            <w:pPr>
              <w:pStyle w:val="TblTextCenter"/>
            </w:pPr>
            <w:r w:rsidRPr="00F17760">
              <w:rPr>
                <w:lang w:val="en-AU"/>
              </w:rPr>
              <w:t>0.0022</w:t>
            </w:r>
          </w:p>
        </w:tc>
      </w:tr>
      <w:tr w:rsidR="008A1239" w14:paraId="454895D6" w14:textId="77777777" w:rsidTr="008A1239">
        <w:trPr>
          <w:cantSplit/>
          <w:jc w:val="center"/>
        </w:trPr>
        <w:tc>
          <w:tcPr>
            <w:tcW w:w="3402" w:type="dxa"/>
            <w:shd w:val="clear" w:color="auto" w:fill="auto"/>
          </w:tcPr>
          <w:p w14:paraId="6F5C23A2" w14:textId="5C06AAFA" w:rsidR="008A1239" w:rsidRPr="00B36E99" w:rsidRDefault="008A1239" w:rsidP="008A1239">
            <w:pPr>
              <w:pStyle w:val="TblTextCenter"/>
            </w:pPr>
            <w:r w:rsidRPr="00733F9E">
              <w:rPr>
                <w:b/>
                <w:bCs/>
                <w:lang w:val="en-AU"/>
              </w:rPr>
              <w:t>Progression-free survival (PFS)</w:t>
            </w:r>
          </w:p>
        </w:tc>
        <w:tc>
          <w:tcPr>
            <w:tcW w:w="2830" w:type="dxa"/>
            <w:shd w:val="clear" w:color="auto" w:fill="auto"/>
          </w:tcPr>
          <w:p w14:paraId="3CCFF031" w14:textId="77777777" w:rsidR="008A1239" w:rsidRPr="00B36E99" w:rsidRDefault="008A1239" w:rsidP="008A1239">
            <w:pPr>
              <w:pStyle w:val="TblTextCenter"/>
            </w:pPr>
          </w:p>
        </w:tc>
        <w:tc>
          <w:tcPr>
            <w:tcW w:w="2784" w:type="dxa"/>
            <w:shd w:val="clear" w:color="auto" w:fill="auto"/>
          </w:tcPr>
          <w:p w14:paraId="103E68D6" w14:textId="77777777" w:rsidR="008A1239" w:rsidRPr="00B36E99" w:rsidRDefault="008A1239" w:rsidP="008A1239">
            <w:pPr>
              <w:pStyle w:val="TblTextCenter"/>
            </w:pPr>
          </w:p>
        </w:tc>
      </w:tr>
      <w:tr w:rsidR="008A1239" w14:paraId="5EA1E0D9" w14:textId="77777777" w:rsidTr="008A1239">
        <w:trPr>
          <w:cantSplit/>
          <w:jc w:val="center"/>
        </w:trPr>
        <w:tc>
          <w:tcPr>
            <w:tcW w:w="3402" w:type="dxa"/>
            <w:shd w:val="clear" w:color="auto" w:fill="auto"/>
          </w:tcPr>
          <w:p w14:paraId="0CA90026" w14:textId="3176DDBF" w:rsidR="008A1239" w:rsidRPr="00B36E99" w:rsidRDefault="008A1239" w:rsidP="008A1239">
            <w:pPr>
              <w:pStyle w:val="TblTextCenter"/>
            </w:pPr>
            <w:r w:rsidRPr="00F17760">
              <w:rPr>
                <w:lang w:val="en-AU"/>
              </w:rPr>
              <w:t>Number of events (%)</w:t>
            </w:r>
          </w:p>
        </w:tc>
        <w:tc>
          <w:tcPr>
            <w:tcW w:w="2830" w:type="dxa"/>
            <w:shd w:val="clear" w:color="auto" w:fill="auto"/>
          </w:tcPr>
          <w:p w14:paraId="4A775745" w14:textId="3825B471" w:rsidR="008A1239" w:rsidRPr="00B36E99" w:rsidRDefault="008A1239" w:rsidP="008A1239">
            <w:pPr>
              <w:pStyle w:val="TblTextCenter"/>
            </w:pPr>
            <w:r w:rsidRPr="00F17760">
              <w:rPr>
                <w:lang w:val="en-AU"/>
              </w:rPr>
              <w:t>201 (56.5)</w:t>
            </w:r>
          </w:p>
        </w:tc>
        <w:tc>
          <w:tcPr>
            <w:tcW w:w="2784" w:type="dxa"/>
            <w:shd w:val="clear" w:color="auto" w:fill="auto"/>
          </w:tcPr>
          <w:p w14:paraId="5F5BC503" w14:textId="1988148A" w:rsidR="008A1239" w:rsidRPr="00B36E99" w:rsidRDefault="008A1239" w:rsidP="008A1239">
            <w:pPr>
              <w:pStyle w:val="TblTextCenter"/>
            </w:pPr>
            <w:r w:rsidRPr="00F17760">
              <w:rPr>
                <w:lang w:val="en-AU"/>
              </w:rPr>
              <w:t>262 (74.0)</w:t>
            </w:r>
          </w:p>
        </w:tc>
      </w:tr>
      <w:tr w:rsidR="008A1239" w14:paraId="0A062666" w14:textId="77777777" w:rsidTr="008A1239">
        <w:trPr>
          <w:cantSplit/>
          <w:jc w:val="center"/>
        </w:trPr>
        <w:tc>
          <w:tcPr>
            <w:tcW w:w="3402" w:type="dxa"/>
            <w:shd w:val="clear" w:color="auto" w:fill="auto"/>
          </w:tcPr>
          <w:p w14:paraId="033BE018" w14:textId="1488C289" w:rsidR="008A1239" w:rsidRPr="00B36E99" w:rsidRDefault="008A1239" w:rsidP="008A1239">
            <w:pPr>
              <w:pStyle w:val="TblTextCenter"/>
            </w:pPr>
            <w:r w:rsidRPr="00F17760">
              <w:rPr>
                <w:lang w:val="en-AU"/>
              </w:rPr>
              <w:t xml:space="preserve">Median in months (95% </w:t>
            </w:r>
            <w:proofErr w:type="gramStart"/>
            <w:r w:rsidRPr="00F17760">
              <w:rPr>
                <w:lang w:val="en-AU"/>
              </w:rPr>
              <w:t>CI)</w:t>
            </w:r>
            <w:r w:rsidRPr="00F17760">
              <w:rPr>
                <w:vertAlign w:val="superscript"/>
                <w:lang w:val="en-AU"/>
              </w:rPr>
              <w:t>a</w:t>
            </w:r>
            <w:proofErr w:type="gramEnd"/>
          </w:p>
        </w:tc>
        <w:tc>
          <w:tcPr>
            <w:tcW w:w="2830" w:type="dxa"/>
            <w:shd w:val="clear" w:color="auto" w:fill="auto"/>
          </w:tcPr>
          <w:p w14:paraId="2B10A47A" w14:textId="5D9BB16C" w:rsidR="008A1239" w:rsidRPr="00B36E99" w:rsidRDefault="008A1239" w:rsidP="008A1239">
            <w:pPr>
              <w:pStyle w:val="TblTextCenter"/>
            </w:pPr>
            <w:r w:rsidRPr="00F17760">
              <w:rPr>
                <w:lang w:val="en-AU"/>
              </w:rPr>
              <w:t>6.2 (4.5, 8.3)</w:t>
            </w:r>
          </w:p>
        </w:tc>
        <w:tc>
          <w:tcPr>
            <w:tcW w:w="2784" w:type="dxa"/>
            <w:shd w:val="clear" w:color="auto" w:fill="auto"/>
          </w:tcPr>
          <w:p w14:paraId="3882B929" w14:textId="38F26A28" w:rsidR="008A1239" w:rsidRPr="00B36E99" w:rsidRDefault="008A1239" w:rsidP="008A1239">
            <w:pPr>
              <w:pStyle w:val="TblTextCenter"/>
            </w:pPr>
            <w:r w:rsidRPr="00F17760">
              <w:rPr>
                <w:lang w:val="en-AU"/>
              </w:rPr>
              <w:t>5.6 (4.5, 6.1)</w:t>
            </w:r>
          </w:p>
        </w:tc>
      </w:tr>
      <w:tr w:rsidR="008A1239" w14:paraId="27DF6F81" w14:textId="77777777" w:rsidTr="008A1239">
        <w:trPr>
          <w:cantSplit/>
          <w:jc w:val="center"/>
        </w:trPr>
        <w:tc>
          <w:tcPr>
            <w:tcW w:w="3402" w:type="dxa"/>
            <w:shd w:val="clear" w:color="auto" w:fill="auto"/>
          </w:tcPr>
          <w:p w14:paraId="28FBDBFE" w14:textId="46DF45EA" w:rsidR="008A1239" w:rsidRPr="00B36E99" w:rsidRDefault="008A1239" w:rsidP="008A1239">
            <w:pPr>
              <w:pStyle w:val="TblTextCenter"/>
            </w:pPr>
            <w:r w:rsidRPr="00F17760">
              <w:rPr>
                <w:lang w:val="en-AU"/>
              </w:rPr>
              <w:t xml:space="preserve">Hazard ratio (95% </w:t>
            </w:r>
            <w:proofErr w:type="gramStart"/>
            <w:r w:rsidRPr="00F17760">
              <w:rPr>
                <w:lang w:val="en-AU"/>
              </w:rPr>
              <w:t>CI)</w:t>
            </w:r>
            <w:r w:rsidRPr="00F17760">
              <w:rPr>
                <w:vertAlign w:val="superscript"/>
                <w:lang w:val="en-AU"/>
              </w:rPr>
              <w:t>b</w:t>
            </w:r>
            <w:proofErr w:type="gramEnd"/>
          </w:p>
        </w:tc>
        <w:tc>
          <w:tcPr>
            <w:tcW w:w="5614" w:type="dxa"/>
            <w:gridSpan w:val="2"/>
            <w:shd w:val="clear" w:color="auto" w:fill="auto"/>
          </w:tcPr>
          <w:p w14:paraId="099B5A2F" w14:textId="65B8B370" w:rsidR="008A1239" w:rsidRPr="00B36E99" w:rsidRDefault="008A1239" w:rsidP="008A1239">
            <w:pPr>
              <w:pStyle w:val="TblTextCenter"/>
            </w:pPr>
            <w:r w:rsidRPr="00F17760">
              <w:rPr>
                <w:lang w:val="en-AU"/>
              </w:rPr>
              <w:t>0.59 (0.49, 0.72)</w:t>
            </w:r>
          </w:p>
        </w:tc>
      </w:tr>
      <w:tr w:rsidR="008A1239" w14:paraId="475C25A5" w14:textId="77777777" w:rsidTr="008A1239">
        <w:trPr>
          <w:cantSplit/>
          <w:jc w:val="center"/>
        </w:trPr>
        <w:tc>
          <w:tcPr>
            <w:tcW w:w="3402" w:type="dxa"/>
            <w:shd w:val="clear" w:color="auto" w:fill="auto"/>
          </w:tcPr>
          <w:p w14:paraId="41C564B5" w14:textId="0FB4B851" w:rsidR="008A1239" w:rsidRPr="00B36E99" w:rsidRDefault="008A1239" w:rsidP="008A1239">
            <w:pPr>
              <w:pStyle w:val="TblTextCenter"/>
            </w:pPr>
            <w:r w:rsidRPr="00F17760">
              <w:rPr>
                <w:lang w:val="en-AU"/>
              </w:rPr>
              <w:lastRenderedPageBreak/>
              <w:t>p-</w:t>
            </w:r>
            <w:proofErr w:type="spellStart"/>
            <w:r w:rsidRPr="00F17760">
              <w:rPr>
                <w:lang w:val="en-AU"/>
              </w:rPr>
              <w:t>Value</w:t>
            </w:r>
            <w:r w:rsidRPr="00F17760">
              <w:rPr>
                <w:vertAlign w:val="superscript"/>
                <w:lang w:val="en-AU"/>
              </w:rPr>
              <w:t>c</w:t>
            </w:r>
            <w:proofErr w:type="spellEnd"/>
          </w:p>
        </w:tc>
        <w:tc>
          <w:tcPr>
            <w:tcW w:w="5614" w:type="dxa"/>
            <w:gridSpan w:val="2"/>
            <w:shd w:val="clear" w:color="auto" w:fill="auto"/>
          </w:tcPr>
          <w:p w14:paraId="5F833384" w14:textId="3A08CAE3" w:rsidR="008A1239" w:rsidRPr="00B36E99" w:rsidRDefault="008A1239" w:rsidP="008A1239">
            <w:pPr>
              <w:pStyle w:val="TblTextCenter"/>
            </w:pPr>
            <w:r w:rsidRPr="00F17760">
              <w:rPr>
                <w:lang w:val="en-AU"/>
              </w:rPr>
              <w:t>&lt;0.0001</w:t>
            </w:r>
          </w:p>
        </w:tc>
      </w:tr>
      <w:tr w:rsidR="008A1239" w14:paraId="6777F3EE" w14:textId="77777777" w:rsidTr="008A1239">
        <w:trPr>
          <w:cantSplit/>
          <w:jc w:val="center"/>
        </w:trPr>
        <w:tc>
          <w:tcPr>
            <w:tcW w:w="3402" w:type="dxa"/>
            <w:shd w:val="clear" w:color="auto" w:fill="auto"/>
          </w:tcPr>
          <w:p w14:paraId="351D0ADA" w14:textId="500E6741" w:rsidR="008A1239" w:rsidRPr="00B36E99" w:rsidRDefault="008A1239" w:rsidP="008A1239">
            <w:pPr>
              <w:pStyle w:val="TblTextCenter"/>
            </w:pPr>
            <w:r w:rsidRPr="00733F9E">
              <w:rPr>
                <w:b/>
                <w:bCs/>
                <w:lang w:val="en-AU"/>
              </w:rPr>
              <w:t>Objective response rate (</w:t>
            </w:r>
            <w:proofErr w:type="gramStart"/>
            <w:r w:rsidRPr="00733F9E">
              <w:rPr>
                <w:b/>
                <w:bCs/>
                <w:lang w:val="en-AU"/>
              </w:rPr>
              <w:t>%)</w:t>
            </w:r>
            <w:proofErr w:type="spellStart"/>
            <w:r w:rsidRPr="00733F9E">
              <w:rPr>
                <w:b/>
                <w:bCs/>
                <w:vertAlign w:val="superscript"/>
                <w:lang w:val="en-AU"/>
              </w:rPr>
              <w:t>d</w:t>
            </w:r>
            <w:proofErr w:type="gramEnd"/>
            <w:r w:rsidRPr="00733F9E">
              <w:rPr>
                <w:b/>
                <w:bCs/>
                <w:vertAlign w:val="superscript"/>
                <w:lang w:val="en-AU"/>
              </w:rPr>
              <w:t>,e</w:t>
            </w:r>
            <w:proofErr w:type="spellEnd"/>
          </w:p>
        </w:tc>
        <w:tc>
          <w:tcPr>
            <w:tcW w:w="2830" w:type="dxa"/>
            <w:shd w:val="clear" w:color="auto" w:fill="auto"/>
          </w:tcPr>
          <w:p w14:paraId="363613DB" w14:textId="77777777" w:rsidR="008A1239" w:rsidRPr="00B36E99" w:rsidRDefault="008A1239" w:rsidP="008A1239">
            <w:pPr>
              <w:pStyle w:val="TblTextCenter"/>
            </w:pPr>
          </w:p>
        </w:tc>
        <w:tc>
          <w:tcPr>
            <w:tcW w:w="2784" w:type="dxa"/>
            <w:shd w:val="clear" w:color="auto" w:fill="auto"/>
          </w:tcPr>
          <w:p w14:paraId="53A4770C" w14:textId="77777777" w:rsidR="008A1239" w:rsidRPr="00B36E99" w:rsidRDefault="008A1239" w:rsidP="008A1239">
            <w:pPr>
              <w:pStyle w:val="TblTextCenter"/>
            </w:pPr>
          </w:p>
        </w:tc>
      </w:tr>
      <w:tr w:rsidR="008A1239" w14:paraId="55C3E074" w14:textId="77777777" w:rsidTr="008A1239">
        <w:trPr>
          <w:cantSplit/>
          <w:jc w:val="center"/>
        </w:trPr>
        <w:tc>
          <w:tcPr>
            <w:tcW w:w="3402" w:type="dxa"/>
            <w:shd w:val="clear" w:color="auto" w:fill="auto"/>
          </w:tcPr>
          <w:p w14:paraId="7FD5D2DD" w14:textId="60E963E4" w:rsidR="008A1239" w:rsidRPr="00B36E99" w:rsidRDefault="008A1239" w:rsidP="008A1239">
            <w:pPr>
              <w:pStyle w:val="TblTextCenter"/>
            </w:pPr>
            <w:r w:rsidRPr="00F17760">
              <w:rPr>
                <w:lang w:val="en-AU"/>
              </w:rPr>
              <w:t>ORR (95% CI)</w:t>
            </w:r>
          </w:p>
        </w:tc>
        <w:tc>
          <w:tcPr>
            <w:tcW w:w="2830" w:type="dxa"/>
            <w:shd w:val="clear" w:color="auto" w:fill="auto"/>
          </w:tcPr>
          <w:p w14:paraId="49076D95" w14:textId="74AA010F" w:rsidR="008A1239" w:rsidRPr="00B36E99" w:rsidRDefault="008A1239" w:rsidP="008A1239">
            <w:pPr>
              <w:pStyle w:val="TblTextCenter"/>
            </w:pPr>
            <w:r w:rsidRPr="00F17760">
              <w:rPr>
                <w:lang w:val="en-AU"/>
              </w:rPr>
              <w:t>36.5 (31.5, 41.8)</w:t>
            </w:r>
          </w:p>
        </w:tc>
        <w:tc>
          <w:tcPr>
            <w:tcW w:w="2784" w:type="dxa"/>
            <w:shd w:val="clear" w:color="auto" w:fill="auto"/>
          </w:tcPr>
          <w:p w14:paraId="3D03CC5D" w14:textId="38F7977B" w:rsidR="008A1239" w:rsidRPr="00B36E99" w:rsidRDefault="008A1239" w:rsidP="008A1239">
            <w:pPr>
              <w:pStyle w:val="TblTextCenter"/>
            </w:pPr>
            <w:r w:rsidRPr="00F17760">
              <w:rPr>
                <w:lang w:val="en-AU"/>
              </w:rPr>
              <w:t>20.6 (16.5, 25.2)</w:t>
            </w:r>
          </w:p>
        </w:tc>
      </w:tr>
      <w:tr w:rsidR="008A1239" w14:paraId="314C19DD" w14:textId="77777777" w:rsidTr="008A1239">
        <w:trPr>
          <w:cantSplit/>
          <w:jc w:val="center"/>
        </w:trPr>
        <w:tc>
          <w:tcPr>
            <w:tcW w:w="3402" w:type="dxa"/>
            <w:shd w:val="clear" w:color="auto" w:fill="auto"/>
          </w:tcPr>
          <w:p w14:paraId="5686A5B8" w14:textId="0D7B2D6B" w:rsidR="008A1239" w:rsidRPr="00B36E99" w:rsidRDefault="008A1239" w:rsidP="008A1239">
            <w:pPr>
              <w:pStyle w:val="TblTextCenter"/>
            </w:pPr>
            <w:r w:rsidRPr="00F17760">
              <w:rPr>
                <w:lang w:val="en-AU"/>
              </w:rPr>
              <w:t xml:space="preserve">Complete response (CR) rate </w:t>
            </w:r>
          </w:p>
        </w:tc>
        <w:tc>
          <w:tcPr>
            <w:tcW w:w="2830" w:type="dxa"/>
            <w:shd w:val="clear" w:color="auto" w:fill="auto"/>
          </w:tcPr>
          <w:p w14:paraId="06906D0C" w14:textId="498A0C48" w:rsidR="008A1239" w:rsidRPr="00B36E99" w:rsidRDefault="008A1239" w:rsidP="008A1239">
            <w:pPr>
              <w:pStyle w:val="TblTextCenter"/>
            </w:pPr>
            <w:r w:rsidRPr="00F17760">
              <w:rPr>
                <w:lang w:val="en-AU"/>
              </w:rPr>
              <w:t>3.1</w:t>
            </w:r>
          </w:p>
        </w:tc>
        <w:tc>
          <w:tcPr>
            <w:tcW w:w="2784" w:type="dxa"/>
            <w:shd w:val="clear" w:color="auto" w:fill="auto"/>
          </w:tcPr>
          <w:p w14:paraId="6DB419BB" w14:textId="5005F8A7" w:rsidR="008A1239" w:rsidRPr="00B36E99" w:rsidRDefault="008A1239" w:rsidP="008A1239">
            <w:pPr>
              <w:pStyle w:val="TblTextCenter"/>
            </w:pPr>
            <w:r w:rsidRPr="00F17760">
              <w:rPr>
                <w:lang w:val="en-AU"/>
              </w:rPr>
              <w:t>0.8</w:t>
            </w:r>
          </w:p>
        </w:tc>
      </w:tr>
      <w:tr w:rsidR="008A1239" w14:paraId="66EF5690" w14:textId="77777777" w:rsidTr="008A1239">
        <w:trPr>
          <w:cantSplit/>
          <w:jc w:val="center"/>
        </w:trPr>
        <w:tc>
          <w:tcPr>
            <w:tcW w:w="3402" w:type="dxa"/>
            <w:shd w:val="clear" w:color="auto" w:fill="auto"/>
          </w:tcPr>
          <w:p w14:paraId="6BD3680F" w14:textId="17BB9EFA" w:rsidR="008A1239" w:rsidRPr="00B36E99" w:rsidRDefault="008A1239" w:rsidP="008A1239">
            <w:pPr>
              <w:pStyle w:val="TblTextCenter"/>
            </w:pPr>
            <w:r w:rsidRPr="00F17760">
              <w:rPr>
                <w:lang w:val="en-AU"/>
              </w:rPr>
              <w:t xml:space="preserve">Partial response (PR) rate </w:t>
            </w:r>
          </w:p>
        </w:tc>
        <w:tc>
          <w:tcPr>
            <w:tcW w:w="2830" w:type="dxa"/>
            <w:shd w:val="clear" w:color="auto" w:fill="auto"/>
          </w:tcPr>
          <w:p w14:paraId="284BF572" w14:textId="13CE9EE9" w:rsidR="008A1239" w:rsidRPr="00B36E99" w:rsidRDefault="008A1239" w:rsidP="008A1239">
            <w:pPr>
              <w:pStyle w:val="TblTextCenter"/>
            </w:pPr>
            <w:r w:rsidRPr="00F17760">
              <w:rPr>
                <w:lang w:val="en-AU"/>
              </w:rPr>
              <w:t>33.4</w:t>
            </w:r>
          </w:p>
        </w:tc>
        <w:tc>
          <w:tcPr>
            <w:tcW w:w="2784" w:type="dxa"/>
            <w:shd w:val="clear" w:color="auto" w:fill="auto"/>
          </w:tcPr>
          <w:p w14:paraId="0513E2C5" w14:textId="78B30C0F" w:rsidR="008A1239" w:rsidRPr="00B36E99" w:rsidRDefault="008A1239" w:rsidP="008A1239">
            <w:pPr>
              <w:pStyle w:val="TblTextCenter"/>
            </w:pPr>
            <w:r w:rsidRPr="00F17760">
              <w:rPr>
                <w:lang w:val="en-AU"/>
              </w:rPr>
              <w:t>19.8</w:t>
            </w:r>
          </w:p>
        </w:tc>
      </w:tr>
      <w:tr w:rsidR="008A1239" w14:paraId="369321B2" w14:textId="77777777" w:rsidTr="008A1239">
        <w:trPr>
          <w:cantSplit/>
          <w:jc w:val="center"/>
        </w:trPr>
        <w:tc>
          <w:tcPr>
            <w:tcW w:w="9016" w:type="dxa"/>
            <w:gridSpan w:val="3"/>
            <w:shd w:val="clear" w:color="auto" w:fill="auto"/>
          </w:tcPr>
          <w:p w14:paraId="19E2AECD"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a.  </w:t>
            </w:r>
            <w:r w:rsidRPr="00F17760">
              <w:rPr>
                <w:rFonts w:ascii="Arial Narrow" w:hAnsi="Arial Narrow"/>
                <w:color w:val="auto"/>
                <w:sz w:val="18"/>
                <w:szCs w:val="18"/>
                <w:lang w:val="en-AU"/>
              </w:rPr>
              <w:t>Based on Kaplan-Meier method</w:t>
            </w:r>
          </w:p>
          <w:p w14:paraId="2858AA7E"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b.  </w:t>
            </w:r>
            <w:r w:rsidRPr="00F17760">
              <w:rPr>
                <w:rFonts w:ascii="Arial Narrow" w:hAnsi="Arial Narrow"/>
                <w:color w:val="auto"/>
                <w:sz w:val="18"/>
                <w:szCs w:val="18"/>
                <w:lang w:val="en-AU"/>
              </w:rPr>
              <w:t xml:space="preserve">Based on stratified proportional hazards model </w:t>
            </w:r>
          </w:p>
          <w:p w14:paraId="6C916A34"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c.  </w:t>
            </w:r>
            <w:r w:rsidRPr="00F17760">
              <w:rPr>
                <w:rFonts w:ascii="Arial Narrow" w:hAnsi="Arial Narrow"/>
                <w:color w:val="auto"/>
                <w:sz w:val="18"/>
                <w:szCs w:val="18"/>
                <w:lang w:val="en-AU"/>
              </w:rPr>
              <w:t>Based on a two-sided p-value.</w:t>
            </w:r>
          </w:p>
          <w:p w14:paraId="21A44334" w14:textId="77777777" w:rsidR="008A1239" w:rsidRPr="00F17760" w:rsidRDefault="008A1239" w:rsidP="008A1239">
            <w:pPr>
              <w:spacing w:before="0"/>
              <w:rPr>
                <w:rFonts w:ascii="Arial Narrow" w:hAnsi="Arial Narrow"/>
                <w:color w:val="auto"/>
                <w:sz w:val="18"/>
                <w:szCs w:val="18"/>
                <w:lang w:val="en-AU"/>
              </w:rPr>
            </w:pPr>
            <w:r w:rsidRPr="00F17760">
              <w:rPr>
                <w:rFonts w:ascii="Arial Narrow" w:hAnsi="Arial Narrow"/>
                <w:color w:val="auto"/>
                <w:sz w:val="18"/>
                <w:szCs w:val="18"/>
                <w:vertAlign w:val="superscript"/>
                <w:lang w:val="en-AU"/>
              </w:rPr>
              <w:t xml:space="preserve">d.  </w:t>
            </w:r>
            <w:r w:rsidRPr="00F17760">
              <w:rPr>
                <w:rFonts w:ascii="Arial Narrow" w:hAnsi="Arial Narrow"/>
                <w:color w:val="auto"/>
                <w:sz w:val="18"/>
                <w:szCs w:val="18"/>
                <w:lang w:val="en-AU"/>
              </w:rPr>
              <w:t xml:space="preserve">Not a pre-specified endpoint in the 563 pre-specified population with PD-L1 </w:t>
            </w:r>
            <w:r w:rsidRPr="00F17760">
              <w:rPr>
                <w:rFonts w:ascii="Arial Narrow" w:hAnsi="Arial Narrow"/>
                <w:bCs/>
                <w:color w:val="auto"/>
                <w:sz w:val="18"/>
                <w:szCs w:val="18"/>
                <w:lang w:val="en-AU"/>
              </w:rPr>
              <w:t>≥ 50%</w:t>
            </w:r>
            <w:r w:rsidRPr="00F17760">
              <w:rPr>
                <w:rFonts w:ascii="Arial Narrow" w:hAnsi="Arial Narrow"/>
                <w:color w:val="auto"/>
                <w:sz w:val="18"/>
                <w:szCs w:val="18"/>
                <w:lang w:val="en-AU"/>
              </w:rPr>
              <w:t xml:space="preserve">  </w:t>
            </w:r>
          </w:p>
          <w:p w14:paraId="2E315B95" w14:textId="35B2F48A" w:rsidR="008A1239" w:rsidRDefault="008A1239" w:rsidP="008A1239">
            <w:pPr>
              <w:pStyle w:val="TblFigFootnote"/>
              <w:rPr>
                <w:lang w:val="en-AU"/>
              </w:rPr>
            </w:pPr>
            <w:r w:rsidRPr="00F17760">
              <w:rPr>
                <w:szCs w:val="18"/>
                <w:vertAlign w:val="superscript"/>
                <w:lang w:val="en-AU"/>
              </w:rPr>
              <w:t xml:space="preserve">e.  </w:t>
            </w:r>
            <w:r w:rsidRPr="00F17760">
              <w:rPr>
                <w:szCs w:val="18"/>
                <w:lang w:val="en-AU"/>
              </w:rPr>
              <w:t>Based on Clopper-Pearson exact confidence interval</w:t>
            </w:r>
          </w:p>
        </w:tc>
      </w:tr>
    </w:tbl>
    <w:p w14:paraId="20335039" w14:textId="7ECFC422" w:rsidR="00B0158D" w:rsidRPr="00F17760" w:rsidRDefault="003301FE" w:rsidP="003301FE">
      <w:pPr>
        <w:pStyle w:val="Caption"/>
        <w:rPr>
          <w:lang w:val="en-AU"/>
        </w:rPr>
      </w:pPr>
      <w:bookmarkStart w:id="32" w:name="_Ref51337202"/>
      <w:r w:rsidRPr="00F17760">
        <w:rPr>
          <w:lang w:val="en-AU"/>
        </w:rPr>
        <w:t>Figure </w:t>
      </w:r>
      <w:r w:rsidRPr="00F17760">
        <w:rPr>
          <w:lang w:val="en-AU"/>
        </w:rPr>
        <w:fldChar w:fldCharType="begin"/>
      </w:r>
      <w:r w:rsidRPr="00F17760">
        <w:rPr>
          <w:lang w:val="en-AU"/>
        </w:rPr>
        <w:instrText xml:space="preserve"> SEQ Figure \* ARABIC </w:instrText>
      </w:r>
      <w:r w:rsidRPr="00F17760">
        <w:rPr>
          <w:lang w:val="en-AU"/>
        </w:rPr>
        <w:fldChar w:fldCharType="separate"/>
      </w:r>
      <w:r w:rsidR="006B35A8">
        <w:rPr>
          <w:noProof/>
          <w:lang w:val="en-AU"/>
        </w:rPr>
        <w:t>1</w:t>
      </w:r>
      <w:r w:rsidRPr="00F17760">
        <w:rPr>
          <w:lang w:val="en-AU"/>
        </w:rPr>
        <w:fldChar w:fldCharType="end"/>
      </w:r>
      <w:bookmarkEnd w:id="32"/>
      <w:r w:rsidRPr="00F17760">
        <w:rPr>
          <w:lang w:val="en-AU"/>
        </w:rPr>
        <w:t xml:space="preserve"> </w:t>
      </w:r>
      <w:r w:rsidRPr="00F17760">
        <w:rPr>
          <w:sz w:val="18"/>
          <w:szCs w:val="18"/>
          <w:lang w:val="en-AU"/>
        </w:rPr>
        <w:t>­</w:t>
      </w:r>
      <w:r w:rsidRPr="00F17760">
        <w:rPr>
          <w:lang w:val="en-AU"/>
        </w:rPr>
        <w:t xml:space="preserve"> Kaplan-Meier curve for OS</w:t>
      </w:r>
    </w:p>
    <w:p w14:paraId="3E53C0D5" w14:textId="1C3AC697" w:rsidR="003301FE" w:rsidRPr="00F17760" w:rsidRDefault="003301FE" w:rsidP="004B546E">
      <w:pPr>
        <w:jc w:val="center"/>
        <w:rPr>
          <w:color w:val="auto"/>
          <w:lang w:val="en-AU"/>
        </w:rPr>
      </w:pPr>
      <w:r w:rsidRPr="00F17760">
        <w:rPr>
          <w:noProof/>
          <w:color w:val="auto"/>
          <w:lang w:val="en-AU"/>
        </w:rPr>
        <w:drawing>
          <wp:inline distT="0" distB="0" distL="0" distR="0" wp14:anchorId="389B0A76" wp14:editId="21159139">
            <wp:extent cx="5585955"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0704" cy="3946703"/>
                    </a:xfrm>
                    <a:prstGeom prst="rect">
                      <a:avLst/>
                    </a:prstGeom>
                    <a:noFill/>
                    <a:ln>
                      <a:noFill/>
                    </a:ln>
                  </pic:spPr>
                </pic:pic>
              </a:graphicData>
            </a:graphic>
          </wp:inline>
        </w:drawing>
      </w:r>
    </w:p>
    <w:p w14:paraId="7D8F65CD" w14:textId="5401DC1E" w:rsidR="003301FE" w:rsidRPr="00F17760" w:rsidRDefault="003301FE" w:rsidP="003301FE">
      <w:pPr>
        <w:pStyle w:val="Caption"/>
        <w:rPr>
          <w:lang w:val="en-AU"/>
        </w:rPr>
      </w:pPr>
      <w:r w:rsidRPr="00F17760">
        <w:rPr>
          <w:lang w:val="en-AU"/>
        </w:rPr>
        <w:lastRenderedPageBreak/>
        <w:t xml:space="preserve"> </w:t>
      </w:r>
      <w:bookmarkStart w:id="33" w:name="_Ref51337222"/>
      <w:r w:rsidRPr="00F17760">
        <w:rPr>
          <w:lang w:val="en-AU"/>
        </w:rPr>
        <w:t>Figure </w:t>
      </w:r>
      <w:r w:rsidRPr="00F17760">
        <w:rPr>
          <w:lang w:val="en-AU"/>
        </w:rPr>
        <w:fldChar w:fldCharType="begin"/>
      </w:r>
      <w:r w:rsidRPr="00F17760">
        <w:rPr>
          <w:lang w:val="en-AU"/>
        </w:rPr>
        <w:instrText xml:space="preserve"> SEQ Figure \* ARABIC </w:instrText>
      </w:r>
      <w:r w:rsidRPr="00F17760">
        <w:rPr>
          <w:lang w:val="en-AU"/>
        </w:rPr>
        <w:fldChar w:fldCharType="separate"/>
      </w:r>
      <w:r w:rsidR="006B35A8">
        <w:rPr>
          <w:noProof/>
          <w:lang w:val="en-AU"/>
        </w:rPr>
        <w:t>2</w:t>
      </w:r>
      <w:r w:rsidRPr="00F17760">
        <w:rPr>
          <w:lang w:val="en-AU"/>
        </w:rPr>
        <w:fldChar w:fldCharType="end"/>
      </w:r>
      <w:bookmarkEnd w:id="33"/>
      <w:r w:rsidRPr="00F17760">
        <w:rPr>
          <w:lang w:val="en-AU"/>
        </w:rPr>
        <w:t xml:space="preserve"> ­ Kaplan-Meier curve for PFS</w:t>
      </w:r>
    </w:p>
    <w:p w14:paraId="04CA12DB" w14:textId="6B47B3F3" w:rsidR="003301FE" w:rsidRPr="00F17760" w:rsidRDefault="003301FE" w:rsidP="004B546E">
      <w:pPr>
        <w:jc w:val="center"/>
        <w:rPr>
          <w:color w:val="auto"/>
          <w:lang w:val="en-AU"/>
        </w:rPr>
      </w:pPr>
      <w:r w:rsidRPr="00F17760">
        <w:rPr>
          <w:noProof/>
          <w:color w:val="auto"/>
          <w:lang w:val="en-AU"/>
        </w:rPr>
        <w:drawing>
          <wp:inline distT="0" distB="0" distL="0" distR="0" wp14:anchorId="081370B7" wp14:editId="22831EA2">
            <wp:extent cx="4874895" cy="3666243"/>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2204" cy="3671740"/>
                    </a:xfrm>
                    <a:prstGeom prst="rect">
                      <a:avLst/>
                    </a:prstGeom>
                    <a:noFill/>
                    <a:ln>
                      <a:noFill/>
                    </a:ln>
                  </pic:spPr>
                </pic:pic>
              </a:graphicData>
            </a:graphic>
          </wp:inline>
        </w:drawing>
      </w:r>
    </w:p>
    <w:p w14:paraId="6B7F7153" w14:textId="7A426FA1" w:rsidR="003301FE" w:rsidRPr="00F17760" w:rsidRDefault="003301FE" w:rsidP="004B546E">
      <w:pPr>
        <w:jc w:val="center"/>
        <w:rPr>
          <w:color w:val="auto"/>
          <w:lang w:val="en-AU"/>
        </w:rPr>
      </w:pPr>
    </w:p>
    <w:p w14:paraId="52012EEE" w14:textId="05ED0CE0" w:rsidR="00BA00BF" w:rsidRPr="00F17760" w:rsidRDefault="00BA00BF" w:rsidP="00BA00BF">
      <w:pPr>
        <w:pStyle w:val="Heading4"/>
        <w:numPr>
          <w:ilvl w:val="0"/>
          <w:numId w:val="0"/>
        </w:numPr>
        <w:ind w:left="862" w:hanging="862"/>
        <w:rPr>
          <w:lang w:val="en-AU"/>
        </w:rPr>
      </w:pPr>
      <w:bookmarkStart w:id="34" w:name="_Hlk1079580"/>
      <w:r w:rsidRPr="00F17760">
        <w:rPr>
          <w:lang w:val="en-AU"/>
        </w:rPr>
        <w:t>BCC</w:t>
      </w:r>
    </w:p>
    <w:p w14:paraId="7AEB1FA4" w14:textId="743E6FAE" w:rsidR="00D55E11" w:rsidRPr="00F17760" w:rsidRDefault="00D55E11" w:rsidP="00D55E11">
      <w:pPr>
        <w:rPr>
          <w:color w:val="auto"/>
          <w:lang w:val="en-AU"/>
        </w:rPr>
      </w:pPr>
      <w:r w:rsidRPr="00F17760">
        <w:rPr>
          <w:color w:val="auto"/>
          <w:lang w:val="en-AU"/>
        </w:rPr>
        <w:t xml:space="preserve">The efficacy and safety of </w:t>
      </w:r>
      <w:r w:rsidR="003F2547" w:rsidRPr="00F17760">
        <w:rPr>
          <w:color w:val="auto"/>
          <w:lang w:val="en-AU"/>
        </w:rPr>
        <w:t>cemiplimab</w:t>
      </w:r>
      <w:r w:rsidR="00B1221A" w:rsidRPr="00F17760">
        <w:rPr>
          <w:color w:val="auto"/>
          <w:lang w:val="en-AU"/>
        </w:rPr>
        <w:t xml:space="preserve"> </w:t>
      </w:r>
      <w:r w:rsidRPr="00F17760">
        <w:rPr>
          <w:color w:val="auto"/>
          <w:lang w:val="en-AU"/>
        </w:rPr>
        <w:t>in patients with advanced basal cell carcinoma (BCC) [unresectable locally advanced (laBCC) or metastatic (nodal or distant) (mBCC)] who had progressed on hedgehog pathway inhibitor (HHI) therapy, were intolerant of prior HHI therapy, or had no better than stable disease (SD) after 9 months on HHI therapy (exclusive of treatment breaks), were evaluated in Study 1620, an open-label, multi-</w:t>
      </w:r>
      <w:r w:rsidR="0038119B" w:rsidRPr="00F17760">
        <w:rPr>
          <w:color w:val="auto"/>
          <w:lang w:val="en-AU"/>
        </w:rPr>
        <w:t>centre</w:t>
      </w:r>
      <w:r w:rsidRPr="00F17760">
        <w:rPr>
          <w:color w:val="auto"/>
          <w:lang w:val="en-AU"/>
        </w:rPr>
        <w:t>, non-randomi</w:t>
      </w:r>
      <w:r w:rsidR="001A7724" w:rsidRPr="00F17760">
        <w:rPr>
          <w:color w:val="auto"/>
          <w:lang w:val="en-AU"/>
        </w:rPr>
        <w:t>s</w:t>
      </w:r>
      <w:r w:rsidRPr="00F17760">
        <w:rPr>
          <w:color w:val="auto"/>
          <w:lang w:val="en-AU"/>
        </w:rPr>
        <w:t>ed study. The study excluded patients with autoimmune disease that required systemic therapy with immunosuppressant agents within 5 years; history of solid organ transplant; prior treatment with anti–PD-1/PD-L1 therapy or other immune checkpoint inhibitor therapy; infection with HIV, hepatitis B or hepatitis C; or ECOG performance score (PS) ≥2.</w:t>
      </w:r>
    </w:p>
    <w:p w14:paraId="1930E9E7" w14:textId="6EBE5D24" w:rsidR="00D55E11" w:rsidRPr="00F17760" w:rsidRDefault="00D55E11" w:rsidP="00D55E11">
      <w:pPr>
        <w:rPr>
          <w:color w:val="auto"/>
          <w:lang w:val="en-AU"/>
        </w:rPr>
      </w:pPr>
      <w:r w:rsidRPr="00F17760">
        <w:rPr>
          <w:color w:val="auto"/>
          <w:lang w:val="en-AU"/>
        </w:rPr>
        <w:t xml:space="preserve">Patients received </w:t>
      </w:r>
      <w:r w:rsidR="00EC6104" w:rsidRPr="00F17760">
        <w:rPr>
          <w:color w:val="auto"/>
          <w:lang w:val="en-AU"/>
        </w:rPr>
        <w:t xml:space="preserve">cemiplimab </w:t>
      </w:r>
      <w:r w:rsidRPr="00F17760">
        <w:rPr>
          <w:color w:val="auto"/>
          <w:lang w:val="en-AU"/>
        </w:rPr>
        <w:t xml:space="preserve">350 mg intravenously (IV) every 3 weeks for 5 cycles of 9 weeks followed by 4 cycles of 12 weeks up to 93 weeks of treatment. Treatment continued until disease progression, unacceptable </w:t>
      </w:r>
      <w:proofErr w:type="gramStart"/>
      <w:r w:rsidRPr="00F17760">
        <w:rPr>
          <w:color w:val="auto"/>
          <w:lang w:val="en-AU"/>
        </w:rPr>
        <w:t>toxicity</w:t>
      </w:r>
      <w:proofErr w:type="gramEnd"/>
      <w:r w:rsidRPr="00F17760">
        <w:rPr>
          <w:color w:val="auto"/>
          <w:lang w:val="en-AU"/>
        </w:rPr>
        <w:t xml:space="preserve"> or completion of planned treatment. </w:t>
      </w:r>
      <w:r w:rsidR="0038119B" w:rsidRPr="00F17760">
        <w:rPr>
          <w:color w:val="auto"/>
          <w:lang w:val="en-AU"/>
        </w:rPr>
        <w:t>Tumour</w:t>
      </w:r>
      <w:r w:rsidRPr="00F17760">
        <w:rPr>
          <w:color w:val="auto"/>
          <w:lang w:val="en-AU"/>
        </w:rPr>
        <w:t xml:space="preserve"> assessments were performed every 9 weeks during cycles 1 to 5 and every 12 weeks during cycles 6 to 9. The major efficacy endpoints were confirmed objective response rate (ORR) and duration of response (DOR) as assessed by independent central review (ICR). Secondary efficacy endpoints included ORR and DOR by investigator assessment (IA), progression free survival (PFS), overall survival (OS), complete response (CR) by ICR, time to </w:t>
      </w:r>
      <w:r w:rsidR="0038119B" w:rsidRPr="00F17760">
        <w:rPr>
          <w:color w:val="auto"/>
          <w:lang w:val="en-AU"/>
        </w:rPr>
        <w:t>tumour</w:t>
      </w:r>
      <w:r w:rsidRPr="00F17760">
        <w:rPr>
          <w:color w:val="auto"/>
          <w:lang w:val="en-AU"/>
        </w:rPr>
        <w:t xml:space="preserve"> response (TTR), disease control rate (DCR), durable DCR by ICR, EORTC QLQ-C30 and Skindex-16 scores. For patients with mBCC without externally visible target lesions,</w:t>
      </w:r>
      <w:r w:rsidR="00BF70DB" w:rsidRPr="00F17760">
        <w:rPr>
          <w:color w:val="auto"/>
          <w:lang w:val="en-AU"/>
        </w:rPr>
        <w:t xml:space="preserve"> </w:t>
      </w:r>
      <w:r w:rsidRPr="00F17760">
        <w:rPr>
          <w:color w:val="auto"/>
          <w:lang w:val="en-AU"/>
        </w:rPr>
        <w:t xml:space="preserve">ORR </w:t>
      </w:r>
      <w:r w:rsidRPr="00F17760">
        <w:rPr>
          <w:color w:val="auto"/>
          <w:lang w:val="en-AU"/>
        </w:rPr>
        <w:lastRenderedPageBreak/>
        <w:t xml:space="preserve">was determined by Response Evaluation Criteria in Solid </w:t>
      </w:r>
      <w:r w:rsidR="0038119B" w:rsidRPr="00F17760">
        <w:rPr>
          <w:color w:val="auto"/>
          <w:lang w:val="en-AU"/>
        </w:rPr>
        <w:t>Tumours</w:t>
      </w:r>
      <w:r w:rsidRPr="00F17760">
        <w:rPr>
          <w:color w:val="auto"/>
          <w:lang w:val="en-AU"/>
        </w:rPr>
        <w:t xml:space="preserve"> (RECIST 1.1). For patients with externally visible target lesions (laBCC and mBCC), ORR was determined by a composite endpoint that integrated ICR assessments of radiologic data (RECIST 1.1) and digital medical photography (WHO criteria).</w:t>
      </w:r>
    </w:p>
    <w:p w14:paraId="67D6F279" w14:textId="4349A536" w:rsidR="00D55E11" w:rsidRPr="00F17760" w:rsidRDefault="00D55E11" w:rsidP="00D55E11">
      <w:pPr>
        <w:rPr>
          <w:color w:val="auto"/>
          <w:lang w:val="en-AU"/>
        </w:rPr>
      </w:pPr>
      <w:r w:rsidRPr="00F17760">
        <w:rPr>
          <w:color w:val="auto"/>
          <w:lang w:val="en-AU"/>
        </w:rPr>
        <w:t xml:space="preserve">A total of 112 patients with advanced BCC were included in the efficacy analysis of Study 1620. Of these, 25% had mBCC and 75% had laBCC. See </w:t>
      </w:r>
      <w:r w:rsidR="0038119B" w:rsidRPr="00F17760">
        <w:rPr>
          <w:color w:val="auto"/>
          <w:lang w:val="en-AU"/>
        </w:rPr>
        <w:fldChar w:fldCharType="begin"/>
      </w:r>
      <w:r w:rsidR="0038119B" w:rsidRPr="00F17760">
        <w:rPr>
          <w:color w:val="auto"/>
          <w:lang w:val="en-AU"/>
        </w:rPr>
        <w:instrText xml:space="preserve"> REF _Ref54185010 \h  \* MERGEFORMAT </w:instrText>
      </w:r>
      <w:r w:rsidR="0038119B" w:rsidRPr="00F17760">
        <w:rPr>
          <w:color w:val="auto"/>
          <w:lang w:val="en-AU"/>
        </w:rPr>
      </w:r>
      <w:r w:rsidR="0038119B" w:rsidRPr="00F17760">
        <w:rPr>
          <w:color w:val="auto"/>
          <w:lang w:val="en-AU"/>
        </w:rPr>
        <w:fldChar w:fldCharType="separate"/>
      </w:r>
      <w:r w:rsidR="006B35A8" w:rsidRPr="006B35A8">
        <w:rPr>
          <w:color w:val="auto"/>
          <w:lang w:val="en-AU"/>
        </w:rPr>
        <w:t>Table 5</w:t>
      </w:r>
      <w:r w:rsidR="0038119B" w:rsidRPr="00F17760">
        <w:rPr>
          <w:color w:val="auto"/>
          <w:lang w:val="en-AU"/>
        </w:rPr>
        <w:fldChar w:fldCharType="end"/>
      </w:r>
      <w:r w:rsidR="0038119B" w:rsidRPr="00F17760">
        <w:rPr>
          <w:color w:val="auto"/>
          <w:lang w:val="en-AU"/>
        </w:rPr>
        <w:t xml:space="preserve"> </w:t>
      </w:r>
      <w:r w:rsidRPr="00F17760">
        <w:rPr>
          <w:color w:val="auto"/>
          <w:lang w:val="en-AU"/>
        </w:rPr>
        <w:t>for a summary of baseline patient and disease characteristics.</w:t>
      </w:r>
    </w:p>
    <w:p w14:paraId="09D6AD33" w14:textId="2FD0C295" w:rsidR="00D55E11" w:rsidRPr="00F17760" w:rsidRDefault="00D55E11" w:rsidP="00D55E11">
      <w:pPr>
        <w:pStyle w:val="Caption"/>
        <w:rPr>
          <w:lang w:val="en-AU"/>
        </w:rPr>
      </w:pPr>
      <w:r w:rsidRPr="00F17760">
        <w:rPr>
          <w:lang w:val="en-AU"/>
        </w:rPr>
        <w:t xml:space="preserve"> </w:t>
      </w:r>
      <w:bookmarkStart w:id="35" w:name="_Ref54185010"/>
      <w:r w:rsidRPr="00F17760">
        <w:rPr>
          <w:lang w:val="en-AU"/>
        </w:rPr>
        <w:t>Table </w:t>
      </w:r>
      <w:r w:rsidRPr="00F17760">
        <w:rPr>
          <w:lang w:val="en-AU"/>
        </w:rPr>
        <w:fldChar w:fldCharType="begin"/>
      </w:r>
      <w:r w:rsidRPr="00F17760">
        <w:rPr>
          <w:lang w:val="en-AU"/>
        </w:rPr>
        <w:instrText xml:space="preserve"> SEQ Table \* ARABIC </w:instrText>
      </w:r>
      <w:r w:rsidRPr="00F17760">
        <w:rPr>
          <w:lang w:val="en-AU"/>
        </w:rPr>
        <w:fldChar w:fldCharType="separate"/>
      </w:r>
      <w:r w:rsidR="006B35A8">
        <w:rPr>
          <w:noProof/>
          <w:lang w:val="en-AU"/>
        </w:rPr>
        <w:t>5</w:t>
      </w:r>
      <w:r w:rsidRPr="00F17760">
        <w:rPr>
          <w:lang w:val="en-AU"/>
        </w:rPr>
        <w:fldChar w:fldCharType="end"/>
      </w:r>
      <w:bookmarkEnd w:id="35"/>
      <w:r w:rsidRPr="00F17760">
        <w:rPr>
          <w:lang w:val="en-AU"/>
        </w:rPr>
        <w:t xml:space="preserve"> ­ Summary of </w:t>
      </w:r>
      <w:r w:rsidR="00EC6104" w:rsidRPr="00F17760">
        <w:rPr>
          <w:lang w:val="en-AU"/>
        </w:rPr>
        <w:t>b</w:t>
      </w:r>
      <w:r w:rsidRPr="00F17760">
        <w:rPr>
          <w:lang w:val="en-AU"/>
        </w:rPr>
        <w:t xml:space="preserve">aseline </w:t>
      </w:r>
      <w:r w:rsidR="00EC6104" w:rsidRPr="00F17760">
        <w:rPr>
          <w:lang w:val="en-AU"/>
        </w:rPr>
        <w:t>p</w:t>
      </w:r>
      <w:r w:rsidRPr="00F17760">
        <w:rPr>
          <w:lang w:val="en-AU"/>
        </w:rPr>
        <w:t xml:space="preserve">atient </w:t>
      </w:r>
      <w:r w:rsidR="00EC6104" w:rsidRPr="00F17760">
        <w:rPr>
          <w:lang w:val="en-AU"/>
        </w:rPr>
        <w:t>c</w:t>
      </w:r>
      <w:r w:rsidRPr="00F17760">
        <w:rPr>
          <w:lang w:val="en-AU"/>
        </w:rPr>
        <w:t xml:space="preserve">haracteristics and </w:t>
      </w:r>
      <w:r w:rsidR="00EC6104" w:rsidRPr="00F17760">
        <w:rPr>
          <w:lang w:val="en-AU"/>
        </w:rPr>
        <w:t>p</w:t>
      </w:r>
      <w:r w:rsidRPr="00F17760">
        <w:rPr>
          <w:lang w:val="en-AU"/>
        </w:rPr>
        <w:t xml:space="preserve">rior </w:t>
      </w:r>
      <w:r w:rsidR="00EC6104" w:rsidRPr="00F17760">
        <w:rPr>
          <w:lang w:val="en-AU"/>
        </w:rPr>
        <w:t>t</w:t>
      </w:r>
      <w:r w:rsidRPr="00F17760">
        <w:rPr>
          <w:lang w:val="en-AU"/>
        </w:rPr>
        <w:t>reatments in Study 1620</w:t>
      </w:r>
    </w:p>
    <w:tbl>
      <w:tblPr>
        <w:tblStyle w:val="TableGrid"/>
        <w:tblW w:w="0" w:type="auto"/>
        <w:jc w:val="center"/>
        <w:tblLook w:val="04A0" w:firstRow="1" w:lastRow="0" w:firstColumn="1" w:lastColumn="0" w:noHBand="0" w:noVBand="1"/>
      </w:tblPr>
      <w:tblGrid>
        <w:gridCol w:w="4531"/>
        <w:gridCol w:w="2407"/>
        <w:gridCol w:w="2078"/>
      </w:tblGrid>
      <w:tr w:rsidR="0083621A" w:rsidRPr="00F17760" w14:paraId="69D63663" w14:textId="77777777" w:rsidTr="008A1239">
        <w:trPr>
          <w:cantSplit/>
          <w:tblHeader/>
          <w:jc w:val="center"/>
        </w:trPr>
        <w:tc>
          <w:tcPr>
            <w:tcW w:w="4536" w:type="dxa"/>
            <w:shd w:val="clear" w:color="auto" w:fill="auto"/>
            <w:vAlign w:val="center"/>
          </w:tcPr>
          <w:p w14:paraId="32403994" w14:textId="77777777" w:rsidR="0083621A" w:rsidRPr="00F17760" w:rsidRDefault="0083621A" w:rsidP="00DC2B76">
            <w:pPr>
              <w:pStyle w:val="TblHeadingCenter"/>
              <w:jc w:val="left"/>
            </w:pPr>
          </w:p>
        </w:tc>
        <w:tc>
          <w:tcPr>
            <w:tcW w:w="2410" w:type="dxa"/>
            <w:shd w:val="clear" w:color="auto" w:fill="auto"/>
          </w:tcPr>
          <w:p w14:paraId="64261849" w14:textId="77777777" w:rsidR="0083621A" w:rsidRPr="00F17760" w:rsidRDefault="0083621A" w:rsidP="0083621A">
            <w:pPr>
              <w:pStyle w:val="TblHeadingCenter"/>
            </w:pPr>
            <w:r w:rsidRPr="00F17760">
              <w:t>mBCC</w:t>
            </w:r>
          </w:p>
          <w:p w14:paraId="64EDA06E" w14:textId="0ADFD2F1" w:rsidR="0083621A" w:rsidRPr="00F17760" w:rsidRDefault="0083621A" w:rsidP="0083621A">
            <w:pPr>
              <w:pStyle w:val="TblHeadingCenter"/>
            </w:pPr>
            <w:r w:rsidRPr="00F17760">
              <w:t>N=28</w:t>
            </w:r>
          </w:p>
        </w:tc>
        <w:tc>
          <w:tcPr>
            <w:tcW w:w="2080" w:type="dxa"/>
            <w:shd w:val="clear" w:color="auto" w:fill="auto"/>
          </w:tcPr>
          <w:p w14:paraId="4343178F" w14:textId="77777777" w:rsidR="0083621A" w:rsidRPr="00F17760" w:rsidRDefault="0083621A" w:rsidP="0083621A">
            <w:pPr>
              <w:pStyle w:val="TblHeadingCenter"/>
            </w:pPr>
            <w:r w:rsidRPr="00F17760">
              <w:t>laBCC</w:t>
            </w:r>
          </w:p>
          <w:p w14:paraId="0B30889C" w14:textId="31CF6581" w:rsidR="0083621A" w:rsidRPr="00F17760" w:rsidRDefault="0083621A" w:rsidP="0083621A">
            <w:pPr>
              <w:pStyle w:val="TblHeadingCenter"/>
            </w:pPr>
            <w:r w:rsidRPr="00F17760">
              <w:t>N=84</w:t>
            </w:r>
          </w:p>
        </w:tc>
      </w:tr>
      <w:tr w:rsidR="0083621A" w:rsidRPr="00F17760" w14:paraId="0D22A5ED" w14:textId="77777777" w:rsidTr="008A1239">
        <w:trPr>
          <w:cantSplit/>
          <w:jc w:val="center"/>
        </w:trPr>
        <w:tc>
          <w:tcPr>
            <w:tcW w:w="4536" w:type="dxa"/>
            <w:shd w:val="clear" w:color="auto" w:fill="auto"/>
            <w:vAlign w:val="center"/>
          </w:tcPr>
          <w:p w14:paraId="2F895318" w14:textId="77777777" w:rsidR="0083621A" w:rsidRPr="00DC2B76" w:rsidRDefault="0083621A" w:rsidP="00DC2B76">
            <w:pPr>
              <w:pStyle w:val="TblTextCenter"/>
              <w:jc w:val="left"/>
              <w:rPr>
                <w:b/>
                <w:bCs/>
              </w:rPr>
            </w:pPr>
            <w:r w:rsidRPr="00DC2B76">
              <w:rPr>
                <w:b/>
                <w:bCs/>
              </w:rPr>
              <w:t>Patient characteristics</w:t>
            </w:r>
          </w:p>
        </w:tc>
        <w:tc>
          <w:tcPr>
            <w:tcW w:w="2410" w:type="dxa"/>
            <w:shd w:val="clear" w:color="auto" w:fill="auto"/>
          </w:tcPr>
          <w:p w14:paraId="42458B79" w14:textId="77777777" w:rsidR="0083621A" w:rsidRPr="0083621A" w:rsidRDefault="0083621A" w:rsidP="0083621A">
            <w:pPr>
              <w:pStyle w:val="TblTextCenter"/>
            </w:pPr>
          </w:p>
        </w:tc>
        <w:tc>
          <w:tcPr>
            <w:tcW w:w="2080" w:type="dxa"/>
            <w:shd w:val="clear" w:color="auto" w:fill="auto"/>
          </w:tcPr>
          <w:p w14:paraId="01046CF0" w14:textId="77777777" w:rsidR="0083621A" w:rsidRPr="0083621A" w:rsidRDefault="0083621A" w:rsidP="0083621A">
            <w:pPr>
              <w:pStyle w:val="TblTextCenter"/>
            </w:pPr>
          </w:p>
        </w:tc>
      </w:tr>
      <w:tr w:rsidR="0083621A" w:rsidRPr="00F17760" w14:paraId="14BE5665" w14:textId="77777777" w:rsidTr="008A1239">
        <w:trPr>
          <w:cantSplit/>
          <w:jc w:val="center"/>
        </w:trPr>
        <w:tc>
          <w:tcPr>
            <w:tcW w:w="4536" w:type="dxa"/>
            <w:shd w:val="clear" w:color="auto" w:fill="auto"/>
            <w:vAlign w:val="center"/>
          </w:tcPr>
          <w:p w14:paraId="34CC93BB" w14:textId="0AEA5C43"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Median age years</w:t>
            </w:r>
          </w:p>
          <w:p w14:paraId="0544219C" w14:textId="274C4EDE" w:rsidR="0083621A" w:rsidRPr="0083621A" w:rsidRDefault="0083621A" w:rsidP="00DC2B76">
            <w:pPr>
              <w:autoSpaceDE w:val="0"/>
              <w:autoSpaceDN w:val="0"/>
              <w:adjustRightInd w:val="0"/>
              <w:spacing w:before="0"/>
              <w:ind w:firstLine="161"/>
            </w:pPr>
            <w:r w:rsidRPr="00DC2B76">
              <w:rPr>
                <w:rFonts w:ascii="Arial Narrow" w:eastAsiaTheme="minorHAnsi" w:hAnsi="Arial Narrow"/>
                <w:color w:val="auto"/>
                <w:sz w:val="20"/>
                <w:szCs w:val="20"/>
                <w:lang w:val="en-AU"/>
              </w:rPr>
              <w:t>(Range)</w:t>
            </w:r>
          </w:p>
        </w:tc>
        <w:tc>
          <w:tcPr>
            <w:tcW w:w="2410" w:type="dxa"/>
            <w:shd w:val="clear" w:color="auto" w:fill="auto"/>
          </w:tcPr>
          <w:p w14:paraId="2DFECFF8" w14:textId="77777777" w:rsidR="0083621A" w:rsidRPr="0083621A" w:rsidRDefault="0083621A" w:rsidP="0083621A">
            <w:pPr>
              <w:pStyle w:val="TblTextCenter"/>
            </w:pPr>
            <w:r w:rsidRPr="0083621A">
              <w:t>65.5</w:t>
            </w:r>
          </w:p>
          <w:p w14:paraId="21CA0D1B" w14:textId="237D1CEF" w:rsidR="0083621A" w:rsidRPr="0083621A" w:rsidRDefault="0083621A" w:rsidP="0083621A">
            <w:pPr>
              <w:pStyle w:val="TblTextCenter"/>
            </w:pPr>
            <w:r w:rsidRPr="0083621A">
              <w:t>(38 – 90)</w:t>
            </w:r>
          </w:p>
        </w:tc>
        <w:tc>
          <w:tcPr>
            <w:tcW w:w="2080" w:type="dxa"/>
            <w:shd w:val="clear" w:color="auto" w:fill="auto"/>
          </w:tcPr>
          <w:p w14:paraId="3E6A90C4" w14:textId="77777777" w:rsidR="0083621A" w:rsidRPr="0083621A" w:rsidRDefault="0083621A" w:rsidP="0083621A">
            <w:pPr>
              <w:pStyle w:val="TblTextCenter"/>
            </w:pPr>
            <w:r w:rsidRPr="0083621A">
              <w:t>70.0</w:t>
            </w:r>
          </w:p>
          <w:p w14:paraId="5F657775" w14:textId="19407257" w:rsidR="0083621A" w:rsidRPr="0083621A" w:rsidRDefault="0083621A" w:rsidP="0083621A">
            <w:pPr>
              <w:pStyle w:val="TblTextCenter"/>
            </w:pPr>
            <w:r w:rsidRPr="0083621A">
              <w:t>(42 – 89)</w:t>
            </w:r>
          </w:p>
        </w:tc>
      </w:tr>
      <w:tr w:rsidR="0083621A" w:rsidRPr="00F17760" w14:paraId="1935243E" w14:textId="77777777" w:rsidTr="008A1239">
        <w:trPr>
          <w:cantSplit/>
          <w:jc w:val="center"/>
        </w:trPr>
        <w:tc>
          <w:tcPr>
            <w:tcW w:w="4536" w:type="dxa"/>
            <w:shd w:val="clear" w:color="auto" w:fill="auto"/>
            <w:vAlign w:val="center"/>
          </w:tcPr>
          <w:p w14:paraId="65052ACB" w14:textId="7DAE9C3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&lt;65</w:t>
            </w:r>
          </w:p>
        </w:tc>
        <w:tc>
          <w:tcPr>
            <w:tcW w:w="2410" w:type="dxa"/>
            <w:shd w:val="clear" w:color="auto" w:fill="auto"/>
          </w:tcPr>
          <w:p w14:paraId="1247A03D" w14:textId="3C0463C7" w:rsidR="0083621A" w:rsidRPr="0083621A" w:rsidRDefault="0083621A" w:rsidP="0083621A">
            <w:pPr>
              <w:pStyle w:val="TblTextCenter"/>
            </w:pPr>
            <w:r w:rsidRPr="0083621A">
              <w:t>13 (46%)</w:t>
            </w:r>
          </w:p>
        </w:tc>
        <w:tc>
          <w:tcPr>
            <w:tcW w:w="2080" w:type="dxa"/>
            <w:shd w:val="clear" w:color="auto" w:fill="auto"/>
          </w:tcPr>
          <w:p w14:paraId="60DB0C9D" w14:textId="5EBEEE7A" w:rsidR="0083621A" w:rsidRPr="0083621A" w:rsidRDefault="0083621A" w:rsidP="0083621A">
            <w:pPr>
              <w:pStyle w:val="TblTextCenter"/>
            </w:pPr>
            <w:r w:rsidRPr="0083621A">
              <w:t>31 (37%)</w:t>
            </w:r>
          </w:p>
        </w:tc>
      </w:tr>
      <w:tr w:rsidR="0083621A" w:rsidRPr="00F17760" w14:paraId="63F6ED3E" w14:textId="77777777" w:rsidTr="008A1239">
        <w:trPr>
          <w:cantSplit/>
          <w:jc w:val="center"/>
        </w:trPr>
        <w:tc>
          <w:tcPr>
            <w:tcW w:w="4536" w:type="dxa"/>
            <w:shd w:val="clear" w:color="auto" w:fill="auto"/>
            <w:vAlign w:val="center"/>
          </w:tcPr>
          <w:p w14:paraId="26BC228F" w14:textId="394E1D0C"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≥65</w:t>
            </w:r>
          </w:p>
        </w:tc>
        <w:tc>
          <w:tcPr>
            <w:tcW w:w="2410" w:type="dxa"/>
            <w:shd w:val="clear" w:color="auto" w:fill="auto"/>
          </w:tcPr>
          <w:p w14:paraId="1A869F18" w14:textId="6A4F7CE2" w:rsidR="0083621A" w:rsidRPr="0083621A" w:rsidRDefault="0083621A" w:rsidP="0083621A">
            <w:pPr>
              <w:pStyle w:val="TblTextCenter"/>
            </w:pPr>
            <w:r w:rsidRPr="0083621A">
              <w:t>15 (54%)</w:t>
            </w:r>
          </w:p>
        </w:tc>
        <w:tc>
          <w:tcPr>
            <w:tcW w:w="2080" w:type="dxa"/>
            <w:shd w:val="clear" w:color="auto" w:fill="auto"/>
          </w:tcPr>
          <w:p w14:paraId="399218B6" w14:textId="20CFE20C" w:rsidR="0083621A" w:rsidRPr="0083621A" w:rsidRDefault="0083621A" w:rsidP="0083621A">
            <w:pPr>
              <w:pStyle w:val="TblTextCenter"/>
            </w:pPr>
            <w:r w:rsidRPr="0083621A">
              <w:t>53 (63%)</w:t>
            </w:r>
          </w:p>
        </w:tc>
      </w:tr>
      <w:tr w:rsidR="0083621A" w:rsidRPr="00F17760" w14:paraId="7D62A3BD" w14:textId="77777777" w:rsidTr="008A1239">
        <w:trPr>
          <w:cantSplit/>
          <w:jc w:val="center"/>
        </w:trPr>
        <w:tc>
          <w:tcPr>
            <w:tcW w:w="4536" w:type="dxa"/>
            <w:shd w:val="clear" w:color="auto" w:fill="auto"/>
            <w:vAlign w:val="center"/>
          </w:tcPr>
          <w:p w14:paraId="12F86155" w14:textId="55E62DB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Gender: Male</w:t>
            </w:r>
          </w:p>
        </w:tc>
        <w:tc>
          <w:tcPr>
            <w:tcW w:w="2410" w:type="dxa"/>
            <w:shd w:val="clear" w:color="auto" w:fill="auto"/>
          </w:tcPr>
          <w:p w14:paraId="5DBAAC61" w14:textId="78567494" w:rsidR="0083621A" w:rsidRPr="0083621A" w:rsidRDefault="0083621A" w:rsidP="0083621A">
            <w:pPr>
              <w:pStyle w:val="TblTextCenter"/>
            </w:pPr>
            <w:r w:rsidRPr="0083621A">
              <w:t>23 (82%)</w:t>
            </w:r>
          </w:p>
        </w:tc>
        <w:tc>
          <w:tcPr>
            <w:tcW w:w="2080" w:type="dxa"/>
            <w:shd w:val="clear" w:color="auto" w:fill="auto"/>
          </w:tcPr>
          <w:p w14:paraId="5D73EF69" w14:textId="102FCBF4" w:rsidR="0083621A" w:rsidRPr="0083621A" w:rsidRDefault="0083621A" w:rsidP="0083621A">
            <w:pPr>
              <w:pStyle w:val="TblTextCenter"/>
            </w:pPr>
            <w:r w:rsidRPr="0083621A">
              <w:t>56 (67%)</w:t>
            </w:r>
          </w:p>
        </w:tc>
      </w:tr>
      <w:tr w:rsidR="0083621A" w:rsidRPr="00F17760" w14:paraId="7640476D" w14:textId="77777777" w:rsidTr="008A1239">
        <w:trPr>
          <w:cantSplit/>
          <w:jc w:val="center"/>
        </w:trPr>
        <w:tc>
          <w:tcPr>
            <w:tcW w:w="4536" w:type="dxa"/>
            <w:shd w:val="clear" w:color="auto" w:fill="auto"/>
            <w:vAlign w:val="center"/>
          </w:tcPr>
          <w:p w14:paraId="4C308332" w14:textId="1BF15187"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Race: White</w:t>
            </w:r>
          </w:p>
        </w:tc>
        <w:tc>
          <w:tcPr>
            <w:tcW w:w="2410" w:type="dxa"/>
            <w:shd w:val="clear" w:color="auto" w:fill="auto"/>
          </w:tcPr>
          <w:p w14:paraId="7C25E09D" w14:textId="6816C1B1" w:rsidR="0083621A" w:rsidRPr="0083621A" w:rsidRDefault="0083621A" w:rsidP="0083621A">
            <w:pPr>
              <w:pStyle w:val="TblTextCenter"/>
            </w:pPr>
            <w:r w:rsidRPr="0083621A">
              <w:t>22 (79%)</w:t>
            </w:r>
          </w:p>
        </w:tc>
        <w:tc>
          <w:tcPr>
            <w:tcW w:w="2080" w:type="dxa"/>
            <w:shd w:val="clear" w:color="auto" w:fill="auto"/>
          </w:tcPr>
          <w:p w14:paraId="5426E3DD" w14:textId="05A65B00" w:rsidR="0083621A" w:rsidRPr="0083621A" w:rsidRDefault="0083621A" w:rsidP="0083621A">
            <w:pPr>
              <w:pStyle w:val="TblTextCenter"/>
            </w:pPr>
            <w:r w:rsidRPr="0083621A">
              <w:t>57 (68%)</w:t>
            </w:r>
          </w:p>
        </w:tc>
      </w:tr>
      <w:tr w:rsidR="0083621A" w:rsidRPr="00F17760" w14:paraId="7AF3121E" w14:textId="77777777" w:rsidTr="008A1239">
        <w:trPr>
          <w:cantSplit/>
          <w:jc w:val="center"/>
        </w:trPr>
        <w:tc>
          <w:tcPr>
            <w:tcW w:w="4536" w:type="dxa"/>
            <w:shd w:val="clear" w:color="auto" w:fill="auto"/>
            <w:vAlign w:val="center"/>
          </w:tcPr>
          <w:p w14:paraId="446B35AA" w14:textId="77777777" w:rsidR="0083621A" w:rsidRPr="00DC2B76" w:rsidRDefault="0083621A" w:rsidP="00DC2B76">
            <w:pPr>
              <w:pStyle w:val="TblTextCenter"/>
              <w:jc w:val="left"/>
              <w:rPr>
                <w:b/>
                <w:bCs/>
              </w:rPr>
            </w:pPr>
            <w:r w:rsidRPr="00DC2B76">
              <w:rPr>
                <w:b/>
                <w:bCs/>
              </w:rPr>
              <w:t>ECOG performance status</w:t>
            </w:r>
          </w:p>
        </w:tc>
        <w:tc>
          <w:tcPr>
            <w:tcW w:w="2410" w:type="dxa"/>
            <w:shd w:val="clear" w:color="auto" w:fill="auto"/>
          </w:tcPr>
          <w:p w14:paraId="5FF6889B" w14:textId="77777777" w:rsidR="0083621A" w:rsidRPr="0083621A" w:rsidRDefault="0083621A" w:rsidP="0083621A">
            <w:pPr>
              <w:pStyle w:val="TblTextCenter"/>
            </w:pPr>
          </w:p>
        </w:tc>
        <w:tc>
          <w:tcPr>
            <w:tcW w:w="2080" w:type="dxa"/>
            <w:shd w:val="clear" w:color="auto" w:fill="auto"/>
          </w:tcPr>
          <w:p w14:paraId="0FE397F3" w14:textId="77777777" w:rsidR="0083621A" w:rsidRPr="0083621A" w:rsidRDefault="0083621A" w:rsidP="0083621A">
            <w:pPr>
              <w:pStyle w:val="TblTextCenter"/>
            </w:pPr>
          </w:p>
        </w:tc>
      </w:tr>
      <w:tr w:rsidR="0083621A" w:rsidRPr="00F17760" w14:paraId="28FE31ED" w14:textId="77777777" w:rsidTr="008A1239">
        <w:trPr>
          <w:cantSplit/>
          <w:jc w:val="center"/>
        </w:trPr>
        <w:tc>
          <w:tcPr>
            <w:tcW w:w="4536" w:type="dxa"/>
            <w:shd w:val="clear" w:color="auto" w:fill="auto"/>
            <w:vAlign w:val="center"/>
          </w:tcPr>
          <w:p w14:paraId="5A0AFBE9" w14:textId="1B476E0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0</w:t>
            </w:r>
          </w:p>
        </w:tc>
        <w:tc>
          <w:tcPr>
            <w:tcW w:w="2410" w:type="dxa"/>
            <w:shd w:val="clear" w:color="auto" w:fill="auto"/>
          </w:tcPr>
          <w:p w14:paraId="726F12F3" w14:textId="221D1542" w:rsidR="0083621A" w:rsidRPr="0083621A" w:rsidRDefault="0083621A" w:rsidP="0083621A">
            <w:pPr>
              <w:pStyle w:val="TblTextCenter"/>
            </w:pPr>
            <w:r w:rsidRPr="0083621A">
              <w:t>16 (57%)</w:t>
            </w:r>
          </w:p>
        </w:tc>
        <w:tc>
          <w:tcPr>
            <w:tcW w:w="2080" w:type="dxa"/>
            <w:shd w:val="clear" w:color="auto" w:fill="auto"/>
          </w:tcPr>
          <w:p w14:paraId="2A36F767" w14:textId="4A93B2D7" w:rsidR="0083621A" w:rsidRPr="0083621A" w:rsidRDefault="0083621A" w:rsidP="0083621A">
            <w:pPr>
              <w:pStyle w:val="TblTextCenter"/>
            </w:pPr>
            <w:r w:rsidRPr="0083621A">
              <w:t>51 (61%)</w:t>
            </w:r>
          </w:p>
        </w:tc>
      </w:tr>
      <w:tr w:rsidR="0083621A" w:rsidRPr="00F17760" w14:paraId="1BF108CF" w14:textId="77777777" w:rsidTr="008A1239">
        <w:trPr>
          <w:cantSplit/>
          <w:jc w:val="center"/>
        </w:trPr>
        <w:tc>
          <w:tcPr>
            <w:tcW w:w="4536" w:type="dxa"/>
            <w:shd w:val="clear" w:color="auto" w:fill="auto"/>
            <w:vAlign w:val="center"/>
          </w:tcPr>
          <w:p w14:paraId="3ACE25B1" w14:textId="1E53F588"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1</w:t>
            </w:r>
          </w:p>
        </w:tc>
        <w:tc>
          <w:tcPr>
            <w:tcW w:w="2410" w:type="dxa"/>
            <w:shd w:val="clear" w:color="auto" w:fill="auto"/>
          </w:tcPr>
          <w:p w14:paraId="1188D3EA" w14:textId="67210C93" w:rsidR="0083621A" w:rsidRPr="0083621A" w:rsidRDefault="0083621A" w:rsidP="0083621A">
            <w:pPr>
              <w:pStyle w:val="TblTextCenter"/>
            </w:pPr>
            <w:r w:rsidRPr="0083621A">
              <w:t>12 (43%)</w:t>
            </w:r>
          </w:p>
        </w:tc>
        <w:tc>
          <w:tcPr>
            <w:tcW w:w="2080" w:type="dxa"/>
            <w:shd w:val="clear" w:color="auto" w:fill="auto"/>
          </w:tcPr>
          <w:p w14:paraId="49367EF7" w14:textId="7ACC629B" w:rsidR="0083621A" w:rsidRPr="0083621A" w:rsidRDefault="0083621A" w:rsidP="0083621A">
            <w:pPr>
              <w:pStyle w:val="TblTextCenter"/>
            </w:pPr>
            <w:r w:rsidRPr="0083621A">
              <w:t>33 (39%)</w:t>
            </w:r>
          </w:p>
        </w:tc>
      </w:tr>
      <w:tr w:rsidR="0083621A" w:rsidRPr="00F17760" w14:paraId="7C7DE295" w14:textId="77777777" w:rsidTr="008A1239">
        <w:trPr>
          <w:cantSplit/>
          <w:jc w:val="center"/>
        </w:trPr>
        <w:tc>
          <w:tcPr>
            <w:tcW w:w="4536" w:type="dxa"/>
            <w:shd w:val="clear" w:color="auto" w:fill="auto"/>
            <w:vAlign w:val="center"/>
          </w:tcPr>
          <w:p w14:paraId="22FFEB27" w14:textId="77777777" w:rsidR="0083621A" w:rsidRPr="00DC2B76" w:rsidRDefault="0083621A" w:rsidP="00DC2B76">
            <w:pPr>
              <w:pStyle w:val="TblTextCenter"/>
              <w:jc w:val="left"/>
              <w:rPr>
                <w:b/>
                <w:bCs/>
              </w:rPr>
            </w:pPr>
            <w:r w:rsidRPr="00DC2B76">
              <w:rPr>
                <w:b/>
                <w:bCs/>
              </w:rPr>
              <w:t>Prior treatments</w:t>
            </w:r>
          </w:p>
        </w:tc>
        <w:tc>
          <w:tcPr>
            <w:tcW w:w="2410" w:type="dxa"/>
            <w:shd w:val="clear" w:color="auto" w:fill="auto"/>
          </w:tcPr>
          <w:p w14:paraId="4EED0132" w14:textId="77777777" w:rsidR="0083621A" w:rsidRPr="0083621A" w:rsidRDefault="0083621A" w:rsidP="0083621A">
            <w:pPr>
              <w:pStyle w:val="TblTextCenter"/>
            </w:pPr>
          </w:p>
        </w:tc>
        <w:tc>
          <w:tcPr>
            <w:tcW w:w="2080" w:type="dxa"/>
            <w:shd w:val="clear" w:color="auto" w:fill="auto"/>
          </w:tcPr>
          <w:p w14:paraId="7553C6AF" w14:textId="77777777" w:rsidR="0083621A" w:rsidRPr="0083621A" w:rsidRDefault="0083621A" w:rsidP="0083621A">
            <w:pPr>
              <w:pStyle w:val="TblTextCenter"/>
            </w:pPr>
          </w:p>
        </w:tc>
      </w:tr>
      <w:tr w:rsidR="0083621A" w:rsidRPr="00F17760" w14:paraId="54F18483" w14:textId="77777777" w:rsidTr="008A1239">
        <w:trPr>
          <w:cantSplit/>
          <w:jc w:val="center"/>
        </w:trPr>
        <w:tc>
          <w:tcPr>
            <w:tcW w:w="4536" w:type="dxa"/>
            <w:shd w:val="clear" w:color="auto" w:fill="auto"/>
            <w:vAlign w:val="center"/>
          </w:tcPr>
          <w:p w14:paraId="5A852C50" w14:textId="77777777" w:rsidR="0083621A" w:rsidRPr="00DC2B76" w:rsidRDefault="0083621A" w:rsidP="00DC2B76">
            <w:pPr>
              <w:pStyle w:val="TblTextCenter"/>
              <w:jc w:val="left"/>
              <w:rPr>
                <w:b/>
                <w:bCs/>
              </w:rPr>
            </w:pPr>
            <w:r w:rsidRPr="00DC2B76">
              <w:rPr>
                <w:b/>
                <w:bCs/>
              </w:rPr>
              <w:t>Prior cancer-related surgery</w:t>
            </w:r>
          </w:p>
        </w:tc>
        <w:tc>
          <w:tcPr>
            <w:tcW w:w="2410" w:type="dxa"/>
            <w:shd w:val="clear" w:color="auto" w:fill="auto"/>
          </w:tcPr>
          <w:p w14:paraId="4201E58F" w14:textId="77777777" w:rsidR="0083621A" w:rsidRPr="0083621A" w:rsidRDefault="0083621A" w:rsidP="0083621A">
            <w:pPr>
              <w:pStyle w:val="TblTextCenter"/>
            </w:pPr>
          </w:p>
        </w:tc>
        <w:tc>
          <w:tcPr>
            <w:tcW w:w="2080" w:type="dxa"/>
            <w:shd w:val="clear" w:color="auto" w:fill="auto"/>
          </w:tcPr>
          <w:p w14:paraId="5DD084DA" w14:textId="77777777" w:rsidR="0083621A" w:rsidRPr="0083621A" w:rsidRDefault="0083621A" w:rsidP="0083621A">
            <w:pPr>
              <w:pStyle w:val="TblTextCenter"/>
            </w:pPr>
          </w:p>
        </w:tc>
      </w:tr>
      <w:tr w:rsidR="0083621A" w:rsidRPr="00F17760" w14:paraId="4C845D60" w14:textId="77777777" w:rsidTr="008A1239">
        <w:trPr>
          <w:cantSplit/>
          <w:jc w:val="center"/>
        </w:trPr>
        <w:tc>
          <w:tcPr>
            <w:tcW w:w="4536" w:type="dxa"/>
            <w:shd w:val="clear" w:color="auto" w:fill="auto"/>
            <w:vAlign w:val="center"/>
          </w:tcPr>
          <w:p w14:paraId="50757A5E" w14:textId="1D251969"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Patients with at least 1 prior cancer-related surgery, n (%)</w:t>
            </w:r>
          </w:p>
        </w:tc>
        <w:tc>
          <w:tcPr>
            <w:tcW w:w="2410" w:type="dxa"/>
            <w:shd w:val="clear" w:color="auto" w:fill="auto"/>
          </w:tcPr>
          <w:p w14:paraId="45E44DC0" w14:textId="7B6B021F" w:rsidR="0083621A" w:rsidRPr="0083621A" w:rsidRDefault="0083621A" w:rsidP="0083621A">
            <w:pPr>
              <w:pStyle w:val="TblTextCenter"/>
            </w:pPr>
            <w:r w:rsidRPr="0083621A">
              <w:t>23 (82%)</w:t>
            </w:r>
          </w:p>
        </w:tc>
        <w:tc>
          <w:tcPr>
            <w:tcW w:w="2080" w:type="dxa"/>
            <w:shd w:val="clear" w:color="auto" w:fill="auto"/>
          </w:tcPr>
          <w:p w14:paraId="6287A447" w14:textId="08D54E5B" w:rsidR="0083621A" w:rsidRPr="0083621A" w:rsidRDefault="0083621A" w:rsidP="0083621A">
            <w:pPr>
              <w:pStyle w:val="TblTextCenter"/>
            </w:pPr>
            <w:r w:rsidRPr="0083621A">
              <w:t>70 (83%)</w:t>
            </w:r>
          </w:p>
        </w:tc>
      </w:tr>
      <w:tr w:rsidR="0083621A" w:rsidRPr="00F17760" w14:paraId="7F33AACB" w14:textId="77777777" w:rsidTr="008A1239">
        <w:trPr>
          <w:cantSplit/>
          <w:jc w:val="center"/>
        </w:trPr>
        <w:tc>
          <w:tcPr>
            <w:tcW w:w="4536" w:type="dxa"/>
            <w:shd w:val="clear" w:color="auto" w:fill="auto"/>
            <w:vAlign w:val="center"/>
          </w:tcPr>
          <w:p w14:paraId="0CFF0E2F" w14:textId="73263DFD"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Patients with &gt;3 prior cancer-related surgeries, n (%)</w:t>
            </w:r>
          </w:p>
        </w:tc>
        <w:tc>
          <w:tcPr>
            <w:tcW w:w="2410" w:type="dxa"/>
            <w:shd w:val="clear" w:color="auto" w:fill="auto"/>
          </w:tcPr>
          <w:p w14:paraId="2FCFE08A" w14:textId="09371CC4" w:rsidR="0083621A" w:rsidRPr="0083621A" w:rsidRDefault="0083621A" w:rsidP="0083621A">
            <w:pPr>
              <w:pStyle w:val="TblTextCenter"/>
            </w:pPr>
            <w:r w:rsidRPr="0083621A">
              <w:t>11 (39%)</w:t>
            </w:r>
          </w:p>
        </w:tc>
        <w:tc>
          <w:tcPr>
            <w:tcW w:w="2080" w:type="dxa"/>
            <w:shd w:val="clear" w:color="auto" w:fill="auto"/>
          </w:tcPr>
          <w:p w14:paraId="54E5E234" w14:textId="3DC07917" w:rsidR="0083621A" w:rsidRPr="0083621A" w:rsidRDefault="0083621A" w:rsidP="0083621A">
            <w:pPr>
              <w:pStyle w:val="TblTextCenter"/>
            </w:pPr>
            <w:r w:rsidRPr="0083621A">
              <w:t>29 (35%)</w:t>
            </w:r>
          </w:p>
        </w:tc>
      </w:tr>
      <w:tr w:rsidR="0083621A" w:rsidRPr="00F17760" w14:paraId="7EBDC2D8" w14:textId="77777777" w:rsidTr="008A1239">
        <w:trPr>
          <w:cantSplit/>
          <w:jc w:val="center"/>
        </w:trPr>
        <w:tc>
          <w:tcPr>
            <w:tcW w:w="4536" w:type="dxa"/>
            <w:shd w:val="clear" w:color="auto" w:fill="auto"/>
            <w:vAlign w:val="center"/>
          </w:tcPr>
          <w:p w14:paraId="24533D11" w14:textId="14C9ED12"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Median number of prior cancer-related surgeries</w:t>
            </w:r>
          </w:p>
          <w:p w14:paraId="7C2C2BD9" w14:textId="285A72EB"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(Range)</w:t>
            </w:r>
          </w:p>
        </w:tc>
        <w:tc>
          <w:tcPr>
            <w:tcW w:w="2410" w:type="dxa"/>
            <w:shd w:val="clear" w:color="auto" w:fill="auto"/>
          </w:tcPr>
          <w:p w14:paraId="06A2181E" w14:textId="77777777" w:rsidR="0083621A" w:rsidRPr="0083621A" w:rsidRDefault="0083621A" w:rsidP="0083621A">
            <w:pPr>
              <w:pStyle w:val="TblTextCenter"/>
            </w:pPr>
            <w:r w:rsidRPr="0083621A">
              <w:t>3.0</w:t>
            </w:r>
          </w:p>
          <w:p w14:paraId="459B18A5" w14:textId="1383EC1A" w:rsidR="0083621A" w:rsidRPr="0083621A" w:rsidRDefault="0083621A" w:rsidP="0083621A">
            <w:pPr>
              <w:pStyle w:val="TblTextCenter"/>
            </w:pPr>
            <w:r w:rsidRPr="0083621A">
              <w:t>(1 - 7)</w:t>
            </w:r>
          </w:p>
        </w:tc>
        <w:tc>
          <w:tcPr>
            <w:tcW w:w="2080" w:type="dxa"/>
            <w:shd w:val="clear" w:color="auto" w:fill="auto"/>
          </w:tcPr>
          <w:p w14:paraId="6A0E5F94" w14:textId="77777777" w:rsidR="0083621A" w:rsidRPr="0083621A" w:rsidRDefault="0083621A" w:rsidP="0083621A">
            <w:pPr>
              <w:pStyle w:val="TblTextCenter"/>
            </w:pPr>
            <w:r w:rsidRPr="0083621A">
              <w:t>3.0</w:t>
            </w:r>
          </w:p>
          <w:p w14:paraId="6A0D52AC" w14:textId="4475AE1F" w:rsidR="0083621A" w:rsidRPr="0083621A" w:rsidRDefault="0083621A" w:rsidP="0083621A">
            <w:pPr>
              <w:pStyle w:val="TblTextCenter"/>
            </w:pPr>
            <w:r w:rsidRPr="0083621A">
              <w:t>(1 - 43)</w:t>
            </w:r>
          </w:p>
        </w:tc>
      </w:tr>
      <w:tr w:rsidR="0083621A" w:rsidRPr="00F17760" w14:paraId="0D0C41BE" w14:textId="77777777" w:rsidTr="008A1239">
        <w:trPr>
          <w:cantSplit/>
          <w:jc w:val="center"/>
        </w:trPr>
        <w:tc>
          <w:tcPr>
            <w:tcW w:w="4536" w:type="dxa"/>
            <w:shd w:val="clear" w:color="auto" w:fill="auto"/>
            <w:vAlign w:val="center"/>
          </w:tcPr>
          <w:p w14:paraId="5851CCD7" w14:textId="77777777" w:rsidR="0083621A" w:rsidRPr="00DC2B76" w:rsidRDefault="0083621A" w:rsidP="00DC2B76">
            <w:pPr>
              <w:pStyle w:val="TblTextCenter"/>
              <w:jc w:val="left"/>
              <w:rPr>
                <w:b/>
                <w:bCs/>
              </w:rPr>
            </w:pPr>
            <w:r w:rsidRPr="00DC2B76">
              <w:rPr>
                <w:b/>
                <w:bCs/>
              </w:rPr>
              <w:t>Prior anti-cancer radiotherapy</w:t>
            </w:r>
          </w:p>
        </w:tc>
        <w:tc>
          <w:tcPr>
            <w:tcW w:w="2410" w:type="dxa"/>
            <w:shd w:val="clear" w:color="auto" w:fill="auto"/>
          </w:tcPr>
          <w:p w14:paraId="552C2C98" w14:textId="77777777" w:rsidR="0083621A" w:rsidRPr="0083621A" w:rsidRDefault="0083621A" w:rsidP="0083621A">
            <w:pPr>
              <w:pStyle w:val="TblTextCenter"/>
            </w:pPr>
          </w:p>
        </w:tc>
        <w:tc>
          <w:tcPr>
            <w:tcW w:w="2080" w:type="dxa"/>
            <w:shd w:val="clear" w:color="auto" w:fill="auto"/>
          </w:tcPr>
          <w:p w14:paraId="1AB7B0EB" w14:textId="77777777" w:rsidR="0083621A" w:rsidRPr="0083621A" w:rsidRDefault="0083621A" w:rsidP="0083621A">
            <w:pPr>
              <w:pStyle w:val="TblTextCenter"/>
            </w:pPr>
          </w:p>
        </w:tc>
      </w:tr>
      <w:tr w:rsidR="0083621A" w:rsidRPr="00F17760" w14:paraId="0E1FEA41" w14:textId="77777777" w:rsidTr="008A1239">
        <w:trPr>
          <w:cantSplit/>
          <w:jc w:val="center"/>
        </w:trPr>
        <w:tc>
          <w:tcPr>
            <w:tcW w:w="4536" w:type="dxa"/>
            <w:shd w:val="clear" w:color="auto" w:fill="auto"/>
            <w:vAlign w:val="center"/>
          </w:tcPr>
          <w:p w14:paraId="2A42C29C" w14:textId="69A8287D"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Patients with at least 1 prior anti-cancer radiotherapy, n (%)</w:t>
            </w:r>
          </w:p>
        </w:tc>
        <w:tc>
          <w:tcPr>
            <w:tcW w:w="2410" w:type="dxa"/>
            <w:shd w:val="clear" w:color="auto" w:fill="auto"/>
          </w:tcPr>
          <w:p w14:paraId="5E309111" w14:textId="74EFF186" w:rsidR="0083621A" w:rsidRPr="0083621A" w:rsidRDefault="0083621A" w:rsidP="0083621A">
            <w:pPr>
              <w:pStyle w:val="TblTextCenter"/>
            </w:pPr>
            <w:r w:rsidRPr="0083621A">
              <w:t>17 (61%)</w:t>
            </w:r>
          </w:p>
        </w:tc>
        <w:tc>
          <w:tcPr>
            <w:tcW w:w="2080" w:type="dxa"/>
            <w:shd w:val="clear" w:color="auto" w:fill="auto"/>
          </w:tcPr>
          <w:p w14:paraId="083A3470" w14:textId="6B1840A6" w:rsidR="0083621A" w:rsidRPr="0083621A" w:rsidRDefault="0083621A" w:rsidP="0083621A">
            <w:pPr>
              <w:pStyle w:val="TblTextCenter"/>
            </w:pPr>
            <w:r w:rsidRPr="0083621A">
              <w:t>42 (50%)</w:t>
            </w:r>
          </w:p>
        </w:tc>
      </w:tr>
      <w:tr w:rsidR="0083621A" w:rsidRPr="00F17760" w14:paraId="4C27A654" w14:textId="77777777" w:rsidTr="008A1239">
        <w:trPr>
          <w:cantSplit/>
          <w:jc w:val="center"/>
        </w:trPr>
        <w:tc>
          <w:tcPr>
            <w:tcW w:w="4536" w:type="dxa"/>
            <w:shd w:val="clear" w:color="auto" w:fill="auto"/>
            <w:vAlign w:val="center"/>
          </w:tcPr>
          <w:p w14:paraId="051E90C3" w14:textId="01839E18"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Median number of prior anti-cancer radiotherapy regimens</w:t>
            </w:r>
          </w:p>
          <w:p w14:paraId="796A751C" w14:textId="3EE17090"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(Range)</w:t>
            </w:r>
          </w:p>
        </w:tc>
        <w:tc>
          <w:tcPr>
            <w:tcW w:w="2410" w:type="dxa"/>
            <w:shd w:val="clear" w:color="auto" w:fill="auto"/>
          </w:tcPr>
          <w:p w14:paraId="410ACFEE" w14:textId="77777777" w:rsidR="0083621A" w:rsidRPr="0083621A" w:rsidRDefault="0083621A" w:rsidP="0083621A">
            <w:pPr>
              <w:pStyle w:val="TblTextCenter"/>
            </w:pPr>
            <w:r w:rsidRPr="0083621A">
              <w:t>1.0</w:t>
            </w:r>
          </w:p>
          <w:p w14:paraId="041BA78A" w14:textId="56D7B739" w:rsidR="0083621A" w:rsidRPr="0083621A" w:rsidRDefault="0083621A" w:rsidP="0083621A">
            <w:pPr>
              <w:pStyle w:val="TblTextCenter"/>
            </w:pPr>
            <w:r w:rsidRPr="0083621A">
              <w:t>(1 - 4)</w:t>
            </w:r>
          </w:p>
        </w:tc>
        <w:tc>
          <w:tcPr>
            <w:tcW w:w="2080" w:type="dxa"/>
            <w:shd w:val="clear" w:color="auto" w:fill="auto"/>
          </w:tcPr>
          <w:p w14:paraId="5102466E" w14:textId="77777777" w:rsidR="0083621A" w:rsidRPr="0083621A" w:rsidRDefault="0083621A" w:rsidP="0083621A">
            <w:pPr>
              <w:pStyle w:val="TblTextCenter"/>
            </w:pPr>
            <w:r w:rsidRPr="0083621A">
              <w:t>1.0</w:t>
            </w:r>
          </w:p>
          <w:p w14:paraId="33F7100E" w14:textId="5F54D2EF" w:rsidR="0083621A" w:rsidRPr="0083621A" w:rsidRDefault="0083621A" w:rsidP="0083621A">
            <w:pPr>
              <w:pStyle w:val="TblTextCenter"/>
            </w:pPr>
            <w:r w:rsidRPr="0083621A">
              <w:t>(1 - 6)</w:t>
            </w:r>
          </w:p>
        </w:tc>
      </w:tr>
      <w:tr w:rsidR="0083621A" w:rsidRPr="00F17760" w14:paraId="20E96CAB" w14:textId="77777777" w:rsidTr="008A1239">
        <w:trPr>
          <w:cantSplit/>
          <w:jc w:val="center"/>
        </w:trPr>
        <w:tc>
          <w:tcPr>
            <w:tcW w:w="4536" w:type="dxa"/>
            <w:shd w:val="clear" w:color="auto" w:fill="auto"/>
            <w:vAlign w:val="center"/>
          </w:tcPr>
          <w:p w14:paraId="02C61E0E" w14:textId="24956821" w:rsidR="0083621A" w:rsidRPr="00DC2B76" w:rsidRDefault="0083621A" w:rsidP="00DC2B76">
            <w:pPr>
              <w:pStyle w:val="TblTextCenter"/>
              <w:jc w:val="left"/>
              <w:rPr>
                <w:b/>
                <w:bCs/>
              </w:rPr>
            </w:pPr>
            <w:r w:rsidRPr="00DC2B76">
              <w:rPr>
                <w:b/>
                <w:bCs/>
              </w:rPr>
              <w:t xml:space="preserve">Prior treatment with a </w:t>
            </w:r>
            <w:proofErr w:type="spellStart"/>
            <w:r w:rsidRPr="00DC2B76">
              <w:rPr>
                <w:b/>
                <w:bCs/>
              </w:rPr>
              <w:t>HHI</w:t>
            </w:r>
            <w:r w:rsidRPr="00DC2B76">
              <w:rPr>
                <w:b/>
                <w:bCs/>
                <w:vertAlign w:val="superscript"/>
              </w:rPr>
              <w:t>a</w:t>
            </w:r>
            <w:proofErr w:type="spellEnd"/>
          </w:p>
        </w:tc>
        <w:tc>
          <w:tcPr>
            <w:tcW w:w="2410" w:type="dxa"/>
            <w:shd w:val="clear" w:color="auto" w:fill="auto"/>
          </w:tcPr>
          <w:p w14:paraId="057BC0CD" w14:textId="77DDDB5F" w:rsidR="0083621A" w:rsidRPr="0083621A" w:rsidRDefault="0083621A" w:rsidP="0083621A">
            <w:pPr>
              <w:pStyle w:val="TblTextCenter"/>
            </w:pPr>
            <w:r w:rsidRPr="0083621A">
              <w:t>28 (100%)</w:t>
            </w:r>
          </w:p>
        </w:tc>
        <w:tc>
          <w:tcPr>
            <w:tcW w:w="2080" w:type="dxa"/>
            <w:shd w:val="clear" w:color="auto" w:fill="auto"/>
          </w:tcPr>
          <w:p w14:paraId="77A03769" w14:textId="42B79A31" w:rsidR="0083621A" w:rsidRPr="0083621A" w:rsidRDefault="0083621A" w:rsidP="0083621A">
            <w:pPr>
              <w:pStyle w:val="TblTextCenter"/>
            </w:pPr>
            <w:r w:rsidRPr="0083621A">
              <w:t>84 (100%)</w:t>
            </w:r>
          </w:p>
        </w:tc>
      </w:tr>
      <w:tr w:rsidR="0083621A" w:rsidRPr="00F17760" w14:paraId="5CE4E580" w14:textId="77777777" w:rsidTr="008A1239">
        <w:trPr>
          <w:cantSplit/>
          <w:jc w:val="center"/>
        </w:trPr>
        <w:tc>
          <w:tcPr>
            <w:tcW w:w="4536" w:type="dxa"/>
            <w:shd w:val="clear" w:color="auto" w:fill="auto"/>
            <w:vAlign w:val="center"/>
          </w:tcPr>
          <w:p w14:paraId="35FA9D62" w14:textId="3ADFF356" w:rsidR="0083621A" w:rsidRPr="0083621A" w:rsidRDefault="0083621A" w:rsidP="00DC2B76">
            <w:pPr>
              <w:autoSpaceDE w:val="0"/>
              <w:autoSpaceDN w:val="0"/>
              <w:adjustRightInd w:val="0"/>
              <w:spacing w:before="0"/>
              <w:ind w:firstLine="161"/>
            </w:pPr>
            <w:r w:rsidRPr="00DC2B76">
              <w:rPr>
                <w:rFonts w:ascii="Arial Narrow" w:eastAsiaTheme="minorHAnsi" w:hAnsi="Arial Narrow"/>
                <w:color w:val="auto"/>
                <w:sz w:val="20"/>
                <w:szCs w:val="20"/>
                <w:lang w:val="en-AU"/>
              </w:rPr>
              <w:t>Prior treatment with both vismodegib and sonidegib (as separate lines of therapy), n (%)</w:t>
            </w:r>
          </w:p>
        </w:tc>
        <w:tc>
          <w:tcPr>
            <w:tcW w:w="2410" w:type="dxa"/>
            <w:shd w:val="clear" w:color="auto" w:fill="auto"/>
          </w:tcPr>
          <w:p w14:paraId="6A749A75" w14:textId="77BA4046" w:rsidR="0083621A" w:rsidRPr="0083621A" w:rsidRDefault="0083621A" w:rsidP="0083621A">
            <w:pPr>
              <w:pStyle w:val="TblTextCenter"/>
            </w:pPr>
            <w:r w:rsidRPr="0083621A">
              <w:t>3 (11%)</w:t>
            </w:r>
          </w:p>
        </w:tc>
        <w:tc>
          <w:tcPr>
            <w:tcW w:w="2080" w:type="dxa"/>
            <w:shd w:val="clear" w:color="auto" w:fill="auto"/>
          </w:tcPr>
          <w:p w14:paraId="16565CE3" w14:textId="0D7C48A2" w:rsidR="0083621A" w:rsidRPr="0083621A" w:rsidRDefault="0083621A" w:rsidP="0083621A">
            <w:pPr>
              <w:pStyle w:val="TblTextCenter"/>
            </w:pPr>
            <w:r w:rsidRPr="0083621A">
              <w:t>9 (11%)</w:t>
            </w:r>
          </w:p>
        </w:tc>
      </w:tr>
      <w:tr w:rsidR="0083621A" w:rsidRPr="00F17760" w14:paraId="040741DD" w14:textId="77777777" w:rsidTr="008A1239">
        <w:trPr>
          <w:cantSplit/>
          <w:jc w:val="center"/>
        </w:trPr>
        <w:tc>
          <w:tcPr>
            <w:tcW w:w="4536" w:type="dxa"/>
            <w:shd w:val="clear" w:color="auto" w:fill="auto"/>
            <w:vAlign w:val="center"/>
          </w:tcPr>
          <w:p w14:paraId="5AE9E188" w14:textId="77777777" w:rsidR="0083621A" w:rsidRPr="00DC2B76" w:rsidRDefault="0083621A" w:rsidP="00DC2B76">
            <w:pPr>
              <w:pStyle w:val="TblTextCenter"/>
              <w:jc w:val="left"/>
              <w:rPr>
                <w:b/>
                <w:bCs/>
              </w:rPr>
            </w:pPr>
            <w:r w:rsidRPr="00DC2B76">
              <w:rPr>
                <w:b/>
                <w:bCs/>
              </w:rPr>
              <w:t>Reason for discontinuation of HHI</w:t>
            </w:r>
          </w:p>
        </w:tc>
        <w:tc>
          <w:tcPr>
            <w:tcW w:w="2410" w:type="dxa"/>
            <w:shd w:val="clear" w:color="auto" w:fill="auto"/>
          </w:tcPr>
          <w:p w14:paraId="597E0189" w14:textId="77777777" w:rsidR="0083621A" w:rsidRPr="0083621A" w:rsidRDefault="0083621A" w:rsidP="0083621A">
            <w:pPr>
              <w:pStyle w:val="TblTextCenter"/>
            </w:pPr>
          </w:p>
        </w:tc>
        <w:tc>
          <w:tcPr>
            <w:tcW w:w="2080" w:type="dxa"/>
            <w:shd w:val="clear" w:color="auto" w:fill="auto"/>
          </w:tcPr>
          <w:p w14:paraId="520DCA85" w14:textId="77777777" w:rsidR="0083621A" w:rsidRPr="0083621A" w:rsidRDefault="0083621A" w:rsidP="0083621A">
            <w:pPr>
              <w:pStyle w:val="TblTextCenter"/>
            </w:pPr>
          </w:p>
        </w:tc>
      </w:tr>
      <w:tr w:rsidR="0083621A" w:rsidRPr="00F17760" w14:paraId="66447573" w14:textId="77777777" w:rsidTr="008A1239">
        <w:trPr>
          <w:cantSplit/>
          <w:jc w:val="center"/>
        </w:trPr>
        <w:tc>
          <w:tcPr>
            <w:tcW w:w="4536" w:type="dxa"/>
            <w:shd w:val="clear" w:color="auto" w:fill="auto"/>
            <w:vAlign w:val="center"/>
          </w:tcPr>
          <w:p w14:paraId="257664B9" w14:textId="06123F8C"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 xml:space="preserve">Disease progression/lack of </w:t>
            </w:r>
            <w:proofErr w:type="spellStart"/>
            <w:r w:rsidRPr="00DC2B76">
              <w:rPr>
                <w:rFonts w:ascii="Arial Narrow" w:eastAsiaTheme="minorHAnsi" w:hAnsi="Arial Narrow"/>
                <w:color w:val="auto"/>
                <w:sz w:val="20"/>
                <w:szCs w:val="20"/>
                <w:lang w:val="en-AU"/>
              </w:rPr>
              <w:t>response</w:t>
            </w:r>
            <w:r w:rsidRPr="00DC2B76">
              <w:rPr>
                <w:rFonts w:ascii="Arial Narrow" w:eastAsiaTheme="minorHAnsi" w:hAnsi="Arial Narrow"/>
                <w:color w:val="auto"/>
                <w:sz w:val="20"/>
                <w:szCs w:val="20"/>
                <w:vertAlign w:val="superscript"/>
                <w:lang w:val="en-AU"/>
              </w:rPr>
              <w:t>b</w:t>
            </w:r>
            <w:proofErr w:type="spellEnd"/>
            <w:r w:rsidRPr="00DC2B76">
              <w:rPr>
                <w:rFonts w:ascii="Arial Narrow" w:eastAsiaTheme="minorHAnsi" w:hAnsi="Arial Narrow"/>
                <w:color w:val="auto"/>
                <w:sz w:val="20"/>
                <w:szCs w:val="20"/>
                <w:lang w:val="en-AU"/>
              </w:rPr>
              <w:t>, n (%)</w:t>
            </w:r>
          </w:p>
        </w:tc>
        <w:tc>
          <w:tcPr>
            <w:tcW w:w="2410" w:type="dxa"/>
            <w:shd w:val="clear" w:color="auto" w:fill="auto"/>
          </w:tcPr>
          <w:p w14:paraId="4A02D1D7" w14:textId="7BE05E90" w:rsidR="0083621A" w:rsidRPr="0083621A" w:rsidRDefault="0083621A" w:rsidP="0083621A">
            <w:pPr>
              <w:pStyle w:val="TblTextCenter"/>
            </w:pPr>
            <w:r w:rsidRPr="0083621A">
              <w:t>26 (93%)</w:t>
            </w:r>
          </w:p>
        </w:tc>
        <w:tc>
          <w:tcPr>
            <w:tcW w:w="2080" w:type="dxa"/>
            <w:shd w:val="clear" w:color="auto" w:fill="auto"/>
          </w:tcPr>
          <w:p w14:paraId="69390DA1" w14:textId="223A7654" w:rsidR="0083621A" w:rsidRPr="0083621A" w:rsidRDefault="0083621A" w:rsidP="0083621A">
            <w:pPr>
              <w:pStyle w:val="TblTextCenter"/>
            </w:pPr>
            <w:r w:rsidRPr="0083621A">
              <w:t>63 (75%)</w:t>
            </w:r>
          </w:p>
        </w:tc>
      </w:tr>
      <w:tr w:rsidR="0083621A" w:rsidRPr="00F17760" w14:paraId="33909414" w14:textId="77777777" w:rsidTr="008A1239">
        <w:trPr>
          <w:cantSplit/>
          <w:jc w:val="center"/>
        </w:trPr>
        <w:tc>
          <w:tcPr>
            <w:tcW w:w="4536" w:type="dxa"/>
            <w:shd w:val="clear" w:color="auto" w:fill="auto"/>
            <w:vAlign w:val="center"/>
          </w:tcPr>
          <w:p w14:paraId="6B5AAE11" w14:textId="3D9455AC" w:rsidR="0083621A" w:rsidRPr="00DC2B76" w:rsidRDefault="0083621A" w:rsidP="00DC2B76">
            <w:pPr>
              <w:autoSpaceDE w:val="0"/>
              <w:autoSpaceDN w:val="0"/>
              <w:adjustRightInd w:val="0"/>
              <w:spacing w:before="0"/>
              <w:ind w:firstLine="161"/>
              <w:rPr>
                <w:rFonts w:ascii="Arial Narrow" w:eastAsiaTheme="minorHAnsi" w:hAnsi="Arial Narrow"/>
                <w:color w:val="auto"/>
                <w:sz w:val="20"/>
                <w:szCs w:val="20"/>
                <w:lang w:val="en-AU"/>
              </w:rPr>
            </w:pPr>
            <w:r w:rsidRPr="00DC2B76">
              <w:rPr>
                <w:rFonts w:ascii="Arial Narrow" w:eastAsiaTheme="minorHAnsi" w:hAnsi="Arial Narrow"/>
                <w:color w:val="auto"/>
                <w:sz w:val="20"/>
                <w:szCs w:val="20"/>
                <w:lang w:val="en-AU"/>
              </w:rPr>
              <w:t>Intolerance to HHI therapy, n (%)</w:t>
            </w:r>
          </w:p>
        </w:tc>
        <w:tc>
          <w:tcPr>
            <w:tcW w:w="2410" w:type="dxa"/>
            <w:shd w:val="clear" w:color="auto" w:fill="auto"/>
          </w:tcPr>
          <w:p w14:paraId="10D4B498" w14:textId="2F3D0915" w:rsidR="0083621A" w:rsidRPr="0083621A" w:rsidRDefault="0083621A" w:rsidP="0083621A">
            <w:pPr>
              <w:pStyle w:val="TblTextCenter"/>
            </w:pPr>
            <w:r w:rsidRPr="0083621A">
              <w:t>2 (7%)</w:t>
            </w:r>
          </w:p>
        </w:tc>
        <w:tc>
          <w:tcPr>
            <w:tcW w:w="2080" w:type="dxa"/>
            <w:shd w:val="clear" w:color="auto" w:fill="auto"/>
          </w:tcPr>
          <w:p w14:paraId="4B20ECC8" w14:textId="47E191ED" w:rsidR="0083621A" w:rsidRPr="0083621A" w:rsidRDefault="0083621A" w:rsidP="0083621A">
            <w:pPr>
              <w:pStyle w:val="TblTextCenter"/>
            </w:pPr>
            <w:r w:rsidRPr="0083621A">
              <w:t>21 (25%)</w:t>
            </w:r>
          </w:p>
        </w:tc>
      </w:tr>
      <w:tr w:rsidR="0083621A" w:rsidRPr="00F17760" w14:paraId="3BD8B78B" w14:textId="77777777" w:rsidTr="008A1239">
        <w:trPr>
          <w:cantSplit/>
          <w:jc w:val="center"/>
        </w:trPr>
        <w:tc>
          <w:tcPr>
            <w:tcW w:w="0" w:type="auto"/>
            <w:gridSpan w:val="3"/>
            <w:shd w:val="clear" w:color="auto" w:fill="auto"/>
            <w:vAlign w:val="center"/>
          </w:tcPr>
          <w:p w14:paraId="11BDA81E" w14:textId="77777777" w:rsidR="00DC2B76" w:rsidRPr="00E40D97" w:rsidRDefault="00DC2B76" w:rsidP="00DC2B76">
            <w:pPr>
              <w:pStyle w:val="TblTextCenter"/>
              <w:jc w:val="left"/>
              <w:rPr>
                <w:sz w:val="18"/>
                <w:szCs w:val="18"/>
              </w:rPr>
            </w:pPr>
            <w:r w:rsidRPr="00E40D97">
              <w:rPr>
                <w:sz w:val="18"/>
                <w:szCs w:val="18"/>
              </w:rPr>
              <w:t>a. Sums to greater than 100% as some patients switched from one HHI to another</w:t>
            </w:r>
          </w:p>
          <w:p w14:paraId="4474471B" w14:textId="0F76F789" w:rsidR="0083621A" w:rsidRPr="00E40D97" w:rsidRDefault="00DC2B76" w:rsidP="00DC2B76">
            <w:pPr>
              <w:pStyle w:val="TblTextCenter"/>
              <w:jc w:val="left"/>
              <w:rPr>
                <w:sz w:val="18"/>
                <w:szCs w:val="18"/>
              </w:rPr>
            </w:pPr>
            <w:r w:rsidRPr="00E40D97">
              <w:rPr>
                <w:sz w:val="18"/>
                <w:szCs w:val="18"/>
              </w:rPr>
              <w:t>b. Lack of response was defined as no better than stable disease after 9 months on HHI therapy</w:t>
            </w:r>
          </w:p>
        </w:tc>
      </w:tr>
    </w:tbl>
    <w:p w14:paraId="54B6D2C2" w14:textId="4E7A2AA2" w:rsidR="00F176E1" w:rsidRPr="00F17760" w:rsidRDefault="00F176E1" w:rsidP="00F176E1">
      <w:pPr>
        <w:rPr>
          <w:color w:val="auto"/>
          <w:lang w:val="en-AU"/>
        </w:rPr>
      </w:pPr>
      <w:r w:rsidRPr="00F17760">
        <w:rPr>
          <w:color w:val="auto"/>
          <w:lang w:val="en-AU"/>
        </w:rPr>
        <w:lastRenderedPageBreak/>
        <w:t>The median time to response was 3.2 months (range 2.1 to 10.5 months) for the mBCC group, 4.2 months (range: 2.1 to 13.4 months) for the laBCC and 4.2 months overall (range: 2.1 to 13.4 months).</w:t>
      </w:r>
    </w:p>
    <w:p w14:paraId="04C04C46" w14:textId="49570977" w:rsidR="00F176E1" w:rsidRPr="00F17760" w:rsidRDefault="00F176E1" w:rsidP="00F176E1">
      <w:pPr>
        <w:rPr>
          <w:color w:val="auto"/>
          <w:lang w:val="en-AU"/>
        </w:rPr>
      </w:pPr>
      <w:r w:rsidRPr="00F17760">
        <w:rPr>
          <w:color w:val="auto"/>
          <w:lang w:val="en-AU"/>
        </w:rPr>
        <w:t>Thirty-two patients (28.6%) with advanced BCC had complete response (CR) or partial response (PR).</w:t>
      </w:r>
    </w:p>
    <w:p w14:paraId="6F785E97" w14:textId="0D90DBAD" w:rsidR="00F176E1" w:rsidRPr="00F17760" w:rsidRDefault="00F176E1" w:rsidP="00F176E1">
      <w:pPr>
        <w:rPr>
          <w:color w:val="auto"/>
          <w:lang w:val="en-AU"/>
        </w:rPr>
      </w:pPr>
      <w:r w:rsidRPr="00F17760">
        <w:rPr>
          <w:color w:val="auto"/>
          <w:lang w:val="en-AU"/>
        </w:rPr>
        <w:t>ORR and PFS endpoints evaluated by investigator assessment (IA) were consistent with the independent central review results (ICR). Response rates were similar regardless of the reason for discontinuation of prior HHI therapy.</w:t>
      </w:r>
    </w:p>
    <w:p w14:paraId="1EC4E02C" w14:textId="2AA087AA" w:rsidR="00D55E11" w:rsidRPr="00F17760" w:rsidRDefault="00F176E1" w:rsidP="00F176E1">
      <w:pPr>
        <w:rPr>
          <w:color w:val="auto"/>
          <w:lang w:val="en-AU"/>
        </w:rPr>
      </w:pPr>
      <w:r w:rsidRPr="00F17760">
        <w:rPr>
          <w:color w:val="auto"/>
          <w:lang w:val="en-AU"/>
        </w:rPr>
        <w:t xml:space="preserve">Efficacy results are presented in </w:t>
      </w:r>
      <w:r w:rsidRPr="00F17760">
        <w:rPr>
          <w:color w:val="auto"/>
          <w:lang w:val="en-AU"/>
        </w:rPr>
        <w:fldChar w:fldCharType="begin"/>
      </w:r>
      <w:r w:rsidRPr="00F17760">
        <w:rPr>
          <w:color w:val="auto"/>
          <w:lang w:val="en-AU"/>
        </w:rPr>
        <w:instrText xml:space="preserve"> REF _Ref54181103 \h  \* MERGEFORMAT </w:instrText>
      </w:r>
      <w:r w:rsidRPr="00F17760">
        <w:rPr>
          <w:color w:val="auto"/>
          <w:lang w:val="en-AU"/>
        </w:rPr>
      </w:r>
      <w:r w:rsidRPr="00F17760">
        <w:rPr>
          <w:color w:val="auto"/>
          <w:lang w:val="en-AU"/>
        </w:rPr>
        <w:fldChar w:fldCharType="separate"/>
      </w:r>
      <w:r w:rsidR="006B35A8" w:rsidRPr="006B35A8">
        <w:rPr>
          <w:color w:val="auto"/>
          <w:lang w:val="en-AU"/>
        </w:rPr>
        <w:t>Table 6</w:t>
      </w:r>
      <w:r w:rsidRPr="00F17760">
        <w:rPr>
          <w:color w:val="auto"/>
          <w:lang w:val="en-AU"/>
        </w:rPr>
        <w:fldChar w:fldCharType="end"/>
      </w:r>
      <w:r w:rsidRPr="00F17760">
        <w:rPr>
          <w:color w:val="auto"/>
          <w:lang w:val="en-AU"/>
        </w:rPr>
        <w:t>.</w:t>
      </w:r>
    </w:p>
    <w:p w14:paraId="575AB3DA" w14:textId="114CB2F3" w:rsidR="000168E3" w:rsidRDefault="00F176E1" w:rsidP="00714266">
      <w:pPr>
        <w:pStyle w:val="Caption"/>
        <w:rPr>
          <w:lang w:val="en-AU"/>
        </w:rPr>
      </w:pPr>
      <w:r w:rsidRPr="00F17760">
        <w:rPr>
          <w:lang w:val="en-AU"/>
        </w:rPr>
        <w:t xml:space="preserve"> </w:t>
      </w:r>
      <w:bookmarkStart w:id="36" w:name="_Ref54181103"/>
      <w:r w:rsidRPr="00F17760">
        <w:rPr>
          <w:lang w:val="en-AU"/>
        </w:rPr>
        <w:t>Table </w:t>
      </w:r>
      <w:r w:rsidRPr="00F17760">
        <w:rPr>
          <w:lang w:val="en-AU"/>
        </w:rPr>
        <w:fldChar w:fldCharType="begin"/>
      </w:r>
      <w:r w:rsidRPr="00F17760">
        <w:rPr>
          <w:lang w:val="en-AU"/>
        </w:rPr>
        <w:instrText xml:space="preserve"> SEQ Table \* ARABIC </w:instrText>
      </w:r>
      <w:r w:rsidRPr="00F17760">
        <w:rPr>
          <w:lang w:val="en-AU"/>
        </w:rPr>
        <w:fldChar w:fldCharType="separate"/>
      </w:r>
      <w:r w:rsidR="006B35A8">
        <w:rPr>
          <w:noProof/>
          <w:lang w:val="en-AU"/>
        </w:rPr>
        <w:t>6</w:t>
      </w:r>
      <w:r w:rsidRPr="00F17760">
        <w:rPr>
          <w:lang w:val="en-AU"/>
        </w:rPr>
        <w:fldChar w:fldCharType="end"/>
      </w:r>
      <w:bookmarkEnd w:id="36"/>
      <w:r w:rsidRPr="00F17760">
        <w:rPr>
          <w:lang w:val="en-AU"/>
        </w:rPr>
        <w:t xml:space="preserve"> ­ Efficacy </w:t>
      </w:r>
      <w:r w:rsidR="00714266" w:rsidRPr="00F17760">
        <w:rPr>
          <w:lang w:val="en-AU"/>
        </w:rPr>
        <w:t>r</w:t>
      </w:r>
      <w:r w:rsidRPr="00F17760">
        <w:rPr>
          <w:lang w:val="en-AU"/>
        </w:rPr>
        <w:t xml:space="preserve">esults for Study 1620 in </w:t>
      </w:r>
      <w:r w:rsidR="00714266" w:rsidRPr="00F17760">
        <w:rPr>
          <w:lang w:val="en-AU"/>
        </w:rPr>
        <w:t>b</w:t>
      </w:r>
      <w:r w:rsidRPr="00F17760">
        <w:rPr>
          <w:lang w:val="en-AU"/>
        </w:rPr>
        <w:t xml:space="preserve">asal </w:t>
      </w:r>
      <w:r w:rsidR="00714266" w:rsidRPr="00F17760">
        <w:rPr>
          <w:lang w:val="en-AU"/>
        </w:rPr>
        <w:t>c</w:t>
      </w:r>
      <w:r w:rsidRPr="00F17760">
        <w:rPr>
          <w:lang w:val="en-AU"/>
        </w:rPr>
        <w:t xml:space="preserve">ell </w:t>
      </w:r>
      <w:r w:rsidR="00714266" w:rsidRPr="00F17760">
        <w:rPr>
          <w:lang w:val="en-AU"/>
        </w:rPr>
        <w:t>c</w:t>
      </w:r>
      <w:r w:rsidRPr="00F17760">
        <w:rPr>
          <w:lang w:val="en-AU"/>
        </w:rPr>
        <w:t>arcinoma</w:t>
      </w:r>
    </w:p>
    <w:tbl>
      <w:tblPr>
        <w:tblStyle w:val="TableGrid"/>
        <w:tblW w:w="0" w:type="auto"/>
        <w:jc w:val="center"/>
        <w:tblLook w:val="04A0" w:firstRow="1" w:lastRow="0" w:firstColumn="1" w:lastColumn="0" w:noHBand="0" w:noVBand="1"/>
      </w:tblPr>
      <w:tblGrid>
        <w:gridCol w:w="4395"/>
        <w:gridCol w:w="2409"/>
        <w:gridCol w:w="1985"/>
      </w:tblGrid>
      <w:tr w:rsidR="00DC2B76" w14:paraId="247DA734" w14:textId="77777777" w:rsidTr="008A1239">
        <w:trPr>
          <w:cantSplit/>
          <w:tblHeader/>
          <w:jc w:val="center"/>
        </w:trPr>
        <w:tc>
          <w:tcPr>
            <w:tcW w:w="4395" w:type="dxa"/>
            <w:shd w:val="clear" w:color="auto" w:fill="auto"/>
          </w:tcPr>
          <w:p w14:paraId="169135CB" w14:textId="28F301AF" w:rsidR="00DC2B76" w:rsidRDefault="00DC2B76" w:rsidP="00DC2B76">
            <w:pPr>
              <w:pStyle w:val="TblHeadingCenter"/>
            </w:pPr>
            <w:r w:rsidRPr="00F17760">
              <w:rPr>
                <w:lang w:val="en-AU"/>
              </w:rPr>
              <w:t>Efficacy endpoints</w:t>
            </w:r>
          </w:p>
        </w:tc>
        <w:tc>
          <w:tcPr>
            <w:tcW w:w="2409" w:type="dxa"/>
            <w:shd w:val="clear" w:color="auto" w:fill="auto"/>
          </w:tcPr>
          <w:p w14:paraId="0D946B9F" w14:textId="77777777" w:rsidR="00DC2B76" w:rsidRPr="00F17760" w:rsidRDefault="00DC2B76" w:rsidP="00DC2B76">
            <w:pPr>
              <w:autoSpaceDE w:val="0"/>
              <w:autoSpaceDN w:val="0"/>
              <w:adjustRightInd w:val="0"/>
              <w:spacing w:before="0"/>
              <w:jc w:val="center"/>
              <w:rPr>
                <w:rFonts w:ascii="Arial" w:eastAsia="MS Gothic" w:hAnsi="Arial" w:cs="Arial"/>
                <w:b/>
                <w:color w:val="auto"/>
                <w:sz w:val="20"/>
                <w:szCs w:val="20"/>
                <w:lang w:val="en-AU"/>
              </w:rPr>
            </w:pPr>
            <w:r w:rsidRPr="00F17760">
              <w:rPr>
                <w:rFonts w:ascii="Arial" w:eastAsia="MS Gothic" w:hAnsi="Arial" w:cs="Arial"/>
                <w:b/>
                <w:color w:val="auto"/>
                <w:sz w:val="20"/>
                <w:szCs w:val="20"/>
                <w:lang w:val="en-AU"/>
              </w:rPr>
              <w:t>Metastatic BCC</w:t>
            </w:r>
          </w:p>
          <w:p w14:paraId="11F16C76" w14:textId="77777777" w:rsidR="00DC2B76" w:rsidRPr="00F17760" w:rsidRDefault="00DC2B76" w:rsidP="00DC2B76">
            <w:pPr>
              <w:autoSpaceDE w:val="0"/>
              <w:autoSpaceDN w:val="0"/>
              <w:adjustRightInd w:val="0"/>
              <w:spacing w:before="0"/>
              <w:jc w:val="center"/>
              <w:rPr>
                <w:rFonts w:ascii="Arial" w:eastAsia="MS Gothic" w:hAnsi="Arial" w:cs="Arial"/>
                <w:b/>
                <w:color w:val="auto"/>
                <w:sz w:val="20"/>
                <w:szCs w:val="20"/>
                <w:lang w:val="en-AU"/>
              </w:rPr>
            </w:pPr>
          </w:p>
          <w:p w14:paraId="5BC972E1" w14:textId="75DA9918" w:rsidR="00DC2B76" w:rsidRDefault="00DC2B76" w:rsidP="00DC2B76">
            <w:pPr>
              <w:pStyle w:val="TblHeadingCenter"/>
            </w:pPr>
            <w:r w:rsidRPr="00F17760">
              <w:rPr>
                <w:lang w:val="en-AU"/>
              </w:rPr>
              <w:t>Cemiplimab 350 mg every 3 weeks</w:t>
            </w:r>
          </w:p>
        </w:tc>
        <w:tc>
          <w:tcPr>
            <w:tcW w:w="1985" w:type="dxa"/>
            <w:shd w:val="clear" w:color="auto" w:fill="auto"/>
          </w:tcPr>
          <w:p w14:paraId="5E3030B1" w14:textId="77777777" w:rsidR="00DC2B76" w:rsidRPr="00F17760" w:rsidRDefault="00DC2B76" w:rsidP="00DC2B76">
            <w:pPr>
              <w:autoSpaceDE w:val="0"/>
              <w:autoSpaceDN w:val="0"/>
              <w:adjustRightInd w:val="0"/>
              <w:spacing w:before="0"/>
              <w:jc w:val="center"/>
              <w:rPr>
                <w:rFonts w:ascii="Arial" w:eastAsia="MS Gothic" w:hAnsi="Arial" w:cs="Arial"/>
                <w:b/>
                <w:color w:val="auto"/>
                <w:sz w:val="20"/>
                <w:szCs w:val="20"/>
                <w:lang w:val="en-AU"/>
              </w:rPr>
            </w:pPr>
            <w:r w:rsidRPr="00F17760">
              <w:rPr>
                <w:rFonts w:ascii="Arial" w:eastAsia="MS Gothic" w:hAnsi="Arial" w:cs="Arial"/>
                <w:b/>
                <w:color w:val="auto"/>
                <w:sz w:val="20"/>
                <w:szCs w:val="20"/>
                <w:lang w:val="en-AU"/>
              </w:rPr>
              <w:t>Locally Advanced BCC</w:t>
            </w:r>
          </w:p>
          <w:p w14:paraId="5A48FC2D" w14:textId="79C8E39E" w:rsidR="00DC2B76" w:rsidRDefault="00DC2B76" w:rsidP="00DC2B76">
            <w:pPr>
              <w:pStyle w:val="TblHeadingCenter"/>
            </w:pPr>
            <w:r w:rsidRPr="00F17760">
              <w:rPr>
                <w:lang w:val="en-AU"/>
              </w:rPr>
              <w:t>Cemiplimab 350 mg every 3 weeks</w:t>
            </w:r>
          </w:p>
        </w:tc>
      </w:tr>
      <w:tr w:rsidR="00DC2B76" w14:paraId="7384E28D" w14:textId="77777777" w:rsidTr="008A1239">
        <w:trPr>
          <w:cantSplit/>
          <w:tblHeader/>
          <w:jc w:val="center"/>
        </w:trPr>
        <w:tc>
          <w:tcPr>
            <w:tcW w:w="4395" w:type="dxa"/>
            <w:shd w:val="clear" w:color="auto" w:fill="auto"/>
          </w:tcPr>
          <w:p w14:paraId="0706B2BF" w14:textId="77777777" w:rsidR="00DC2B76" w:rsidRDefault="00DC2B76" w:rsidP="00DC2B76">
            <w:pPr>
              <w:pStyle w:val="TblHeadingCenter"/>
            </w:pPr>
          </w:p>
        </w:tc>
        <w:tc>
          <w:tcPr>
            <w:tcW w:w="2409" w:type="dxa"/>
            <w:shd w:val="clear" w:color="auto" w:fill="auto"/>
          </w:tcPr>
          <w:p w14:paraId="27040E19" w14:textId="2AD12520" w:rsidR="00DC2B76" w:rsidRDefault="00DC2B76" w:rsidP="00DC2B76">
            <w:pPr>
              <w:pStyle w:val="TblHeadingCenter"/>
            </w:pPr>
            <w:r w:rsidRPr="00F17760">
              <w:rPr>
                <w:lang w:val="en-AU"/>
              </w:rPr>
              <w:t>N=28</w:t>
            </w:r>
          </w:p>
        </w:tc>
        <w:tc>
          <w:tcPr>
            <w:tcW w:w="1985" w:type="dxa"/>
            <w:shd w:val="clear" w:color="auto" w:fill="auto"/>
          </w:tcPr>
          <w:p w14:paraId="619D9E36" w14:textId="348A18DD" w:rsidR="00DC2B76" w:rsidRDefault="00DC2B76" w:rsidP="00DC2B76">
            <w:pPr>
              <w:pStyle w:val="TblHeadingCenter"/>
            </w:pPr>
            <w:r w:rsidRPr="00F17760">
              <w:rPr>
                <w:lang w:val="en-AU"/>
              </w:rPr>
              <w:t>N=84</w:t>
            </w:r>
          </w:p>
        </w:tc>
      </w:tr>
      <w:tr w:rsidR="00DC2B76" w14:paraId="08A344F8" w14:textId="77777777" w:rsidTr="008A1239">
        <w:trPr>
          <w:cantSplit/>
          <w:tblHeader/>
          <w:jc w:val="center"/>
        </w:trPr>
        <w:tc>
          <w:tcPr>
            <w:tcW w:w="4395" w:type="dxa"/>
            <w:shd w:val="clear" w:color="auto" w:fill="auto"/>
          </w:tcPr>
          <w:p w14:paraId="74C67798" w14:textId="77777777" w:rsidR="00DC2B76" w:rsidRDefault="00DC2B76" w:rsidP="00DC2B76">
            <w:pPr>
              <w:pStyle w:val="TblHeadingCenter"/>
            </w:pPr>
          </w:p>
        </w:tc>
        <w:tc>
          <w:tcPr>
            <w:tcW w:w="2409" w:type="dxa"/>
            <w:shd w:val="clear" w:color="auto" w:fill="auto"/>
          </w:tcPr>
          <w:p w14:paraId="7CE6EAE4" w14:textId="30E8A0C4" w:rsidR="00DC2B76" w:rsidRDefault="00DC2B76" w:rsidP="00DC2B76">
            <w:pPr>
              <w:pStyle w:val="TblHeadingCenter"/>
            </w:pPr>
            <w:r w:rsidRPr="00F17760">
              <w:rPr>
                <w:lang w:val="en-AU"/>
              </w:rPr>
              <w:t>ICR</w:t>
            </w:r>
          </w:p>
        </w:tc>
        <w:tc>
          <w:tcPr>
            <w:tcW w:w="1985" w:type="dxa"/>
            <w:shd w:val="clear" w:color="auto" w:fill="auto"/>
          </w:tcPr>
          <w:p w14:paraId="41CE2F21" w14:textId="676C47CE" w:rsidR="00DC2B76" w:rsidRDefault="00DC2B76" w:rsidP="00DC2B76">
            <w:pPr>
              <w:pStyle w:val="TblHeadingCenter"/>
            </w:pPr>
            <w:r w:rsidRPr="00F17760">
              <w:rPr>
                <w:lang w:val="en-AU"/>
              </w:rPr>
              <w:t>ICR</w:t>
            </w:r>
          </w:p>
        </w:tc>
      </w:tr>
      <w:tr w:rsidR="00DC2B76" w14:paraId="1E0CE3EF" w14:textId="77777777" w:rsidTr="008A1239">
        <w:trPr>
          <w:cantSplit/>
          <w:jc w:val="center"/>
        </w:trPr>
        <w:tc>
          <w:tcPr>
            <w:tcW w:w="4395" w:type="dxa"/>
            <w:shd w:val="clear" w:color="auto" w:fill="auto"/>
          </w:tcPr>
          <w:p w14:paraId="0384471E" w14:textId="035E11A8" w:rsidR="00DC2B76" w:rsidRPr="00DC2B76" w:rsidRDefault="00B05447" w:rsidP="00B05447">
            <w:pPr>
              <w:pStyle w:val="TblTextCenter"/>
              <w:jc w:val="left"/>
            </w:pPr>
            <w:r w:rsidRPr="00F17760">
              <w:rPr>
                <w:rFonts w:eastAsiaTheme="minorHAnsi"/>
                <w:b/>
                <w:bCs/>
                <w:lang w:val="en-AU"/>
              </w:rPr>
              <w:t>Best overall response (BOR)</w:t>
            </w:r>
            <w:r w:rsidRPr="00F17760">
              <w:rPr>
                <w:rFonts w:eastAsiaTheme="minorHAnsi"/>
                <w:vertAlign w:val="superscript"/>
                <w:lang w:val="en-AU"/>
              </w:rPr>
              <w:t>a</w:t>
            </w:r>
          </w:p>
        </w:tc>
        <w:tc>
          <w:tcPr>
            <w:tcW w:w="2409" w:type="dxa"/>
            <w:shd w:val="clear" w:color="auto" w:fill="auto"/>
          </w:tcPr>
          <w:p w14:paraId="04A8F97B" w14:textId="77777777" w:rsidR="00DC2B76" w:rsidRPr="00DC2B76" w:rsidRDefault="00DC2B76" w:rsidP="00DC2B76">
            <w:pPr>
              <w:pStyle w:val="TblTextCenter"/>
            </w:pPr>
          </w:p>
        </w:tc>
        <w:tc>
          <w:tcPr>
            <w:tcW w:w="1985" w:type="dxa"/>
            <w:shd w:val="clear" w:color="auto" w:fill="auto"/>
          </w:tcPr>
          <w:p w14:paraId="6177A445" w14:textId="77777777" w:rsidR="00DC2B76" w:rsidRPr="00DC2B76" w:rsidRDefault="00DC2B76" w:rsidP="00DC2B76">
            <w:pPr>
              <w:pStyle w:val="TblTextCenter"/>
            </w:pPr>
          </w:p>
        </w:tc>
      </w:tr>
      <w:tr w:rsidR="00B05447" w14:paraId="12294419" w14:textId="77777777" w:rsidTr="008A1239">
        <w:trPr>
          <w:cantSplit/>
          <w:jc w:val="center"/>
        </w:trPr>
        <w:tc>
          <w:tcPr>
            <w:tcW w:w="4395" w:type="dxa"/>
            <w:shd w:val="clear" w:color="auto" w:fill="auto"/>
          </w:tcPr>
          <w:p w14:paraId="1FB96624"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Objective response rate (ORR: CR+ PR)</w:t>
            </w:r>
          </w:p>
          <w:p w14:paraId="6F910AE2" w14:textId="26904893"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083CEC8C"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 (21.4%)</w:t>
            </w:r>
          </w:p>
          <w:p w14:paraId="2A5B6FBF" w14:textId="244B72BB" w:rsidR="00B05447" w:rsidRPr="00DC2B76" w:rsidRDefault="00B05447" w:rsidP="00B05447">
            <w:pPr>
              <w:pStyle w:val="TblTextCenter"/>
            </w:pPr>
            <w:r w:rsidRPr="00F17760">
              <w:rPr>
                <w:rFonts w:eastAsiaTheme="minorHAnsi"/>
                <w:lang w:val="en-AU"/>
              </w:rPr>
              <w:t>(8.3, 41.0)</w:t>
            </w:r>
          </w:p>
        </w:tc>
        <w:tc>
          <w:tcPr>
            <w:tcW w:w="1985" w:type="dxa"/>
            <w:shd w:val="clear" w:color="auto" w:fill="auto"/>
          </w:tcPr>
          <w:p w14:paraId="7D7D286D"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26 (31.0</w:t>
            </w:r>
            <w:proofErr w:type="gramStart"/>
            <w:r w:rsidRPr="00F17760">
              <w:rPr>
                <w:rFonts w:ascii="Arial Narrow" w:eastAsiaTheme="minorHAnsi" w:hAnsi="Arial Narrow"/>
                <w:color w:val="auto"/>
                <w:sz w:val="20"/>
                <w:szCs w:val="20"/>
                <w:lang w:val="en-AU"/>
              </w:rPr>
              <w:t>%)</w:t>
            </w:r>
            <w:r w:rsidRPr="00F17760">
              <w:rPr>
                <w:rFonts w:ascii="Arial Narrow" w:eastAsiaTheme="minorHAnsi" w:hAnsi="Arial Narrow"/>
                <w:color w:val="auto"/>
                <w:sz w:val="20"/>
                <w:szCs w:val="20"/>
                <w:vertAlign w:val="superscript"/>
                <w:lang w:val="en-AU"/>
              </w:rPr>
              <w:t>b</w:t>
            </w:r>
            <w:proofErr w:type="gramEnd"/>
          </w:p>
          <w:p w14:paraId="10DABEBE" w14:textId="4584DC27" w:rsidR="00B05447" w:rsidRPr="00DC2B76" w:rsidRDefault="00B05447" w:rsidP="00B05447">
            <w:pPr>
              <w:pStyle w:val="TblTextCenter"/>
            </w:pPr>
            <w:r w:rsidRPr="00F17760">
              <w:rPr>
                <w:rFonts w:eastAsiaTheme="minorHAnsi"/>
                <w:lang w:val="en-AU"/>
              </w:rPr>
              <w:t>(21.3, 42.0)</w:t>
            </w:r>
          </w:p>
        </w:tc>
      </w:tr>
      <w:tr w:rsidR="00B05447" w14:paraId="60E33E01" w14:textId="77777777" w:rsidTr="008A1239">
        <w:trPr>
          <w:cantSplit/>
          <w:jc w:val="center"/>
        </w:trPr>
        <w:tc>
          <w:tcPr>
            <w:tcW w:w="4395" w:type="dxa"/>
            <w:shd w:val="clear" w:color="auto" w:fill="auto"/>
          </w:tcPr>
          <w:p w14:paraId="14FE9611"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 xml:space="preserve">Complete response (CR) </w:t>
            </w:r>
            <w:proofErr w:type="spellStart"/>
            <w:r w:rsidRPr="00F17760">
              <w:rPr>
                <w:rFonts w:ascii="Arial Narrow" w:eastAsiaTheme="minorHAnsi" w:hAnsi="Arial Narrow"/>
                <w:color w:val="auto"/>
                <w:sz w:val="20"/>
                <w:szCs w:val="20"/>
                <w:lang w:val="en-AU"/>
              </w:rPr>
              <w:t>rate</w:t>
            </w:r>
            <w:r w:rsidRPr="00F17760">
              <w:rPr>
                <w:rFonts w:ascii="Arial Narrow" w:eastAsiaTheme="minorHAnsi" w:hAnsi="Arial Narrow"/>
                <w:color w:val="auto"/>
                <w:sz w:val="20"/>
                <w:szCs w:val="20"/>
                <w:vertAlign w:val="superscript"/>
                <w:lang w:val="en-AU"/>
              </w:rPr>
              <w:t>c</w:t>
            </w:r>
            <w:proofErr w:type="spellEnd"/>
          </w:p>
          <w:p w14:paraId="5426243C" w14:textId="05CFD21C" w:rsidR="00B05447" w:rsidRPr="00DC2B76" w:rsidRDefault="00B05447" w:rsidP="00B05447">
            <w:pPr>
              <w:pStyle w:val="TblTextCenter"/>
              <w:jc w:val="left"/>
            </w:pPr>
            <w:r w:rsidRPr="00F17760">
              <w:rPr>
                <w:rFonts w:eastAsiaTheme="minorHAnsi"/>
                <w:lang w:val="en-AU"/>
              </w:rPr>
              <w:t>(95 % CI)</w:t>
            </w:r>
          </w:p>
        </w:tc>
        <w:tc>
          <w:tcPr>
            <w:tcW w:w="2409" w:type="dxa"/>
            <w:shd w:val="clear" w:color="auto" w:fill="auto"/>
          </w:tcPr>
          <w:p w14:paraId="10BC3E09"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0%</w:t>
            </w:r>
          </w:p>
          <w:p w14:paraId="5648F1A1" w14:textId="20A4AC26" w:rsidR="00B05447" w:rsidRPr="00DC2B76" w:rsidRDefault="00B05447" w:rsidP="00B05447">
            <w:pPr>
              <w:pStyle w:val="TblTextCenter"/>
            </w:pPr>
            <w:r w:rsidRPr="00F17760">
              <w:rPr>
                <w:rFonts w:eastAsiaTheme="minorHAnsi"/>
                <w:lang w:val="en-AU"/>
              </w:rPr>
              <w:t>(0.0, 12.3)</w:t>
            </w:r>
          </w:p>
        </w:tc>
        <w:tc>
          <w:tcPr>
            <w:tcW w:w="1985" w:type="dxa"/>
            <w:shd w:val="clear" w:color="auto" w:fill="auto"/>
          </w:tcPr>
          <w:p w14:paraId="686CEF37"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5 (6.0%)</w:t>
            </w:r>
          </w:p>
          <w:p w14:paraId="476A938A" w14:textId="362200C6" w:rsidR="00B05447" w:rsidRPr="00DC2B76" w:rsidRDefault="00B05447" w:rsidP="00B05447">
            <w:pPr>
              <w:pStyle w:val="TblTextCenter"/>
            </w:pPr>
            <w:r w:rsidRPr="00F17760">
              <w:rPr>
                <w:rFonts w:eastAsiaTheme="minorHAnsi"/>
                <w:lang w:val="en-AU"/>
              </w:rPr>
              <w:t>(2.0, 13.3)</w:t>
            </w:r>
          </w:p>
        </w:tc>
      </w:tr>
      <w:tr w:rsidR="00B05447" w14:paraId="7E6E2DA1" w14:textId="77777777" w:rsidTr="008A1239">
        <w:trPr>
          <w:cantSplit/>
          <w:jc w:val="center"/>
        </w:trPr>
        <w:tc>
          <w:tcPr>
            <w:tcW w:w="4395" w:type="dxa"/>
            <w:shd w:val="clear" w:color="auto" w:fill="auto"/>
          </w:tcPr>
          <w:p w14:paraId="08CE914C" w14:textId="51848611" w:rsidR="00B05447" w:rsidRPr="00DC2B76" w:rsidRDefault="00B05447" w:rsidP="00B05447">
            <w:pPr>
              <w:pStyle w:val="TblTextCenter"/>
              <w:jc w:val="left"/>
            </w:pPr>
            <w:r w:rsidRPr="00F17760">
              <w:rPr>
                <w:rFonts w:eastAsiaTheme="minorHAnsi"/>
                <w:lang w:val="en-AU"/>
              </w:rPr>
              <w:t>Partial response (PR) rate</w:t>
            </w:r>
          </w:p>
        </w:tc>
        <w:tc>
          <w:tcPr>
            <w:tcW w:w="2409" w:type="dxa"/>
            <w:shd w:val="clear" w:color="auto" w:fill="auto"/>
          </w:tcPr>
          <w:p w14:paraId="77A8B76B" w14:textId="641827B8" w:rsidR="00B05447" w:rsidRPr="00DC2B76" w:rsidRDefault="00B05447" w:rsidP="00B05447">
            <w:pPr>
              <w:pStyle w:val="TblTextCenter"/>
            </w:pPr>
            <w:r w:rsidRPr="00F17760">
              <w:rPr>
                <w:rFonts w:eastAsiaTheme="minorHAnsi"/>
                <w:lang w:val="en-AU"/>
              </w:rPr>
              <w:t>6 (21.4%)</w:t>
            </w:r>
          </w:p>
        </w:tc>
        <w:tc>
          <w:tcPr>
            <w:tcW w:w="1985" w:type="dxa"/>
            <w:shd w:val="clear" w:color="auto" w:fill="auto"/>
          </w:tcPr>
          <w:p w14:paraId="1E918786" w14:textId="0DB8AD1E" w:rsidR="00B05447" w:rsidRPr="00DC2B76" w:rsidRDefault="00B05447" w:rsidP="00B05447">
            <w:pPr>
              <w:pStyle w:val="TblTextCenter"/>
            </w:pPr>
            <w:r w:rsidRPr="00F17760">
              <w:rPr>
                <w:rFonts w:eastAsiaTheme="minorHAnsi"/>
                <w:lang w:val="en-AU"/>
              </w:rPr>
              <w:t>21 (25.0%)</w:t>
            </w:r>
          </w:p>
        </w:tc>
      </w:tr>
      <w:tr w:rsidR="00B05447" w14:paraId="535402C9" w14:textId="77777777" w:rsidTr="008A1239">
        <w:trPr>
          <w:cantSplit/>
          <w:jc w:val="center"/>
        </w:trPr>
        <w:tc>
          <w:tcPr>
            <w:tcW w:w="4395" w:type="dxa"/>
            <w:shd w:val="clear" w:color="auto" w:fill="auto"/>
          </w:tcPr>
          <w:p w14:paraId="63D97B30" w14:textId="00D60143" w:rsidR="00B05447" w:rsidRPr="00DC2B76" w:rsidRDefault="00B05447" w:rsidP="00B05447">
            <w:pPr>
              <w:pStyle w:val="TblTextCenter"/>
              <w:jc w:val="left"/>
            </w:pPr>
            <w:r w:rsidRPr="00F17760">
              <w:rPr>
                <w:rFonts w:eastAsiaTheme="minorHAnsi"/>
                <w:lang w:val="en-AU"/>
              </w:rPr>
              <w:t>Stable disease (SD) rate</w:t>
            </w:r>
          </w:p>
        </w:tc>
        <w:tc>
          <w:tcPr>
            <w:tcW w:w="2409" w:type="dxa"/>
            <w:shd w:val="clear" w:color="auto" w:fill="auto"/>
          </w:tcPr>
          <w:p w14:paraId="2957CA76" w14:textId="2CFB2502" w:rsidR="00B05447" w:rsidRPr="00DC2B76" w:rsidRDefault="00B05447" w:rsidP="00B05447">
            <w:pPr>
              <w:pStyle w:val="TblTextCenter"/>
            </w:pPr>
            <w:r w:rsidRPr="00F17760">
              <w:rPr>
                <w:rFonts w:eastAsiaTheme="minorHAnsi"/>
                <w:lang w:val="en-AU"/>
              </w:rPr>
              <w:t>10 (35.7%)</w:t>
            </w:r>
          </w:p>
        </w:tc>
        <w:tc>
          <w:tcPr>
            <w:tcW w:w="1985" w:type="dxa"/>
            <w:shd w:val="clear" w:color="auto" w:fill="auto"/>
          </w:tcPr>
          <w:p w14:paraId="27FEEB88" w14:textId="39C78403" w:rsidR="00B05447" w:rsidRPr="00DC2B76" w:rsidRDefault="00B05447" w:rsidP="00B05447">
            <w:pPr>
              <w:pStyle w:val="TblTextCenter"/>
            </w:pPr>
            <w:r w:rsidRPr="00F17760">
              <w:rPr>
                <w:rFonts w:eastAsiaTheme="minorHAnsi"/>
                <w:lang w:val="en-AU"/>
              </w:rPr>
              <w:t>41 (48.8%)</w:t>
            </w:r>
          </w:p>
        </w:tc>
      </w:tr>
      <w:tr w:rsidR="00B05447" w14:paraId="5D73B768" w14:textId="77777777" w:rsidTr="008A1239">
        <w:trPr>
          <w:cantSplit/>
          <w:jc w:val="center"/>
        </w:trPr>
        <w:tc>
          <w:tcPr>
            <w:tcW w:w="4395" w:type="dxa"/>
            <w:shd w:val="clear" w:color="auto" w:fill="auto"/>
          </w:tcPr>
          <w:p w14:paraId="58FBAB5D" w14:textId="3620349B" w:rsidR="00B05447" w:rsidRPr="00DC2B76" w:rsidRDefault="00B05447" w:rsidP="00B05447">
            <w:pPr>
              <w:pStyle w:val="TblTextCenter"/>
              <w:jc w:val="left"/>
            </w:pPr>
            <w:r w:rsidRPr="00F17760">
              <w:rPr>
                <w:rFonts w:eastAsiaTheme="minorHAnsi"/>
                <w:lang w:val="en-AU"/>
              </w:rPr>
              <w:t xml:space="preserve">Progressive disease (PD) rate </w:t>
            </w:r>
          </w:p>
        </w:tc>
        <w:tc>
          <w:tcPr>
            <w:tcW w:w="2409" w:type="dxa"/>
            <w:shd w:val="clear" w:color="auto" w:fill="auto"/>
          </w:tcPr>
          <w:p w14:paraId="49EA0087" w14:textId="0C8EE173" w:rsidR="00B05447" w:rsidRPr="00DC2B76" w:rsidRDefault="00B05447" w:rsidP="00B05447">
            <w:pPr>
              <w:pStyle w:val="TblTextCenter"/>
            </w:pPr>
            <w:r w:rsidRPr="00F17760">
              <w:rPr>
                <w:rFonts w:eastAsiaTheme="minorHAnsi"/>
                <w:lang w:val="en-AU"/>
              </w:rPr>
              <w:t>7 (25.0%)</w:t>
            </w:r>
          </w:p>
        </w:tc>
        <w:tc>
          <w:tcPr>
            <w:tcW w:w="1985" w:type="dxa"/>
            <w:shd w:val="clear" w:color="auto" w:fill="auto"/>
          </w:tcPr>
          <w:p w14:paraId="31230A8B" w14:textId="606BA2A9" w:rsidR="00B05447" w:rsidRPr="00DC2B76" w:rsidRDefault="00B05447" w:rsidP="00B05447">
            <w:pPr>
              <w:pStyle w:val="TblTextCenter"/>
            </w:pPr>
            <w:r w:rsidRPr="00F17760">
              <w:rPr>
                <w:rFonts w:eastAsiaTheme="minorHAnsi"/>
                <w:lang w:val="en-AU"/>
              </w:rPr>
              <w:t>9 (10.7%)</w:t>
            </w:r>
          </w:p>
        </w:tc>
      </w:tr>
      <w:tr w:rsidR="00B05447" w14:paraId="61CF6A8E" w14:textId="77777777" w:rsidTr="008A1239">
        <w:trPr>
          <w:cantSplit/>
          <w:jc w:val="center"/>
        </w:trPr>
        <w:tc>
          <w:tcPr>
            <w:tcW w:w="4395" w:type="dxa"/>
            <w:shd w:val="clear" w:color="auto" w:fill="auto"/>
          </w:tcPr>
          <w:p w14:paraId="3B4FF808" w14:textId="2ED4D6E8" w:rsidR="00B05447" w:rsidRPr="00DC2B76" w:rsidRDefault="00B05447" w:rsidP="00B05447">
            <w:pPr>
              <w:pStyle w:val="TblTextCenter"/>
              <w:jc w:val="left"/>
            </w:pPr>
            <w:r w:rsidRPr="00F17760">
              <w:rPr>
                <w:rFonts w:eastAsiaTheme="minorHAnsi"/>
                <w:b/>
                <w:bCs/>
                <w:lang w:val="en-AU"/>
              </w:rPr>
              <w:t>Duration of response (DOR)</w:t>
            </w:r>
          </w:p>
        </w:tc>
        <w:tc>
          <w:tcPr>
            <w:tcW w:w="2409" w:type="dxa"/>
            <w:shd w:val="clear" w:color="auto" w:fill="auto"/>
          </w:tcPr>
          <w:p w14:paraId="05EB304A" w14:textId="77777777" w:rsidR="00B05447" w:rsidRPr="00DC2B76" w:rsidRDefault="00B05447" w:rsidP="00B05447">
            <w:pPr>
              <w:pStyle w:val="TblTextCenter"/>
            </w:pPr>
          </w:p>
        </w:tc>
        <w:tc>
          <w:tcPr>
            <w:tcW w:w="1985" w:type="dxa"/>
            <w:shd w:val="clear" w:color="auto" w:fill="auto"/>
          </w:tcPr>
          <w:p w14:paraId="2AA83125" w14:textId="77777777" w:rsidR="00B05447" w:rsidRPr="00DC2B76" w:rsidRDefault="00B05447" w:rsidP="00B05447">
            <w:pPr>
              <w:pStyle w:val="TblTextCenter"/>
            </w:pPr>
          </w:p>
        </w:tc>
      </w:tr>
      <w:tr w:rsidR="00B05447" w14:paraId="1D37456A" w14:textId="77777777" w:rsidTr="008A1239">
        <w:trPr>
          <w:cantSplit/>
          <w:jc w:val="center"/>
        </w:trPr>
        <w:tc>
          <w:tcPr>
            <w:tcW w:w="4395" w:type="dxa"/>
            <w:shd w:val="clear" w:color="auto" w:fill="auto"/>
          </w:tcPr>
          <w:p w14:paraId="770485F8"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proofErr w:type="spellStart"/>
            <w:r w:rsidRPr="00F17760">
              <w:rPr>
                <w:rFonts w:ascii="Arial Narrow" w:eastAsiaTheme="minorHAnsi" w:hAnsi="Arial Narrow"/>
                <w:color w:val="auto"/>
                <w:sz w:val="20"/>
                <w:szCs w:val="20"/>
                <w:lang w:val="en-AU"/>
              </w:rPr>
              <w:t>Median</w:t>
            </w:r>
            <w:r w:rsidRPr="00F17760">
              <w:rPr>
                <w:rFonts w:ascii="Arial Narrow" w:eastAsiaTheme="minorHAnsi" w:hAnsi="Arial Narrow"/>
                <w:color w:val="auto"/>
                <w:sz w:val="20"/>
                <w:szCs w:val="20"/>
                <w:vertAlign w:val="superscript"/>
                <w:lang w:val="en-AU"/>
              </w:rPr>
              <w:t>d</w:t>
            </w:r>
            <w:proofErr w:type="spellEnd"/>
            <w:r w:rsidRPr="00F17760">
              <w:rPr>
                <w:rFonts w:ascii="Arial Narrow" w:eastAsiaTheme="minorHAnsi" w:hAnsi="Arial Narrow"/>
                <w:color w:val="auto"/>
                <w:sz w:val="20"/>
                <w:szCs w:val="20"/>
                <w:lang w:val="en-AU"/>
              </w:rPr>
              <w:t xml:space="preserve"> (months)</w:t>
            </w:r>
          </w:p>
          <w:p w14:paraId="6D37B674" w14:textId="0394706F"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70AA172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NR</w:t>
            </w:r>
          </w:p>
          <w:p w14:paraId="0D5F7D6D" w14:textId="48483D24" w:rsidR="00B05447" w:rsidRPr="00DC2B76" w:rsidRDefault="00B05447" w:rsidP="00B05447">
            <w:pPr>
              <w:pStyle w:val="TblTextCenter"/>
            </w:pPr>
            <w:r w:rsidRPr="00F17760">
              <w:rPr>
                <w:rFonts w:eastAsiaTheme="minorHAnsi"/>
                <w:lang w:val="en-AU"/>
              </w:rPr>
              <w:t>(9.0, NE)</w:t>
            </w:r>
          </w:p>
        </w:tc>
        <w:tc>
          <w:tcPr>
            <w:tcW w:w="1985" w:type="dxa"/>
            <w:shd w:val="clear" w:color="auto" w:fill="auto"/>
          </w:tcPr>
          <w:p w14:paraId="165E6A9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NR</w:t>
            </w:r>
          </w:p>
          <w:p w14:paraId="235B66B0" w14:textId="3F2CEF63" w:rsidR="00B05447" w:rsidRPr="00DC2B76" w:rsidRDefault="00B05447" w:rsidP="00B05447">
            <w:pPr>
              <w:pStyle w:val="TblTextCenter"/>
            </w:pPr>
            <w:r w:rsidRPr="00F17760">
              <w:rPr>
                <w:rFonts w:eastAsiaTheme="minorHAnsi"/>
                <w:lang w:val="en-AU"/>
              </w:rPr>
              <w:t>(15.0, NE)</w:t>
            </w:r>
          </w:p>
        </w:tc>
      </w:tr>
      <w:tr w:rsidR="00B05447" w14:paraId="6A1F0369" w14:textId="77777777" w:rsidTr="008A1239">
        <w:trPr>
          <w:cantSplit/>
          <w:jc w:val="center"/>
        </w:trPr>
        <w:tc>
          <w:tcPr>
            <w:tcW w:w="4395" w:type="dxa"/>
            <w:shd w:val="clear" w:color="auto" w:fill="auto"/>
          </w:tcPr>
          <w:p w14:paraId="6C6EAF26" w14:textId="39E88773" w:rsidR="00B05447" w:rsidRPr="00DC2B76" w:rsidRDefault="00B05447" w:rsidP="00B05447">
            <w:pPr>
              <w:pStyle w:val="TblTextCenter"/>
              <w:jc w:val="left"/>
            </w:pPr>
            <w:r w:rsidRPr="00F17760">
              <w:rPr>
                <w:rFonts w:eastAsiaTheme="minorHAnsi"/>
                <w:lang w:val="en-AU"/>
              </w:rPr>
              <w:t>Range (observed) (months)</w:t>
            </w:r>
          </w:p>
        </w:tc>
        <w:tc>
          <w:tcPr>
            <w:tcW w:w="2409" w:type="dxa"/>
            <w:shd w:val="clear" w:color="auto" w:fill="auto"/>
          </w:tcPr>
          <w:p w14:paraId="6D42351F" w14:textId="28A1227E" w:rsidR="00B05447" w:rsidRPr="00DC2B76" w:rsidRDefault="00B05447" w:rsidP="00B05447">
            <w:pPr>
              <w:pStyle w:val="TblTextCenter"/>
            </w:pPr>
            <w:r w:rsidRPr="00F17760">
              <w:rPr>
                <w:rFonts w:eastAsiaTheme="minorHAnsi"/>
                <w:lang w:val="en-AU"/>
              </w:rPr>
              <w:t>9.0 - 23.0+</w:t>
            </w:r>
          </w:p>
        </w:tc>
        <w:tc>
          <w:tcPr>
            <w:tcW w:w="1985" w:type="dxa"/>
            <w:shd w:val="clear" w:color="auto" w:fill="auto"/>
          </w:tcPr>
          <w:p w14:paraId="1FFCCAE5" w14:textId="48B4FBD6" w:rsidR="00B05447" w:rsidRPr="00DC2B76" w:rsidRDefault="00B05447" w:rsidP="00B05447">
            <w:pPr>
              <w:pStyle w:val="TblTextCenter"/>
            </w:pPr>
            <w:r w:rsidRPr="00F17760">
              <w:rPr>
                <w:rFonts w:eastAsiaTheme="minorHAnsi"/>
                <w:lang w:val="en-AU"/>
              </w:rPr>
              <w:t>2.1 - 21.4+</w:t>
            </w:r>
          </w:p>
        </w:tc>
      </w:tr>
      <w:tr w:rsidR="00B05447" w14:paraId="63D9FA9F" w14:textId="77777777" w:rsidTr="008A1239">
        <w:trPr>
          <w:cantSplit/>
          <w:jc w:val="center"/>
        </w:trPr>
        <w:tc>
          <w:tcPr>
            <w:tcW w:w="4395" w:type="dxa"/>
            <w:shd w:val="clear" w:color="auto" w:fill="auto"/>
          </w:tcPr>
          <w:p w14:paraId="42D2D332" w14:textId="7B125F1E" w:rsidR="00B05447" w:rsidRPr="00DC2B76" w:rsidRDefault="00B05447" w:rsidP="00B05447">
            <w:pPr>
              <w:autoSpaceDE w:val="0"/>
              <w:autoSpaceDN w:val="0"/>
              <w:adjustRightInd w:val="0"/>
              <w:spacing w:before="0"/>
            </w:pPr>
            <w:r w:rsidRPr="00F17760">
              <w:rPr>
                <w:rFonts w:ascii="Arial Narrow" w:eastAsiaTheme="minorHAnsi" w:hAnsi="Arial Narrow"/>
                <w:color w:val="auto"/>
                <w:sz w:val="20"/>
                <w:szCs w:val="20"/>
                <w:lang w:val="en-AU"/>
              </w:rPr>
              <w:t xml:space="preserve">Patients with </w:t>
            </w:r>
            <w:r w:rsidRPr="00F17760">
              <w:rPr>
                <w:rFonts w:ascii="Arial Narrow" w:eastAsia="TimesNewRomanPSMT" w:hAnsi="Arial Narrow" w:cs="TimesNewRomanPSMT"/>
                <w:color w:val="auto"/>
                <w:sz w:val="20"/>
                <w:szCs w:val="20"/>
                <w:lang w:val="en-AU"/>
              </w:rPr>
              <w:t xml:space="preserve">DOR ≥ </w:t>
            </w:r>
            <w:r w:rsidRPr="00B05447">
              <w:rPr>
                <w:rFonts w:ascii="Arial Narrow" w:eastAsia="TimesNewRomanPSMT" w:hAnsi="Arial Narrow" w:cs="TimesNewRomanPSMT"/>
                <w:color w:val="auto"/>
                <w:sz w:val="20"/>
                <w:szCs w:val="20"/>
                <w:lang w:val="en-AU"/>
              </w:rPr>
              <w:t xml:space="preserve">6 months, % (95% </w:t>
            </w:r>
            <w:proofErr w:type="gramStart"/>
            <w:r w:rsidRPr="00B05447">
              <w:rPr>
                <w:rFonts w:ascii="Arial Narrow" w:eastAsia="TimesNewRomanPSMT" w:hAnsi="Arial Narrow" w:cs="TimesNewRomanPSMT"/>
                <w:color w:val="auto"/>
                <w:sz w:val="20"/>
                <w:szCs w:val="20"/>
                <w:lang w:val="en-AU"/>
              </w:rPr>
              <w:t>CI)</w:t>
            </w:r>
            <w:r w:rsidRPr="00F17760">
              <w:rPr>
                <w:rFonts w:eastAsiaTheme="minorHAnsi"/>
                <w:vertAlign w:val="superscript"/>
                <w:lang w:val="en-AU"/>
              </w:rPr>
              <w:t>d</w:t>
            </w:r>
            <w:proofErr w:type="gramEnd"/>
          </w:p>
        </w:tc>
        <w:tc>
          <w:tcPr>
            <w:tcW w:w="2409" w:type="dxa"/>
            <w:shd w:val="clear" w:color="auto" w:fill="auto"/>
          </w:tcPr>
          <w:p w14:paraId="787489E9"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100%</w:t>
            </w:r>
          </w:p>
          <w:p w14:paraId="2CFD0F44" w14:textId="29DBB7F1" w:rsidR="00B05447" w:rsidRPr="00DC2B76" w:rsidRDefault="00B05447" w:rsidP="00B05447">
            <w:pPr>
              <w:pStyle w:val="TblTextCenter"/>
            </w:pPr>
            <w:r w:rsidRPr="00F17760">
              <w:rPr>
                <w:rFonts w:eastAsiaTheme="minorHAnsi"/>
                <w:lang w:val="en-AU"/>
              </w:rPr>
              <w:t>(NE, NE)</w:t>
            </w:r>
          </w:p>
        </w:tc>
        <w:tc>
          <w:tcPr>
            <w:tcW w:w="1985" w:type="dxa"/>
            <w:shd w:val="clear" w:color="auto" w:fill="auto"/>
          </w:tcPr>
          <w:p w14:paraId="6D2C5B9C"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90.9%</w:t>
            </w:r>
          </w:p>
          <w:p w14:paraId="033F5EFA" w14:textId="59C35F50" w:rsidR="00B05447" w:rsidRPr="00DC2B76" w:rsidRDefault="00B05447" w:rsidP="00B05447">
            <w:pPr>
              <w:pStyle w:val="TblTextCenter"/>
            </w:pPr>
            <w:r w:rsidRPr="00F17760">
              <w:rPr>
                <w:rFonts w:eastAsiaTheme="minorHAnsi"/>
                <w:lang w:val="en-AU"/>
              </w:rPr>
              <w:t>(68.3, 97.6)</w:t>
            </w:r>
          </w:p>
        </w:tc>
      </w:tr>
      <w:tr w:rsidR="00B05447" w14:paraId="104A0C78" w14:textId="77777777" w:rsidTr="008A1239">
        <w:trPr>
          <w:cantSplit/>
          <w:jc w:val="center"/>
        </w:trPr>
        <w:tc>
          <w:tcPr>
            <w:tcW w:w="4395" w:type="dxa"/>
            <w:shd w:val="clear" w:color="auto" w:fill="auto"/>
          </w:tcPr>
          <w:p w14:paraId="3C708B97" w14:textId="16C726DC" w:rsidR="00B05447" w:rsidRPr="00DC2B76" w:rsidRDefault="00B05447" w:rsidP="00B05447">
            <w:pPr>
              <w:autoSpaceDE w:val="0"/>
              <w:autoSpaceDN w:val="0"/>
              <w:adjustRightInd w:val="0"/>
              <w:spacing w:before="0"/>
            </w:pPr>
            <w:r w:rsidRPr="00F17760">
              <w:rPr>
                <w:rFonts w:ascii="Arial Narrow" w:eastAsia="TimesNewRomanPSMT" w:hAnsi="Arial Narrow" w:cs="TimesNewRomanPSMT"/>
                <w:color w:val="auto"/>
                <w:sz w:val="20"/>
                <w:szCs w:val="20"/>
                <w:lang w:val="en-AU"/>
              </w:rPr>
              <w:t>Patients with DOR ≥12</w:t>
            </w:r>
            <w:r>
              <w:rPr>
                <w:rFonts w:ascii="Arial Narrow" w:eastAsia="TimesNewRomanPSMT" w:hAnsi="Arial Narrow" w:cs="TimesNewRomanPSMT"/>
                <w:color w:val="auto"/>
                <w:sz w:val="20"/>
                <w:szCs w:val="20"/>
                <w:lang w:val="en-AU"/>
              </w:rPr>
              <w:t xml:space="preserve"> </w:t>
            </w:r>
            <w:r w:rsidRPr="00B05447">
              <w:rPr>
                <w:rFonts w:ascii="Arial Narrow" w:eastAsia="TimesNewRomanPSMT" w:hAnsi="Arial Narrow" w:cs="TimesNewRomanPSMT"/>
                <w:color w:val="auto"/>
                <w:sz w:val="20"/>
                <w:szCs w:val="20"/>
                <w:lang w:val="en-AU"/>
              </w:rPr>
              <w:t xml:space="preserve">months, % (95% </w:t>
            </w:r>
            <w:proofErr w:type="gramStart"/>
            <w:r w:rsidRPr="00B05447">
              <w:rPr>
                <w:rFonts w:ascii="Arial Narrow" w:eastAsia="TimesNewRomanPSMT" w:hAnsi="Arial Narrow" w:cs="TimesNewRomanPSMT"/>
                <w:color w:val="auto"/>
                <w:sz w:val="20"/>
                <w:szCs w:val="20"/>
                <w:lang w:val="en-AU"/>
              </w:rPr>
              <w:t>CI)</w:t>
            </w:r>
            <w:r w:rsidRPr="00F17760">
              <w:rPr>
                <w:rFonts w:eastAsia="TimesNewRomanPSMT"/>
                <w:vertAlign w:val="superscript"/>
                <w:lang w:val="en-AU"/>
              </w:rPr>
              <w:t>d</w:t>
            </w:r>
            <w:proofErr w:type="gramEnd"/>
          </w:p>
        </w:tc>
        <w:tc>
          <w:tcPr>
            <w:tcW w:w="2409" w:type="dxa"/>
            <w:shd w:val="clear" w:color="auto" w:fill="auto"/>
          </w:tcPr>
          <w:p w14:paraId="7FB101F1"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66.7%</w:t>
            </w:r>
          </w:p>
          <w:p w14:paraId="44A7F3ED" w14:textId="44A4786E" w:rsidR="00B05447" w:rsidRPr="00DC2B76" w:rsidRDefault="00B05447" w:rsidP="00B05447">
            <w:pPr>
              <w:pStyle w:val="TblTextCenter"/>
            </w:pPr>
            <w:r w:rsidRPr="00F17760">
              <w:rPr>
                <w:rFonts w:eastAsiaTheme="minorHAnsi"/>
                <w:lang w:val="en-AU"/>
              </w:rPr>
              <w:t>(19.5, 90.4)</w:t>
            </w:r>
          </w:p>
        </w:tc>
        <w:tc>
          <w:tcPr>
            <w:tcW w:w="1985" w:type="dxa"/>
            <w:shd w:val="clear" w:color="auto" w:fill="auto"/>
          </w:tcPr>
          <w:p w14:paraId="74ACF3C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85.2%</w:t>
            </w:r>
          </w:p>
          <w:p w14:paraId="7A459D4A" w14:textId="2A1198CD" w:rsidR="00B05447" w:rsidRPr="00DC2B76" w:rsidRDefault="00B05447" w:rsidP="00B05447">
            <w:pPr>
              <w:pStyle w:val="TblTextCenter"/>
            </w:pPr>
            <w:r w:rsidRPr="00F17760">
              <w:rPr>
                <w:rFonts w:eastAsiaTheme="minorHAnsi"/>
                <w:lang w:val="en-AU"/>
              </w:rPr>
              <w:t>(60.5, 95.0)</w:t>
            </w:r>
          </w:p>
        </w:tc>
      </w:tr>
      <w:tr w:rsidR="00B05447" w14:paraId="5F4DDEEF" w14:textId="77777777" w:rsidTr="008A1239">
        <w:trPr>
          <w:cantSplit/>
          <w:jc w:val="center"/>
        </w:trPr>
        <w:tc>
          <w:tcPr>
            <w:tcW w:w="4395" w:type="dxa"/>
            <w:shd w:val="clear" w:color="auto" w:fill="auto"/>
          </w:tcPr>
          <w:p w14:paraId="03CCFF9C" w14:textId="5B2BD891" w:rsidR="00B05447" w:rsidRPr="00DC2B76" w:rsidRDefault="00B05447" w:rsidP="00B05447">
            <w:pPr>
              <w:pStyle w:val="TblTextCenter"/>
              <w:jc w:val="left"/>
            </w:pPr>
            <w:r w:rsidRPr="00F17760">
              <w:rPr>
                <w:rFonts w:eastAsiaTheme="minorHAnsi"/>
                <w:b/>
                <w:bCs/>
                <w:lang w:val="en-AU"/>
              </w:rPr>
              <w:t>Time to response (TTR)</w:t>
            </w:r>
          </w:p>
        </w:tc>
        <w:tc>
          <w:tcPr>
            <w:tcW w:w="2409" w:type="dxa"/>
            <w:shd w:val="clear" w:color="auto" w:fill="auto"/>
          </w:tcPr>
          <w:p w14:paraId="6A76B6FF" w14:textId="77777777" w:rsidR="00B05447" w:rsidRPr="00DC2B76" w:rsidRDefault="00B05447" w:rsidP="00B05447">
            <w:pPr>
              <w:pStyle w:val="TblTextCenter"/>
            </w:pPr>
          </w:p>
        </w:tc>
        <w:tc>
          <w:tcPr>
            <w:tcW w:w="1985" w:type="dxa"/>
            <w:shd w:val="clear" w:color="auto" w:fill="auto"/>
          </w:tcPr>
          <w:p w14:paraId="67573EBC" w14:textId="77777777" w:rsidR="00B05447" w:rsidRPr="00DC2B76" w:rsidRDefault="00B05447" w:rsidP="00B05447">
            <w:pPr>
              <w:pStyle w:val="TblTextCenter"/>
            </w:pPr>
          </w:p>
        </w:tc>
      </w:tr>
      <w:tr w:rsidR="00B05447" w14:paraId="22B837E1" w14:textId="77777777" w:rsidTr="008A1239">
        <w:trPr>
          <w:cantSplit/>
          <w:jc w:val="center"/>
        </w:trPr>
        <w:tc>
          <w:tcPr>
            <w:tcW w:w="4395" w:type="dxa"/>
            <w:shd w:val="clear" w:color="auto" w:fill="auto"/>
          </w:tcPr>
          <w:p w14:paraId="39DF85E1"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Median (months)</w:t>
            </w:r>
          </w:p>
          <w:p w14:paraId="496E6FFC" w14:textId="4F1FCE0C" w:rsidR="00B05447" w:rsidRPr="00DC2B76" w:rsidRDefault="00B05447" w:rsidP="00B05447">
            <w:pPr>
              <w:pStyle w:val="TblTextCenter"/>
              <w:jc w:val="left"/>
            </w:pPr>
            <w:r w:rsidRPr="00F17760">
              <w:rPr>
                <w:rFonts w:eastAsiaTheme="minorHAnsi"/>
                <w:lang w:val="en-AU"/>
              </w:rPr>
              <w:t>(Range)</w:t>
            </w:r>
          </w:p>
        </w:tc>
        <w:tc>
          <w:tcPr>
            <w:tcW w:w="2409" w:type="dxa"/>
            <w:shd w:val="clear" w:color="auto" w:fill="auto"/>
          </w:tcPr>
          <w:p w14:paraId="12307CE0"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3.2</w:t>
            </w:r>
          </w:p>
          <w:p w14:paraId="2CCAE55F" w14:textId="69336108" w:rsidR="00B05447" w:rsidRPr="00DC2B76" w:rsidRDefault="00B05447" w:rsidP="00B05447">
            <w:pPr>
              <w:pStyle w:val="TblTextCenter"/>
            </w:pPr>
            <w:r w:rsidRPr="00F17760">
              <w:rPr>
                <w:rFonts w:eastAsiaTheme="minorHAnsi"/>
                <w:lang w:val="en-AU"/>
              </w:rPr>
              <w:t>(2.1 - 10.5)</w:t>
            </w:r>
          </w:p>
        </w:tc>
        <w:tc>
          <w:tcPr>
            <w:tcW w:w="1985" w:type="dxa"/>
            <w:shd w:val="clear" w:color="auto" w:fill="auto"/>
          </w:tcPr>
          <w:p w14:paraId="731E70E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4.2</w:t>
            </w:r>
          </w:p>
          <w:p w14:paraId="7ECE4AA5" w14:textId="71DF526B" w:rsidR="00B05447" w:rsidRPr="00DC2B76" w:rsidRDefault="00B05447" w:rsidP="00B05447">
            <w:pPr>
              <w:pStyle w:val="TblTextCenter"/>
            </w:pPr>
            <w:r w:rsidRPr="00F17760">
              <w:rPr>
                <w:rFonts w:eastAsiaTheme="minorHAnsi"/>
                <w:lang w:val="en-AU"/>
              </w:rPr>
              <w:t>(2.1 - 13.4)</w:t>
            </w:r>
          </w:p>
        </w:tc>
      </w:tr>
      <w:tr w:rsidR="00B05447" w14:paraId="775F0C37" w14:textId="77777777" w:rsidTr="008A1239">
        <w:trPr>
          <w:cantSplit/>
          <w:jc w:val="center"/>
        </w:trPr>
        <w:tc>
          <w:tcPr>
            <w:tcW w:w="4395" w:type="dxa"/>
            <w:shd w:val="clear" w:color="auto" w:fill="auto"/>
          </w:tcPr>
          <w:p w14:paraId="10447906" w14:textId="38B99E53" w:rsidR="00B05447" w:rsidRPr="00DC2B76" w:rsidRDefault="00B05447" w:rsidP="00B05447">
            <w:pPr>
              <w:pStyle w:val="TblTextCenter"/>
              <w:jc w:val="left"/>
            </w:pPr>
            <w:r w:rsidRPr="00F17760">
              <w:rPr>
                <w:rFonts w:eastAsiaTheme="minorHAnsi"/>
                <w:b/>
                <w:bCs/>
                <w:lang w:val="en-AU"/>
              </w:rPr>
              <w:t xml:space="preserve">Progression free </w:t>
            </w:r>
            <w:proofErr w:type="spellStart"/>
            <w:r w:rsidRPr="00F17760">
              <w:rPr>
                <w:rFonts w:eastAsiaTheme="minorHAnsi"/>
                <w:b/>
                <w:bCs/>
                <w:lang w:val="en-AU"/>
              </w:rPr>
              <w:t>survival</w:t>
            </w:r>
            <w:r w:rsidRPr="00F17760">
              <w:rPr>
                <w:rFonts w:eastAsiaTheme="minorHAnsi"/>
                <w:vertAlign w:val="superscript"/>
                <w:lang w:val="en-AU"/>
              </w:rPr>
              <w:t>d</w:t>
            </w:r>
            <w:proofErr w:type="spellEnd"/>
          </w:p>
        </w:tc>
        <w:tc>
          <w:tcPr>
            <w:tcW w:w="2409" w:type="dxa"/>
            <w:shd w:val="clear" w:color="auto" w:fill="auto"/>
          </w:tcPr>
          <w:p w14:paraId="2DE39D31" w14:textId="77777777" w:rsidR="00B05447" w:rsidRPr="00DC2B76" w:rsidRDefault="00B05447" w:rsidP="00B05447">
            <w:pPr>
              <w:pStyle w:val="TblTextCenter"/>
            </w:pPr>
          </w:p>
        </w:tc>
        <w:tc>
          <w:tcPr>
            <w:tcW w:w="1985" w:type="dxa"/>
            <w:shd w:val="clear" w:color="auto" w:fill="auto"/>
          </w:tcPr>
          <w:p w14:paraId="10123B9E" w14:textId="77777777" w:rsidR="00B05447" w:rsidRPr="00DC2B76" w:rsidRDefault="00B05447" w:rsidP="00B05447">
            <w:pPr>
              <w:pStyle w:val="TblTextCenter"/>
            </w:pPr>
          </w:p>
        </w:tc>
      </w:tr>
      <w:tr w:rsidR="00B05447" w14:paraId="349FB110" w14:textId="77777777" w:rsidTr="008A1239">
        <w:trPr>
          <w:cantSplit/>
          <w:jc w:val="center"/>
        </w:trPr>
        <w:tc>
          <w:tcPr>
            <w:tcW w:w="4395" w:type="dxa"/>
            <w:shd w:val="clear" w:color="auto" w:fill="auto"/>
          </w:tcPr>
          <w:p w14:paraId="166744B9"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 months</w:t>
            </w:r>
          </w:p>
          <w:p w14:paraId="14649371" w14:textId="12C41A64"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0835361D"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58.1%</w:t>
            </w:r>
          </w:p>
          <w:p w14:paraId="71791A75" w14:textId="7C69AA75" w:rsidR="00B05447" w:rsidRPr="00DC2B76" w:rsidRDefault="00B05447" w:rsidP="00B05447">
            <w:pPr>
              <w:pStyle w:val="TblTextCenter"/>
            </w:pPr>
            <w:r w:rsidRPr="00F17760">
              <w:rPr>
                <w:rFonts w:eastAsiaTheme="minorHAnsi"/>
                <w:lang w:val="en-AU"/>
              </w:rPr>
              <w:t>(37.1, 74.3)</w:t>
            </w:r>
          </w:p>
        </w:tc>
        <w:tc>
          <w:tcPr>
            <w:tcW w:w="1985" w:type="dxa"/>
            <w:shd w:val="clear" w:color="auto" w:fill="auto"/>
          </w:tcPr>
          <w:p w14:paraId="7CBD45F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76.3%</w:t>
            </w:r>
          </w:p>
          <w:p w14:paraId="4DF8F47D" w14:textId="0432BB94" w:rsidR="00B05447" w:rsidRPr="00DC2B76" w:rsidRDefault="00B05447" w:rsidP="00B05447">
            <w:pPr>
              <w:pStyle w:val="TblTextCenter"/>
            </w:pPr>
            <w:r w:rsidRPr="00F17760">
              <w:rPr>
                <w:rFonts w:eastAsiaTheme="minorHAnsi"/>
                <w:lang w:val="en-AU"/>
              </w:rPr>
              <w:t>(65.1, 84.4)</w:t>
            </w:r>
          </w:p>
        </w:tc>
      </w:tr>
      <w:tr w:rsidR="00B05447" w14:paraId="16286882" w14:textId="77777777" w:rsidTr="008A1239">
        <w:trPr>
          <w:cantSplit/>
          <w:jc w:val="center"/>
        </w:trPr>
        <w:tc>
          <w:tcPr>
            <w:tcW w:w="4395" w:type="dxa"/>
            <w:shd w:val="clear" w:color="auto" w:fill="auto"/>
          </w:tcPr>
          <w:p w14:paraId="6D58884E" w14:textId="67A73C3B" w:rsidR="00B05447" w:rsidRPr="00DC2B76" w:rsidRDefault="00B05447" w:rsidP="00B05447">
            <w:pPr>
              <w:pStyle w:val="TblTextCenter"/>
              <w:jc w:val="left"/>
            </w:pPr>
            <w:r w:rsidRPr="00F17760">
              <w:rPr>
                <w:rFonts w:eastAsiaTheme="minorHAnsi"/>
                <w:b/>
                <w:bCs/>
                <w:lang w:val="en-AU"/>
              </w:rPr>
              <w:t xml:space="preserve">Overall </w:t>
            </w:r>
            <w:proofErr w:type="spellStart"/>
            <w:r w:rsidRPr="00F17760">
              <w:rPr>
                <w:rFonts w:eastAsiaTheme="minorHAnsi"/>
                <w:b/>
                <w:bCs/>
                <w:lang w:val="en-AU"/>
              </w:rPr>
              <w:t>survival</w:t>
            </w:r>
            <w:r w:rsidRPr="00F17760">
              <w:rPr>
                <w:rFonts w:eastAsiaTheme="minorHAnsi"/>
                <w:vertAlign w:val="superscript"/>
                <w:lang w:val="en-AU"/>
              </w:rPr>
              <w:t>d</w:t>
            </w:r>
            <w:proofErr w:type="spellEnd"/>
            <w:r w:rsidRPr="00F17760">
              <w:rPr>
                <w:rFonts w:eastAsiaTheme="minorHAnsi"/>
                <w:vertAlign w:val="superscript"/>
                <w:lang w:val="en-AU"/>
              </w:rPr>
              <w:t>, e</w:t>
            </w:r>
          </w:p>
        </w:tc>
        <w:tc>
          <w:tcPr>
            <w:tcW w:w="2409" w:type="dxa"/>
            <w:shd w:val="clear" w:color="auto" w:fill="auto"/>
          </w:tcPr>
          <w:p w14:paraId="7871FBD6" w14:textId="77777777" w:rsidR="00B05447" w:rsidRPr="00DC2B76" w:rsidRDefault="00B05447" w:rsidP="00B05447">
            <w:pPr>
              <w:pStyle w:val="TblTextCenter"/>
            </w:pPr>
          </w:p>
        </w:tc>
        <w:tc>
          <w:tcPr>
            <w:tcW w:w="1985" w:type="dxa"/>
            <w:shd w:val="clear" w:color="auto" w:fill="auto"/>
          </w:tcPr>
          <w:p w14:paraId="47D74956" w14:textId="77777777" w:rsidR="00B05447" w:rsidRPr="00DC2B76" w:rsidRDefault="00B05447" w:rsidP="00B05447">
            <w:pPr>
              <w:pStyle w:val="TblTextCenter"/>
            </w:pPr>
          </w:p>
        </w:tc>
      </w:tr>
      <w:tr w:rsidR="00B05447" w14:paraId="389396CD" w14:textId="77777777" w:rsidTr="008A1239">
        <w:trPr>
          <w:cantSplit/>
          <w:jc w:val="center"/>
        </w:trPr>
        <w:tc>
          <w:tcPr>
            <w:tcW w:w="4395" w:type="dxa"/>
            <w:shd w:val="clear" w:color="auto" w:fill="auto"/>
          </w:tcPr>
          <w:p w14:paraId="2124C666"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lastRenderedPageBreak/>
              <w:t>12 months</w:t>
            </w:r>
          </w:p>
          <w:p w14:paraId="273E10EE" w14:textId="1ADBEF1B"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02708D31"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92.6%</w:t>
            </w:r>
          </w:p>
          <w:p w14:paraId="131C3BCD" w14:textId="32E554FD" w:rsidR="00B05447" w:rsidRPr="00DC2B76" w:rsidRDefault="00B05447" w:rsidP="00B05447">
            <w:pPr>
              <w:pStyle w:val="TblTextCenter"/>
            </w:pPr>
            <w:r w:rsidRPr="00F17760">
              <w:rPr>
                <w:rFonts w:eastAsiaTheme="minorHAnsi"/>
                <w:lang w:val="en-AU"/>
              </w:rPr>
              <w:t>(73.4, 98.1)</w:t>
            </w:r>
          </w:p>
        </w:tc>
        <w:tc>
          <w:tcPr>
            <w:tcW w:w="1985" w:type="dxa"/>
            <w:shd w:val="clear" w:color="auto" w:fill="auto"/>
          </w:tcPr>
          <w:p w14:paraId="22FA2CA1"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92.3%</w:t>
            </w:r>
          </w:p>
          <w:p w14:paraId="3D2EE9EF" w14:textId="728EE83D" w:rsidR="00B05447" w:rsidRPr="00DC2B76" w:rsidRDefault="00B05447" w:rsidP="00B05447">
            <w:pPr>
              <w:pStyle w:val="TblTextCenter"/>
            </w:pPr>
            <w:r w:rsidRPr="00F17760">
              <w:rPr>
                <w:rFonts w:eastAsiaTheme="minorHAnsi"/>
                <w:lang w:val="en-AU"/>
              </w:rPr>
              <w:t>(83.6, 96.5)</w:t>
            </w:r>
          </w:p>
        </w:tc>
      </w:tr>
      <w:tr w:rsidR="00B05447" w14:paraId="5D183909" w14:textId="77777777" w:rsidTr="008A1239">
        <w:trPr>
          <w:cantSplit/>
          <w:jc w:val="center"/>
        </w:trPr>
        <w:tc>
          <w:tcPr>
            <w:tcW w:w="4395" w:type="dxa"/>
            <w:shd w:val="clear" w:color="auto" w:fill="auto"/>
          </w:tcPr>
          <w:p w14:paraId="110D02E7" w14:textId="44E63588" w:rsidR="00B05447" w:rsidRPr="00DC2B76" w:rsidRDefault="00B05447" w:rsidP="00B05447">
            <w:pPr>
              <w:pStyle w:val="TblTextCenter"/>
              <w:jc w:val="left"/>
            </w:pPr>
            <w:r w:rsidRPr="00F17760">
              <w:rPr>
                <w:rFonts w:eastAsiaTheme="minorHAnsi"/>
                <w:b/>
                <w:bCs/>
                <w:lang w:val="en-AU"/>
              </w:rPr>
              <w:t>Disease control rate (DCR) and Durable DCR</w:t>
            </w:r>
          </w:p>
        </w:tc>
        <w:tc>
          <w:tcPr>
            <w:tcW w:w="2409" w:type="dxa"/>
            <w:shd w:val="clear" w:color="auto" w:fill="auto"/>
          </w:tcPr>
          <w:p w14:paraId="3B3515E2" w14:textId="77777777" w:rsidR="00B05447" w:rsidRPr="00DC2B76" w:rsidRDefault="00B05447" w:rsidP="00B05447">
            <w:pPr>
              <w:pStyle w:val="TblTextCenter"/>
            </w:pPr>
          </w:p>
        </w:tc>
        <w:tc>
          <w:tcPr>
            <w:tcW w:w="1985" w:type="dxa"/>
            <w:shd w:val="clear" w:color="auto" w:fill="auto"/>
          </w:tcPr>
          <w:p w14:paraId="7E956141" w14:textId="77777777" w:rsidR="00B05447" w:rsidRPr="00DC2B76" w:rsidRDefault="00B05447" w:rsidP="00B05447">
            <w:pPr>
              <w:pStyle w:val="TblTextCenter"/>
            </w:pPr>
          </w:p>
        </w:tc>
      </w:tr>
      <w:tr w:rsidR="00B05447" w14:paraId="3855158C" w14:textId="77777777" w:rsidTr="008A1239">
        <w:trPr>
          <w:cantSplit/>
          <w:jc w:val="center"/>
        </w:trPr>
        <w:tc>
          <w:tcPr>
            <w:tcW w:w="4395" w:type="dxa"/>
            <w:shd w:val="clear" w:color="auto" w:fill="auto"/>
          </w:tcPr>
          <w:p w14:paraId="5CD9F3A6"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proofErr w:type="spellStart"/>
            <w:r w:rsidRPr="00F17760">
              <w:rPr>
                <w:rFonts w:ascii="Arial Narrow" w:eastAsiaTheme="minorHAnsi" w:hAnsi="Arial Narrow"/>
                <w:color w:val="auto"/>
                <w:sz w:val="20"/>
                <w:szCs w:val="20"/>
                <w:lang w:val="en-AU"/>
              </w:rPr>
              <w:t>DCR</w:t>
            </w:r>
            <w:r w:rsidRPr="00F17760">
              <w:rPr>
                <w:rFonts w:ascii="Arial Narrow" w:eastAsiaTheme="minorHAnsi" w:hAnsi="Arial Narrow"/>
                <w:color w:val="auto"/>
                <w:sz w:val="20"/>
                <w:szCs w:val="20"/>
                <w:vertAlign w:val="superscript"/>
                <w:lang w:val="en-AU"/>
              </w:rPr>
              <w:t>f</w:t>
            </w:r>
            <w:proofErr w:type="spellEnd"/>
            <w:r w:rsidRPr="00F17760">
              <w:rPr>
                <w:rFonts w:ascii="Arial Narrow" w:eastAsiaTheme="minorHAnsi" w:hAnsi="Arial Narrow"/>
                <w:color w:val="auto"/>
                <w:sz w:val="20"/>
                <w:szCs w:val="20"/>
                <w:lang w:val="en-AU"/>
              </w:rPr>
              <w:t xml:space="preserve"> n, %</w:t>
            </w:r>
          </w:p>
          <w:p w14:paraId="0550E6B0" w14:textId="306514C7"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30DAD83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19 (67.9%)</w:t>
            </w:r>
          </w:p>
          <w:p w14:paraId="0BAEAE4E" w14:textId="56A62347" w:rsidR="00B05447" w:rsidRPr="00DC2B76" w:rsidRDefault="00B05447" w:rsidP="00B05447">
            <w:pPr>
              <w:pStyle w:val="TblTextCenter"/>
            </w:pPr>
            <w:r w:rsidRPr="00F17760">
              <w:rPr>
                <w:rFonts w:eastAsiaTheme="minorHAnsi"/>
                <w:lang w:val="en-AU"/>
              </w:rPr>
              <w:t>(47.6, 84.1)</w:t>
            </w:r>
          </w:p>
        </w:tc>
        <w:tc>
          <w:tcPr>
            <w:tcW w:w="1985" w:type="dxa"/>
            <w:shd w:val="clear" w:color="auto" w:fill="auto"/>
          </w:tcPr>
          <w:p w14:paraId="3EA43E73"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67 (79.8%)</w:t>
            </w:r>
          </w:p>
          <w:p w14:paraId="47619AEF" w14:textId="3DFC8B95" w:rsidR="00B05447" w:rsidRPr="00DC2B76" w:rsidRDefault="00B05447" w:rsidP="00B05447">
            <w:pPr>
              <w:pStyle w:val="TblTextCenter"/>
            </w:pPr>
            <w:r w:rsidRPr="00F17760">
              <w:rPr>
                <w:rFonts w:eastAsiaTheme="minorHAnsi"/>
                <w:lang w:val="en-AU"/>
              </w:rPr>
              <w:t>(69.6, 87.7)</w:t>
            </w:r>
          </w:p>
        </w:tc>
      </w:tr>
      <w:tr w:rsidR="00B05447" w14:paraId="71541D50" w14:textId="77777777" w:rsidTr="008A1239">
        <w:trPr>
          <w:cantSplit/>
          <w:jc w:val="center"/>
        </w:trPr>
        <w:tc>
          <w:tcPr>
            <w:tcW w:w="4395" w:type="dxa"/>
            <w:shd w:val="clear" w:color="auto" w:fill="auto"/>
          </w:tcPr>
          <w:p w14:paraId="1C83A9C0" w14:textId="77777777" w:rsidR="00B05447" w:rsidRPr="00F17760" w:rsidRDefault="00B05447" w:rsidP="00B05447">
            <w:pPr>
              <w:autoSpaceDE w:val="0"/>
              <w:autoSpaceDN w:val="0"/>
              <w:adjustRightInd w:val="0"/>
              <w:spacing w:before="0"/>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 xml:space="preserve">Durable </w:t>
            </w:r>
            <w:proofErr w:type="spellStart"/>
            <w:r w:rsidRPr="00F17760">
              <w:rPr>
                <w:rFonts w:ascii="Arial Narrow" w:eastAsiaTheme="minorHAnsi" w:hAnsi="Arial Narrow"/>
                <w:color w:val="auto"/>
                <w:sz w:val="20"/>
                <w:szCs w:val="20"/>
                <w:lang w:val="en-AU"/>
              </w:rPr>
              <w:t>DCR</w:t>
            </w:r>
            <w:r w:rsidRPr="00F17760">
              <w:rPr>
                <w:rFonts w:ascii="Arial Narrow" w:eastAsiaTheme="minorHAnsi" w:hAnsi="Arial Narrow"/>
                <w:color w:val="auto"/>
                <w:sz w:val="20"/>
                <w:szCs w:val="20"/>
                <w:vertAlign w:val="superscript"/>
                <w:lang w:val="en-AU"/>
              </w:rPr>
              <w:t>g</w:t>
            </w:r>
            <w:proofErr w:type="spellEnd"/>
            <w:r w:rsidRPr="00F17760">
              <w:rPr>
                <w:rFonts w:ascii="Arial Narrow" w:eastAsiaTheme="minorHAnsi" w:hAnsi="Arial Narrow"/>
                <w:color w:val="auto"/>
                <w:sz w:val="20"/>
                <w:szCs w:val="20"/>
                <w:lang w:val="en-AU"/>
              </w:rPr>
              <w:t xml:space="preserve"> n, %</w:t>
            </w:r>
          </w:p>
          <w:p w14:paraId="33286FB5" w14:textId="0213DD55" w:rsidR="00B05447" w:rsidRPr="00DC2B76" w:rsidRDefault="00B05447" w:rsidP="00B05447">
            <w:pPr>
              <w:pStyle w:val="TblTextCenter"/>
              <w:jc w:val="left"/>
            </w:pPr>
            <w:r w:rsidRPr="00F17760">
              <w:rPr>
                <w:rFonts w:eastAsiaTheme="minorHAnsi"/>
                <w:lang w:val="en-AU"/>
              </w:rPr>
              <w:t>(95% CI)</w:t>
            </w:r>
          </w:p>
        </w:tc>
        <w:tc>
          <w:tcPr>
            <w:tcW w:w="2409" w:type="dxa"/>
            <w:shd w:val="clear" w:color="auto" w:fill="auto"/>
          </w:tcPr>
          <w:p w14:paraId="4F1EAA4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13 (46.4%)</w:t>
            </w:r>
          </w:p>
          <w:p w14:paraId="3152300C" w14:textId="6677E3BA" w:rsidR="00B05447" w:rsidRPr="00DC2B76" w:rsidRDefault="00B05447" w:rsidP="00B05447">
            <w:pPr>
              <w:pStyle w:val="TblTextCenter"/>
            </w:pPr>
            <w:r w:rsidRPr="00F17760">
              <w:rPr>
                <w:rFonts w:eastAsiaTheme="minorHAnsi"/>
                <w:lang w:val="en-AU"/>
              </w:rPr>
              <w:t>(27.5, 66.1)</w:t>
            </w:r>
          </w:p>
        </w:tc>
        <w:tc>
          <w:tcPr>
            <w:tcW w:w="1985" w:type="dxa"/>
            <w:shd w:val="clear" w:color="auto" w:fill="auto"/>
          </w:tcPr>
          <w:p w14:paraId="2068374E"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50 (59.5%)</w:t>
            </w:r>
          </w:p>
          <w:p w14:paraId="390A062A" w14:textId="591E71EB" w:rsidR="00B05447" w:rsidRPr="00DC2B76" w:rsidRDefault="00B05447" w:rsidP="00B05447">
            <w:pPr>
              <w:pStyle w:val="TblTextCenter"/>
            </w:pPr>
            <w:r w:rsidRPr="00F17760">
              <w:rPr>
                <w:rFonts w:eastAsiaTheme="minorHAnsi"/>
                <w:lang w:val="en-AU"/>
              </w:rPr>
              <w:t>(48.3, 70.1)</w:t>
            </w:r>
          </w:p>
        </w:tc>
      </w:tr>
      <w:tr w:rsidR="00B05447" w14:paraId="309BCF74" w14:textId="77777777" w:rsidTr="008A1239">
        <w:trPr>
          <w:cantSplit/>
          <w:jc w:val="center"/>
        </w:trPr>
        <w:tc>
          <w:tcPr>
            <w:tcW w:w="4395" w:type="dxa"/>
            <w:shd w:val="clear" w:color="auto" w:fill="auto"/>
          </w:tcPr>
          <w:p w14:paraId="6B328D8D" w14:textId="77777777" w:rsidR="00B05447" w:rsidRPr="00F17760" w:rsidRDefault="00B05447" w:rsidP="00B05447">
            <w:pPr>
              <w:autoSpaceDE w:val="0"/>
              <w:autoSpaceDN w:val="0"/>
              <w:adjustRightInd w:val="0"/>
              <w:spacing w:before="0"/>
              <w:rPr>
                <w:rFonts w:ascii="Arial Narrow" w:eastAsiaTheme="minorHAnsi" w:hAnsi="Arial Narrow"/>
                <w:b/>
                <w:bCs/>
                <w:color w:val="auto"/>
                <w:sz w:val="20"/>
                <w:szCs w:val="20"/>
                <w:lang w:val="en-AU"/>
              </w:rPr>
            </w:pPr>
            <w:r w:rsidRPr="00F17760">
              <w:rPr>
                <w:rFonts w:ascii="Arial Narrow" w:eastAsiaTheme="minorHAnsi" w:hAnsi="Arial Narrow"/>
                <w:b/>
                <w:bCs/>
                <w:color w:val="auto"/>
                <w:sz w:val="20"/>
                <w:szCs w:val="20"/>
                <w:lang w:val="en-AU"/>
              </w:rPr>
              <w:t>Median duration of follow-Up</w:t>
            </w:r>
          </w:p>
          <w:p w14:paraId="42F57734" w14:textId="77777777" w:rsidR="00B05447" w:rsidRPr="00DC2B76" w:rsidRDefault="00B05447" w:rsidP="00B05447">
            <w:pPr>
              <w:pStyle w:val="TblTextCenter"/>
              <w:jc w:val="left"/>
            </w:pPr>
            <w:r w:rsidRPr="00F17760">
              <w:rPr>
                <w:rFonts w:eastAsiaTheme="minorHAnsi"/>
                <w:lang w:val="en-AU"/>
              </w:rPr>
              <w:t>(months) (Range)</w:t>
            </w:r>
          </w:p>
        </w:tc>
        <w:tc>
          <w:tcPr>
            <w:tcW w:w="2409" w:type="dxa"/>
            <w:shd w:val="clear" w:color="auto" w:fill="auto"/>
          </w:tcPr>
          <w:p w14:paraId="37B153A8"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9.5</w:t>
            </w:r>
          </w:p>
          <w:p w14:paraId="5DEAEA85" w14:textId="28E31884" w:rsidR="00B05447" w:rsidRPr="00DC2B76" w:rsidRDefault="00B05447" w:rsidP="00B05447">
            <w:pPr>
              <w:pStyle w:val="TblTextCenter"/>
            </w:pPr>
            <w:r w:rsidRPr="00F17760">
              <w:rPr>
                <w:rFonts w:eastAsiaTheme="minorHAnsi"/>
                <w:lang w:val="en-AU"/>
              </w:rPr>
              <w:t>(1.5 - 27.2)</w:t>
            </w:r>
          </w:p>
        </w:tc>
        <w:tc>
          <w:tcPr>
            <w:tcW w:w="1985" w:type="dxa"/>
            <w:shd w:val="clear" w:color="auto" w:fill="auto"/>
          </w:tcPr>
          <w:p w14:paraId="2B305A8B" w14:textId="77777777" w:rsidR="00B05447" w:rsidRPr="00F17760" w:rsidRDefault="00B05447" w:rsidP="00B05447">
            <w:pPr>
              <w:autoSpaceDE w:val="0"/>
              <w:autoSpaceDN w:val="0"/>
              <w:adjustRightInd w:val="0"/>
              <w:spacing w:before="0"/>
              <w:jc w:val="center"/>
              <w:rPr>
                <w:rFonts w:ascii="Arial Narrow" w:eastAsiaTheme="minorHAnsi" w:hAnsi="Arial Narrow"/>
                <w:color w:val="auto"/>
                <w:sz w:val="20"/>
                <w:szCs w:val="20"/>
                <w:lang w:val="en-AU"/>
              </w:rPr>
            </w:pPr>
            <w:r w:rsidRPr="00F17760">
              <w:rPr>
                <w:rFonts w:ascii="Arial Narrow" w:eastAsiaTheme="minorHAnsi" w:hAnsi="Arial Narrow"/>
                <w:color w:val="auto"/>
                <w:sz w:val="20"/>
                <w:szCs w:val="20"/>
                <w:lang w:val="en-AU"/>
              </w:rPr>
              <w:t>15.1</w:t>
            </w:r>
          </w:p>
          <w:p w14:paraId="1833C7FC" w14:textId="790E511F" w:rsidR="00B05447" w:rsidRPr="00DC2B76" w:rsidRDefault="00B05447" w:rsidP="00B05447">
            <w:pPr>
              <w:pStyle w:val="TblTextCenter"/>
            </w:pPr>
            <w:r w:rsidRPr="00F17760">
              <w:rPr>
                <w:rFonts w:eastAsiaTheme="minorHAnsi"/>
                <w:lang w:val="en-AU"/>
              </w:rPr>
              <w:t>(0.5 - 25.1)</w:t>
            </w:r>
          </w:p>
        </w:tc>
      </w:tr>
      <w:tr w:rsidR="00B05447" w14:paraId="6AA473C3" w14:textId="77777777" w:rsidTr="008A1239">
        <w:trPr>
          <w:cantSplit/>
          <w:trHeight w:val="2397"/>
          <w:jc w:val="center"/>
        </w:trPr>
        <w:tc>
          <w:tcPr>
            <w:tcW w:w="8789" w:type="dxa"/>
            <w:gridSpan w:val="3"/>
            <w:shd w:val="clear" w:color="auto" w:fill="auto"/>
          </w:tcPr>
          <w:p w14:paraId="60E1F386" w14:textId="77777777" w:rsidR="00B05447" w:rsidRPr="00F17760" w:rsidRDefault="00B05447" w:rsidP="00B05447">
            <w:p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ICR: Independent Central Review; CI: confidence interval; NR: Not reached; NE: Not evaluable; +: Denotes ongoing</w:t>
            </w:r>
          </w:p>
          <w:p w14:paraId="57484A6C" w14:textId="77777777" w:rsidR="00B05447" w:rsidRPr="00F17760" w:rsidRDefault="00B05447" w:rsidP="00B05447">
            <w:p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at last assessment</w:t>
            </w:r>
          </w:p>
          <w:p w14:paraId="0B5BFCE9"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Non-evaluable and non-CR/non-PD patients are not presented in BOR results.</w:t>
            </w:r>
          </w:p>
          <w:p w14:paraId="63022ACB"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Includes 2 patients who achieved PR prior to data cutoff; confirmatory assessments were obtained after data cutoff point.</w:t>
            </w:r>
          </w:p>
          <w:p w14:paraId="653097C5"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Locally advanced BCC patients in Study 1620 required biopsy to confirm complete response.</w:t>
            </w:r>
          </w:p>
          <w:p w14:paraId="143B3B3C"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Based on Kaplan Meier estimates.</w:t>
            </w:r>
          </w:p>
          <w:p w14:paraId="3F5C1808" w14:textId="77777777" w:rsidR="00B05447" w:rsidRPr="00F17760"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OS does not require central review.</w:t>
            </w:r>
          </w:p>
          <w:p w14:paraId="17D75A24" w14:textId="77777777" w:rsidR="00B05447"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F17760">
              <w:rPr>
                <w:rFonts w:ascii="Arial Narrow" w:eastAsiaTheme="minorHAnsi" w:hAnsi="Arial Narrow"/>
                <w:color w:val="auto"/>
                <w:sz w:val="18"/>
                <w:szCs w:val="18"/>
                <w:lang w:val="en-AU"/>
              </w:rPr>
              <w:t xml:space="preserve">DCR: proportion of patients with CR, PR, </w:t>
            </w:r>
            <w:proofErr w:type="gramStart"/>
            <w:r w:rsidRPr="00F17760">
              <w:rPr>
                <w:rFonts w:ascii="Arial Narrow" w:eastAsiaTheme="minorHAnsi" w:hAnsi="Arial Narrow"/>
                <w:color w:val="auto"/>
                <w:sz w:val="18"/>
                <w:szCs w:val="18"/>
                <w:lang w:val="en-AU"/>
              </w:rPr>
              <w:t>SD</w:t>
            </w:r>
            <w:proofErr w:type="gramEnd"/>
            <w:r w:rsidRPr="00F17760">
              <w:rPr>
                <w:rFonts w:ascii="Arial Narrow" w:eastAsiaTheme="minorHAnsi" w:hAnsi="Arial Narrow"/>
                <w:color w:val="auto"/>
                <w:sz w:val="18"/>
                <w:szCs w:val="18"/>
                <w:lang w:val="en-AU"/>
              </w:rPr>
              <w:t xml:space="preserve"> or Non-CR/Non-PD at the first evaluable tumour assessment occurring no sooner than Day 56.</w:t>
            </w:r>
          </w:p>
          <w:p w14:paraId="6734AB81" w14:textId="53B9BEBE" w:rsidR="00B05447" w:rsidRPr="00B05447" w:rsidRDefault="00B05447" w:rsidP="00B05447">
            <w:pPr>
              <w:pStyle w:val="ListParagraph"/>
              <w:numPr>
                <w:ilvl w:val="0"/>
                <w:numId w:val="31"/>
              </w:numPr>
              <w:autoSpaceDE w:val="0"/>
              <w:autoSpaceDN w:val="0"/>
              <w:adjustRightInd w:val="0"/>
              <w:spacing w:before="0"/>
              <w:rPr>
                <w:rFonts w:ascii="Arial Narrow" w:eastAsiaTheme="minorHAnsi" w:hAnsi="Arial Narrow"/>
                <w:color w:val="auto"/>
                <w:sz w:val="18"/>
                <w:szCs w:val="18"/>
                <w:lang w:val="en-AU"/>
              </w:rPr>
            </w:pPr>
            <w:r w:rsidRPr="00B05447">
              <w:rPr>
                <w:rFonts w:ascii="Arial Narrow" w:eastAsiaTheme="minorHAnsi" w:hAnsi="Arial Narrow"/>
                <w:color w:val="auto"/>
                <w:sz w:val="18"/>
                <w:szCs w:val="18"/>
                <w:lang w:val="en-AU"/>
              </w:rPr>
              <w:t xml:space="preserve">Durable DCR: proportion of patients with CR, PR, </w:t>
            </w:r>
            <w:proofErr w:type="gramStart"/>
            <w:r w:rsidRPr="00B05447">
              <w:rPr>
                <w:rFonts w:ascii="Arial Narrow" w:eastAsiaTheme="minorHAnsi" w:hAnsi="Arial Narrow"/>
                <w:color w:val="auto"/>
                <w:sz w:val="18"/>
                <w:szCs w:val="18"/>
                <w:lang w:val="en-AU"/>
              </w:rPr>
              <w:t>SD</w:t>
            </w:r>
            <w:proofErr w:type="gramEnd"/>
            <w:r w:rsidRPr="00B05447">
              <w:rPr>
                <w:rFonts w:ascii="Arial Narrow" w:eastAsiaTheme="minorHAnsi" w:hAnsi="Arial Narrow"/>
                <w:color w:val="auto"/>
                <w:sz w:val="18"/>
                <w:szCs w:val="18"/>
                <w:lang w:val="en-AU"/>
              </w:rPr>
              <w:t xml:space="preserve"> or Non-PR/Non-PD for at least 182 days without PD.</w:t>
            </w:r>
          </w:p>
        </w:tc>
      </w:tr>
    </w:tbl>
    <w:p w14:paraId="3059A3BE" w14:textId="78A6D463" w:rsidR="000168E3" w:rsidRPr="00761F84" w:rsidRDefault="000168E3" w:rsidP="000168E3">
      <w:pPr>
        <w:pStyle w:val="Heading5"/>
        <w:numPr>
          <w:ilvl w:val="0"/>
          <w:numId w:val="0"/>
        </w:numPr>
        <w:ind w:left="1009" w:hanging="1009"/>
        <w:rPr>
          <w:lang w:val="en-AU"/>
        </w:rPr>
      </w:pPr>
      <w:r w:rsidRPr="00761F84">
        <w:rPr>
          <w:lang w:val="en-AU"/>
        </w:rPr>
        <w:t>Efficacy and PD-L1 status</w:t>
      </w:r>
    </w:p>
    <w:p w14:paraId="25B26777" w14:textId="08F33CCF" w:rsidR="00F176E1" w:rsidRPr="00761F84" w:rsidRDefault="000168E3" w:rsidP="000168E3">
      <w:pPr>
        <w:rPr>
          <w:color w:val="auto"/>
          <w:lang w:val="en-AU"/>
        </w:rPr>
      </w:pPr>
      <w:r w:rsidRPr="00761F84">
        <w:rPr>
          <w:color w:val="auto"/>
          <w:lang w:val="en-AU"/>
        </w:rPr>
        <w:t>Clinical activity was observed regardless of tumour PD-L1 expression status.</w:t>
      </w:r>
    </w:p>
    <w:p w14:paraId="54794B7B" w14:textId="3DD51CB3" w:rsidR="007D565E" w:rsidRPr="00F17760" w:rsidRDefault="00CD5483">
      <w:pPr>
        <w:pStyle w:val="Heading3"/>
        <w:numPr>
          <w:ilvl w:val="0"/>
          <w:numId w:val="0"/>
        </w:numPr>
        <w:ind w:left="680" w:hanging="680"/>
        <w:rPr>
          <w:lang w:val="en-AU"/>
        </w:rPr>
      </w:pPr>
      <w:r w:rsidRPr="00F17760">
        <w:rPr>
          <w:lang w:val="en-AU"/>
        </w:rPr>
        <w:t>Elderly population</w:t>
      </w:r>
    </w:p>
    <w:p w14:paraId="074634C1" w14:textId="77777777" w:rsidR="003301FE" w:rsidRPr="00F17760" w:rsidRDefault="003301FE" w:rsidP="003301FE">
      <w:pPr>
        <w:rPr>
          <w:color w:val="auto"/>
          <w:lang w:val="en-AU"/>
        </w:rPr>
      </w:pPr>
      <w:bookmarkStart w:id="37" w:name="_Hlk47606100"/>
      <w:r w:rsidRPr="00F17760">
        <w:rPr>
          <w:color w:val="auto"/>
          <w:lang w:val="en-AU"/>
        </w:rPr>
        <w:t>No overall differences in safety or effectiveness were observed between elderly patients and younger patients.</w:t>
      </w:r>
    </w:p>
    <w:bookmarkEnd w:id="37"/>
    <w:p w14:paraId="4C517FF4" w14:textId="14DF786E" w:rsidR="007D565E" w:rsidRPr="00F17760" w:rsidRDefault="00CD5483" w:rsidP="000168E3">
      <w:pPr>
        <w:autoSpaceDE w:val="0"/>
        <w:autoSpaceDN w:val="0"/>
        <w:adjustRightInd w:val="0"/>
        <w:rPr>
          <w:color w:val="auto"/>
          <w:lang w:val="en-AU"/>
        </w:rPr>
      </w:pPr>
      <w:r w:rsidRPr="00F17760">
        <w:rPr>
          <w:color w:val="auto"/>
          <w:lang w:val="en-AU"/>
        </w:rPr>
        <w:t xml:space="preserve">Of the </w:t>
      </w:r>
      <w:r w:rsidR="003301FE" w:rsidRPr="00F17760">
        <w:rPr>
          <w:color w:val="auto"/>
          <w:lang w:val="en-AU"/>
        </w:rPr>
        <w:t>1078</w:t>
      </w:r>
      <w:r w:rsidRPr="00F17760">
        <w:rPr>
          <w:color w:val="auto"/>
          <w:lang w:val="en-AU"/>
        </w:rPr>
        <w:t xml:space="preserve"> patients treated with cemiplimab</w:t>
      </w:r>
      <w:r w:rsidR="003301FE" w:rsidRPr="00F17760">
        <w:rPr>
          <w:color w:val="auto"/>
          <w:lang w:val="en-AU"/>
        </w:rPr>
        <w:t xml:space="preserve"> in clinical studies</w:t>
      </w:r>
      <w:r w:rsidRPr="00F17760">
        <w:rPr>
          <w:color w:val="auto"/>
          <w:lang w:val="en-AU"/>
        </w:rPr>
        <w:t xml:space="preserve">, </w:t>
      </w:r>
      <w:r w:rsidR="003301FE" w:rsidRPr="00F17760">
        <w:rPr>
          <w:color w:val="auto"/>
          <w:lang w:val="en-AU"/>
        </w:rPr>
        <w:t>48.7</w:t>
      </w:r>
      <w:r w:rsidRPr="00F17760">
        <w:rPr>
          <w:color w:val="auto"/>
          <w:lang w:val="en-AU"/>
        </w:rPr>
        <w:t>%</w:t>
      </w:r>
      <w:r w:rsidR="00F17760" w:rsidRPr="00F17760">
        <w:rPr>
          <w:color w:val="auto"/>
          <w:lang w:val="en-AU"/>
        </w:rPr>
        <w:t xml:space="preserve"> </w:t>
      </w:r>
      <w:r w:rsidRPr="00F17760">
        <w:rPr>
          <w:color w:val="auto"/>
          <w:lang w:val="en-AU"/>
        </w:rPr>
        <w:t>(</w:t>
      </w:r>
      <w:r w:rsidR="003301FE" w:rsidRPr="00F17760">
        <w:rPr>
          <w:color w:val="auto"/>
          <w:lang w:val="en-AU"/>
        </w:rPr>
        <w:t>525/1078</w:t>
      </w:r>
      <w:r w:rsidRPr="00F17760">
        <w:rPr>
          <w:color w:val="auto"/>
          <w:lang w:val="en-AU"/>
        </w:rPr>
        <w:t xml:space="preserve">) were less than 65 years, </w:t>
      </w:r>
      <w:r w:rsidR="003301FE" w:rsidRPr="00F17760">
        <w:rPr>
          <w:color w:val="auto"/>
          <w:lang w:val="en-AU"/>
        </w:rPr>
        <w:t>32.3</w:t>
      </w:r>
      <w:r w:rsidRPr="00F17760">
        <w:rPr>
          <w:color w:val="auto"/>
          <w:lang w:val="en-AU"/>
        </w:rPr>
        <w:t>% (</w:t>
      </w:r>
      <w:r w:rsidR="003301FE" w:rsidRPr="00F17760">
        <w:rPr>
          <w:color w:val="auto"/>
          <w:lang w:val="en-AU"/>
        </w:rPr>
        <w:t>348/1078</w:t>
      </w:r>
      <w:r w:rsidRPr="00F17760">
        <w:rPr>
          <w:color w:val="auto"/>
          <w:lang w:val="en-AU"/>
        </w:rPr>
        <w:t xml:space="preserve">) were 65 to less than 75 years, and </w:t>
      </w:r>
      <w:r w:rsidR="003301FE" w:rsidRPr="00F17760">
        <w:rPr>
          <w:color w:val="auto"/>
          <w:lang w:val="en-AU"/>
        </w:rPr>
        <w:t>19.0</w:t>
      </w:r>
      <w:r w:rsidRPr="00F17760">
        <w:rPr>
          <w:color w:val="auto"/>
          <w:lang w:val="en-AU"/>
        </w:rPr>
        <w:t>% (</w:t>
      </w:r>
      <w:r w:rsidR="003301FE" w:rsidRPr="00F17760">
        <w:rPr>
          <w:color w:val="auto"/>
          <w:lang w:val="en-AU"/>
        </w:rPr>
        <w:t>205/1078</w:t>
      </w:r>
      <w:r w:rsidRPr="00F17760">
        <w:rPr>
          <w:color w:val="auto"/>
          <w:lang w:val="en-AU"/>
        </w:rPr>
        <w:t xml:space="preserve">) were 75 years or older. </w:t>
      </w:r>
      <w:r w:rsidR="000F1981" w:rsidRPr="00F17760">
        <w:rPr>
          <w:color w:val="auto"/>
          <w:lang w:val="en-AU"/>
        </w:rPr>
        <w:t>Grade ≥3 adverse events occurred in 44.5% (155/348) of patients 65 to less than 75 years and 51.2% (105/205) of patients 75 years or older</w:t>
      </w:r>
      <w:r w:rsidR="00B7323B" w:rsidRPr="00F17760">
        <w:rPr>
          <w:color w:val="auto"/>
          <w:lang w:val="en-AU"/>
        </w:rPr>
        <w:t>.</w:t>
      </w:r>
    </w:p>
    <w:p w14:paraId="33FBECBD" w14:textId="0C9CEB3A" w:rsidR="007D565E" w:rsidRPr="00F17760" w:rsidRDefault="00CD5483">
      <w:pPr>
        <w:rPr>
          <w:color w:val="auto"/>
          <w:lang w:val="en-AU"/>
        </w:rPr>
      </w:pPr>
      <w:r w:rsidRPr="00F17760">
        <w:rPr>
          <w:color w:val="auto"/>
          <w:lang w:val="en-AU"/>
        </w:rPr>
        <w:t>In the 193</w:t>
      </w:r>
      <w:r w:rsidR="003301FE" w:rsidRPr="00F17760">
        <w:rPr>
          <w:noProof/>
          <w:color w:val="auto"/>
          <w:sz w:val="22"/>
          <w:szCs w:val="22"/>
          <w:lang w:val="en-AU"/>
        </w:rPr>
        <w:t xml:space="preserve"> </w:t>
      </w:r>
      <w:r w:rsidR="003301FE" w:rsidRPr="00F17760">
        <w:rPr>
          <w:color w:val="auto"/>
          <w:lang w:val="en-AU"/>
        </w:rPr>
        <w:t>advanced CSCC</w:t>
      </w:r>
      <w:r w:rsidRPr="00F17760">
        <w:rPr>
          <w:color w:val="auto"/>
          <w:lang w:val="en-AU"/>
        </w:rPr>
        <w:t xml:space="preserve"> patients in the efficacy analysis, the </w:t>
      </w:r>
      <w:r w:rsidR="005B090A" w:rsidRPr="00F17760">
        <w:rPr>
          <w:color w:val="auto"/>
          <w:lang w:val="en-AU"/>
        </w:rPr>
        <w:t xml:space="preserve">ORR </w:t>
      </w:r>
      <w:r w:rsidRPr="00F17760">
        <w:rPr>
          <w:color w:val="auto"/>
          <w:lang w:val="en-AU"/>
        </w:rPr>
        <w:t>by ICR (95% CI) was 40.8% (27.0%, 55.8%) in patients less than 65 years, 48.5% (36.0%, 61.1%) in patients 65 to less than 75 years, and 43.6% (32.4%, 55.3%) in patients 75 years or older.</w:t>
      </w:r>
      <w:bookmarkEnd w:id="34"/>
    </w:p>
    <w:p w14:paraId="7B2FC391" w14:textId="27652D8E" w:rsidR="003301FE" w:rsidRPr="00FD63F7" w:rsidRDefault="003301FE" w:rsidP="003301FE">
      <w:pPr>
        <w:rPr>
          <w:color w:val="auto"/>
          <w:lang w:val="en-AU"/>
        </w:rPr>
      </w:pPr>
      <w:r w:rsidRPr="00FD63F7">
        <w:rPr>
          <w:color w:val="auto"/>
          <w:lang w:val="en-AU"/>
        </w:rPr>
        <w:t xml:space="preserve">In the 710 advanced NSCLC patients in the efficacy analysis, the median OS (95% CI) was 24.4 months (17.3, NE) in the cemiplimab group and 17.1 months (12.1, 23.3) in the chemotherapy group in patients less than 65 years, was not reached (13.4, NE) in the cemiplimab group and 14.3 months (10.6, 22.3) in the chemotherapy group in patients 65 to </w:t>
      </w:r>
      <w:r w:rsidRPr="00FD63F7">
        <w:rPr>
          <w:color w:val="auto"/>
          <w:lang w:val="en-AU"/>
        </w:rPr>
        <w:lastRenderedPageBreak/>
        <w:t>less than 75 years, and 19.2 months (17.7, NE) in the cemiplimab group and 8.5 months (5.4, 14.2) in the chemotherapy group in patients 75 years or older. The median PFS by ICR (95% CI) was 6.2 months (4.3, 8.5) in the cemiplimab group and 5.6 months (4.2, 6.1) in the chemotherapy group in patients less than 65 years, 6.2 months (4.2, 8.2) in the cemiplimab group and 6.2 months (4.4, 6.2) in the chemotherapy group in patients 65 to less than 75 years, and 8.4 months (4.3, 19.1) in the cemiplimab group and 4.9 months (3.4, 6.2) in the chemotherapy group in patients 75 years or older.</w:t>
      </w:r>
    </w:p>
    <w:p w14:paraId="6D2B82BD" w14:textId="3B735DDC" w:rsidR="000B23F2" w:rsidRPr="00FD63F7" w:rsidRDefault="000F1981" w:rsidP="000F1981">
      <w:pPr>
        <w:rPr>
          <w:color w:val="auto"/>
          <w:lang w:val="en-AU"/>
        </w:rPr>
      </w:pPr>
      <w:r w:rsidRPr="00FD63F7">
        <w:rPr>
          <w:color w:val="auto"/>
          <w:lang w:val="en-AU"/>
        </w:rPr>
        <w:t>In the 112 advanced BCC patients in the efficacy analysis, the objective response rate (ORR) by Independent Central Review (ICR) (95% CI) was 29.5% (16.8, 45.2) in 44 of 112 patients less than 65 years, 21.4% (8.3, 41.0) in 28 of 112 patients 65 to less than 75 years, and 27.5% (14.6, 43.9) in 40 of 112 patients 75 years or older.</w:t>
      </w:r>
    </w:p>
    <w:p w14:paraId="62B5E4D3" w14:textId="77777777" w:rsidR="007D565E" w:rsidRPr="0038119B" w:rsidRDefault="00CD5483">
      <w:pPr>
        <w:pStyle w:val="Heading2"/>
        <w:rPr>
          <w:lang w:val="en-AU"/>
        </w:rPr>
      </w:pPr>
      <w:bookmarkStart w:id="38" w:name="_Ref13466780"/>
      <w:r w:rsidRPr="0038119B">
        <w:rPr>
          <w:lang w:val="en-AU"/>
        </w:rPr>
        <w:t>Pharmacokinetic properties</w:t>
      </w:r>
      <w:bookmarkEnd w:id="38"/>
      <w:r w:rsidRPr="0038119B">
        <w:rPr>
          <w:lang w:val="en-AU"/>
        </w:rPr>
        <w:t xml:space="preserve"> </w:t>
      </w:r>
    </w:p>
    <w:p w14:paraId="77186E81" w14:textId="47450105" w:rsidR="007D565E" w:rsidRPr="00F17760" w:rsidRDefault="00CD5483">
      <w:pPr>
        <w:rPr>
          <w:strike/>
          <w:color w:val="auto"/>
          <w:lang w:val="en-AU"/>
        </w:rPr>
      </w:pPr>
      <w:r w:rsidRPr="00F17760">
        <w:rPr>
          <w:color w:val="auto"/>
          <w:lang w:val="en-AU"/>
        </w:rPr>
        <w:t xml:space="preserve">Concentration data were </w:t>
      </w:r>
      <w:r w:rsidR="003301FE" w:rsidRPr="00F17760">
        <w:rPr>
          <w:color w:val="auto"/>
          <w:lang w:val="en-AU"/>
        </w:rPr>
        <w:t>combined</w:t>
      </w:r>
      <w:r w:rsidRPr="00F17760">
        <w:rPr>
          <w:color w:val="auto"/>
          <w:lang w:val="en-AU"/>
        </w:rPr>
        <w:t xml:space="preserve"> in </w:t>
      </w:r>
      <w:r w:rsidR="003301FE" w:rsidRPr="00F17760">
        <w:rPr>
          <w:color w:val="auto"/>
          <w:lang w:val="en-AU"/>
        </w:rPr>
        <w:t xml:space="preserve">a population PK analysis in 1062 </w:t>
      </w:r>
      <w:r w:rsidRPr="00F17760">
        <w:rPr>
          <w:color w:val="auto"/>
          <w:lang w:val="en-AU"/>
        </w:rPr>
        <w:t>patients with various solid tumours</w:t>
      </w:r>
      <w:r w:rsidR="00F17760" w:rsidRPr="00F17760">
        <w:rPr>
          <w:color w:val="auto"/>
          <w:lang w:val="en-AU"/>
        </w:rPr>
        <w:t xml:space="preserve"> </w:t>
      </w:r>
      <w:r w:rsidRPr="00F17760">
        <w:rPr>
          <w:color w:val="auto"/>
          <w:lang w:val="en-AU"/>
        </w:rPr>
        <w:t xml:space="preserve">who received cemiplimab. </w:t>
      </w:r>
    </w:p>
    <w:p w14:paraId="7F5454BA" w14:textId="625B9F52" w:rsidR="007D565E" w:rsidRPr="00F17760" w:rsidRDefault="000B689F" w:rsidP="000B689F">
      <w:pPr>
        <w:rPr>
          <w:color w:val="auto"/>
          <w:lang w:val="en-AU"/>
        </w:rPr>
      </w:pPr>
      <w:r w:rsidRPr="00F17760">
        <w:rPr>
          <w:color w:val="auto"/>
          <w:lang w:val="en-AU"/>
        </w:rPr>
        <w:t xml:space="preserve">At 350 mg Q3W, the mean cemiplimab concentrations at </w:t>
      </w:r>
      <w:proofErr w:type="gramStart"/>
      <w:r w:rsidRPr="00F17760">
        <w:rPr>
          <w:color w:val="auto"/>
          <w:lang w:val="en-AU"/>
        </w:rPr>
        <w:t>steady-state</w:t>
      </w:r>
      <w:proofErr w:type="gramEnd"/>
      <w:r w:rsidRPr="00F17760">
        <w:rPr>
          <w:color w:val="auto"/>
          <w:lang w:val="en-AU"/>
        </w:rPr>
        <w:t xml:space="preserve"> ranged between a </w:t>
      </w:r>
      <w:proofErr w:type="spellStart"/>
      <w:r w:rsidRPr="00F17760">
        <w:rPr>
          <w:color w:val="auto"/>
          <w:lang w:val="en-AU"/>
        </w:rPr>
        <w:t>C</w:t>
      </w:r>
      <w:r w:rsidRPr="00F17760">
        <w:rPr>
          <w:color w:val="auto"/>
          <w:vertAlign w:val="subscript"/>
          <w:lang w:val="en-AU"/>
        </w:rPr>
        <w:t>trough</w:t>
      </w:r>
      <w:proofErr w:type="spellEnd"/>
      <w:r w:rsidRPr="00F17760">
        <w:rPr>
          <w:color w:val="auto"/>
          <w:lang w:val="en-AU"/>
        </w:rPr>
        <w:t xml:space="preserve"> of 6</w:t>
      </w:r>
      <w:r w:rsidR="002C7D4B" w:rsidRPr="00F17760">
        <w:rPr>
          <w:color w:val="auto"/>
          <w:lang w:val="en-AU"/>
        </w:rPr>
        <w:t>1</w:t>
      </w:r>
      <w:r w:rsidRPr="00F17760">
        <w:rPr>
          <w:color w:val="auto"/>
          <w:lang w:val="en-AU"/>
        </w:rPr>
        <w:t xml:space="preserve"> mg/L and a concentration at end of infusion (C</w:t>
      </w:r>
      <w:r w:rsidRPr="00F17760">
        <w:rPr>
          <w:color w:val="auto"/>
          <w:vertAlign w:val="subscript"/>
          <w:lang w:val="en-AU"/>
        </w:rPr>
        <w:t>max</w:t>
      </w:r>
      <w:r w:rsidRPr="00F17760">
        <w:rPr>
          <w:color w:val="auto"/>
          <w:lang w:val="en-AU"/>
        </w:rPr>
        <w:t>) of 1</w:t>
      </w:r>
      <w:r w:rsidR="002C7D4B" w:rsidRPr="00F17760">
        <w:rPr>
          <w:color w:val="auto"/>
          <w:lang w:val="en-AU"/>
        </w:rPr>
        <w:t>7</w:t>
      </w:r>
      <w:r w:rsidRPr="00F17760">
        <w:rPr>
          <w:color w:val="auto"/>
          <w:lang w:val="en-AU"/>
        </w:rPr>
        <w:t xml:space="preserve">1 mg/L. </w:t>
      </w:r>
      <w:r w:rsidR="00CD5483" w:rsidRPr="00F17760">
        <w:rPr>
          <w:color w:val="auto"/>
          <w:lang w:val="en-AU"/>
        </w:rPr>
        <w:t>Steady state exposure is achieved after approximately 4 months of treatment.</w:t>
      </w:r>
    </w:p>
    <w:p w14:paraId="0648ADDC" w14:textId="455C7402" w:rsidR="002C7D4B" w:rsidRPr="00F17760" w:rsidRDefault="002C7D4B" w:rsidP="002C7D4B">
      <w:pPr>
        <w:rPr>
          <w:color w:val="auto"/>
          <w:lang w:val="en-AU"/>
        </w:rPr>
      </w:pPr>
      <w:bookmarkStart w:id="39" w:name="_Hlk46928261"/>
      <w:r w:rsidRPr="00F17760" w:rsidDel="00BE33E8">
        <w:rPr>
          <w:color w:val="auto"/>
          <w:lang w:val="en-AU"/>
        </w:rPr>
        <w:t xml:space="preserve">In patients with CSCC, </w:t>
      </w:r>
      <w:r w:rsidRPr="00F17760">
        <w:rPr>
          <w:color w:val="auto"/>
          <w:lang w:val="en-AU"/>
        </w:rPr>
        <w:t xml:space="preserve">cemiplimab exposure at </w:t>
      </w:r>
      <w:proofErr w:type="gramStart"/>
      <w:r w:rsidRPr="00F17760">
        <w:rPr>
          <w:color w:val="auto"/>
          <w:lang w:val="en-AU"/>
        </w:rPr>
        <w:t>steady-state</w:t>
      </w:r>
      <w:proofErr w:type="gramEnd"/>
      <w:r w:rsidRPr="00F17760">
        <w:rPr>
          <w:color w:val="auto"/>
          <w:lang w:val="en-AU"/>
        </w:rPr>
        <w:t xml:space="preserve"> at 350 mg Q3W (N=53) and at 3 mg/kg Q2W (N=135) is similar.</w:t>
      </w:r>
      <w:bookmarkEnd w:id="39"/>
    </w:p>
    <w:p w14:paraId="61436C2A" w14:textId="77777777" w:rsidR="007D565E" w:rsidRPr="0038119B" w:rsidRDefault="00CD5483">
      <w:pPr>
        <w:pStyle w:val="Heading3"/>
        <w:numPr>
          <w:ilvl w:val="0"/>
          <w:numId w:val="0"/>
        </w:numPr>
        <w:rPr>
          <w:i/>
          <w:lang w:val="en-AU"/>
        </w:rPr>
      </w:pPr>
      <w:r w:rsidRPr="0038119B">
        <w:rPr>
          <w:i/>
          <w:lang w:val="en-AU"/>
        </w:rPr>
        <w:t>Absorption</w:t>
      </w:r>
    </w:p>
    <w:p w14:paraId="72996630" w14:textId="77777777" w:rsidR="007D565E" w:rsidRPr="0038119B" w:rsidRDefault="00CD5483">
      <w:pPr>
        <w:rPr>
          <w:lang w:val="en-AU"/>
        </w:rPr>
      </w:pPr>
      <w:r w:rsidRPr="0038119B">
        <w:rPr>
          <w:lang w:val="en-AU"/>
        </w:rPr>
        <w:t>Cemiplimab is administered via the intravenous route and hence is completely bioavailable.</w:t>
      </w:r>
    </w:p>
    <w:p w14:paraId="01F244F7" w14:textId="77777777" w:rsidR="007D565E" w:rsidRPr="0038119B" w:rsidRDefault="00CD5483">
      <w:pPr>
        <w:pStyle w:val="Heading3"/>
        <w:numPr>
          <w:ilvl w:val="0"/>
          <w:numId w:val="0"/>
        </w:numPr>
        <w:ind w:left="680" w:hanging="680"/>
        <w:rPr>
          <w:i/>
          <w:lang w:val="en-AU"/>
        </w:rPr>
      </w:pPr>
      <w:r w:rsidRPr="0038119B">
        <w:rPr>
          <w:i/>
          <w:lang w:val="en-AU"/>
        </w:rPr>
        <w:t>Distribution</w:t>
      </w:r>
    </w:p>
    <w:p w14:paraId="464C5F38" w14:textId="6594FD8E" w:rsidR="007D565E" w:rsidRPr="00F17760" w:rsidRDefault="00CD5483">
      <w:pPr>
        <w:rPr>
          <w:color w:val="auto"/>
          <w:lang w:val="en-AU"/>
        </w:rPr>
      </w:pPr>
      <w:r w:rsidRPr="0038119B">
        <w:rPr>
          <w:lang w:val="en-AU"/>
        </w:rPr>
        <w:t xml:space="preserve">Cemiplimab is primarily distributed </w:t>
      </w:r>
      <w:r w:rsidRPr="00F17760">
        <w:rPr>
          <w:color w:val="auto"/>
          <w:lang w:val="en-AU"/>
        </w:rPr>
        <w:t>in the vascular system with a volume of distribution at steady state (VSS) of 5.</w:t>
      </w:r>
      <w:r w:rsidR="002C7D4B" w:rsidRPr="00F17760">
        <w:rPr>
          <w:color w:val="auto"/>
          <w:lang w:val="en-AU"/>
        </w:rPr>
        <w:t>3</w:t>
      </w:r>
      <w:r w:rsidRPr="00F17760">
        <w:rPr>
          <w:color w:val="auto"/>
          <w:lang w:val="en-AU"/>
        </w:rPr>
        <w:t xml:space="preserve"> litres.</w:t>
      </w:r>
    </w:p>
    <w:p w14:paraId="7AEDB69E" w14:textId="4A759977" w:rsidR="007D565E" w:rsidRPr="0038119B" w:rsidRDefault="002436E7">
      <w:pPr>
        <w:pStyle w:val="Heading3"/>
        <w:numPr>
          <w:ilvl w:val="0"/>
          <w:numId w:val="0"/>
        </w:numPr>
        <w:ind w:left="680" w:hanging="680"/>
        <w:rPr>
          <w:i/>
          <w:lang w:val="en-AU"/>
        </w:rPr>
      </w:pPr>
      <w:r w:rsidRPr="0038119B">
        <w:rPr>
          <w:i/>
          <w:lang w:val="en-AU"/>
        </w:rPr>
        <w:t>Metabolism</w:t>
      </w:r>
    </w:p>
    <w:p w14:paraId="0C83C2FD" w14:textId="77777777" w:rsidR="007D565E" w:rsidRPr="0038119B" w:rsidRDefault="00CD5483">
      <w:pPr>
        <w:rPr>
          <w:lang w:val="en-AU"/>
        </w:rPr>
      </w:pPr>
      <w:r w:rsidRPr="0038119B">
        <w:rPr>
          <w:lang w:val="en-AU"/>
        </w:rPr>
        <w:t>Specific metabolism studies were not conducted because cemiplimab is a protein. Cemiplimab is expected to degrade to small peptides and individual amino acids.</w:t>
      </w:r>
    </w:p>
    <w:p w14:paraId="35DC137E" w14:textId="1C8D53CF" w:rsidR="007D565E" w:rsidRPr="0038119B" w:rsidRDefault="002436E7">
      <w:pPr>
        <w:pStyle w:val="Heading3"/>
        <w:numPr>
          <w:ilvl w:val="0"/>
          <w:numId w:val="0"/>
        </w:numPr>
        <w:ind w:left="680" w:hanging="680"/>
        <w:rPr>
          <w:i/>
          <w:lang w:val="en-AU"/>
        </w:rPr>
      </w:pPr>
      <w:r w:rsidRPr="0038119B">
        <w:rPr>
          <w:i/>
          <w:lang w:val="en-AU"/>
        </w:rPr>
        <w:t>Excretion</w:t>
      </w:r>
    </w:p>
    <w:p w14:paraId="56E4895C" w14:textId="71DA0097" w:rsidR="007D565E" w:rsidRPr="00F17760" w:rsidRDefault="00CD5483">
      <w:pPr>
        <w:rPr>
          <w:color w:val="auto"/>
          <w:lang w:val="en-AU"/>
        </w:rPr>
      </w:pPr>
      <w:r w:rsidRPr="0038119B">
        <w:rPr>
          <w:lang w:val="en-AU"/>
        </w:rPr>
        <w:t>Clearance of cemip</w:t>
      </w:r>
      <w:r w:rsidRPr="00F17760">
        <w:rPr>
          <w:color w:val="auto"/>
          <w:lang w:val="en-AU"/>
        </w:rPr>
        <w:t>limab is linear at doses of 1 mg/kg to 10 mg/kg</w:t>
      </w:r>
      <w:r w:rsidR="000B689F" w:rsidRPr="00F17760">
        <w:rPr>
          <w:color w:val="auto"/>
          <w:lang w:val="en-AU"/>
        </w:rPr>
        <w:t xml:space="preserve"> Q2W</w:t>
      </w:r>
      <w:r w:rsidRPr="00F17760">
        <w:rPr>
          <w:color w:val="auto"/>
          <w:lang w:val="en-AU"/>
        </w:rPr>
        <w:t>. Cemiplimab clearance after the first dose is approximately 0.</w:t>
      </w:r>
      <w:r w:rsidR="002C7D4B" w:rsidRPr="00F17760">
        <w:rPr>
          <w:color w:val="auto"/>
          <w:lang w:val="en-AU"/>
        </w:rPr>
        <w:t>29</w:t>
      </w:r>
      <w:r w:rsidRPr="00F17760">
        <w:rPr>
          <w:color w:val="auto"/>
          <w:lang w:val="en-AU"/>
        </w:rPr>
        <w:t xml:space="preserve"> l/day. The total clearance appears to decrease by approximately </w:t>
      </w:r>
      <w:r w:rsidR="002C7D4B" w:rsidRPr="00F17760">
        <w:rPr>
          <w:color w:val="auto"/>
          <w:lang w:val="en-AU"/>
        </w:rPr>
        <w:t>29</w:t>
      </w:r>
      <w:r w:rsidRPr="00F17760">
        <w:rPr>
          <w:color w:val="auto"/>
          <w:lang w:val="en-AU"/>
        </w:rPr>
        <w:t>% over time, resulting in a steady state clearance (</w:t>
      </w:r>
      <w:proofErr w:type="spellStart"/>
      <w:r w:rsidRPr="00F17760">
        <w:rPr>
          <w:color w:val="auto"/>
          <w:lang w:val="en-AU"/>
        </w:rPr>
        <w:t>CL</w:t>
      </w:r>
      <w:r w:rsidRPr="00F17760">
        <w:rPr>
          <w:color w:val="auto"/>
          <w:vertAlign w:val="subscript"/>
          <w:lang w:val="en-AU"/>
        </w:rPr>
        <w:t>ss</w:t>
      </w:r>
      <w:proofErr w:type="spellEnd"/>
      <w:r w:rsidRPr="00F17760">
        <w:rPr>
          <w:color w:val="auto"/>
          <w:lang w:val="en-AU"/>
        </w:rPr>
        <w:t>) of 0.2</w:t>
      </w:r>
      <w:r w:rsidR="002C7D4B" w:rsidRPr="00F17760">
        <w:rPr>
          <w:color w:val="auto"/>
          <w:lang w:val="en-AU"/>
        </w:rPr>
        <w:t>0</w:t>
      </w:r>
      <w:r w:rsidRPr="00F17760">
        <w:rPr>
          <w:color w:val="auto"/>
          <w:lang w:val="en-AU"/>
        </w:rPr>
        <w:t xml:space="preserve"> l/day; the decrease in CL is not considered clinically relevant. The within dosing interval half-life at steady state is </w:t>
      </w:r>
      <w:r w:rsidR="002C7D4B" w:rsidRPr="00F17760">
        <w:rPr>
          <w:color w:val="auto"/>
          <w:lang w:val="en-AU"/>
        </w:rPr>
        <w:t>20.3</w:t>
      </w:r>
      <w:r w:rsidR="00F17760" w:rsidRPr="00F17760">
        <w:rPr>
          <w:color w:val="auto"/>
          <w:lang w:val="en-AU"/>
        </w:rPr>
        <w:t xml:space="preserve"> </w:t>
      </w:r>
      <w:r w:rsidRPr="00F17760">
        <w:rPr>
          <w:color w:val="auto"/>
          <w:lang w:val="en-AU"/>
        </w:rPr>
        <w:t>days.</w:t>
      </w:r>
    </w:p>
    <w:p w14:paraId="18767E4B" w14:textId="77777777" w:rsidR="007D565E" w:rsidRPr="00F17760" w:rsidRDefault="00CD5483">
      <w:pPr>
        <w:pStyle w:val="Heading3"/>
        <w:numPr>
          <w:ilvl w:val="0"/>
          <w:numId w:val="0"/>
        </w:numPr>
        <w:ind w:left="680" w:hanging="680"/>
        <w:rPr>
          <w:i/>
          <w:lang w:val="en-AU"/>
        </w:rPr>
      </w:pPr>
      <w:r w:rsidRPr="00F17760">
        <w:rPr>
          <w:i/>
          <w:lang w:val="en-AU"/>
        </w:rPr>
        <w:lastRenderedPageBreak/>
        <w:t>Linearity/non-linearity</w:t>
      </w:r>
    </w:p>
    <w:p w14:paraId="14D7BDFE" w14:textId="535584F5" w:rsidR="007D565E" w:rsidRPr="00F17760" w:rsidRDefault="00CD5483">
      <w:pPr>
        <w:rPr>
          <w:color w:val="auto"/>
          <w:lang w:val="en-AU"/>
        </w:rPr>
      </w:pPr>
      <w:r w:rsidRPr="00F17760">
        <w:rPr>
          <w:color w:val="auto"/>
          <w:lang w:val="en-AU"/>
        </w:rPr>
        <w:t xml:space="preserve">At the dosing regimens of 1 mg/kg to 10 mg/kg every two weeks, </w:t>
      </w:r>
      <w:r w:rsidR="002C7D4B" w:rsidRPr="00F17760">
        <w:rPr>
          <w:color w:val="auto"/>
          <w:lang w:val="en-AU"/>
        </w:rPr>
        <w:t>pharmaco</w:t>
      </w:r>
      <w:r w:rsidRPr="00F17760">
        <w:rPr>
          <w:color w:val="auto"/>
          <w:lang w:val="en-AU"/>
        </w:rPr>
        <w:t xml:space="preserve">kinetics of cemiplimab were linear and dose proportional, suggesting saturation of the </w:t>
      </w:r>
      <w:r w:rsidR="002C7D4B" w:rsidRPr="00F17760">
        <w:rPr>
          <w:color w:val="auto"/>
          <w:lang w:val="en-AU"/>
        </w:rPr>
        <w:t xml:space="preserve">systemic </w:t>
      </w:r>
      <w:r w:rsidRPr="00F17760">
        <w:rPr>
          <w:color w:val="auto"/>
          <w:lang w:val="en-AU"/>
        </w:rPr>
        <w:t>target-mediated pathway.</w:t>
      </w:r>
    </w:p>
    <w:p w14:paraId="33A07C56" w14:textId="77777777" w:rsidR="007D565E" w:rsidRPr="00F17760" w:rsidRDefault="00CD5483">
      <w:pPr>
        <w:pStyle w:val="Heading3"/>
        <w:numPr>
          <w:ilvl w:val="0"/>
          <w:numId w:val="0"/>
        </w:numPr>
        <w:ind w:left="680" w:hanging="680"/>
        <w:rPr>
          <w:i/>
          <w:lang w:val="en-AU"/>
        </w:rPr>
      </w:pPr>
      <w:r w:rsidRPr="00F17760">
        <w:rPr>
          <w:i/>
          <w:lang w:val="en-AU"/>
        </w:rPr>
        <w:t>Special populations</w:t>
      </w:r>
    </w:p>
    <w:p w14:paraId="2ECEB886" w14:textId="12DA9E9F" w:rsidR="007D565E" w:rsidRPr="00F17760" w:rsidRDefault="00CD5483">
      <w:pPr>
        <w:rPr>
          <w:color w:val="auto"/>
          <w:lang w:val="en-AU"/>
        </w:rPr>
      </w:pPr>
      <w:r w:rsidRPr="00F17760">
        <w:rPr>
          <w:color w:val="auto"/>
          <w:lang w:val="en-AU"/>
        </w:rPr>
        <w:t xml:space="preserve">A population PK analysis suggests that the following factors have no clinically significant effect on the exposure of cemiplimab: age, gender, body weight, race, cancer type, albumin level, </w:t>
      </w:r>
      <w:r w:rsidR="002C7D4B" w:rsidRPr="00F17760">
        <w:rPr>
          <w:color w:val="auto"/>
          <w:lang w:val="en-AU"/>
        </w:rPr>
        <w:t xml:space="preserve">renal impairment, and </w:t>
      </w:r>
      <w:r w:rsidRPr="00F17760">
        <w:rPr>
          <w:color w:val="auto"/>
          <w:lang w:val="en-AU"/>
        </w:rPr>
        <w:t xml:space="preserve">mild </w:t>
      </w:r>
      <w:r w:rsidR="002C7D4B" w:rsidRPr="00F17760">
        <w:rPr>
          <w:color w:val="auto"/>
          <w:lang w:val="en-AU"/>
        </w:rPr>
        <w:t xml:space="preserve">to moderate </w:t>
      </w:r>
      <w:r w:rsidRPr="00F17760">
        <w:rPr>
          <w:color w:val="auto"/>
          <w:lang w:val="en-AU"/>
        </w:rPr>
        <w:t>hepatic impairment.</w:t>
      </w:r>
    </w:p>
    <w:p w14:paraId="4B89B8E2" w14:textId="77777777" w:rsidR="007D565E" w:rsidRPr="00F17760" w:rsidRDefault="00CD5483">
      <w:pPr>
        <w:pStyle w:val="Heading3"/>
        <w:numPr>
          <w:ilvl w:val="0"/>
          <w:numId w:val="0"/>
        </w:numPr>
        <w:ind w:left="680" w:hanging="680"/>
        <w:rPr>
          <w:i/>
          <w:lang w:val="en-AU"/>
        </w:rPr>
      </w:pPr>
      <w:r w:rsidRPr="00F17760">
        <w:rPr>
          <w:i/>
          <w:lang w:val="en-AU"/>
        </w:rPr>
        <w:t>Renal impairment</w:t>
      </w:r>
    </w:p>
    <w:p w14:paraId="7D868586" w14:textId="7C193408" w:rsidR="007D565E" w:rsidRPr="0038119B" w:rsidRDefault="00CD5483">
      <w:pPr>
        <w:rPr>
          <w:lang w:val="en-AU"/>
        </w:rPr>
      </w:pPr>
      <w:r w:rsidRPr="00F17760">
        <w:rPr>
          <w:color w:val="auto"/>
          <w:lang w:val="en-AU"/>
        </w:rPr>
        <w:t>The effect of renal impairment on the exposure of cemiplimab was evaluated by a population PK analysis in patients with mild (CL</w:t>
      </w:r>
      <w:r w:rsidRPr="00F17760">
        <w:rPr>
          <w:color w:val="auto"/>
          <w:vertAlign w:val="subscript"/>
          <w:lang w:val="en-AU"/>
        </w:rPr>
        <w:t>cr</w:t>
      </w:r>
      <w:r w:rsidRPr="00F17760">
        <w:rPr>
          <w:color w:val="auto"/>
          <w:lang w:val="en-AU"/>
        </w:rPr>
        <w:t xml:space="preserve"> 60 to 89 mL/min; n= </w:t>
      </w:r>
      <w:r w:rsidR="002C7D4B" w:rsidRPr="00F17760">
        <w:rPr>
          <w:color w:val="auto"/>
          <w:lang w:val="en-AU"/>
        </w:rPr>
        <w:t>396</w:t>
      </w:r>
      <w:r w:rsidRPr="00F17760">
        <w:rPr>
          <w:color w:val="auto"/>
          <w:lang w:val="en-AU"/>
        </w:rPr>
        <w:t>), moderate (CL</w:t>
      </w:r>
      <w:r w:rsidRPr="00F17760">
        <w:rPr>
          <w:color w:val="auto"/>
          <w:vertAlign w:val="subscript"/>
          <w:lang w:val="en-AU"/>
        </w:rPr>
        <w:t xml:space="preserve">cr </w:t>
      </w:r>
      <w:r w:rsidRPr="00F17760">
        <w:rPr>
          <w:color w:val="auto"/>
          <w:lang w:val="en-AU"/>
        </w:rPr>
        <w:t xml:space="preserve">30 to 59 mL/min; n= </w:t>
      </w:r>
      <w:r w:rsidR="002C7D4B" w:rsidRPr="00F17760">
        <w:rPr>
          <w:color w:val="auto"/>
          <w:lang w:val="en-AU"/>
        </w:rPr>
        <w:t>166</w:t>
      </w:r>
      <w:r w:rsidRPr="00F17760">
        <w:rPr>
          <w:color w:val="auto"/>
          <w:lang w:val="en-AU"/>
        </w:rPr>
        <w:t>), or severe (CL</w:t>
      </w:r>
      <w:r w:rsidRPr="00F17760">
        <w:rPr>
          <w:color w:val="auto"/>
          <w:vertAlign w:val="subscript"/>
          <w:lang w:val="en-AU"/>
        </w:rPr>
        <w:t>cr</w:t>
      </w:r>
      <w:r w:rsidRPr="00F17760">
        <w:rPr>
          <w:color w:val="auto"/>
          <w:lang w:val="en-AU"/>
        </w:rPr>
        <w:t xml:space="preserve"> 15 to 29 mL/min; n= </w:t>
      </w:r>
      <w:r w:rsidR="002C7D4B" w:rsidRPr="00F17760">
        <w:rPr>
          <w:color w:val="auto"/>
          <w:lang w:val="en-AU"/>
        </w:rPr>
        <w:t>7</w:t>
      </w:r>
      <w:r w:rsidRPr="00F17760">
        <w:rPr>
          <w:color w:val="auto"/>
          <w:lang w:val="en-AU"/>
        </w:rPr>
        <w:t>) renal impairment. No clinically important differences in the exposure of cemiplimab were found between patients with renal impairment and patients with normal renal function. Cemiplimab has not been studied in patients with CL</w:t>
      </w:r>
      <w:r w:rsidRPr="00F17760">
        <w:rPr>
          <w:color w:val="auto"/>
          <w:vertAlign w:val="subscript"/>
          <w:lang w:val="en-AU"/>
        </w:rPr>
        <w:t>cr</w:t>
      </w:r>
      <w:r w:rsidRPr="00F17760">
        <w:rPr>
          <w:color w:val="auto"/>
          <w:lang w:val="en-AU"/>
        </w:rPr>
        <w:t xml:space="preserve"> &lt;</w:t>
      </w:r>
      <w:r w:rsidR="002C7D4B" w:rsidRPr="00F17760">
        <w:rPr>
          <w:color w:val="auto"/>
          <w:lang w:val="en-AU"/>
        </w:rPr>
        <w:t>21</w:t>
      </w:r>
      <w:r w:rsidRPr="00F17760">
        <w:rPr>
          <w:color w:val="auto"/>
          <w:lang w:val="en-AU"/>
        </w:rPr>
        <w:t xml:space="preserve"> mL/min (</w:t>
      </w:r>
      <w:r w:rsidRPr="0038119B">
        <w:rPr>
          <w:lang w:val="en-AU"/>
        </w:rPr>
        <w:t xml:space="preserve">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2CBD5433" w14:textId="77777777" w:rsidR="007D565E" w:rsidRPr="0038119B" w:rsidRDefault="00CD5483">
      <w:pPr>
        <w:pStyle w:val="Heading3"/>
        <w:numPr>
          <w:ilvl w:val="0"/>
          <w:numId w:val="0"/>
        </w:numPr>
        <w:ind w:left="680" w:hanging="680"/>
        <w:rPr>
          <w:i/>
          <w:lang w:val="en-AU"/>
        </w:rPr>
      </w:pPr>
      <w:r w:rsidRPr="0038119B">
        <w:rPr>
          <w:i/>
          <w:lang w:val="en-AU"/>
        </w:rPr>
        <w:t>Hepatic impairment</w:t>
      </w:r>
    </w:p>
    <w:p w14:paraId="7653FF5E" w14:textId="62583A93" w:rsidR="007D565E" w:rsidRPr="0038119B" w:rsidRDefault="00CD5483" w:rsidP="002A5C93">
      <w:pPr>
        <w:autoSpaceDE w:val="0"/>
        <w:autoSpaceDN w:val="0"/>
        <w:adjustRightInd w:val="0"/>
        <w:spacing w:before="0"/>
        <w:rPr>
          <w:lang w:val="en-AU"/>
        </w:rPr>
      </w:pPr>
      <w:r w:rsidRPr="0038119B">
        <w:rPr>
          <w:lang w:val="en-AU"/>
        </w:rPr>
        <w:t>The effect of hepatic impairment on the exposure of cemiplimab was evaluated by population PK analysis</w:t>
      </w:r>
      <w:r w:rsidR="002C7D4B" w:rsidRPr="0038119B">
        <w:rPr>
          <w:lang w:val="en-AU"/>
        </w:rPr>
        <w:t xml:space="preserve"> </w:t>
      </w:r>
      <w:r w:rsidR="002C7D4B" w:rsidRPr="0038119B">
        <w:rPr>
          <w:color w:val="0070C0"/>
          <w:u w:val="double"/>
          <w:lang w:val="en-AU"/>
        </w:rPr>
        <w:t>i</w:t>
      </w:r>
      <w:r w:rsidRPr="0038119B">
        <w:rPr>
          <w:lang w:val="en-AU"/>
        </w:rPr>
        <w:t xml:space="preserve">n patients </w:t>
      </w:r>
      <w:r w:rsidRPr="00F17760">
        <w:rPr>
          <w:color w:val="auto"/>
          <w:lang w:val="en-AU"/>
        </w:rPr>
        <w:t>with mild hepatic impairment (n=</w:t>
      </w:r>
      <w:r w:rsidR="002C7D4B" w:rsidRPr="00F17760">
        <w:rPr>
          <w:color w:val="auto"/>
          <w:lang w:val="en-AU"/>
        </w:rPr>
        <w:t>22</w:t>
      </w:r>
      <w:r w:rsidRPr="00F17760">
        <w:rPr>
          <w:color w:val="auto"/>
          <w:lang w:val="en-AU"/>
        </w:rPr>
        <w:t>) (total bilirubi</w:t>
      </w:r>
      <w:r w:rsidR="00C55341" w:rsidRPr="00F17760">
        <w:rPr>
          <w:color w:val="auto"/>
          <w:lang w:val="en-AU"/>
        </w:rPr>
        <w:t xml:space="preserve">n </w:t>
      </w:r>
      <w:r w:rsidRPr="00F17760">
        <w:rPr>
          <w:color w:val="auto"/>
          <w:lang w:val="en-AU"/>
        </w:rPr>
        <w:t>greater than 1.0 to 1.5 times the upper limit of normal [ULN] and any aspartate aminotransferase [AST])</w:t>
      </w:r>
      <w:r w:rsidR="002C7D4B" w:rsidRPr="00F17760">
        <w:rPr>
          <w:color w:val="auto"/>
          <w:sz w:val="22"/>
          <w:szCs w:val="22"/>
          <w:lang w:val="en-AU"/>
        </w:rPr>
        <w:t xml:space="preserve"> </w:t>
      </w:r>
      <w:r w:rsidR="002C7D4B" w:rsidRPr="00F17760">
        <w:rPr>
          <w:color w:val="auto"/>
          <w:lang w:val="en-AU"/>
        </w:rPr>
        <w:t>and patients with moderate hepatic impairment (n=3) (total bilirubin &gt;1.5 times ULN up to 3.0 times ULN) and any AST</w:t>
      </w:r>
      <w:r w:rsidRPr="00F17760">
        <w:rPr>
          <w:color w:val="auto"/>
          <w:lang w:val="en-AU"/>
        </w:rPr>
        <w:t xml:space="preserve">; no clinically important differences in the exposure of cemiplimab were found </w:t>
      </w:r>
      <w:r w:rsidR="002A5C93" w:rsidRPr="00F17760">
        <w:rPr>
          <w:color w:val="auto"/>
          <w:lang w:val="en-AU"/>
        </w:rPr>
        <w:t xml:space="preserve">between patients with mild to moderate hepatic impairment and </w:t>
      </w:r>
      <w:r w:rsidRPr="00F17760">
        <w:rPr>
          <w:color w:val="auto"/>
          <w:lang w:val="en-AU"/>
        </w:rPr>
        <w:t xml:space="preserve">patients with normal hepatic function. Cemiplimab has </w:t>
      </w:r>
      <w:r w:rsidRPr="0038119B">
        <w:rPr>
          <w:lang w:val="en-AU"/>
        </w:rPr>
        <w:t xml:space="preserve">not been studied in patients with severe hepatic impairment. There are insufficient data in patients with severe hepatic impairment for dosing recommendations (see Section </w:t>
      </w:r>
      <w:r w:rsidRPr="0038119B">
        <w:rPr>
          <w:color w:val="0000FF"/>
          <w:lang w:val="en-AU"/>
        </w:rPr>
        <w:fldChar w:fldCharType="begin"/>
      </w:r>
      <w:r w:rsidRPr="0038119B">
        <w:rPr>
          <w:color w:val="0000FF"/>
          <w:lang w:val="en-AU"/>
        </w:rPr>
        <w:instrText xml:space="preserve"> REF _Ref13466856 \r \h  \* MERGEFORMAT </w:instrText>
      </w:r>
      <w:r w:rsidRPr="0038119B">
        <w:rPr>
          <w:color w:val="0000FF"/>
          <w:lang w:val="en-AU"/>
        </w:rPr>
      </w:r>
      <w:r w:rsidRPr="0038119B">
        <w:rPr>
          <w:color w:val="0000FF"/>
          <w:lang w:val="en-AU"/>
        </w:rPr>
        <w:fldChar w:fldCharType="separate"/>
      </w:r>
      <w:r w:rsidR="006B35A8">
        <w:rPr>
          <w:color w:val="0000FF"/>
          <w:lang w:val="en-AU"/>
        </w:rPr>
        <w:t>4.2</w:t>
      </w:r>
      <w:r w:rsidRPr="0038119B">
        <w:rPr>
          <w:color w:val="0000FF"/>
          <w:lang w:val="en-AU"/>
        </w:rPr>
        <w:fldChar w:fldCharType="end"/>
      </w:r>
      <w:r w:rsidRPr="0038119B">
        <w:rPr>
          <w:lang w:val="en-AU"/>
        </w:rPr>
        <w:t>).</w:t>
      </w:r>
    </w:p>
    <w:p w14:paraId="0F78A6FF" w14:textId="77777777" w:rsidR="007D565E" w:rsidRPr="0038119B" w:rsidRDefault="00CD5483">
      <w:pPr>
        <w:pStyle w:val="Heading2"/>
        <w:rPr>
          <w:lang w:val="en-AU"/>
        </w:rPr>
      </w:pPr>
      <w:bookmarkStart w:id="40" w:name="_Ref13467132"/>
      <w:r w:rsidRPr="0038119B">
        <w:rPr>
          <w:lang w:val="en-AU"/>
        </w:rPr>
        <w:t>Preclinical safety data</w:t>
      </w:r>
      <w:bookmarkEnd w:id="40"/>
    </w:p>
    <w:p w14:paraId="22AB4334" w14:textId="77777777" w:rsidR="007D565E" w:rsidRPr="0038119B" w:rsidRDefault="00CD5483">
      <w:pPr>
        <w:rPr>
          <w:lang w:val="en-AU"/>
        </w:rPr>
      </w:pPr>
      <w:r w:rsidRPr="0038119B">
        <w:rPr>
          <w:lang w:val="en-AU"/>
        </w:rPr>
        <w:t>No studies have been performed to test the potential of cemiplimab for carcinogenicity or genotoxicity.</w:t>
      </w:r>
    </w:p>
    <w:p w14:paraId="26093C77" w14:textId="77777777" w:rsidR="007D565E" w:rsidRPr="0038119B" w:rsidRDefault="00CD5483">
      <w:pPr>
        <w:pStyle w:val="Heading1"/>
        <w:pageBreakBefore w:val="0"/>
        <w:rPr>
          <w:lang w:val="en-AU"/>
        </w:rPr>
      </w:pPr>
      <w:r w:rsidRPr="0038119B">
        <w:rPr>
          <w:lang w:val="en-AU"/>
        </w:rPr>
        <w:t>Pharmaceutical particulars</w:t>
      </w:r>
    </w:p>
    <w:p w14:paraId="4B615A2D" w14:textId="77777777" w:rsidR="007D565E" w:rsidRPr="0038119B" w:rsidRDefault="00CD5483">
      <w:pPr>
        <w:pStyle w:val="Heading2"/>
        <w:rPr>
          <w:lang w:val="en-AU"/>
        </w:rPr>
      </w:pPr>
      <w:bookmarkStart w:id="41" w:name="_Ref13466737"/>
      <w:r w:rsidRPr="0038119B">
        <w:rPr>
          <w:lang w:val="en-AU"/>
        </w:rPr>
        <w:t>List of excipients</w:t>
      </w:r>
      <w:bookmarkEnd w:id="41"/>
      <w:r w:rsidRPr="0038119B">
        <w:rPr>
          <w:lang w:val="en-AU"/>
        </w:rPr>
        <w:t xml:space="preserve"> </w:t>
      </w:r>
    </w:p>
    <w:p w14:paraId="70CD4BFB" w14:textId="77777777" w:rsidR="007D565E" w:rsidRPr="0038119B" w:rsidRDefault="00CD5483">
      <w:pPr>
        <w:rPr>
          <w:lang w:val="en-AU"/>
        </w:rPr>
      </w:pPr>
      <w:r w:rsidRPr="0038119B">
        <w:rPr>
          <w:lang w:val="en-AU"/>
        </w:rPr>
        <w:t>Histidine</w:t>
      </w:r>
    </w:p>
    <w:p w14:paraId="0EE8E202" w14:textId="77777777" w:rsidR="007D565E" w:rsidRPr="0038119B" w:rsidRDefault="00CD5483">
      <w:pPr>
        <w:rPr>
          <w:lang w:val="en-AU"/>
        </w:rPr>
      </w:pPr>
      <w:r w:rsidRPr="0038119B">
        <w:rPr>
          <w:lang w:val="en-AU"/>
        </w:rPr>
        <w:t>Histidine monohydrochloride monohydrate</w:t>
      </w:r>
    </w:p>
    <w:p w14:paraId="17332A17" w14:textId="77777777" w:rsidR="007D565E" w:rsidRPr="0038119B" w:rsidRDefault="00CD5483">
      <w:pPr>
        <w:rPr>
          <w:lang w:val="en-AU"/>
        </w:rPr>
      </w:pPr>
      <w:r w:rsidRPr="0038119B">
        <w:rPr>
          <w:lang w:val="en-AU"/>
        </w:rPr>
        <w:t>Sucrose</w:t>
      </w:r>
    </w:p>
    <w:p w14:paraId="20E27326" w14:textId="77777777" w:rsidR="007D565E" w:rsidRPr="0038119B" w:rsidRDefault="00CD5483">
      <w:pPr>
        <w:rPr>
          <w:lang w:val="en-AU"/>
        </w:rPr>
      </w:pPr>
      <w:r w:rsidRPr="0038119B">
        <w:rPr>
          <w:lang w:val="en-AU"/>
        </w:rPr>
        <w:lastRenderedPageBreak/>
        <w:t>Proline</w:t>
      </w:r>
    </w:p>
    <w:p w14:paraId="2A683486" w14:textId="77777777" w:rsidR="007D565E" w:rsidRPr="0038119B" w:rsidRDefault="00CD5483">
      <w:pPr>
        <w:rPr>
          <w:lang w:val="en-AU"/>
        </w:rPr>
      </w:pPr>
      <w:r w:rsidRPr="0038119B">
        <w:rPr>
          <w:lang w:val="en-AU"/>
        </w:rPr>
        <w:t>Polysorbate 80</w:t>
      </w:r>
    </w:p>
    <w:p w14:paraId="7AB3C999" w14:textId="77777777" w:rsidR="007D565E" w:rsidRPr="0038119B" w:rsidRDefault="00CD5483">
      <w:pPr>
        <w:rPr>
          <w:lang w:val="en-AU"/>
        </w:rPr>
      </w:pPr>
      <w:r w:rsidRPr="0038119B">
        <w:rPr>
          <w:lang w:val="en-AU"/>
        </w:rPr>
        <w:t>Water for injections</w:t>
      </w:r>
    </w:p>
    <w:p w14:paraId="5E49F960" w14:textId="77777777" w:rsidR="007D565E" w:rsidRPr="0038119B" w:rsidRDefault="00CD5483">
      <w:pPr>
        <w:pStyle w:val="Heading2"/>
        <w:rPr>
          <w:lang w:val="en-AU"/>
        </w:rPr>
      </w:pPr>
      <w:r w:rsidRPr="0038119B">
        <w:rPr>
          <w:lang w:val="en-AU"/>
        </w:rPr>
        <w:t xml:space="preserve">Incompatibilities </w:t>
      </w:r>
    </w:p>
    <w:p w14:paraId="56F0CF62" w14:textId="46CEC5B5" w:rsidR="007D565E" w:rsidRPr="0038119B" w:rsidRDefault="00CD5483">
      <w:pPr>
        <w:rPr>
          <w:lang w:val="en-AU"/>
        </w:rPr>
      </w:pPr>
      <w:r w:rsidRPr="0038119B">
        <w:rPr>
          <w:lang w:val="en-AU"/>
        </w:rPr>
        <w:t xml:space="preserve">In the absence of compatibility studies, this medicinal product must not be mixed with other medicinal products except those mentioned in Section </w:t>
      </w:r>
      <w:r w:rsidRPr="0038119B">
        <w:rPr>
          <w:color w:val="0000FF"/>
          <w:lang w:val="en-AU"/>
        </w:rPr>
        <w:fldChar w:fldCharType="begin"/>
      </w:r>
      <w:r w:rsidRPr="0038119B">
        <w:rPr>
          <w:color w:val="0000FF"/>
          <w:lang w:val="en-AU"/>
        </w:rPr>
        <w:instrText xml:space="preserve"> REF _Ref13466829 \r \h  \* MERGEFORMAT </w:instrText>
      </w:r>
      <w:r w:rsidRPr="0038119B">
        <w:rPr>
          <w:color w:val="0000FF"/>
          <w:lang w:val="en-AU"/>
        </w:rPr>
      </w:r>
      <w:r w:rsidRPr="0038119B">
        <w:rPr>
          <w:color w:val="0000FF"/>
          <w:lang w:val="en-AU"/>
        </w:rPr>
        <w:fldChar w:fldCharType="separate"/>
      </w:r>
      <w:r w:rsidR="006B35A8">
        <w:rPr>
          <w:color w:val="0000FF"/>
          <w:lang w:val="en-AU"/>
        </w:rPr>
        <w:t>6.6</w:t>
      </w:r>
      <w:r w:rsidRPr="0038119B">
        <w:rPr>
          <w:color w:val="0000FF"/>
          <w:lang w:val="en-AU"/>
        </w:rPr>
        <w:fldChar w:fldCharType="end"/>
      </w:r>
      <w:r w:rsidRPr="0038119B">
        <w:rPr>
          <w:lang w:val="en-AU"/>
        </w:rPr>
        <w:t>.</w:t>
      </w:r>
    </w:p>
    <w:p w14:paraId="6F50D7F0" w14:textId="77777777" w:rsidR="007D565E" w:rsidRPr="0038119B" w:rsidRDefault="00CD5483">
      <w:pPr>
        <w:pStyle w:val="Heading2"/>
        <w:rPr>
          <w:lang w:val="en-AU"/>
        </w:rPr>
      </w:pPr>
      <w:bookmarkStart w:id="42" w:name="_Ref15366486"/>
      <w:r w:rsidRPr="0038119B">
        <w:rPr>
          <w:lang w:val="en-AU"/>
        </w:rPr>
        <w:t>Shelf life</w:t>
      </w:r>
      <w:bookmarkEnd w:id="42"/>
      <w:r w:rsidRPr="0038119B">
        <w:rPr>
          <w:lang w:val="en-AU"/>
        </w:rPr>
        <w:t xml:space="preserve"> </w:t>
      </w:r>
    </w:p>
    <w:p w14:paraId="0B78FD43" w14:textId="77777777" w:rsidR="007D565E" w:rsidRPr="0038119B" w:rsidRDefault="00CD5483">
      <w:pPr>
        <w:pStyle w:val="Heading3"/>
        <w:numPr>
          <w:ilvl w:val="0"/>
          <w:numId w:val="0"/>
        </w:numPr>
        <w:rPr>
          <w:lang w:val="en-AU"/>
        </w:rPr>
      </w:pPr>
      <w:r w:rsidRPr="0038119B">
        <w:rPr>
          <w:lang w:val="en-AU"/>
        </w:rPr>
        <w:t>Unopened vial</w:t>
      </w:r>
    </w:p>
    <w:p w14:paraId="3B98BC8C" w14:textId="77777777" w:rsidR="007D565E" w:rsidRPr="0038119B" w:rsidRDefault="00CD5483">
      <w:pPr>
        <w:rPr>
          <w:lang w:val="en-AU"/>
        </w:rPr>
      </w:pPr>
      <w:r w:rsidRPr="0038119B">
        <w:rPr>
          <w:lang w:val="en-AU"/>
        </w:rPr>
        <w:t>30 months</w:t>
      </w:r>
    </w:p>
    <w:p w14:paraId="6D860C17" w14:textId="77777777" w:rsidR="007D565E" w:rsidRPr="0038119B" w:rsidRDefault="00CD5483">
      <w:pPr>
        <w:pStyle w:val="Heading3"/>
        <w:numPr>
          <w:ilvl w:val="0"/>
          <w:numId w:val="0"/>
        </w:numPr>
        <w:rPr>
          <w:lang w:val="en-AU"/>
        </w:rPr>
      </w:pPr>
      <w:r w:rsidRPr="0038119B">
        <w:rPr>
          <w:lang w:val="en-AU"/>
        </w:rPr>
        <w:t>After opening</w:t>
      </w:r>
    </w:p>
    <w:p w14:paraId="4A8AC843" w14:textId="254899C9" w:rsidR="007D565E" w:rsidRPr="0038119B" w:rsidRDefault="00CD5483">
      <w:pPr>
        <w:rPr>
          <w:color w:val="auto"/>
          <w:u w:val="double"/>
          <w:lang w:val="en-AU"/>
        </w:rPr>
      </w:pPr>
      <w:r w:rsidRPr="0038119B">
        <w:rPr>
          <w:lang w:val="en-AU"/>
        </w:rPr>
        <w:t xml:space="preserve">Once opened, the medicinal product should be diluted and </w:t>
      </w:r>
      <w:r w:rsidRPr="0038119B">
        <w:rPr>
          <w:color w:val="auto"/>
          <w:lang w:val="en-AU"/>
        </w:rPr>
        <w:t xml:space="preserve">infused immediately (see Section </w:t>
      </w:r>
      <w:r w:rsidRPr="0038119B">
        <w:rPr>
          <w:color w:val="0000FF"/>
          <w:lang w:val="en-AU"/>
        </w:rPr>
        <w:fldChar w:fldCharType="begin"/>
      </w:r>
      <w:r w:rsidRPr="0038119B">
        <w:rPr>
          <w:color w:val="0000FF"/>
          <w:lang w:val="en-AU"/>
        </w:rPr>
        <w:instrText xml:space="preserve"> REF _Ref13466829 \r \h  \* MERGEFORMAT </w:instrText>
      </w:r>
      <w:r w:rsidRPr="0038119B">
        <w:rPr>
          <w:color w:val="0000FF"/>
          <w:lang w:val="en-AU"/>
        </w:rPr>
      </w:r>
      <w:r w:rsidRPr="0038119B">
        <w:rPr>
          <w:color w:val="0000FF"/>
          <w:lang w:val="en-AU"/>
        </w:rPr>
        <w:fldChar w:fldCharType="separate"/>
      </w:r>
      <w:r w:rsidR="006B35A8">
        <w:rPr>
          <w:color w:val="0000FF"/>
          <w:lang w:val="en-AU"/>
        </w:rPr>
        <w:t>6.6</w:t>
      </w:r>
      <w:r w:rsidRPr="0038119B">
        <w:rPr>
          <w:color w:val="0000FF"/>
          <w:lang w:val="en-AU"/>
        </w:rPr>
        <w:fldChar w:fldCharType="end"/>
      </w:r>
      <w:r w:rsidRPr="0038119B">
        <w:rPr>
          <w:color w:val="auto"/>
          <w:lang w:val="en-AU"/>
        </w:rPr>
        <w:t xml:space="preserve"> for instructions on dilution of the medicinal product before administration).</w:t>
      </w:r>
    </w:p>
    <w:p w14:paraId="0FE96F36" w14:textId="77777777" w:rsidR="007D565E" w:rsidRPr="0038119B" w:rsidRDefault="00CD5483">
      <w:pPr>
        <w:pStyle w:val="Heading3"/>
        <w:numPr>
          <w:ilvl w:val="0"/>
          <w:numId w:val="0"/>
        </w:numPr>
        <w:rPr>
          <w:lang w:val="en-AU"/>
        </w:rPr>
      </w:pPr>
      <w:r w:rsidRPr="0038119B">
        <w:rPr>
          <w:lang w:val="en-AU"/>
        </w:rPr>
        <w:t>After preparation of infusion</w:t>
      </w:r>
    </w:p>
    <w:p w14:paraId="00A5390D" w14:textId="6B2AC048" w:rsidR="006245B2" w:rsidRPr="0038119B" w:rsidRDefault="006245B2">
      <w:pPr>
        <w:rPr>
          <w:color w:val="auto"/>
          <w:lang w:val="en-AU"/>
        </w:rPr>
      </w:pPr>
      <w:bookmarkStart w:id="43" w:name="_Hlk32220597"/>
      <w:r w:rsidRPr="0038119B">
        <w:rPr>
          <w:color w:val="auto"/>
          <w:lang w:val="en-AU"/>
        </w:rPr>
        <w:t>Libtayo does not contain a preservative.</w:t>
      </w:r>
    </w:p>
    <w:p w14:paraId="095C1541" w14:textId="2152CD93" w:rsidR="007D565E" w:rsidRPr="0038119B" w:rsidRDefault="00CD5483">
      <w:pPr>
        <w:rPr>
          <w:color w:val="auto"/>
          <w:lang w:val="en-AU"/>
        </w:rPr>
      </w:pPr>
      <w:r w:rsidRPr="0038119B">
        <w:rPr>
          <w:color w:val="auto"/>
          <w:lang w:val="en-AU"/>
        </w:rPr>
        <w:t>Once prepared, to reduce microbiological hazard administer the diluted solution immediately. If diluted solution is not administered immediately, it may be stored temporarily either:</w:t>
      </w:r>
    </w:p>
    <w:p w14:paraId="2CA81FA7" w14:textId="2B4CA4D0" w:rsidR="007D565E" w:rsidRPr="0038119B" w:rsidRDefault="00CD5483">
      <w:pPr>
        <w:pStyle w:val="ListBulletLevel1"/>
        <w:rPr>
          <w:color w:val="auto"/>
          <w:lang w:val="en-AU"/>
        </w:rPr>
      </w:pPr>
      <w:r w:rsidRPr="0038119B">
        <w:rPr>
          <w:color w:val="auto"/>
          <w:lang w:val="en-AU"/>
        </w:rPr>
        <w:t xml:space="preserve">at room temperature up to 25°C for no more than 8 hours from the time of infusion preparation to the end of infusion. </w:t>
      </w:r>
    </w:p>
    <w:p w14:paraId="48D3169E" w14:textId="77777777" w:rsidR="007D565E" w:rsidRPr="0038119B" w:rsidRDefault="00CD5483">
      <w:pPr>
        <w:pStyle w:val="ListBulletLevel1"/>
        <w:numPr>
          <w:ilvl w:val="0"/>
          <w:numId w:val="0"/>
        </w:numPr>
        <w:ind w:left="720"/>
        <w:rPr>
          <w:color w:val="auto"/>
          <w:lang w:val="en-AU"/>
        </w:rPr>
      </w:pPr>
      <w:r w:rsidRPr="0038119B">
        <w:rPr>
          <w:color w:val="auto"/>
          <w:lang w:val="en-AU"/>
        </w:rPr>
        <w:t>Or</w:t>
      </w:r>
    </w:p>
    <w:p w14:paraId="65179A24" w14:textId="77777777" w:rsidR="007D565E" w:rsidRPr="0038119B" w:rsidRDefault="00CD5483">
      <w:pPr>
        <w:pStyle w:val="ListBulletLevel1"/>
        <w:rPr>
          <w:lang w:val="en-AU"/>
        </w:rPr>
      </w:pPr>
      <w:r w:rsidRPr="0038119B">
        <w:rPr>
          <w:color w:val="auto"/>
          <w:lang w:val="en-AU"/>
        </w:rPr>
        <w:t>under refrigeration at 2°C to 8°C for no more than 24 hours from the time of infusion preparation to the end of infusion. Do not freeze. Allow the diluted solution to come to room temperature prior to administration</w:t>
      </w:r>
      <w:r w:rsidRPr="0038119B">
        <w:rPr>
          <w:lang w:val="en-AU"/>
        </w:rPr>
        <w:t>.</w:t>
      </w:r>
    </w:p>
    <w:bookmarkEnd w:id="43"/>
    <w:p w14:paraId="5AEA9A43" w14:textId="77777777" w:rsidR="007D565E" w:rsidRPr="0038119B" w:rsidRDefault="00CD5483">
      <w:pPr>
        <w:pStyle w:val="Heading2"/>
        <w:rPr>
          <w:lang w:val="en-AU"/>
        </w:rPr>
      </w:pPr>
      <w:r w:rsidRPr="0038119B">
        <w:rPr>
          <w:lang w:val="en-AU"/>
        </w:rPr>
        <w:t xml:space="preserve">Special precautions for storage </w:t>
      </w:r>
    </w:p>
    <w:p w14:paraId="752CE65C" w14:textId="77777777" w:rsidR="007D565E" w:rsidRPr="0038119B" w:rsidRDefault="00CD5483">
      <w:pPr>
        <w:pStyle w:val="Heading3"/>
        <w:numPr>
          <w:ilvl w:val="0"/>
          <w:numId w:val="0"/>
        </w:numPr>
        <w:rPr>
          <w:lang w:val="en-AU"/>
        </w:rPr>
      </w:pPr>
      <w:r w:rsidRPr="0038119B">
        <w:rPr>
          <w:lang w:val="en-AU"/>
        </w:rPr>
        <w:t>Unopened vial</w:t>
      </w:r>
    </w:p>
    <w:p w14:paraId="568E5873" w14:textId="77777777" w:rsidR="007D565E" w:rsidRPr="0038119B" w:rsidRDefault="00CD5483">
      <w:pPr>
        <w:rPr>
          <w:lang w:val="en-AU"/>
        </w:rPr>
      </w:pPr>
      <w:r w:rsidRPr="0038119B">
        <w:rPr>
          <w:lang w:val="en-AU"/>
        </w:rPr>
        <w:t>Store in a refrigerator (2°C to 8°C).</w:t>
      </w:r>
    </w:p>
    <w:p w14:paraId="2DE40587" w14:textId="77777777" w:rsidR="007D565E" w:rsidRPr="0038119B" w:rsidRDefault="00CD5483">
      <w:pPr>
        <w:rPr>
          <w:lang w:val="en-AU"/>
        </w:rPr>
      </w:pPr>
      <w:r w:rsidRPr="0038119B">
        <w:rPr>
          <w:lang w:val="en-AU"/>
        </w:rPr>
        <w:t>Do not freeze.</w:t>
      </w:r>
    </w:p>
    <w:p w14:paraId="1FB4C60A" w14:textId="77777777" w:rsidR="007D565E" w:rsidRPr="0038119B" w:rsidRDefault="00CD5483">
      <w:pPr>
        <w:rPr>
          <w:lang w:val="en-AU"/>
        </w:rPr>
      </w:pPr>
      <w:r w:rsidRPr="0038119B">
        <w:rPr>
          <w:lang w:val="en-AU"/>
        </w:rPr>
        <w:t xml:space="preserve">Store in the original carton </w:t>
      </w:r>
      <w:proofErr w:type="gramStart"/>
      <w:r w:rsidRPr="0038119B">
        <w:rPr>
          <w:lang w:val="en-AU"/>
        </w:rPr>
        <w:t>in order to</w:t>
      </w:r>
      <w:proofErr w:type="gramEnd"/>
      <w:r w:rsidRPr="0038119B">
        <w:rPr>
          <w:lang w:val="en-AU"/>
        </w:rPr>
        <w:t xml:space="preserve"> protect from light.</w:t>
      </w:r>
    </w:p>
    <w:p w14:paraId="751E37BC" w14:textId="5D9DE47A" w:rsidR="007D565E" w:rsidRPr="0038119B" w:rsidRDefault="00CD5483">
      <w:pPr>
        <w:rPr>
          <w:lang w:val="en-AU"/>
        </w:rPr>
      </w:pPr>
      <w:r w:rsidRPr="0038119B">
        <w:rPr>
          <w:lang w:val="en-AU"/>
        </w:rPr>
        <w:lastRenderedPageBreak/>
        <w:t xml:space="preserve">For storage conditions after first opening or dilution of the medicinal product, see Section </w:t>
      </w:r>
      <w:r w:rsidRPr="0038119B">
        <w:rPr>
          <w:color w:val="0000FF"/>
          <w:lang w:val="en-AU"/>
        </w:rPr>
        <w:fldChar w:fldCharType="begin"/>
      </w:r>
      <w:r w:rsidRPr="0038119B">
        <w:rPr>
          <w:color w:val="0000FF"/>
          <w:lang w:val="en-AU"/>
        </w:rPr>
        <w:instrText xml:space="preserve"> REF _Ref15366486 \r \h  \* MERGEFORMAT </w:instrText>
      </w:r>
      <w:r w:rsidRPr="0038119B">
        <w:rPr>
          <w:color w:val="0000FF"/>
          <w:lang w:val="en-AU"/>
        </w:rPr>
      </w:r>
      <w:r w:rsidRPr="0038119B">
        <w:rPr>
          <w:color w:val="0000FF"/>
          <w:lang w:val="en-AU"/>
        </w:rPr>
        <w:fldChar w:fldCharType="separate"/>
      </w:r>
      <w:r w:rsidR="006B35A8">
        <w:rPr>
          <w:color w:val="0000FF"/>
          <w:lang w:val="en-AU"/>
        </w:rPr>
        <w:t>6.3</w:t>
      </w:r>
      <w:r w:rsidRPr="0038119B">
        <w:rPr>
          <w:color w:val="0000FF"/>
          <w:lang w:val="en-AU"/>
        </w:rPr>
        <w:fldChar w:fldCharType="end"/>
      </w:r>
      <w:r w:rsidRPr="0038119B">
        <w:rPr>
          <w:lang w:val="en-AU"/>
        </w:rPr>
        <w:t>.</w:t>
      </w:r>
    </w:p>
    <w:p w14:paraId="234D19CA" w14:textId="77777777" w:rsidR="007D565E" w:rsidRPr="0038119B" w:rsidRDefault="00CD5483">
      <w:pPr>
        <w:pStyle w:val="Heading2"/>
        <w:rPr>
          <w:lang w:val="en-AU"/>
        </w:rPr>
      </w:pPr>
      <w:r w:rsidRPr="0038119B">
        <w:rPr>
          <w:lang w:val="en-AU"/>
        </w:rPr>
        <w:t xml:space="preserve">Nature and contents of container </w:t>
      </w:r>
    </w:p>
    <w:p w14:paraId="5FE322D6" w14:textId="6DDDFC0A" w:rsidR="007D565E" w:rsidRPr="0038119B" w:rsidRDefault="00CD5483">
      <w:pPr>
        <w:rPr>
          <w:snapToGrid w:val="0"/>
          <w:lang w:val="en-AU"/>
        </w:rPr>
      </w:pPr>
      <w:r w:rsidRPr="0038119B">
        <w:rPr>
          <w:lang w:val="en-AU"/>
        </w:rPr>
        <w:t xml:space="preserve">LIBTAYO is provided in a 10 mL clear Type 1 glass vial, with a grey </w:t>
      </w:r>
      <w:proofErr w:type="spellStart"/>
      <w:r w:rsidRPr="0038119B">
        <w:rPr>
          <w:lang w:val="en-AU"/>
        </w:rPr>
        <w:t>chlorobutyl</w:t>
      </w:r>
      <w:proofErr w:type="spellEnd"/>
      <w:r w:rsidRPr="0038119B">
        <w:rPr>
          <w:lang w:val="en-AU"/>
        </w:rPr>
        <w:t xml:space="preserve"> stopper with </w:t>
      </w:r>
      <w:proofErr w:type="spellStart"/>
      <w:r w:rsidRPr="0038119B">
        <w:rPr>
          <w:lang w:val="en-AU"/>
        </w:rPr>
        <w:t>FluroTec</w:t>
      </w:r>
      <w:proofErr w:type="spellEnd"/>
      <w:r w:rsidRPr="0038119B">
        <w:rPr>
          <w:lang w:val="en-AU"/>
        </w:rPr>
        <w:t xml:space="preserve"> coating and seal cap with a flip-off button.</w:t>
      </w:r>
    </w:p>
    <w:p w14:paraId="27BC5E62" w14:textId="77777777" w:rsidR="007D565E" w:rsidRPr="0038119B" w:rsidRDefault="00CD5483">
      <w:pPr>
        <w:rPr>
          <w:snapToGrid w:val="0"/>
          <w:lang w:val="en-AU"/>
        </w:rPr>
      </w:pPr>
      <w:r w:rsidRPr="0038119B">
        <w:rPr>
          <w:snapToGrid w:val="0"/>
          <w:lang w:val="en-AU"/>
        </w:rPr>
        <w:t>Each carton contains 1 vial.</w:t>
      </w:r>
    </w:p>
    <w:p w14:paraId="007DAC00" w14:textId="77777777" w:rsidR="007D565E" w:rsidRPr="0038119B" w:rsidRDefault="00CD5483">
      <w:pPr>
        <w:pStyle w:val="Heading2"/>
        <w:rPr>
          <w:lang w:val="en-AU"/>
        </w:rPr>
      </w:pPr>
      <w:bookmarkStart w:id="44" w:name="_Ref13466829"/>
      <w:r w:rsidRPr="0038119B">
        <w:rPr>
          <w:lang w:val="en-AU"/>
        </w:rPr>
        <w:t>Special precautions for disposal</w:t>
      </w:r>
      <w:bookmarkEnd w:id="44"/>
      <w:r w:rsidRPr="0038119B">
        <w:rPr>
          <w:lang w:val="en-AU"/>
        </w:rPr>
        <w:t xml:space="preserve"> </w:t>
      </w:r>
    </w:p>
    <w:p w14:paraId="703C19AB" w14:textId="77777777" w:rsidR="007D565E" w:rsidRPr="0038119B" w:rsidRDefault="00CD5483">
      <w:pPr>
        <w:pStyle w:val="Heading3"/>
        <w:numPr>
          <w:ilvl w:val="0"/>
          <w:numId w:val="0"/>
        </w:numPr>
        <w:rPr>
          <w:lang w:val="en-AU"/>
        </w:rPr>
      </w:pPr>
      <w:r w:rsidRPr="0038119B">
        <w:rPr>
          <w:lang w:val="en-AU"/>
        </w:rPr>
        <w:t>Preparation and administration</w:t>
      </w:r>
    </w:p>
    <w:p w14:paraId="4CB1B2A0" w14:textId="77777777" w:rsidR="007D565E" w:rsidRPr="0038119B" w:rsidRDefault="00CD5483">
      <w:pPr>
        <w:pStyle w:val="ListBulletLevel1"/>
        <w:rPr>
          <w:lang w:val="en-AU"/>
        </w:rPr>
      </w:pPr>
      <w:r w:rsidRPr="0038119B">
        <w:rPr>
          <w:lang w:val="en-AU"/>
        </w:rPr>
        <w:t>Visually inspect medicinal product for particulate matter and discoloration prior to administration. LIBTAYO is a clear to slightly opalescent, colourless to pale yellow solution that may contain trace amounts of translucent to white particles</w:t>
      </w:r>
    </w:p>
    <w:p w14:paraId="581E9318" w14:textId="5C09DE97" w:rsidR="007D565E" w:rsidRPr="0038119B" w:rsidRDefault="00CD5483">
      <w:pPr>
        <w:pStyle w:val="ListBulletLevel1"/>
        <w:rPr>
          <w:lang w:val="en-AU"/>
        </w:rPr>
      </w:pPr>
      <w:r w:rsidRPr="0038119B">
        <w:rPr>
          <w:lang w:val="en-AU"/>
        </w:rPr>
        <w:t>Discard the vial if the solution is cloudy, discoloured or contains extraneous particulate matter other than a few translucent</w:t>
      </w:r>
      <w:r w:rsidR="00953F82" w:rsidRPr="0038119B">
        <w:rPr>
          <w:color w:val="FF0000"/>
          <w:lang w:val="en-AU"/>
        </w:rPr>
        <w:t xml:space="preserve"> </w:t>
      </w:r>
      <w:r w:rsidRPr="0038119B">
        <w:rPr>
          <w:lang w:val="en-AU"/>
        </w:rPr>
        <w:t>to</w:t>
      </w:r>
      <w:r w:rsidR="00953F82" w:rsidRPr="0038119B">
        <w:rPr>
          <w:lang w:val="en-AU"/>
        </w:rPr>
        <w:t xml:space="preserve"> </w:t>
      </w:r>
      <w:r w:rsidRPr="0038119B">
        <w:rPr>
          <w:lang w:val="en-AU"/>
        </w:rPr>
        <w:t>white particles.</w:t>
      </w:r>
    </w:p>
    <w:p w14:paraId="27FDD9EF" w14:textId="77777777" w:rsidR="007D565E" w:rsidRPr="0038119B" w:rsidRDefault="00CD5483">
      <w:pPr>
        <w:pStyle w:val="ListBulletLevel1"/>
        <w:rPr>
          <w:lang w:val="en-AU"/>
        </w:rPr>
      </w:pPr>
      <w:r w:rsidRPr="0038119B">
        <w:rPr>
          <w:lang w:val="en-AU"/>
        </w:rPr>
        <w:t>Do not shake the vial.</w:t>
      </w:r>
    </w:p>
    <w:p w14:paraId="509E73F9" w14:textId="191ACC60" w:rsidR="007D565E" w:rsidRPr="0038119B" w:rsidRDefault="00CD5483">
      <w:pPr>
        <w:pStyle w:val="ListBulletLevel1"/>
        <w:rPr>
          <w:lang w:val="en-AU"/>
        </w:rPr>
      </w:pPr>
      <w:r w:rsidRPr="0038119B">
        <w:rPr>
          <w:lang w:val="en-AU"/>
        </w:rPr>
        <w:t>Withdraw 7 mL (350 mg) from the vial of LIBTAYO and transfer into an intravenous infusion bag containing sodium chloride 9 mg/mL (0.9%) solution for injection or glucose 50 mg/mL (5%) solution for injection. Mix the diluted solution by gentle inversion. Do not shake the solution. The final concentration of the diluted solution should be between 1 mg/mL to 20 mg/mL.</w:t>
      </w:r>
    </w:p>
    <w:p w14:paraId="69D4029A" w14:textId="365B7FC7" w:rsidR="007D565E" w:rsidRPr="0038119B" w:rsidRDefault="00CD5483">
      <w:pPr>
        <w:pStyle w:val="ListBulletLevel1"/>
        <w:rPr>
          <w:u w:val="single"/>
          <w:lang w:val="en-AU"/>
        </w:rPr>
      </w:pPr>
      <w:r w:rsidRPr="0038119B">
        <w:rPr>
          <w:lang w:val="en-AU"/>
        </w:rPr>
        <w:t>LIBTAYO is administered by intravenous infusion over 30 minutes through an intravenous line containing a sterile, non</w:t>
      </w:r>
      <w:r w:rsidRPr="0038119B">
        <w:rPr>
          <w:lang w:val="en-AU"/>
        </w:rPr>
        <w:noBreakHyphen/>
        <w:t>pyrogenic, low</w:t>
      </w:r>
      <w:r w:rsidRPr="0038119B">
        <w:rPr>
          <w:lang w:val="en-AU"/>
        </w:rPr>
        <w:noBreakHyphen/>
        <w:t>protein binding, in-line or add</w:t>
      </w:r>
      <w:r w:rsidRPr="0038119B">
        <w:rPr>
          <w:lang w:val="en-AU"/>
        </w:rPr>
        <w:noBreakHyphen/>
        <w:t xml:space="preserve">on filter (0.2 micron to </w:t>
      </w:r>
      <w:proofErr w:type="gramStart"/>
      <w:r w:rsidRPr="0038119B">
        <w:rPr>
          <w:lang w:val="en-AU"/>
        </w:rPr>
        <w:t>5 micron</w:t>
      </w:r>
      <w:proofErr w:type="gramEnd"/>
      <w:r w:rsidRPr="0038119B">
        <w:rPr>
          <w:lang w:val="en-AU"/>
        </w:rPr>
        <w:t xml:space="preserve"> pore size).</w:t>
      </w:r>
    </w:p>
    <w:p w14:paraId="0574C469" w14:textId="77777777" w:rsidR="007D565E" w:rsidRPr="00F17760" w:rsidRDefault="00CD5483">
      <w:pPr>
        <w:pStyle w:val="ListBulletLevel1"/>
        <w:rPr>
          <w:color w:val="auto"/>
          <w:lang w:val="en-AU"/>
        </w:rPr>
      </w:pPr>
      <w:r w:rsidRPr="0038119B">
        <w:rPr>
          <w:lang w:val="en-AU"/>
        </w:rPr>
        <w:t xml:space="preserve">Do not co-administer other medicinal </w:t>
      </w:r>
      <w:r w:rsidRPr="00F17760">
        <w:rPr>
          <w:color w:val="auto"/>
          <w:lang w:val="en-AU"/>
        </w:rPr>
        <w:t>products through the same infusion line.</w:t>
      </w:r>
    </w:p>
    <w:p w14:paraId="6B9FAA49" w14:textId="77777777" w:rsidR="007D565E" w:rsidRPr="00F17760" w:rsidRDefault="00CD5483">
      <w:pPr>
        <w:rPr>
          <w:i/>
          <w:color w:val="auto"/>
          <w:lang w:val="en-AU"/>
        </w:rPr>
      </w:pPr>
      <w:r w:rsidRPr="00F17760">
        <w:rPr>
          <w:color w:val="auto"/>
          <w:lang w:val="en-AU"/>
        </w:rPr>
        <w:t>LIBTAYO is for single use only. In Australia, any unused medicine or waste material should be disposed of by taking to your local pharmacy.</w:t>
      </w:r>
    </w:p>
    <w:p w14:paraId="6754B0EC" w14:textId="77777777" w:rsidR="007D565E" w:rsidRPr="00F17760" w:rsidRDefault="00CD5483">
      <w:pPr>
        <w:pStyle w:val="Heading1"/>
        <w:pageBreakBefore w:val="0"/>
        <w:rPr>
          <w:lang w:val="en-AU"/>
        </w:rPr>
      </w:pPr>
      <w:r w:rsidRPr="00F17760">
        <w:rPr>
          <w:lang w:val="en-AU"/>
        </w:rPr>
        <w:t>Medicine schedule (Poisons Standard)</w:t>
      </w:r>
    </w:p>
    <w:p w14:paraId="3714380F" w14:textId="77777777" w:rsidR="007D565E" w:rsidRPr="00F17760" w:rsidRDefault="00CD5483">
      <w:pPr>
        <w:rPr>
          <w:color w:val="auto"/>
          <w:lang w:val="en-AU"/>
        </w:rPr>
      </w:pPr>
      <w:r w:rsidRPr="00F17760">
        <w:rPr>
          <w:color w:val="auto"/>
          <w:lang w:val="en-AU"/>
        </w:rPr>
        <w:t>Schedule 4 (Prescription Only Medicine)</w:t>
      </w:r>
    </w:p>
    <w:p w14:paraId="1DB767A0" w14:textId="77777777" w:rsidR="007D565E" w:rsidRPr="00F17760" w:rsidRDefault="00CD5483">
      <w:pPr>
        <w:pStyle w:val="Heading1"/>
        <w:pageBreakBefore w:val="0"/>
        <w:rPr>
          <w:lang w:val="en-AU"/>
        </w:rPr>
      </w:pPr>
      <w:r w:rsidRPr="00F17760">
        <w:rPr>
          <w:lang w:val="en-AU"/>
        </w:rPr>
        <w:t>Sponsor</w:t>
      </w:r>
    </w:p>
    <w:p w14:paraId="200F263D" w14:textId="77777777" w:rsidR="007D565E" w:rsidRPr="00F17760" w:rsidRDefault="00CD5483">
      <w:pPr>
        <w:rPr>
          <w:color w:val="auto"/>
          <w:lang w:val="en-AU"/>
        </w:rPr>
      </w:pPr>
      <w:r w:rsidRPr="00F17760">
        <w:rPr>
          <w:color w:val="auto"/>
          <w:lang w:val="en-AU"/>
        </w:rPr>
        <w:t>sanofi-aventis australia pty ltd</w:t>
      </w:r>
    </w:p>
    <w:p w14:paraId="003AC616" w14:textId="77777777" w:rsidR="007D565E" w:rsidRPr="00F17760" w:rsidRDefault="00CD5483">
      <w:pPr>
        <w:rPr>
          <w:color w:val="auto"/>
          <w:lang w:val="en-AU"/>
        </w:rPr>
      </w:pPr>
      <w:r w:rsidRPr="00F17760">
        <w:rPr>
          <w:color w:val="auto"/>
          <w:lang w:val="en-AU"/>
        </w:rPr>
        <w:t>12-24 Talavera Road</w:t>
      </w:r>
      <w:r w:rsidRPr="00F17760">
        <w:rPr>
          <w:color w:val="auto"/>
          <w:lang w:val="en-AU"/>
        </w:rPr>
        <w:br/>
        <w:t>Macquarie Park NSW 2113</w:t>
      </w:r>
      <w:r w:rsidRPr="00F17760">
        <w:rPr>
          <w:color w:val="auto"/>
          <w:lang w:val="en-AU"/>
        </w:rPr>
        <w:br/>
        <w:t>Tel: 1800 818 806</w:t>
      </w:r>
    </w:p>
    <w:p w14:paraId="69CDD7E3" w14:textId="77777777" w:rsidR="007D565E" w:rsidRPr="00F17760" w:rsidRDefault="00CD5483">
      <w:pPr>
        <w:pStyle w:val="Heading1"/>
        <w:pageBreakBefore w:val="0"/>
        <w:rPr>
          <w:lang w:val="en-AU"/>
        </w:rPr>
      </w:pPr>
      <w:r w:rsidRPr="00F17760">
        <w:rPr>
          <w:lang w:val="en-AU"/>
        </w:rPr>
        <w:lastRenderedPageBreak/>
        <w:t xml:space="preserve">Date of first approval  </w:t>
      </w:r>
    </w:p>
    <w:p w14:paraId="18E00B84" w14:textId="26407567" w:rsidR="007D565E" w:rsidRPr="00F17760" w:rsidRDefault="00CE0C17">
      <w:pPr>
        <w:rPr>
          <w:color w:val="auto"/>
          <w:lang w:val="en-AU"/>
        </w:rPr>
      </w:pPr>
      <w:r w:rsidRPr="00F17760">
        <w:rPr>
          <w:color w:val="auto"/>
          <w:lang w:val="en-AU"/>
        </w:rPr>
        <w:t>17</w:t>
      </w:r>
      <w:r w:rsidR="00113584" w:rsidRPr="00F17760">
        <w:rPr>
          <w:color w:val="auto"/>
          <w:lang w:val="en-AU"/>
        </w:rPr>
        <w:t xml:space="preserve"> July 2020</w:t>
      </w:r>
    </w:p>
    <w:p w14:paraId="662685F7" w14:textId="77777777" w:rsidR="007D565E" w:rsidRPr="00F17760" w:rsidRDefault="00CD5483">
      <w:pPr>
        <w:pStyle w:val="Heading1"/>
        <w:pageBreakBefore w:val="0"/>
        <w:rPr>
          <w:lang w:val="en-AU"/>
        </w:rPr>
      </w:pPr>
      <w:r w:rsidRPr="00F17760">
        <w:rPr>
          <w:lang w:val="en-AU"/>
        </w:rPr>
        <w:t xml:space="preserve">Date of revision </w:t>
      </w:r>
    </w:p>
    <w:p w14:paraId="6EEE4BB7" w14:textId="50898983" w:rsidR="007D565E" w:rsidRPr="00F17760" w:rsidRDefault="003720D4">
      <w:pPr>
        <w:rPr>
          <w:color w:val="auto"/>
          <w:lang w:val="en-AU"/>
        </w:rPr>
      </w:pPr>
      <w:r>
        <w:rPr>
          <w:color w:val="auto"/>
          <w:lang w:val="en-AU"/>
        </w:rPr>
        <w:t>09 December 2021</w:t>
      </w:r>
    </w:p>
    <w:p w14:paraId="46DB9667" w14:textId="77777777" w:rsidR="007D565E" w:rsidRPr="00F17760" w:rsidRDefault="00CD5483">
      <w:pPr>
        <w:pStyle w:val="Heading2"/>
        <w:numPr>
          <w:ilvl w:val="0"/>
          <w:numId w:val="0"/>
        </w:numPr>
        <w:ind w:left="680" w:hanging="680"/>
        <w:rPr>
          <w:lang w:val="en-AU"/>
        </w:rPr>
      </w:pPr>
      <w:r w:rsidRPr="00F17760">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70"/>
        <w:gridCol w:w="7636"/>
      </w:tblGrid>
      <w:tr w:rsidR="00F17760" w:rsidRPr="00F17760" w14:paraId="48C02304" w14:textId="77777777" w:rsidTr="001E03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F2F2F2" w:themeFill="background1" w:themeFillShade="F2"/>
            <w:vAlign w:val="center"/>
          </w:tcPr>
          <w:p w14:paraId="31A3236C" w14:textId="77777777" w:rsidR="001E039C" w:rsidRPr="00F17760" w:rsidRDefault="001E039C" w:rsidP="00BF644B">
            <w:pPr>
              <w:rPr>
                <w:color w:val="auto"/>
                <w:sz w:val="20"/>
                <w:lang w:val="en-AU"/>
              </w:rPr>
            </w:pPr>
            <w:r w:rsidRPr="00F17760">
              <w:rPr>
                <w:color w:val="auto"/>
                <w:sz w:val="20"/>
                <w:lang w:val="en-AU"/>
              </w:rPr>
              <w:t>Section Changed</w:t>
            </w:r>
          </w:p>
        </w:tc>
        <w:tc>
          <w:tcPr>
            <w:tcW w:w="7636" w:type="dxa"/>
            <w:shd w:val="clear" w:color="auto" w:fill="F2F2F2" w:themeFill="background1" w:themeFillShade="F2"/>
            <w:vAlign w:val="center"/>
          </w:tcPr>
          <w:p w14:paraId="5A92B1E9" w14:textId="77777777" w:rsidR="001E039C" w:rsidRPr="00F17760" w:rsidRDefault="001E039C" w:rsidP="00BF644B">
            <w:pPr>
              <w:cnfStyle w:val="100000000000" w:firstRow="1" w:lastRow="0" w:firstColumn="0" w:lastColumn="0" w:oddVBand="0" w:evenVBand="0" w:oddHBand="0" w:evenHBand="0" w:firstRowFirstColumn="0" w:firstRowLastColumn="0" w:lastRowFirstColumn="0" w:lastRowLastColumn="0"/>
              <w:rPr>
                <w:color w:val="auto"/>
                <w:sz w:val="20"/>
                <w:lang w:val="en-AU"/>
              </w:rPr>
            </w:pPr>
            <w:r w:rsidRPr="00F17760">
              <w:rPr>
                <w:color w:val="auto"/>
                <w:sz w:val="20"/>
                <w:lang w:val="en-AU"/>
              </w:rPr>
              <w:t>Summary of new information</w:t>
            </w:r>
          </w:p>
        </w:tc>
      </w:tr>
      <w:tr w:rsidR="00982B01" w:rsidRPr="00F17760" w14:paraId="0C8BC279"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0E0C3576" w14:textId="13BA6483" w:rsidR="00982B01" w:rsidRPr="007451A5" w:rsidRDefault="00982B01" w:rsidP="003720D4">
            <w:pPr>
              <w:spacing w:before="0"/>
              <w:rPr>
                <w:b w:val="0"/>
                <w:bCs w:val="0"/>
                <w:color w:val="auto"/>
                <w:lang w:val="en-AU"/>
              </w:rPr>
            </w:pPr>
            <w:r w:rsidRPr="007451A5">
              <w:rPr>
                <w:b w:val="0"/>
                <w:bCs w:val="0"/>
                <w:color w:val="auto"/>
                <w:lang w:val="en-AU"/>
              </w:rPr>
              <w:t>4.1</w:t>
            </w:r>
          </w:p>
        </w:tc>
        <w:tc>
          <w:tcPr>
            <w:tcW w:w="7636" w:type="dxa"/>
            <w:vAlign w:val="center"/>
          </w:tcPr>
          <w:p w14:paraId="056B9DA7" w14:textId="0927A001" w:rsidR="00982B01" w:rsidRPr="007451A5"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7451A5">
              <w:rPr>
                <w:color w:val="auto"/>
                <w:lang w:val="en-AU"/>
              </w:rPr>
              <w:t>Addition of NSCLC and BBC indications</w:t>
            </w:r>
          </w:p>
        </w:tc>
      </w:tr>
      <w:tr w:rsidR="00982B01" w:rsidRPr="00F17760" w14:paraId="07E15B0B"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21159DA2" w14:textId="7AFCDBCA" w:rsidR="00982B01" w:rsidRPr="007451A5" w:rsidRDefault="00982B01" w:rsidP="003720D4">
            <w:pPr>
              <w:spacing w:before="0"/>
              <w:rPr>
                <w:b w:val="0"/>
                <w:bCs w:val="0"/>
                <w:color w:val="auto"/>
                <w:lang w:val="en-AU"/>
              </w:rPr>
            </w:pPr>
            <w:r w:rsidRPr="007451A5">
              <w:rPr>
                <w:b w:val="0"/>
                <w:bCs w:val="0"/>
                <w:color w:val="auto"/>
                <w:lang w:val="en-AU"/>
              </w:rPr>
              <w:t>4.2</w:t>
            </w:r>
          </w:p>
        </w:tc>
        <w:tc>
          <w:tcPr>
            <w:tcW w:w="7636" w:type="dxa"/>
            <w:vAlign w:val="center"/>
          </w:tcPr>
          <w:p w14:paraId="39FE4E15" w14:textId="77777777" w:rsidR="00982B01" w:rsidRPr="007451A5"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7451A5">
              <w:rPr>
                <w:color w:val="auto"/>
                <w:lang w:val="en-AU"/>
              </w:rPr>
              <w:t>Addition of NSCLC patient selection information</w:t>
            </w:r>
          </w:p>
          <w:p w14:paraId="554D0C65" w14:textId="54A85EE3"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7451A5">
              <w:rPr>
                <w:color w:val="auto"/>
                <w:lang w:val="en-AU"/>
              </w:rPr>
              <w:t>Treatment modification recommendation for thyroiditis</w:t>
            </w:r>
          </w:p>
        </w:tc>
      </w:tr>
      <w:tr w:rsidR="00982B01" w:rsidRPr="00F17760" w14:paraId="3B2D2180"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68B05546" w14:textId="06B56E3F" w:rsidR="00982B01" w:rsidRPr="007451A5" w:rsidRDefault="00982B01" w:rsidP="003720D4">
            <w:pPr>
              <w:spacing w:before="0"/>
              <w:rPr>
                <w:b w:val="0"/>
                <w:bCs w:val="0"/>
                <w:color w:val="auto"/>
                <w:lang w:val="en-AU"/>
              </w:rPr>
            </w:pPr>
            <w:r w:rsidRPr="007451A5">
              <w:rPr>
                <w:b w:val="0"/>
                <w:bCs w:val="0"/>
                <w:color w:val="auto"/>
                <w:lang w:val="en-AU"/>
              </w:rPr>
              <w:t>4.4</w:t>
            </w:r>
          </w:p>
        </w:tc>
        <w:tc>
          <w:tcPr>
            <w:tcW w:w="7636" w:type="dxa"/>
            <w:vAlign w:val="center"/>
          </w:tcPr>
          <w:p w14:paraId="4FC45CE8" w14:textId="61E48D58"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Pr>
                <w:color w:val="auto"/>
                <w:lang w:val="en-AU"/>
              </w:rPr>
              <w:t>Addition of thyroiditis</w:t>
            </w:r>
            <w:r w:rsidR="007451A5">
              <w:rPr>
                <w:color w:val="auto"/>
                <w:lang w:val="en-AU"/>
              </w:rPr>
              <w:t xml:space="preserve"> to immune-related endocrinopathies section</w:t>
            </w:r>
          </w:p>
        </w:tc>
      </w:tr>
      <w:tr w:rsidR="00982B01" w:rsidRPr="00F17760" w14:paraId="7E856577"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4D6AF095" w14:textId="04AE4D62" w:rsidR="00982B01" w:rsidRPr="007451A5" w:rsidRDefault="00982B01" w:rsidP="003720D4">
            <w:pPr>
              <w:spacing w:before="0"/>
              <w:rPr>
                <w:b w:val="0"/>
                <w:bCs w:val="0"/>
                <w:color w:val="auto"/>
                <w:lang w:val="en-AU"/>
              </w:rPr>
            </w:pPr>
            <w:r w:rsidRPr="003720D4">
              <w:rPr>
                <w:b w:val="0"/>
                <w:bCs w:val="0"/>
                <w:color w:val="auto"/>
                <w:lang w:val="en-AU"/>
              </w:rPr>
              <w:t>4.8</w:t>
            </w:r>
          </w:p>
        </w:tc>
        <w:tc>
          <w:tcPr>
            <w:tcW w:w="7636" w:type="dxa"/>
            <w:vAlign w:val="center"/>
          </w:tcPr>
          <w:p w14:paraId="1A9C701A" w14:textId="53F6F276"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3720D4">
              <w:rPr>
                <w:color w:val="auto"/>
                <w:lang w:val="en-AU"/>
              </w:rPr>
              <w:t xml:space="preserve">Additional </w:t>
            </w:r>
            <w:r w:rsidR="007451A5" w:rsidRPr="003720D4">
              <w:rPr>
                <w:color w:val="auto"/>
                <w:lang w:val="en-AU"/>
              </w:rPr>
              <w:t xml:space="preserve">AE </w:t>
            </w:r>
            <w:r w:rsidRPr="003720D4">
              <w:rPr>
                <w:color w:val="auto"/>
                <w:lang w:val="en-AU"/>
              </w:rPr>
              <w:t>data</w:t>
            </w:r>
            <w:r w:rsidR="007451A5" w:rsidRPr="003720D4">
              <w:rPr>
                <w:color w:val="auto"/>
                <w:lang w:val="en-AU"/>
              </w:rPr>
              <w:t xml:space="preserve"> </w:t>
            </w:r>
            <w:r w:rsidR="003720D4" w:rsidRPr="003720D4">
              <w:rPr>
                <w:color w:val="auto"/>
                <w:lang w:val="en-AU"/>
              </w:rPr>
              <w:t>from NSCLC and BCC clinical trials</w:t>
            </w:r>
            <w:r w:rsidRPr="003720D4">
              <w:rPr>
                <w:color w:val="auto"/>
                <w:lang w:val="en-AU"/>
              </w:rPr>
              <w:t xml:space="preserve"> </w:t>
            </w:r>
          </w:p>
        </w:tc>
      </w:tr>
      <w:tr w:rsidR="00982B01" w:rsidRPr="00F17760" w14:paraId="02DA4557" w14:textId="77777777" w:rsidTr="001E039C">
        <w:tc>
          <w:tcPr>
            <w:cnfStyle w:val="001000000000" w:firstRow="0" w:lastRow="0" w:firstColumn="1" w:lastColumn="0" w:oddVBand="0" w:evenVBand="0" w:oddHBand="0" w:evenHBand="0" w:firstRowFirstColumn="0" w:firstRowLastColumn="0" w:lastRowFirstColumn="0" w:lastRowLastColumn="0"/>
            <w:tcW w:w="1370" w:type="dxa"/>
            <w:vAlign w:val="center"/>
          </w:tcPr>
          <w:p w14:paraId="5E928622" w14:textId="531200D1" w:rsidR="00982B01" w:rsidRPr="007451A5" w:rsidRDefault="00982B01" w:rsidP="003720D4">
            <w:pPr>
              <w:spacing w:before="0"/>
              <w:rPr>
                <w:b w:val="0"/>
                <w:bCs w:val="0"/>
                <w:color w:val="auto"/>
                <w:lang w:val="en-AU"/>
              </w:rPr>
            </w:pPr>
            <w:r w:rsidRPr="003720D4">
              <w:rPr>
                <w:b w:val="0"/>
                <w:bCs w:val="0"/>
                <w:color w:val="auto"/>
                <w:lang w:val="en-AU"/>
              </w:rPr>
              <w:t>5.1</w:t>
            </w:r>
          </w:p>
        </w:tc>
        <w:tc>
          <w:tcPr>
            <w:tcW w:w="7636" w:type="dxa"/>
            <w:vAlign w:val="center"/>
          </w:tcPr>
          <w:p w14:paraId="3630A297" w14:textId="02F7285D"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3720D4">
              <w:rPr>
                <w:color w:val="auto"/>
                <w:lang w:val="en-AU"/>
              </w:rPr>
              <w:t>Addition</w:t>
            </w:r>
            <w:r w:rsidR="003720D4" w:rsidRPr="003720D4">
              <w:rPr>
                <w:color w:val="auto"/>
                <w:lang w:val="en-AU"/>
              </w:rPr>
              <w:t>al efficacy and safety information for Study 1624 and Study 1620</w:t>
            </w:r>
          </w:p>
        </w:tc>
      </w:tr>
      <w:tr w:rsidR="00982B01" w:rsidRPr="00F17760" w14:paraId="7935D080" w14:textId="77777777" w:rsidTr="003720D4">
        <w:trPr>
          <w:trHeight w:val="18"/>
        </w:trPr>
        <w:tc>
          <w:tcPr>
            <w:cnfStyle w:val="001000000000" w:firstRow="0" w:lastRow="0" w:firstColumn="1" w:lastColumn="0" w:oddVBand="0" w:evenVBand="0" w:oddHBand="0" w:evenHBand="0" w:firstRowFirstColumn="0" w:firstRowLastColumn="0" w:lastRowFirstColumn="0" w:lastRowLastColumn="0"/>
            <w:tcW w:w="1370" w:type="dxa"/>
            <w:vAlign w:val="center"/>
          </w:tcPr>
          <w:p w14:paraId="0AA2BCDA" w14:textId="0CF041E9" w:rsidR="00982B01" w:rsidRPr="007451A5" w:rsidRDefault="00982B01" w:rsidP="003720D4">
            <w:pPr>
              <w:spacing w:before="0"/>
              <w:rPr>
                <w:b w:val="0"/>
                <w:bCs w:val="0"/>
                <w:color w:val="auto"/>
                <w:lang w:val="en-AU"/>
              </w:rPr>
            </w:pPr>
            <w:r w:rsidRPr="003720D4">
              <w:rPr>
                <w:b w:val="0"/>
                <w:bCs w:val="0"/>
                <w:color w:val="auto"/>
                <w:lang w:val="en-AU"/>
              </w:rPr>
              <w:t>5.2</w:t>
            </w:r>
          </w:p>
        </w:tc>
        <w:tc>
          <w:tcPr>
            <w:tcW w:w="7636" w:type="dxa"/>
            <w:vAlign w:val="center"/>
          </w:tcPr>
          <w:p w14:paraId="2033AB0D" w14:textId="781D4A1A" w:rsidR="00982B01" w:rsidRPr="00F17760" w:rsidRDefault="00982B01" w:rsidP="003720D4">
            <w:pPr>
              <w:spacing w:before="0"/>
              <w:cnfStyle w:val="000000000000" w:firstRow="0" w:lastRow="0" w:firstColumn="0" w:lastColumn="0" w:oddVBand="0" w:evenVBand="0" w:oddHBand="0" w:evenHBand="0" w:firstRowFirstColumn="0" w:firstRowLastColumn="0" w:lastRowFirstColumn="0" w:lastRowLastColumn="0"/>
              <w:rPr>
                <w:color w:val="auto"/>
                <w:lang w:val="en-AU"/>
              </w:rPr>
            </w:pPr>
            <w:r w:rsidRPr="003720D4">
              <w:rPr>
                <w:color w:val="auto"/>
                <w:lang w:val="en-AU"/>
              </w:rPr>
              <w:t>Additional data added</w:t>
            </w:r>
          </w:p>
        </w:tc>
      </w:tr>
    </w:tbl>
    <w:p w14:paraId="6831FAE6" w14:textId="77777777" w:rsidR="007D565E" w:rsidRPr="0038119B" w:rsidRDefault="007D565E" w:rsidP="00D15648">
      <w:pPr>
        <w:spacing w:after="120"/>
        <w:rPr>
          <w:lang w:val="en-AU"/>
        </w:rPr>
      </w:pPr>
    </w:p>
    <w:sectPr w:rsidR="007D565E" w:rsidRPr="0038119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5EF65" w14:textId="77777777" w:rsidR="00982B01" w:rsidRDefault="00982B01">
      <w:r>
        <w:separator/>
      </w:r>
    </w:p>
  </w:endnote>
  <w:endnote w:type="continuationSeparator" w:id="0">
    <w:p w14:paraId="5E49706C" w14:textId="77777777" w:rsidR="00982B01" w:rsidRDefault="0098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80174" w14:textId="51DA68DD" w:rsidR="00982B01" w:rsidRPr="00BD4A5F" w:rsidRDefault="00982B01">
    <w:pPr>
      <w:pStyle w:val="Footer"/>
    </w:pPr>
    <w:r w:rsidRPr="00BD4A5F">
      <w:t>Property of the Sanofi group - strictly confidential</w:t>
    </w:r>
  </w:p>
  <w:p w14:paraId="70CC8F3C" w14:textId="14F2E5D1" w:rsidR="00982B01" w:rsidRDefault="00982B01">
    <w:pPr>
      <w:pStyle w:val="Footer"/>
    </w:pPr>
    <w:r w:rsidRPr="00BD4A5F">
      <w:t>lib-ccdsv4-piv</w:t>
    </w:r>
    <w:r w:rsidRPr="0083621A">
      <w:t>2</w:t>
    </w:r>
    <w:r w:rsidRPr="00BD4A5F">
      <w:t>-</w:t>
    </w:r>
    <w:r>
      <w:t>09dec21</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24</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586A3" w14:textId="7CD2FDDB" w:rsidR="00982B01" w:rsidRDefault="00982B01">
    <w:pPr>
      <w:pStyle w:val="Footer"/>
    </w:pPr>
    <w:r>
      <w:t>Property of the Sanofi group - strictly confidential</w:t>
    </w:r>
  </w:p>
  <w:p w14:paraId="03EB0AB6" w14:textId="2F93EA45" w:rsidR="00982B01" w:rsidRDefault="00982B01">
    <w:pPr>
      <w:pStyle w:val="Footer"/>
    </w:pPr>
    <w:r w:rsidRPr="00BD4A5F">
      <w:t>lib-ccdsv4-piv</w:t>
    </w:r>
    <w:r w:rsidRPr="0083621A">
      <w:t>2</w:t>
    </w:r>
    <w:r w:rsidRPr="00BD4A5F">
      <w:t>-</w:t>
    </w:r>
    <w:r>
      <w:t>09dec21</w:t>
    </w:r>
    <w:r>
      <w:tab/>
    </w:r>
    <w:r>
      <w:ptab w:relativeTo="margin" w:alignment="right" w:leader="none"/>
    </w:r>
    <w:sdt>
      <w:sdtPr>
        <w:id w:val="-1956701244"/>
        <w:docPartObj>
          <w:docPartGallery w:val="Page Numbers (Bottom of Page)"/>
          <w:docPartUnique/>
        </w:docPartObj>
      </w:sdtPr>
      <w:sdtEndPr/>
      <w:sdtContent>
        <w:sdt>
          <w:sdtPr>
            <w:id w:val="-2074343088"/>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77F9F" w14:textId="2A5DD320" w:rsidR="00982B01" w:rsidRDefault="00982B01">
    <w:pPr>
      <w:pStyle w:val="Footer"/>
    </w:pPr>
    <w:r>
      <w:t>Property of the Sanofi group - strictly confidential</w:t>
    </w:r>
  </w:p>
  <w:p w14:paraId="5017E295" w14:textId="2F727846" w:rsidR="00982B01" w:rsidRDefault="00982B01">
    <w:pPr>
      <w:pStyle w:val="Footer"/>
    </w:pPr>
    <w:r w:rsidRPr="00BD4A5F">
      <w:t>lib-ccdsv4-piv</w:t>
    </w:r>
    <w:r w:rsidRPr="0083621A">
      <w:t>2</w:t>
    </w:r>
    <w:r w:rsidRPr="00BD4A5F">
      <w:t>-</w:t>
    </w:r>
    <w:r>
      <w:t>09dec21</w:t>
    </w:r>
    <w:r>
      <w:tab/>
    </w:r>
    <w:sdt>
      <w:sdtPr>
        <w:id w:val="852614597"/>
        <w:docPartObj>
          <w:docPartGallery w:val="Page Numbers (Bottom of Page)"/>
          <w:docPartUnique/>
        </w:docPartObj>
      </w:sdtPr>
      <w:sdtEndPr/>
      <w:sdtContent>
        <w:sdt>
          <w:sdtPr>
            <w:id w:val="76642380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34239" w14:textId="77777777" w:rsidR="00982B01" w:rsidRDefault="00982B01">
      <w:r>
        <w:separator/>
      </w:r>
    </w:p>
  </w:footnote>
  <w:footnote w:type="continuationSeparator" w:id="0">
    <w:p w14:paraId="40369E81" w14:textId="77777777" w:rsidR="00982B01" w:rsidRDefault="0098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16"/>
    </w:tblGrid>
    <w:tr w:rsidR="009979C3" w:rsidRPr="000B2145" w14:paraId="35E2EF55" w14:textId="77777777" w:rsidTr="009979C3">
      <w:trPr>
        <w:trHeight w:val="1012"/>
        <w:jc w:val="center"/>
      </w:trPr>
      <w:tc>
        <w:tcPr>
          <w:tcW w:w="9039" w:type="dxa"/>
          <w:shd w:val="clear" w:color="auto" w:fill="E4F2E0"/>
        </w:tcPr>
        <w:p w14:paraId="0F80E66D" w14:textId="77777777" w:rsidR="009979C3" w:rsidRPr="001802BA" w:rsidRDefault="009979C3" w:rsidP="009979C3">
          <w:pPr>
            <w:pStyle w:val="Footer"/>
            <w:tabs>
              <w:tab w:val="center" w:pos="4513"/>
              <w:tab w:val="right" w:pos="9026"/>
            </w:tabs>
            <w:rPr>
              <w:b/>
              <w:szCs w:val="18"/>
            </w:rPr>
          </w:pPr>
          <w:bookmarkStart w:id="4" w:name="_Hlk80611440"/>
          <w:r w:rsidRPr="000E4791">
            <w:rPr>
              <w:b/>
              <w:szCs w:val="18"/>
            </w:rPr>
            <w:t>Attachment 1</w:t>
          </w:r>
          <w:r>
            <w:t xml:space="preserve"> </w:t>
          </w:r>
          <w:proofErr w:type="spellStart"/>
          <w:r w:rsidRPr="001802BA">
            <w:rPr>
              <w:b/>
              <w:szCs w:val="18"/>
            </w:rPr>
            <w:t>AusPAR</w:t>
          </w:r>
          <w:proofErr w:type="spellEnd"/>
          <w:r w:rsidRPr="001802BA">
            <w:rPr>
              <w:b/>
              <w:szCs w:val="18"/>
            </w:rPr>
            <w:t xml:space="preserve"> – </w:t>
          </w:r>
          <w:proofErr w:type="spellStart"/>
          <w:r w:rsidRPr="001802BA">
            <w:rPr>
              <w:b/>
              <w:szCs w:val="18"/>
            </w:rPr>
            <w:t>Libtayo</w:t>
          </w:r>
          <w:proofErr w:type="spellEnd"/>
          <w:r w:rsidRPr="001802BA">
            <w:rPr>
              <w:b/>
              <w:szCs w:val="18"/>
            </w:rPr>
            <w:t xml:space="preserve"> – </w:t>
          </w:r>
          <w:proofErr w:type="spellStart"/>
          <w:r w:rsidRPr="001802BA">
            <w:rPr>
              <w:b/>
              <w:szCs w:val="18"/>
            </w:rPr>
            <w:t>cemiplimab</w:t>
          </w:r>
          <w:proofErr w:type="spellEnd"/>
          <w:r w:rsidRPr="001802BA">
            <w:rPr>
              <w:b/>
              <w:szCs w:val="18"/>
            </w:rPr>
            <w:t xml:space="preserve"> - Sanofi-Aventis Australia Pty Ltd PM-2020-06003-1-4</w:t>
          </w:r>
        </w:p>
        <w:p w14:paraId="5F14A3F6" w14:textId="77777777" w:rsidR="009979C3" w:rsidRPr="000E4791" w:rsidRDefault="009979C3" w:rsidP="009979C3">
          <w:pPr>
            <w:pStyle w:val="Footer"/>
            <w:rPr>
              <w:b/>
              <w:szCs w:val="18"/>
            </w:rPr>
          </w:pPr>
          <w:r w:rsidRPr="001802BA">
            <w:rPr>
              <w:b/>
              <w:szCs w:val="18"/>
            </w:rPr>
            <w:t>FINAL 18 August 2022</w:t>
          </w:r>
          <w:r w:rsidRPr="000E4791">
            <w:rPr>
              <w:b/>
            </w:rPr>
            <w:t>.</w:t>
          </w:r>
          <w:r w:rsidRPr="000E4791">
            <w:rPr>
              <w:b/>
              <w:szCs w:val="18"/>
            </w:rPr>
            <w:t xml:space="preserve"> This is the Product Information that was approved with the submission described in this </w:t>
          </w:r>
          <w:proofErr w:type="spellStart"/>
          <w:r w:rsidRPr="000E4791">
            <w:rPr>
              <w:b/>
              <w:szCs w:val="18"/>
            </w:rPr>
            <w:t>AusPAR</w:t>
          </w:r>
          <w:proofErr w:type="spellEnd"/>
          <w:r w:rsidRPr="000E4791">
            <w:rPr>
              <w:b/>
              <w:szCs w:val="18"/>
            </w:rPr>
            <w:t>. It may have been superseded. For the most recent PI, please refer to the TGA website at &lt;</w:t>
          </w:r>
          <w:hyperlink r:id="rId1" w:history="1">
            <w:r w:rsidRPr="000E4791">
              <w:rPr>
                <w:rStyle w:val="Hyperlink"/>
                <w:b/>
                <w:szCs w:val="18"/>
              </w:rPr>
              <w:t>https://www.tga.gov.au/product-information-pi</w:t>
            </w:r>
          </w:hyperlink>
          <w:r w:rsidRPr="000E4791">
            <w:rPr>
              <w:b/>
              <w:szCs w:val="18"/>
              <w:u w:val="single"/>
            </w:rPr>
            <w:t>&gt;</w:t>
          </w:r>
        </w:p>
      </w:tc>
    </w:tr>
    <w:bookmarkEnd w:id="4"/>
  </w:tbl>
  <w:p w14:paraId="7A160058" w14:textId="77777777" w:rsidR="003720D4" w:rsidRDefault="00372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311C8B84">
      <w:start w:val="1"/>
      <w:numFmt w:val="bullet"/>
      <w:pStyle w:val="ListAlphabeticalLevel1"/>
      <w:lvlText w:val=""/>
      <w:lvlJc w:val="left"/>
      <w:pPr>
        <w:ind w:left="720" w:hanging="360"/>
      </w:pPr>
      <w:rPr>
        <w:rFonts w:ascii="Symbol" w:hAnsi="Symbol" w:hint="default"/>
      </w:rPr>
    </w:lvl>
    <w:lvl w:ilvl="1" w:tplc="DA80E330">
      <w:start w:val="1"/>
      <w:numFmt w:val="bullet"/>
      <w:lvlText w:val="o"/>
      <w:lvlJc w:val="left"/>
      <w:pPr>
        <w:ind w:left="1440" w:hanging="360"/>
      </w:pPr>
      <w:rPr>
        <w:rFonts w:ascii="Courier New" w:hAnsi="Courier New" w:cs="Courier New" w:hint="default"/>
      </w:rPr>
    </w:lvl>
    <w:lvl w:ilvl="2" w:tplc="5BF88AC4" w:tentative="1">
      <w:start w:val="1"/>
      <w:numFmt w:val="bullet"/>
      <w:lvlText w:val=""/>
      <w:lvlJc w:val="left"/>
      <w:pPr>
        <w:ind w:left="2160" w:hanging="360"/>
      </w:pPr>
      <w:rPr>
        <w:rFonts w:ascii="Wingdings" w:hAnsi="Wingdings" w:hint="default"/>
      </w:rPr>
    </w:lvl>
    <w:lvl w:ilvl="3" w:tplc="0E9E0208" w:tentative="1">
      <w:start w:val="1"/>
      <w:numFmt w:val="bullet"/>
      <w:lvlText w:val=""/>
      <w:lvlJc w:val="left"/>
      <w:pPr>
        <w:ind w:left="2880" w:hanging="360"/>
      </w:pPr>
      <w:rPr>
        <w:rFonts w:ascii="Symbol" w:hAnsi="Symbol" w:hint="default"/>
      </w:rPr>
    </w:lvl>
    <w:lvl w:ilvl="4" w:tplc="62164E7E" w:tentative="1">
      <w:start w:val="1"/>
      <w:numFmt w:val="bullet"/>
      <w:lvlText w:val="o"/>
      <w:lvlJc w:val="left"/>
      <w:pPr>
        <w:ind w:left="3600" w:hanging="360"/>
      </w:pPr>
      <w:rPr>
        <w:rFonts w:ascii="Courier New" w:hAnsi="Courier New" w:cs="Courier New" w:hint="default"/>
      </w:rPr>
    </w:lvl>
    <w:lvl w:ilvl="5" w:tplc="A11C3A62" w:tentative="1">
      <w:start w:val="1"/>
      <w:numFmt w:val="bullet"/>
      <w:lvlText w:val=""/>
      <w:lvlJc w:val="left"/>
      <w:pPr>
        <w:ind w:left="4320" w:hanging="360"/>
      </w:pPr>
      <w:rPr>
        <w:rFonts w:ascii="Wingdings" w:hAnsi="Wingdings" w:hint="default"/>
      </w:rPr>
    </w:lvl>
    <w:lvl w:ilvl="6" w:tplc="228CAEEA" w:tentative="1">
      <w:start w:val="1"/>
      <w:numFmt w:val="bullet"/>
      <w:lvlText w:val=""/>
      <w:lvlJc w:val="left"/>
      <w:pPr>
        <w:ind w:left="5040" w:hanging="360"/>
      </w:pPr>
      <w:rPr>
        <w:rFonts w:ascii="Symbol" w:hAnsi="Symbol" w:hint="default"/>
      </w:rPr>
    </w:lvl>
    <w:lvl w:ilvl="7" w:tplc="CF3E2586" w:tentative="1">
      <w:start w:val="1"/>
      <w:numFmt w:val="bullet"/>
      <w:lvlText w:val="o"/>
      <w:lvlJc w:val="left"/>
      <w:pPr>
        <w:ind w:left="5760" w:hanging="360"/>
      </w:pPr>
      <w:rPr>
        <w:rFonts w:ascii="Courier New" w:hAnsi="Courier New" w:cs="Courier New" w:hint="default"/>
      </w:rPr>
    </w:lvl>
    <w:lvl w:ilvl="8" w:tplc="0B52CE80" w:tentative="1">
      <w:start w:val="1"/>
      <w:numFmt w:val="bullet"/>
      <w:lvlText w:val=""/>
      <w:lvlJc w:val="left"/>
      <w:pPr>
        <w:ind w:left="6480" w:hanging="360"/>
      </w:pPr>
      <w:rPr>
        <w:rFonts w:ascii="Wingdings" w:hAnsi="Wingdings" w:hint="default"/>
      </w:rPr>
    </w:lvl>
  </w:abstractNum>
  <w:abstractNum w:abstractNumId="1" w15:restartNumberingAfterBreak="0">
    <w:nsid w:val="03545DF2"/>
    <w:multiLevelType w:val="hybridMultilevel"/>
    <w:tmpl w:val="AA702E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F70DD"/>
    <w:multiLevelType w:val="hybridMultilevel"/>
    <w:tmpl w:val="64A0A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268D4"/>
    <w:multiLevelType w:val="multilevel"/>
    <w:tmpl w:val="C276C88C"/>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15:restartNumberingAfterBreak="0">
    <w:nsid w:val="0C9F6CDF"/>
    <w:multiLevelType w:val="hybridMultilevel"/>
    <w:tmpl w:val="74DECA2A"/>
    <w:lvl w:ilvl="0" w:tplc="0C090001">
      <w:start w:val="1"/>
      <w:numFmt w:val="lowerLetter"/>
      <w:lvlText w:val="%1."/>
      <w:lvlJc w:val="left"/>
      <w:pPr>
        <w:ind w:left="450" w:hanging="360"/>
      </w:pPr>
      <w:rPr>
        <w:vertAlign w:val="superscript"/>
      </w:rPr>
    </w:lvl>
    <w:lvl w:ilvl="1" w:tplc="0C090003" w:tentative="1">
      <w:start w:val="1"/>
      <w:numFmt w:val="lowerLetter"/>
      <w:lvlText w:val="%2."/>
      <w:lvlJc w:val="left"/>
      <w:pPr>
        <w:ind w:left="1170" w:hanging="360"/>
      </w:pPr>
    </w:lvl>
    <w:lvl w:ilvl="2" w:tplc="0C090005" w:tentative="1">
      <w:start w:val="1"/>
      <w:numFmt w:val="lowerRoman"/>
      <w:lvlText w:val="%3."/>
      <w:lvlJc w:val="right"/>
      <w:pPr>
        <w:ind w:left="1890" w:hanging="180"/>
      </w:pPr>
    </w:lvl>
    <w:lvl w:ilvl="3" w:tplc="0C090001" w:tentative="1">
      <w:start w:val="1"/>
      <w:numFmt w:val="decimal"/>
      <w:lvlText w:val="%4."/>
      <w:lvlJc w:val="left"/>
      <w:pPr>
        <w:ind w:left="2610" w:hanging="360"/>
      </w:pPr>
    </w:lvl>
    <w:lvl w:ilvl="4" w:tplc="0C090003" w:tentative="1">
      <w:start w:val="1"/>
      <w:numFmt w:val="lowerLetter"/>
      <w:lvlText w:val="%5."/>
      <w:lvlJc w:val="left"/>
      <w:pPr>
        <w:ind w:left="3330" w:hanging="360"/>
      </w:pPr>
    </w:lvl>
    <w:lvl w:ilvl="5" w:tplc="0C090005" w:tentative="1">
      <w:start w:val="1"/>
      <w:numFmt w:val="lowerRoman"/>
      <w:lvlText w:val="%6."/>
      <w:lvlJc w:val="right"/>
      <w:pPr>
        <w:ind w:left="4050" w:hanging="180"/>
      </w:pPr>
    </w:lvl>
    <w:lvl w:ilvl="6" w:tplc="0C090001" w:tentative="1">
      <w:start w:val="1"/>
      <w:numFmt w:val="decimal"/>
      <w:lvlText w:val="%7."/>
      <w:lvlJc w:val="left"/>
      <w:pPr>
        <w:ind w:left="4770" w:hanging="360"/>
      </w:pPr>
    </w:lvl>
    <w:lvl w:ilvl="7" w:tplc="0C090003" w:tentative="1">
      <w:start w:val="1"/>
      <w:numFmt w:val="lowerLetter"/>
      <w:lvlText w:val="%8."/>
      <w:lvlJc w:val="left"/>
      <w:pPr>
        <w:ind w:left="5490" w:hanging="360"/>
      </w:pPr>
    </w:lvl>
    <w:lvl w:ilvl="8" w:tplc="0C090005" w:tentative="1">
      <w:start w:val="1"/>
      <w:numFmt w:val="lowerRoman"/>
      <w:lvlText w:val="%9."/>
      <w:lvlJc w:val="right"/>
      <w:pPr>
        <w:ind w:left="6210" w:hanging="180"/>
      </w:pPr>
    </w:lvl>
  </w:abstractNum>
  <w:abstractNum w:abstractNumId="5" w15:restartNumberingAfterBreak="0">
    <w:nsid w:val="13BA021A"/>
    <w:multiLevelType w:val="hybridMultilevel"/>
    <w:tmpl w:val="90B63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7" w15:restartNumberingAfterBreak="0">
    <w:nsid w:val="1EDE6C9E"/>
    <w:multiLevelType w:val="multilevel"/>
    <w:tmpl w:val="99E43502"/>
    <w:name w:val="LT_Heading"/>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8" w15:restartNumberingAfterBreak="0">
    <w:nsid w:val="24435439"/>
    <w:multiLevelType w:val="hybridMultilevel"/>
    <w:tmpl w:val="D23AB816"/>
    <w:lvl w:ilvl="0" w:tplc="0D1ADB64">
      <w:start w:val="1"/>
      <w:numFmt w:val="bullet"/>
      <w:pStyle w:val="TblTextbulletedlist"/>
      <w:lvlText w:val=""/>
      <w:lvlJc w:val="left"/>
      <w:pPr>
        <w:ind w:left="720" w:hanging="360"/>
      </w:pPr>
      <w:rPr>
        <w:rFonts w:ascii="Symbol" w:hAnsi="Symbol" w:hint="default"/>
      </w:rPr>
    </w:lvl>
    <w:lvl w:ilvl="1" w:tplc="24E2472C" w:tentative="1">
      <w:start w:val="1"/>
      <w:numFmt w:val="bullet"/>
      <w:lvlText w:val="o"/>
      <w:lvlJc w:val="left"/>
      <w:pPr>
        <w:ind w:left="1440" w:hanging="360"/>
      </w:pPr>
      <w:rPr>
        <w:rFonts w:ascii="Courier New" w:hAnsi="Courier New" w:cs="Courier New" w:hint="default"/>
      </w:rPr>
    </w:lvl>
    <w:lvl w:ilvl="2" w:tplc="C8C0FF88" w:tentative="1">
      <w:start w:val="1"/>
      <w:numFmt w:val="bullet"/>
      <w:lvlText w:val=""/>
      <w:lvlJc w:val="left"/>
      <w:pPr>
        <w:ind w:left="2160" w:hanging="360"/>
      </w:pPr>
      <w:rPr>
        <w:rFonts w:ascii="Wingdings" w:hAnsi="Wingdings" w:hint="default"/>
      </w:rPr>
    </w:lvl>
    <w:lvl w:ilvl="3" w:tplc="A43875C4" w:tentative="1">
      <w:start w:val="1"/>
      <w:numFmt w:val="bullet"/>
      <w:lvlText w:val=""/>
      <w:lvlJc w:val="left"/>
      <w:pPr>
        <w:ind w:left="2880" w:hanging="360"/>
      </w:pPr>
      <w:rPr>
        <w:rFonts w:ascii="Symbol" w:hAnsi="Symbol" w:hint="default"/>
      </w:rPr>
    </w:lvl>
    <w:lvl w:ilvl="4" w:tplc="84D4635C" w:tentative="1">
      <w:start w:val="1"/>
      <w:numFmt w:val="bullet"/>
      <w:lvlText w:val="o"/>
      <w:lvlJc w:val="left"/>
      <w:pPr>
        <w:ind w:left="3600" w:hanging="360"/>
      </w:pPr>
      <w:rPr>
        <w:rFonts w:ascii="Courier New" w:hAnsi="Courier New" w:cs="Courier New" w:hint="default"/>
      </w:rPr>
    </w:lvl>
    <w:lvl w:ilvl="5" w:tplc="40B837B2" w:tentative="1">
      <w:start w:val="1"/>
      <w:numFmt w:val="bullet"/>
      <w:lvlText w:val=""/>
      <w:lvlJc w:val="left"/>
      <w:pPr>
        <w:ind w:left="4320" w:hanging="360"/>
      </w:pPr>
      <w:rPr>
        <w:rFonts w:ascii="Wingdings" w:hAnsi="Wingdings" w:hint="default"/>
      </w:rPr>
    </w:lvl>
    <w:lvl w:ilvl="6" w:tplc="36A6EE80" w:tentative="1">
      <w:start w:val="1"/>
      <w:numFmt w:val="bullet"/>
      <w:lvlText w:val=""/>
      <w:lvlJc w:val="left"/>
      <w:pPr>
        <w:ind w:left="5040" w:hanging="360"/>
      </w:pPr>
      <w:rPr>
        <w:rFonts w:ascii="Symbol" w:hAnsi="Symbol" w:hint="default"/>
      </w:rPr>
    </w:lvl>
    <w:lvl w:ilvl="7" w:tplc="6352D98C" w:tentative="1">
      <w:start w:val="1"/>
      <w:numFmt w:val="bullet"/>
      <w:lvlText w:val="o"/>
      <w:lvlJc w:val="left"/>
      <w:pPr>
        <w:ind w:left="5760" w:hanging="360"/>
      </w:pPr>
      <w:rPr>
        <w:rFonts w:ascii="Courier New" w:hAnsi="Courier New" w:cs="Courier New" w:hint="default"/>
      </w:rPr>
    </w:lvl>
    <w:lvl w:ilvl="8" w:tplc="6D8E8320" w:tentative="1">
      <w:start w:val="1"/>
      <w:numFmt w:val="bullet"/>
      <w:lvlText w:val=""/>
      <w:lvlJc w:val="left"/>
      <w:pPr>
        <w:ind w:left="6480" w:hanging="360"/>
      </w:pPr>
      <w:rPr>
        <w:rFonts w:ascii="Wingdings" w:hAnsi="Wingdings" w:hint="default"/>
      </w:rPr>
    </w:lvl>
  </w:abstractNum>
  <w:abstractNum w:abstractNumId="9" w15:restartNumberingAfterBreak="0">
    <w:nsid w:val="29C2289E"/>
    <w:multiLevelType w:val="hybridMultilevel"/>
    <w:tmpl w:val="EA90323A"/>
    <w:lvl w:ilvl="0" w:tplc="57302850">
      <w:start w:val="1"/>
      <w:numFmt w:val="bullet"/>
      <w:lvlText w:val="•"/>
      <w:lvlJc w:val="left"/>
      <w:pPr>
        <w:tabs>
          <w:tab w:val="num" w:pos="720"/>
        </w:tabs>
        <w:ind w:left="720" w:hanging="360"/>
      </w:pPr>
      <w:rPr>
        <w:rFonts w:ascii="Arial" w:hAnsi="Arial" w:hint="default"/>
      </w:rPr>
    </w:lvl>
    <w:lvl w:ilvl="1" w:tplc="FFACED02" w:tentative="1">
      <w:start w:val="1"/>
      <w:numFmt w:val="bullet"/>
      <w:lvlText w:val="•"/>
      <w:lvlJc w:val="left"/>
      <w:pPr>
        <w:tabs>
          <w:tab w:val="num" w:pos="1440"/>
        </w:tabs>
        <w:ind w:left="1440" w:hanging="360"/>
      </w:pPr>
      <w:rPr>
        <w:rFonts w:ascii="Arial" w:hAnsi="Arial" w:hint="default"/>
      </w:rPr>
    </w:lvl>
    <w:lvl w:ilvl="2" w:tplc="2B26B8C8" w:tentative="1">
      <w:start w:val="1"/>
      <w:numFmt w:val="bullet"/>
      <w:lvlText w:val="•"/>
      <w:lvlJc w:val="left"/>
      <w:pPr>
        <w:tabs>
          <w:tab w:val="num" w:pos="2160"/>
        </w:tabs>
        <w:ind w:left="2160" w:hanging="360"/>
      </w:pPr>
      <w:rPr>
        <w:rFonts w:ascii="Arial" w:hAnsi="Arial" w:hint="default"/>
      </w:rPr>
    </w:lvl>
    <w:lvl w:ilvl="3" w:tplc="5BB0C76A" w:tentative="1">
      <w:start w:val="1"/>
      <w:numFmt w:val="bullet"/>
      <w:lvlText w:val="•"/>
      <w:lvlJc w:val="left"/>
      <w:pPr>
        <w:tabs>
          <w:tab w:val="num" w:pos="2880"/>
        </w:tabs>
        <w:ind w:left="2880" w:hanging="360"/>
      </w:pPr>
      <w:rPr>
        <w:rFonts w:ascii="Arial" w:hAnsi="Arial" w:hint="default"/>
      </w:rPr>
    </w:lvl>
    <w:lvl w:ilvl="4" w:tplc="E3ACEE86" w:tentative="1">
      <w:start w:val="1"/>
      <w:numFmt w:val="bullet"/>
      <w:lvlText w:val="•"/>
      <w:lvlJc w:val="left"/>
      <w:pPr>
        <w:tabs>
          <w:tab w:val="num" w:pos="3600"/>
        </w:tabs>
        <w:ind w:left="3600" w:hanging="360"/>
      </w:pPr>
      <w:rPr>
        <w:rFonts w:ascii="Arial" w:hAnsi="Arial" w:hint="default"/>
      </w:rPr>
    </w:lvl>
    <w:lvl w:ilvl="5" w:tplc="1D62833C" w:tentative="1">
      <w:start w:val="1"/>
      <w:numFmt w:val="bullet"/>
      <w:lvlText w:val="•"/>
      <w:lvlJc w:val="left"/>
      <w:pPr>
        <w:tabs>
          <w:tab w:val="num" w:pos="4320"/>
        </w:tabs>
        <w:ind w:left="4320" w:hanging="360"/>
      </w:pPr>
      <w:rPr>
        <w:rFonts w:ascii="Arial" w:hAnsi="Arial" w:hint="default"/>
      </w:rPr>
    </w:lvl>
    <w:lvl w:ilvl="6" w:tplc="38821B16" w:tentative="1">
      <w:start w:val="1"/>
      <w:numFmt w:val="bullet"/>
      <w:lvlText w:val="•"/>
      <w:lvlJc w:val="left"/>
      <w:pPr>
        <w:tabs>
          <w:tab w:val="num" w:pos="5040"/>
        </w:tabs>
        <w:ind w:left="5040" w:hanging="360"/>
      </w:pPr>
      <w:rPr>
        <w:rFonts w:ascii="Arial" w:hAnsi="Arial" w:hint="default"/>
      </w:rPr>
    </w:lvl>
    <w:lvl w:ilvl="7" w:tplc="5A9C9286" w:tentative="1">
      <w:start w:val="1"/>
      <w:numFmt w:val="bullet"/>
      <w:lvlText w:val="•"/>
      <w:lvlJc w:val="left"/>
      <w:pPr>
        <w:tabs>
          <w:tab w:val="num" w:pos="5760"/>
        </w:tabs>
        <w:ind w:left="5760" w:hanging="360"/>
      </w:pPr>
      <w:rPr>
        <w:rFonts w:ascii="Arial" w:hAnsi="Arial" w:hint="default"/>
      </w:rPr>
    </w:lvl>
    <w:lvl w:ilvl="8" w:tplc="A6988E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C659E0"/>
    <w:multiLevelType w:val="hybridMultilevel"/>
    <w:tmpl w:val="90F2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2" w15:restartNumberingAfterBreak="0">
    <w:nsid w:val="4D4B7D20"/>
    <w:multiLevelType w:val="hybridMultilevel"/>
    <w:tmpl w:val="EB663CE0"/>
    <w:lvl w:ilvl="0" w:tplc="C6542324">
      <w:start w:val="1"/>
      <w:numFmt w:val="lowerLetter"/>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7507084"/>
    <w:multiLevelType w:val="hybridMultilevel"/>
    <w:tmpl w:val="B916056E"/>
    <w:lvl w:ilvl="0" w:tplc="04070001">
      <w:start w:val="1"/>
      <w:numFmt w:val="bullet"/>
      <w:pStyle w:val="ListNumbered"/>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E558E"/>
    <w:multiLevelType w:val="hybridMultilevel"/>
    <w:tmpl w:val="3F424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C554E7"/>
    <w:multiLevelType w:val="hybridMultilevel"/>
    <w:tmpl w:val="6E5884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E442B64"/>
    <w:multiLevelType w:val="hybridMultilevel"/>
    <w:tmpl w:val="6E5884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E5F1F8C"/>
    <w:multiLevelType w:val="hybridMultilevel"/>
    <w:tmpl w:val="EA541F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EE4CA8"/>
    <w:multiLevelType w:val="hybridMultilevel"/>
    <w:tmpl w:val="789ECCA2"/>
    <w:lvl w:ilvl="0" w:tplc="90BAAEA0">
      <w:start w:val="1"/>
      <w:numFmt w:val="lowerLetter"/>
      <w:lvlText w:val="%1."/>
      <w:lvlJc w:val="left"/>
      <w:pPr>
        <w:ind w:left="720" w:hanging="360"/>
      </w:pPr>
      <w:rPr>
        <w:vertAlign w:val="superscript"/>
      </w:rPr>
    </w:lvl>
    <w:lvl w:ilvl="1" w:tplc="B4C43C90" w:tentative="1">
      <w:start w:val="1"/>
      <w:numFmt w:val="lowerLetter"/>
      <w:lvlText w:val="%2."/>
      <w:lvlJc w:val="left"/>
      <w:pPr>
        <w:ind w:left="1440" w:hanging="360"/>
      </w:pPr>
    </w:lvl>
    <w:lvl w:ilvl="2" w:tplc="F014E22E" w:tentative="1">
      <w:start w:val="1"/>
      <w:numFmt w:val="lowerRoman"/>
      <w:lvlText w:val="%3."/>
      <w:lvlJc w:val="right"/>
      <w:pPr>
        <w:ind w:left="2160" w:hanging="180"/>
      </w:pPr>
    </w:lvl>
    <w:lvl w:ilvl="3" w:tplc="BF6C0AF8" w:tentative="1">
      <w:start w:val="1"/>
      <w:numFmt w:val="decimal"/>
      <w:lvlText w:val="%4."/>
      <w:lvlJc w:val="left"/>
      <w:pPr>
        <w:ind w:left="2880" w:hanging="360"/>
      </w:pPr>
    </w:lvl>
    <w:lvl w:ilvl="4" w:tplc="28F6ACDC" w:tentative="1">
      <w:start w:val="1"/>
      <w:numFmt w:val="lowerLetter"/>
      <w:lvlText w:val="%5."/>
      <w:lvlJc w:val="left"/>
      <w:pPr>
        <w:ind w:left="3600" w:hanging="360"/>
      </w:pPr>
    </w:lvl>
    <w:lvl w:ilvl="5" w:tplc="F3800364" w:tentative="1">
      <w:start w:val="1"/>
      <w:numFmt w:val="lowerRoman"/>
      <w:lvlText w:val="%6."/>
      <w:lvlJc w:val="right"/>
      <w:pPr>
        <w:ind w:left="4320" w:hanging="180"/>
      </w:pPr>
    </w:lvl>
    <w:lvl w:ilvl="6" w:tplc="71DC7048" w:tentative="1">
      <w:start w:val="1"/>
      <w:numFmt w:val="decimal"/>
      <w:lvlText w:val="%7."/>
      <w:lvlJc w:val="left"/>
      <w:pPr>
        <w:ind w:left="5040" w:hanging="360"/>
      </w:pPr>
    </w:lvl>
    <w:lvl w:ilvl="7" w:tplc="F4749708" w:tentative="1">
      <w:start w:val="1"/>
      <w:numFmt w:val="lowerLetter"/>
      <w:lvlText w:val="%8."/>
      <w:lvlJc w:val="left"/>
      <w:pPr>
        <w:ind w:left="5760" w:hanging="360"/>
      </w:pPr>
    </w:lvl>
    <w:lvl w:ilvl="8" w:tplc="A28C4044" w:tentative="1">
      <w:start w:val="1"/>
      <w:numFmt w:val="lowerRoman"/>
      <w:lvlText w:val="%9."/>
      <w:lvlJc w:val="right"/>
      <w:pPr>
        <w:ind w:left="6480" w:hanging="180"/>
      </w:pPr>
    </w:lvl>
  </w:abstractNum>
  <w:abstractNum w:abstractNumId="1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0" w15:restartNumberingAfterBreak="0">
    <w:nsid w:val="70355EA6"/>
    <w:multiLevelType w:val="hybridMultilevel"/>
    <w:tmpl w:val="6644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13446"/>
    <w:multiLevelType w:val="hybridMultilevel"/>
    <w:tmpl w:val="D384F4F4"/>
    <w:lvl w:ilvl="0" w:tplc="ED465E08">
      <w:start w:val="1"/>
      <w:numFmt w:val="bullet"/>
      <w:pStyle w:val="List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356F96"/>
    <w:multiLevelType w:val="hybridMultilevel"/>
    <w:tmpl w:val="74DECA2A"/>
    <w:lvl w:ilvl="0" w:tplc="0C090001">
      <w:start w:val="1"/>
      <w:numFmt w:val="lowerLetter"/>
      <w:lvlText w:val="%1."/>
      <w:lvlJc w:val="left"/>
      <w:pPr>
        <w:ind w:left="450" w:hanging="360"/>
      </w:pPr>
      <w:rPr>
        <w:vertAlign w:val="superscript"/>
      </w:rPr>
    </w:lvl>
    <w:lvl w:ilvl="1" w:tplc="0C090003" w:tentative="1">
      <w:start w:val="1"/>
      <w:numFmt w:val="lowerLetter"/>
      <w:lvlText w:val="%2."/>
      <w:lvlJc w:val="left"/>
      <w:pPr>
        <w:ind w:left="1170" w:hanging="360"/>
      </w:pPr>
    </w:lvl>
    <w:lvl w:ilvl="2" w:tplc="0C090005" w:tentative="1">
      <w:start w:val="1"/>
      <w:numFmt w:val="lowerRoman"/>
      <w:lvlText w:val="%3."/>
      <w:lvlJc w:val="right"/>
      <w:pPr>
        <w:ind w:left="1890" w:hanging="180"/>
      </w:pPr>
    </w:lvl>
    <w:lvl w:ilvl="3" w:tplc="0C090001" w:tentative="1">
      <w:start w:val="1"/>
      <w:numFmt w:val="decimal"/>
      <w:lvlText w:val="%4."/>
      <w:lvlJc w:val="left"/>
      <w:pPr>
        <w:ind w:left="2610" w:hanging="360"/>
      </w:pPr>
    </w:lvl>
    <w:lvl w:ilvl="4" w:tplc="0C090003" w:tentative="1">
      <w:start w:val="1"/>
      <w:numFmt w:val="lowerLetter"/>
      <w:lvlText w:val="%5."/>
      <w:lvlJc w:val="left"/>
      <w:pPr>
        <w:ind w:left="3330" w:hanging="360"/>
      </w:pPr>
    </w:lvl>
    <w:lvl w:ilvl="5" w:tplc="0C090005" w:tentative="1">
      <w:start w:val="1"/>
      <w:numFmt w:val="lowerRoman"/>
      <w:lvlText w:val="%6."/>
      <w:lvlJc w:val="right"/>
      <w:pPr>
        <w:ind w:left="4050" w:hanging="180"/>
      </w:pPr>
    </w:lvl>
    <w:lvl w:ilvl="6" w:tplc="0C090001" w:tentative="1">
      <w:start w:val="1"/>
      <w:numFmt w:val="decimal"/>
      <w:lvlText w:val="%7."/>
      <w:lvlJc w:val="left"/>
      <w:pPr>
        <w:ind w:left="4770" w:hanging="360"/>
      </w:pPr>
    </w:lvl>
    <w:lvl w:ilvl="7" w:tplc="0C090003" w:tentative="1">
      <w:start w:val="1"/>
      <w:numFmt w:val="lowerLetter"/>
      <w:lvlText w:val="%8."/>
      <w:lvlJc w:val="left"/>
      <w:pPr>
        <w:ind w:left="5490" w:hanging="360"/>
      </w:pPr>
    </w:lvl>
    <w:lvl w:ilvl="8" w:tplc="0C090005" w:tentative="1">
      <w:start w:val="1"/>
      <w:numFmt w:val="lowerRoman"/>
      <w:lvlText w:val="%9."/>
      <w:lvlJc w:val="right"/>
      <w:pPr>
        <w:ind w:left="6210" w:hanging="180"/>
      </w:pPr>
    </w:lvl>
  </w:abstractNum>
  <w:abstractNum w:abstractNumId="24" w15:restartNumberingAfterBreak="0">
    <w:nsid w:val="7FB401D6"/>
    <w:multiLevelType w:val="hybridMultilevel"/>
    <w:tmpl w:val="270C463E"/>
    <w:lvl w:ilvl="0" w:tplc="CA3CDCEC">
      <w:start w:val="1"/>
      <w:numFmt w:val="bullet"/>
      <w:pStyle w:val="ListAlphabeticalLevel2"/>
      <w:lvlText w:val=""/>
      <w:lvlJc w:val="left"/>
      <w:pPr>
        <w:ind w:left="720" w:hanging="360"/>
      </w:pPr>
      <w:rPr>
        <w:rFonts w:ascii="Symbol" w:hAnsi="Symbol" w:hint="default"/>
      </w:rPr>
    </w:lvl>
    <w:lvl w:ilvl="1" w:tplc="083C3A48">
      <w:start w:val="1"/>
      <w:numFmt w:val="bullet"/>
      <w:lvlText w:val="o"/>
      <w:lvlJc w:val="left"/>
      <w:pPr>
        <w:ind w:left="1440" w:hanging="360"/>
      </w:pPr>
      <w:rPr>
        <w:rFonts w:ascii="Courier New" w:hAnsi="Courier New" w:cs="Courier New" w:hint="default"/>
      </w:rPr>
    </w:lvl>
    <w:lvl w:ilvl="2" w:tplc="4DE6C374">
      <w:start w:val="1"/>
      <w:numFmt w:val="bullet"/>
      <w:lvlText w:val=""/>
      <w:lvlJc w:val="left"/>
      <w:pPr>
        <w:ind w:left="2160" w:hanging="360"/>
      </w:pPr>
      <w:rPr>
        <w:rFonts w:ascii="Wingdings" w:hAnsi="Wingdings" w:hint="default"/>
      </w:rPr>
    </w:lvl>
    <w:lvl w:ilvl="3" w:tplc="AFD05F6A" w:tentative="1">
      <w:start w:val="1"/>
      <w:numFmt w:val="bullet"/>
      <w:lvlText w:val=""/>
      <w:lvlJc w:val="left"/>
      <w:pPr>
        <w:ind w:left="2880" w:hanging="360"/>
      </w:pPr>
      <w:rPr>
        <w:rFonts w:ascii="Symbol" w:hAnsi="Symbol" w:hint="default"/>
      </w:rPr>
    </w:lvl>
    <w:lvl w:ilvl="4" w:tplc="D400A13A" w:tentative="1">
      <w:start w:val="1"/>
      <w:numFmt w:val="bullet"/>
      <w:lvlText w:val="o"/>
      <w:lvlJc w:val="left"/>
      <w:pPr>
        <w:ind w:left="3600" w:hanging="360"/>
      </w:pPr>
      <w:rPr>
        <w:rFonts w:ascii="Courier New" w:hAnsi="Courier New" w:cs="Courier New" w:hint="default"/>
      </w:rPr>
    </w:lvl>
    <w:lvl w:ilvl="5" w:tplc="98A0B85E" w:tentative="1">
      <w:start w:val="1"/>
      <w:numFmt w:val="bullet"/>
      <w:lvlText w:val=""/>
      <w:lvlJc w:val="left"/>
      <w:pPr>
        <w:ind w:left="4320" w:hanging="360"/>
      </w:pPr>
      <w:rPr>
        <w:rFonts w:ascii="Wingdings" w:hAnsi="Wingdings" w:hint="default"/>
      </w:rPr>
    </w:lvl>
    <w:lvl w:ilvl="6" w:tplc="65A4E4AE" w:tentative="1">
      <w:start w:val="1"/>
      <w:numFmt w:val="bullet"/>
      <w:lvlText w:val=""/>
      <w:lvlJc w:val="left"/>
      <w:pPr>
        <w:ind w:left="5040" w:hanging="360"/>
      </w:pPr>
      <w:rPr>
        <w:rFonts w:ascii="Symbol" w:hAnsi="Symbol" w:hint="default"/>
      </w:rPr>
    </w:lvl>
    <w:lvl w:ilvl="7" w:tplc="A548644E" w:tentative="1">
      <w:start w:val="1"/>
      <w:numFmt w:val="bullet"/>
      <w:lvlText w:val="o"/>
      <w:lvlJc w:val="left"/>
      <w:pPr>
        <w:ind w:left="5760" w:hanging="360"/>
      </w:pPr>
      <w:rPr>
        <w:rFonts w:ascii="Courier New" w:hAnsi="Courier New" w:cs="Courier New" w:hint="default"/>
      </w:rPr>
    </w:lvl>
    <w:lvl w:ilvl="8" w:tplc="6E6696AC"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4"/>
  </w:num>
  <w:num w:numId="4">
    <w:abstractNumId w:val="21"/>
  </w:num>
  <w:num w:numId="5">
    <w:abstractNumId w:val="22"/>
  </w:num>
  <w:num w:numId="6">
    <w:abstractNumId w:val="8"/>
  </w:num>
  <w:num w:numId="7">
    <w:abstractNumId w:val="6"/>
  </w:num>
  <w:num w:numId="8">
    <w:abstractNumId w:val="7"/>
  </w:num>
  <w:num w:numId="9">
    <w:abstractNumId w:val="3"/>
  </w:num>
  <w:num w:numId="10">
    <w:abstractNumId w:val="23"/>
  </w:num>
  <w:num w:numId="11">
    <w:abstractNumId w:val="18"/>
  </w:num>
  <w:num w:numId="12">
    <w:abstractNumId w:val="19"/>
  </w:num>
  <w:num w:numId="13">
    <w:abstractNumId w:val="7"/>
  </w:num>
  <w:num w:numId="14">
    <w:abstractNumId w:val="10"/>
  </w:num>
  <w:num w:numId="15">
    <w:abstractNumId w:val="14"/>
  </w:num>
  <w:num w:numId="16">
    <w:abstractNumId w:val="3"/>
  </w:num>
  <w:num w:numId="17">
    <w:abstractNumId w:val="3"/>
  </w:num>
  <w:num w:numId="18">
    <w:abstractNumId w:val="3"/>
  </w:num>
  <w:num w:numId="19">
    <w:abstractNumId w:val="3"/>
  </w:num>
  <w:num w:numId="20">
    <w:abstractNumId w:val="9"/>
  </w:num>
  <w:num w:numId="21">
    <w:abstractNumId w:val="5"/>
  </w:num>
  <w:num w:numId="22">
    <w:abstractNumId w:val="12"/>
  </w:num>
  <w:num w:numId="23">
    <w:abstractNumId w:val="4"/>
  </w:num>
  <w:num w:numId="24">
    <w:abstractNumId w:val="11"/>
  </w:num>
  <w:num w:numId="25">
    <w:abstractNumId w:val="3"/>
  </w:num>
  <w:num w:numId="26">
    <w:abstractNumId w:val="3"/>
  </w:num>
  <w:num w:numId="27">
    <w:abstractNumId w:val="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
  </w:num>
  <w:num w:numId="33">
    <w:abstractNumId w:val="3"/>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0"/>
  </w:num>
  <w:num w:numId="37">
    <w:abstractNumId w:val="2"/>
  </w:num>
  <w:num w:numId="38">
    <w:abstractNumId w:val="3"/>
  </w:num>
  <w:num w:numId="3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E5"/>
    <w:rsid w:val="000036DC"/>
    <w:rsid w:val="00011BC3"/>
    <w:rsid w:val="0001506A"/>
    <w:rsid w:val="000168E3"/>
    <w:rsid w:val="000172EC"/>
    <w:rsid w:val="00024098"/>
    <w:rsid w:val="000423D7"/>
    <w:rsid w:val="00077BBD"/>
    <w:rsid w:val="000853A0"/>
    <w:rsid w:val="00086B13"/>
    <w:rsid w:val="000911AA"/>
    <w:rsid w:val="00091B2B"/>
    <w:rsid w:val="0009288F"/>
    <w:rsid w:val="00097241"/>
    <w:rsid w:val="000A172B"/>
    <w:rsid w:val="000A3210"/>
    <w:rsid w:val="000A769F"/>
    <w:rsid w:val="000B23F2"/>
    <w:rsid w:val="000B539A"/>
    <w:rsid w:val="000B53B1"/>
    <w:rsid w:val="000B689F"/>
    <w:rsid w:val="000B6E4F"/>
    <w:rsid w:val="000C20F2"/>
    <w:rsid w:val="000C3F3A"/>
    <w:rsid w:val="000C7689"/>
    <w:rsid w:val="000D00DD"/>
    <w:rsid w:val="000D05A4"/>
    <w:rsid w:val="000D2BBC"/>
    <w:rsid w:val="000D5070"/>
    <w:rsid w:val="000D63B5"/>
    <w:rsid w:val="000D7D05"/>
    <w:rsid w:val="000E1A58"/>
    <w:rsid w:val="000E48EC"/>
    <w:rsid w:val="000E6F43"/>
    <w:rsid w:val="000F1981"/>
    <w:rsid w:val="00102811"/>
    <w:rsid w:val="00102D3B"/>
    <w:rsid w:val="00110A60"/>
    <w:rsid w:val="00113584"/>
    <w:rsid w:val="001143D1"/>
    <w:rsid w:val="00120DE1"/>
    <w:rsid w:val="0012230A"/>
    <w:rsid w:val="001436E3"/>
    <w:rsid w:val="00151002"/>
    <w:rsid w:val="0015368D"/>
    <w:rsid w:val="00154208"/>
    <w:rsid w:val="001556CC"/>
    <w:rsid w:val="001638EC"/>
    <w:rsid w:val="001648A9"/>
    <w:rsid w:val="00171142"/>
    <w:rsid w:val="00176726"/>
    <w:rsid w:val="00184DC4"/>
    <w:rsid w:val="00194D6E"/>
    <w:rsid w:val="0019750D"/>
    <w:rsid w:val="001A3992"/>
    <w:rsid w:val="001A613B"/>
    <w:rsid w:val="001A7724"/>
    <w:rsid w:val="001A7826"/>
    <w:rsid w:val="001B39B0"/>
    <w:rsid w:val="001C71C7"/>
    <w:rsid w:val="001D567F"/>
    <w:rsid w:val="001D73B1"/>
    <w:rsid w:val="001E039C"/>
    <w:rsid w:val="001F05F5"/>
    <w:rsid w:val="001F259D"/>
    <w:rsid w:val="001F690A"/>
    <w:rsid w:val="00200B68"/>
    <w:rsid w:val="002041D0"/>
    <w:rsid w:val="00210BFA"/>
    <w:rsid w:val="002175A3"/>
    <w:rsid w:val="002245D3"/>
    <w:rsid w:val="00226885"/>
    <w:rsid w:val="00226BC5"/>
    <w:rsid w:val="00230B99"/>
    <w:rsid w:val="00235670"/>
    <w:rsid w:val="0023660C"/>
    <w:rsid w:val="002436E7"/>
    <w:rsid w:val="0024632F"/>
    <w:rsid w:val="00252F35"/>
    <w:rsid w:val="00253646"/>
    <w:rsid w:val="002652D3"/>
    <w:rsid w:val="002805F6"/>
    <w:rsid w:val="0028091E"/>
    <w:rsid w:val="00287774"/>
    <w:rsid w:val="00290E91"/>
    <w:rsid w:val="00291E15"/>
    <w:rsid w:val="00292D82"/>
    <w:rsid w:val="002965E4"/>
    <w:rsid w:val="002A0387"/>
    <w:rsid w:val="002A1632"/>
    <w:rsid w:val="002A5C93"/>
    <w:rsid w:val="002B4560"/>
    <w:rsid w:val="002B72B2"/>
    <w:rsid w:val="002C7643"/>
    <w:rsid w:val="002C7D4B"/>
    <w:rsid w:val="002D27E6"/>
    <w:rsid w:val="002D70BB"/>
    <w:rsid w:val="002E02CC"/>
    <w:rsid w:val="002E277D"/>
    <w:rsid w:val="002E2884"/>
    <w:rsid w:val="002E45F0"/>
    <w:rsid w:val="002E5DF9"/>
    <w:rsid w:val="002E6103"/>
    <w:rsid w:val="00304002"/>
    <w:rsid w:val="00305E5B"/>
    <w:rsid w:val="00307108"/>
    <w:rsid w:val="00310118"/>
    <w:rsid w:val="00325B4D"/>
    <w:rsid w:val="003279CD"/>
    <w:rsid w:val="003301FE"/>
    <w:rsid w:val="00331DD6"/>
    <w:rsid w:val="00332E5D"/>
    <w:rsid w:val="0033558D"/>
    <w:rsid w:val="00336D39"/>
    <w:rsid w:val="00347D8E"/>
    <w:rsid w:val="00362141"/>
    <w:rsid w:val="003648BC"/>
    <w:rsid w:val="00371CAC"/>
    <w:rsid w:val="003720D4"/>
    <w:rsid w:val="0038119B"/>
    <w:rsid w:val="0038528B"/>
    <w:rsid w:val="00392E66"/>
    <w:rsid w:val="00393528"/>
    <w:rsid w:val="003A6207"/>
    <w:rsid w:val="003B7547"/>
    <w:rsid w:val="003C0F07"/>
    <w:rsid w:val="003C3D68"/>
    <w:rsid w:val="003C3FB2"/>
    <w:rsid w:val="003C5507"/>
    <w:rsid w:val="003C7AD8"/>
    <w:rsid w:val="003E123A"/>
    <w:rsid w:val="003E3F40"/>
    <w:rsid w:val="003F2547"/>
    <w:rsid w:val="003F31BC"/>
    <w:rsid w:val="003F411A"/>
    <w:rsid w:val="003F74FE"/>
    <w:rsid w:val="0040204A"/>
    <w:rsid w:val="004032BD"/>
    <w:rsid w:val="00407FF3"/>
    <w:rsid w:val="0041063B"/>
    <w:rsid w:val="00425F6F"/>
    <w:rsid w:val="004268FF"/>
    <w:rsid w:val="00431ACD"/>
    <w:rsid w:val="00432EB3"/>
    <w:rsid w:val="00433C44"/>
    <w:rsid w:val="00434B1D"/>
    <w:rsid w:val="00441725"/>
    <w:rsid w:val="00441EDA"/>
    <w:rsid w:val="00442C6D"/>
    <w:rsid w:val="00450542"/>
    <w:rsid w:val="004507B1"/>
    <w:rsid w:val="0045122C"/>
    <w:rsid w:val="00466BF1"/>
    <w:rsid w:val="00472E0A"/>
    <w:rsid w:val="00477BD3"/>
    <w:rsid w:val="00477BD5"/>
    <w:rsid w:val="00480C28"/>
    <w:rsid w:val="00492679"/>
    <w:rsid w:val="00493E3A"/>
    <w:rsid w:val="0049580C"/>
    <w:rsid w:val="00496FCB"/>
    <w:rsid w:val="00497139"/>
    <w:rsid w:val="004A05C7"/>
    <w:rsid w:val="004A160A"/>
    <w:rsid w:val="004A1B5B"/>
    <w:rsid w:val="004A46D5"/>
    <w:rsid w:val="004B2109"/>
    <w:rsid w:val="004B29C4"/>
    <w:rsid w:val="004B4DFD"/>
    <w:rsid w:val="004B546E"/>
    <w:rsid w:val="004C4D9F"/>
    <w:rsid w:val="004C51DC"/>
    <w:rsid w:val="004C6640"/>
    <w:rsid w:val="004C6857"/>
    <w:rsid w:val="004D0FD8"/>
    <w:rsid w:val="004E3689"/>
    <w:rsid w:val="004E66BB"/>
    <w:rsid w:val="004F02C2"/>
    <w:rsid w:val="004F0E4A"/>
    <w:rsid w:val="004F3B79"/>
    <w:rsid w:val="004F4954"/>
    <w:rsid w:val="00500F77"/>
    <w:rsid w:val="005028D6"/>
    <w:rsid w:val="00507F9A"/>
    <w:rsid w:val="00512BA0"/>
    <w:rsid w:val="00514ED3"/>
    <w:rsid w:val="0052159F"/>
    <w:rsid w:val="00522B51"/>
    <w:rsid w:val="00523F4F"/>
    <w:rsid w:val="00527461"/>
    <w:rsid w:val="00537BE6"/>
    <w:rsid w:val="00541C12"/>
    <w:rsid w:val="005474C7"/>
    <w:rsid w:val="005501F3"/>
    <w:rsid w:val="005528DB"/>
    <w:rsid w:val="00560D82"/>
    <w:rsid w:val="005614D0"/>
    <w:rsid w:val="0056189C"/>
    <w:rsid w:val="00566664"/>
    <w:rsid w:val="00574C61"/>
    <w:rsid w:val="005815A5"/>
    <w:rsid w:val="005834C1"/>
    <w:rsid w:val="005845A2"/>
    <w:rsid w:val="00584CEC"/>
    <w:rsid w:val="0059158B"/>
    <w:rsid w:val="00593326"/>
    <w:rsid w:val="005B090A"/>
    <w:rsid w:val="005B099A"/>
    <w:rsid w:val="005B460D"/>
    <w:rsid w:val="005B625A"/>
    <w:rsid w:val="005B6321"/>
    <w:rsid w:val="005B6C99"/>
    <w:rsid w:val="005C293B"/>
    <w:rsid w:val="005C550E"/>
    <w:rsid w:val="005C56C2"/>
    <w:rsid w:val="005E0A8F"/>
    <w:rsid w:val="006014C0"/>
    <w:rsid w:val="00607716"/>
    <w:rsid w:val="006102FC"/>
    <w:rsid w:val="006107FF"/>
    <w:rsid w:val="006127C6"/>
    <w:rsid w:val="00613276"/>
    <w:rsid w:val="00621A28"/>
    <w:rsid w:val="0062272E"/>
    <w:rsid w:val="006245B2"/>
    <w:rsid w:val="00624810"/>
    <w:rsid w:val="0062537C"/>
    <w:rsid w:val="0062619F"/>
    <w:rsid w:val="006300D9"/>
    <w:rsid w:val="00636DB9"/>
    <w:rsid w:val="0064449B"/>
    <w:rsid w:val="00650E51"/>
    <w:rsid w:val="00656B65"/>
    <w:rsid w:val="00656E0E"/>
    <w:rsid w:val="00661316"/>
    <w:rsid w:val="0066158B"/>
    <w:rsid w:val="00674D47"/>
    <w:rsid w:val="0067657D"/>
    <w:rsid w:val="00680930"/>
    <w:rsid w:val="006814A5"/>
    <w:rsid w:val="0068253A"/>
    <w:rsid w:val="00684D25"/>
    <w:rsid w:val="00687172"/>
    <w:rsid w:val="00697813"/>
    <w:rsid w:val="006A101A"/>
    <w:rsid w:val="006A311D"/>
    <w:rsid w:val="006A3467"/>
    <w:rsid w:val="006B335D"/>
    <w:rsid w:val="006B35A8"/>
    <w:rsid w:val="006B4738"/>
    <w:rsid w:val="006B49F1"/>
    <w:rsid w:val="006C02FB"/>
    <w:rsid w:val="006C1EB7"/>
    <w:rsid w:val="006D464A"/>
    <w:rsid w:val="006D701E"/>
    <w:rsid w:val="006E25FA"/>
    <w:rsid w:val="006E4DE1"/>
    <w:rsid w:val="006E5584"/>
    <w:rsid w:val="006E7B35"/>
    <w:rsid w:val="006F290B"/>
    <w:rsid w:val="006F34DC"/>
    <w:rsid w:val="006F6072"/>
    <w:rsid w:val="007038D7"/>
    <w:rsid w:val="00703FA3"/>
    <w:rsid w:val="00707808"/>
    <w:rsid w:val="00710164"/>
    <w:rsid w:val="00710C57"/>
    <w:rsid w:val="00714266"/>
    <w:rsid w:val="00715BD4"/>
    <w:rsid w:val="00717E34"/>
    <w:rsid w:val="00724004"/>
    <w:rsid w:val="00727A4C"/>
    <w:rsid w:val="00730C86"/>
    <w:rsid w:val="00731E66"/>
    <w:rsid w:val="0073223A"/>
    <w:rsid w:val="00733F9E"/>
    <w:rsid w:val="00734065"/>
    <w:rsid w:val="0074004E"/>
    <w:rsid w:val="00743EE2"/>
    <w:rsid w:val="0074451F"/>
    <w:rsid w:val="00744556"/>
    <w:rsid w:val="007451A5"/>
    <w:rsid w:val="007524DC"/>
    <w:rsid w:val="00752FBB"/>
    <w:rsid w:val="00755DD4"/>
    <w:rsid w:val="00761F84"/>
    <w:rsid w:val="00765536"/>
    <w:rsid w:val="007676D0"/>
    <w:rsid w:val="00774D10"/>
    <w:rsid w:val="0078380E"/>
    <w:rsid w:val="007912D5"/>
    <w:rsid w:val="007916ED"/>
    <w:rsid w:val="00792920"/>
    <w:rsid w:val="00793D12"/>
    <w:rsid w:val="00795926"/>
    <w:rsid w:val="00797087"/>
    <w:rsid w:val="007A273B"/>
    <w:rsid w:val="007A37D7"/>
    <w:rsid w:val="007C326A"/>
    <w:rsid w:val="007C4C57"/>
    <w:rsid w:val="007C5F2C"/>
    <w:rsid w:val="007D03C7"/>
    <w:rsid w:val="007D0E1F"/>
    <w:rsid w:val="007D103D"/>
    <w:rsid w:val="007D1A8B"/>
    <w:rsid w:val="007D565E"/>
    <w:rsid w:val="007D756B"/>
    <w:rsid w:val="007E1BB3"/>
    <w:rsid w:val="007F3B6D"/>
    <w:rsid w:val="007F5241"/>
    <w:rsid w:val="007F5866"/>
    <w:rsid w:val="007F5CF1"/>
    <w:rsid w:val="00807DD9"/>
    <w:rsid w:val="00810681"/>
    <w:rsid w:val="00817B52"/>
    <w:rsid w:val="008229F2"/>
    <w:rsid w:val="0083258F"/>
    <w:rsid w:val="008329D4"/>
    <w:rsid w:val="0083621A"/>
    <w:rsid w:val="0084236A"/>
    <w:rsid w:val="00842CCF"/>
    <w:rsid w:val="00855B42"/>
    <w:rsid w:val="008718FF"/>
    <w:rsid w:val="00874BFE"/>
    <w:rsid w:val="00875B2C"/>
    <w:rsid w:val="00882EEE"/>
    <w:rsid w:val="0089618D"/>
    <w:rsid w:val="008A0A68"/>
    <w:rsid w:val="008A1239"/>
    <w:rsid w:val="008A7A37"/>
    <w:rsid w:val="008B2091"/>
    <w:rsid w:val="008B38F2"/>
    <w:rsid w:val="008B7B85"/>
    <w:rsid w:val="008C3F74"/>
    <w:rsid w:val="008D3723"/>
    <w:rsid w:val="008D5C59"/>
    <w:rsid w:val="008E19CA"/>
    <w:rsid w:val="008F200A"/>
    <w:rsid w:val="008F5244"/>
    <w:rsid w:val="00902FB8"/>
    <w:rsid w:val="0090531A"/>
    <w:rsid w:val="009113DE"/>
    <w:rsid w:val="00922A59"/>
    <w:rsid w:val="00933F60"/>
    <w:rsid w:val="0093697A"/>
    <w:rsid w:val="0093697F"/>
    <w:rsid w:val="009373E3"/>
    <w:rsid w:val="0094450F"/>
    <w:rsid w:val="009466D4"/>
    <w:rsid w:val="00950C60"/>
    <w:rsid w:val="00953F82"/>
    <w:rsid w:val="00960170"/>
    <w:rsid w:val="00960A55"/>
    <w:rsid w:val="00960CD5"/>
    <w:rsid w:val="009616D4"/>
    <w:rsid w:val="00966CC4"/>
    <w:rsid w:val="00966D1D"/>
    <w:rsid w:val="00982B01"/>
    <w:rsid w:val="0099291B"/>
    <w:rsid w:val="009978B5"/>
    <w:rsid w:val="009979C3"/>
    <w:rsid w:val="009A4928"/>
    <w:rsid w:val="009A6470"/>
    <w:rsid w:val="009B0788"/>
    <w:rsid w:val="009C7CC3"/>
    <w:rsid w:val="009E225F"/>
    <w:rsid w:val="009E4A3A"/>
    <w:rsid w:val="009E5929"/>
    <w:rsid w:val="009F4ACD"/>
    <w:rsid w:val="009F4C3B"/>
    <w:rsid w:val="00A01640"/>
    <w:rsid w:val="00A0544A"/>
    <w:rsid w:val="00A07651"/>
    <w:rsid w:val="00A17D5F"/>
    <w:rsid w:val="00A24906"/>
    <w:rsid w:val="00A25238"/>
    <w:rsid w:val="00A374BC"/>
    <w:rsid w:val="00A435F4"/>
    <w:rsid w:val="00A437B5"/>
    <w:rsid w:val="00A45C98"/>
    <w:rsid w:val="00A53565"/>
    <w:rsid w:val="00A54895"/>
    <w:rsid w:val="00A62F6D"/>
    <w:rsid w:val="00A64C04"/>
    <w:rsid w:val="00A66009"/>
    <w:rsid w:val="00A846E5"/>
    <w:rsid w:val="00A84902"/>
    <w:rsid w:val="00A86E0A"/>
    <w:rsid w:val="00A93030"/>
    <w:rsid w:val="00AA0024"/>
    <w:rsid w:val="00AA3B6D"/>
    <w:rsid w:val="00AB5485"/>
    <w:rsid w:val="00AC0186"/>
    <w:rsid w:val="00AC4C04"/>
    <w:rsid w:val="00AC5AA0"/>
    <w:rsid w:val="00AC7784"/>
    <w:rsid w:val="00AD1FFC"/>
    <w:rsid w:val="00AD6881"/>
    <w:rsid w:val="00AE2D10"/>
    <w:rsid w:val="00AE5799"/>
    <w:rsid w:val="00AF0802"/>
    <w:rsid w:val="00AF2904"/>
    <w:rsid w:val="00AF7759"/>
    <w:rsid w:val="00B0008B"/>
    <w:rsid w:val="00B01394"/>
    <w:rsid w:val="00B0158D"/>
    <w:rsid w:val="00B03BBC"/>
    <w:rsid w:val="00B05447"/>
    <w:rsid w:val="00B1006E"/>
    <w:rsid w:val="00B120A3"/>
    <w:rsid w:val="00B1221A"/>
    <w:rsid w:val="00B14503"/>
    <w:rsid w:val="00B147D2"/>
    <w:rsid w:val="00B14C17"/>
    <w:rsid w:val="00B17134"/>
    <w:rsid w:val="00B17D41"/>
    <w:rsid w:val="00B21EA7"/>
    <w:rsid w:val="00B3325C"/>
    <w:rsid w:val="00B36E99"/>
    <w:rsid w:val="00B44810"/>
    <w:rsid w:val="00B64EC4"/>
    <w:rsid w:val="00B72AEB"/>
    <w:rsid w:val="00B7323B"/>
    <w:rsid w:val="00B806B7"/>
    <w:rsid w:val="00B86A15"/>
    <w:rsid w:val="00B93F05"/>
    <w:rsid w:val="00BA00BF"/>
    <w:rsid w:val="00BA2676"/>
    <w:rsid w:val="00BB3AD1"/>
    <w:rsid w:val="00BB4E1A"/>
    <w:rsid w:val="00BB5C91"/>
    <w:rsid w:val="00BC364A"/>
    <w:rsid w:val="00BD4A5F"/>
    <w:rsid w:val="00BE1862"/>
    <w:rsid w:val="00BE201F"/>
    <w:rsid w:val="00BE42DB"/>
    <w:rsid w:val="00BE4353"/>
    <w:rsid w:val="00BE4A26"/>
    <w:rsid w:val="00BE4D14"/>
    <w:rsid w:val="00BF29A6"/>
    <w:rsid w:val="00BF644B"/>
    <w:rsid w:val="00BF6FC7"/>
    <w:rsid w:val="00BF70DB"/>
    <w:rsid w:val="00C0591E"/>
    <w:rsid w:val="00C06693"/>
    <w:rsid w:val="00C158EB"/>
    <w:rsid w:val="00C15929"/>
    <w:rsid w:val="00C15AA6"/>
    <w:rsid w:val="00C240EC"/>
    <w:rsid w:val="00C301BA"/>
    <w:rsid w:val="00C32373"/>
    <w:rsid w:val="00C32B2D"/>
    <w:rsid w:val="00C34722"/>
    <w:rsid w:val="00C414B0"/>
    <w:rsid w:val="00C43229"/>
    <w:rsid w:val="00C47C5D"/>
    <w:rsid w:val="00C525B4"/>
    <w:rsid w:val="00C55341"/>
    <w:rsid w:val="00C76121"/>
    <w:rsid w:val="00C82C18"/>
    <w:rsid w:val="00C82DFE"/>
    <w:rsid w:val="00C937CC"/>
    <w:rsid w:val="00C95448"/>
    <w:rsid w:val="00C96BF6"/>
    <w:rsid w:val="00C971E9"/>
    <w:rsid w:val="00CA0E39"/>
    <w:rsid w:val="00CA5C63"/>
    <w:rsid w:val="00CA6CCF"/>
    <w:rsid w:val="00CA73C2"/>
    <w:rsid w:val="00CA7CB4"/>
    <w:rsid w:val="00CB2673"/>
    <w:rsid w:val="00CB4FD4"/>
    <w:rsid w:val="00CB57D8"/>
    <w:rsid w:val="00CC3F10"/>
    <w:rsid w:val="00CC6637"/>
    <w:rsid w:val="00CD116F"/>
    <w:rsid w:val="00CD52E2"/>
    <w:rsid w:val="00CD5483"/>
    <w:rsid w:val="00CD6AF0"/>
    <w:rsid w:val="00CE0C17"/>
    <w:rsid w:val="00CF420A"/>
    <w:rsid w:val="00CF6D73"/>
    <w:rsid w:val="00D04C7E"/>
    <w:rsid w:val="00D05117"/>
    <w:rsid w:val="00D1110B"/>
    <w:rsid w:val="00D11885"/>
    <w:rsid w:val="00D14313"/>
    <w:rsid w:val="00D144BC"/>
    <w:rsid w:val="00D15648"/>
    <w:rsid w:val="00D20B09"/>
    <w:rsid w:val="00D256C2"/>
    <w:rsid w:val="00D26487"/>
    <w:rsid w:val="00D3173A"/>
    <w:rsid w:val="00D352A4"/>
    <w:rsid w:val="00D44BA0"/>
    <w:rsid w:val="00D467B5"/>
    <w:rsid w:val="00D55E11"/>
    <w:rsid w:val="00D70EC1"/>
    <w:rsid w:val="00D72C05"/>
    <w:rsid w:val="00D74BAA"/>
    <w:rsid w:val="00D82405"/>
    <w:rsid w:val="00D839F1"/>
    <w:rsid w:val="00D83B32"/>
    <w:rsid w:val="00D86276"/>
    <w:rsid w:val="00D93431"/>
    <w:rsid w:val="00DA361C"/>
    <w:rsid w:val="00DA3F9F"/>
    <w:rsid w:val="00DC15D7"/>
    <w:rsid w:val="00DC2B76"/>
    <w:rsid w:val="00DC40C5"/>
    <w:rsid w:val="00DC4D04"/>
    <w:rsid w:val="00DD1FB2"/>
    <w:rsid w:val="00DD4975"/>
    <w:rsid w:val="00DD4EC9"/>
    <w:rsid w:val="00DD6347"/>
    <w:rsid w:val="00DD6F31"/>
    <w:rsid w:val="00DE2723"/>
    <w:rsid w:val="00DE31C7"/>
    <w:rsid w:val="00DF4D81"/>
    <w:rsid w:val="00DF5E99"/>
    <w:rsid w:val="00DF5EDD"/>
    <w:rsid w:val="00E060D0"/>
    <w:rsid w:val="00E12120"/>
    <w:rsid w:val="00E135DD"/>
    <w:rsid w:val="00E2145A"/>
    <w:rsid w:val="00E23570"/>
    <w:rsid w:val="00E25305"/>
    <w:rsid w:val="00E25D6F"/>
    <w:rsid w:val="00E324D6"/>
    <w:rsid w:val="00E40D97"/>
    <w:rsid w:val="00E461A8"/>
    <w:rsid w:val="00E53688"/>
    <w:rsid w:val="00E5374C"/>
    <w:rsid w:val="00E62072"/>
    <w:rsid w:val="00E70C1E"/>
    <w:rsid w:val="00E71F4B"/>
    <w:rsid w:val="00E74A56"/>
    <w:rsid w:val="00E8486D"/>
    <w:rsid w:val="00E85C89"/>
    <w:rsid w:val="00EA0FA2"/>
    <w:rsid w:val="00EA18FC"/>
    <w:rsid w:val="00EA4F82"/>
    <w:rsid w:val="00EA615B"/>
    <w:rsid w:val="00EB0442"/>
    <w:rsid w:val="00EB2D2D"/>
    <w:rsid w:val="00EB3926"/>
    <w:rsid w:val="00EB3F80"/>
    <w:rsid w:val="00EC6104"/>
    <w:rsid w:val="00ED0937"/>
    <w:rsid w:val="00ED2051"/>
    <w:rsid w:val="00EF2BAB"/>
    <w:rsid w:val="00EF7B4D"/>
    <w:rsid w:val="00EF7D16"/>
    <w:rsid w:val="00F00DB5"/>
    <w:rsid w:val="00F00ED1"/>
    <w:rsid w:val="00F02633"/>
    <w:rsid w:val="00F13902"/>
    <w:rsid w:val="00F139C3"/>
    <w:rsid w:val="00F13DCA"/>
    <w:rsid w:val="00F14A66"/>
    <w:rsid w:val="00F15458"/>
    <w:rsid w:val="00F1711B"/>
    <w:rsid w:val="00F176E1"/>
    <w:rsid w:val="00F17760"/>
    <w:rsid w:val="00F2057D"/>
    <w:rsid w:val="00F42FF8"/>
    <w:rsid w:val="00F4356C"/>
    <w:rsid w:val="00F45211"/>
    <w:rsid w:val="00F50FE6"/>
    <w:rsid w:val="00F63361"/>
    <w:rsid w:val="00F72471"/>
    <w:rsid w:val="00F75E4B"/>
    <w:rsid w:val="00F77B7A"/>
    <w:rsid w:val="00F83DB6"/>
    <w:rsid w:val="00F86A56"/>
    <w:rsid w:val="00F87379"/>
    <w:rsid w:val="00F9762B"/>
    <w:rsid w:val="00FA77AA"/>
    <w:rsid w:val="00FB23E5"/>
    <w:rsid w:val="00FB5DC1"/>
    <w:rsid w:val="00FB7E27"/>
    <w:rsid w:val="00FC0C30"/>
    <w:rsid w:val="00FD3E22"/>
    <w:rsid w:val="00FD4643"/>
    <w:rsid w:val="00FD63F7"/>
    <w:rsid w:val="00FE43D5"/>
    <w:rsid w:val="00FF3DB8"/>
    <w:rsid w:val="00FF507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02FECF"/>
  <w15:docId w15:val="{B11645EB-C0FB-4B34-B9C2-A1D0DBA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6B35A8"/>
    <w:pPr>
      <w:keepNext/>
      <w:pageBreakBefore/>
      <w:numPr>
        <w:numId w:val="9"/>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6B35A8"/>
    <w:pPr>
      <w:pageBreakBefore w:val="0"/>
      <w:numPr>
        <w:ilvl w:val="1"/>
      </w:numPr>
      <w:outlineLvl w:val="1"/>
    </w:pPr>
    <w:rPr>
      <w:bCs w:val="0"/>
      <w:iCs/>
      <w:sz w:val="22"/>
      <w:szCs w:val="28"/>
    </w:rPr>
  </w:style>
  <w:style w:type="paragraph" w:styleId="Heading3">
    <w:name w:val="heading 3"/>
    <w:basedOn w:val="Heading1"/>
    <w:next w:val="Normal"/>
    <w:link w:val="Heading3Char"/>
    <w:qFormat/>
    <w:rsid w:val="006B35A8"/>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6B35A8"/>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6B35A8"/>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6B35A8"/>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6B35A8"/>
    <w:pPr>
      <w:numPr>
        <w:ilvl w:val="6"/>
      </w:numPr>
      <w:outlineLvl w:val="6"/>
    </w:pPr>
  </w:style>
  <w:style w:type="paragraph" w:styleId="Heading8">
    <w:name w:val="heading 8"/>
    <w:basedOn w:val="Heading6"/>
    <w:next w:val="Normal"/>
    <w:link w:val="Heading8Char"/>
    <w:qFormat/>
    <w:rsid w:val="006B35A8"/>
    <w:pPr>
      <w:numPr>
        <w:ilvl w:val="7"/>
      </w:numPr>
      <w:outlineLvl w:val="7"/>
    </w:pPr>
    <w:rPr>
      <w:iCs/>
    </w:rPr>
  </w:style>
  <w:style w:type="paragraph" w:styleId="Heading9">
    <w:name w:val="heading 9"/>
    <w:basedOn w:val="Heading6"/>
    <w:next w:val="Normal"/>
    <w:link w:val="Heading9Char"/>
    <w:qFormat/>
    <w:rsid w:val="006B35A8"/>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Pr>
      <w:rFonts w:ascii="Arial" w:eastAsia="MS Gothic" w:hAnsi="Arial" w:cs="Arial"/>
      <w:b/>
      <w:iCs/>
      <w:caps/>
      <w:kern w:val="32"/>
      <w:szCs w:val="28"/>
      <w:lang w:val="en-US"/>
    </w:rPr>
  </w:style>
  <w:style w:type="character" w:customStyle="1" w:styleId="Heading3Char">
    <w:name w:val="Heading 3 Char"/>
    <w:basedOn w:val="DefaultParagraphFont"/>
    <w:link w:val="Heading3"/>
    <w:rPr>
      <w:rFonts w:ascii="Arial" w:eastAsia="MS Gothic" w:hAnsi="Arial" w:cs="Arial"/>
      <w:b/>
      <w:kern w:val="32"/>
      <w:szCs w:val="26"/>
      <w:lang w:val="en-US"/>
    </w:rPr>
  </w:style>
  <w:style w:type="character" w:customStyle="1" w:styleId="Heading4Char">
    <w:name w:val="Heading 4 Char"/>
    <w:basedOn w:val="DefaultParagraphFont"/>
    <w:link w:val="Heading4"/>
    <w:rPr>
      <w:rFonts w:ascii="Arial" w:eastAsia="MS Gothic" w:hAnsi="Arial" w:cs="Arial"/>
      <w:b/>
      <w:i/>
      <w:kern w:val="32"/>
      <w:szCs w:val="28"/>
      <w:lang w:val="en-US"/>
    </w:rPr>
  </w:style>
  <w:style w:type="character" w:customStyle="1" w:styleId="Heading5Char">
    <w:name w:val="Heading 5 Char"/>
    <w:basedOn w:val="DefaultParagraphFont"/>
    <w:link w:val="Heading5"/>
    <w:rPr>
      <w:rFonts w:ascii="Arial" w:eastAsia="MS Gothic" w:hAnsi="Arial" w:cs="Arial"/>
      <w:i/>
      <w:iCs/>
      <w:kern w:val="32"/>
      <w:szCs w:val="26"/>
      <w:lang w:val="en-US"/>
    </w:rPr>
  </w:style>
  <w:style w:type="character" w:customStyle="1" w:styleId="Heading6Char">
    <w:name w:val="Heading 6 Char"/>
    <w:basedOn w:val="DefaultParagraphFont"/>
    <w:link w:val="Heading6"/>
    <w:rPr>
      <w:rFonts w:ascii="Arial" w:eastAsia="MS Gothic" w:hAnsi="Arial" w:cs="Arial"/>
      <w:kern w:val="32"/>
      <w:lang w:val="en-US"/>
    </w:rPr>
  </w:style>
  <w:style w:type="character" w:customStyle="1" w:styleId="Heading7Char">
    <w:name w:val="Heading 7 Char"/>
    <w:basedOn w:val="DefaultParagraphFont"/>
    <w:link w:val="Heading7"/>
    <w:rPr>
      <w:rFonts w:ascii="Arial" w:eastAsia="MS Gothic" w:hAnsi="Arial" w:cs="Arial"/>
      <w:kern w:val="32"/>
      <w:lang w:val="en-US"/>
    </w:rPr>
  </w:style>
  <w:style w:type="character" w:customStyle="1" w:styleId="Heading8Char">
    <w:name w:val="Heading 8 Char"/>
    <w:basedOn w:val="DefaultParagraphFont"/>
    <w:link w:val="Heading8"/>
    <w:rPr>
      <w:rFonts w:ascii="Arial" w:eastAsia="MS Gothic" w:hAnsi="Arial" w:cs="Arial"/>
      <w:iCs/>
      <w:kern w:val="32"/>
      <w:lang w:val="en-US"/>
    </w:rPr>
  </w:style>
  <w:style w:type="character" w:customStyle="1" w:styleId="Heading9Char">
    <w:name w:val="Heading 9 Char"/>
    <w:basedOn w:val="DefaultParagraphFont"/>
    <w:link w:val="Heading9"/>
    <w:rPr>
      <w:rFonts w:ascii="Arial" w:eastAsia="MS Gothic" w:hAnsi="Arial" w:cs="Arial"/>
      <w:kern w:val="32"/>
      <w:lang w:val="en-US"/>
    </w:rPr>
  </w:style>
  <w:style w:type="paragraph" w:styleId="ListParagraph">
    <w:name w:val="List Paragraph"/>
    <w:aliases w:val="BulletList1,Bulletlist1,BulletList 1,Colorful List - Accent 11,List Paragraph1"/>
    <w:basedOn w:val="Normal"/>
    <w:link w:val="ListParagraphChar"/>
    <w:uiPriority w:val="34"/>
    <w:qFormat/>
    <w:pPr>
      <w:ind w:left="720"/>
      <w:contextualSpacing/>
    </w:pPr>
    <w:rPr>
      <w:rFonts w:ascii="Cambria" w:hAnsi="Cambria"/>
    </w:rPr>
  </w:style>
  <w:style w:type="character" w:styleId="CommentReference">
    <w:name w:val="annotation reference"/>
    <w:basedOn w:val="DefaultParagraphFont"/>
    <w:unhideWhenUsed/>
    <w:rPr>
      <w:sz w:val="16"/>
      <w:szCs w:val="16"/>
    </w:rPr>
  </w:style>
  <w:style w:type="paragraph" w:styleId="CommentText">
    <w:name w:val="annotation text"/>
    <w:aliases w:val="Annotationtext,Comment Text Char Char,Comment Text Char1 Char Char,Comment Text Char Char Char Char,Comment Text Char Char1,- H19,Comment Text Char1 Char"/>
    <w:basedOn w:val="Normal"/>
    <w:link w:val="CommentTextChar"/>
    <w:uiPriority w:val="99"/>
    <w:unhideWhenUsed/>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1 Char Char1"/>
    <w:basedOn w:val="DefaultParagraphFont"/>
    <w:link w:val="CommentText"/>
    <w:uiPriority w:val="99"/>
    <w:rPr>
      <w:rFonts w:ascii="Cambria" w:hAnsi="Cambria"/>
      <w:sz w:val="20"/>
      <w:szCs w:val="20"/>
    </w:rPr>
  </w:style>
  <w:style w:type="paragraph" w:styleId="FootnoteText">
    <w:name w:val="footnote text"/>
    <w:basedOn w:val="Normal"/>
    <w:link w:val="FootnoteTextChar"/>
    <w:pPr>
      <w:spacing w:before="20"/>
      <w:ind w:left="113" w:hanging="113"/>
    </w:pPr>
    <w:rPr>
      <w:sz w:val="22"/>
      <w:szCs w:val="20"/>
    </w:rPr>
  </w:style>
  <w:style w:type="character" w:customStyle="1" w:styleId="FootnoteTextChar">
    <w:name w:val="Footnote Text Char"/>
    <w:basedOn w:val="DefaultParagraphFont"/>
    <w:link w:val="FootnoteText"/>
    <w:rPr>
      <w:rFonts w:ascii="Times New Roman" w:eastAsia="MS Mincho" w:hAnsi="Times New Roman" w:cs="Times New Roman"/>
      <w:color w:val="000000"/>
      <w:szCs w:val="20"/>
      <w:lang w:val="en-US"/>
    </w:rPr>
  </w:style>
  <w:style w:type="character" w:styleId="FootnoteReference">
    <w:name w:val="footnote reference"/>
    <w:rPr>
      <w:rFonts w:ascii="Times New Roman" w:eastAsia="MS Mincho" w:hAnsi="Times New Roman"/>
      <w:color w:val="0000FF"/>
      <w:sz w:val="18"/>
      <w:vertAlign w:val="superscript"/>
    </w:rPr>
  </w:style>
  <w:style w:type="paragraph" w:styleId="ListBullet">
    <w:name w:val="List Bullet"/>
    <w:basedOn w:val="Normal"/>
    <w:pPr>
      <w:numPr>
        <w:numId w:val="4"/>
      </w:numPr>
    </w:pPr>
  </w:style>
  <w:style w:type="character" w:styleId="Hyperlink">
    <w:name w:val="Hyperlink"/>
    <w:uiPriority w:val="99"/>
    <w:rPr>
      <w:color w:val="0000FF"/>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link w:val="HeaderChar"/>
    <w:uiPriority w:val="99"/>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Pr>
      <w:rFonts w:ascii="Arial" w:eastAsia="MS Gothic" w:hAnsi="Arial" w:cs="Times New Roman"/>
      <w:sz w:val="18"/>
      <w:szCs w:val="20"/>
      <w:lang w:val="en-US"/>
    </w:rPr>
  </w:style>
  <w:style w:type="paragraph" w:customStyle="1" w:styleId="wcpTableContent">
    <w:name w:val="wcp_TableContent"/>
    <w:basedOn w:val="Normal"/>
    <w:pPr>
      <w:spacing w:before="40" w:after="40"/>
    </w:pPr>
    <w:rPr>
      <w:rFonts w:eastAsia="Times New Roman"/>
      <w:szCs w:val="20"/>
    </w:rPr>
  </w:style>
  <w:style w:type="paragraph" w:styleId="BodyTextIndent2">
    <w:name w:val="Body Text Indent 2"/>
    <w:basedOn w:val="Normal"/>
    <w:link w:val="BodyTextIndent2Char"/>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Pr>
      <w:rFonts w:ascii="Arial" w:eastAsia="Times New Roman" w:hAnsi="Arial" w:cs="Times New Roman"/>
      <w:sz w:val="24"/>
      <w:szCs w:val="20"/>
      <w:lang w:val="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customStyle="1" w:styleId="Heading1NoTOC">
    <w:name w:val="Heading 1 NoTOC"/>
    <w:basedOn w:val="Heading1"/>
    <w:pPr>
      <w:numPr>
        <w:numId w:val="0"/>
      </w:numPr>
      <w:outlineLvl w:val="9"/>
    </w:pPr>
  </w:style>
  <w:style w:type="paragraph" w:styleId="Title">
    <w:name w:val="Title"/>
    <w:next w:val="Normal"/>
    <w:link w:val="TitleChar"/>
    <w:qFormat/>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Pr>
      <w:rFonts w:ascii="Arial" w:eastAsia="MS Gothic" w:hAnsi="Arial" w:cs="Arial"/>
      <w:b/>
      <w:bCs/>
      <w:caps/>
      <w:szCs w:val="32"/>
      <w:lang w:val="en-US"/>
    </w:rPr>
  </w:style>
  <w:style w:type="paragraph" w:customStyle="1" w:styleId="TitleNoToc">
    <w:name w:val="Title NoToc"/>
    <w:basedOn w:val="Title"/>
    <w:next w:val="Normal"/>
    <w:pPr>
      <w:outlineLvl w:val="9"/>
    </w:pPr>
  </w:style>
  <w:style w:type="character" w:customStyle="1" w:styleId="InstructionsTextChar">
    <w:name w:val="Instructions Text Char"/>
    <w:link w:val="InstructionsText"/>
    <w:rPr>
      <w:rFonts w:eastAsia="MS Mincho"/>
      <w:color w:val="000000"/>
      <w:sz w:val="24"/>
      <w:szCs w:val="24"/>
      <w:shd w:val="clear" w:color="auto" w:fill="FFCC66"/>
      <w:lang w:val="en-US"/>
    </w:rPr>
  </w:style>
  <w:style w:type="paragraph" w:customStyle="1" w:styleId="ListNumbered">
    <w:name w:val="List Numbered"/>
    <w:basedOn w:val="Normal"/>
    <w:pPr>
      <w:numPr>
        <w:numId w:val="2"/>
      </w:numPr>
      <w:spacing w:before="120"/>
    </w:pPr>
  </w:style>
  <w:style w:type="paragraph" w:customStyle="1" w:styleId="ListBulletLevel1">
    <w:name w:val="List Bullet Level 1"/>
    <w:basedOn w:val="Normal"/>
    <w:pPr>
      <w:numPr>
        <w:numId w:val="13"/>
      </w:numPr>
      <w:spacing w:before="120"/>
    </w:pPr>
  </w:style>
  <w:style w:type="paragraph" w:customStyle="1" w:styleId="ListAlphabeticalLevel1">
    <w:name w:val="List Alphabetical Level 1"/>
    <w:basedOn w:val="Normal"/>
    <w:pPr>
      <w:numPr>
        <w:numId w:val="1"/>
      </w:numPr>
      <w:spacing w:before="120"/>
    </w:pPr>
  </w:style>
  <w:style w:type="paragraph" w:styleId="Bibliography">
    <w:name w:val="Bibliography"/>
    <w:basedOn w:val="Normal"/>
    <w:next w:val="Normal"/>
    <w:pPr>
      <w:ind w:left="357" w:hanging="357"/>
    </w:pPr>
  </w:style>
  <w:style w:type="paragraph" w:customStyle="1" w:styleId="ListBulletLevel2">
    <w:name w:val="List Bullet Level 2"/>
    <w:basedOn w:val="Normal"/>
    <w:pPr>
      <w:numPr>
        <w:numId w:val="5"/>
      </w:numPr>
      <w:spacing w:before="120"/>
    </w:pPr>
    <w:rPr>
      <w:szCs w:val="20"/>
    </w:rPr>
  </w:style>
  <w:style w:type="paragraph" w:styleId="Caption">
    <w:name w:val="caption"/>
    <w:aliases w:val="Char,caption,Caption-FUSA,c,eCTD-Caption,Caption Char1 Char,Caption Char Char Char,Caption Table...,Caption Char1 + 8 pt,Not B....,...,Caption Char1,Caption Char1 Char Char Char Char,Caption Char Char Char Char Char Char, Char,Bayer Caption"/>
    <w:next w:val="Normal"/>
    <w:link w:val="CaptionChar"/>
    <w:qFormat/>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pPr>
      <w:numPr>
        <w:numId w:val="7"/>
      </w:numPr>
    </w:pPr>
  </w:style>
  <w:style w:type="paragraph" w:customStyle="1" w:styleId="TblTextCenter">
    <w:name w:val="Tbl Text Center"/>
    <w:basedOn w:val="TblTextLeft"/>
    <w:pPr>
      <w:jc w:val="center"/>
    </w:pPr>
  </w:style>
  <w:style w:type="paragraph" w:customStyle="1" w:styleId="TblTextLeft">
    <w:name w:val="Tbl Text Left"/>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pPr>
      <w:spacing w:before="60" w:after="60" w:line="240" w:lineRule="auto"/>
    </w:pPr>
    <w:rPr>
      <w:rFonts w:ascii="Arial" w:eastAsia="MS Gothic" w:hAnsi="Arial" w:cs="Arial"/>
      <w:b/>
      <w:sz w:val="20"/>
      <w:szCs w:val="20"/>
      <w:lang w:val="de-DE"/>
    </w:rPr>
  </w:style>
  <w:style w:type="paragraph" w:customStyle="1" w:styleId="TblFigFootnote">
    <w:name w:val="Tbl Fig Footnote"/>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pPr>
      <w:jc w:val="center"/>
    </w:pPr>
  </w:style>
  <w:style w:type="paragraph" w:customStyle="1" w:styleId="HeaderLandscape">
    <w:name w:val="Header Landscape"/>
    <w:basedOn w:val="Header"/>
    <w:pPr>
      <w:tabs>
        <w:tab w:val="clear" w:pos="4536"/>
        <w:tab w:val="clear" w:pos="9480"/>
        <w:tab w:val="left" w:pos="6804"/>
        <w:tab w:val="right" w:pos="14118"/>
      </w:tabs>
    </w:pPr>
  </w:style>
  <w:style w:type="paragraph" w:customStyle="1" w:styleId="FooterLandscape">
    <w:name w:val="Footer Landscape"/>
    <w:basedOn w:val="Footer"/>
    <w:pPr>
      <w:tabs>
        <w:tab w:val="clear" w:pos="9469"/>
        <w:tab w:val="right" w:pos="14118"/>
      </w:tabs>
    </w:pPr>
  </w:style>
  <w:style w:type="character" w:customStyle="1" w:styleId="TblFigFootnoteReference">
    <w:name w:val="Tbl Fig Footnote Reference"/>
    <w:rPr>
      <w:rFonts w:ascii="Arial Narrow" w:eastAsia="MS Gothic" w:hAnsi="Arial Narrow"/>
      <w:i/>
      <w:dstrike w:val="0"/>
      <w:position w:val="6"/>
      <w:sz w:val="18"/>
      <w:vertAlign w:val="baseline"/>
      <w:lang w:val="en-US"/>
    </w:rPr>
  </w:style>
  <w:style w:type="paragraph" w:customStyle="1" w:styleId="xCover">
    <w:name w:val="xCover"/>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pPr>
      <w:spacing w:before="0"/>
    </w:pPr>
  </w:style>
  <w:style w:type="paragraph" w:customStyle="1" w:styleId="xCoverDocType">
    <w:name w:val="xCoverDocType"/>
    <w:basedOn w:val="xCover"/>
    <w:pPr>
      <w:spacing w:before="360"/>
      <w:jc w:val="center"/>
    </w:pPr>
    <w:rPr>
      <w:b/>
      <w:caps/>
      <w:sz w:val="28"/>
    </w:rPr>
  </w:style>
  <w:style w:type="paragraph" w:customStyle="1" w:styleId="xCoverDocTitle">
    <w:name w:val="xCoverDocTitle"/>
    <w:basedOn w:val="xCover"/>
    <w:pPr>
      <w:spacing w:before="240"/>
      <w:jc w:val="center"/>
    </w:pPr>
    <w:rPr>
      <w:b/>
      <w:sz w:val="24"/>
    </w:rPr>
  </w:style>
  <w:style w:type="paragraph" w:styleId="EndnoteText">
    <w:name w:val="endnote text"/>
    <w:basedOn w:val="Normal"/>
    <w:link w:val="EndnoteTextChar"/>
    <w:rPr>
      <w:sz w:val="22"/>
      <w:szCs w:val="20"/>
    </w:rPr>
  </w:style>
  <w:style w:type="character" w:customStyle="1" w:styleId="EndnoteTextChar">
    <w:name w:val="Endnote Text Char"/>
    <w:basedOn w:val="DefaultParagraphFont"/>
    <w:link w:val="EndnoteText"/>
    <w:rPr>
      <w:rFonts w:ascii="Times New Roman" w:eastAsia="MS Mincho" w:hAnsi="Times New Roman" w:cs="Times New Roman"/>
      <w:color w:val="000000"/>
      <w:szCs w:val="20"/>
      <w:lang w:val="en-US"/>
    </w:rPr>
  </w:style>
  <w:style w:type="character" w:styleId="EndnoteReference">
    <w:name w:val="endnote reference"/>
    <w:rPr>
      <w:vertAlign w:val="superscript"/>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en-US"/>
    </w:rPr>
  </w:style>
  <w:style w:type="paragraph" w:styleId="TableofFigures">
    <w:name w:val="table of figures"/>
    <w:next w:val="Normal"/>
    <w:semiHidden/>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pPr>
      <w:ind w:left="240" w:hanging="240"/>
    </w:pPr>
  </w:style>
  <w:style w:type="character" w:customStyle="1" w:styleId="ReplaceText">
    <w:name w:val="Replace Text"/>
    <w:rPr>
      <w:color w:val="FF00FF"/>
    </w:rPr>
  </w:style>
  <w:style w:type="paragraph" w:styleId="TOC1">
    <w:name w:val="toc 1"/>
    <w:next w:val="Normal"/>
    <w:uiPriority w:val="39"/>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pPr>
      <w:numPr>
        <w:numId w:val="3"/>
      </w:numPr>
    </w:pPr>
  </w:style>
  <w:style w:type="paragraph" w:styleId="Index1">
    <w:name w:val="index 1"/>
    <w:basedOn w:val="Normal"/>
    <w:next w:val="Normal"/>
    <w:semiHidden/>
    <w:pPr>
      <w:tabs>
        <w:tab w:val="left" w:pos="1701"/>
        <w:tab w:val="left" w:pos="3402"/>
        <w:tab w:val="left" w:pos="5103"/>
      </w:tabs>
      <w:spacing w:before="0"/>
      <w:ind w:left="1701" w:hanging="1701"/>
    </w:pPr>
  </w:style>
  <w:style w:type="paragraph" w:styleId="TOAHeading">
    <w:name w:val="toa heading"/>
    <w:basedOn w:val="Normal"/>
    <w:next w:val="Normal"/>
    <w:semiHidden/>
    <w:pPr>
      <w:spacing w:before="120"/>
    </w:pPr>
    <w:rPr>
      <w:rFonts w:ascii="Arial" w:hAnsi="Arial" w:cs="Arial"/>
      <w:b/>
      <w:bCs/>
    </w:rPr>
  </w:style>
  <w:style w:type="character" w:customStyle="1" w:styleId="Reference">
    <w:name w:val="Reference"/>
    <w:rPr>
      <w:color w:val="0000FF"/>
    </w:rPr>
  </w:style>
  <w:style w:type="paragraph" w:customStyle="1" w:styleId="TblTextbulletedlist">
    <w:name w:val="Tbl Text bulleted list"/>
    <w:basedOn w:val="TblTextLeft"/>
    <w:pPr>
      <w:numPr>
        <w:numId w:val="6"/>
      </w:numPr>
      <w:tabs>
        <w:tab w:val="left" w:pos="216"/>
      </w:tabs>
      <w:spacing w:before="0" w:after="0"/>
      <w:ind w:left="216" w:hanging="216"/>
    </w:pPr>
  </w:style>
  <w:style w:type="paragraph" w:styleId="TOC2">
    <w:name w:val="toc 2"/>
    <w:basedOn w:val="TOC1"/>
    <w:next w:val="Normal"/>
    <w:semiHidden/>
    <w:rPr>
      <w:b w:val="0"/>
    </w:rPr>
  </w:style>
  <w:style w:type="character" w:styleId="PageNumber">
    <w:name w:val="page number"/>
    <w:basedOn w:val="DefaultParagraphFont"/>
  </w:style>
  <w:style w:type="paragraph" w:styleId="TOC3">
    <w:name w:val="toc 3"/>
    <w:basedOn w:val="TOC1"/>
    <w:next w:val="Normal"/>
    <w:semiHidden/>
    <w:pPr>
      <w:spacing w:before="120"/>
    </w:pPr>
    <w:rPr>
      <w:b w:val="0"/>
      <w:caps w:val="0"/>
    </w:rPr>
  </w:style>
  <w:style w:type="paragraph" w:styleId="TOC4">
    <w:name w:val="toc 4"/>
    <w:basedOn w:val="TOC1"/>
    <w:next w:val="Normal"/>
    <w:semiHidden/>
    <w:pPr>
      <w:spacing w:before="40"/>
    </w:pPr>
    <w:rPr>
      <w:b w:val="0"/>
      <w:caps w:val="0"/>
      <w:szCs w:val="22"/>
    </w:rPr>
  </w:style>
  <w:style w:type="paragraph" w:styleId="TOC5">
    <w:name w:val="toc 5"/>
    <w:basedOn w:val="TOC1"/>
    <w:next w:val="Normal"/>
    <w:semiHidden/>
    <w:pPr>
      <w:spacing w:before="0"/>
    </w:pPr>
    <w:rPr>
      <w:b w:val="0"/>
      <w:caps w:val="0"/>
    </w:rPr>
  </w:style>
  <w:style w:type="paragraph" w:styleId="TOC6">
    <w:name w:val="toc 6"/>
    <w:basedOn w:val="TOC1"/>
    <w:next w:val="Normal"/>
    <w:semiHidden/>
    <w:pPr>
      <w:spacing w:before="0"/>
    </w:pPr>
    <w:rPr>
      <w:b w:val="0"/>
      <w:caps w:val="0"/>
    </w:rPr>
  </w:style>
  <w:style w:type="paragraph" w:styleId="TOC7">
    <w:name w:val="toc 7"/>
    <w:basedOn w:val="TOC6"/>
    <w:next w:val="Normal"/>
    <w:semiHidden/>
  </w:style>
  <w:style w:type="paragraph" w:styleId="TOC8">
    <w:name w:val="toc 8"/>
    <w:basedOn w:val="TOC6"/>
    <w:next w:val="Normal"/>
    <w:semiHidden/>
  </w:style>
  <w:style w:type="paragraph" w:styleId="TOC9">
    <w:name w:val="toc 9"/>
    <w:basedOn w:val="TOC6"/>
    <w:next w:val="Normal"/>
    <w:semiHidden/>
  </w:style>
  <w:style w:type="character" w:customStyle="1" w:styleId="TblFigFootnoteChar">
    <w:name w:val="Tbl Fig Footnote Char"/>
    <w:rPr>
      <w:rFonts w:ascii="Arial Narrow" w:eastAsia="MS Gothic" w:hAnsi="Arial Narrow"/>
      <w:sz w:val="18"/>
      <w:lang w:val="en-US" w:eastAsia="en-US" w:bidi="ar-SA"/>
    </w:rPr>
  </w:style>
  <w:style w:type="character" w:styleId="FollowedHyperlink">
    <w:name w:val="FollowedHyperlink"/>
    <w:rPr>
      <w:color w:val="800080"/>
      <w:u w:val="single"/>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ascii="Times New Roman" w:eastAsia="MS Mincho" w:hAnsi="Times New Roman" w:cs="Times New Roman"/>
      <w:color w:val="000000"/>
      <w:sz w:val="24"/>
      <w:szCs w:val="24"/>
      <w:lang w:val="en-US"/>
    </w:rPr>
  </w:style>
  <w:style w:type="paragraph" w:customStyle="1" w:styleId="wcpTableColHeader">
    <w:name w:val="wcp_TableColHeader"/>
    <w:basedOn w:val="Normal"/>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style>
  <w:style w:type="table" w:styleId="TableGrid">
    <w:name w:val="Table Grid"/>
    <w:basedOn w:val="TableNormal"/>
    <w:uiPriority w:val="59"/>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
    <w:name w:val="C-Bullet"/>
    <w:pPr>
      <w:numPr>
        <w:numId w:val="12"/>
      </w:numPr>
      <w:spacing w:before="120" w:after="120" w:line="280" w:lineRule="atLeast"/>
    </w:pPr>
    <w:rPr>
      <w:rFonts w:ascii="Times New Roman" w:eastAsia="Times New Roman" w:hAnsi="Times New Roman" w:cs="Times New Roman"/>
      <w:sz w:val="24"/>
      <w:szCs w:val="20"/>
      <w:lang w:val="en-US"/>
    </w:rPr>
  </w:style>
  <w:style w:type="paragraph" w:customStyle="1" w:styleId="C-BulletIndented">
    <w:name w:val="C-Bullet Indented"/>
    <w:pPr>
      <w:numPr>
        <w:ilvl w:val="1"/>
        <w:numId w:val="12"/>
      </w:numPr>
      <w:spacing w:before="120" w:after="120" w:line="280" w:lineRule="atLeast"/>
    </w:pPr>
    <w:rPr>
      <w:rFonts w:ascii="Times New Roman" w:eastAsia="Times New Roman" w:hAnsi="Times New Roman" w:cs="Arial"/>
      <w:sz w:val="24"/>
      <w:szCs w:val="20"/>
      <w:lang w:val="en-US"/>
    </w:rPr>
  </w:style>
  <w:style w:type="paragraph" w:styleId="CommentSubject">
    <w:name w:val="annotation subject"/>
    <w:basedOn w:val="CommentText"/>
    <w:next w:val="CommentText"/>
    <w:link w:val="CommentSubjectChar"/>
    <w:uiPriority w:val="99"/>
    <w:semiHidden/>
    <w:unhideWhenUsed/>
    <w:rPr>
      <w:rFonts w:ascii="Times New Roman" w:hAnsi="Times New Roman"/>
      <w:b/>
      <w:bCs/>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color w:val="000000"/>
      <w:sz w:val="20"/>
      <w:szCs w:val="20"/>
      <w:lang w:val="en-US"/>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customStyle="1" w:styleId="C-TableFootnote">
    <w:name w:val="C-Table Footnote"/>
    <w:next w:val="Normal"/>
    <w:rsid w:val="00C47C5D"/>
    <w:pPr>
      <w:tabs>
        <w:tab w:val="left" w:pos="144"/>
      </w:tabs>
      <w:spacing w:after="0" w:line="240" w:lineRule="auto"/>
      <w:ind w:left="144" w:hanging="144"/>
    </w:pPr>
    <w:rPr>
      <w:rFonts w:ascii="Times New Roman" w:eastAsia="Times New Roman" w:hAnsi="Times New Roman" w:cs="Arial"/>
      <w:sz w:val="20"/>
      <w:szCs w:val="20"/>
      <w:lang w:val="en-US"/>
    </w:rPr>
  </w:style>
  <w:style w:type="character" w:customStyle="1" w:styleId="ListParagraphChar">
    <w:name w:val="List Paragraph Char"/>
    <w:aliases w:val="BulletList1 Char,Bulletlist1 Char,BulletList 1 Char,Colorful List - Accent 11 Char,List Paragraph1 Char"/>
    <w:link w:val="ListParagraph"/>
    <w:uiPriority w:val="34"/>
    <w:locked/>
    <w:rsid w:val="00C47C5D"/>
    <w:rPr>
      <w:rFonts w:ascii="Cambria" w:eastAsia="MS Mincho" w:hAnsi="Cambria" w:cs="Times New Roman"/>
      <w:color w:val="000000"/>
      <w:sz w:val="24"/>
      <w:szCs w:val="24"/>
      <w:lang w:val="en-US"/>
    </w:rPr>
  </w:style>
  <w:style w:type="paragraph" w:customStyle="1" w:styleId="C-NumberedList">
    <w:name w:val="C-Numbered List"/>
    <w:link w:val="C-NumberedListChar"/>
    <w:rsid w:val="00B0158D"/>
    <w:pPr>
      <w:numPr>
        <w:numId w:val="24"/>
      </w:numPr>
      <w:spacing w:before="120" w:after="120" w:line="280" w:lineRule="atLeast"/>
    </w:pPr>
    <w:rPr>
      <w:rFonts w:ascii="Times New Roman" w:eastAsia="Times New Roman" w:hAnsi="Times New Roman" w:cs="Times New Roman"/>
      <w:sz w:val="24"/>
      <w:szCs w:val="20"/>
      <w:lang w:val="en-US"/>
    </w:rPr>
  </w:style>
  <w:style w:type="paragraph" w:customStyle="1" w:styleId="C-AlphabeticList">
    <w:name w:val="C-Alphabetic List"/>
    <w:rsid w:val="00B0158D"/>
    <w:pPr>
      <w:numPr>
        <w:ilvl w:val="1"/>
        <w:numId w:val="24"/>
      </w:numPr>
      <w:spacing w:after="0" w:line="240" w:lineRule="auto"/>
    </w:pPr>
    <w:rPr>
      <w:rFonts w:ascii="Times New Roman" w:eastAsia="Times New Roman" w:hAnsi="Times New Roman" w:cs="Times New Roman"/>
      <w:sz w:val="24"/>
      <w:szCs w:val="20"/>
      <w:lang w:val="en-US"/>
    </w:rPr>
  </w:style>
  <w:style w:type="character" w:customStyle="1" w:styleId="C-NumberedListChar">
    <w:name w:val="C-Numbered List Char"/>
    <w:basedOn w:val="DefaultParagraphFont"/>
    <w:link w:val="C-NumberedList"/>
    <w:locked/>
    <w:rsid w:val="00B0158D"/>
    <w:rPr>
      <w:rFonts w:ascii="Times New Roman" w:eastAsia="Times New Roman" w:hAnsi="Times New Roman" w:cs="Times New Roman"/>
      <w:sz w:val="24"/>
      <w:szCs w:val="20"/>
      <w:lang w:val="en-US"/>
    </w:rPr>
  </w:style>
  <w:style w:type="character" w:customStyle="1" w:styleId="CaptionChar">
    <w:name w:val="Caption Char"/>
    <w:aliases w:val="Char Char,caption Char,Caption-FUSA Char,c Char,eCTD-Caption Char,Caption Char1 Char Char,Caption Char Char Char Char,Caption Table... Char,Caption Char1 + 8 pt Char,Not B.... Char,... Char,Caption Char1 Char1, Char Char,Bayer Caption Char"/>
    <w:link w:val="Caption"/>
    <w:rsid w:val="00B0158D"/>
    <w:rPr>
      <w:rFonts w:ascii="Arial" w:eastAsia="MS Gothic" w:hAnsi="Arial" w:cs="Arial"/>
      <w:b/>
      <w:bCs/>
      <w:sz w:val="20"/>
      <w:szCs w:val="20"/>
      <w:lang w:val="en-US"/>
    </w:rPr>
  </w:style>
  <w:style w:type="paragraph" w:customStyle="1" w:styleId="C-BodyText">
    <w:name w:val="C-Body Text"/>
    <w:link w:val="C-BodyTextChar"/>
    <w:rsid w:val="003301FE"/>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3301FE"/>
    <w:rPr>
      <w:rFonts w:ascii="Times New Roman" w:eastAsia="Times New Roman" w:hAnsi="Times New Roman" w:cs="Times New Roman"/>
      <w:sz w:val="24"/>
      <w:szCs w:val="20"/>
      <w:lang w:val="en-US"/>
    </w:rPr>
  </w:style>
  <w:style w:type="character" w:customStyle="1" w:styleId="C-TableHeaderChar">
    <w:name w:val="C-Table Header Char"/>
    <w:link w:val="C-TableHeader"/>
    <w:locked/>
    <w:rsid w:val="00BA00BF"/>
    <w:rPr>
      <w:rFonts w:ascii="Times New Roman" w:eastAsia="Times New Roman" w:hAnsi="Times New Roman" w:cs="Times New Roman"/>
      <w:b/>
    </w:rPr>
  </w:style>
  <w:style w:type="paragraph" w:customStyle="1" w:styleId="C-TableText">
    <w:name w:val="C-Table Text"/>
    <w:link w:val="C-TableTextChar"/>
    <w:rsid w:val="00BA00BF"/>
    <w:pPr>
      <w:spacing w:before="60" w:after="60" w:line="240" w:lineRule="auto"/>
    </w:pPr>
    <w:rPr>
      <w:rFonts w:ascii="Times New Roman" w:eastAsia="Times New Roman" w:hAnsi="Times New Roman" w:cs="Times New Roman"/>
      <w:szCs w:val="20"/>
      <w:lang w:val="en-US"/>
    </w:rPr>
  </w:style>
  <w:style w:type="paragraph" w:customStyle="1" w:styleId="C-TableHeader">
    <w:name w:val="C-Table Header"/>
    <w:next w:val="C-TableText"/>
    <w:link w:val="C-TableHeaderChar"/>
    <w:rsid w:val="00BA00BF"/>
    <w:pPr>
      <w:keepNext/>
      <w:spacing w:before="60" w:after="60" w:line="240" w:lineRule="auto"/>
    </w:pPr>
    <w:rPr>
      <w:rFonts w:ascii="Times New Roman" w:eastAsia="Times New Roman" w:hAnsi="Times New Roman" w:cs="Times New Roman"/>
      <w:b/>
    </w:rPr>
  </w:style>
  <w:style w:type="character" w:customStyle="1" w:styleId="C-TableTextChar">
    <w:name w:val="C-Table Text Char"/>
    <w:link w:val="C-TableText"/>
    <w:locked/>
    <w:rsid w:val="00BA00BF"/>
    <w:rPr>
      <w:rFonts w:ascii="Times New Roman" w:eastAsia="Times New Roman" w:hAnsi="Times New Roman" w:cs="Times New Roman"/>
      <w:szCs w:val="20"/>
      <w:lang w:val="en-US"/>
    </w:rPr>
  </w:style>
  <w:style w:type="character" w:customStyle="1" w:styleId="C-TableCallout">
    <w:name w:val="C-Table Callout"/>
    <w:rsid w:val="00BA00BF"/>
    <w:rPr>
      <w:rFonts w:ascii="Times New Roman" w:hAnsi="Times New Roman" w:cs="Times New Roman" w:hint="default"/>
      <w:strike w:val="0"/>
      <w:dstrike w:val="0"/>
      <w:color w:val="auto"/>
      <w:spacing w:val="0"/>
      <w:w w:val="100"/>
      <w:position w:val="-1"/>
      <w:sz w:val="22"/>
      <w:szCs w:val="22"/>
      <w:u w:val="none"/>
      <w:effect w:val="none"/>
      <w:vertAlign w:val="superscript"/>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6781538">
      <w:bodyDiv w:val="1"/>
      <w:marLeft w:val="0"/>
      <w:marRight w:val="0"/>
      <w:marTop w:val="0"/>
      <w:marBottom w:val="0"/>
      <w:divBdr>
        <w:top w:val="none" w:sz="0" w:space="0" w:color="auto"/>
        <w:left w:val="none" w:sz="0" w:space="0" w:color="auto"/>
        <w:bottom w:val="none" w:sz="0" w:space="0" w:color="auto"/>
        <w:right w:val="none" w:sz="0" w:space="0" w:color="auto"/>
      </w:divBdr>
    </w:div>
    <w:div w:id="83385944">
      <w:bodyDiv w:val="1"/>
      <w:marLeft w:val="0"/>
      <w:marRight w:val="0"/>
      <w:marTop w:val="0"/>
      <w:marBottom w:val="0"/>
      <w:divBdr>
        <w:top w:val="none" w:sz="0" w:space="0" w:color="auto"/>
        <w:left w:val="none" w:sz="0" w:space="0" w:color="auto"/>
        <w:bottom w:val="none" w:sz="0" w:space="0" w:color="auto"/>
        <w:right w:val="none" w:sz="0" w:space="0" w:color="auto"/>
      </w:divBdr>
    </w:div>
    <w:div w:id="178472995">
      <w:bodyDiv w:val="1"/>
      <w:marLeft w:val="0"/>
      <w:marRight w:val="0"/>
      <w:marTop w:val="0"/>
      <w:marBottom w:val="0"/>
      <w:divBdr>
        <w:top w:val="none" w:sz="0" w:space="0" w:color="auto"/>
        <w:left w:val="none" w:sz="0" w:space="0" w:color="auto"/>
        <w:bottom w:val="none" w:sz="0" w:space="0" w:color="auto"/>
        <w:right w:val="none" w:sz="0" w:space="0" w:color="auto"/>
      </w:divBdr>
    </w:div>
    <w:div w:id="272634385">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 w:id="363871103">
      <w:bodyDiv w:val="1"/>
      <w:marLeft w:val="0"/>
      <w:marRight w:val="0"/>
      <w:marTop w:val="0"/>
      <w:marBottom w:val="0"/>
      <w:divBdr>
        <w:top w:val="none" w:sz="0" w:space="0" w:color="auto"/>
        <w:left w:val="none" w:sz="0" w:space="0" w:color="auto"/>
        <w:bottom w:val="none" w:sz="0" w:space="0" w:color="auto"/>
        <w:right w:val="none" w:sz="0" w:space="0" w:color="auto"/>
      </w:divBdr>
    </w:div>
    <w:div w:id="383139007">
      <w:bodyDiv w:val="1"/>
      <w:marLeft w:val="0"/>
      <w:marRight w:val="0"/>
      <w:marTop w:val="0"/>
      <w:marBottom w:val="0"/>
      <w:divBdr>
        <w:top w:val="none" w:sz="0" w:space="0" w:color="auto"/>
        <w:left w:val="none" w:sz="0" w:space="0" w:color="auto"/>
        <w:bottom w:val="none" w:sz="0" w:space="0" w:color="auto"/>
        <w:right w:val="none" w:sz="0" w:space="0" w:color="auto"/>
      </w:divBdr>
    </w:div>
    <w:div w:id="599799614">
      <w:bodyDiv w:val="1"/>
      <w:marLeft w:val="0"/>
      <w:marRight w:val="0"/>
      <w:marTop w:val="0"/>
      <w:marBottom w:val="0"/>
      <w:divBdr>
        <w:top w:val="none" w:sz="0" w:space="0" w:color="auto"/>
        <w:left w:val="none" w:sz="0" w:space="0" w:color="auto"/>
        <w:bottom w:val="none" w:sz="0" w:space="0" w:color="auto"/>
        <w:right w:val="none" w:sz="0" w:space="0" w:color="auto"/>
      </w:divBdr>
    </w:div>
    <w:div w:id="638220643">
      <w:bodyDiv w:val="1"/>
      <w:marLeft w:val="0"/>
      <w:marRight w:val="0"/>
      <w:marTop w:val="0"/>
      <w:marBottom w:val="0"/>
      <w:divBdr>
        <w:top w:val="none" w:sz="0" w:space="0" w:color="auto"/>
        <w:left w:val="none" w:sz="0" w:space="0" w:color="auto"/>
        <w:bottom w:val="none" w:sz="0" w:space="0" w:color="auto"/>
        <w:right w:val="none" w:sz="0" w:space="0" w:color="auto"/>
      </w:divBdr>
    </w:div>
    <w:div w:id="646936044">
      <w:bodyDiv w:val="1"/>
      <w:marLeft w:val="0"/>
      <w:marRight w:val="0"/>
      <w:marTop w:val="0"/>
      <w:marBottom w:val="0"/>
      <w:divBdr>
        <w:top w:val="none" w:sz="0" w:space="0" w:color="auto"/>
        <w:left w:val="none" w:sz="0" w:space="0" w:color="auto"/>
        <w:bottom w:val="none" w:sz="0" w:space="0" w:color="auto"/>
        <w:right w:val="none" w:sz="0" w:space="0" w:color="auto"/>
      </w:divBdr>
    </w:div>
    <w:div w:id="985088290">
      <w:bodyDiv w:val="1"/>
      <w:marLeft w:val="0"/>
      <w:marRight w:val="0"/>
      <w:marTop w:val="0"/>
      <w:marBottom w:val="0"/>
      <w:divBdr>
        <w:top w:val="none" w:sz="0" w:space="0" w:color="auto"/>
        <w:left w:val="none" w:sz="0" w:space="0" w:color="auto"/>
        <w:bottom w:val="none" w:sz="0" w:space="0" w:color="auto"/>
        <w:right w:val="none" w:sz="0" w:space="0" w:color="auto"/>
      </w:divBdr>
    </w:div>
    <w:div w:id="1024937861">
      <w:bodyDiv w:val="1"/>
      <w:marLeft w:val="0"/>
      <w:marRight w:val="0"/>
      <w:marTop w:val="0"/>
      <w:marBottom w:val="0"/>
      <w:divBdr>
        <w:top w:val="none" w:sz="0" w:space="0" w:color="auto"/>
        <w:left w:val="none" w:sz="0" w:space="0" w:color="auto"/>
        <w:bottom w:val="none" w:sz="0" w:space="0" w:color="auto"/>
        <w:right w:val="none" w:sz="0" w:space="0" w:color="auto"/>
      </w:divBdr>
    </w:div>
    <w:div w:id="1076592402">
      <w:bodyDiv w:val="1"/>
      <w:marLeft w:val="0"/>
      <w:marRight w:val="0"/>
      <w:marTop w:val="0"/>
      <w:marBottom w:val="0"/>
      <w:divBdr>
        <w:top w:val="none" w:sz="0" w:space="0" w:color="auto"/>
        <w:left w:val="none" w:sz="0" w:space="0" w:color="auto"/>
        <w:bottom w:val="none" w:sz="0" w:space="0" w:color="auto"/>
        <w:right w:val="none" w:sz="0" w:space="0" w:color="auto"/>
      </w:divBdr>
    </w:div>
    <w:div w:id="1101534059">
      <w:bodyDiv w:val="1"/>
      <w:marLeft w:val="0"/>
      <w:marRight w:val="0"/>
      <w:marTop w:val="0"/>
      <w:marBottom w:val="0"/>
      <w:divBdr>
        <w:top w:val="none" w:sz="0" w:space="0" w:color="auto"/>
        <w:left w:val="none" w:sz="0" w:space="0" w:color="auto"/>
        <w:bottom w:val="none" w:sz="0" w:space="0" w:color="auto"/>
        <w:right w:val="none" w:sz="0" w:space="0" w:color="auto"/>
      </w:divBdr>
    </w:div>
    <w:div w:id="1169104015">
      <w:bodyDiv w:val="1"/>
      <w:marLeft w:val="0"/>
      <w:marRight w:val="0"/>
      <w:marTop w:val="0"/>
      <w:marBottom w:val="0"/>
      <w:divBdr>
        <w:top w:val="none" w:sz="0" w:space="0" w:color="auto"/>
        <w:left w:val="none" w:sz="0" w:space="0" w:color="auto"/>
        <w:bottom w:val="none" w:sz="0" w:space="0" w:color="auto"/>
        <w:right w:val="none" w:sz="0" w:space="0" w:color="auto"/>
      </w:divBdr>
    </w:div>
    <w:div w:id="1331058073">
      <w:bodyDiv w:val="1"/>
      <w:marLeft w:val="0"/>
      <w:marRight w:val="0"/>
      <w:marTop w:val="0"/>
      <w:marBottom w:val="0"/>
      <w:divBdr>
        <w:top w:val="none" w:sz="0" w:space="0" w:color="auto"/>
        <w:left w:val="none" w:sz="0" w:space="0" w:color="auto"/>
        <w:bottom w:val="none" w:sz="0" w:space="0" w:color="auto"/>
        <w:right w:val="none" w:sz="0" w:space="0" w:color="auto"/>
      </w:divBdr>
    </w:div>
    <w:div w:id="1392541431">
      <w:bodyDiv w:val="1"/>
      <w:marLeft w:val="0"/>
      <w:marRight w:val="0"/>
      <w:marTop w:val="0"/>
      <w:marBottom w:val="0"/>
      <w:divBdr>
        <w:top w:val="none" w:sz="0" w:space="0" w:color="auto"/>
        <w:left w:val="none" w:sz="0" w:space="0" w:color="auto"/>
        <w:bottom w:val="none" w:sz="0" w:space="0" w:color="auto"/>
        <w:right w:val="none" w:sz="0" w:space="0" w:color="auto"/>
      </w:divBdr>
    </w:div>
    <w:div w:id="1442258092">
      <w:bodyDiv w:val="1"/>
      <w:marLeft w:val="0"/>
      <w:marRight w:val="0"/>
      <w:marTop w:val="0"/>
      <w:marBottom w:val="0"/>
      <w:divBdr>
        <w:top w:val="none" w:sz="0" w:space="0" w:color="auto"/>
        <w:left w:val="none" w:sz="0" w:space="0" w:color="auto"/>
        <w:bottom w:val="none" w:sz="0" w:space="0" w:color="auto"/>
        <w:right w:val="none" w:sz="0" w:space="0" w:color="auto"/>
      </w:divBdr>
    </w:div>
    <w:div w:id="1527407508">
      <w:bodyDiv w:val="1"/>
      <w:marLeft w:val="0"/>
      <w:marRight w:val="0"/>
      <w:marTop w:val="0"/>
      <w:marBottom w:val="0"/>
      <w:divBdr>
        <w:top w:val="none" w:sz="0" w:space="0" w:color="auto"/>
        <w:left w:val="none" w:sz="0" w:space="0" w:color="auto"/>
        <w:bottom w:val="none" w:sz="0" w:space="0" w:color="auto"/>
        <w:right w:val="none" w:sz="0" w:space="0" w:color="auto"/>
      </w:divBdr>
    </w:div>
    <w:div w:id="1580019441">
      <w:bodyDiv w:val="1"/>
      <w:marLeft w:val="0"/>
      <w:marRight w:val="0"/>
      <w:marTop w:val="0"/>
      <w:marBottom w:val="0"/>
      <w:divBdr>
        <w:top w:val="none" w:sz="0" w:space="0" w:color="auto"/>
        <w:left w:val="none" w:sz="0" w:space="0" w:color="auto"/>
        <w:bottom w:val="none" w:sz="0" w:space="0" w:color="auto"/>
        <w:right w:val="none" w:sz="0" w:space="0" w:color="auto"/>
      </w:divBdr>
    </w:div>
    <w:div w:id="1645038272">
      <w:bodyDiv w:val="1"/>
      <w:marLeft w:val="0"/>
      <w:marRight w:val="0"/>
      <w:marTop w:val="0"/>
      <w:marBottom w:val="0"/>
      <w:divBdr>
        <w:top w:val="none" w:sz="0" w:space="0" w:color="auto"/>
        <w:left w:val="none" w:sz="0" w:space="0" w:color="auto"/>
        <w:bottom w:val="none" w:sz="0" w:space="0" w:color="auto"/>
        <w:right w:val="none" w:sz="0" w:space="0" w:color="auto"/>
      </w:divBdr>
    </w:div>
    <w:div w:id="1674725995">
      <w:bodyDiv w:val="1"/>
      <w:marLeft w:val="0"/>
      <w:marRight w:val="0"/>
      <w:marTop w:val="0"/>
      <w:marBottom w:val="0"/>
      <w:divBdr>
        <w:top w:val="none" w:sz="0" w:space="0" w:color="auto"/>
        <w:left w:val="none" w:sz="0" w:space="0" w:color="auto"/>
        <w:bottom w:val="none" w:sz="0" w:space="0" w:color="auto"/>
        <w:right w:val="none" w:sz="0" w:space="0" w:color="auto"/>
      </w:divBdr>
    </w:div>
    <w:div w:id="1735614810">
      <w:bodyDiv w:val="1"/>
      <w:marLeft w:val="0"/>
      <w:marRight w:val="0"/>
      <w:marTop w:val="0"/>
      <w:marBottom w:val="0"/>
      <w:divBdr>
        <w:top w:val="none" w:sz="0" w:space="0" w:color="auto"/>
        <w:left w:val="none" w:sz="0" w:space="0" w:color="auto"/>
        <w:bottom w:val="none" w:sz="0" w:space="0" w:color="auto"/>
        <w:right w:val="none" w:sz="0" w:space="0" w:color="auto"/>
      </w:divBdr>
    </w:div>
    <w:div w:id="1742174974">
      <w:bodyDiv w:val="1"/>
      <w:marLeft w:val="0"/>
      <w:marRight w:val="0"/>
      <w:marTop w:val="0"/>
      <w:marBottom w:val="0"/>
      <w:divBdr>
        <w:top w:val="none" w:sz="0" w:space="0" w:color="auto"/>
        <w:left w:val="none" w:sz="0" w:space="0" w:color="auto"/>
        <w:bottom w:val="none" w:sz="0" w:space="0" w:color="auto"/>
        <w:right w:val="none" w:sz="0" w:space="0" w:color="auto"/>
      </w:divBdr>
    </w:div>
    <w:div w:id="1831867966">
      <w:bodyDiv w:val="1"/>
      <w:marLeft w:val="0"/>
      <w:marRight w:val="0"/>
      <w:marTop w:val="0"/>
      <w:marBottom w:val="0"/>
      <w:divBdr>
        <w:top w:val="none" w:sz="0" w:space="0" w:color="auto"/>
        <w:left w:val="none" w:sz="0" w:space="0" w:color="auto"/>
        <w:bottom w:val="none" w:sz="0" w:space="0" w:color="auto"/>
        <w:right w:val="none" w:sz="0" w:space="0" w:color="auto"/>
      </w:divBdr>
    </w:div>
    <w:div w:id="1968851104">
      <w:bodyDiv w:val="1"/>
      <w:marLeft w:val="0"/>
      <w:marRight w:val="0"/>
      <w:marTop w:val="0"/>
      <w:marBottom w:val="0"/>
      <w:divBdr>
        <w:top w:val="none" w:sz="0" w:space="0" w:color="auto"/>
        <w:left w:val="none" w:sz="0" w:space="0" w:color="auto"/>
        <w:bottom w:val="none" w:sz="0" w:space="0" w:color="auto"/>
        <w:right w:val="none" w:sz="0" w:space="0" w:color="auto"/>
      </w:divBdr>
    </w:div>
    <w:div w:id="2099134550">
      <w:bodyDiv w:val="1"/>
      <w:marLeft w:val="0"/>
      <w:marRight w:val="0"/>
      <w:marTop w:val="0"/>
      <w:marBottom w:val="0"/>
      <w:divBdr>
        <w:top w:val="none" w:sz="0" w:space="0" w:color="auto"/>
        <w:left w:val="none" w:sz="0" w:space="0" w:color="auto"/>
        <w:bottom w:val="none" w:sz="0" w:space="0" w:color="auto"/>
        <w:right w:val="none" w:sz="0" w:space="0" w:color="auto"/>
      </w:divBdr>
    </w:div>
    <w:div w:id="2130007709">
      <w:bodyDiv w:val="1"/>
      <w:marLeft w:val="0"/>
      <w:marRight w:val="0"/>
      <w:marTop w:val="0"/>
      <w:marBottom w:val="0"/>
      <w:divBdr>
        <w:top w:val="none" w:sz="0" w:space="0" w:color="auto"/>
        <w:left w:val="none" w:sz="0" w:space="0" w:color="auto"/>
        <w:bottom w:val="none" w:sz="0" w:space="0" w:color="auto"/>
        <w:right w:val="none" w:sz="0" w:space="0" w:color="auto"/>
      </w:divBdr>
    </w:div>
    <w:div w:id="21391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reporting-proble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CCCBF8C-1851-4CBC-8220-535FCB41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10553</Words>
  <Characters>59841</Characters>
  <Application>Microsoft Office Word</Application>
  <DocSecurity>0</DocSecurity>
  <Lines>1459</Lines>
  <Paragraphs>879</Paragraphs>
  <ScaleCrop>false</ScaleCrop>
  <HeadingPairs>
    <vt:vector size="2" baseType="variant">
      <vt:variant>
        <vt:lpstr>Title</vt:lpstr>
      </vt:variant>
      <vt:variant>
        <vt:i4>1</vt:i4>
      </vt:variant>
    </vt:vector>
  </HeadingPairs>
  <TitlesOfParts>
    <vt:vector size="1" baseType="lpstr">
      <vt:lpstr/>
    </vt:vector>
  </TitlesOfParts>
  <Company>Sanofi-Aventis Australia Pty Ltd</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Libtayo</dc:title>
  <dc:subject>prescription medicine regulation</dc:subject>
  <dc:creator>Sanofi-Aventis Australia Pty Ltd</dc:creator>
  <cp:keywords/>
  <dc:description/>
  <cp:lastModifiedBy>KOLARIK-OREILLY, Kristy</cp:lastModifiedBy>
  <cp:revision>10</cp:revision>
  <cp:lastPrinted>2020-11-26T05:10:00Z</cp:lastPrinted>
  <dcterms:created xsi:type="dcterms:W3CDTF">2021-11-03T20:32:00Z</dcterms:created>
  <dcterms:modified xsi:type="dcterms:W3CDTF">2022-09-02T05:48:00Z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ies>
</file>