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DC0A0B" w14:paraId="62DC6257" w14:textId="77777777">
        <w:trPr>
          <w:trHeight w:val="1863"/>
        </w:trPr>
        <w:tc>
          <w:tcPr>
            <w:tcW w:w="3652" w:type="dxa"/>
            <w:tcBorders>
              <w:top w:val="nil"/>
              <w:left w:val="nil"/>
              <w:bottom w:val="nil"/>
              <w:right w:val="nil"/>
            </w:tcBorders>
          </w:tcPr>
          <w:p w14:paraId="04CDB66F" w14:textId="2394B9C9" w:rsidR="00DC0A0B" w:rsidRDefault="00BE359B">
            <w:pPr>
              <w:pStyle w:val="Date"/>
              <w:framePr w:hSpace="0" w:wrap="auto" w:vAnchor="margin" w:hAnchor="text" w:yAlign="inline"/>
              <w:suppressOverlap w:val="0"/>
            </w:pPr>
            <w:r>
              <w:t>August 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DC0A0B" w14:paraId="40FF7F7D" w14:textId="77777777">
        <w:trPr>
          <w:trHeight w:val="868"/>
        </w:trPr>
        <w:tc>
          <w:tcPr>
            <w:tcW w:w="9079" w:type="dxa"/>
          </w:tcPr>
          <w:p w14:paraId="3BB59AC6" w14:textId="1575972D" w:rsidR="00DC0A0B" w:rsidRDefault="00BE359B">
            <w:pPr>
              <w:pStyle w:val="Title"/>
              <w:framePr w:hSpace="0" w:wrap="auto" w:vAnchor="margin" w:yAlign="inline"/>
            </w:pPr>
            <w:r>
              <w:t xml:space="preserve">Australian Public Assessment Report for </w:t>
            </w:r>
            <w:proofErr w:type="spellStart"/>
            <w:r>
              <w:t>Libtayo</w:t>
            </w:r>
            <w:proofErr w:type="spellEnd"/>
          </w:p>
        </w:tc>
      </w:tr>
      <w:tr w:rsidR="00DC0A0B" w14:paraId="0D25A24B" w14:textId="77777777">
        <w:tc>
          <w:tcPr>
            <w:tcW w:w="9079" w:type="dxa"/>
          </w:tcPr>
          <w:p w14:paraId="24CAA4EB" w14:textId="1615BC50" w:rsidR="00DC0A0B" w:rsidRDefault="00BE359B">
            <w:pPr>
              <w:pStyle w:val="Subtitle"/>
              <w:framePr w:hSpace="0" w:wrap="auto" w:vAnchor="margin" w:yAlign="inline"/>
            </w:pPr>
            <w:r>
              <w:t xml:space="preserve">Active ingredients: </w:t>
            </w:r>
            <w:proofErr w:type="spellStart"/>
            <w:r>
              <w:t>Cemiplimab</w:t>
            </w:r>
            <w:proofErr w:type="spellEnd"/>
          </w:p>
        </w:tc>
      </w:tr>
      <w:tr w:rsidR="00DC0A0B" w14:paraId="77EC0089" w14:textId="77777777">
        <w:trPr>
          <w:trHeight w:val="486"/>
        </w:trPr>
        <w:tc>
          <w:tcPr>
            <w:tcW w:w="9079" w:type="dxa"/>
          </w:tcPr>
          <w:p w14:paraId="77CFBF54" w14:textId="04C85411" w:rsidR="00DC0A0B" w:rsidRDefault="00BE359B">
            <w:pPr>
              <w:pStyle w:val="Subtitle"/>
              <w:framePr w:hSpace="0" w:wrap="auto" w:vAnchor="margin" w:yAlign="inline"/>
            </w:pPr>
            <w:r>
              <w:t>Sponsor: Sanofi-Aventis Australia Pty Ltd</w:t>
            </w:r>
          </w:p>
        </w:tc>
      </w:tr>
    </w:tbl>
    <w:p w14:paraId="33DD6DE6" w14:textId="77777777" w:rsidR="00DC0A0B" w:rsidRDefault="00BE359B">
      <w:r>
        <w:br w:type="page"/>
      </w:r>
    </w:p>
    <w:p w14:paraId="50CDDA35" w14:textId="77777777" w:rsidR="00DC0A0B" w:rsidRDefault="00BE359B">
      <w:pPr>
        <w:pStyle w:val="NonTOCHeading2"/>
      </w:pPr>
      <w:r>
        <w:lastRenderedPageBreak/>
        <w:t>About the Therapeutic Goods Administration (TGA)</w:t>
      </w:r>
    </w:p>
    <w:p w14:paraId="0439124D" w14:textId="11AB7CDC" w:rsidR="00DC0A0B" w:rsidRDefault="00BE359B">
      <w:pPr>
        <w:pStyle w:val="ListBullet"/>
      </w:pPr>
      <w:r>
        <w:t>The Therapeutic Goods Administration (TGA) is part of the Australian Government Department of Health and Aged Cared, and is responsible for regulating therapeutic goods, including medicines, medical devices, and biologicals.</w:t>
      </w:r>
    </w:p>
    <w:p w14:paraId="1C7FCECB" w14:textId="77777777" w:rsidR="00DC0A0B" w:rsidRDefault="00BE359B">
      <w:pPr>
        <w:pStyle w:val="ListBullet"/>
      </w:pPr>
      <w:r>
        <w:t xml:space="preserve">The TGA administers the </w:t>
      </w:r>
      <w:r>
        <w:rPr>
          <w:i/>
          <w:iCs/>
        </w:rPr>
        <w:t>Therapeutic Goods Act 1989</w:t>
      </w:r>
      <w:r>
        <w:t xml:space="preserve"> (the Act), applying a risk management approach designed to ensure therapeutic goods supplied in Australia meet acceptable standards of quality, safety, and efficacy.</w:t>
      </w:r>
    </w:p>
    <w:p w14:paraId="6E2D0BC6" w14:textId="77777777" w:rsidR="00DC0A0B" w:rsidRDefault="00BE359B">
      <w:pPr>
        <w:pStyle w:val="ListBullet"/>
      </w:pPr>
      <w:r>
        <w:t>The work of the TGA is based on applying scientific and clinical expertise to decision-making, to ensure that the benefits to the Australian public outweigh any risks associated with the use of therapeutic goods.</w:t>
      </w:r>
    </w:p>
    <w:p w14:paraId="51299673" w14:textId="77777777" w:rsidR="00DC0A0B" w:rsidRDefault="00BE359B">
      <w:pPr>
        <w:pStyle w:val="ListBullet"/>
      </w:pPr>
      <w:r>
        <w:t>The TGA relies on the public, healthcare professionals and industry to report problems with therapeutic goods. The TGA investigates reports received to determine any necessary regulatory action.</w:t>
      </w:r>
    </w:p>
    <w:p w14:paraId="437DACCB" w14:textId="530E50B6" w:rsidR="00DC0A0B" w:rsidRDefault="00BE359B">
      <w:pPr>
        <w:pStyle w:val="ListBullet"/>
      </w:pPr>
      <w:r>
        <w:t xml:space="preserve">To report a problem with a therapeutic good, please see the information on the </w:t>
      </w:r>
      <w:hyperlink r:id="rId8" w:history="1">
        <w:r>
          <w:rPr>
            <w:rStyle w:val="Hyperlink"/>
          </w:rPr>
          <w:t>TGA website</w:t>
        </w:r>
      </w:hyperlink>
      <w:r>
        <w:t>.</w:t>
      </w:r>
    </w:p>
    <w:p w14:paraId="475ABA9E" w14:textId="77777777" w:rsidR="00DC0A0B" w:rsidRDefault="00BE359B">
      <w:pPr>
        <w:pStyle w:val="NonTOCHeading2"/>
      </w:pPr>
      <w:r>
        <w:t xml:space="preserve">About </w:t>
      </w:r>
      <w:proofErr w:type="spellStart"/>
      <w:r>
        <w:t>AusPARs</w:t>
      </w:r>
      <w:proofErr w:type="spellEnd"/>
    </w:p>
    <w:p w14:paraId="7EB61530" w14:textId="673B27A3" w:rsidR="00DC0A0B" w:rsidRDefault="00BE359B">
      <w:pPr>
        <w:pStyle w:val="ListBullet"/>
      </w:pPr>
      <w:r>
        <w:t xml:space="preserve">The Australian Public Assessment Report (AusPAR) provides information about the evaluation of a prescription medicine and the considerations that led the TGA to approve or not approve a prescription medicine submission. Further information can be found in </w:t>
      </w:r>
      <w:hyperlink r:id="rId9" w:history="1">
        <w:r>
          <w:rPr>
            <w:rStyle w:val="Hyperlink"/>
          </w:rPr>
          <w:t>Australian Public Assessment Report (AusPAR) guidance</w:t>
        </w:r>
      </w:hyperlink>
      <w:r>
        <w:t>.</w:t>
      </w:r>
    </w:p>
    <w:p w14:paraId="2A57D1D1" w14:textId="77777777" w:rsidR="00DC0A0B" w:rsidRDefault="00BE359B">
      <w:pPr>
        <w:pStyle w:val="ListBullet"/>
      </w:pPr>
      <w:proofErr w:type="spellStart"/>
      <w:r>
        <w:t>AusPARs</w:t>
      </w:r>
      <w:proofErr w:type="spellEnd"/>
      <w:r>
        <w:t xml:space="preserve"> are prepared and published by the TGA.</w:t>
      </w:r>
    </w:p>
    <w:p w14:paraId="061910AD" w14:textId="77777777" w:rsidR="00DC0A0B" w:rsidRDefault="00BE359B">
      <w:pPr>
        <w:pStyle w:val="ListBullet"/>
      </w:pPr>
      <w:proofErr w:type="spellStart"/>
      <w:r>
        <w:t>AusPARs</w:t>
      </w:r>
      <w:proofErr w:type="spellEnd"/>
      <w:r>
        <w:t xml:space="preserve"> are static documents that provide information that relates to a submission at a particular point in time. The publication of an AusPAR is an important part of the transparency of the TGA’s decision-making process.</w:t>
      </w:r>
    </w:p>
    <w:p w14:paraId="0AA176D9" w14:textId="77777777" w:rsidR="00DC0A0B" w:rsidRDefault="00BE359B">
      <w:pPr>
        <w:pStyle w:val="ListBullet"/>
      </w:pPr>
      <w:r>
        <w:t>A new AusPAR may be provided to reflect changes to indications or major variations to a prescription medicine subject to evaluation by the TGA.</w:t>
      </w:r>
    </w:p>
    <w:p w14:paraId="6F590692" w14:textId="77777777" w:rsidR="00DC0A0B" w:rsidRDefault="00BE359B">
      <w:pPr>
        <w:pStyle w:val="LegalSubheading"/>
        <w:spacing w:before="3120"/>
      </w:pPr>
      <w:r>
        <w:t>Copyright</w:t>
      </w:r>
    </w:p>
    <w:p w14:paraId="455E0188" w14:textId="636C8A07" w:rsidR="00DC0A0B" w:rsidRDefault="00BE359B">
      <w:pPr>
        <w:pStyle w:val="LegalCopy"/>
      </w:pPr>
      <w:r>
        <w:rPr>
          <w:rFonts w:cs="Arial"/>
          <w:lang w:val="en-GB"/>
        </w:rPr>
        <w:t>© Commonwealth of Australia 2022</w:t>
      </w:r>
      <w:r>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Pr>
          <w:rFonts w:cs="Arial"/>
          <w:i/>
          <w:lang w:val="en-GB"/>
        </w:rPr>
        <w:t>Copyright Act 1968</w:t>
      </w:r>
      <w:r>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Pr>
          <w:rFonts w:cs="Arial"/>
          <w:lang w:val="en-GB"/>
        </w:rPr>
        <w:t>Woden</w:t>
      </w:r>
      <w:proofErr w:type="spellEnd"/>
      <w:r>
        <w:rPr>
          <w:rFonts w:cs="Arial"/>
          <w:lang w:val="en-GB"/>
        </w:rPr>
        <w:t xml:space="preserve"> ACT 2606 or emailed to &lt;</w:t>
      </w:r>
      <w:hyperlink r:id="rId10" w:history="1">
        <w:r>
          <w:rPr>
            <w:rStyle w:val="Hyperlink"/>
            <w:rFonts w:cs="Arial"/>
            <w:lang w:val="en-GB"/>
          </w:rPr>
          <w:t>tga.copyright@tga.gov.au</w:t>
        </w:r>
      </w:hyperlink>
      <w:r>
        <w:rPr>
          <w:rFonts w:cs="Arial"/>
        </w:rPr>
        <w:t>&gt;.</w:t>
      </w:r>
    </w:p>
    <w:p w14:paraId="426D86DD" w14:textId="77777777" w:rsidR="00DC0A0B" w:rsidRDefault="00DC0A0B">
      <w:pPr>
        <w:pStyle w:val="LegalCopy"/>
        <w:sectPr w:rsidR="00DC0A0B">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196046425" w:displacedByCustomXml="next"/>
    <w:sdt>
      <w:sdtPr>
        <w:rPr>
          <w:rFonts w:ascii="Cambria" w:hAnsi="Cambria"/>
          <w:b w:val="0"/>
          <w:bCs/>
          <w:sz w:val="22"/>
        </w:rPr>
        <w:id w:val="5618007"/>
        <w:docPartObj>
          <w:docPartGallery w:val="Table of Contents"/>
          <w:docPartUnique/>
        </w:docPartObj>
      </w:sdtPr>
      <w:sdtEndPr>
        <w:rPr>
          <w:bCs w:val="0"/>
        </w:rPr>
      </w:sdtEndPr>
      <w:sdtContent>
        <w:p w14:paraId="7EDB988F" w14:textId="77777777" w:rsidR="00DC0A0B" w:rsidRDefault="00BE359B">
          <w:pPr>
            <w:pStyle w:val="Contents"/>
          </w:pPr>
          <w:r>
            <w:t>Contents</w:t>
          </w:r>
        </w:p>
        <w:p w14:paraId="0A54DEB6" w14:textId="2BED231E" w:rsidR="00DC0A0B" w:rsidRDefault="00BE359B">
          <w:pPr>
            <w:pStyle w:val="TOC1"/>
            <w:rPr>
              <w:rFonts w:asciiTheme="minorHAnsi" w:eastAsiaTheme="minorEastAsia" w:hAnsiTheme="minorHAnsi" w:cstheme="minorBidi"/>
              <w:b w:val="0"/>
              <w:sz w:val="22"/>
              <w:lang w:eastAsia="en-AU"/>
            </w:rPr>
          </w:pPr>
          <w:r>
            <w:fldChar w:fldCharType="begin"/>
          </w:r>
          <w:r>
            <w:instrText xml:space="preserve"> TOC \h \z \t "Heading 2,1,Heading 3,2" </w:instrText>
          </w:r>
          <w:r>
            <w:fldChar w:fldCharType="separate"/>
          </w:r>
          <w:hyperlink w:anchor="_Toc110247345" w:history="1">
            <w:r>
              <w:rPr>
                <w:rStyle w:val="Hyperlink"/>
              </w:rPr>
              <w:t>List of abbreviations</w:t>
            </w:r>
            <w:r>
              <w:rPr>
                <w:webHidden/>
              </w:rPr>
              <w:tab/>
            </w:r>
            <w:r>
              <w:rPr>
                <w:webHidden/>
              </w:rPr>
              <w:fldChar w:fldCharType="begin"/>
            </w:r>
            <w:r>
              <w:rPr>
                <w:webHidden/>
              </w:rPr>
              <w:instrText xml:space="preserve"> PAGEREF _Toc110247345 \h </w:instrText>
            </w:r>
            <w:r>
              <w:rPr>
                <w:webHidden/>
              </w:rPr>
            </w:r>
            <w:r>
              <w:rPr>
                <w:webHidden/>
              </w:rPr>
              <w:fldChar w:fldCharType="separate"/>
            </w:r>
            <w:r>
              <w:rPr>
                <w:webHidden/>
              </w:rPr>
              <w:t>4</w:t>
            </w:r>
            <w:r>
              <w:rPr>
                <w:webHidden/>
              </w:rPr>
              <w:fldChar w:fldCharType="end"/>
            </w:r>
          </w:hyperlink>
        </w:p>
        <w:p w14:paraId="74F0A4FC" w14:textId="1000EDB5" w:rsidR="00DC0A0B" w:rsidRDefault="00E12242">
          <w:pPr>
            <w:pStyle w:val="TOC1"/>
            <w:rPr>
              <w:rFonts w:asciiTheme="minorHAnsi" w:eastAsiaTheme="minorEastAsia" w:hAnsiTheme="minorHAnsi" w:cstheme="minorBidi"/>
              <w:b w:val="0"/>
              <w:sz w:val="22"/>
              <w:lang w:eastAsia="en-AU"/>
            </w:rPr>
          </w:pPr>
          <w:hyperlink w:anchor="_Toc110247346" w:history="1">
            <w:r w:rsidR="00BE359B">
              <w:rPr>
                <w:rStyle w:val="Hyperlink"/>
              </w:rPr>
              <w:t>Product submission</w:t>
            </w:r>
            <w:r w:rsidR="00BE359B">
              <w:rPr>
                <w:webHidden/>
              </w:rPr>
              <w:tab/>
            </w:r>
            <w:r w:rsidR="00BE359B">
              <w:rPr>
                <w:webHidden/>
              </w:rPr>
              <w:fldChar w:fldCharType="begin"/>
            </w:r>
            <w:r w:rsidR="00BE359B">
              <w:rPr>
                <w:webHidden/>
              </w:rPr>
              <w:instrText xml:space="preserve"> PAGEREF _Toc110247346 \h </w:instrText>
            </w:r>
            <w:r w:rsidR="00BE359B">
              <w:rPr>
                <w:webHidden/>
              </w:rPr>
            </w:r>
            <w:r w:rsidR="00BE359B">
              <w:rPr>
                <w:webHidden/>
              </w:rPr>
              <w:fldChar w:fldCharType="separate"/>
            </w:r>
            <w:r w:rsidR="00BE359B">
              <w:rPr>
                <w:webHidden/>
              </w:rPr>
              <w:t>6</w:t>
            </w:r>
            <w:r w:rsidR="00BE359B">
              <w:rPr>
                <w:webHidden/>
              </w:rPr>
              <w:fldChar w:fldCharType="end"/>
            </w:r>
          </w:hyperlink>
        </w:p>
        <w:p w14:paraId="4EF65294" w14:textId="556C2DAF" w:rsidR="00DC0A0B" w:rsidRDefault="00E12242">
          <w:pPr>
            <w:pStyle w:val="TOC2"/>
            <w:rPr>
              <w:rFonts w:asciiTheme="minorHAnsi" w:eastAsiaTheme="minorEastAsia" w:hAnsiTheme="minorHAnsi" w:cstheme="minorBidi"/>
              <w:b w:val="0"/>
              <w:sz w:val="22"/>
              <w:lang w:eastAsia="en-AU"/>
            </w:rPr>
          </w:pPr>
          <w:hyperlink w:anchor="_Toc110247347" w:history="1">
            <w:r w:rsidR="00BE359B">
              <w:rPr>
                <w:rStyle w:val="Hyperlink"/>
                <w:lang w:eastAsia="en-AU"/>
              </w:rPr>
              <w:t>Submission details</w:t>
            </w:r>
            <w:r w:rsidR="00BE359B">
              <w:rPr>
                <w:webHidden/>
              </w:rPr>
              <w:tab/>
            </w:r>
            <w:r w:rsidR="00BE359B">
              <w:rPr>
                <w:webHidden/>
              </w:rPr>
              <w:fldChar w:fldCharType="begin"/>
            </w:r>
            <w:r w:rsidR="00BE359B">
              <w:rPr>
                <w:webHidden/>
              </w:rPr>
              <w:instrText xml:space="preserve"> PAGEREF _Toc110247347 \h </w:instrText>
            </w:r>
            <w:r w:rsidR="00BE359B">
              <w:rPr>
                <w:webHidden/>
              </w:rPr>
            </w:r>
            <w:r w:rsidR="00BE359B">
              <w:rPr>
                <w:webHidden/>
              </w:rPr>
              <w:fldChar w:fldCharType="separate"/>
            </w:r>
            <w:r w:rsidR="00BE359B">
              <w:rPr>
                <w:webHidden/>
              </w:rPr>
              <w:t>6</w:t>
            </w:r>
            <w:r w:rsidR="00BE359B">
              <w:rPr>
                <w:webHidden/>
              </w:rPr>
              <w:fldChar w:fldCharType="end"/>
            </w:r>
          </w:hyperlink>
        </w:p>
        <w:p w14:paraId="5ACADB7E" w14:textId="402EF160" w:rsidR="00DC0A0B" w:rsidRDefault="00E12242">
          <w:pPr>
            <w:pStyle w:val="TOC2"/>
            <w:rPr>
              <w:rFonts w:asciiTheme="minorHAnsi" w:eastAsiaTheme="minorEastAsia" w:hAnsiTheme="minorHAnsi" w:cstheme="minorBidi"/>
              <w:b w:val="0"/>
              <w:sz w:val="22"/>
              <w:lang w:eastAsia="en-AU"/>
            </w:rPr>
          </w:pPr>
          <w:hyperlink w:anchor="_Toc110247348" w:history="1">
            <w:r w:rsidR="00BE359B">
              <w:rPr>
                <w:rStyle w:val="Hyperlink"/>
              </w:rPr>
              <w:t>Product background</w:t>
            </w:r>
            <w:r w:rsidR="00BE359B">
              <w:rPr>
                <w:webHidden/>
              </w:rPr>
              <w:tab/>
            </w:r>
            <w:r w:rsidR="00BE359B">
              <w:rPr>
                <w:webHidden/>
              </w:rPr>
              <w:fldChar w:fldCharType="begin"/>
            </w:r>
            <w:r w:rsidR="00BE359B">
              <w:rPr>
                <w:webHidden/>
              </w:rPr>
              <w:instrText xml:space="preserve"> PAGEREF _Toc110247348 \h </w:instrText>
            </w:r>
            <w:r w:rsidR="00BE359B">
              <w:rPr>
                <w:webHidden/>
              </w:rPr>
            </w:r>
            <w:r w:rsidR="00BE359B">
              <w:rPr>
                <w:webHidden/>
              </w:rPr>
              <w:fldChar w:fldCharType="separate"/>
            </w:r>
            <w:r w:rsidR="00BE359B">
              <w:rPr>
                <w:webHidden/>
              </w:rPr>
              <w:t>7</w:t>
            </w:r>
            <w:r w:rsidR="00BE359B">
              <w:rPr>
                <w:webHidden/>
              </w:rPr>
              <w:fldChar w:fldCharType="end"/>
            </w:r>
          </w:hyperlink>
        </w:p>
        <w:p w14:paraId="335367E9" w14:textId="7A6120F4" w:rsidR="00DC0A0B" w:rsidRDefault="00E12242">
          <w:pPr>
            <w:pStyle w:val="TOC2"/>
            <w:rPr>
              <w:rFonts w:asciiTheme="minorHAnsi" w:eastAsiaTheme="minorEastAsia" w:hAnsiTheme="minorHAnsi" w:cstheme="minorBidi"/>
              <w:b w:val="0"/>
              <w:sz w:val="22"/>
              <w:lang w:eastAsia="en-AU"/>
            </w:rPr>
          </w:pPr>
          <w:hyperlink w:anchor="_Toc110247349" w:history="1">
            <w:r w:rsidR="00BE359B">
              <w:rPr>
                <w:rStyle w:val="Hyperlink"/>
              </w:rPr>
              <w:t>Regulatory status</w:t>
            </w:r>
            <w:r w:rsidR="00BE359B">
              <w:rPr>
                <w:webHidden/>
              </w:rPr>
              <w:tab/>
            </w:r>
            <w:r w:rsidR="00BE359B">
              <w:rPr>
                <w:webHidden/>
              </w:rPr>
              <w:fldChar w:fldCharType="begin"/>
            </w:r>
            <w:r w:rsidR="00BE359B">
              <w:rPr>
                <w:webHidden/>
              </w:rPr>
              <w:instrText xml:space="preserve"> PAGEREF _Toc110247349 \h </w:instrText>
            </w:r>
            <w:r w:rsidR="00BE359B">
              <w:rPr>
                <w:webHidden/>
              </w:rPr>
            </w:r>
            <w:r w:rsidR="00BE359B">
              <w:rPr>
                <w:webHidden/>
              </w:rPr>
              <w:fldChar w:fldCharType="separate"/>
            </w:r>
            <w:r w:rsidR="00BE359B">
              <w:rPr>
                <w:webHidden/>
              </w:rPr>
              <w:t>9</w:t>
            </w:r>
            <w:r w:rsidR="00BE359B">
              <w:rPr>
                <w:webHidden/>
              </w:rPr>
              <w:fldChar w:fldCharType="end"/>
            </w:r>
          </w:hyperlink>
        </w:p>
        <w:p w14:paraId="21C62825" w14:textId="7454BD6F" w:rsidR="00DC0A0B" w:rsidRDefault="00E12242">
          <w:pPr>
            <w:pStyle w:val="TOC2"/>
            <w:rPr>
              <w:rFonts w:asciiTheme="minorHAnsi" w:eastAsiaTheme="minorEastAsia" w:hAnsiTheme="minorHAnsi" w:cstheme="minorBidi"/>
              <w:b w:val="0"/>
              <w:sz w:val="22"/>
              <w:lang w:eastAsia="en-AU"/>
            </w:rPr>
          </w:pPr>
          <w:hyperlink w:anchor="_Toc110247350" w:history="1">
            <w:r w:rsidR="00BE359B">
              <w:rPr>
                <w:rStyle w:val="Hyperlink"/>
              </w:rPr>
              <w:t>Product Information</w:t>
            </w:r>
            <w:r w:rsidR="00BE359B">
              <w:rPr>
                <w:webHidden/>
              </w:rPr>
              <w:tab/>
            </w:r>
            <w:r w:rsidR="00BE359B">
              <w:rPr>
                <w:webHidden/>
              </w:rPr>
              <w:fldChar w:fldCharType="begin"/>
            </w:r>
            <w:r w:rsidR="00BE359B">
              <w:rPr>
                <w:webHidden/>
              </w:rPr>
              <w:instrText xml:space="preserve"> PAGEREF _Toc110247350 \h </w:instrText>
            </w:r>
            <w:r w:rsidR="00BE359B">
              <w:rPr>
                <w:webHidden/>
              </w:rPr>
            </w:r>
            <w:r w:rsidR="00BE359B">
              <w:rPr>
                <w:webHidden/>
              </w:rPr>
              <w:fldChar w:fldCharType="separate"/>
            </w:r>
            <w:r w:rsidR="00BE359B">
              <w:rPr>
                <w:webHidden/>
              </w:rPr>
              <w:t>10</w:t>
            </w:r>
            <w:r w:rsidR="00BE359B">
              <w:rPr>
                <w:webHidden/>
              </w:rPr>
              <w:fldChar w:fldCharType="end"/>
            </w:r>
          </w:hyperlink>
        </w:p>
        <w:p w14:paraId="49FEC664" w14:textId="33C43E47" w:rsidR="00DC0A0B" w:rsidRDefault="00E12242">
          <w:pPr>
            <w:pStyle w:val="TOC1"/>
            <w:rPr>
              <w:rFonts w:asciiTheme="minorHAnsi" w:eastAsiaTheme="minorEastAsia" w:hAnsiTheme="minorHAnsi" w:cstheme="minorBidi"/>
              <w:b w:val="0"/>
              <w:sz w:val="22"/>
              <w:lang w:eastAsia="en-AU"/>
            </w:rPr>
          </w:pPr>
          <w:hyperlink w:anchor="_Toc110247351" w:history="1">
            <w:r w:rsidR="00BE359B">
              <w:rPr>
                <w:rStyle w:val="Hyperlink"/>
              </w:rPr>
              <w:t>Registration timeline</w:t>
            </w:r>
            <w:r w:rsidR="00BE359B">
              <w:rPr>
                <w:webHidden/>
              </w:rPr>
              <w:tab/>
            </w:r>
            <w:r w:rsidR="00BE359B">
              <w:rPr>
                <w:webHidden/>
              </w:rPr>
              <w:fldChar w:fldCharType="begin"/>
            </w:r>
            <w:r w:rsidR="00BE359B">
              <w:rPr>
                <w:webHidden/>
              </w:rPr>
              <w:instrText xml:space="preserve"> PAGEREF _Toc110247351 \h </w:instrText>
            </w:r>
            <w:r w:rsidR="00BE359B">
              <w:rPr>
                <w:webHidden/>
              </w:rPr>
            </w:r>
            <w:r w:rsidR="00BE359B">
              <w:rPr>
                <w:webHidden/>
              </w:rPr>
              <w:fldChar w:fldCharType="separate"/>
            </w:r>
            <w:r w:rsidR="00BE359B">
              <w:rPr>
                <w:webHidden/>
              </w:rPr>
              <w:t>10</w:t>
            </w:r>
            <w:r w:rsidR="00BE359B">
              <w:rPr>
                <w:webHidden/>
              </w:rPr>
              <w:fldChar w:fldCharType="end"/>
            </w:r>
          </w:hyperlink>
        </w:p>
        <w:p w14:paraId="4E0DD7F3" w14:textId="50496F79" w:rsidR="00DC0A0B" w:rsidRDefault="00E12242">
          <w:pPr>
            <w:pStyle w:val="TOC1"/>
            <w:rPr>
              <w:rFonts w:asciiTheme="minorHAnsi" w:eastAsiaTheme="minorEastAsia" w:hAnsiTheme="minorHAnsi" w:cstheme="minorBidi"/>
              <w:b w:val="0"/>
              <w:sz w:val="22"/>
              <w:lang w:eastAsia="en-AU"/>
            </w:rPr>
          </w:pPr>
          <w:hyperlink w:anchor="_Toc110247352" w:history="1">
            <w:r w:rsidR="00BE359B">
              <w:rPr>
                <w:rStyle w:val="Hyperlink"/>
              </w:rPr>
              <w:t>Submission overview and risk/benefit assessment</w:t>
            </w:r>
            <w:r w:rsidR="00BE359B">
              <w:rPr>
                <w:webHidden/>
              </w:rPr>
              <w:tab/>
            </w:r>
            <w:r w:rsidR="00BE359B">
              <w:rPr>
                <w:webHidden/>
              </w:rPr>
              <w:fldChar w:fldCharType="begin"/>
            </w:r>
            <w:r w:rsidR="00BE359B">
              <w:rPr>
                <w:webHidden/>
              </w:rPr>
              <w:instrText xml:space="preserve"> PAGEREF _Toc110247352 \h </w:instrText>
            </w:r>
            <w:r w:rsidR="00BE359B">
              <w:rPr>
                <w:webHidden/>
              </w:rPr>
            </w:r>
            <w:r w:rsidR="00BE359B">
              <w:rPr>
                <w:webHidden/>
              </w:rPr>
              <w:fldChar w:fldCharType="separate"/>
            </w:r>
            <w:r w:rsidR="00BE359B">
              <w:rPr>
                <w:webHidden/>
              </w:rPr>
              <w:t>11</w:t>
            </w:r>
            <w:r w:rsidR="00BE359B">
              <w:rPr>
                <w:webHidden/>
              </w:rPr>
              <w:fldChar w:fldCharType="end"/>
            </w:r>
          </w:hyperlink>
        </w:p>
        <w:p w14:paraId="04225528" w14:textId="621DD3E8" w:rsidR="00DC0A0B" w:rsidRDefault="00E12242">
          <w:pPr>
            <w:pStyle w:val="TOC2"/>
            <w:rPr>
              <w:rFonts w:asciiTheme="minorHAnsi" w:eastAsiaTheme="minorEastAsia" w:hAnsiTheme="minorHAnsi" w:cstheme="minorBidi"/>
              <w:b w:val="0"/>
              <w:sz w:val="22"/>
              <w:lang w:eastAsia="en-AU"/>
            </w:rPr>
          </w:pPr>
          <w:hyperlink w:anchor="_Toc110247353" w:history="1">
            <w:r w:rsidR="00BE359B">
              <w:rPr>
                <w:rStyle w:val="Hyperlink"/>
              </w:rPr>
              <w:t>Quality</w:t>
            </w:r>
            <w:r w:rsidR="00BE359B">
              <w:rPr>
                <w:webHidden/>
              </w:rPr>
              <w:tab/>
            </w:r>
            <w:r w:rsidR="00BE359B">
              <w:rPr>
                <w:webHidden/>
              </w:rPr>
              <w:fldChar w:fldCharType="begin"/>
            </w:r>
            <w:r w:rsidR="00BE359B">
              <w:rPr>
                <w:webHidden/>
              </w:rPr>
              <w:instrText xml:space="preserve"> PAGEREF _Toc110247353 \h </w:instrText>
            </w:r>
            <w:r w:rsidR="00BE359B">
              <w:rPr>
                <w:webHidden/>
              </w:rPr>
            </w:r>
            <w:r w:rsidR="00BE359B">
              <w:rPr>
                <w:webHidden/>
              </w:rPr>
              <w:fldChar w:fldCharType="separate"/>
            </w:r>
            <w:r w:rsidR="00BE359B">
              <w:rPr>
                <w:webHidden/>
              </w:rPr>
              <w:t>11</w:t>
            </w:r>
            <w:r w:rsidR="00BE359B">
              <w:rPr>
                <w:webHidden/>
              </w:rPr>
              <w:fldChar w:fldCharType="end"/>
            </w:r>
          </w:hyperlink>
        </w:p>
        <w:p w14:paraId="342984C6" w14:textId="4B14A8E8" w:rsidR="00DC0A0B" w:rsidRDefault="00E12242">
          <w:pPr>
            <w:pStyle w:val="TOC2"/>
            <w:rPr>
              <w:rFonts w:asciiTheme="minorHAnsi" w:eastAsiaTheme="minorEastAsia" w:hAnsiTheme="minorHAnsi" w:cstheme="minorBidi"/>
              <w:b w:val="0"/>
              <w:sz w:val="22"/>
              <w:lang w:eastAsia="en-AU"/>
            </w:rPr>
          </w:pPr>
          <w:hyperlink w:anchor="_Toc110247354" w:history="1">
            <w:r w:rsidR="00BE359B">
              <w:rPr>
                <w:rStyle w:val="Hyperlink"/>
              </w:rPr>
              <w:t>Nonclinical</w:t>
            </w:r>
            <w:r w:rsidR="00BE359B">
              <w:rPr>
                <w:webHidden/>
              </w:rPr>
              <w:tab/>
            </w:r>
            <w:r w:rsidR="00BE359B">
              <w:rPr>
                <w:webHidden/>
              </w:rPr>
              <w:fldChar w:fldCharType="begin"/>
            </w:r>
            <w:r w:rsidR="00BE359B">
              <w:rPr>
                <w:webHidden/>
              </w:rPr>
              <w:instrText xml:space="preserve"> PAGEREF _Toc110247354 \h </w:instrText>
            </w:r>
            <w:r w:rsidR="00BE359B">
              <w:rPr>
                <w:webHidden/>
              </w:rPr>
            </w:r>
            <w:r w:rsidR="00BE359B">
              <w:rPr>
                <w:webHidden/>
              </w:rPr>
              <w:fldChar w:fldCharType="separate"/>
            </w:r>
            <w:r w:rsidR="00BE359B">
              <w:rPr>
                <w:webHidden/>
              </w:rPr>
              <w:t>11</w:t>
            </w:r>
            <w:r w:rsidR="00BE359B">
              <w:rPr>
                <w:webHidden/>
              </w:rPr>
              <w:fldChar w:fldCharType="end"/>
            </w:r>
          </w:hyperlink>
        </w:p>
        <w:p w14:paraId="37D75DF9" w14:textId="0CC4B942" w:rsidR="00DC0A0B" w:rsidRDefault="00E12242">
          <w:pPr>
            <w:pStyle w:val="TOC2"/>
            <w:rPr>
              <w:rFonts w:asciiTheme="minorHAnsi" w:eastAsiaTheme="minorEastAsia" w:hAnsiTheme="minorHAnsi" w:cstheme="minorBidi"/>
              <w:b w:val="0"/>
              <w:sz w:val="22"/>
              <w:lang w:eastAsia="en-AU"/>
            </w:rPr>
          </w:pPr>
          <w:hyperlink w:anchor="_Toc110247355" w:history="1">
            <w:r w:rsidR="00BE359B">
              <w:rPr>
                <w:rStyle w:val="Hyperlink"/>
              </w:rPr>
              <w:t>Clinical</w:t>
            </w:r>
            <w:r w:rsidR="00BE359B">
              <w:rPr>
                <w:webHidden/>
              </w:rPr>
              <w:tab/>
            </w:r>
            <w:r w:rsidR="00BE359B">
              <w:rPr>
                <w:webHidden/>
              </w:rPr>
              <w:fldChar w:fldCharType="begin"/>
            </w:r>
            <w:r w:rsidR="00BE359B">
              <w:rPr>
                <w:webHidden/>
              </w:rPr>
              <w:instrText xml:space="preserve"> PAGEREF _Toc110247355 \h </w:instrText>
            </w:r>
            <w:r w:rsidR="00BE359B">
              <w:rPr>
                <w:webHidden/>
              </w:rPr>
            </w:r>
            <w:r w:rsidR="00BE359B">
              <w:rPr>
                <w:webHidden/>
              </w:rPr>
              <w:fldChar w:fldCharType="separate"/>
            </w:r>
            <w:r w:rsidR="00BE359B">
              <w:rPr>
                <w:webHidden/>
              </w:rPr>
              <w:t>11</w:t>
            </w:r>
            <w:r w:rsidR="00BE359B">
              <w:rPr>
                <w:webHidden/>
              </w:rPr>
              <w:fldChar w:fldCharType="end"/>
            </w:r>
          </w:hyperlink>
        </w:p>
        <w:p w14:paraId="5C3CDC37" w14:textId="1DB2F28F" w:rsidR="00DC0A0B" w:rsidRDefault="00E12242">
          <w:pPr>
            <w:pStyle w:val="TOC2"/>
            <w:rPr>
              <w:rFonts w:asciiTheme="minorHAnsi" w:eastAsiaTheme="minorEastAsia" w:hAnsiTheme="minorHAnsi" w:cstheme="minorBidi"/>
              <w:b w:val="0"/>
              <w:sz w:val="22"/>
              <w:lang w:eastAsia="en-AU"/>
            </w:rPr>
          </w:pPr>
          <w:hyperlink w:anchor="_Toc110247356" w:history="1">
            <w:r w:rsidR="00BE359B">
              <w:rPr>
                <w:rStyle w:val="Hyperlink"/>
                <w:lang w:eastAsia="en-AU"/>
              </w:rPr>
              <w:t>Risk management plan</w:t>
            </w:r>
            <w:r w:rsidR="00BE359B">
              <w:rPr>
                <w:webHidden/>
              </w:rPr>
              <w:tab/>
            </w:r>
            <w:r w:rsidR="00BE359B">
              <w:rPr>
                <w:webHidden/>
              </w:rPr>
              <w:fldChar w:fldCharType="begin"/>
            </w:r>
            <w:r w:rsidR="00BE359B">
              <w:rPr>
                <w:webHidden/>
              </w:rPr>
              <w:instrText xml:space="preserve"> PAGEREF _Toc110247356 \h </w:instrText>
            </w:r>
            <w:r w:rsidR="00BE359B">
              <w:rPr>
                <w:webHidden/>
              </w:rPr>
            </w:r>
            <w:r w:rsidR="00BE359B">
              <w:rPr>
                <w:webHidden/>
              </w:rPr>
              <w:fldChar w:fldCharType="separate"/>
            </w:r>
            <w:r w:rsidR="00BE359B">
              <w:rPr>
                <w:webHidden/>
              </w:rPr>
              <w:t>26</w:t>
            </w:r>
            <w:r w:rsidR="00BE359B">
              <w:rPr>
                <w:webHidden/>
              </w:rPr>
              <w:fldChar w:fldCharType="end"/>
            </w:r>
          </w:hyperlink>
        </w:p>
        <w:p w14:paraId="25D9241E" w14:textId="3286E415" w:rsidR="00DC0A0B" w:rsidRDefault="00E12242">
          <w:pPr>
            <w:pStyle w:val="TOC2"/>
            <w:rPr>
              <w:rFonts w:asciiTheme="minorHAnsi" w:eastAsiaTheme="minorEastAsia" w:hAnsiTheme="minorHAnsi" w:cstheme="minorBidi"/>
              <w:b w:val="0"/>
              <w:sz w:val="22"/>
              <w:lang w:eastAsia="en-AU"/>
            </w:rPr>
          </w:pPr>
          <w:hyperlink w:anchor="_Toc110247357" w:history="1">
            <w:r w:rsidR="00BE359B">
              <w:rPr>
                <w:rStyle w:val="Hyperlink"/>
              </w:rPr>
              <w:t>Risk-benefit analysis</w:t>
            </w:r>
            <w:r w:rsidR="00BE359B">
              <w:rPr>
                <w:webHidden/>
              </w:rPr>
              <w:tab/>
            </w:r>
            <w:r w:rsidR="00BE359B">
              <w:rPr>
                <w:webHidden/>
              </w:rPr>
              <w:fldChar w:fldCharType="begin"/>
            </w:r>
            <w:r w:rsidR="00BE359B">
              <w:rPr>
                <w:webHidden/>
              </w:rPr>
              <w:instrText xml:space="preserve"> PAGEREF _Toc110247357 \h </w:instrText>
            </w:r>
            <w:r w:rsidR="00BE359B">
              <w:rPr>
                <w:webHidden/>
              </w:rPr>
            </w:r>
            <w:r w:rsidR="00BE359B">
              <w:rPr>
                <w:webHidden/>
              </w:rPr>
              <w:fldChar w:fldCharType="separate"/>
            </w:r>
            <w:r w:rsidR="00BE359B">
              <w:rPr>
                <w:webHidden/>
              </w:rPr>
              <w:t>27</w:t>
            </w:r>
            <w:r w:rsidR="00BE359B">
              <w:rPr>
                <w:webHidden/>
              </w:rPr>
              <w:fldChar w:fldCharType="end"/>
            </w:r>
          </w:hyperlink>
        </w:p>
        <w:p w14:paraId="164B4939" w14:textId="3B0088A6" w:rsidR="00DC0A0B" w:rsidRDefault="00E12242">
          <w:pPr>
            <w:pStyle w:val="TOC1"/>
            <w:rPr>
              <w:rFonts w:asciiTheme="minorHAnsi" w:eastAsiaTheme="minorEastAsia" w:hAnsiTheme="minorHAnsi" w:cstheme="minorBidi"/>
              <w:b w:val="0"/>
              <w:sz w:val="22"/>
              <w:lang w:eastAsia="en-AU"/>
            </w:rPr>
          </w:pPr>
          <w:hyperlink w:anchor="_Toc110247358" w:history="1">
            <w:r w:rsidR="00BE359B">
              <w:rPr>
                <w:rStyle w:val="Hyperlink"/>
              </w:rPr>
              <w:t>Outcome</w:t>
            </w:r>
            <w:r w:rsidR="00BE359B">
              <w:rPr>
                <w:webHidden/>
              </w:rPr>
              <w:tab/>
            </w:r>
            <w:r w:rsidR="00BE359B">
              <w:rPr>
                <w:webHidden/>
              </w:rPr>
              <w:fldChar w:fldCharType="begin"/>
            </w:r>
            <w:r w:rsidR="00BE359B">
              <w:rPr>
                <w:webHidden/>
              </w:rPr>
              <w:instrText xml:space="preserve"> PAGEREF _Toc110247358 \h </w:instrText>
            </w:r>
            <w:r w:rsidR="00BE359B">
              <w:rPr>
                <w:webHidden/>
              </w:rPr>
            </w:r>
            <w:r w:rsidR="00BE359B">
              <w:rPr>
                <w:webHidden/>
              </w:rPr>
              <w:fldChar w:fldCharType="separate"/>
            </w:r>
            <w:r w:rsidR="00BE359B">
              <w:rPr>
                <w:webHidden/>
              </w:rPr>
              <w:t>29</w:t>
            </w:r>
            <w:r w:rsidR="00BE359B">
              <w:rPr>
                <w:webHidden/>
              </w:rPr>
              <w:fldChar w:fldCharType="end"/>
            </w:r>
          </w:hyperlink>
        </w:p>
        <w:p w14:paraId="6144DDA1" w14:textId="7468769E" w:rsidR="00DC0A0B" w:rsidRDefault="00E12242">
          <w:pPr>
            <w:pStyle w:val="TOC2"/>
            <w:rPr>
              <w:rFonts w:asciiTheme="minorHAnsi" w:eastAsiaTheme="minorEastAsia" w:hAnsiTheme="minorHAnsi" w:cstheme="minorBidi"/>
              <w:b w:val="0"/>
              <w:sz w:val="22"/>
              <w:lang w:eastAsia="en-AU"/>
            </w:rPr>
          </w:pPr>
          <w:hyperlink w:anchor="_Toc110247359" w:history="1">
            <w:r w:rsidR="00BE359B">
              <w:rPr>
                <w:rStyle w:val="Hyperlink"/>
              </w:rPr>
              <w:t>Specific conditions of registration applying to these goods</w:t>
            </w:r>
            <w:r w:rsidR="00BE359B">
              <w:rPr>
                <w:webHidden/>
              </w:rPr>
              <w:tab/>
            </w:r>
            <w:r w:rsidR="00BE359B">
              <w:rPr>
                <w:webHidden/>
              </w:rPr>
              <w:fldChar w:fldCharType="begin"/>
            </w:r>
            <w:r w:rsidR="00BE359B">
              <w:rPr>
                <w:webHidden/>
              </w:rPr>
              <w:instrText xml:space="preserve"> PAGEREF _Toc110247359 \h </w:instrText>
            </w:r>
            <w:r w:rsidR="00BE359B">
              <w:rPr>
                <w:webHidden/>
              </w:rPr>
            </w:r>
            <w:r w:rsidR="00BE359B">
              <w:rPr>
                <w:webHidden/>
              </w:rPr>
              <w:fldChar w:fldCharType="separate"/>
            </w:r>
            <w:r w:rsidR="00BE359B">
              <w:rPr>
                <w:webHidden/>
              </w:rPr>
              <w:t>30</w:t>
            </w:r>
            <w:r w:rsidR="00BE359B">
              <w:rPr>
                <w:webHidden/>
              </w:rPr>
              <w:fldChar w:fldCharType="end"/>
            </w:r>
          </w:hyperlink>
        </w:p>
        <w:p w14:paraId="29F76618" w14:textId="5AC408F9" w:rsidR="00DC0A0B" w:rsidRDefault="00E12242">
          <w:pPr>
            <w:pStyle w:val="TOC1"/>
            <w:rPr>
              <w:rFonts w:asciiTheme="minorHAnsi" w:eastAsiaTheme="minorEastAsia" w:hAnsiTheme="minorHAnsi" w:cstheme="minorBidi"/>
              <w:b w:val="0"/>
              <w:sz w:val="22"/>
              <w:lang w:eastAsia="en-AU"/>
            </w:rPr>
          </w:pPr>
          <w:hyperlink w:anchor="_Toc110247360" w:history="1">
            <w:r w:rsidR="00BE359B">
              <w:rPr>
                <w:rStyle w:val="Hyperlink"/>
              </w:rPr>
              <w:t>Attachment 1. Product Information</w:t>
            </w:r>
            <w:r w:rsidR="00BE359B">
              <w:rPr>
                <w:webHidden/>
              </w:rPr>
              <w:tab/>
            </w:r>
            <w:r w:rsidR="00BE359B">
              <w:rPr>
                <w:webHidden/>
              </w:rPr>
              <w:fldChar w:fldCharType="begin"/>
            </w:r>
            <w:r w:rsidR="00BE359B">
              <w:rPr>
                <w:webHidden/>
              </w:rPr>
              <w:instrText xml:space="preserve"> PAGEREF _Toc110247360 \h </w:instrText>
            </w:r>
            <w:r w:rsidR="00BE359B">
              <w:rPr>
                <w:webHidden/>
              </w:rPr>
            </w:r>
            <w:r w:rsidR="00BE359B">
              <w:rPr>
                <w:webHidden/>
              </w:rPr>
              <w:fldChar w:fldCharType="separate"/>
            </w:r>
            <w:r w:rsidR="00BE359B">
              <w:rPr>
                <w:webHidden/>
              </w:rPr>
              <w:t>31</w:t>
            </w:r>
            <w:r w:rsidR="00BE359B">
              <w:rPr>
                <w:webHidden/>
              </w:rPr>
              <w:fldChar w:fldCharType="end"/>
            </w:r>
          </w:hyperlink>
        </w:p>
        <w:p w14:paraId="4FEBD9BD" w14:textId="1314832F" w:rsidR="00DC0A0B" w:rsidRDefault="00BE359B">
          <w:r>
            <w:fldChar w:fldCharType="end"/>
          </w:r>
        </w:p>
      </w:sdtContent>
    </w:sdt>
    <w:bookmarkStart w:id="1" w:name="_Toc314842482" w:displacedByCustomXml="prev"/>
    <w:p w14:paraId="260D0E2A" w14:textId="77777777" w:rsidR="00DC0A0B" w:rsidRDefault="00BE359B">
      <w:pPr>
        <w:spacing w:before="0" w:after="200" w:line="0" w:lineRule="auto"/>
      </w:pPr>
      <w:r>
        <w:br w:type="page"/>
      </w:r>
    </w:p>
    <w:p w14:paraId="49D0F50F" w14:textId="2771DEEC" w:rsidR="00DC0A0B" w:rsidRDefault="00BE359B">
      <w:pPr>
        <w:pStyle w:val="Heading2"/>
      </w:pPr>
      <w:bookmarkStart w:id="2" w:name="_Toc110247345"/>
      <w:r>
        <w:lastRenderedPageBreak/>
        <w:t>List of abbreviations</w:t>
      </w:r>
      <w:bookmarkEnd w:id="2"/>
    </w:p>
    <w:tbl>
      <w:tblPr>
        <w:tblStyle w:val="TableTGAblue"/>
        <w:tblW w:w="5000" w:type="pct"/>
        <w:tblLook w:val="04A0" w:firstRow="1" w:lastRow="0" w:firstColumn="1" w:lastColumn="0" w:noHBand="0" w:noVBand="1"/>
      </w:tblPr>
      <w:tblGrid>
        <w:gridCol w:w="1719"/>
        <w:gridCol w:w="1196"/>
        <w:gridCol w:w="5569"/>
      </w:tblGrid>
      <w:tr w:rsidR="00DC0A0B" w14:paraId="08C643B0" w14:textId="77777777" w:rsidTr="00DC0A0B">
        <w:trPr>
          <w:cnfStyle w:val="100000000000" w:firstRow="1" w:lastRow="0" w:firstColumn="0" w:lastColumn="0" w:oddVBand="0" w:evenVBand="0" w:oddHBand="0" w:evenHBand="0" w:firstRowFirstColumn="0" w:firstRowLastColumn="0" w:lastRowFirstColumn="0" w:lastRowLastColumn="0"/>
          <w:cantSplit/>
        </w:trPr>
        <w:tc>
          <w:tcPr>
            <w:tcW w:w="1718" w:type="pct"/>
            <w:gridSpan w:val="2"/>
            <w:hideMark/>
          </w:tcPr>
          <w:p w14:paraId="5021B5AB" w14:textId="77777777" w:rsidR="00DC0A0B" w:rsidRDefault="00BE359B">
            <w:pPr>
              <w:rPr>
                <w:color w:val="FFFFFF"/>
              </w:rPr>
            </w:pPr>
            <w:r>
              <w:t>Abbreviation</w:t>
            </w:r>
          </w:p>
        </w:tc>
        <w:tc>
          <w:tcPr>
            <w:tcW w:w="3282" w:type="pct"/>
            <w:hideMark/>
          </w:tcPr>
          <w:p w14:paraId="38434BF8" w14:textId="77777777" w:rsidR="00DC0A0B" w:rsidRDefault="00BE359B">
            <w:r>
              <w:t>Meaning</w:t>
            </w:r>
          </w:p>
        </w:tc>
      </w:tr>
      <w:tr w:rsidR="00DC0A0B" w14:paraId="664F644B"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hideMark/>
          </w:tcPr>
          <w:p w14:paraId="391F5B34" w14:textId="77777777" w:rsidR="00DC0A0B" w:rsidRDefault="00BE359B">
            <w:r>
              <w:t>ACM</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02FAB070" w14:textId="77777777" w:rsidR="00DC0A0B" w:rsidRDefault="00BE359B">
            <w:r>
              <w:t>Advisory Committee on Medicines</w:t>
            </w:r>
          </w:p>
        </w:tc>
      </w:tr>
      <w:tr w:rsidR="00DC0A0B" w14:paraId="29FEBB6E" w14:textId="77777777" w:rsidTr="00DC0A0B">
        <w:tc>
          <w:tcPr>
            <w:tcW w:w="1013" w:type="pct"/>
          </w:tcPr>
          <w:p w14:paraId="0EC78684" w14:textId="77777777" w:rsidR="00DC0A0B" w:rsidRDefault="00BE359B">
            <w:r>
              <w:t>ADA</w:t>
            </w:r>
          </w:p>
        </w:tc>
        <w:tc>
          <w:tcPr>
            <w:tcW w:w="3987" w:type="pct"/>
            <w:gridSpan w:val="2"/>
          </w:tcPr>
          <w:p w14:paraId="17802456" w14:textId="77777777" w:rsidR="00DC0A0B" w:rsidRDefault="00BE359B">
            <w:r>
              <w:t>Anti-drug antibody</w:t>
            </w:r>
          </w:p>
        </w:tc>
      </w:tr>
      <w:tr w:rsidR="00DC0A0B" w14:paraId="52A82E69"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tcPr>
          <w:p w14:paraId="2C6929AD" w14:textId="77777777" w:rsidR="00DC0A0B" w:rsidRDefault="00BE359B">
            <w:pPr>
              <w:rPr>
                <w:color w:val="000000"/>
              </w:rPr>
            </w:pPr>
            <w:r>
              <w:rPr>
                <w:color w:val="000000"/>
              </w:rPr>
              <w:t>ALK</w:t>
            </w:r>
          </w:p>
        </w:tc>
        <w:tc>
          <w:tcPr>
            <w:tcW w:w="3987" w:type="pct"/>
            <w:gridSpan w:val="2"/>
            <w:tcBorders>
              <w:top w:val="single" w:sz="8" w:space="0" w:color="002C47"/>
              <w:left w:val="single" w:sz="8" w:space="0" w:color="002C47"/>
              <w:bottom w:val="single" w:sz="8" w:space="0" w:color="002C47"/>
              <w:right w:val="single" w:sz="8" w:space="0" w:color="002C47"/>
            </w:tcBorders>
          </w:tcPr>
          <w:p w14:paraId="5970ACF6" w14:textId="77777777" w:rsidR="00DC0A0B" w:rsidRDefault="00BE359B">
            <w:pPr>
              <w:rPr>
                <w:color w:val="000000"/>
              </w:rPr>
            </w:pPr>
            <w:r>
              <w:t>Anaplastic lymphoma kinase</w:t>
            </w:r>
          </w:p>
        </w:tc>
      </w:tr>
      <w:tr w:rsidR="00DC0A0B" w14:paraId="391296A9"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hideMark/>
          </w:tcPr>
          <w:p w14:paraId="19095235" w14:textId="77777777" w:rsidR="00DC0A0B" w:rsidRDefault="00BE359B">
            <w:r>
              <w:t>ARTG</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15A3697D" w14:textId="77777777" w:rsidR="00DC0A0B" w:rsidRDefault="00BE359B">
            <w:r>
              <w:t>Australian Register of Therapeutic Goods</w:t>
            </w:r>
          </w:p>
        </w:tc>
      </w:tr>
      <w:tr w:rsidR="00DC0A0B" w14:paraId="79340E88"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hideMark/>
          </w:tcPr>
          <w:p w14:paraId="192A985B" w14:textId="77777777" w:rsidR="00DC0A0B" w:rsidRDefault="00BE359B">
            <w:r>
              <w:t>ASA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12238F10" w14:textId="77777777" w:rsidR="00DC0A0B" w:rsidRDefault="00BE359B">
            <w:r>
              <w:t>Australia specific annex</w:t>
            </w:r>
          </w:p>
        </w:tc>
      </w:tr>
      <w:tr w:rsidR="00DC0A0B" w14:paraId="59BAAF21" w14:textId="77777777" w:rsidTr="00DC0A0B">
        <w:tc>
          <w:tcPr>
            <w:tcW w:w="1013" w:type="pct"/>
          </w:tcPr>
          <w:p w14:paraId="5D1E80AC" w14:textId="77777777" w:rsidR="00DC0A0B" w:rsidRDefault="00BE359B">
            <w:r>
              <w:t>BOR</w:t>
            </w:r>
          </w:p>
        </w:tc>
        <w:tc>
          <w:tcPr>
            <w:tcW w:w="3987" w:type="pct"/>
            <w:gridSpan w:val="2"/>
          </w:tcPr>
          <w:p w14:paraId="763B3DB1" w14:textId="77777777" w:rsidR="00DC0A0B" w:rsidRDefault="00BE359B">
            <w:pPr>
              <w:rPr>
                <w:lang w:eastAsia="ja-JP"/>
              </w:rPr>
            </w:pPr>
            <w:r>
              <w:rPr>
                <w:lang w:eastAsia="ja-JP"/>
              </w:rPr>
              <w:t>Best overall response</w:t>
            </w:r>
          </w:p>
        </w:tc>
      </w:tr>
      <w:tr w:rsidR="00DC0A0B" w14:paraId="6F51B3E2"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tcPr>
          <w:p w14:paraId="69DD5A54" w14:textId="77777777" w:rsidR="00DC0A0B" w:rsidRDefault="00BE359B">
            <w:pPr>
              <w:rPr>
                <w:color w:val="000000"/>
              </w:rPr>
            </w:pPr>
            <w:r>
              <w:t>CI</w:t>
            </w:r>
          </w:p>
        </w:tc>
        <w:tc>
          <w:tcPr>
            <w:tcW w:w="3987" w:type="pct"/>
            <w:gridSpan w:val="2"/>
            <w:tcBorders>
              <w:top w:val="single" w:sz="8" w:space="0" w:color="002C47"/>
              <w:left w:val="single" w:sz="8" w:space="0" w:color="002C47"/>
              <w:bottom w:val="single" w:sz="8" w:space="0" w:color="002C47"/>
              <w:right w:val="single" w:sz="8" w:space="0" w:color="002C47"/>
            </w:tcBorders>
          </w:tcPr>
          <w:p w14:paraId="6BDF4472" w14:textId="77777777" w:rsidR="00DC0A0B" w:rsidRDefault="00BE359B">
            <w:r>
              <w:t>Confidence interval</w:t>
            </w:r>
          </w:p>
        </w:tc>
      </w:tr>
      <w:tr w:rsidR="00DC0A0B" w14:paraId="2F5A0AA6" w14:textId="77777777" w:rsidTr="00DC0A0B">
        <w:tc>
          <w:tcPr>
            <w:tcW w:w="1013" w:type="pct"/>
          </w:tcPr>
          <w:p w14:paraId="2C6EE9A7" w14:textId="77777777" w:rsidR="00DC0A0B" w:rsidRDefault="00BE359B">
            <w:r>
              <w:t>CR</w:t>
            </w:r>
          </w:p>
        </w:tc>
        <w:tc>
          <w:tcPr>
            <w:tcW w:w="3987" w:type="pct"/>
            <w:gridSpan w:val="2"/>
          </w:tcPr>
          <w:p w14:paraId="36066B95" w14:textId="77777777" w:rsidR="00DC0A0B" w:rsidRDefault="00BE359B">
            <w:r>
              <w:t>Complete response</w:t>
            </w:r>
          </w:p>
        </w:tc>
      </w:tr>
      <w:tr w:rsidR="00DC0A0B" w14:paraId="073B8629"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hideMark/>
          </w:tcPr>
          <w:p w14:paraId="2C573BC7" w14:textId="77777777" w:rsidR="00DC0A0B" w:rsidRDefault="00BE359B">
            <w:r>
              <w:t>DLP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299D00FC" w14:textId="77777777" w:rsidR="00DC0A0B" w:rsidRDefault="00BE359B">
            <w:r>
              <w:t>Data lock point</w:t>
            </w:r>
          </w:p>
        </w:tc>
      </w:tr>
      <w:tr w:rsidR="00DC0A0B" w14:paraId="6B7C87AC" w14:textId="77777777" w:rsidTr="00DC0A0B">
        <w:tc>
          <w:tcPr>
            <w:tcW w:w="1013" w:type="pct"/>
          </w:tcPr>
          <w:p w14:paraId="119698BB" w14:textId="77777777" w:rsidR="00DC0A0B" w:rsidRDefault="00BE359B">
            <w:r>
              <w:t>DOR</w:t>
            </w:r>
          </w:p>
        </w:tc>
        <w:tc>
          <w:tcPr>
            <w:tcW w:w="3987" w:type="pct"/>
            <w:gridSpan w:val="2"/>
          </w:tcPr>
          <w:p w14:paraId="596DFC7F" w14:textId="77777777" w:rsidR="00DC0A0B" w:rsidRDefault="00BE359B">
            <w:r>
              <w:t>Duration of response</w:t>
            </w:r>
          </w:p>
        </w:tc>
      </w:tr>
      <w:tr w:rsidR="00DC0A0B" w14:paraId="6DD706E6"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tcPr>
          <w:p w14:paraId="236DD523" w14:textId="77777777" w:rsidR="00DC0A0B" w:rsidRDefault="00BE359B">
            <w:pPr>
              <w:rPr>
                <w:color w:val="000000"/>
              </w:rPr>
            </w:pPr>
            <w:r>
              <w:rPr>
                <w:color w:val="000000"/>
              </w:rPr>
              <w:t>ECOG PS</w:t>
            </w:r>
          </w:p>
        </w:tc>
        <w:tc>
          <w:tcPr>
            <w:tcW w:w="3987" w:type="pct"/>
            <w:gridSpan w:val="2"/>
            <w:tcBorders>
              <w:top w:val="single" w:sz="8" w:space="0" w:color="002C47"/>
              <w:left w:val="single" w:sz="8" w:space="0" w:color="002C47"/>
              <w:bottom w:val="single" w:sz="8" w:space="0" w:color="002C47"/>
              <w:right w:val="single" w:sz="8" w:space="0" w:color="002C47"/>
            </w:tcBorders>
          </w:tcPr>
          <w:p w14:paraId="479658BC" w14:textId="77777777" w:rsidR="00DC0A0B" w:rsidRDefault="00BE359B">
            <w:pPr>
              <w:rPr>
                <w:color w:val="000000"/>
              </w:rPr>
            </w:pPr>
            <w:r>
              <w:rPr>
                <w:lang w:eastAsia="ja-JP"/>
              </w:rPr>
              <w:t>Eastern Cooperative Oncology Group performance score</w:t>
            </w:r>
          </w:p>
        </w:tc>
      </w:tr>
      <w:tr w:rsidR="00DC0A0B" w14:paraId="0EA811F5"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tcPr>
          <w:p w14:paraId="6D30A741" w14:textId="77777777" w:rsidR="00DC0A0B" w:rsidRDefault="00BE359B">
            <w:pPr>
              <w:rPr>
                <w:color w:val="000000"/>
              </w:rPr>
            </w:pPr>
            <w:r>
              <w:rPr>
                <w:color w:val="000000"/>
              </w:rPr>
              <w:t>EGFR</w:t>
            </w:r>
          </w:p>
        </w:tc>
        <w:tc>
          <w:tcPr>
            <w:tcW w:w="3987" w:type="pct"/>
            <w:gridSpan w:val="2"/>
            <w:tcBorders>
              <w:top w:val="single" w:sz="8" w:space="0" w:color="002C47"/>
              <w:left w:val="single" w:sz="8" w:space="0" w:color="002C47"/>
              <w:bottom w:val="single" w:sz="8" w:space="0" w:color="002C47"/>
              <w:right w:val="single" w:sz="8" w:space="0" w:color="002C47"/>
            </w:tcBorders>
          </w:tcPr>
          <w:p w14:paraId="7E8D52A2" w14:textId="77777777" w:rsidR="00DC0A0B" w:rsidRDefault="00BE359B">
            <w:pPr>
              <w:rPr>
                <w:color w:val="000000"/>
              </w:rPr>
            </w:pPr>
            <w:r>
              <w:t>Epidermal growth factor receptor</w:t>
            </w:r>
          </w:p>
        </w:tc>
      </w:tr>
      <w:tr w:rsidR="00DC0A0B" w14:paraId="392CAD33"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tcPr>
          <w:p w14:paraId="60C59647" w14:textId="77777777" w:rsidR="00DC0A0B" w:rsidRDefault="00BE359B">
            <w:pPr>
              <w:rPr>
                <w:color w:val="000000"/>
              </w:rPr>
            </w:pPr>
            <w:r>
              <w:rPr>
                <w:color w:val="000000"/>
              </w:rPr>
              <w:t>EU</w:t>
            </w:r>
          </w:p>
        </w:tc>
        <w:tc>
          <w:tcPr>
            <w:tcW w:w="3987" w:type="pct"/>
            <w:gridSpan w:val="2"/>
            <w:tcBorders>
              <w:top w:val="single" w:sz="8" w:space="0" w:color="002C47"/>
              <w:left w:val="single" w:sz="8" w:space="0" w:color="002C47"/>
              <w:bottom w:val="single" w:sz="8" w:space="0" w:color="002C47"/>
              <w:right w:val="single" w:sz="8" w:space="0" w:color="002C47"/>
            </w:tcBorders>
          </w:tcPr>
          <w:p w14:paraId="17231D6D" w14:textId="77777777" w:rsidR="00DC0A0B" w:rsidRDefault="00BE359B">
            <w:r>
              <w:t>European Union</w:t>
            </w:r>
          </w:p>
        </w:tc>
      </w:tr>
      <w:tr w:rsidR="00DC0A0B" w14:paraId="39BD5760"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tcPr>
          <w:p w14:paraId="01FD45C3" w14:textId="77777777" w:rsidR="00DC0A0B" w:rsidRDefault="00BE359B">
            <w:pPr>
              <w:rPr>
                <w:color w:val="000000"/>
              </w:rPr>
            </w:pPr>
            <w:r>
              <w:rPr>
                <w:color w:val="000000"/>
              </w:rPr>
              <w:t>HR</w:t>
            </w:r>
          </w:p>
        </w:tc>
        <w:tc>
          <w:tcPr>
            <w:tcW w:w="3987" w:type="pct"/>
            <w:gridSpan w:val="2"/>
            <w:tcBorders>
              <w:top w:val="single" w:sz="8" w:space="0" w:color="002C47"/>
              <w:left w:val="single" w:sz="8" w:space="0" w:color="002C47"/>
              <w:bottom w:val="single" w:sz="8" w:space="0" w:color="002C47"/>
              <w:right w:val="single" w:sz="8" w:space="0" w:color="002C47"/>
            </w:tcBorders>
          </w:tcPr>
          <w:p w14:paraId="6C6A0136" w14:textId="77777777" w:rsidR="00DC0A0B" w:rsidRDefault="00BE359B">
            <w:pPr>
              <w:rPr>
                <w:color w:val="000000"/>
              </w:rPr>
            </w:pPr>
            <w:r>
              <w:t>Hazard ratio</w:t>
            </w:r>
          </w:p>
        </w:tc>
      </w:tr>
      <w:tr w:rsidR="00DC0A0B" w14:paraId="37CADA57" w14:textId="77777777" w:rsidTr="00DC0A0B">
        <w:tc>
          <w:tcPr>
            <w:tcW w:w="1013" w:type="pct"/>
          </w:tcPr>
          <w:p w14:paraId="2FCDD7DD" w14:textId="77777777" w:rsidR="00DC0A0B" w:rsidRDefault="00BE359B">
            <w:r>
              <w:t>ICR</w:t>
            </w:r>
          </w:p>
        </w:tc>
        <w:tc>
          <w:tcPr>
            <w:tcW w:w="3987" w:type="pct"/>
            <w:gridSpan w:val="2"/>
          </w:tcPr>
          <w:p w14:paraId="06DF18E6" w14:textId="77777777" w:rsidR="00DC0A0B" w:rsidRDefault="00BE359B">
            <w:pPr>
              <w:rPr>
                <w:lang w:eastAsia="ja-JP"/>
              </w:rPr>
            </w:pPr>
            <w:r>
              <w:t>Independent central review</w:t>
            </w:r>
          </w:p>
        </w:tc>
      </w:tr>
      <w:tr w:rsidR="00DC0A0B" w14:paraId="6F85934F" w14:textId="77777777" w:rsidTr="00DC0A0B">
        <w:tc>
          <w:tcPr>
            <w:tcW w:w="1013" w:type="pct"/>
          </w:tcPr>
          <w:p w14:paraId="7C270A94" w14:textId="77777777" w:rsidR="00DC0A0B" w:rsidRDefault="00BE359B">
            <w:proofErr w:type="spellStart"/>
            <w:r>
              <w:t>irAE</w:t>
            </w:r>
            <w:proofErr w:type="spellEnd"/>
          </w:p>
        </w:tc>
        <w:tc>
          <w:tcPr>
            <w:tcW w:w="3987" w:type="pct"/>
            <w:gridSpan w:val="2"/>
          </w:tcPr>
          <w:p w14:paraId="00CDBAD8" w14:textId="77777777" w:rsidR="00DC0A0B" w:rsidRDefault="00BE359B">
            <w:pPr>
              <w:rPr>
                <w:rFonts w:cs="Calibri"/>
                <w:color w:val="000000"/>
              </w:rPr>
            </w:pPr>
            <w:r>
              <w:t>Immune</w:t>
            </w:r>
            <w:r>
              <w:noBreakHyphen/>
              <w:t>related adverse event</w:t>
            </w:r>
          </w:p>
        </w:tc>
      </w:tr>
      <w:tr w:rsidR="00DC0A0B" w14:paraId="09E19E7A" w14:textId="77777777" w:rsidTr="00DC0A0B">
        <w:tc>
          <w:tcPr>
            <w:tcW w:w="1013" w:type="pct"/>
          </w:tcPr>
          <w:p w14:paraId="7271294B" w14:textId="77777777" w:rsidR="00DC0A0B" w:rsidRDefault="00BE359B">
            <w:r>
              <w:t>IRC</w:t>
            </w:r>
          </w:p>
        </w:tc>
        <w:tc>
          <w:tcPr>
            <w:tcW w:w="3987" w:type="pct"/>
            <w:gridSpan w:val="2"/>
          </w:tcPr>
          <w:p w14:paraId="7A4A27B1" w14:textId="77777777" w:rsidR="00DC0A0B" w:rsidRDefault="00BE359B">
            <w:pPr>
              <w:rPr>
                <w:lang w:eastAsia="ja-JP"/>
              </w:rPr>
            </w:pPr>
            <w:r>
              <w:t>Independent review committee</w:t>
            </w:r>
          </w:p>
        </w:tc>
      </w:tr>
      <w:tr w:rsidR="00DC0A0B" w14:paraId="5C245182"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tcPr>
          <w:p w14:paraId="2F895476" w14:textId="77777777" w:rsidR="00DC0A0B" w:rsidRDefault="00BE359B">
            <w:pPr>
              <w:rPr>
                <w:color w:val="000000"/>
              </w:rPr>
            </w:pPr>
            <w:r>
              <w:rPr>
                <w:color w:val="000000"/>
              </w:rPr>
              <w:t>NCCN</w:t>
            </w:r>
          </w:p>
        </w:tc>
        <w:tc>
          <w:tcPr>
            <w:tcW w:w="3987" w:type="pct"/>
            <w:gridSpan w:val="2"/>
            <w:tcBorders>
              <w:top w:val="single" w:sz="8" w:space="0" w:color="002C47"/>
              <w:left w:val="single" w:sz="8" w:space="0" w:color="002C47"/>
              <w:bottom w:val="single" w:sz="8" w:space="0" w:color="002C47"/>
              <w:right w:val="single" w:sz="8" w:space="0" w:color="002C47"/>
            </w:tcBorders>
          </w:tcPr>
          <w:p w14:paraId="4279F7CD" w14:textId="2B74F012" w:rsidR="00DC0A0B" w:rsidRDefault="00BE359B">
            <w:r>
              <w:t>National Comprehensive Cancer Network (United States</w:t>
            </w:r>
            <w:r w:rsidR="000D7500">
              <w:t xml:space="preserve"> of America</w:t>
            </w:r>
            <w:r>
              <w:t>)</w:t>
            </w:r>
          </w:p>
        </w:tc>
      </w:tr>
      <w:tr w:rsidR="00DC0A0B" w14:paraId="30EAC998"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tcPr>
          <w:p w14:paraId="7857C07D" w14:textId="77777777" w:rsidR="00DC0A0B" w:rsidRDefault="00BE359B">
            <w:pPr>
              <w:rPr>
                <w:color w:val="000000"/>
              </w:rPr>
            </w:pPr>
            <w:r>
              <w:rPr>
                <w:color w:val="000000"/>
              </w:rPr>
              <w:t>NSCLC</w:t>
            </w:r>
          </w:p>
        </w:tc>
        <w:tc>
          <w:tcPr>
            <w:tcW w:w="3987" w:type="pct"/>
            <w:gridSpan w:val="2"/>
            <w:tcBorders>
              <w:top w:val="single" w:sz="8" w:space="0" w:color="002C47"/>
              <w:left w:val="single" w:sz="8" w:space="0" w:color="002C47"/>
              <w:bottom w:val="single" w:sz="8" w:space="0" w:color="002C47"/>
              <w:right w:val="single" w:sz="8" w:space="0" w:color="002C47"/>
            </w:tcBorders>
          </w:tcPr>
          <w:p w14:paraId="59807A90" w14:textId="77777777" w:rsidR="00DC0A0B" w:rsidRDefault="00BE359B">
            <w:pPr>
              <w:rPr>
                <w:color w:val="000000"/>
              </w:rPr>
            </w:pPr>
            <w:r>
              <w:t>Non-small cell lung cancer</w:t>
            </w:r>
          </w:p>
        </w:tc>
      </w:tr>
      <w:tr w:rsidR="00DC0A0B" w14:paraId="0495EDEA" w14:textId="77777777" w:rsidTr="00DC0A0B">
        <w:tc>
          <w:tcPr>
            <w:tcW w:w="1013" w:type="pct"/>
          </w:tcPr>
          <w:p w14:paraId="3A44998C" w14:textId="77777777" w:rsidR="00DC0A0B" w:rsidRDefault="00BE359B">
            <w:r>
              <w:t>OS</w:t>
            </w:r>
          </w:p>
        </w:tc>
        <w:tc>
          <w:tcPr>
            <w:tcW w:w="3987" w:type="pct"/>
            <w:gridSpan w:val="2"/>
          </w:tcPr>
          <w:p w14:paraId="74C354B7" w14:textId="77777777" w:rsidR="00DC0A0B" w:rsidRDefault="00BE359B">
            <w:r>
              <w:t>Overall survival</w:t>
            </w:r>
          </w:p>
        </w:tc>
      </w:tr>
      <w:tr w:rsidR="00DC0A0B" w14:paraId="07E5E34D"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tcPr>
          <w:p w14:paraId="06D4E02F" w14:textId="77777777" w:rsidR="00DC0A0B" w:rsidRDefault="00BE359B">
            <w:pPr>
              <w:rPr>
                <w:color w:val="000000"/>
              </w:rPr>
            </w:pPr>
            <w:r>
              <w:rPr>
                <w:color w:val="000000"/>
              </w:rPr>
              <w:t>PD-1</w:t>
            </w:r>
          </w:p>
        </w:tc>
        <w:tc>
          <w:tcPr>
            <w:tcW w:w="3987" w:type="pct"/>
            <w:gridSpan w:val="2"/>
            <w:tcBorders>
              <w:top w:val="single" w:sz="8" w:space="0" w:color="002C47"/>
              <w:left w:val="single" w:sz="8" w:space="0" w:color="002C47"/>
              <w:bottom w:val="single" w:sz="8" w:space="0" w:color="002C47"/>
              <w:right w:val="single" w:sz="8" w:space="0" w:color="002C47"/>
            </w:tcBorders>
          </w:tcPr>
          <w:p w14:paraId="2FA92B10" w14:textId="77777777" w:rsidR="00DC0A0B" w:rsidRDefault="00BE359B">
            <w:r>
              <w:t>Programmed cell death protein 1</w:t>
            </w:r>
          </w:p>
        </w:tc>
      </w:tr>
      <w:tr w:rsidR="00DC0A0B" w14:paraId="37BD796F"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tcPr>
          <w:p w14:paraId="194DB653" w14:textId="77777777" w:rsidR="00DC0A0B" w:rsidRDefault="00BE359B">
            <w:pPr>
              <w:rPr>
                <w:color w:val="000000"/>
              </w:rPr>
            </w:pPr>
            <w:r>
              <w:rPr>
                <w:color w:val="000000"/>
              </w:rPr>
              <w:t>PD-L1</w:t>
            </w:r>
          </w:p>
        </w:tc>
        <w:tc>
          <w:tcPr>
            <w:tcW w:w="3987" w:type="pct"/>
            <w:gridSpan w:val="2"/>
            <w:tcBorders>
              <w:top w:val="single" w:sz="8" w:space="0" w:color="002C47"/>
              <w:left w:val="single" w:sz="8" w:space="0" w:color="002C47"/>
              <w:bottom w:val="single" w:sz="8" w:space="0" w:color="002C47"/>
              <w:right w:val="single" w:sz="8" w:space="0" w:color="002C47"/>
            </w:tcBorders>
          </w:tcPr>
          <w:p w14:paraId="55584E37" w14:textId="77777777" w:rsidR="00DC0A0B" w:rsidRDefault="00BE359B">
            <w:pPr>
              <w:rPr>
                <w:color w:val="000000"/>
              </w:rPr>
            </w:pPr>
            <w:r>
              <w:t>Programmed death ligand 1</w:t>
            </w:r>
          </w:p>
        </w:tc>
      </w:tr>
      <w:tr w:rsidR="00DC0A0B" w14:paraId="45F70021" w14:textId="77777777" w:rsidTr="00DC0A0B">
        <w:tc>
          <w:tcPr>
            <w:tcW w:w="1013" w:type="pct"/>
          </w:tcPr>
          <w:p w14:paraId="7AE86EEA" w14:textId="77777777" w:rsidR="00DC0A0B" w:rsidRDefault="00BE359B">
            <w:r>
              <w:t>PFS</w:t>
            </w:r>
          </w:p>
        </w:tc>
        <w:tc>
          <w:tcPr>
            <w:tcW w:w="3987" w:type="pct"/>
            <w:gridSpan w:val="2"/>
          </w:tcPr>
          <w:p w14:paraId="41F3EDCF" w14:textId="77777777" w:rsidR="00DC0A0B" w:rsidRDefault="00BE359B">
            <w:r>
              <w:t>Progression free survival</w:t>
            </w:r>
          </w:p>
        </w:tc>
      </w:tr>
      <w:tr w:rsidR="00DC0A0B" w14:paraId="7237B9B1"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tcPr>
          <w:p w14:paraId="2FCCDB57" w14:textId="77777777" w:rsidR="00DC0A0B" w:rsidRDefault="00BE359B">
            <w:pPr>
              <w:rPr>
                <w:color w:val="000000"/>
              </w:rPr>
            </w:pPr>
            <w:r>
              <w:rPr>
                <w:color w:val="000000"/>
              </w:rPr>
              <w:t>PI</w:t>
            </w:r>
          </w:p>
        </w:tc>
        <w:tc>
          <w:tcPr>
            <w:tcW w:w="3987" w:type="pct"/>
            <w:gridSpan w:val="2"/>
            <w:tcBorders>
              <w:top w:val="single" w:sz="8" w:space="0" w:color="002C47"/>
              <w:left w:val="single" w:sz="8" w:space="0" w:color="002C47"/>
              <w:bottom w:val="single" w:sz="8" w:space="0" w:color="002C47"/>
              <w:right w:val="single" w:sz="8" w:space="0" w:color="002C47"/>
            </w:tcBorders>
          </w:tcPr>
          <w:p w14:paraId="61075AEA" w14:textId="77777777" w:rsidR="00DC0A0B" w:rsidRDefault="00BE359B">
            <w:r>
              <w:t>Product Information</w:t>
            </w:r>
          </w:p>
        </w:tc>
      </w:tr>
      <w:tr w:rsidR="00DC0A0B" w14:paraId="6C6F51C6" w14:textId="77777777" w:rsidTr="00DC0A0B">
        <w:tc>
          <w:tcPr>
            <w:tcW w:w="1013" w:type="pct"/>
          </w:tcPr>
          <w:p w14:paraId="5EDBB0B6" w14:textId="77777777" w:rsidR="00DC0A0B" w:rsidRDefault="00BE359B">
            <w:r>
              <w:lastRenderedPageBreak/>
              <w:t>PK</w:t>
            </w:r>
          </w:p>
        </w:tc>
        <w:tc>
          <w:tcPr>
            <w:tcW w:w="3987" w:type="pct"/>
            <w:gridSpan w:val="2"/>
          </w:tcPr>
          <w:p w14:paraId="2D17283C" w14:textId="77777777" w:rsidR="00DC0A0B" w:rsidRDefault="00BE359B">
            <w:pPr>
              <w:rPr>
                <w:rFonts w:cs="Calibri"/>
                <w:color w:val="000000"/>
              </w:rPr>
            </w:pPr>
            <w:r>
              <w:rPr>
                <w:rFonts w:cs="Calibri"/>
                <w:color w:val="000000"/>
              </w:rPr>
              <w:t xml:space="preserve">Pharmacokinetic(s) </w:t>
            </w:r>
          </w:p>
        </w:tc>
      </w:tr>
      <w:tr w:rsidR="00DC0A0B" w14:paraId="0C475C25"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tcPr>
          <w:p w14:paraId="05A0F9D1" w14:textId="77777777" w:rsidR="00DC0A0B" w:rsidRDefault="00BE359B">
            <w:pPr>
              <w:rPr>
                <w:color w:val="000000"/>
              </w:rPr>
            </w:pPr>
            <w:r>
              <w:rPr>
                <w:color w:val="000000"/>
              </w:rPr>
              <w:t>PK</w:t>
            </w:r>
          </w:p>
        </w:tc>
        <w:tc>
          <w:tcPr>
            <w:tcW w:w="3987" w:type="pct"/>
            <w:gridSpan w:val="2"/>
            <w:tcBorders>
              <w:top w:val="single" w:sz="8" w:space="0" w:color="002C47"/>
              <w:left w:val="single" w:sz="8" w:space="0" w:color="002C47"/>
              <w:bottom w:val="single" w:sz="8" w:space="0" w:color="002C47"/>
              <w:right w:val="single" w:sz="8" w:space="0" w:color="002C47"/>
            </w:tcBorders>
          </w:tcPr>
          <w:p w14:paraId="0B9C7529" w14:textId="77777777" w:rsidR="00DC0A0B" w:rsidRDefault="00BE359B">
            <w:r>
              <w:t>Pharmacokinetic(s)</w:t>
            </w:r>
          </w:p>
        </w:tc>
      </w:tr>
      <w:tr w:rsidR="00DC0A0B" w14:paraId="68B8C9F5" w14:textId="77777777" w:rsidTr="00DC0A0B">
        <w:tc>
          <w:tcPr>
            <w:tcW w:w="1013" w:type="pct"/>
          </w:tcPr>
          <w:p w14:paraId="28A6BE66" w14:textId="77777777" w:rsidR="00DC0A0B" w:rsidRDefault="00BE359B">
            <w:r>
              <w:t>RECIST</w:t>
            </w:r>
          </w:p>
        </w:tc>
        <w:tc>
          <w:tcPr>
            <w:tcW w:w="3987" w:type="pct"/>
            <w:gridSpan w:val="2"/>
          </w:tcPr>
          <w:p w14:paraId="1FE3296C" w14:textId="389AE2B1" w:rsidR="00DC0A0B" w:rsidRDefault="00BE359B">
            <w:r>
              <w:rPr>
                <w:lang w:eastAsia="ja-JP"/>
              </w:rPr>
              <w:t>Response Evaluation Criteria in Solid Tumo</w:t>
            </w:r>
            <w:r w:rsidR="000D7500">
              <w:rPr>
                <w:lang w:eastAsia="ja-JP"/>
              </w:rPr>
              <w:t>u</w:t>
            </w:r>
            <w:r>
              <w:rPr>
                <w:lang w:eastAsia="ja-JP"/>
              </w:rPr>
              <w:t>rs</w:t>
            </w:r>
          </w:p>
        </w:tc>
      </w:tr>
      <w:tr w:rsidR="00DC0A0B" w14:paraId="43C2B83D"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hideMark/>
          </w:tcPr>
          <w:p w14:paraId="14289EEA" w14:textId="77777777" w:rsidR="00DC0A0B" w:rsidRDefault="00BE359B">
            <w:r>
              <w:t>RMP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7565217D" w14:textId="77777777" w:rsidR="00DC0A0B" w:rsidRDefault="00BE359B">
            <w:r>
              <w:t>Risk management plan</w:t>
            </w:r>
          </w:p>
        </w:tc>
      </w:tr>
      <w:tr w:rsidR="00DC0A0B" w14:paraId="1AABC170"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tcPr>
          <w:p w14:paraId="2022D181" w14:textId="77777777" w:rsidR="00DC0A0B" w:rsidRDefault="00BE359B">
            <w:pPr>
              <w:rPr>
                <w:color w:val="000000"/>
              </w:rPr>
            </w:pPr>
            <w:r>
              <w:rPr>
                <w:color w:val="000000"/>
              </w:rPr>
              <w:t>ROS-1</w:t>
            </w:r>
          </w:p>
        </w:tc>
        <w:tc>
          <w:tcPr>
            <w:tcW w:w="3987" w:type="pct"/>
            <w:gridSpan w:val="2"/>
            <w:tcBorders>
              <w:top w:val="single" w:sz="8" w:space="0" w:color="002C47"/>
              <w:left w:val="single" w:sz="8" w:space="0" w:color="002C47"/>
              <w:bottom w:val="single" w:sz="8" w:space="0" w:color="002C47"/>
              <w:right w:val="single" w:sz="8" w:space="0" w:color="002C47"/>
            </w:tcBorders>
          </w:tcPr>
          <w:p w14:paraId="72CC176E" w14:textId="77777777" w:rsidR="00DC0A0B" w:rsidRDefault="00BE359B">
            <w:r>
              <w:t>c-ROS oncogene 1</w:t>
            </w:r>
          </w:p>
        </w:tc>
      </w:tr>
      <w:tr w:rsidR="00DC0A0B" w14:paraId="1D12CE83"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tcPr>
          <w:p w14:paraId="4A289D82" w14:textId="77777777" w:rsidR="00DC0A0B" w:rsidRDefault="00BE359B">
            <w:pPr>
              <w:rPr>
                <w:color w:val="000000"/>
              </w:rPr>
            </w:pPr>
            <w:r>
              <w:rPr>
                <w:color w:val="000000"/>
              </w:rPr>
              <w:t>TEAE</w:t>
            </w:r>
          </w:p>
        </w:tc>
        <w:tc>
          <w:tcPr>
            <w:tcW w:w="3987" w:type="pct"/>
            <w:gridSpan w:val="2"/>
            <w:tcBorders>
              <w:top w:val="single" w:sz="8" w:space="0" w:color="002C47"/>
              <w:left w:val="single" w:sz="8" w:space="0" w:color="002C47"/>
              <w:bottom w:val="single" w:sz="8" w:space="0" w:color="002C47"/>
              <w:right w:val="single" w:sz="8" w:space="0" w:color="002C47"/>
            </w:tcBorders>
          </w:tcPr>
          <w:p w14:paraId="132F6A6F" w14:textId="77777777" w:rsidR="00DC0A0B" w:rsidRDefault="00BE359B">
            <w:r>
              <w:t>Treatment emergent adverse event</w:t>
            </w:r>
          </w:p>
        </w:tc>
      </w:tr>
      <w:tr w:rsidR="00DC0A0B" w14:paraId="0123C18A"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hideMark/>
          </w:tcPr>
          <w:p w14:paraId="7589352E" w14:textId="77777777" w:rsidR="00DC0A0B" w:rsidRDefault="00BE359B">
            <w:r>
              <w:t>TGA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2BCA0B64" w14:textId="77777777" w:rsidR="00DC0A0B" w:rsidRDefault="00BE359B">
            <w:r>
              <w:t>Therapeutic Goods Administration</w:t>
            </w:r>
          </w:p>
        </w:tc>
      </w:tr>
      <w:tr w:rsidR="00DC0A0B" w14:paraId="30C0F3C8"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tcPr>
          <w:p w14:paraId="53C4862D" w14:textId="77777777" w:rsidR="00DC0A0B" w:rsidRDefault="00BE359B">
            <w:pPr>
              <w:rPr>
                <w:color w:val="000000"/>
              </w:rPr>
            </w:pPr>
            <w:r>
              <w:rPr>
                <w:color w:val="000000"/>
              </w:rPr>
              <w:t>TPS</w:t>
            </w:r>
          </w:p>
        </w:tc>
        <w:tc>
          <w:tcPr>
            <w:tcW w:w="3987" w:type="pct"/>
            <w:gridSpan w:val="2"/>
            <w:tcBorders>
              <w:top w:val="single" w:sz="8" w:space="0" w:color="002C47"/>
              <w:left w:val="single" w:sz="8" w:space="0" w:color="002C47"/>
              <w:bottom w:val="single" w:sz="8" w:space="0" w:color="002C47"/>
              <w:right w:val="single" w:sz="8" w:space="0" w:color="002C47"/>
            </w:tcBorders>
          </w:tcPr>
          <w:p w14:paraId="355C4B49" w14:textId="77777777" w:rsidR="00DC0A0B" w:rsidRDefault="00BE359B">
            <w:pPr>
              <w:rPr>
                <w:color w:val="000000"/>
              </w:rPr>
            </w:pPr>
            <w:r>
              <w:t>Tumour proportion score</w:t>
            </w:r>
          </w:p>
        </w:tc>
      </w:tr>
      <w:tr w:rsidR="00DC0A0B" w14:paraId="6A3C1013" w14:textId="77777777" w:rsidTr="00DC0A0B">
        <w:trPr>
          <w:cantSplit/>
        </w:trPr>
        <w:tc>
          <w:tcPr>
            <w:tcW w:w="1013" w:type="pct"/>
            <w:tcBorders>
              <w:top w:val="single" w:sz="8" w:space="0" w:color="002C47"/>
              <w:left w:val="single" w:sz="8" w:space="0" w:color="002C47"/>
              <w:bottom w:val="single" w:sz="8" w:space="0" w:color="002C47"/>
              <w:right w:val="single" w:sz="8" w:space="0" w:color="002C47"/>
            </w:tcBorders>
          </w:tcPr>
          <w:p w14:paraId="75550556" w14:textId="77777777" w:rsidR="00DC0A0B" w:rsidRDefault="00BE359B">
            <w:pPr>
              <w:rPr>
                <w:color w:val="000000"/>
              </w:rPr>
            </w:pPr>
            <w:r>
              <w:rPr>
                <w:color w:val="000000"/>
              </w:rPr>
              <w:t>US(A)</w:t>
            </w:r>
          </w:p>
        </w:tc>
        <w:tc>
          <w:tcPr>
            <w:tcW w:w="3987" w:type="pct"/>
            <w:gridSpan w:val="2"/>
            <w:tcBorders>
              <w:top w:val="single" w:sz="8" w:space="0" w:color="002C47"/>
              <w:left w:val="single" w:sz="8" w:space="0" w:color="002C47"/>
              <w:bottom w:val="single" w:sz="8" w:space="0" w:color="002C47"/>
              <w:right w:val="single" w:sz="8" w:space="0" w:color="002C47"/>
            </w:tcBorders>
          </w:tcPr>
          <w:p w14:paraId="59BAB199" w14:textId="77777777" w:rsidR="00DC0A0B" w:rsidRDefault="00BE359B">
            <w:r>
              <w:t>United States (of America)</w:t>
            </w:r>
          </w:p>
        </w:tc>
      </w:tr>
    </w:tbl>
    <w:p w14:paraId="45E57A25" w14:textId="77777777" w:rsidR="00DC0A0B" w:rsidRDefault="00BE359B">
      <w:pPr>
        <w:spacing w:before="0" w:after="200" w:line="0" w:lineRule="auto"/>
        <w:rPr>
          <w:b/>
          <w:i/>
          <w:sz w:val="24"/>
          <w:szCs w:val="24"/>
        </w:rPr>
      </w:pPr>
      <w:r>
        <w:rPr>
          <w:b/>
          <w:i/>
          <w:sz w:val="24"/>
          <w:szCs w:val="24"/>
        </w:rPr>
        <w:br w:type="page"/>
      </w:r>
    </w:p>
    <w:p w14:paraId="519CB600" w14:textId="77777777" w:rsidR="00DC0A0B" w:rsidRDefault="00BE359B">
      <w:pPr>
        <w:pStyle w:val="Heading2"/>
      </w:pPr>
      <w:bookmarkStart w:id="3" w:name="_Toc110247346"/>
      <w:r>
        <w:lastRenderedPageBreak/>
        <w:t>Product submission</w:t>
      </w:r>
      <w:bookmarkEnd w:id="3"/>
      <w:bookmarkEnd w:id="1"/>
    </w:p>
    <w:p w14:paraId="66F84A77" w14:textId="77777777" w:rsidR="00DC0A0B" w:rsidRDefault="00BE359B">
      <w:pPr>
        <w:pStyle w:val="Heading3"/>
        <w:rPr>
          <w:lang w:eastAsia="en-AU"/>
        </w:rPr>
      </w:pPr>
      <w:bookmarkStart w:id="4" w:name="_Toc110247347"/>
      <w:r>
        <w:rPr>
          <w:lang w:eastAsia="en-AU"/>
        </w:rPr>
        <w:t>Submission details</w:t>
      </w:r>
      <w:bookmarkEnd w:id="4"/>
    </w:p>
    <w:tbl>
      <w:tblPr>
        <w:tblW w:w="5000" w:type="pct"/>
        <w:tblLook w:val="01E0" w:firstRow="1" w:lastRow="1" w:firstColumn="1" w:lastColumn="1" w:noHBand="0" w:noVBand="0"/>
      </w:tblPr>
      <w:tblGrid>
        <w:gridCol w:w="2682"/>
        <w:gridCol w:w="5822"/>
      </w:tblGrid>
      <w:tr w:rsidR="00DC0A0B" w14:paraId="63EF21FD" w14:textId="77777777">
        <w:tc>
          <w:tcPr>
            <w:tcW w:w="1577" w:type="pct"/>
          </w:tcPr>
          <w:p w14:paraId="5E4DAC7E" w14:textId="77777777" w:rsidR="00DC0A0B" w:rsidRDefault="00BE359B">
            <w:pPr>
              <w:rPr>
                <w:i/>
              </w:rPr>
            </w:pPr>
            <w:r>
              <w:rPr>
                <w:i/>
              </w:rPr>
              <w:t>Type of submission:</w:t>
            </w:r>
          </w:p>
        </w:tc>
        <w:tc>
          <w:tcPr>
            <w:tcW w:w="3423" w:type="pct"/>
          </w:tcPr>
          <w:p w14:paraId="64DF41E0" w14:textId="241CEB1E" w:rsidR="00DC0A0B" w:rsidRDefault="00BE359B">
            <w:r>
              <w:t>Extension of indications</w:t>
            </w:r>
          </w:p>
        </w:tc>
      </w:tr>
      <w:tr w:rsidR="00DC0A0B" w14:paraId="5024226D" w14:textId="77777777">
        <w:tc>
          <w:tcPr>
            <w:tcW w:w="1577" w:type="pct"/>
          </w:tcPr>
          <w:p w14:paraId="67F7CB29" w14:textId="65943166" w:rsidR="00DC0A0B" w:rsidRDefault="00BE359B">
            <w:pPr>
              <w:rPr>
                <w:i/>
              </w:rPr>
            </w:pPr>
            <w:r>
              <w:rPr>
                <w:i/>
              </w:rPr>
              <w:t>Product name:</w:t>
            </w:r>
          </w:p>
        </w:tc>
        <w:tc>
          <w:tcPr>
            <w:tcW w:w="3423" w:type="pct"/>
          </w:tcPr>
          <w:p w14:paraId="2839E573" w14:textId="7FA1BED6" w:rsidR="00DC0A0B" w:rsidRDefault="00BE359B">
            <w:proofErr w:type="spellStart"/>
            <w:r>
              <w:t>Libtayo</w:t>
            </w:r>
            <w:proofErr w:type="spellEnd"/>
          </w:p>
        </w:tc>
      </w:tr>
      <w:tr w:rsidR="00DC0A0B" w14:paraId="214CBAC1" w14:textId="77777777">
        <w:tc>
          <w:tcPr>
            <w:tcW w:w="1577" w:type="pct"/>
          </w:tcPr>
          <w:p w14:paraId="15498B8A" w14:textId="61F38EBB" w:rsidR="00DC0A0B" w:rsidRDefault="00BE359B">
            <w:pPr>
              <w:rPr>
                <w:i/>
              </w:rPr>
            </w:pPr>
            <w:r>
              <w:rPr>
                <w:i/>
              </w:rPr>
              <w:t>Active ingredient:</w:t>
            </w:r>
          </w:p>
        </w:tc>
        <w:tc>
          <w:tcPr>
            <w:tcW w:w="3423" w:type="pct"/>
          </w:tcPr>
          <w:p w14:paraId="417ADBBD" w14:textId="789B9697" w:rsidR="00DC0A0B" w:rsidRDefault="00BE359B">
            <w:proofErr w:type="spellStart"/>
            <w:r>
              <w:t>Cemiplimab</w:t>
            </w:r>
            <w:proofErr w:type="spellEnd"/>
          </w:p>
        </w:tc>
      </w:tr>
      <w:tr w:rsidR="00DC0A0B" w14:paraId="58ADC312" w14:textId="77777777">
        <w:tc>
          <w:tcPr>
            <w:tcW w:w="1577" w:type="pct"/>
          </w:tcPr>
          <w:p w14:paraId="17A53078" w14:textId="77777777" w:rsidR="00DC0A0B" w:rsidRDefault="00BE359B">
            <w:pPr>
              <w:rPr>
                <w:i/>
              </w:rPr>
            </w:pPr>
            <w:r>
              <w:rPr>
                <w:i/>
              </w:rPr>
              <w:t>Decision:</w:t>
            </w:r>
          </w:p>
        </w:tc>
        <w:tc>
          <w:tcPr>
            <w:tcW w:w="3423" w:type="pct"/>
          </w:tcPr>
          <w:p w14:paraId="37412178" w14:textId="36D52B80" w:rsidR="00DC0A0B" w:rsidRDefault="00BE359B">
            <w:r>
              <w:t>Approved</w:t>
            </w:r>
          </w:p>
        </w:tc>
      </w:tr>
      <w:tr w:rsidR="00DC0A0B" w14:paraId="5F59D633" w14:textId="77777777">
        <w:tc>
          <w:tcPr>
            <w:tcW w:w="1577" w:type="pct"/>
          </w:tcPr>
          <w:p w14:paraId="1D217883" w14:textId="77777777" w:rsidR="00DC0A0B" w:rsidRDefault="00BE359B">
            <w:pPr>
              <w:rPr>
                <w:i/>
              </w:rPr>
            </w:pPr>
            <w:r>
              <w:rPr>
                <w:i/>
              </w:rPr>
              <w:t>Date of decision:</w:t>
            </w:r>
          </w:p>
        </w:tc>
        <w:tc>
          <w:tcPr>
            <w:tcW w:w="3423" w:type="pct"/>
          </w:tcPr>
          <w:p w14:paraId="2818ED71" w14:textId="2C0F5822" w:rsidR="00DC0A0B" w:rsidRDefault="00BE359B">
            <w:r>
              <w:t>25 November 2021</w:t>
            </w:r>
          </w:p>
        </w:tc>
      </w:tr>
      <w:tr w:rsidR="00DC0A0B" w14:paraId="47D3E56C" w14:textId="77777777">
        <w:tc>
          <w:tcPr>
            <w:tcW w:w="1577" w:type="pct"/>
          </w:tcPr>
          <w:p w14:paraId="147B4DAE" w14:textId="77777777" w:rsidR="00DC0A0B" w:rsidRDefault="00BE359B">
            <w:pPr>
              <w:rPr>
                <w:i/>
              </w:rPr>
            </w:pPr>
            <w:r>
              <w:rPr>
                <w:i/>
              </w:rPr>
              <w:t>Date of entry onto ARTG:</w:t>
            </w:r>
          </w:p>
        </w:tc>
        <w:tc>
          <w:tcPr>
            <w:tcW w:w="3423" w:type="pct"/>
          </w:tcPr>
          <w:p w14:paraId="595FB5F2" w14:textId="3256573A" w:rsidR="00DC0A0B" w:rsidRDefault="00BE359B">
            <w:r>
              <w:t>9 December 2021</w:t>
            </w:r>
          </w:p>
        </w:tc>
      </w:tr>
      <w:tr w:rsidR="00DC0A0B" w14:paraId="0DF23F6B" w14:textId="77777777">
        <w:tc>
          <w:tcPr>
            <w:tcW w:w="1577" w:type="pct"/>
          </w:tcPr>
          <w:p w14:paraId="27153847" w14:textId="1DD23892" w:rsidR="00DC0A0B" w:rsidRDefault="00BE359B">
            <w:pPr>
              <w:rPr>
                <w:i/>
              </w:rPr>
            </w:pPr>
            <w:r>
              <w:rPr>
                <w:i/>
              </w:rPr>
              <w:t>ARTG number:</w:t>
            </w:r>
          </w:p>
        </w:tc>
        <w:tc>
          <w:tcPr>
            <w:tcW w:w="3423" w:type="pct"/>
          </w:tcPr>
          <w:p w14:paraId="741CBFAD" w14:textId="47CAB8F2" w:rsidR="00DC0A0B" w:rsidRDefault="00BE359B">
            <w:r>
              <w:t>320609</w:t>
            </w:r>
          </w:p>
        </w:tc>
      </w:tr>
      <w:tr w:rsidR="00DC0A0B" w14:paraId="68B00A21" w14:textId="77777777">
        <w:tc>
          <w:tcPr>
            <w:tcW w:w="1577" w:type="pct"/>
          </w:tcPr>
          <w:p w14:paraId="2177B12F" w14:textId="0D8A0DBC" w:rsidR="00DC0A0B" w:rsidRDefault="00BE359B">
            <w:pPr>
              <w:rPr>
                <w:i/>
              </w:rPr>
            </w:pPr>
            <w:r>
              <w:rPr>
                <w:rFonts w:ascii="Wingdings 3" w:hAnsi="Wingdings 3"/>
                <w:sz w:val="34"/>
                <w:szCs w:val="34"/>
                <w:lang w:eastAsia="en-AU"/>
              </w:rPr>
              <w:t></w:t>
            </w:r>
            <w:hyperlink r:id="rId14" w:history="1">
              <w:r>
                <w:rPr>
                  <w:rStyle w:val="Hyperlink"/>
                  <w:i/>
                </w:rPr>
                <w:t>Black Triangle Scheme</w:t>
              </w:r>
            </w:hyperlink>
            <w:r>
              <w:rPr>
                <w:i/>
              </w:rPr>
              <w:t>:</w:t>
            </w:r>
          </w:p>
        </w:tc>
        <w:tc>
          <w:tcPr>
            <w:tcW w:w="3423" w:type="pct"/>
          </w:tcPr>
          <w:p w14:paraId="07D50C3A" w14:textId="681BCE73" w:rsidR="00DC0A0B" w:rsidRDefault="00BE359B">
            <w:r>
              <w:t>Yes</w:t>
            </w:r>
          </w:p>
          <w:p w14:paraId="2D426F2E" w14:textId="6119F330" w:rsidR="00DC0A0B" w:rsidRDefault="00BE359B">
            <w:r>
              <w:t>This product will remain in the scheme for 5 years, starting on the date the new indication was approved.</w:t>
            </w:r>
          </w:p>
        </w:tc>
      </w:tr>
      <w:tr w:rsidR="00DC0A0B" w14:paraId="3C07B748" w14:textId="77777777">
        <w:tc>
          <w:tcPr>
            <w:tcW w:w="1577" w:type="pct"/>
          </w:tcPr>
          <w:p w14:paraId="44818CB3" w14:textId="77777777" w:rsidR="00DC0A0B" w:rsidRDefault="00BE359B">
            <w:pPr>
              <w:rPr>
                <w:i/>
              </w:rPr>
            </w:pPr>
            <w:r>
              <w:rPr>
                <w:i/>
              </w:rPr>
              <w:t>Sponsor’s name and address:</w:t>
            </w:r>
          </w:p>
        </w:tc>
        <w:tc>
          <w:tcPr>
            <w:tcW w:w="3423" w:type="pct"/>
          </w:tcPr>
          <w:p w14:paraId="4254AAA5" w14:textId="56341C3E" w:rsidR="00DC0A0B" w:rsidRDefault="00BE359B">
            <w:r>
              <w:t>Sanofi-</w:t>
            </w:r>
            <w:r w:rsidR="000D7500">
              <w:t>A</w:t>
            </w:r>
            <w:r>
              <w:t>ventis Australia Pty Ltd</w:t>
            </w:r>
          </w:p>
          <w:p w14:paraId="25C9F1C2" w14:textId="77777777" w:rsidR="000D7500" w:rsidRDefault="00BE359B">
            <w:r>
              <w:t>12-24 Talavera Road</w:t>
            </w:r>
            <w:r w:rsidR="000D7500">
              <w:t>,</w:t>
            </w:r>
          </w:p>
          <w:p w14:paraId="38FF7A68" w14:textId="282C6798" w:rsidR="00DC0A0B" w:rsidRDefault="00BE359B">
            <w:r>
              <w:t>Macquarie Park</w:t>
            </w:r>
            <w:r w:rsidR="000D7500">
              <w:t>,</w:t>
            </w:r>
            <w:r>
              <w:t xml:space="preserve"> NSW</w:t>
            </w:r>
            <w:r w:rsidR="000D7500">
              <w:t>,</w:t>
            </w:r>
            <w:r>
              <w:t xml:space="preserve"> 2113</w:t>
            </w:r>
          </w:p>
        </w:tc>
      </w:tr>
      <w:tr w:rsidR="00DC0A0B" w14:paraId="5481FFB9" w14:textId="77777777">
        <w:tc>
          <w:tcPr>
            <w:tcW w:w="1577" w:type="pct"/>
          </w:tcPr>
          <w:p w14:paraId="0F0F1449" w14:textId="4FFCA09A" w:rsidR="00DC0A0B" w:rsidRDefault="00BE359B">
            <w:pPr>
              <w:rPr>
                <w:i/>
              </w:rPr>
            </w:pPr>
            <w:r>
              <w:rPr>
                <w:i/>
              </w:rPr>
              <w:t>Dose form:</w:t>
            </w:r>
          </w:p>
        </w:tc>
        <w:tc>
          <w:tcPr>
            <w:tcW w:w="3423" w:type="pct"/>
          </w:tcPr>
          <w:p w14:paraId="5089E0CD" w14:textId="6996AC57" w:rsidR="00DC0A0B" w:rsidRDefault="00BE359B">
            <w:r>
              <w:rPr>
                <w:sz w:val="23"/>
                <w:szCs w:val="23"/>
              </w:rPr>
              <w:t>Concentrate for solution for infusion</w:t>
            </w:r>
          </w:p>
        </w:tc>
      </w:tr>
      <w:tr w:rsidR="00DC0A0B" w14:paraId="48518B75" w14:textId="77777777">
        <w:tc>
          <w:tcPr>
            <w:tcW w:w="1577" w:type="pct"/>
          </w:tcPr>
          <w:p w14:paraId="1A3C4196" w14:textId="5189B7ED" w:rsidR="00DC0A0B" w:rsidRDefault="00BE359B">
            <w:pPr>
              <w:rPr>
                <w:i/>
              </w:rPr>
            </w:pPr>
            <w:r>
              <w:rPr>
                <w:i/>
              </w:rPr>
              <w:t>Strength:</w:t>
            </w:r>
          </w:p>
        </w:tc>
        <w:tc>
          <w:tcPr>
            <w:tcW w:w="3423" w:type="pct"/>
          </w:tcPr>
          <w:p w14:paraId="14ACE81E" w14:textId="702FE719" w:rsidR="00DC0A0B" w:rsidRDefault="00BE359B">
            <w:r>
              <w:t>350 mg</w:t>
            </w:r>
          </w:p>
        </w:tc>
      </w:tr>
      <w:tr w:rsidR="00DC0A0B" w14:paraId="34770DC8" w14:textId="77777777">
        <w:tc>
          <w:tcPr>
            <w:tcW w:w="1577" w:type="pct"/>
          </w:tcPr>
          <w:p w14:paraId="7B5FE90F" w14:textId="36A133C9" w:rsidR="00DC0A0B" w:rsidRDefault="00BE359B">
            <w:pPr>
              <w:rPr>
                <w:i/>
              </w:rPr>
            </w:pPr>
            <w:r>
              <w:rPr>
                <w:i/>
              </w:rPr>
              <w:t>Container:</w:t>
            </w:r>
          </w:p>
        </w:tc>
        <w:tc>
          <w:tcPr>
            <w:tcW w:w="3423" w:type="pct"/>
          </w:tcPr>
          <w:p w14:paraId="297CD152" w14:textId="66893D2C" w:rsidR="00DC0A0B" w:rsidRDefault="00BE359B">
            <w:r>
              <w:t>Vial</w:t>
            </w:r>
          </w:p>
        </w:tc>
      </w:tr>
      <w:tr w:rsidR="00DC0A0B" w14:paraId="24DD6F0B" w14:textId="77777777">
        <w:tc>
          <w:tcPr>
            <w:tcW w:w="1577" w:type="pct"/>
          </w:tcPr>
          <w:p w14:paraId="56588713" w14:textId="420A4D2B" w:rsidR="00DC0A0B" w:rsidRDefault="00BE359B">
            <w:pPr>
              <w:rPr>
                <w:i/>
              </w:rPr>
            </w:pPr>
            <w:r>
              <w:rPr>
                <w:i/>
              </w:rPr>
              <w:t>Pack size:</w:t>
            </w:r>
          </w:p>
        </w:tc>
        <w:tc>
          <w:tcPr>
            <w:tcW w:w="3423" w:type="pct"/>
          </w:tcPr>
          <w:p w14:paraId="1D42C071" w14:textId="5855CE68" w:rsidR="00DC0A0B" w:rsidRDefault="00BE359B">
            <w:r>
              <w:t>One vial</w:t>
            </w:r>
          </w:p>
        </w:tc>
      </w:tr>
      <w:tr w:rsidR="00DC0A0B" w14:paraId="3386F21A" w14:textId="77777777">
        <w:tc>
          <w:tcPr>
            <w:tcW w:w="1577" w:type="pct"/>
          </w:tcPr>
          <w:p w14:paraId="5DF9B11E" w14:textId="77777777" w:rsidR="00DC0A0B" w:rsidRDefault="00BE359B">
            <w:pPr>
              <w:rPr>
                <w:i/>
              </w:rPr>
            </w:pPr>
            <w:r>
              <w:rPr>
                <w:i/>
              </w:rPr>
              <w:t>Approved therapeutic use:</w:t>
            </w:r>
          </w:p>
        </w:tc>
        <w:tc>
          <w:tcPr>
            <w:tcW w:w="3423" w:type="pct"/>
          </w:tcPr>
          <w:p w14:paraId="626F9FFC" w14:textId="434CC27F" w:rsidR="00DC0A0B" w:rsidRDefault="00BE359B">
            <w:pPr>
              <w:rPr>
                <w:b/>
                <w:bCs/>
                <w:i/>
                <w:iCs/>
              </w:rPr>
            </w:pPr>
            <w:r>
              <w:rPr>
                <w:b/>
                <w:bCs/>
                <w:i/>
                <w:iCs/>
              </w:rPr>
              <w:t>Non-small cell lung cancer</w:t>
            </w:r>
          </w:p>
          <w:p w14:paraId="6F596FAB" w14:textId="149EAC3B" w:rsidR="00DC0A0B" w:rsidRDefault="00BE359B">
            <w:pPr>
              <w:rPr>
                <w:i/>
                <w:iCs/>
              </w:rPr>
            </w:pPr>
            <w:proofErr w:type="spellStart"/>
            <w:r>
              <w:rPr>
                <w:i/>
                <w:iCs/>
              </w:rPr>
              <w:t>Libtayo</w:t>
            </w:r>
            <w:proofErr w:type="spellEnd"/>
            <w:r>
              <w:rPr>
                <w:i/>
                <w:iCs/>
              </w:rPr>
              <w:t xml:space="preserve"> as monotherapy is indicated for the first-line treatment of adult patients with non-small cell lung cancer (NSCLC) expressing PD-L1 tumour proportion score (TPS) ≥ 50% as determined by a validated test, with no EGFR, ALK or ROS1 aberrations, who have:</w:t>
            </w:r>
          </w:p>
          <w:p w14:paraId="551DED41" w14:textId="7E2E2AE5" w:rsidR="00DC0A0B" w:rsidRDefault="00BE359B">
            <w:pPr>
              <w:pStyle w:val="ListBullet"/>
              <w:rPr>
                <w:i/>
                <w:iCs/>
              </w:rPr>
            </w:pPr>
            <w:r>
              <w:rPr>
                <w:i/>
                <w:iCs/>
              </w:rPr>
              <w:t>locally advanced NSCLC and who are not candidates for surgical resection or definitive chemoradiation, or</w:t>
            </w:r>
          </w:p>
          <w:p w14:paraId="4F0CA79C" w14:textId="63E926CD" w:rsidR="00DC0A0B" w:rsidRDefault="00BE359B">
            <w:pPr>
              <w:pStyle w:val="ListBullet"/>
              <w:rPr>
                <w:i/>
                <w:iCs/>
              </w:rPr>
            </w:pPr>
            <w:r>
              <w:rPr>
                <w:i/>
                <w:iCs/>
              </w:rPr>
              <w:t>metastatic NSCLC.</w:t>
            </w:r>
          </w:p>
        </w:tc>
      </w:tr>
      <w:tr w:rsidR="00DC0A0B" w14:paraId="342BB139" w14:textId="77777777">
        <w:tc>
          <w:tcPr>
            <w:tcW w:w="1577" w:type="pct"/>
          </w:tcPr>
          <w:p w14:paraId="5B028E89" w14:textId="6F8FC25B" w:rsidR="00DC0A0B" w:rsidRDefault="00BE359B">
            <w:pPr>
              <w:rPr>
                <w:i/>
              </w:rPr>
            </w:pPr>
            <w:r>
              <w:rPr>
                <w:i/>
              </w:rPr>
              <w:t>Route of administration:</w:t>
            </w:r>
          </w:p>
        </w:tc>
        <w:tc>
          <w:tcPr>
            <w:tcW w:w="3423" w:type="pct"/>
          </w:tcPr>
          <w:p w14:paraId="0C22F55D" w14:textId="57421843" w:rsidR="00DC0A0B" w:rsidRDefault="00BE359B">
            <w:r>
              <w:t>Intravenous infusion</w:t>
            </w:r>
          </w:p>
        </w:tc>
      </w:tr>
      <w:tr w:rsidR="00DC0A0B" w14:paraId="339DE93C" w14:textId="77777777">
        <w:tc>
          <w:tcPr>
            <w:tcW w:w="1577" w:type="pct"/>
          </w:tcPr>
          <w:p w14:paraId="0B3AB9A4" w14:textId="77777777" w:rsidR="00DC0A0B" w:rsidRDefault="00BE359B">
            <w:pPr>
              <w:rPr>
                <w:i/>
              </w:rPr>
            </w:pPr>
            <w:r>
              <w:rPr>
                <w:i/>
              </w:rPr>
              <w:t>Dosage:</w:t>
            </w:r>
          </w:p>
        </w:tc>
        <w:tc>
          <w:tcPr>
            <w:tcW w:w="3423" w:type="pct"/>
          </w:tcPr>
          <w:p w14:paraId="4028ECE7" w14:textId="77777777" w:rsidR="003763E0" w:rsidRDefault="003763E0" w:rsidP="003763E0">
            <w:r>
              <w:t>Treatment must be initiated and supervised by physicians experienced in the treatment of cancer.</w:t>
            </w:r>
          </w:p>
          <w:p w14:paraId="0D198F9F" w14:textId="7F4F55C8" w:rsidR="003763E0" w:rsidRDefault="003763E0">
            <w:r>
              <w:t xml:space="preserve">Patients should be selected for treatment with </w:t>
            </w:r>
            <w:proofErr w:type="spellStart"/>
            <w:r>
              <w:t>cemiplimab</w:t>
            </w:r>
            <w:proofErr w:type="spellEnd"/>
            <w:r>
              <w:t xml:space="preserve"> based on PD-L1 expression confirmed by a validated test in </w:t>
            </w:r>
            <w:r>
              <w:lastRenderedPageBreak/>
              <w:t>locally advanced or metastatic NSCLC. See Section 5.1 of the Product information for further information.</w:t>
            </w:r>
          </w:p>
          <w:p w14:paraId="66F08B90" w14:textId="679B88FF" w:rsidR="00DC0A0B" w:rsidRDefault="00BE359B">
            <w:r>
              <w:t xml:space="preserve">The recommended dose is 350 mg </w:t>
            </w:r>
            <w:proofErr w:type="spellStart"/>
            <w:r>
              <w:t>Libtayo</w:t>
            </w:r>
            <w:proofErr w:type="spellEnd"/>
            <w:r>
              <w:t xml:space="preserve"> once every 3</w:t>
            </w:r>
            <w:r w:rsidR="000D7500">
              <w:t> </w:t>
            </w:r>
            <w:r>
              <w:t>weeks administered as an intravenous infusion over 30</w:t>
            </w:r>
            <w:r w:rsidR="000D7500">
              <w:t> </w:t>
            </w:r>
            <w:r>
              <w:t>minutes. Treatment may be continued until disease progression or unacceptable toxicity.</w:t>
            </w:r>
          </w:p>
          <w:p w14:paraId="46C9675D" w14:textId="3330225E" w:rsidR="003763E0" w:rsidRDefault="003763E0" w:rsidP="003763E0">
            <w:proofErr w:type="spellStart"/>
            <w:r>
              <w:t>Libtayo</w:t>
            </w:r>
            <w:proofErr w:type="spellEnd"/>
            <w:r>
              <w:t xml:space="preserve"> is administered by intravenous infusion over 30 minutes through an intravenous line containing a sterile, non-pyrogenic, low-protein binding, in-line or add-on filter (0.2 micron to 5 micron pore size). Other medicinal products should not be co-administered through the same infusion line. For instructions on dilution of the medicinal product before administration, see Section 6.6 of the Product Information.</w:t>
            </w:r>
          </w:p>
          <w:p w14:paraId="3526FBFD" w14:textId="77777777" w:rsidR="00DC0A0B" w:rsidRDefault="00BE359B">
            <w:r>
              <w:t>For further information regarding dosage, refer to the Product Information.</w:t>
            </w:r>
          </w:p>
        </w:tc>
      </w:tr>
      <w:tr w:rsidR="00DC0A0B" w14:paraId="37078E13" w14:textId="77777777">
        <w:tc>
          <w:tcPr>
            <w:tcW w:w="1577" w:type="pct"/>
          </w:tcPr>
          <w:p w14:paraId="4C0971D9" w14:textId="77777777" w:rsidR="00DC0A0B" w:rsidRDefault="00BE359B">
            <w:pPr>
              <w:rPr>
                <w:i/>
              </w:rPr>
            </w:pPr>
            <w:r>
              <w:rPr>
                <w:i/>
              </w:rPr>
              <w:lastRenderedPageBreak/>
              <w:t>Pregnancy category:</w:t>
            </w:r>
          </w:p>
        </w:tc>
        <w:tc>
          <w:tcPr>
            <w:tcW w:w="3423" w:type="pct"/>
          </w:tcPr>
          <w:p w14:paraId="09956BB0" w14:textId="7DAD65C9" w:rsidR="00DC0A0B" w:rsidRDefault="00BE359B">
            <w:r>
              <w:t>D</w:t>
            </w:r>
          </w:p>
          <w:p w14:paraId="1201ABA6" w14:textId="6920AE48" w:rsidR="00DC0A0B" w:rsidRDefault="00BE359B">
            <w:r>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19F06962" w14:textId="4F3727E0" w:rsidR="00DC0A0B" w:rsidRDefault="00BE359B">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37E22E98" w14:textId="77777777" w:rsidR="00DC0A0B" w:rsidRDefault="00BE359B">
      <w:pPr>
        <w:pStyle w:val="Heading3"/>
      </w:pPr>
      <w:bookmarkStart w:id="5" w:name="_Toc110247348"/>
      <w:r>
        <w:t>Product background</w:t>
      </w:r>
      <w:bookmarkEnd w:id="5"/>
    </w:p>
    <w:p w14:paraId="7B223FD4" w14:textId="41B79E4C" w:rsidR="00DC0A0B" w:rsidRDefault="00BE359B">
      <w:r>
        <w:t xml:space="preserve">This AusPAR describes the submission by Sanofi-Aventis Australia Pty Ltd (the sponsor) to register </w:t>
      </w:r>
      <w:proofErr w:type="spellStart"/>
      <w:r>
        <w:t>Libtayo</w:t>
      </w:r>
      <w:proofErr w:type="spellEnd"/>
      <w:r>
        <w:t xml:space="preserve"> (</w:t>
      </w:r>
      <w:proofErr w:type="spellStart"/>
      <w:r>
        <w:t>cemiplimab</w:t>
      </w:r>
      <w:proofErr w:type="spellEnd"/>
      <w:r>
        <w:t>) 350 mg,</w:t>
      </w:r>
      <w:r>
        <w:rPr>
          <w:sz w:val="23"/>
          <w:szCs w:val="23"/>
        </w:rPr>
        <w:t xml:space="preserve"> concentrate for solution for infusion</w:t>
      </w:r>
      <w:r>
        <w:t xml:space="preserve"> for the following extension of indications:</w:t>
      </w:r>
    </w:p>
    <w:p w14:paraId="3944EE77" w14:textId="6D7E2A1F" w:rsidR="00DC0A0B" w:rsidRDefault="00BE359B">
      <w:pPr>
        <w:pStyle w:val="ListBullet"/>
        <w:numPr>
          <w:ilvl w:val="0"/>
          <w:numId w:val="0"/>
        </w:numPr>
        <w:ind w:left="360"/>
        <w:rPr>
          <w:i/>
          <w:iCs/>
        </w:rPr>
      </w:pPr>
      <w:r>
        <w:rPr>
          <w:i/>
          <w:iCs/>
        </w:rPr>
        <w:t>The treatment of adult patients with non-small cell lung cancer (NSCLC) expressing programmed death ligand 1 (PD-L1) (in ≥ 50% tumour cells) with no epidermal growth factor receptor (EGFR), anaplastic lymphoma kinase (ALK) or c-ROS oncogene 1 (ROS1) aberrations, who have</w:t>
      </w:r>
    </w:p>
    <w:p w14:paraId="6D9CD0E2" w14:textId="074B6ACD" w:rsidR="00DC0A0B" w:rsidRDefault="00BE359B">
      <w:pPr>
        <w:pStyle w:val="ListBullet2"/>
        <w:rPr>
          <w:i/>
          <w:iCs/>
        </w:rPr>
      </w:pPr>
      <w:r>
        <w:rPr>
          <w:i/>
          <w:iCs/>
        </w:rPr>
        <w:t>locally advanced NSCLC and who are not candidates for surgical resection or definitive chemoradiation, or have progressed after treatment with definitive chemoradiation, or</w:t>
      </w:r>
    </w:p>
    <w:p w14:paraId="5C9C34F9" w14:textId="77777777" w:rsidR="00DC0A0B" w:rsidRDefault="00BE359B">
      <w:pPr>
        <w:pStyle w:val="ListBullet2"/>
        <w:rPr>
          <w:i/>
          <w:iCs/>
        </w:rPr>
      </w:pPr>
      <w:r>
        <w:rPr>
          <w:i/>
          <w:iCs/>
        </w:rPr>
        <w:t>metastatic NSCLC.</w:t>
      </w:r>
    </w:p>
    <w:p w14:paraId="05376BEB" w14:textId="08FF5EC7" w:rsidR="00DC0A0B" w:rsidRDefault="00BE359B">
      <w:bookmarkStart w:id="6" w:name="_Toc247691504"/>
      <w:r>
        <w:lastRenderedPageBreak/>
        <w:t>Lung cancer is the most commonly diagnosed cancer.</w:t>
      </w:r>
      <w:r w:rsidR="00D71901">
        <w:rPr>
          <w:rStyle w:val="FootnoteReference"/>
        </w:rPr>
        <w:footnoteReference w:id="1"/>
      </w:r>
      <w:r>
        <w:t xml:space="preserve"> Lung cancer is divided into two main subtypes, non-small cell lung cancer (NSCLC) and small cell lung cancer. Approximately 80% to 90% of lung cancers are classified as NSCLC. NSCLC is further classified into three main histologic subtypes: adenocarcinoma, squamous cell carcinoma and large cell carcinoma.</w:t>
      </w:r>
      <w:bookmarkStart w:id="7" w:name="_Ref111618993"/>
      <w:r w:rsidR="00D71901">
        <w:rPr>
          <w:rStyle w:val="FootnoteReference"/>
        </w:rPr>
        <w:footnoteReference w:id="2"/>
      </w:r>
      <w:bookmarkEnd w:id="7"/>
      <w:r>
        <w:t xml:space="preserve"> Adenocarcinomas account from 40 to 60% of NSCLC and squamous cell carcinomas approximately 30%.</w:t>
      </w:r>
      <w:r w:rsidR="00D71901" w:rsidRPr="004A22ED">
        <w:rPr>
          <w:vertAlign w:val="superscript"/>
        </w:rPr>
        <w:fldChar w:fldCharType="begin"/>
      </w:r>
      <w:r w:rsidR="00D71901" w:rsidRPr="004A22ED">
        <w:rPr>
          <w:vertAlign w:val="superscript"/>
        </w:rPr>
        <w:instrText xml:space="preserve"> NOTEREF _Ref111618993 \h </w:instrText>
      </w:r>
      <w:r w:rsidR="00D71901">
        <w:rPr>
          <w:vertAlign w:val="superscript"/>
        </w:rPr>
        <w:instrText xml:space="preserve"> \* MERGEFORMAT </w:instrText>
      </w:r>
      <w:r w:rsidR="00D71901" w:rsidRPr="004A22ED">
        <w:rPr>
          <w:vertAlign w:val="superscript"/>
        </w:rPr>
      </w:r>
      <w:r w:rsidR="00D71901" w:rsidRPr="004A22ED">
        <w:rPr>
          <w:vertAlign w:val="superscript"/>
        </w:rPr>
        <w:fldChar w:fldCharType="separate"/>
      </w:r>
      <w:r w:rsidR="00D71901" w:rsidRPr="004A22ED">
        <w:rPr>
          <w:vertAlign w:val="superscript"/>
        </w:rPr>
        <w:t>2</w:t>
      </w:r>
      <w:r w:rsidR="00D71901" w:rsidRPr="004A22ED">
        <w:rPr>
          <w:vertAlign w:val="superscript"/>
        </w:rPr>
        <w:fldChar w:fldCharType="end"/>
      </w:r>
      <w:r>
        <w:t xml:space="preserve"> The overall survival for patients with NSCLC varies with disease Stage. Generally, the earlier the disease stage at diagnosis and earlier treatment, the better the survival outcome. The approximate 5 year survival for patients with Stage III disease ranges from 13</w:t>
      </w:r>
      <w:r w:rsidR="00AE32B7">
        <w:t>%</w:t>
      </w:r>
      <w:r>
        <w:t xml:space="preserve"> to 36%, and for Stage IV is up to 10%.</w:t>
      </w:r>
    </w:p>
    <w:p w14:paraId="3A33C188" w14:textId="4623954D" w:rsidR="00DC0A0B" w:rsidRDefault="00BE359B">
      <w:r>
        <w:t>Advanced non-small cell lung cancer is the most common type of lung cancer, with a poor prognosis and no known cure. Advanced NSCLC includes those who present with metastatic disease (Stage IV)</w:t>
      </w:r>
      <w:r w:rsidR="00F717E4">
        <w:t>;</w:t>
      </w:r>
      <w:r>
        <w:t xml:space="preserve"> or patients with inoperable disease and are unable to receive, or recur following initial, definitive treatment. The goal of treatment of locally advanced or metastatic NSCLC is not curative and focused on extending survival.</w:t>
      </w:r>
    </w:p>
    <w:p w14:paraId="6E9449DB" w14:textId="6C7C084F" w:rsidR="00DC0A0B" w:rsidRDefault="00BE359B">
      <w:r>
        <w:t xml:space="preserve">Treatment guidelines for NSCLC consider patient related and disease related characteristics in treatment decisions for patients with advanced or metastatic NSCLC, including patient age, </w:t>
      </w:r>
      <w:r>
        <w:rPr>
          <w:lang w:eastAsia="ja-JP"/>
        </w:rPr>
        <w:t>Eastern Cooperative Oncology Group performance score</w:t>
      </w:r>
      <w:r>
        <w:t xml:space="preserve"> </w:t>
      </w:r>
      <w:r w:rsidR="00F717E4">
        <w:t xml:space="preserve">status </w:t>
      </w:r>
      <w:r>
        <w:t>(ECOG PS),</w:t>
      </w:r>
      <w:bookmarkStart w:id="8" w:name="_Ref109215829"/>
      <w:r>
        <w:rPr>
          <w:rStyle w:val="FootnoteReference"/>
        </w:rPr>
        <w:footnoteReference w:id="3"/>
      </w:r>
      <w:bookmarkEnd w:id="8"/>
      <w:r>
        <w:t xml:space="preserve"> tumour location and histology, disease stage and the presence of tumour mutations. Genetic analysis of NSCLC has identified specific gene mutations that have become integral in treatment decisions, and the use effective of targeted therapies. These have included, mutations in the </w:t>
      </w:r>
      <w:r>
        <w:rPr>
          <w:i/>
          <w:iCs/>
        </w:rPr>
        <w:t>EGFR</w:t>
      </w:r>
      <w:r>
        <w:t xml:space="preserve">, </w:t>
      </w:r>
      <w:r>
        <w:rPr>
          <w:i/>
          <w:iCs/>
        </w:rPr>
        <w:t>ALK</w:t>
      </w:r>
      <w:r>
        <w:t xml:space="preserve"> and </w:t>
      </w:r>
      <w:r>
        <w:rPr>
          <w:i/>
          <w:iCs/>
        </w:rPr>
        <w:t>ROS1</w:t>
      </w:r>
      <w:r w:rsidR="00F717E4">
        <w:rPr>
          <w:i/>
          <w:iCs/>
        </w:rPr>
        <w:t xml:space="preserve"> </w:t>
      </w:r>
      <w:r w:rsidR="00F717E4">
        <w:rPr>
          <w:iCs/>
        </w:rPr>
        <w:t>genes</w:t>
      </w:r>
      <w:r>
        <w:t>. In addition, expression of programmed cell death ligand 1 (PD-L1) in NSCLC influences whether checkpoint inhibitors are used alone or in combination with chemotherapy.</w:t>
      </w:r>
    </w:p>
    <w:p w14:paraId="49E25364" w14:textId="15C0D43E" w:rsidR="00DC0A0B" w:rsidRDefault="00BE359B">
      <w:pPr>
        <w:pStyle w:val="Heading4"/>
      </w:pPr>
      <w:r>
        <w:t>Current treatment options for non-small cell lung cancer</w:t>
      </w:r>
    </w:p>
    <w:p w14:paraId="0AA5EE7C" w14:textId="2B491E0F" w:rsidR="00DC0A0B" w:rsidRDefault="00BE359B">
      <w:r>
        <w:t xml:space="preserve">Until recently, first line treatment recommendations for patients with advanced or metastatic NSCLC without treatment targeting mutations included several combination chemotherapy regimens, where platinum based doublets were preferred (cisplatin plus one of docetaxel, paclitaxel, pemetrexed, vinorelbine or gemcitabine; carboplatin plus one of paclitaxel, pemetrexed, docetaxel or gemcitabine). Variations in regimen were determined based on tumour histology, non-squamous or squamous cell carcinoma. Bevacizumab plus carboplatin and paclitaxel is an option if there are no contraindications. Recently, first line treatment recommendations for patients with advanced NSCLC have </w:t>
      </w:r>
      <w:r>
        <w:lastRenderedPageBreak/>
        <w:t>been evolving with the authorisation of programmed cell death protein 1 (PD-1)/PD-L1 targeting agents.</w:t>
      </w:r>
    </w:p>
    <w:p w14:paraId="1ABAC5A5" w14:textId="430B3916" w:rsidR="00DC0A0B" w:rsidRDefault="00BE359B">
      <w:r>
        <w:t xml:space="preserve">The Australian clinical guidelines for treatment of inoperable NSCLC are currently being updated. There is no specific target therapy recommended currently. The National Comprehensive Cancer Network (NCCN), a not for profit alliance of 31 leading cancer centres in the United States of America (USA) recommends </w:t>
      </w:r>
      <w:r w:rsidR="00F717E4">
        <w:t>the following:</w:t>
      </w:r>
      <w:r>
        <w:t xml:space="preserve"> for patients with metastatic (Stage IV) NSCLC</w:t>
      </w:r>
      <w:r w:rsidR="00265B91">
        <w:t>;</w:t>
      </w:r>
      <w:r>
        <w:t xml:space="preserve"> who are PD-L1 expression positive (&gt; 50%) and negative for </w:t>
      </w:r>
      <w:r w:rsidR="00F717E4">
        <w:t>e</w:t>
      </w:r>
      <w:r>
        <w:t>pidermal growth factor receptor</w:t>
      </w:r>
      <w:r>
        <w:rPr>
          <w:i/>
          <w:iCs/>
        </w:rPr>
        <w:t xml:space="preserve"> </w:t>
      </w:r>
      <w:r>
        <w:t>(</w:t>
      </w:r>
      <w:r>
        <w:rPr>
          <w:i/>
          <w:iCs/>
        </w:rPr>
        <w:t>EGFR</w:t>
      </w:r>
      <w:r>
        <w:t>), anaplastic lymphoma kinase (</w:t>
      </w:r>
      <w:r>
        <w:rPr>
          <w:i/>
          <w:iCs/>
        </w:rPr>
        <w:t>ALK</w:t>
      </w:r>
      <w:r>
        <w:t>), or (</w:t>
      </w:r>
      <w:r>
        <w:rPr>
          <w:i/>
          <w:iCs/>
        </w:rPr>
        <w:t>ROS1</w:t>
      </w:r>
      <w:r>
        <w:t xml:space="preserve">) </w:t>
      </w:r>
      <w:r w:rsidR="00265B91">
        <w:t>genomic</w:t>
      </w:r>
      <w:r w:rsidR="00F717E4">
        <w:t xml:space="preserve"> </w:t>
      </w:r>
      <w:r>
        <w:t>aberrations the preferred treatment is monotherapy with pembrolizumab or atezolizumab, or pembrolizumab in combination with platinum based doublet chemotherapy. The recommended treatment for patients with inoperable locally advanced Stage IIIB and IIIC NSCLC</w:t>
      </w:r>
      <w:r w:rsidR="00265B91">
        <w:t>;</w:t>
      </w:r>
      <w:r w:rsidR="00265B91" w:rsidRPr="00265B91">
        <w:rPr>
          <w:vertAlign w:val="superscript"/>
        </w:rPr>
        <w:t xml:space="preserve"> </w:t>
      </w:r>
      <w:r>
        <w:t>is concomitant chemoradiation. However, patients who are ineligible for chemoradiation and have PD-L1 expression &gt; 50% are commonly treated with systemic therapy including a PD-1/PD-L1 inhibitor.</w:t>
      </w:r>
      <w:r>
        <w:rPr>
          <w:rStyle w:val="FootnoteReference"/>
        </w:rPr>
        <w:footnoteReference w:id="4"/>
      </w:r>
    </w:p>
    <w:p w14:paraId="45128126" w14:textId="4705CABA" w:rsidR="00265B91" w:rsidRDefault="00BE359B" w:rsidP="00265B91">
      <w:pPr>
        <w:spacing w:before="0" w:after="0"/>
      </w:pPr>
      <w:r>
        <w:t>In Australia the targeted agents with indications for treatment of NSCLC are</w:t>
      </w:r>
      <w:r w:rsidR="00265B91">
        <w:t xml:space="preserve"> as follows:</w:t>
      </w:r>
      <w:r w:rsidR="00265B91">
        <w:rPr>
          <w:rStyle w:val="FootnoteReference"/>
        </w:rPr>
        <w:footnoteReference w:id="5"/>
      </w:r>
    </w:p>
    <w:p w14:paraId="61385DB2" w14:textId="443F1A83" w:rsidR="00DC0A0B" w:rsidRDefault="00BE359B" w:rsidP="004A22ED">
      <w:pPr>
        <w:pStyle w:val="ListBullet"/>
      </w:pPr>
      <w:r>
        <w:t>pembrolizumab</w:t>
      </w:r>
      <w:r w:rsidR="00265B91">
        <w:t>:</w:t>
      </w:r>
      <w:r>
        <w:rPr>
          <w:rStyle w:val="FootnoteReference"/>
        </w:rPr>
        <w:footnoteReference w:id="6"/>
      </w:r>
    </w:p>
    <w:p w14:paraId="4A6F677B" w14:textId="38CEC7B3" w:rsidR="00DC0A0B" w:rsidRDefault="00BE359B">
      <w:pPr>
        <w:pStyle w:val="ListBullet2"/>
      </w:pPr>
      <w:r>
        <w:t xml:space="preserve">in combination with pemetrexed and platinum chemotherapy, for first line treatment of patients with metastatic non-squamous NSCLC, with no </w:t>
      </w:r>
      <w:r>
        <w:rPr>
          <w:i/>
          <w:iCs/>
        </w:rPr>
        <w:t xml:space="preserve">EGFR </w:t>
      </w:r>
      <w:r>
        <w:t xml:space="preserve">or </w:t>
      </w:r>
      <w:r>
        <w:rPr>
          <w:i/>
          <w:iCs/>
        </w:rPr>
        <w:t>ALK</w:t>
      </w:r>
      <w:r>
        <w:t xml:space="preserve"> genomic tumour aberrations;</w:t>
      </w:r>
    </w:p>
    <w:p w14:paraId="2EE1B027" w14:textId="6825BA1E" w:rsidR="00DC0A0B" w:rsidRDefault="00BE359B">
      <w:pPr>
        <w:pStyle w:val="ListBullet2"/>
      </w:pPr>
      <w:r>
        <w:t>in combination with carboplatin and either paclitaxel or nab-paclitaxel, is indicated for the first-line treatment of patients with metastatic squamous NSCL</w:t>
      </w:r>
      <w:r w:rsidR="00265B91">
        <w:t>C</w:t>
      </w:r>
      <w:r>
        <w:t>;</w:t>
      </w:r>
    </w:p>
    <w:p w14:paraId="232F932C" w14:textId="6FCB90BB" w:rsidR="00DC0A0B" w:rsidRDefault="00BE359B">
      <w:pPr>
        <w:pStyle w:val="ListBullet2"/>
      </w:pPr>
      <w:r>
        <w:t>as monotherapy for the first-line treatment of patients with NSCLC expressing PD</w:t>
      </w:r>
      <w:r>
        <w:noBreakHyphen/>
        <w:t xml:space="preserve">L1 (TPS ≥ 1%) as determined by a validated test, with no </w:t>
      </w:r>
      <w:r>
        <w:rPr>
          <w:i/>
          <w:iCs/>
        </w:rPr>
        <w:t>EGFR</w:t>
      </w:r>
      <w:r>
        <w:t xml:space="preserve"> or </w:t>
      </w:r>
      <w:r>
        <w:rPr>
          <w:i/>
          <w:iCs/>
        </w:rPr>
        <w:t>ALK</w:t>
      </w:r>
      <w:r>
        <w:t xml:space="preserve"> genomic tumour aberrations, and is Stage III where patients are not candidates for surgical resection or definitive chemoradiation, or metastatic;</w:t>
      </w:r>
    </w:p>
    <w:p w14:paraId="732DD201" w14:textId="448D3DA4" w:rsidR="00DC0A0B" w:rsidRDefault="00BE359B">
      <w:pPr>
        <w:pStyle w:val="ListBullet2"/>
      </w:pPr>
      <w:r>
        <w:t xml:space="preserve">as monotherapy for second line treatment of patients with advanced NSCLC whose tumours express PD-L1 with a ≥ 1% tumour proportion score (TPS) as determined by a validated test and who have received platinum containing chemotherapy. Patients with </w:t>
      </w:r>
      <w:r>
        <w:rPr>
          <w:i/>
          <w:iCs/>
        </w:rPr>
        <w:t xml:space="preserve">EGFR </w:t>
      </w:r>
      <w:r>
        <w:t xml:space="preserve">or </w:t>
      </w:r>
      <w:r>
        <w:rPr>
          <w:i/>
          <w:iCs/>
        </w:rPr>
        <w:t>ALK</w:t>
      </w:r>
      <w:r>
        <w:t xml:space="preserve"> genomic tumour aberrations should have received prior therapy for these aberrations prior to receiving pembrolizumab.</w:t>
      </w:r>
    </w:p>
    <w:p w14:paraId="3FDE5418" w14:textId="17299ABA" w:rsidR="00DC0A0B" w:rsidRDefault="00BE359B">
      <w:pPr>
        <w:pStyle w:val="ListBullet"/>
      </w:pPr>
      <w:r>
        <w:t>nivolumab:</w:t>
      </w:r>
      <w:r>
        <w:rPr>
          <w:rStyle w:val="FootnoteReference"/>
        </w:rPr>
        <w:footnoteReference w:id="7"/>
      </w:r>
      <w:r>
        <w:t xml:space="preserve"> approved as monotherapy for second line or with ipilimumab and platinum doublet chemotherapy as first line for NSCLC with no </w:t>
      </w:r>
      <w:r>
        <w:rPr>
          <w:i/>
          <w:iCs/>
        </w:rPr>
        <w:t>EGFR</w:t>
      </w:r>
      <w:r>
        <w:t xml:space="preserve"> or </w:t>
      </w:r>
      <w:r>
        <w:rPr>
          <w:i/>
          <w:iCs/>
        </w:rPr>
        <w:t>ALK</w:t>
      </w:r>
      <w:r>
        <w:t>;</w:t>
      </w:r>
    </w:p>
    <w:p w14:paraId="4F4CED91" w14:textId="3DB2BA4F" w:rsidR="00DC0A0B" w:rsidRDefault="00BE359B">
      <w:pPr>
        <w:pStyle w:val="ListBullet"/>
      </w:pPr>
      <w:r>
        <w:t>atezolizumab:</w:t>
      </w:r>
      <w:r>
        <w:rPr>
          <w:rStyle w:val="FootnoteReference"/>
        </w:rPr>
        <w:footnoteReference w:id="8"/>
      </w:r>
      <w:r>
        <w:t xml:space="preserve"> approved for first line therapy in combination with other treatments and monotherapy as second line treatment.</w:t>
      </w:r>
    </w:p>
    <w:p w14:paraId="5542AD24" w14:textId="53D68810" w:rsidR="00DC0A0B" w:rsidRDefault="00BE359B">
      <w:pPr>
        <w:pStyle w:val="ListBullet"/>
      </w:pPr>
      <w:r>
        <w:t>ipilimumab:</w:t>
      </w:r>
      <w:r>
        <w:rPr>
          <w:rStyle w:val="FootnoteReference"/>
        </w:rPr>
        <w:footnoteReference w:id="9"/>
      </w:r>
      <w:r>
        <w:t xml:space="preserve"> approved in combination with nivolumab and two cycles of platinum doublet chemotherapy, for first line treatment of patients with metastatic or recurrent NSCLC with no </w:t>
      </w:r>
      <w:r>
        <w:rPr>
          <w:i/>
          <w:iCs/>
        </w:rPr>
        <w:t>EGFR</w:t>
      </w:r>
      <w:r>
        <w:t xml:space="preserve"> or </w:t>
      </w:r>
      <w:r>
        <w:rPr>
          <w:i/>
          <w:iCs/>
        </w:rPr>
        <w:t>ALK</w:t>
      </w:r>
      <w:r>
        <w:t xml:space="preserve"> genomic tumour aberrations.</w:t>
      </w:r>
    </w:p>
    <w:p w14:paraId="79F91345" w14:textId="03C44D18" w:rsidR="00DC0A0B" w:rsidRDefault="00BE359B">
      <w:r>
        <w:t>Of the above approved targeted agents only pembrolizumab has a specific level of PD-L1 expression in tumours required for its use as monotherapy for first line treatment of NSCLC.</w:t>
      </w:r>
    </w:p>
    <w:p w14:paraId="33262202" w14:textId="68CF2A68" w:rsidR="00DC0A0B" w:rsidRDefault="00BE359B">
      <w:r>
        <w:lastRenderedPageBreak/>
        <w:t xml:space="preserve">This submission was evaluated as part of the </w:t>
      </w:r>
      <w:hyperlink r:id="rId15" w:history="1">
        <w:r>
          <w:rPr>
            <w:rStyle w:val="Hyperlink"/>
          </w:rPr>
          <w:t>Australia-Canada-Singapore-Switzerland-United Kingdom (ACCESS) Consortium</w:t>
        </w:r>
      </w:hyperlink>
      <w:r>
        <w:t xml:space="preserve"> with work-sharing</w:t>
      </w:r>
      <w:r w:rsidR="00265B91">
        <w:t xml:space="preserve"> for this submission</w:t>
      </w:r>
      <w:r>
        <w:t xml:space="preserve"> between the TGA and </w:t>
      </w:r>
      <w:r>
        <w:rPr>
          <w:iCs/>
        </w:rPr>
        <w:t>Health Canada.</w:t>
      </w:r>
      <w:r>
        <w:t xml:space="preserve"> Each regulator made independent decisions regarding approval (market authorisation) of the new medicine.</w:t>
      </w:r>
    </w:p>
    <w:p w14:paraId="7E9587E2" w14:textId="77777777" w:rsidR="00DC0A0B" w:rsidRDefault="00BE359B">
      <w:pPr>
        <w:pStyle w:val="Heading3"/>
      </w:pPr>
      <w:bookmarkStart w:id="9" w:name="_Toc110247349"/>
      <w:r>
        <w:t>Regulatory status</w:t>
      </w:r>
      <w:bookmarkEnd w:id="6"/>
      <w:bookmarkEnd w:id="9"/>
    </w:p>
    <w:p w14:paraId="72C1AA00" w14:textId="07CD19DE" w:rsidR="00DC0A0B" w:rsidRDefault="00BE359B">
      <w:bookmarkStart w:id="10" w:name="_Toc314842486"/>
      <w:r>
        <w:t>The product received initial provisional registration on the Australian Register of Therapeutic Goods (ARTG) on 14 July 2020</w:t>
      </w:r>
      <w:r w:rsidR="00CF4404">
        <w:t>;</w:t>
      </w:r>
      <w:bookmarkStart w:id="11" w:name="_Ref111555349"/>
      <w:r w:rsidR="00CF4404">
        <w:rPr>
          <w:rStyle w:val="FootnoteReference"/>
        </w:rPr>
        <w:footnoteReference w:id="10"/>
      </w:r>
      <w:bookmarkEnd w:id="11"/>
      <w:r>
        <w:t xml:space="preserve"> for the following indications:</w:t>
      </w:r>
    </w:p>
    <w:p w14:paraId="4A5A28C9" w14:textId="66D49B6D" w:rsidR="00DC0A0B" w:rsidRDefault="00BE359B">
      <w:pPr>
        <w:ind w:left="720"/>
        <w:rPr>
          <w:i/>
          <w:iCs/>
        </w:rPr>
      </w:pPr>
      <w:proofErr w:type="spellStart"/>
      <w:r>
        <w:rPr>
          <w:i/>
          <w:iCs/>
        </w:rPr>
        <w:t>Libtayo</w:t>
      </w:r>
      <w:proofErr w:type="spellEnd"/>
      <w:r>
        <w:rPr>
          <w:i/>
          <w:iCs/>
        </w:rPr>
        <w:t xml:space="preserve"> as monotherapy has provisional approval in Australia for the treatment of adult patients with metastatic or locally advanced cutaneous squamous cell carcinoma (</w:t>
      </w:r>
      <w:proofErr w:type="spellStart"/>
      <w:r>
        <w:rPr>
          <w:i/>
          <w:iCs/>
        </w:rPr>
        <w:t>mCSCC</w:t>
      </w:r>
      <w:proofErr w:type="spellEnd"/>
      <w:r>
        <w:rPr>
          <w:i/>
          <w:iCs/>
        </w:rPr>
        <w:t xml:space="preserve"> or </w:t>
      </w:r>
      <w:proofErr w:type="spellStart"/>
      <w:r>
        <w:rPr>
          <w:i/>
          <w:iCs/>
        </w:rPr>
        <w:t>laCSCC</w:t>
      </w:r>
      <w:proofErr w:type="spellEnd"/>
      <w:r>
        <w:rPr>
          <w:i/>
          <w:iCs/>
        </w:rPr>
        <w:t>) who are not candidates for curative surgery or curative radiation.</w:t>
      </w:r>
    </w:p>
    <w:p w14:paraId="19E16DDC" w14:textId="12502FFF" w:rsidR="00DC0A0B" w:rsidRDefault="00BE359B">
      <w:pPr>
        <w:ind w:left="720"/>
      </w:pPr>
      <w:r>
        <w:rPr>
          <w:i/>
          <w:iCs/>
        </w:rPr>
        <w:t>The decision to approve this indication has been made on the basis of objective response rate (ORR) and duration of response from single arm clinical studies. The sponsor is required to submit further clinical data to confirm the clinical benefit of the medicine.</w:t>
      </w:r>
    </w:p>
    <w:p w14:paraId="22E5F6A9" w14:textId="3A3BCD0E" w:rsidR="00DC0A0B" w:rsidRDefault="00BE359B">
      <w:pPr>
        <w:rPr>
          <w:sz w:val="23"/>
          <w:szCs w:val="23"/>
        </w:rPr>
      </w:pPr>
      <w:bookmarkStart w:id="12" w:name="_Hlk111018784"/>
      <w:r>
        <w:t xml:space="preserve">At the time the TGA considered this submission, indications had been approved in </w:t>
      </w:r>
      <w:r>
        <w:rPr>
          <w:sz w:val="23"/>
          <w:szCs w:val="23"/>
        </w:rPr>
        <w:t xml:space="preserve">USA and the European Union (EU). </w:t>
      </w:r>
      <w:r>
        <w:t>A similar submission was under consideration in</w:t>
      </w:r>
      <w:r>
        <w:rPr>
          <w:sz w:val="23"/>
          <w:szCs w:val="23"/>
        </w:rPr>
        <w:t xml:space="preserve"> Canada.</w:t>
      </w:r>
    </w:p>
    <w:bookmarkEnd w:id="12"/>
    <w:p w14:paraId="15E693B7" w14:textId="77777777" w:rsidR="00DC0A0B" w:rsidRDefault="00BE359B">
      <w:r>
        <w:t>The following table summarises these submissions and provides the indications where approved.</w:t>
      </w:r>
    </w:p>
    <w:p w14:paraId="49BDA0F5" w14:textId="59209452" w:rsidR="00DC0A0B" w:rsidRDefault="00BE359B">
      <w:pPr>
        <w:pStyle w:val="TableTitle"/>
      </w:pPr>
      <w:bookmarkStart w:id="13" w:name="_Ref99705479"/>
      <w:r>
        <w:t xml:space="preserve">Table </w:t>
      </w:r>
      <w:r w:rsidR="00E12242">
        <w:fldChar w:fldCharType="begin"/>
      </w:r>
      <w:r w:rsidR="00E12242">
        <w:instrText xml:space="preserve"> SEQ Table \* ARABIC </w:instrText>
      </w:r>
      <w:r w:rsidR="00E12242">
        <w:fldChar w:fldCharType="separate"/>
      </w:r>
      <w:r>
        <w:t>1</w:t>
      </w:r>
      <w:r w:rsidR="00E12242">
        <w:fldChar w:fldCharType="end"/>
      </w:r>
      <w:bookmarkEnd w:id="13"/>
      <w:r>
        <w:t>: International regulatory status</w:t>
      </w:r>
    </w:p>
    <w:tbl>
      <w:tblPr>
        <w:tblStyle w:val="TableTGAblue"/>
        <w:tblW w:w="0" w:type="auto"/>
        <w:tblLayout w:type="fixed"/>
        <w:tblLook w:val="04A0" w:firstRow="1" w:lastRow="0" w:firstColumn="1" w:lastColumn="0" w:noHBand="0" w:noVBand="1"/>
      </w:tblPr>
      <w:tblGrid>
        <w:gridCol w:w="1879"/>
        <w:gridCol w:w="1952"/>
        <w:gridCol w:w="1924"/>
        <w:gridCol w:w="2739"/>
      </w:tblGrid>
      <w:tr w:rsidR="00DC0A0B" w14:paraId="6310825B" w14:textId="77777777" w:rsidTr="004A22ED">
        <w:trPr>
          <w:cnfStyle w:val="100000000000" w:firstRow="1" w:lastRow="0" w:firstColumn="0" w:lastColumn="0" w:oddVBand="0" w:evenVBand="0" w:oddHBand="0" w:evenHBand="0" w:firstRowFirstColumn="0" w:firstRowLastColumn="0" w:lastRowFirstColumn="0" w:lastRowLastColumn="0"/>
        </w:trPr>
        <w:tc>
          <w:tcPr>
            <w:tcW w:w="1879" w:type="dxa"/>
            <w:tcBorders>
              <w:top w:val="single" w:sz="4" w:space="0" w:color="auto"/>
              <w:left w:val="single" w:sz="4" w:space="0" w:color="auto"/>
              <w:bottom w:val="single" w:sz="4" w:space="0" w:color="auto"/>
              <w:right w:val="single" w:sz="4" w:space="0" w:color="auto"/>
            </w:tcBorders>
          </w:tcPr>
          <w:p w14:paraId="0AD4A9CE" w14:textId="77777777" w:rsidR="00DC0A0B" w:rsidRDefault="00BE359B">
            <w:pPr>
              <w:ind w:left="0" w:right="0"/>
            </w:pPr>
            <w:r>
              <w:t>Region</w:t>
            </w:r>
          </w:p>
        </w:tc>
        <w:tc>
          <w:tcPr>
            <w:tcW w:w="1952" w:type="dxa"/>
            <w:tcBorders>
              <w:top w:val="single" w:sz="4" w:space="0" w:color="auto"/>
              <w:left w:val="single" w:sz="4" w:space="0" w:color="auto"/>
              <w:bottom w:val="single" w:sz="4" w:space="0" w:color="auto"/>
              <w:right w:val="single" w:sz="4" w:space="0" w:color="auto"/>
            </w:tcBorders>
          </w:tcPr>
          <w:p w14:paraId="1B82EC4D" w14:textId="77777777" w:rsidR="00DC0A0B" w:rsidRDefault="00BE359B">
            <w:pPr>
              <w:ind w:left="0" w:right="0"/>
            </w:pPr>
            <w:r>
              <w:t>Submission date</w:t>
            </w:r>
          </w:p>
        </w:tc>
        <w:tc>
          <w:tcPr>
            <w:tcW w:w="1924" w:type="dxa"/>
            <w:tcBorders>
              <w:top w:val="single" w:sz="4" w:space="0" w:color="auto"/>
              <w:left w:val="single" w:sz="4" w:space="0" w:color="auto"/>
              <w:bottom w:val="single" w:sz="4" w:space="0" w:color="auto"/>
              <w:right w:val="single" w:sz="4" w:space="0" w:color="auto"/>
            </w:tcBorders>
          </w:tcPr>
          <w:p w14:paraId="08AFFCC0" w14:textId="77777777" w:rsidR="00DC0A0B" w:rsidRDefault="00BE359B">
            <w:pPr>
              <w:ind w:left="0" w:right="0"/>
            </w:pPr>
            <w:r>
              <w:t>Status</w:t>
            </w:r>
          </w:p>
        </w:tc>
        <w:tc>
          <w:tcPr>
            <w:tcW w:w="2739" w:type="dxa"/>
            <w:tcBorders>
              <w:top w:val="single" w:sz="4" w:space="0" w:color="auto"/>
              <w:left w:val="single" w:sz="4" w:space="0" w:color="auto"/>
              <w:bottom w:val="single" w:sz="4" w:space="0" w:color="auto"/>
              <w:right w:val="single" w:sz="4" w:space="0" w:color="auto"/>
            </w:tcBorders>
          </w:tcPr>
          <w:p w14:paraId="627FFCC2" w14:textId="77777777" w:rsidR="00DC0A0B" w:rsidRDefault="00BE359B">
            <w:pPr>
              <w:ind w:left="0" w:right="0"/>
            </w:pPr>
            <w:r>
              <w:t>Approved indications</w:t>
            </w:r>
          </w:p>
        </w:tc>
      </w:tr>
      <w:tr w:rsidR="00DC0A0B" w14:paraId="698BD974" w14:textId="77777777" w:rsidTr="004A22ED">
        <w:tc>
          <w:tcPr>
            <w:tcW w:w="1879" w:type="dxa"/>
            <w:tcBorders>
              <w:top w:val="single" w:sz="4" w:space="0" w:color="auto"/>
            </w:tcBorders>
          </w:tcPr>
          <w:p w14:paraId="0B65BBC6" w14:textId="619D0F9A" w:rsidR="00DC0A0B" w:rsidRDefault="00BE359B">
            <w:pPr>
              <w:ind w:left="0" w:right="0"/>
            </w:pPr>
            <w:r>
              <w:t>European Union</w:t>
            </w:r>
          </w:p>
        </w:tc>
        <w:tc>
          <w:tcPr>
            <w:tcW w:w="1952" w:type="dxa"/>
            <w:tcBorders>
              <w:top w:val="single" w:sz="4" w:space="0" w:color="auto"/>
            </w:tcBorders>
          </w:tcPr>
          <w:p w14:paraId="58E13ED2" w14:textId="7718E72B" w:rsidR="00DC0A0B" w:rsidRDefault="00BE359B">
            <w:pPr>
              <w:ind w:left="0" w:right="0"/>
            </w:pPr>
            <w:r>
              <w:t>21 August 2020</w:t>
            </w:r>
          </w:p>
        </w:tc>
        <w:tc>
          <w:tcPr>
            <w:tcW w:w="1924" w:type="dxa"/>
            <w:tcBorders>
              <w:top w:val="single" w:sz="4" w:space="0" w:color="auto"/>
            </w:tcBorders>
          </w:tcPr>
          <w:p w14:paraId="5433D85A" w14:textId="76171FF6" w:rsidR="00DC0A0B" w:rsidRDefault="00BE359B">
            <w:pPr>
              <w:ind w:left="0" w:right="0"/>
            </w:pPr>
            <w:r>
              <w:t>Approved on 21</w:t>
            </w:r>
            <w:r w:rsidR="00CF4404">
              <w:t> </w:t>
            </w:r>
            <w:r>
              <w:t>June</w:t>
            </w:r>
            <w:r w:rsidR="00CF4404">
              <w:t> </w:t>
            </w:r>
            <w:r>
              <w:t>2021</w:t>
            </w:r>
          </w:p>
        </w:tc>
        <w:tc>
          <w:tcPr>
            <w:tcW w:w="2739" w:type="dxa"/>
            <w:tcBorders>
              <w:top w:val="single" w:sz="4" w:space="0" w:color="auto"/>
            </w:tcBorders>
          </w:tcPr>
          <w:p w14:paraId="64F3326B" w14:textId="70321B79" w:rsidR="00DC0A0B" w:rsidRPr="004A22ED" w:rsidRDefault="00CF4404">
            <w:pPr>
              <w:ind w:left="0" w:right="0"/>
              <w:rPr>
                <w:i/>
                <w:iCs/>
              </w:rPr>
            </w:pPr>
            <w:proofErr w:type="spellStart"/>
            <w:r w:rsidRPr="004A22ED">
              <w:rPr>
                <w:i/>
                <w:iCs/>
              </w:rPr>
              <w:t>Libtayo</w:t>
            </w:r>
            <w:proofErr w:type="spellEnd"/>
            <w:r w:rsidRPr="004A22ED">
              <w:rPr>
                <w:i/>
                <w:iCs/>
              </w:rPr>
              <w:t xml:space="preserve"> </w:t>
            </w:r>
            <w:r w:rsidR="00BE359B" w:rsidRPr="004A22ED">
              <w:rPr>
                <w:i/>
                <w:iCs/>
              </w:rPr>
              <w:t>as monotherapy is indicated for the first-line treatment of adult patients with non-small cell lung cancer (NSCLC) expressing PD-L1 (in ≥</w:t>
            </w:r>
            <w:r w:rsidRPr="004A22ED">
              <w:rPr>
                <w:i/>
                <w:iCs/>
              </w:rPr>
              <w:t> </w:t>
            </w:r>
            <w:r w:rsidR="00BE359B" w:rsidRPr="004A22ED">
              <w:rPr>
                <w:i/>
                <w:iCs/>
              </w:rPr>
              <w:t xml:space="preserve">50% tumour cells), with no EGFR, ALK or ROS1 aberrations, who have: </w:t>
            </w:r>
          </w:p>
          <w:p w14:paraId="5D9AF66E" w14:textId="77777777" w:rsidR="00DC0A0B" w:rsidRPr="004A22ED" w:rsidRDefault="00BE359B">
            <w:pPr>
              <w:ind w:left="0" w:right="0"/>
              <w:rPr>
                <w:i/>
                <w:iCs/>
              </w:rPr>
            </w:pPr>
            <w:r w:rsidRPr="004A22ED">
              <w:rPr>
                <w:i/>
                <w:iCs/>
              </w:rPr>
              <w:t xml:space="preserve">• locally advanced NSCLC who are not candidates for definitive chemoradiation, or </w:t>
            </w:r>
          </w:p>
          <w:p w14:paraId="63FFDB45" w14:textId="60E21DB8" w:rsidR="00DC0A0B" w:rsidRPr="004A22ED" w:rsidRDefault="00BE359B">
            <w:pPr>
              <w:ind w:left="0" w:right="0"/>
              <w:rPr>
                <w:i/>
                <w:iCs/>
                <w:highlight w:val="yellow"/>
              </w:rPr>
            </w:pPr>
            <w:r w:rsidRPr="004A22ED">
              <w:rPr>
                <w:i/>
                <w:iCs/>
              </w:rPr>
              <w:t>• metastatic NSCLC.</w:t>
            </w:r>
          </w:p>
        </w:tc>
      </w:tr>
      <w:tr w:rsidR="00DC0A0B" w14:paraId="7C94FDC0" w14:textId="77777777" w:rsidTr="004A22ED">
        <w:tc>
          <w:tcPr>
            <w:tcW w:w="1879" w:type="dxa"/>
          </w:tcPr>
          <w:p w14:paraId="35222CDB" w14:textId="4308A747" w:rsidR="00DC0A0B" w:rsidRDefault="00BE359B">
            <w:pPr>
              <w:ind w:left="0" w:right="0"/>
            </w:pPr>
            <w:r>
              <w:t>United States of America</w:t>
            </w:r>
          </w:p>
        </w:tc>
        <w:tc>
          <w:tcPr>
            <w:tcW w:w="1952" w:type="dxa"/>
          </w:tcPr>
          <w:p w14:paraId="7B1F8EBE" w14:textId="121BE99B" w:rsidR="00DC0A0B" w:rsidRDefault="00BE359B">
            <w:pPr>
              <w:ind w:left="0" w:right="0"/>
            </w:pPr>
            <w:r>
              <w:t>28 August 2020</w:t>
            </w:r>
          </w:p>
        </w:tc>
        <w:tc>
          <w:tcPr>
            <w:tcW w:w="1924" w:type="dxa"/>
          </w:tcPr>
          <w:p w14:paraId="04B41047" w14:textId="4D54DB94" w:rsidR="00DC0A0B" w:rsidRDefault="00BE359B">
            <w:pPr>
              <w:ind w:left="0" w:right="0"/>
            </w:pPr>
            <w:r>
              <w:t>Approved on 22</w:t>
            </w:r>
            <w:r w:rsidR="00CF4404">
              <w:t> </w:t>
            </w:r>
            <w:r>
              <w:t>February 2021</w:t>
            </w:r>
          </w:p>
        </w:tc>
        <w:tc>
          <w:tcPr>
            <w:tcW w:w="2739" w:type="dxa"/>
          </w:tcPr>
          <w:p w14:paraId="466533E2" w14:textId="1E7528E6" w:rsidR="00CF4404" w:rsidRPr="004A22ED" w:rsidRDefault="00CF4404">
            <w:pPr>
              <w:ind w:left="0" w:right="0"/>
              <w:rPr>
                <w:i/>
                <w:iCs/>
              </w:rPr>
            </w:pPr>
            <w:proofErr w:type="spellStart"/>
            <w:r w:rsidRPr="004A22ED">
              <w:rPr>
                <w:i/>
                <w:iCs/>
              </w:rPr>
              <w:t>Libtayo</w:t>
            </w:r>
            <w:proofErr w:type="spellEnd"/>
            <w:r w:rsidRPr="004A22ED">
              <w:rPr>
                <w:i/>
                <w:iCs/>
              </w:rPr>
              <w:t xml:space="preserve"> </w:t>
            </w:r>
            <w:r w:rsidR="00BE359B" w:rsidRPr="004A22ED">
              <w:rPr>
                <w:i/>
                <w:iCs/>
              </w:rPr>
              <w:t xml:space="preserve">is indicated for the first-line treatment of patients with non-small cell lung cancer (NSCLC) whose </w:t>
            </w:r>
            <w:proofErr w:type="spellStart"/>
            <w:r w:rsidR="00BE359B" w:rsidRPr="004A22ED">
              <w:rPr>
                <w:i/>
                <w:iCs/>
              </w:rPr>
              <w:t>tumors</w:t>
            </w:r>
            <w:proofErr w:type="spellEnd"/>
            <w:r w:rsidR="00BE359B" w:rsidRPr="004A22ED">
              <w:rPr>
                <w:i/>
                <w:iCs/>
              </w:rPr>
              <w:t xml:space="preserve"> have high PD-L1 expression </w:t>
            </w:r>
            <w:r w:rsidRPr="004A22ED">
              <w:rPr>
                <w:i/>
                <w:iCs/>
              </w:rPr>
              <w:t>(</w:t>
            </w:r>
            <w:proofErr w:type="spellStart"/>
            <w:r w:rsidR="00BE359B" w:rsidRPr="004A22ED">
              <w:rPr>
                <w:i/>
                <w:iCs/>
              </w:rPr>
              <w:t>Tumor</w:t>
            </w:r>
            <w:proofErr w:type="spellEnd"/>
            <w:r w:rsidR="00BE359B" w:rsidRPr="004A22ED">
              <w:rPr>
                <w:i/>
                <w:iCs/>
              </w:rPr>
              <w:t xml:space="preserve"> Proportion Score (TPS) ≥ </w:t>
            </w:r>
            <w:r w:rsidR="00BE359B" w:rsidRPr="004A22ED">
              <w:rPr>
                <w:i/>
                <w:iCs/>
              </w:rPr>
              <w:lastRenderedPageBreak/>
              <w:t>50%</w:t>
            </w:r>
            <w:r w:rsidRPr="004A22ED">
              <w:rPr>
                <w:i/>
                <w:iCs/>
              </w:rPr>
              <w:t>)</w:t>
            </w:r>
            <w:r w:rsidR="00BE359B" w:rsidRPr="004A22ED">
              <w:rPr>
                <w:i/>
                <w:iCs/>
              </w:rPr>
              <w:t xml:space="preserve"> as determined by an FDA-approved test [see Dosage and Administration (2.1)</w:t>
            </w:r>
            <w:r w:rsidRPr="004A22ED">
              <w:rPr>
                <w:i/>
                <w:iCs/>
              </w:rPr>
              <w:t>)</w:t>
            </w:r>
            <w:r w:rsidR="00BE359B" w:rsidRPr="004A22ED">
              <w:rPr>
                <w:i/>
                <w:iCs/>
              </w:rPr>
              <w:t>), with no EGFR, ALK or ROS1 aberrations, and is:</w:t>
            </w:r>
          </w:p>
          <w:p w14:paraId="4C48B340" w14:textId="0FAEB62E" w:rsidR="00CF4404" w:rsidRPr="004A22ED" w:rsidRDefault="00BE359B">
            <w:pPr>
              <w:ind w:left="0" w:right="0"/>
              <w:rPr>
                <w:i/>
                <w:iCs/>
              </w:rPr>
            </w:pPr>
            <w:r w:rsidRPr="004A22ED">
              <w:rPr>
                <w:i/>
                <w:iCs/>
              </w:rPr>
              <w:t xml:space="preserve"> • locally advanced where patients are not candidates for surgical resection or definitive chemoradiation or</w:t>
            </w:r>
          </w:p>
          <w:p w14:paraId="0AE13403" w14:textId="3C8FC626" w:rsidR="00DC0A0B" w:rsidRPr="004A22ED" w:rsidRDefault="00BE359B">
            <w:pPr>
              <w:ind w:left="0" w:right="0"/>
              <w:rPr>
                <w:i/>
                <w:iCs/>
                <w:highlight w:val="yellow"/>
              </w:rPr>
            </w:pPr>
            <w:r w:rsidRPr="004A22ED">
              <w:rPr>
                <w:i/>
                <w:iCs/>
              </w:rPr>
              <w:t>• metastatic.</w:t>
            </w:r>
          </w:p>
        </w:tc>
      </w:tr>
      <w:tr w:rsidR="00DC0A0B" w14:paraId="4BAF0267" w14:textId="77777777" w:rsidTr="004A22ED">
        <w:tc>
          <w:tcPr>
            <w:tcW w:w="1879" w:type="dxa"/>
          </w:tcPr>
          <w:p w14:paraId="70A9EBAE" w14:textId="2A952564" w:rsidR="00DC0A0B" w:rsidRDefault="00BE359B">
            <w:pPr>
              <w:ind w:left="0"/>
            </w:pPr>
            <w:r>
              <w:lastRenderedPageBreak/>
              <w:t>Canada</w:t>
            </w:r>
          </w:p>
        </w:tc>
        <w:tc>
          <w:tcPr>
            <w:tcW w:w="1952" w:type="dxa"/>
          </w:tcPr>
          <w:p w14:paraId="41C3575D" w14:textId="7014AC1C" w:rsidR="00DC0A0B" w:rsidRDefault="00BE359B">
            <w:pPr>
              <w:ind w:left="0"/>
            </w:pPr>
            <w:r>
              <w:t>30 November 2020</w:t>
            </w:r>
          </w:p>
        </w:tc>
        <w:tc>
          <w:tcPr>
            <w:tcW w:w="1924" w:type="dxa"/>
          </w:tcPr>
          <w:p w14:paraId="7DFB6D03" w14:textId="736005E0" w:rsidR="00DC0A0B" w:rsidRDefault="00F62B86">
            <w:pPr>
              <w:ind w:left="0"/>
            </w:pPr>
            <w:r>
              <w:t>Under consideration</w:t>
            </w:r>
          </w:p>
        </w:tc>
        <w:tc>
          <w:tcPr>
            <w:tcW w:w="2739" w:type="dxa"/>
          </w:tcPr>
          <w:p w14:paraId="31921150" w14:textId="4DBB0723" w:rsidR="00DC0A0B" w:rsidRDefault="00BE359B">
            <w:pPr>
              <w:ind w:left="0"/>
            </w:pPr>
            <w:r>
              <w:t>Under consideration</w:t>
            </w:r>
          </w:p>
        </w:tc>
      </w:tr>
    </w:tbl>
    <w:p w14:paraId="7AD7A476" w14:textId="77777777" w:rsidR="00DC0A0B" w:rsidRDefault="00BE359B">
      <w:pPr>
        <w:pStyle w:val="Heading3"/>
      </w:pPr>
      <w:bookmarkStart w:id="14" w:name="_Toc110247350"/>
      <w:r>
        <w:t>Product Information</w:t>
      </w:r>
      <w:bookmarkEnd w:id="10"/>
      <w:bookmarkEnd w:id="14"/>
    </w:p>
    <w:p w14:paraId="02E405B5" w14:textId="1A639830" w:rsidR="00DC0A0B" w:rsidRDefault="00BE359B">
      <w:bookmarkStart w:id="15" w:name="_Toc314842487"/>
      <w:r>
        <w:t xml:space="preserve">The Product Information (PI) approved with the submission which is described in this AusPAR can be found as Attachment 1. For the most recent PI, please refer to the TGA </w:t>
      </w:r>
      <w:hyperlink r:id="rId16" w:history="1">
        <w:r>
          <w:rPr>
            <w:rStyle w:val="Hyperlink"/>
          </w:rPr>
          <w:t>PI/CMI search facility</w:t>
        </w:r>
        <w:r>
          <w:rPr>
            <w:rStyle w:val="Hyperlink"/>
            <w:color w:val="auto"/>
            <w:u w:val="none"/>
          </w:rPr>
          <w:t>.</w:t>
        </w:r>
      </w:hyperlink>
    </w:p>
    <w:p w14:paraId="00BBB3BE" w14:textId="77777777" w:rsidR="00DC0A0B" w:rsidRDefault="00BE359B">
      <w:pPr>
        <w:pStyle w:val="Heading2"/>
      </w:pPr>
      <w:bookmarkStart w:id="16" w:name="_Toc110247351"/>
      <w:r>
        <w:t>Registration timeline</w:t>
      </w:r>
      <w:bookmarkEnd w:id="16"/>
    </w:p>
    <w:p w14:paraId="3BEB4257" w14:textId="77777777" w:rsidR="00DC0A0B" w:rsidRDefault="00BE359B">
      <w:r>
        <w:t>The following table captures the key steps and dates for this submission.</w:t>
      </w:r>
    </w:p>
    <w:p w14:paraId="693B5A9F" w14:textId="03C0715D" w:rsidR="00DC0A0B" w:rsidRDefault="00BE359B">
      <w:pPr>
        <w:pStyle w:val="TableTitle"/>
      </w:pPr>
      <w:r>
        <w:t xml:space="preserve">Table </w:t>
      </w:r>
      <w:r w:rsidR="00E12242">
        <w:fldChar w:fldCharType="begin"/>
      </w:r>
      <w:r w:rsidR="00E12242">
        <w:instrText xml:space="preserve"> SEQ Table \* ARABIC </w:instrText>
      </w:r>
      <w:r w:rsidR="00E12242">
        <w:fldChar w:fldCharType="separate"/>
      </w:r>
      <w:r>
        <w:t>2</w:t>
      </w:r>
      <w:r w:rsidR="00E12242">
        <w:fldChar w:fldCharType="end"/>
      </w:r>
      <w:r>
        <w:t>: Timeline for Submission PM-2020-06003-1-4</w:t>
      </w:r>
    </w:p>
    <w:tbl>
      <w:tblPr>
        <w:tblStyle w:val="TableTGAblue"/>
        <w:tblW w:w="0" w:type="auto"/>
        <w:tblLook w:val="04A0" w:firstRow="1" w:lastRow="0" w:firstColumn="1" w:lastColumn="0" w:noHBand="0" w:noVBand="1"/>
      </w:tblPr>
      <w:tblGrid>
        <w:gridCol w:w="4255"/>
        <w:gridCol w:w="4239"/>
      </w:tblGrid>
      <w:tr w:rsidR="00DC0A0B" w14:paraId="76761AC0" w14:textId="77777777" w:rsidTr="00DC0A0B">
        <w:trPr>
          <w:cnfStyle w:val="100000000000" w:firstRow="1" w:lastRow="0" w:firstColumn="0" w:lastColumn="0" w:oddVBand="0" w:evenVBand="0" w:oddHBand="0" w:evenHBand="0" w:firstRowFirstColumn="0" w:firstRowLastColumn="0" w:lastRowFirstColumn="0" w:lastRowLastColumn="0"/>
        </w:trPr>
        <w:tc>
          <w:tcPr>
            <w:tcW w:w="4360" w:type="dxa"/>
            <w:tcBorders>
              <w:top w:val="single" w:sz="4" w:space="0" w:color="auto"/>
              <w:left w:val="single" w:sz="4" w:space="0" w:color="auto"/>
              <w:bottom w:val="single" w:sz="4" w:space="0" w:color="auto"/>
              <w:right w:val="single" w:sz="4" w:space="0" w:color="auto"/>
            </w:tcBorders>
          </w:tcPr>
          <w:p w14:paraId="3CD6FC05" w14:textId="77777777" w:rsidR="00DC0A0B" w:rsidRDefault="00BE359B">
            <w:r>
              <w:t>Description</w:t>
            </w:r>
          </w:p>
        </w:tc>
        <w:tc>
          <w:tcPr>
            <w:tcW w:w="4360" w:type="dxa"/>
            <w:tcBorders>
              <w:top w:val="single" w:sz="4" w:space="0" w:color="auto"/>
              <w:left w:val="single" w:sz="4" w:space="0" w:color="auto"/>
              <w:bottom w:val="single" w:sz="4" w:space="0" w:color="auto"/>
              <w:right w:val="single" w:sz="4" w:space="0" w:color="auto"/>
            </w:tcBorders>
          </w:tcPr>
          <w:p w14:paraId="1E8F31CC" w14:textId="77777777" w:rsidR="00DC0A0B" w:rsidRDefault="00BE359B">
            <w:r>
              <w:t>Date</w:t>
            </w:r>
          </w:p>
        </w:tc>
      </w:tr>
      <w:tr w:rsidR="00DC0A0B" w14:paraId="2623CE81" w14:textId="77777777" w:rsidTr="00DC0A0B">
        <w:tc>
          <w:tcPr>
            <w:tcW w:w="4360" w:type="dxa"/>
            <w:tcBorders>
              <w:top w:val="single" w:sz="4" w:space="0" w:color="auto"/>
            </w:tcBorders>
          </w:tcPr>
          <w:p w14:paraId="2BED2812" w14:textId="77777777" w:rsidR="00DC0A0B" w:rsidRDefault="00BE359B">
            <w:r>
              <w:t>Submission dossier accepted and first round evaluation commenced</w:t>
            </w:r>
          </w:p>
        </w:tc>
        <w:tc>
          <w:tcPr>
            <w:tcW w:w="4360" w:type="dxa"/>
            <w:tcBorders>
              <w:top w:val="single" w:sz="4" w:space="0" w:color="auto"/>
            </w:tcBorders>
          </w:tcPr>
          <w:p w14:paraId="4426F8CE" w14:textId="77777777" w:rsidR="00DC0A0B" w:rsidRDefault="00BE359B">
            <w:r>
              <w:t>4 January 2021</w:t>
            </w:r>
          </w:p>
        </w:tc>
      </w:tr>
      <w:tr w:rsidR="00DC0A0B" w14:paraId="4AD96119" w14:textId="77777777" w:rsidTr="00DC0A0B">
        <w:tc>
          <w:tcPr>
            <w:tcW w:w="4360" w:type="dxa"/>
          </w:tcPr>
          <w:p w14:paraId="46B5F245" w14:textId="77777777" w:rsidR="00DC0A0B" w:rsidRDefault="00BE359B">
            <w:r>
              <w:t>First round evaluation completed</w:t>
            </w:r>
          </w:p>
        </w:tc>
        <w:tc>
          <w:tcPr>
            <w:tcW w:w="4360" w:type="dxa"/>
          </w:tcPr>
          <w:p w14:paraId="4D1C1EE0" w14:textId="77777777" w:rsidR="00DC0A0B" w:rsidRDefault="00BE359B">
            <w:r>
              <w:t>7 June 2021</w:t>
            </w:r>
          </w:p>
        </w:tc>
      </w:tr>
      <w:tr w:rsidR="00DC0A0B" w14:paraId="536634A9" w14:textId="77777777" w:rsidTr="00DC0A0B">
        <w:tc>
          <w:tcPr>
            <w:tcW w:w="4360" w:type="dxa"/>
          </w:tcPr>
          <w:p w14:paraId="106EE13D" w14:textId="77777777" w:rsidR="00DC0A0B" w:rsidRDefault="00BE359B">
            <w:r>
              <w:t>Sponsor provides responses on questions raised in first round evaluation</w:t>
            </w:r>
          </w:p>
        </w:tc>
        <w:tc>
          <w:tcPr>
            <w:tcW w:w="4360" w:type="dxa"/>
          </w:tcPr>
          <w:p w14:paraId="08C39CE2" w14:textId="77777777" w:rsidR="00DC0A0B" w:rsidRDefault="00BE359B">
            <w:r>
              <w:t>23 April 2021</w:t>
            </w:r>
          </w:p>
        </w:tc>
      </w:tr>
      <w:tr w:rsidR="00DC0A0B" w14:paraId="7FCAC75C" w14:textId="77777777" w:rsidTr="00DC0A0B">
        <w:tc>
          <w:tcPr>
            <w:tcW w:w="4360" w:type="dxa"/>
          </w:tcPr>
          <w:p w14:paraId="12FF17D5" w14:textId="77777777" w:rsidR="00DC0A0B" w:rsidRDefault="00BE359B">
            <w:r>
              <w:t>Second round evaluation completed</w:t>
            </w:r>
          </w:p>
        </w:tc>
        <w:tc>
          <w:tcPr>
            <w:tcW w:w="4360" w:type="dxa"/>
          </w:tcPr>
          <w:p w14:paraId="5F41F116" w14:textId="77777777" w:rsidR="00DC0A0B" w:rsidRDefault="00BE359B">
            <w:r>
              <w:t>18 August 2021</w:t>
            </w:r>
          </w:p>
        </w:tc>
      </w:tr>
      <w:tr w:rsidR="00DC0A0B" w14:paraId="1A15F952" w14:textId="77777777" w:rsidTr="00DC0A0B">
        <w:tc>
          <w:tcPr>
            <w:tcW w:w="4360" w:type="dxa"/>
          </w:tcPr>
          <w:p w14:paraId="214F039E" w14:textId="77777777" w:rsidR="00DC0A0B" w:rsidRDefault="00BE359B">
            <w:r>
              <w:t xml:space="preserve">Delegate’s Overall benefit-risk assessment </w:t>
            </w:r>
            <w:r>
              <w:rPr>
                <w:color w:val="auto"/>
              </w:rPr>
              <w:t>and request for Advisory Committee advice</w:t>
            </w:r>
          </w:p>
        </w:tc>
        <w:tc>
          <w:tcPr>
            <w:tcW w:w="4360" w:type="dxa"/>
          </w:tcPr>
          <w:p w14:paraId="6F4A8D27" w14:textId="77777777" w:rsidR="00DC0A0B" w:rsidRDefault="00BE359B">
            <w:r>
              <w:t>25 August 2021</w:t>
            </w:r>
          </w:p>
        </w:tc>
      </w:tr>
      <w:tr w:rsidR="00DC0A0B" w14:paraId="15570D27" w14:textId="77777777" w:rsidTr="00DC0A0B">
        <w:tc>
          <w:tcPr>
            <w:tcW w:w="4360" w:type="dxa"/>
          </w:tcPr>
          <w:p w14:paraId="580A84D9" w14:textId="77777777" w:rsidR="00DC0A0B" w:rsidRDefault="00BE359B">
            <w:r>
              <w:t>Sponsor’s pre-Advisory Committee response</w:t>
            </w:r>
          </w:p>
        </w:tc>
        <w:tc>
          <w:tcPr>
            <w:tcW w:w="4360" w:type="dxa"/>
          </w:tcPr>
          <w:p w14:paraId="26974C4E" w14:textId="77777777" w:rsidR="00DC0A0B" w:rsidRDefault="00BE359B">
            <w:r>
              <w:t>14 September 2021</w:t>
            </w:r>
          </w:p>
        </w:tc>
      </w:tr>
      <w:tr w:rsidR="00DC0A0B" w14:paraId="1C3A7EC2" w14:textId="77777777" w:rsidTr="00DC0A0B">
        <w:tc>
          <w:tcPr>
            <w:tcW w:w="4360" w:type="dxa"/>
          </w:tcPr>
          <w:p w14:paraId="47A04937" w14:textId="77777777" w:rsidR="00DC0A0B" w:rsidRDefault="00BE359B">
            <w:r>
              <w:t>Advisory Committee meeting</w:t>
            </w:r>
          </w:p>
        </w:tc>
        <w:tc>
          <w:tcPr>
            <w:tcW w:w="4360" w:type="dxa"/>
          </w:tcPr>
          <w:p w14:paraId="6B2597B9" w14:textId="77777777" w:rsidR="00DC0A0B" w:rsidRDefault="00BE359B">
            <w:r>
              <w:t>7 and 8 October 2021</w:t>
            </w:r>
          </w:p>
        </w:tc>
      </w:tr>
      <w:tr w:rsidR="00DC0A0B" w14:paraId="093572D6" w14:textId="77777777" w:rsidTr="00DC0A0B">
        <w:tc>
          <w:tcPr>
            <w:tcW w:w="4360" w:type="dxa"/>
          </w:tcPr>
          <w:p w14:paraId="0B1D9758" w14:textId="77777777" w:rsidR="00DC0A0B" w:rsidRDefault="00BE359B">
            <w:r>
              <w:lastRenderedPageBreak/>
              <w:t>Registration decision (Outcome)</w:t>
            </w:r>
          </w:p>
        </w:tc>
        <w:tc>
          <w:tcPr>
            <w:tcW w:w="4360" w:type="dxa"/>
          </w:tcPr>
          <w:p w14:paraId="0943CDA9" w14:textId="77777777" w:rsidR="00DC0A0B" w:rsidRDefault="00BE359B">
            <w:r>
              <w:t>25 November 2021</w:t>
            </w:r>
          </w:p>
        </w:tc>
      </w:tr>
      <w:tr w:rsidR="00DC0A0B" w14:paraId="6B0D6FAC" w14:textId="77777777" w:rsidTr="00DC0A0B">
        <w:tc>
          <w:tcPr>
            <w:tcW w:w="4360" w:type="dxa"/>
          </w:tcPr>
          <w:p w14:paraId="6283362F" w14:textId="77777777" w:rsidR="00DC0A0B" w:rsidRDefault="00BE359B">
            <w:r>
              <w:t>Completion of administrative activities and registration on the ARTG</w:t>
            </w:r>
          </w:p>
        </w:tc>
        <w:tc>
          <w:tcPr>
            <w:tcW w:w="4360" w:type="dxa"/>
          </w:tcPr>
          <w:p w14:paraId="5EC29CFD" w14:textId="77777777" w:rsidR="00DC0A0B" w:rsidRDefault="00BE359B">
            <w:r>
              <w:t>9 December 2021</w:t>
            </w:r>
          </w:p>
        </w:tc>
      </w:tr>
      <w:tr w:rsidR="00DC0A0B" w14:paraId="04B4FA19" w14:textId="77777777" w:rsidTr="00DC0A0B">
        <w:tc>
          <w:tcPr>
            <w:tcW w:w="4360" w:type="dxa"/>
          </w:tcPr>
          <w:p w14:paraId="7D820A8C" w14:textId="77777777" w:rsidR="00DC0A0B" w:rsidRDefault="00BE359B">
            <w:r>
              <w:t>Number of working days from submission dossier acceptance to registration decision*</w:t>
            </w:r>
          </w:p>
        </w:tc>
        <w:tc>
          <w:tcPr>
            <w:tcW w:w="4360" w:type="dxa"/>
          </w:tcPr>
          <w:p w14:paraId="00DBA0D0" w14:textId="77777777" w:rsidR="00DC0A0B" w:rsidRDefault="00BE359B">
            <w:r>
              <w:t>203</w:t>
            </w:r>
          </w:p>
        </w:tc>
      </w:tr>
    </w:tbl>
    <w:p w14:paraId="45CCFBE6" w14:textId="570BEAD4" w:rsidR="00DC0A0B" w:rsidRDefault="00BE359B">
      <w:pPr>
        <w:pStyle w:val="TableDescription"/>
      </w:pPr>
      <w:r>
        <w:t>*Statutory timeframe for standard submissions is 255 working days</w:t>
      </w:r>
    </w:p>
    <w:p w14:paraId="334DF2E3" w14:textId="77777777" w:rsidR="00DC0A0B" w:rsidRDefault="00BE359B">
      <w:pPr>
        <w:pStyle w:val="Heading2"/>
      </w:pPr>
      <w:bookmarkStart w:id="17" w:name="_Toc110247352"/>
      <w:bookmarkEnd w:id="15"/>
      <w:bookmarkEnd w:id="0"/>
      <w:r>
        <w:t>Submission overview and risk/benefit assessment</w:t>
      </w:r>
      <w:bookmarkEnd w:id="17"/>
    </w:p>
    <w:p w14:paraId="0BB988BD" w14:textId="77777777" w:rsidR="00DC0A0B" w:rsidRDefault="00BE359B">
      <w:bookmarkStart w:id="18" w:name="_Toc314842511"/>
      <w:r>
        <w:t>This section is a TGA summary of wording used in TGA’s evaluation report, which discussed numerous aspects of overseas evaluation reports and included some information that was commercial-in-confidence.</w:t>
      </w:r>
    </w:p>
    <w:p w14:paraId="49490191" w14:textId="77777777" w:rsidR="00DC0A0B" w:rsidRDefault="00BE359B">
      <w:pPr>
        <w:pStyle w:val="Heading3"/>
      </w:pPr>
      <w:bookmarkStart w:id="19" w:name="_Toc110247353"/>
      <w:r>
        <w:t>Quality</w:t>
      </w:r>
      <w:bookmarkEnd w:id="18"/>
      <w:bookmarkEnd w:id="19"/>
    </w:p>
    <w:p w14:paraId="1519F41A" w14:textId="1C48D3FF" w:rsidR="00DC0A0B" w:rsidRDefault="00BE359B">
      <w:r>
        <w:t>A full quality evaluation was conducted at the time this product received initial registration.</w:t>
      </w:r>
      <w:r w:rsidR="00CF4404" w:rsidRPr="004A22ED">
        <w:rPr>
          <w:vertAlign w:val="superscript"/>
        </w:rPr>
        <w:fldChar w:fldCharType="begin"/>
      </w:r>
      <w:r w:rsidR="00CF4404" w:rsidRPr="004A22ED">
        <w:rPr>
          <w:vertAlign w:val="superscript"/>
        </w:rPr>
        <w:instrText xml:space="preserve"> NOTEREF _Ref111555349 \h </w:instrText>
      </w:r>
      <w:r w:rsidR="00CF4404">
        <w:rPr>
          <w:vertAlign w:val="superscript"/>
        </w:rPr>
        <w:instrText xml:space="preserve"> \* MERGEFORMAT </w:instrText>
      </w:r>
      <w:r w:rsidR="00CF4404" w:rsidRPr="004A22ED">
        <w:rPr>
          <w:vertAlign w:val="superscript"/>
        </w:rPr>
      </w:r>
      <w:r w:rsidR="00CF4404" w:rsidRPr="004A22ED">
        <w:rPr>
          <w:vertAlign w:val="superscript"/>
        </w:rPr>
        <w:fldChar w:fldCharType="separate"/>
      </w:r>
      <w:r w:rsidR="00CF4404" w:rsidRPr="004A22ED">
        <w:rPr>
          <w:vertAlign w:val="superscript"/>
        </w:rPr>
        <w:t>9</w:t>
      </w:r>
      <w:r w:rsidR="00CF4404" w:rsidRPr="004A22ED">
        <w:rPr>
          <w:vertAlign w:val="superscript"/>
        </w:rPr>
        <w:fldChar w:fldCharType="end"/>
      </w:r>
    </w:p>
    <w:p w14:paraId="1FB63FC5" w14:textId="77777777" w:rsidR="00DC0A0B" w:rsidRDefault="00BE359B">
      <w:pPr>
        <w:pStyle w:val="Heading3"/>
      </w:pPr>
      <w:bookmarkStart w:id="20" w:name="_Toc110247354"/>
      <w:r>
        <w:t>Nonclinical</w:t>
      </w:r>
      <w:bookmarkEnd w:id="20"/>
    </w:p>
    <w:p w14:paraId="182CB3EB" w14:textId="0C1BF2F6" w:rsidR="00DC0A0B" w:rsidRDefault="00BE359B">
      <w:r>
        <w:t>A full nonclinical evaluation was conducted at the time this product received initial registration.</w:t>
      </w:r>
      <w:r w:rsidR="00CF4404" w:rsidRPr="00CF4404">
        <w:rPr>
          <w:vertAlign w:val="superscript"/>
        </w:rPr>
        <w:t xml:space="preserve"> </w:t>
      </w:r>
      <w:r w:rsidR="00CF4404" w:rsidRPr="00004816">
        <w:rPr>
          <w:vertAlign w:val="superscript"/>
        </w:rPr>
        <w:fldChar w:fldCharType="begin"/>
      </w:r>
      <w:r w:rsidR="00CF4404" w:rsidRPr="00004816">
        <w:rPr>
          <w:vertAlign w:val="superscript"/>
        </w:rPr>
        <w:instrText xml:space="preserve"> NOTEREF _Ref111555349 \h </w:instrText>
      </w:r>
      <w:r w:rsidR="00CF4404">
        <w:rPr>
          <w:vertAlign w:val="superscript"/>
        </w:rPr>
        <w:instrText xml:space="preserve"> \* MERGEFORMAT </w:instrText>
      </w:r>
      <w:r w:rsidR="00CF4404" w:rsidRPr="00004816">
        <w:rPr>
          <w:vertAlign w:val="superscript"/>
        </w:rPr>
      </w:r>
      <w:r w:rsidR="00CF4404" w:rsidRPr="00004816">
        <w:rPr>
          <w:vertAlign w:val="superscript"/>
        </w:rPr>
        <w:fldChar w:fldCharType="separate"/>
      </w:r>
      <w:r w:rsidR="00CF4404" w:rsidRPr="00004816">
        <w:rPr>
          <w:vertAlign w:val="superscript"/>
        </w:rPr>
        <w:t>9</w:t>
      </w:r>
      <w:r w:rsidR="00CF4404" w:rsidRPr="00004816">
        <w:rPr>
          <w:vertAlign w:val="superscript"/>
        </w:rPr>
        <w:fldChar w:fldCharType="end"/>
      </w:r>
    </w:p>
    <w:p w14:paraId="05A1BDB3" w14:textId="0B159DC9" w:rsidR="00DC0A0B" w:rsidRDefault="00BE359B">
      <w:pPr>
        <w:pStyle w:val="Heading3"/>
      </w:pPr>
      <w:bookmarkStart w:id="21" w:name="_Toc110247355"/>
      <w:bookmarkStart w:id="22" w:name="_Toc196046949"/>
      <w:r>
        <w:t>Clinical</w:t>
      </w:r>
      <w:bookmarkEnd w:id="21"/>
    </w:p>
    <w:p w14:paraId="5752DC9E" w14:textId="2D2D2B79" w:rsidR="00CA71BA" w:rsidRDefault="00CA71BA" w:rsidP="004A22ED">
      <w:pPr>
        <w:pStyle w:val="Heading4"/>
      </w:pPr>
      <w:r>
        <w:t>Study R2810-ONC-1624</w:t>
      </w:r>
    </w:p>
    <w:p w14:paraId="38E98392" w14:textId="548D5395" w:rsidR="00CA71BA" w:rsidRPr="004A22ED" w:rsidRDefault="00CA71BA" w:rsidP="004A22ED">
      <w:pPr>
        <w:pStyle w:val="Heading5"/>
      </w:pPr>
      <w:r>
        <w:t>Study overview</w:t>
      </w:r>
    </w:p>
    <w:p w14:paraId="28F72790" w14:textId="0C5F29F8" w:rsidR="00DC0A0B" w:rsidRDefault="00BE359B">
      <w:r>
        <w:t xml:space="preserve">Study R2810-ONC-1624 is the pivotal study to support the NSCLC indication. It is an ongoing, randomised, global, open label, Phase III study of </w:t>
      </w:r>
      <w:proofErr w:type="spellStart"/>
      <w:r>
        <w:t>cemiplimab</w:t>
      </w:r>
      <w:proofErr w:type="spellEnd"/>
      <w:r>
        <w:t xml:space="preserve"> monotherapy versus platinum based doublet chemotherapy of physician’s choice.</w:t>
      </w:r>
    </w:p>
    <w:p w14:paraId="2CB5873F" w14:textId="3676DD1E" w:rsidR="00DC0A0B" w:rsidRDefault="00BE359B">
      <w:r>
        <w:t xml:space="preserve">The study had two primary efficacy objectives, overall survival (OS) and progression free survival (PFS) as assessed by blinded independent review committee (IRC) per </w:t>
      </w:r>
      <w:r>
        <w:rPr>
          <w:lang w:eastAsia="ja-JP"/>
        </w:rPr>
        <w:t xml:space="preserve">response evaluation criteria in solid </w:t>
      </w:r>
      <w:r w:rsidR="00CF4404">
        <w:rPr>
          <w:lang w:eastAsia="ja-JP"/>
        </w:rPr>
        <w:t>tumours</w:t>
      </w:r>
      <w:r>
        <w:rPr>
          <w:lang w:eastAsia="ja-JP"/>
        </w:rPr>
        <w:t xml:space="preserve"> (</w:t>
      </w:r>
      <w:r>
        <w:t>RECIST) 1.1.</w:t>
      </w:r>
      <w:r>
        <w:rPr>
          <w:rStyle w:val="FootnoteReference"/>
        </w:rPr>
        <w:footnoteReference w:id="11"/>
      </w:r>
      <w:r>
        <w:t xml:space="preserve"> The key secondary efficacy objective was assessment of overall response rate by blinded IRC per RECIST 1.1. Due to the open label design of Study R2810-ONC-1624, the IRC was blinded to the treatment assignment of patients in order to address potential bias. In addition, secondary objectives included safety, anti-drug antibody (ADA) and pharmacokinetics assessments.</w:t>
      </w:r>
    </w:p>
    <w:p w14:paraId="4B123DC0" w14:textId="2A3FC70D" w:rsidR="00DC0A0B" w:rsidRDefault="00BE359B">
      <w:r>
        <w:t xml:space="preserve">This primary analysis clinical study report was prompted by the pre-specified interim analysis conducted by the independent statistical group and reviewed by the data </w:t>
      </w:r>
      <w:r>
        <w:lastRenderedPageBreak/>
        <w:t xml:space="preserve">monitoring committee which demonstrated a survival benefit in patients randomised to </w:t>
      </w:r>
      <w:proofErr w:type="spellStart"/>
      <w:r>
        <w:t>cemiplimab</w:t>
      </w:r>
      <w:proofErr w:type="spellEnd"/>
      <w:r>
        <w:t xml:space="preserve"> treatment.</w:t>
      </w:r>
    </w:p>
    <w:p w14:paraId="15D7BBA1" w14:textId="588FF19C" w:rsidR="00DC0A0B" w:rsidRDefault="00BE359B">
      <w:r>
        <w:t>Study subjects were patients with locally advanced or metastatic, squamous or non</w:t>
      </w:r>
      <w:r>
        <w:noBreakHyphen/>
        <w:t>squamous NSCLC. Additional requirements were:</w:t>
      </w:r>
    </w:p>
    <w:p w14:paraId="1045D0E7" w14:textId="47BFE50E" w:rsidR="00DC0A0B" w:rsidRDefault="00BE359B">
      <w:pPr>
        <w:pStyle w:val="ListBullet"/>
      </w:pPr>
      <w:r>
        <w:t>tumour expression of PD-L1 in ≥ 50% of tumour cells as determined using a test performed according to instructions for use;</w:t>
      </w:r>
    </w:p>
    <w:p w14:paraId="616BF759" w14:textId="2B2F18EE" w:rsidR="00DC0A0B" w:rsidRDefault="00BE359B">
      <w:pPr>
        <w:pStyle w:val="ListBullet"/>
      </w:pPr>
      <w:r>
        <w:t xml:space="preserve">tumour with no </w:t>
      </w:r>
      <w:r w:rsidRPr="004A22ED">
        <w:rPr>
          <w:i/>
        </w:rPr>
        <w:t>EGFR, ALK</w:t>
      </w:r>
      <w:r>
        <w:t xml:space="preserve">, or </w:t>
      </w:r>
      <w:r w:rsidRPr="004A22ED">
        <w:rPr>
          <w:i/>
        </w:rPr>
        <w:t>ROS1</w:t>
      </w:r>
      <w:r>
        <w:t xml:space="preserve"> aberrations,</w:t>
      </w:r>
    </w:p>
    <w:p w14:paraId="05FCEB7A" w14:textId="22652763" w:rsidR="00DC0A0B" w:rsidRDefault="00BE359B">
      <w:pPr>
        <w:pStyle w:val="ListBullet"/>
      </w:pPr>
      <w:r>
        <w:t>no prior systemic treatment for their advanced disease,</w:t>
      </w:r>
      <w:r w:rsidR="00331519">
        <w:t xml:space="preserve"> and/or</w:t>
      </w:r>
    </w:p>
    <w:p w14:paraId="52E24823" w14:textId="500D597E" w:rsidR="00DC0A0B" w:rsidRDefault="00BE359B">
      <w:pPr>
        <w:pStyle w:val="ListBullet"/>
      </w:pPr>
      <w:r>
        <w:t>not candidates for surgical resection or definitive chemoradiation.</w:t>
      </w:r>
    </w:p>
    <w:p w14:paraId="7E4D7444" w14:textId="7D811D9C" w:rsidR="00DC0A0B" w:rsidRDefault="00BE359B">
      <w:r>
        <w:t>Patients who received adjuvant or neoadjuvant platinum doublet chemotherapy (after surgery and/or radiation therapy) and developed recurrent or metastatic disease more than six months after completing therapy were eligible.</w:t>
      </w:r>
    </w:p>
    <w:p w14:paraId="7C725F18" w14:textId="31C03885" w:rsidR="00DC0A0B" w:rsidRDefault="00BE359B">
      <w:r>
        <w:t>Exclusion</w:t>
      </w:r>
      <w:r w:rsidR="00331519">
        <w:t xml:space="preserve"> criteria </w:t>
      </w:r>
      <w:r>
        <w:t>of note were patients who had never smoked and patients with active or untreated brain metastases or spinal cord compression. Patients were eligible if central nervous system metastases are adequately treated and patients have neurologically returned to baseline (except for residual signs or symptoms related to the central nervous system treatment) for at least two weeks prior to randomisation. Patients must be off (immunosuppressive doses of) corticosteroid therapy.</w:t>
      </w:r>
    </w:p>
    <w:p w14:paraId="4AB70870" w14:textId="456F9523" w:rsidR="00DC0A0B" w:rsidRDefault="00BE359B">
      <w:r>
        <w:t xml:space="preserve">Patients were randomised equally to one of the following two arms: </w:t>
      </w:r>
      <w:proofErr w:type="spellStart"/>
      <w:r>
        <w:t>cemiplimab</w:t>
      </w:r>
      <w:proofErr w:type="spellEnd"/>
      <w:r>
        <w:t xml:space="preserve"> 350 mg monotherapy or platinum based doublet chemotherapy. Randomisation was stratified by histology (squamous versus non-squamous) and geographic region (Europe, Asia, or rest of the world). Patients assigned to the </w:t>
      </w:r>
      <w:proofErr w:type="spellStart"/>
      <w:r>
        <w:t>cemiplimab</w:t>
      </w:r>
      <w:proofErr w:type="spellEnd"/>
      <w:r>
        <w:t xml:space="preserve"> arm received </w:t>
      </w:r>
      <w:proofErr w:type="spellStart"/>
      <w:r>
        <w:t>cemiplimab</w:t>
      </w:r>
      <w:proofErr w:type="spellEnd"/>
      <w:r>
        <w:t xml:space="preserve"> 350 mg as an intravenous infusion </w:t>
      </w:r>
      <w:proofErr w:type="spellStart"/>
      <w:r>
        <w:t>infusion</w:t>
      </w:r>
      <w:proofErr w:type="spellEnd"/>
      <w:r>
        <w:t xml:space="preserve"> on Day 1 of every treatment cycle (once every 3 weeks) for up to 108 weeks or until RECIST 1.1 defined progressive disease, unacceptable toxicity, death, or withdrawal of consent.</w:t>
      </w:r>
    </w:p>
    <w:p w14:paraId="6ACBA01B" w14:textId="64C677AC" w:rsidR="00DC0A0B" w:rsidRDefault="00BE359B">
      <w:r>
        <w:t xml:space="preserve">Patients who experienced progressive disease on </w:t>
      </w:r>
      <w:proofErr w:type="spellStart"/>
      <w:r>
        <w:t>cemiplimab</w:t>
      </w:r>
      <w:proofErr w:type="spellEnd"/>
      <w:r>
        <w:t xml:space="preserve"> were given the option to continue </w:t>
      </w:r>
      <w:proofErr w:type="spellStart"/>
      <w:r>
        <w:t>cemiplimab</w:t>
      </w:r>
      <w:proofErr w:type="spellEnd"/>
      <w:r>
        <w:t xml:space="preserve"> 350 mg once every 3 weeks for up to 108 additional weeks, with the addition of histology specific platinum based doublet chemotherapy for four cycles, provided they met specific treatment criteria and had not completed the 108 week treatment period with </w:t>
      </w:r>
      <w:proofErr w:type="spellStart"/>
      <w:r>
        <w:t>cemiplimab</w:t>
      </w:r>
      <w:proofErr w:type="spellEnd"/>
      <w:r>
        <w:t xml:space="preserve">. Patients who experienced progressive disease on chemotherapy were given the option to cross over to </w:t>
      </w:r>
      <w:proofErr w:type="spellStart"/>
      <w:r>
        <w:t>cemiplimab</w:t>
      </w:r>
      <w:proofErr w:type="spellEnd"/>
      <w:r>
        <w:t xml:space="preserve"> monotherapy 350 mg once every 3 weeks for up to 108 weeks, provided they met treatment criteria. These criteria were subsequently amended after the primary analysis and all patients randomised to platinum based chemotherapy were permitted to receive </w:t>
      </w:r>
      <w:proofErr w:type="spellStart"/>
      <w:r>
        <w:t>cemiplimab</w:t>
      </w:r>
      <w:proofErr w:type="spellEnd"/>
      <w:r>
        <w:t xml:space="preserve"> for up to 108 weeks prior to disease progression.</w:t>
      </w:r>
    </w:p>
    <w:p w14:paraId="20CA0979" w14:textId="2C5EDDFE" w:rsidR="00DC0A0B" w:rsidRDefault="00BE359B">
      <w:r>
        <w:t xml:space="preserve">The primary endpoints were </w:t>
      </w:r>
      <w:r w:rsidR="00CA71BA">
        <w:t>overall survival</w:t>
      </w:r>
      <w:r>
        <w:t xml:space="preserve"> and </w:t>
      </w:r>
      <w:r w:rsidR="00CA71BA">
        <w:t>progression-free survival</w:t>
      </w:r>
      <w:r>
        <w:t xml:space="preserve"> assessed by the </w:t>
      </w:r>
      <w:r w:rsidR="00CA71BA">
        <w:t>independent review committee (IRC)</w:t>
      </w:r>
      <w:r>
        <w:t>. Overall response rate was the key secondary endpoint and duration of response and quality of life measures were other secondary endpoints. Pre</w:t>
      </w:r>
      <w:r>
        <w:noBreakHyphen/>
        <w:t xml:space="preserve">specified sensitivity analyses were performed for </w:t>
      </w:r>
      <w:r w:rsidR="00CA71BA">
        <w:t xml:space="preserve">overall survival </w:t>
      </w:r>
      <w:r>
        <w:t xml:space="preserve">and </w:t>
      </w:r>
      <w:r w:rsidR="00CA71BA">
        <w:t>progression-free survival</w:t>
      </w:r>
      <w:r>
        <w:t xml:space="preserve"> for patients whose tumours express PD-L1 ≥ 50% of tumour cells based on PD-L1 assay in accordance with assay instructions, including results from PD-L1 retesting.</w:t>
      </w:r>
    </w:p>
    <w:p w14:paraId="431BD5F8" w14:textId="4E772F24" w:rsidR="00DC0A0B" w:rsidRDefault="00BE359B">
      <w:r>
        <w:t xml:space="preserve">The </w:t>
      </w:r>
      <w:proofErr w:type="spellStart"/>
      <w:r>
        <w:t>cemiplimab</w:t>
      </w:r>
      <w:proofErr w:type="spellEnd"/>
      <w:r>
        <w:t xml:space="preserve"> dose of 350 mg once every 3 weeks was selected based on preliminary evidence of efficacy in the first in human Study R2810-ONC 1423 for </w:t>
      </w:r>
      <w:proofErr w:type="spellStart"/>
      <w:r>
        <w:t>cemiplimab</w:t>
      </w:r>
      <w:proofErr w:type="spellEnd"/>
      <w:r>
        <w:t xml:space="preserve"> 3 mg/kg once every 2 weeks intravenously and on population pharmacokinetic (</w:t>
      </w:r>
      <w:proofErr w:type="spellStart"/>
      <w:r w:rsidR="00CA71BA">
        <w:t>Pop</w:t>
      </w:r>
      <w:r>
        <w:t>PK</w:t>
      </w:r>
      <w:proofErr w:type="spellEnd"/>
      <w:r>
        <w:t xml:space="preserve">) modelling and simulation that a 350 mg once every 3 weeks regimen provided exposure that closely replicated that observed in patients treated with the 3 mg/kg once every 2 weeks intravenously regimen. Dose modifications of </w:t>
      </w:r>
      <w:proofErr w:type="spellStart"/>
      <w:r>
        <w:t>cemiplimab</w:t>
      </w:r>
      <w:proofErr w:type="spellEnd"/>
      <w:r>
        <w:t xml:space="preserve"> were not permitted, though dose interruptions were allowed.</w:t>
      </w:r>
    </w:p>
    <w:p w14:paraId="1DEC5473" w14:textId="77777777" w:rsidR="00DC0A0B" w:rsidRDefault="00BE359B">
      <w:r>
        <w:lastRenderedPageBreak/>
        <w:t>Patients randomised to chemotherapy received one of the following histology-specific regimens:</w:t>
      </w:r>
    </w:p>
    <w:p w14:paraId="0E7092F3" w14:textId="2EC45D1E" w:rsidR="00DC0A0B" w:rsidRDefault="00BE359B">
      <w:pPr>
        <w:pStyle w:val="ListBullet"/>
      </w:pPr>
      <w:r>
        <w:t>Paclitaxel;</w:t>
      </w:r>
      <w:r>
        <w:rPr>
          <w:rStyle w:val="FootnoteReference"/>
        </w:rPr>
        <w:footnoteReference w:id="12"/>
      </w:r>
      <w:r>
        <w:t xml:space="preserve"> plus cisplatin;</w:t>
      </w:r>
      <w:r>
        <w:rPr>
          <w:rStyle w:val="FootnoteReference"/>
        </w:rPr>
        <w:footnoteReference w:id="13"/>
      </w:r>
      <w:r>
        <w:t xml:space="preserve"> or carboplatin;</w:t>
      </w:r>
      <w:r>
        <w:rPr>
          <w:rStyle w:val="FootnoteReference"/>
        </w:rPr>
        <w:footnoteReference w:id="14"/>
      </w:r>
    </w:p>
    <w:p w14:paraId="0FC23F95" w14:textId="2012231C" w:rsidR="00DC0A0B" w:rsidRDefault="00BE359B">
      <w:pPr>
        <w:pStyle w:val="ListBullet"/>
      </w:pPr>
      <w:r>
        <w:t>Gemcitabine;</w:t>
      </w:r>
      <w:r>
        <w:rPr>
          <w:rStyle w:val="FootnoteReference"/>
        </w:rPr>
        <w:footnoteReference w:id="15"/>
      </w:r>
      <w:r>
        <w:t xml:space="preserve"> plus cisplatin or carboplatin</w:t>
      </w:r>
    </w:p>
    <w:p w14:paraId="2A0DFFA9" w14:textId="56BB8010" w:rsidR="00DC0A0B" w:rsidRDefault="00BE359B">
      <w:pPr>
        <w:pStyle w:val="ListBullet"/>
      </w:pPr>
      <w:r>
        <w:t>Pemetrexed;</w:t>
      </w:r>
      <w:r>
        <w:rPr>
          <w:rStyle w:val="FootnoteReference"/>
        </w:rPr>
        <w:footnoteReference w:id="16"/>
      </w:r>
      <w:r>
        <w:t xml:space="preserve"> plus cisplatin or carboplatin followed by optional pemetrexed maintenance (it was strongly recommended that patients with squamous NSCLC do not receive pemetrexed-containing regimens).</w:t>
      </w:r>
    </w:p>
    <w:p w14:paraId="3CE56ADA" w14:textId="0A606C0D" w:rsidR="00DC0A0B" w:rsidRDefault="00BE359B">
      <w:r>
        <w:t xml:space="preserve">The investigator was permitted to choose from one of the above regimens provided that it was consistent with the local standard of care and permitted by local regulations. The dosing regimens for these regimens are in </w:t>
      </w:r>
      <w:r>
        <w:fldChar w:fldCharType="begin"/>
      </w:r>
      <w:r>
        <w:instrText xml:space="preserve"> REF _Ref109383001 \h </w:instrText>
      </w:r>
      <w:r>
        <w:fldChar w:fldCharType="separate"/>
      </w:r>
      <w:r>
        <w:t>Table 3</w:t>
      </w:r>
      <w:r>
        <w:fldChar w:fldCharType="end"/>
      </w:r>
      <w:r>
        <w:t>.</w:t>
      </w:r>
    </w:p>
    <w:p w14:paraId="570D074D" w14:textId="6C1E0F0D" w:rsidR="00DC0A0B" w:rsidRDefault="00BE359B">
      <w:pPr>
        <w:pStyle w:val="TableTitle"/>
      </w:pPr>
      <w:bookmarkStart w:id="23" w:name="_Ref109383001"/>
      <w:r>
        <w:t xml:space="preserve">Table </w:t>
      </w:r>
      <w:r w:rsidR="00E12242">
        <w:fldChar w:fldCharType="begin"/>
      </w:r>
      <w:r w:rsidR="00E12242">
        <w:instrText xml:space="preserve"> SEQ Table \* ARABIC </w:instrText>
      </w:r>
      <w:r w:rsidR="00E12242">
        <w:fldChar w:fldCharType="separate"/>
      </w:r>
      <w:r>
        <w:t>3</w:t>
      </w:r>
      <w:r w:rsidR="00E12242">
        <w:fldChar w:fldCharType="end"/>
      </w:r>
      <w:bookmarkEnd w:id="23"/>
      <w:r>
        <w:t xml:space="preserve">: </w:t>
      </w:r>
      <w:r w:rsidR="00CA71BA">
        <w:t xml:space="preserve">Study R2810-ONC-1624 </w:t>
      </w:r>
      <w:r>
        <w:t>Platinum doublet chemotherapy regimens</w:t>
      </w:r>
    </w:p>
    <w:p w14:paraId="020E10F1" w14:textId="72AC1123" w:rsidR="00DC0A0B" w:rsidRDefault="00BE359B">
      <w:pPr>
        <w:pStyle w:val="TableDescription"/>
      </w:pPr>
      <w:r>
        <w:rPr>
          <w:noProof/>
          <w:lang w:val="en-GB" w:eastAsia="en-GB"/>
        </w:rPr>
        <w:drawing>
          <wp:inline distT="0" distB="0" distL="0" distR="0" wp14:anchorId="5A434627" wp14:editId="1A1B8638">
            <wp:extent cx="5329555" cy="2691114"/>
            <wp:effectExtent l="0" t="0" r="4445" b="0"/>
            <wp:docPr id="9" name="Picture 9" descr="Platinum doublet chemotherapy regimens"/>
            <wp:cNvGraphicFramePr/>
            <a:graphic xmlns:a="http://schemas.openxmlformats.org/drawingml/2006/main">
              <a:graphicData uri="http://schemas.openxmlformats.org/drawingml/2006/picture">
                <pic:pic xmlns:pic="http://schemas.openxmlformats.org/drawingml/2006/picture">
                  <pic:nvPicPr>
                    <pic:cNvPr id="9" name="Picture 9" descr="Platinum doublet chemotherapy regimens"/>
                    <pic:cNvPicPr/>
                  </pic:nvPicPr>
                  <pic:blipFill rotWithShape="1">
                    <a:blip r:embed="rId17"/>
                    <a:srcRect t="6657" r="1295" b="4895"/>
                    <a:stretch/>
                  </pic:blipFill>
                  <pic:spPr bwMode="auto">
                    <a:xfrm>
                      <a:off x="0" y="0"/>
                      <a:ext cx="5330157" cy="2691418"/>
                    </a:xfrm>
                    <a:prstGeom prst="rect">
                      <a:avLst/>
                    </a:prstGeom>
                    <a:ln>
                      <a:noFill/>
                    </a:ln>
                    <a:extLst>
                      <a:ext uri="{53640926-AAD7-44D8-BBD7-CCE9431645EC}">
                        <a14:shadowObscured xmlns:a14="http://schemas.microsoft.com/office/drawing/2010/main"/>
                      </a:ext>
                    </a:extLst>
                  </pic:spPr>
                </pic:pic>
              </a:graphicData>
            </a:graphic>
          </wp:inline>
        </w:drawing>
      </w:r>
    </w:p>
    <w:p w14:paraId="4E1A5DE8" w14:textId="50902817" w:rsidR="00DC0A0B" w:rsidRDefault="00CA71BA">
      <w:pPr>
        <w:pStyle w:val="TableDescription"/>
      </w:pPr>
      <w:r>
        <w:t xml:space="preserve">Abbreviations: </w:t>
      </w:r>
      <w:r w:rsidR="00BE359B">
        <w:t>AUC = area under the concentration time curve; IV = intravenous.</w:t>
      </w:r>
    </w:p>
    <w:p w14:paraId="4840F1C1" w14:textId="4D585810" w:rsidR="00DC0A0B" w:rsidRDefault="00BE359B" w:rsidP="004A22ED">
      <w:pPr>
        <w:keepNext/>
      </w:pPr>
      <w:r>
        <w:t xml:space="preserve">Programmed death-ligand 1 testing was performed with both investigational and commercial kits of the PD-L1 IHC 22C3 </w:t>
      </w:r>
      <w:proofErr w:type="spellStart"/>
      <w:r>
        <w:t>PharmDx</w:t>
      </w:r>
      <w:proofErr w:type="spellEnd"/>
      <w:r>
        <w:t xml:space="preserve"> assay.</w:t>
      </w:r>
      <w:bookmarkStart w:id="24" w:name="_Ref111560190"/>
      <w:r w:rsidR="00CA71BA">
        <w:rPr>
          <w:rStyle w:val="FootnoteReference"/>
        </w:rPr>
        <w:footnoteReference w:id="17"/>
      </w:r>
      <w:bookmarkEnd w:id="24"/>
      <w:r>
        <w:t xml:space="preserve"> These kits where identical except for labelling.</w:t>
      </w:r>
    </w:p>
    <w:p w14:paraId="29AE3EFE" w14:textId="461FDB97" w:rsidR="00DC0A0B" w:rsidRDefault="00BE359B">
      <w:r>
        <w:t>There were quality issues with the PD-L1 expression testing, which impacted the enrolment of patients who met the pre-specified expression level (PD-L1 ≥ 50%). A total of 235 patients were tested during the period when the issues were occurring. The sponsor has identified to additional efficacy populations (intent to treat-1</w:t>
      </w:r>
      <w:r w:rsidR="0000250B">
        <w:t>;</w:t>
      </w:r>
      <w:r>
        <w:t xml:space="preserve"> and intent to treat-2) to address the impact of this issue on efficacy.</w:t>
      </w:r>
    </w:p>
    <w:p w14:paraId="1CB36D45" w14:textId="67050E08" w:rsidR="00DC0A0B" w:rsidRDefault="00BE359B">
      <w:r>
        <w:t xml:space="preserve">It is a superiority trial with five interim analyses for </w:t>
      </w:r>
      <w:r w:rsidR="0000250B">
        <w:t xml:space="preserve">overall survival </w:t>
      </w:r>
      <w:r>
        <w:t xml:space="preserve">initially planned. The study report in the submission was of the second interim analysis and is the primary analysis. Of note, </w:t>
      </w:r>
      <w:r w:rsidR="0000250B">
        <w:t xml:space="preserve">overall survival </w:t>
      </w:r>
      <w:r>
        <w:t xml:space="preserve">was promoted to a primary endpoint from a secondary </w:t>
      </w:r>
      <w:r>
        <w:lastRenderedPageBreak/>
        <w:t xml:space="preserve">endpoint after the study had commenced. For the two primary endpoints, the two sided </w:t>
      </w:r>
      <w:r w:rsidR="0000250B">
        <w:t>alpha value</w:t>
      </w:r>
      <w:r>
        <w:t xml:space="preserve"> of 0.05 is initially split between the analyses of </w:t>
      </w:r>
      <w:r w:rsidR="0000250B">
        <w:t xml:space="preserve">overall survival </w:t>
      </w:r>
      <w:r>
        <w:t xml:space="preserve">and </w:t>
      </w:r>
      <w:r w:rsidR="0000250B">
        <w:t>progression-free survival</w:t>
      </w:r>
      <w:r>
        <w:t xml:space="preserve">, with 0.04 to OS analysis and 0.01 to </w:t>
      </w:r>
      <w:r w:rsidR="0000250B">
        <w:t xml:space="preserve">progression-free survival </w:t>
      </w:r>
      <w:r>
        <w:t xml:space="preserve">analysis. The </w:t>
      </w:r>
      <w:r w:rsidR="0000250B">
        <w:t>alpha</w:t>
      </w:r>
      <w:r>
        <w:t xml:space="preserve"> allocated to </w:t>
      </w:r>
      <w:r w:rsidR="0000250B">
        <w:t xml:space="preserve">progression-free survival </w:t>
      </w:r>
      <w:r>
        <w:t xml:space="preserve">(0.01) is subject to be reallocated to </w:t>
      </w:r>
      <w:r w:rsidR="0000250B">
        <w:t xml:space="preserve">overall survival </w:t>
      </w:r>
      <w:r>
        <w:t xml:space="preserve">if the </w:t>
      </w:r>
      <w:r w:rsidR="0000250B">
        <w:t xml:space="preserve">progression-free survival </w:t>
      </w:r>
      <w:r>
        <w:t xml:space="preserve">test is positive. The </w:t>
      </w:r>
      <w:r w:rsidR="0000250B">
        <w:t>alpha</w:t>
      </w:r>
      <w:r>
        <w:t xml:space="preserve"> allocated to </w:t>
      </w:r>
      <w:r w:rsidR="0000250B">
        <w:t xml:space="preserve">overall survival </w:t>
      </w:r>
      <w:r>
        <w:t xml:space="preserve">(0.04) is subject to be reallocated to </w:t>
      </w:r>
      <w:r w:rsidR="0000250B" w:rsidRPr="0000250B">
        <w:t>progression-free survival</w:t>
      </w:r>
      <w:r w:rsidR="0000250B">
        <w:t xml:space="preserve"> </w:t>
      </w:r>
      <w:r>
        <w:t xml:space="preserve">if the </w:t>
      </w:r>
      <w:r w:rsidR="0000250B">
        <w:t xml:space="preserve">overall survival </w:t>
      </w:r>
      <w:r>
        <w:t>test is positive.</w:t>
      </w:r>
    </w:p>
    <w:p w14:paraId="4A3EB2A2" w14:textId="09B6E259" w:rsidR="00750997" w:rsidRDefault="00750997" w:rsidP="004A22ED">
      <w:pPr>
        <w:pStyle w:val="Heading5"/>
      </w:pPr>
      <w:r>
        <w:t>Efficacy</w:t>
      </w:r>
    </w:p>
    <w:p w14:paraId="2A739F1F" w14:textId="58943EEB" w:rsidR="00DC0A0B" w:rsidRDefault="00BE359B" w:rsidP="004A22ED">
      <w:pPr>
        <w:pStyle w:val="Heading6"/>
      </w:pPr>
      <w:r>
        <w:t>Results</w:t>
      </w:r>
    </w:p>
    <w:p w14:paraId="30AC44CD" w14:textId="39B66725" w:rsidR="00DC0A0B" w:rsidRDefault="00BE359B">
      <w:r>
        <w:t xml:space="preserve">A total of 3662 patients were screened with 710 randomised (356 patients to </w:t>
      </w:r>
      <w:proofErr w:type="spellStart"/>
      <w:r>
        <w:t>cemiplimab</w:t>
      </w:r>
      <w:proofErr w:type="spellEnd"/>
      <w:r>
        <w:t xml:space="preserve"> and 354 patients to chemotherapy, see </w:t>
      </w:r>
      <w:r>
        <w:fldChar w:fldCharType="begin"/>
      </w:r>
      <w:r>
        <w:instrText xml:space="preserve"> REF _Ref109383243 \h </w:instrText>
      </w:r>
      <w:r>
        <w:fldChar w:fldCharType="separate"/>
      </w:r>
      <w:r>
        <w:t>Table 4</w:t>
      </w:r>
      <w:r>
        <w:fldChar w:fldCharType="end"/>
      </w:r>
      <w:r>
        <w:t xml:space="preserve">) and 697 were treated (355 patients in the </w:t>
      </w:r>
      <w:proofErr w:type="spellStart"/>
      <w:r>
        <w:t>cemiplimab</w:t>
      </w:r>
      <w:proofErr w:type="spellEnd"/>
      <w:r>
        <w:t xml:space="preserve"> arm and 342 patients in the chemotherapy arm) at 138 sites in 24 countries.</w:t>
      </w:r>
    </w:p>
    <w:p w14:paraId="5BD82C76" w14:textId="19B52685" w:rsidR="00DC0A0B" w:rsidRDefault="00BE359B">
      <w:r>
        <w:t>Of the 710 patients that form the intent to treat population, at the time of data cut off of 1</w:t>
      </w:r>
      <w:r w:rsidR="0000250B">
        <w:t> </w:t>
      </w:r>
      <w:r>
        <w:t xml:space="preserve">March 2020, treatment was ongoing for 184 patients (25.9%), 513 patients (72.3%) were off treatment and 13 (one in the </w:t>
      </w:r>
      <w:proofErr w:type="spellStart"/>
      <w:r>
        <w:t>cemiplimab</w:t>
      </w:r>
      <w:proofErr w:type="spellEnd"/>
      <w:r>
        <w:t xml:space="preserve"> arm and 12 in the chemotherapy arm) were randomised but not treated (</w:t>
      </w:r>
      <w:r w:rsidR="0000250B">
        <w:t xml:space="preserve">see </w:t>
      </w:r>
      <w:r>
        <w:fldChar w:fldCharType="begin"/>
      </w:r>
      <w:r>
        <w:instrText xml:space="preserve"> REF _Ref109383243 \h </w:instrText>
      </w:r>
      <w:r>
        <w:fldChar w:fldCharType="separate"/>
      </w:r>
      <w:r>
        <w:t>Table 4</w:t>
      </w:r>
      <w:r>
        <w:fldChar w:fldCharType="end"/>
      </w:r>
      <w:r>
        <w:t xml:space="preserve">). Study treatment was completed as per protocol in 155 (21.8%) of the patients, 6 (1.7%) in the </w:t>
      </w:r>
      <w:proofErr w:type="spellStart"/>
      <w:r>
        <w:t>cemiplimab</w:t>
      </w:r>
      <w:proofErr w:type="spellEnd"/>
      <w:r>
        <w:t xml:space="preserve"> arm and 149 (42.1%) in the chemotherapy arm. The difference in treatment completion between the two treatment arms is explained by the different duration of study treatment in the </w:t>
      </w:r>
      <w:proofErr w:type="spellStart"/>
      <w:r>
        <w:t>cemiplimab</w:t>
      </w:r>
      <w:proofErr w:type="spellEnd"/>
      <w:r>
        <w:t xml:space="preserve"> arm (administered every 3 weeks up to 108 weeks) compared with the chemotherapy arm (administered for 4 to 6 cycles every 3 weeks). The most common reason for treatment discontinuation was disease progression in 217 patients (30.6%). </w:t>
      </w:r>
      <w:r>
        <w:fldChar w:fldCharType="begin"/>
      </w:r>
      <w:r>
        <w:instrText xml:space="preserve"> REF _Ref109383243 \h </w:instrText>
      </w:r>
      <w:r>
        <w:fldChar w:fldCharType="separate"/>
      </w:r>
      <w:r>
        <w:t>Table 4</w:t>
      </w:r>
      <w:r>
        <w:fldChar w:fldCharType="end"/>
      </w:r>
      <w:r>
        <w:t xml:space="preserve"> displays patient disposition. Due to quality issues with the PD-L1 testing there were three efficacy analyses populations (intent to treat populations), and two modified intent to treat </w:t>
      </w:r>
      <w:r w:rsidR="0000250B">
        <w:t xml:space="preserve">populations </w:t>
      </w:r>
      <w:r>
        <w:t>based on subsequent PD-L1 testing (</w:t>
      </w:r>
      <w:r w:rsidR="0000250B">
        <w:t xml:space="preserve">see </w:t>
      </w:r>
      <w:r>
        <w:fldChar w:fldCharType="begin"/>
      </w:r>
      <w:r>
        <w:instrText xml:space="preserve"> REF _Ref110246206 \h </w:instrText>
      </w:r>
      <w:r>
        <w:fldChar w:fldCharType="separate"/>
      </w:r>
      <w:r>
        <w:t>Figure 1</w:t>
      </w:r>
      <w:r>
        <w:fldChar w:fldCharType="end"/>
      </w:r>
      <w:r>
        <w:t>).</w:t>
      </w:r>
    </w:p>
    <w:p w14:paraId="5299993C" w14:textId="6E6D7D07" w:rsidR="00DC0A0B" w:rsidRDefault="00BE359B">
      <w:pPr>
        <w:pStyle w:val="TableTitle"/>
      </w:pPr>
      <w:bookmarkStart w:id="25" w:name="_Ref109383243"/>
      <w:r>
        <w:lastRenderedPageBreak/>
        <w:t xml:space="preserve">Table </w:t>
      </w:r>
      <w:r w:rsidR="00E12242">
        <w:fldChar w:fldCharType="begin"/>
      </w:r>
      <w:r w:rsidR="00E12242">
        <w:instrText xml:space="preserve"> SEQ Table \* ARABIC </w:instrText>
      </w:r>
      <w:r w:rsidR="00E12242">
        <w:fldChar w:fldCharType="separate"/>
      </w:r>
      <w:r>
        <w:t>4</w:t>
      </w:r>
      <w:r w:rsidR="00E12242">
        <w:fldChar w:fldCharType="end"/>
      </w:r>
      <w:bookmarkEnd w:id="25"/>
      <w:r>
        <w:t xml:space="preserve">: </w:t>
      </w:r>
      <w:r w:rsidR="0000250B">
        <w:t xml:space="preserve">Study R2810-ONC-1624 </w:t>
      </w:r>
      <w:r>
        <w:t>Patient disposition (intent to treat population)</w:t>
      </w:r>
    </w:p>
    <w:p w14:paraId="4C6E6C00" w14:textId="3CFE157D" w:rsidR="00DC0A0B" w:rsidRDefault="00BE359B">
      <w:pPr>
        <w:pStyle w:val="TableTitle"/>
      </w:pPr>
      <w:r>
        <w:rPr>
          <w:noProof/>
          <w:lang w:val="en-GB" w:eastAsia="en-GB"/>
        </w:rPr>
        <w:drawing>
          <wp:inline distT="0" distB="0" distL="0" distR="0" wp14:anchorId="7394C35D" wp14:editId="41A7DFB0">
            <wp:extent cx="4905375" cy="3258973"/>
            <wp:effectExtent l="0" t="0" r="0" b="0"/>
            <wp:docPr id="18" name="Picture 18" descr="Patient disposition (intent to treat population)"/>
            <wp:cNvGraphicFramePr/>
            <a:graphic xmlns:a="http://schemas.openxmlformats.org/drawingml/2006/main">
              <a:graphicData uri="http://schemas.openxmlformats.org/drawingml/2006/picture">
                <pic:pic xmlns:pic="http://schemas.openxmlformats.org/drawingml/2006/picture">
                  <pic:nvPicPr>
                    <pic:cNvPr id="18" name="Picture 18" descr="Patient disposition (intent to treat population)"/>
                    <pic:cNvPicPr/>
                  </pic:nvPicPr>
                  <pic:blipFill rotWithShape="1">
                    <a:blip r:embed="rId18"/>
                    <a:srcRect t="5536"/>
                    <a:stretch/>
                  </pic:blipFill>
                  <pic:spPr bwMode="auto">
                    <a:xfrm>
                      <a:off x="0" y="0"/>
                      <a:ext cx="4905375" cy="325897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val="en-GB" w:eastAsia="en-GB"/>
        </w:rPr>
        <w:drawing>
          <wp:inline distT="0" distB="0" distL="0" distR="0" wp14:anchorId="639DCA16" wp14:editId="7C86086C">
            <wp:extent cx="4862195" cy="1620456"/>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rotWithShape="1">
                    <a:blip r:embed="rId19"/>
                    <a:srcRect b="11393"/>
                    <a:stretch/>
                  </pic:blipFill>
                  <pic:spPr bwMode="auto">
                    <a:xfrm>
                      <a:off x="0" y="0"/>
                      <a:ext cx="4862195" cy="1620456"/>
                    </a:xfrm>
                    <a:prstGeom prst="rect">
                      <a:avLst/>
                    </a:prstGeom>
                    <a:ln>
                      <a:noFill/>
                    </a:ln>
                    <a:extLst>
                      <a:ext uri="{53640926-AAD7-44D8-BBD7-CCE9431645EC}">
                        <a14:shadowObscured xmlns:a14="http://schemas.microsoft.com/office/drawing/2010/main"/>
                      </a:ext>
                    </a:extLst>
                  </pic:spPr>
                </pic:pic>
              </a:graphicData>
            </a:graphic>
          </wp:inline>
        </w:drawing>
      </w:r>
    </w:p>
    <w:p w14:paraId="7A8B38CB" w14:textId="44C5B365" w:rsidR="00DC0A0B" w:rsidRDefault="00BE359B">
      <w:pPr>
        <w:pStyle w:val="FigureTitle"/>
      </w:pPr>
      <w:bookmarkStart w:id="26" w:name="_Ref110246206"/>
      <w:r>
        <w:t xml:space="preserve">Figure </w:t>
      </w:r>
      <w:r w:rsidR="00E12242">
        <w:fldChar w:fldCharType="begin"/>
      </w:r>
      <w:r w:rsidR="00E12242">
        <w:instrText xml:space="preserve"> SEQ Figure \* ARABIC </w:instrText>
      </w:r>
      <w:r w:rsidR="00E12242">
        <w:fldChar w:fldCharType="separate"/>
      </w:r>
      <w:r>
        <w:t>1</w:t>
      </w:r>
      <w:r w:rsidR="00E12242">
        <w:fldChar w:fldCharType="end"/>
      </w:r>
      <w:bookmarkEnd w:id="26"/>
      <w:r>
        <w:t>:</w:t>
      </w:r>
      <w:r w:rsidR="0000250B">
        <w:t xml:space="preserve"> Study R2810-ONC-1624 </w:t>
      </w:r>
      <w:r>
        <w:t xml:space="preserve">Patient disposition by programmed death-ligand 1 </w:t>
      </w:r>
      <w:r w:rsidR="0000250B">
        <w:t xml:space="preserve">(PD-L1) </w:t>
      </w:r>
      <w:r>
        <w:t>testing status and retest</w:t>
      </w:r>
      <w:r w:rsidR="0000250B">
        <w:t>ing</w:t>
      </w:r>
    </w:p>
    <w:p w14:paraId="4AAEE660" w14:textId="2B1559AF" w:rsidR="00DC0A0B" w:rsidRDefault="00BE359B">
      <w:r>
        <w:rPr>
          <w:noProof/>
          <w:lang w:val="en-GB" w:eastAsia="en-GB"/>
        </w:rPr>
        <w:drawing>
          <wp:inline distT="0" distB="0" distL="0" distR="0" wp14:anchorId="0D1BAEF6" wp14:editId="6F176A7E">
            <wp:extent cx="4409321" cy="2332298"/>
            <wp:effectExtent l="0" t="0" r="0" b="0"/>
            <wp:docPr id="21" name="Picture 21" descr="Patient disposition by programmed death-ligand 1 testing status and retest"/>
            <wp:cNvGraphicFramePr/>
            <a:graphic xmlns:a="http://schemas.openxmlformats.org/drawingml/2006/main">
              <a:graphicData uri="http://schemas.openxmlformats.org/drawingml/2006/picture">
                <pic:pic xmlns:pic="http://schemas.openxmlformats.org/drawingml/2006/picture">
                  <pic:nvPicPr>
                    <pic:cNvPr id="21" name="Picture 21" descr="Patient disposition by programmed death-ligand 1 testing status and retest"/>
                    <pic:cNvPicPr/>
                  </pic:nvPicPr>
                  <pic:blipFill rotWithShape="1">
                    <a:blip r:embed="rId20"/>
                    <a:srcRect t="8083" b="8476"/>
                    <a:stretch/>
                  </pic:blipFill>
                  <pic:spPr bwMode="auto">
                    <a:xfrm>
                      <a:off x="0" y="0"/>
                      <a:ext cx="4423699" cy="2339903"/>
                    </a:xfrm>
                    <a:prstGeom prst="rect">
                      <a:avLst/>
                    </a:prstGeom>
                    <a:ln>
                      <a:noFill/>
                    </a:ln>
                    <a:extLst>
                      <a:ext uri="{53640926-AAD7-44D8-BBD7-CCE9431645EC}">
                        <a14:shadowObscured xmlns:a14="http://schemas.microsoft.com/office/drawing/2010/main"/>
                      </a:ext>
                    </a:extLst>
                  </pic:spPr>
                </pic:pic>
              </a:graphicData>
            </a:graphic>
          </wp:inline>
        </w:drawing>
      </w:r>
    </w:p>
    <w:p w14:paraId="6D1E456B" w14:textId="15576FD6" w:rsidR="00DC0A0B" w:rsidRDefault="0000250B">
      <w:pPr>
        <w:pStyle w:val="FigureDescription"/>
      </w:pPr>
      <w:r>
        <w:t xml:space="preserve">Abbreviations: </w:t>
      </w:r>
      <w:r w:rsidR="00BE359B">
        <w:t xml:space="preserve">ITT = intent to treat, </w:t>
      </w:r>
      <w:proofErr w:type="spellStart"/>
      <w:r w:rsidR="00BE359B">
        <w:t>mITT</w:t>
      </w:r>
      <w:proofErr w:type="spellEnd"/>
      <w:r w:rsidR="00BE359B">
        <w:t xml:space="preserve"> = modified intent to treat; PD-L1 = programmed cell death ligand 1; pts = patients.</w:t>
      </w:r>
    </w:p>
    <w:p w14:paraId="0F2E895B" w14:textId="0F06AA5A" w:rsidR="00DC0A0B" w:rsidRDefault="00BE359B">
      <w:r>
        <w:t xml:space="preserve">For the intent to treat population, </w:t>
      </w:r>
      <w:r w:rsidR="0000250B">
        <w:t xml:space="preserve">the </w:t>
      </w:r>
      <w:r>
        <w:t xml:space="preserve">median age was 63 years, 85.4% were male, 85.4% were </w:t>
      </w:r>
      <w:r w:rsidR="0000250B">
        <w:t>W</w:t>
      </w:r>
      <w:r>
        <w:t xml:space="preserve">hite and 64.4% were past smokers. </w:t>
      </w:r>
      <w:r w:rsidR="0000250B">
        <w:t>The majority (</w:t>
      </w:r>
      <w:r>
        <w:t>73%</w:t>
      </w:r>
      <w:r w:rsidR="0000250B">
        <w:t>)</w:t>
      </w:r>
      <w:r>
        <w:t xml:space="preserve"> had an ECOG PS of 1. </w:t>
      </w:r>
      <w:r w:rsidR="0000250B">
        <w:t>The majority were under 65 years of age (</w:t>
      </w:r>
      <w:r>
        <w:t>45.1% of patients were aged ≥ 65 years</w:t>
      </w:r>
      <w:r w:rsidR="0000250B">
        <w:t>)</w:t>
      </w:r>
      <w:r>
        <w:t xml:space="preserve">. </w:t>
      </w:r>
      <w:r w:rsidR="0000250B">
        <w:t xml:space="preserve">The </w:t>
      </w:r>
      <w:r w:rsidR="0000250B">
        <w:lastRenderedPageBreak/>
        <w:t>majority of patients (</w:t>
      </w:r>
      <w:r>
        <w:t>77.9%</w:t>
      </w:r>
      <w:r w:rsidR="0000250B">
        <w:t>) enrolled were</w:t>
      </w:r>
      <w:r>
        <w:t xml:space="preserve"> from Europe</w:t>
      </w:r>
      <w:r w:rsidR="0000250B">
        <w:t xml:space="preserve"> with</w:t>
      </w:r>
      <w:r>
        <w:t xml:space="preserve"> 10.8% from Asia. Demographic characteristics were similar between the treatment arms and were also similar to the </w:t>
      </w:r>
      <w:r w:rsidR="0000250B">
        <w:t>‘</w:t>
      </w:r>
      <w:r>
        <w:t>modified intent to treat-1</w:t>
      </w:r>
      <w:r w:rsidR="0000250B">
        <w:t>’</w:t>
      </w:r>
      <w:r>
        <w:t xml:space="preserve"> </w:t>
      </w:r>
      <w:r w:rsidR="0000250B">
        <w:t xml:space="preserve">population </w:t>
      </w:r>
      <w:r>
        <w:t xml:space="preserve">and </w:t>
      </w:r>
      <w:r w:rsidR="0000250B">
        <w:t>‘</w:t>
      </w:r>
      <w:r>
        <w:t>modified intent to treat-2</w:t>
      </w:r>
      <w:r w:rsidR="0000250B">
        <w:t>’</w:t>
      </w:r>
      <w:r>
        <w:t xml:space="preserve"> population.</w:t>
      </w:r>
    </w:p>
    <w:p w14:paraId="07581D69" w14:textId="2FDF9C2D" w:rsidR="00DC0A0B" w:rsidRDefault="00BE359B">
      <w:r>
        <w:t xml:space="preserve">Disease characteristics are summarised in </w:t>
      </w:r>
      <w:r>
        <w:fldChar w:fldCharType="begin"/>
      </w:r>
      <w:r>
        <w:instrText xml:space="preserve"> REF _Ref109384650 \h </w:instrText>
      </w:r>
      <w:r>
        <w:fldChar w:fldCharType="separate"/>
      </w:r>
      <w:r>
        <w:t>Table 5</w:t>
      </w:r>
      <w:r>
        <w:fldChar w:fldCharType="end"/>
      </w:r>
      <w:r w:rsidR="0000250B">
        <w:t>, shown below</w:t>
      </w:r>
      <w:r>
        <w:t xml:space="preserve">. </w:t>
      </w:r>
      <w:r w:rsidR="0000250B">
        <w:t>The majority (</w:t>
      </w:r>
      <w:r>
        <w:t>84%</w:t>
      </w:r>
      <w:r w:rsidR="0000250B">
        <w:t>)</w:t>
      </w:r>
      <w:r>
        <w:t xml:space="preserve"> had metastatic disease and 16% had </w:t>
      </w:r>
      <w:r w:rsidR="0000250B">
        <w:t>S</w:t>
      </w:r>
      <w:r>
        <w:t>tage IIIB or IIIC disease</w:t>
      </w:r>
      <w:r w:rsidR="0000250B">
        <w:t>;</w:t>
      </w:r>
      <w:r w:rsidR="0000250B" w:rsidRPr="004A22ED">
        <w:rPr>
          <w:vertAlign w:val="superscript"/>
        </w:rPr>
        <w:fldChar w:fldCharType="begin"/>
      </w:r>
      <w:r w:rsidR="0000250B" w:rsidRPr="004A22ED">
        <w:rPr>
          <w:vertAlign w:val="superscript"/>
        </w:rPr>
        <w:instrText xml:space="preserve"> NOTEREF _Ref111553984 \h </w:instrText>
      </w:r>
      <w:r w:rsidR="0000250B">
        <w:rPr>
          <w:vertAlign w:val="superscript"/>
        </w:rPr>
        <w:instrText xml:space="preserve"> \* MERGEFORMAT </w:instrText>
      </w:r>
      <w:r w:rsidR="0000250B" w:rsidRPr="004A22ED">
        <w:rPr>
          <w:vertAlign w:val="superscript"/>
        </w:rPr>
      </w:r>
      <w:r w:rsidR="0000250B" w:rsidRPr="004A22ED">
        <w:rPr>
          <w:vertAlign w:val="superscript"/>
        </w:rPr>
        <w:fldChar w:fldCharType="separate"/>
      </w:r>
      <w:r w:rsidR="0000250B" w:rsidRPr="004A22ED">
        <w:rPr>
          <w:vertAlign w:val="superscript"/>
        </w:rPr>
        <w:t>1</w:t>
      </w:r>
      <w:r w:rsidR="0000250B" w:rsidRPr="004A22ED">
        <w:rPr>
          <w:vertAlign w:val="superscript"/>
        </w:rPr>
        <w:fldChar w:fldCharType="end"/>
      </w:r>
      <w:r>
        <w:t xml:space="preserve"> and were not candidates for surgical resection or definitive chemoradiation per investigator assessment; 56% had non-squamous and 44% had squamous histology; and 12% had history of treated brain metastases at </w:t>
      </w:r>
      <w:r w:rsidR="00C247EF">
        <w:t>B</w:t>
      </w:r>
      <w:r>
        <w:t xml:space="preserve">aseline. The intent to treat population included 56 patients (29 in the </w:t>
      </w:r>
      <w:proofErr w:type="spellStart"/>
      <w:r>
        <w:t>cemiplimab</w:t>
      </w:r>
      <w:proofErr w:type="spellEnd"/>
      <w:r>
        <w:t xml:space="preserve"> arm and 27 in the chemotherapy arm) with PD-L1 expression levels &lt; 50% and 91 patients (</w:t>
      </w:r>
      <w:proofErr w:type="spellStart"/>
      <w:r>
        <w:t>cemiplimab</w:t>
      </w:r>
      <w:proofErr w:type="spellEnd"/>
      <w:r>
        <w:t xml:space="preserve"> arm: 44 patients, chemotherapy arm: 47 patients) with an unknown PD-L1 expression status. These patients were included in the study because of a PD-L1 expression testing error. Overall, 23.1% (164 out of 710) of patients in the intent to treat population received prior cancer related therapy, mostly in the form of radiotherapy (122 out of 710 </w:t>
      </w:r>
      <w:r w:rsidR="00C247EF">
        <w:t>(</w:t>
      </w:r>
      <w:r>
        <w:t>17.2%</w:t>
      </w:r>
      <w:r w:rsidR="00C247EF">
        <w:t>)</w:t>
      </w:r>
      <w:r>
        <w:t>) (</w:t>
      </w:r>
      <w:r w:rsidR="00C247EF">
        <w:t xml:space="preserve">see </w:t>
      </w:r>
      <w:r>
        <w:fldChar w:fldCharType="begin"/>
      </w:r>
      <w:r>
        <w:instrText xml:space="preserve"> REF _Ref109388438 \h </w:instrText>
      </w:r>
      <w:r>
        <w:fldChar w:fldCharType="separate"/>
      </w:r>
      <w:r>
        <w:t>Table 6</w:t>
      </w:r>
      <w:r>
        <w:fldChar w:fldCharType="end"/>
      </w:r>
      <w:r w:rsidR="00C247EF">
        <w:t xml:space="preserve"> below</w:t>
      </w:r>
      <w:r>
        <w:t>).</w:t>
      </w:r>
    </w:p>
    <w:p w14:paraId="05E166AA" w14:textId="30773367" w:rsidR="00DC0A0B" w:rsidRDefault="00BE359B">
      <w:pPr>
        <w:pStyle w:val="Tabletitle0"/>
      </w:pPr>
      <w:bookmarkStart w:id="27" w:name="_Ref109384650"/>
      <w:r>
        <w:t xml:space="preserve">Table </w:t>
      </w:r>
      <w:r w:rsidR="00E12242">
        <w:fldChar w:fldCharType="begin"/>
      </w:r>
      <w:r w:rsidR="00E12242">
        <w:instrText xml:space="preserve"> SEQ Table \* ARA</w:instrText>
      </w:r>
      <w:r w:rsidR="00E12242">
        <w:instrText xml:space="preserve">BIC </w:instrText>
      </w:r>
      <w:r w:rsidR="00E12242">
        <w:fldChar w:fldCharType="separate"/>
      </w:r>
      <w:r>
        <w:t>5</w:t>
      </w:r>
      <w:r w:rsidR="00E12242">
        <w:fldChar w:fldCharType="end"/>
      </w:r>
      <w:bookmarkEnd w:id="27"/>
      <w:r>
        <w:t xml:space="preserve">: </w:t>
      </w:r>
      <w:r w:rsidR="00C247EF">
        <w:t xml:space="preserve">Study R2810-ONC-1624 </w:t>
      </w:r>
      <w:r>
        <w:t>Summary of baseline disease characteristics (full</w:t>
      </w:r>
      <w:r w:rsidR="00C247EF">
        <w:t> </w:t>
      </w:r>
      <w:r>
        <w:t>analysis set)</w:t>
      </w:r>
    </w:p>
    <w:p w14:paraId="5A0EF708" w14:textId="4390CAA4" w:rsidR="00DC0A0B" w:rsidRDefault="00BE359B">
      <w:pPr>
        <w:pStyle w:val="TableDescription"/>
      </w:pPr>
      <w:r>
        <w:rPr>
          <w:noProof/>
          <w:lang w:val="en-GB" w:eastAsia="en-GB"/>
        </w:rPr>
        <w:drawing>
          <wp:inline distT="0" distB="0" distL="0" distR="0" wp14:anchorId="7AB05E6A" wp14:editId="24ED7888">
            <wp:extent cx="5400040" cy="2127526"/>
            <wp:effectExtent l="0" t="0" r="0" b="6350"/>
            <wp:docPr id="26" name="Picture 26" descr="Summary of baseline disease characteristics"/>
            <wp:cNvGraphicFramePr/>
            <a:graphic xmlns:a="http://schemas.openxmlformats.org/drawingml/2006/main">
              <a:graphicData uri="http://schemas.openxmlformats.org/drawingml/2006/picture">
                <pic:pic xmlns:pic="http://schemas.openxmlformats.org/drawingml/2006/picture">
                  <pic:nvPicPr>
                    <pic:cNvPr id="26" name="Picture 26" descr="Summary of baseline disease characteristics"/>
                    <pic:cNvPicPr/>
                  </pic:nvPicPr>
                  <pic:blipFill rotWithShape="1">
                    <a:blip r:embed="rId21"/>
                    <a:srcRect t="8857"/>
                    <a:stretch/>
                  </pic:blipFill>
                  <pic:spPr bwMode="auto">
                    <a:xfrm>
                      <a:off x="0" y="0"/>
                      <a:ext cx="5400040" cy="2127526"/>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val="en-GB" w:eastAsia="en-GB"/>
        </w:rPr>
        <w:drawing>
          <wp:inline distT="0" distB="0" distL="0" distR="0" wp14:anchorId="4B5D7F91" wp14:editId="74855306">
            <wp:extent cx="5400040" cy="189166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2"/>
                    <a:stretch>
                      <a:fillRect/>
                    </a:stretch>
                  </pic:blipFill>
                  <pic:spPr>
                    <a:xfrm>
                      <a:off x="0" y="0"/>
                      <a:ext cx="5400040" cy="1891665"/>
                    </a:xfrm>
                    <a:prstGeom prst="rect">
                      <a:avLst/>
                    </a:prstGeom>
                  </pic:spPr>
                </pic:pic>
              </a:graphicData>
            </a:graphic>
          </wp:inline>
        </w:drawing>
      </w:r>
      <w:r>
        <w:t xml:space="preserve"> </w:t>
      </w:r>
      <w:r>
        <w:rPr>
          <w:noProof/>
          <w:lang w:val="en-GB" w:eastAsia="en-GB"/>
        </w:rPr>
        <w:lastRenderedPageBreak/>
        <w:drawing>
          <wp:inline distT="0" distB="0" distL="0" distR="0" wp14:anchorId="0D12CEE9" wp14:editId="175A2497">
            <wp:extent cx="5400040" cy="205740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3"/>
                    <a:stretch>
                      <a:fillRect/>
                    </a:stretch>
                  </pic:blipFill>
                  <pic:spPr>
                    <a:xfrm>
                      <a:off x="0" y="0"/>
                      <a:ext cx="5400040" cy="2057400"/>
                    </a:xfrm>
                    <a:prstGeom prst="rect">
                      <a:avLst/>
                    </a:prstGeom>
                  </pic:spPr>
                </pic:pic>
              </a:graphicData>
            </a:graphic>
          </wp:inline>
        </w:drawing>
      </w:r>
      <w:r>
        <w:t xml:space="preserve"> </w:t>
      </w:r>
      <w:r>
        <w:rPr>
          <w:noProof/>
          <w:lang w:val="en-GB" w:eastAsia="en-GB"/>
        </w:rPr>
        <w:drawing>
          <wp:inline distT="0" distB="0" distL="0" distR="0" wp14:anchorId="30435BF4" wp14:editId="443EFF7B">
            <wp:extent cx="5400040" cy="203898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4"/>
                    <a:stretch>
                      <a:fillRect/>
                    </a:stretch>
                  </pic:blipFill>
                  <pic:spPr>
                    <a:xfrm>
                      <a:off x="0" y="0"/>
                      <a:ext cx="5400040" cy="2038985"/>
                    </a:xfrm>
                    <a:prstGeom prst="rect">
                      <a:avLst/>
                    </a:prstGeom>
                  </pic:spPr>
                </pic:pic>
              </a:graphicData>
            </a:graphic>
          </wp:inline>
        </w:drawing>
      </w:r>
      <w:r>
        <w:t xml:space="preserve"> </w:t>
      </w:r>
      <w:r>
        <w:rPr>
          <w:noProof/>
          <w:lang w:val="en-GB" w:eastAsia="en-GB"/>
        </w:rPr>
        <w:drawing>
          <wp:inline distT="0" distB="0" distL="0" distR="0" wp14:anchorId="7BB31203" wp14:editId="669660EC">
            <wp:extent cx="5400040" cy="1363980"/>
            <wp:effectExtent l="0" t="0" r="0" b="762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5"/>
                    <a:stretch>
                      <a:fillRect/>
                    </a:stretch>
                  </pic:blipFill>
                  <pic:spPr>
                    <a:xfrm>
                      <a:off x="0" y="0"/>
                      <a:ext cx="5400040" cy="1363980"/>
                    </a:xfrm>
                    <a:prstGeom prst="rect">
                      <a:avLst/>
                    </a:prstGeom>
                  </pic:spPr>
                </pic:pic>
              </a:graphicData>
            </a:graphic>
          </wp:inline>
        </w:drawing>
      </w:r>
      <w:r>
        <w:t xml:space="preserve"> </w:t>
      </w:r>
      <w:r>
        <w:rPr>
          <w:noProof/>
          <w:lang w:val="en-GB" w:eastAsia="en-GB"/>
        </w:rPr>
        <w:drawing>
          <wp:inline distT="0" distB="0" distL="0" distR="0" wp14:anchorId="4B155D47" wp14:editId="45D4F437">
            <wp:extent cx="5400040" cy="64897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26"/>
                    <a:srcRect b="75275"/>
                    <a:stretch/>
                  </pic:blipFill>
                  <pic:spPr bwMode="auto">
                    <a:xfrm>
                      <a:off x="0" y="0"/>
                      <a:ext cx="5400040" cy="64897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0D28343F" w14:textId="06AD6624" w:rsidR="00DC0A0B" w:rsidRDefault="00BE359B">
      <w:pPr>
        <w:pStyle w:val="TableDescription"/>
      </w:pPr>
      <w:r>
        <w:t>Data cut</w:t>
      </w:r>
      <w:r w:rsidR="00C247EF">
        <w:t>-</w:t>
      </w:r>
      <w:r>
        <w:t>off as of 1 March 2020</w:t>
      </w:r>
      <w:r w:rsidR="00C247EF">
        <w:t>.</w:t>
      </w:r>
    </w:p>
    <w:p w14:paraId="45342CFF" w14:textId="7EBCBBCB" w:rsidR="00C247EF" w:rsidRDefault="00C247EF">
      <w:pPr>
        <w:pStyle w:val="TableDescription"/>
      </w:pPr>
      <w:r>
        <w:t xml:space="preserve">Abbreviations: M = metastases; min = minimum; max = maximum; N = (lymph) node; Q1 = first quartile; Q3 = third quartile; SD = standard deviation; T = tumour; </w:t>
      </w:r>
    </w:p>
    <w:p w14:paraId="15565E62" w14:textId="467B42B7" w:rsidR="00DC0A0B" w:rsidRDefault="00BE359B">
      <w:pPr>
        <w:pStyle w:val="TableDescription"/>
      </w:pPr>
      <w:r>
        <w:t>a) Time from initial diagnosis to randomisation (months) = (Date of randomisation – Date of initial diagnosis)/30.4375</w:t>
      </w:r>
    </w:p>
    <w:p w14:paraId="01BB37DB" w14:textId="15BC75FD" w:rsidR="00DC0A0B" w:rsidRDefault="00BE359B">
      <w:pPr>
        <w:pStyle w:val="TableDescription"/>
      </w:pPr>
      <w:r>
        <w:t>b) Time from most recent relapse/recurrence to randomisation (months) = (date of randomisation – date of most recent relapse/recurrence)/30.4375</w:t>
      </w:r>
    </w:p>
    <w:p w14:paraId="7A072FC4" w14:textId="335D6923" w:rsidR="00DC0A0B" w:rsidRDefault="00BE359B">
      <w:pPr>
        <w:pStyle w:val="TableTitle"/>
      </w:pPr>
      <w:bookmarkStart w:id="28" w:name="_Ref109388438"/>
      <w:r>
        <w:lastRenderedPageBreak/>
        <w:t xml:space="preserve">Table </w:t>
      </w:r>
      <w:r w:rsidR="00E12242">
        <w:fldChar w:fldCharType="begin"/>
      </w:r>
      <w:r w:rsidR="00E12242">
        <w:instrText xml:space="preserve"> SEQ Table \* ARABIC </w:instrText>
      </w:r>
      <w:r w:rsidR="00E12242">
        <w:fldChar w:fldCharType="separate"/>
      </w:r>
      <w:r>
        <w:t>6</w:t>
      </w:r>
      <w:r w:rsidR="00E12242">
        <w:fldChar w:fldCharType="end"/>
      </w:r>
      <w:bookmarkEnd w:id="28"/>
      <w:r>
        <w:t xml:space="preserve">: </w:t>
      </w:r>
      <w:r w:rsidR="00C247EF">
        <w:t xml:space="preserve">Study R2810-ONC-1624 </w:t>
      </w:r>
      <w:r>
        <w:t>Summary of prior therapy for the intent to treat population</w:t>
      </w:r>
    </w:p>
    <w:p w14:paraId="636ED030" w14:textId="77777777" w:rsidR="00C247EF" w:rsidRDefault="00BE359B">
      <w:pPr>
        <w:pStyle w:val="TableDescription"/>
      </w:pPr>
      <w:r>
        <w:rPr>
          <w:noProof/>
          <w:lang w:val="en-GB" w:eastAsia="en-GB"/>
        </w:rPr>
        <w:drawing>
          <wp:inline distT="0" distB="0" distL="0" distR="0" wp14:anchorId="533957E6" wp14:editId="5C7ABBBA">
            <wp:extent cx="5249119" cy="3541853"/>
            <wp:effectExtent l="0" t="0" r="8890" b="1905"/>
            <wp:docPr id="33" name="Picture 33" descr="Summary of prior therapy for the intent to treat population"/>
            <wp:cNvGraphicFramePr/>
            <a:graphic xmlns:a="http://schemas.openxmlformats.org/drawingml/2006/main">
              <a:graphicData uri="http://schemas.openxmlformats.org/drawingml/2006/picture">
                <pic:pic xmlns:pic="http://schemas.openxmlformats.org/drawingml/2006/picture">
                  <pic:nvPicPr>
                    <pic:cNvPr id="33" name="Picture 33" descr="Summary of prior therapy for the intent to treat population"/>
                    <pic:cNvPicPr/>
                  </pic:nvPicPr>
                  <pic:blipFill rotWithShape="1">
                    <a:blip r:embed="rId27"/>
                    <a:srcRect l="-10" t="4805" r="10" b="14506"/>
                    <a:stretch/>
                  </pic:blipFill>
                  <pic:spPr bwMode="auto">
                    <a:xfrm>
                      <a:off x="0" y="0"/>
                      <a:ext cx="5252405" cy="3544070"/>
                    </a:xfrm>
                    <a:prstGeom prst="rect">
                      <a:avLst/>
                    </a:prstGeom>
                    <a:ln>
                      <a:noFill/>
                    </a:ln>
                    <a:extLst>
                      <a:ext uri="{53640926-AAD7-44D8-BBD7-CCE9431645EC}">
                        <a14:shadowObscured xmlns:a14="http://schemas.microsoft.com/office/drawing/2010/main"/>
                      </a:ext>
                    </a:extLst>
                  </pic:spPr>
                </pic:pic>
              </a:graphicData>
            </a:graphic>
          </wp:inline>
        </w:drawing>
      </w:r>
    </w:p>
    <w:p w14:paraId="5F235A8A" w14:textId="6B227CD8" w:rsidR="00C247EF" w:rsidRDefault="00C247EF">
      <w:pPr>
        <w:pStyle w:val="TableDescription"/>
      </w:pPr>
      <w:r>
        <w:t xml:space="preserve">Abbreviations: ITT = intent to treat, max = maximum, min = minimum, </w:t>
      </w:r>
      <w:proofErr w:type="spellStart"/>
      <w:r>
        <w:t>SDv</w:t>
      </w:r>
      <w:proofErr w:type="spellEnd"/>
      <w:r>
        <w:t xml:space="preserve"> = standard deviation.</w:t>
      </w:r>
    </w:p>
    <w:p w14:paraId="01AD3B4E" w14:textId="36E73685" w:rsidR="00DC0A0B" w:rsidRDefault="00BE359B">
      <w:pPr>
        <w:pStyle w:val="TableDescription"/>
      </w:pPr>
      <w:proofErr w:type="spellStart"/>
      <w:r>
        <w:t>a</w:t>
      </w:r>
      <w:proofErr w:type="spellEnd"/>
      <w:r>
        <w:t xml:space="preserve"> Any prior cancer related therapy includes patients who have had systemic therapy, surgery (excluding diagnostic procedures) or radiotherapy.</w:t>
      </w:r>
    </w:p>
    <w:p w14:paraId="3B68F13E" w14:textId="00FECA67" w:rsidR="00DC0A0B" w:rsidRDefault="00BE359B">
      <w:pPr>
        <w:pStyle w:val="TableDescription"/>
      </w:pPr>
      <w:r>
        <w:t>b Prior cancer related surgery excludes diagnostic procedures.</w:t>
      </w:r>
    </w:p>
    <w:p w14:paraId="5A6D0535" w14:textId="12E4A23E" w:rsidR="00DC0A0B" w:rsidRDefault="00BE359B">
      <w:r>
        <w:t>The median duration of follow up, as of the data cut</w:t>
      </w:r>
      <w:r w:rsidR="00C247EF">
        <w:t>-</w:t>
      </w:r>
      <w:r>
        <w:t xml:space="preserve">off, was 13.09 months in the </w:t>
      </w:r>
      <w:proofErr w:type="spellStart"/>
      <w:r>
        <w:t>cemiplimab</w:t>
      </w:r>
      <w:proofErr w:type="spellEnd"/>
      <w:r>
        <w:t xml:space="preserve"> arm and 13.08 months in the chemotherapy arm. The Kaplan-Meier curve for </w:t>
      </w:r>
      <w:r w:rsidR="00C247EF">
        <w:t xml:space="preserve">overall survival </w:t>
      </w:r>
      <w:r>
        <w:t xml:space="preserve">is shown in </w:t>
      </w:r>
      <w:r>
        <w:fldChar w:fldCharType="begin"/>
      </w:r>
      <w:r>
        <w:instrText xml:space="preserve"> REF _Ref109388514 \h </w:instrText>
      </w:r>
      <w:r>
        <w:fldChar w:fldCharType="separate"/>
      </w:r>
      <w:r>
        <w:t>Figure 2</w:t>
      </w:r>
      <w:r>
        <w:fldChar w:fldCharType="end"/>
      </w:r>
      <w:r>
        <w:t xml:space="preserve">. At </w:t>
      </w:r>
      <w:r w:rsidR="00C247EF">
        <w:t xml:space="preserve">the </w:t>
      </w:r>
      <w:r>
        <w:t>data cut</w:t>
      </w:r>
      <w:r w:rsidR="00C247EF">
        <w:t>-</w:t>
      </w:r>
      <w:r>
        <w:t xml:space="preserve">off </w:t>
      </w:r>
      <w:r w:rsidR="00C247EF">
        <w:t xml:space="preserve">of </w:t>
      </w:r>
      <w:r>
        <w:t xml:space="preserve">1 March 2020 a total of 249 deaths had occurred, 108 (30.3%) in the </w:t>
      </w:r>
      <w:proofErr w:type="spellStart"/>
      <w:r>
        <w:t>cemiplimab</w:t>
      </w:r>
      <w:proofErr w:type="spellEnd"/>
      <w:r>
        <w:t xml:space="preserve"> arm and 141 (39.8%) in the chemotherapy arm. The median duration of survival was 22.1 (95% </w:t>
      </w:r>
      <w:r w:rsidR="00C247EF">
        <w:t>confidence interval (</w:t>
      </w:r>
      <w:r>
        <w:t>CI</w:t>
      </w:r>
      <w:r w:rsidR="00C247EF">
        <w:t>)</w:t>
      </w:r>
      <w:r>
        <w:t xml:space="preserve">: 17.7, not evaluable) months in the </w:t>
      </w:r>
      <w:proofErr w:type="spellStart"/>
      <w:r>
        <w:t>cemiplimab</w:t>
      </w:r>
      <w:proofErr w:type="spellEnd"/>
      <w:r>
        <w:t xml:space="preserve"> arm versus 14.3 (95% CI: 11.7, 19.2) months in the chemotherapy arm. The estimated hazard ratio was 0.676 (95% CI: 0.525, 0.870), representing a 32% reduction in the risk of death. The p-value was 0.0022, which crossed the pre-specified statistical alpha-boundary for threshold (0.00255).</w:t>
      </w:r>
    </w:p>
    <w:p w14:paraId="30FC585E" w14:textId="22941F46" w:rsidR="00DC0A0B" w:rsidRDefault="00BE359B">
      <w:pPr>
        <w:pStyle w:val="FigureTitle"/>
      </w:pPr>
      <w:bookmarkStart w:id="29" w:name="_Ref109388514"/>
      <w:r>
        <w:lastRenderedPageBreak/>
        <w:t xml:space="preserve">Figure </w:t>
      </w:r>
      <w:r w:rsidR="00E12242">
        <w:fldChar w:fldCharType="begin"/>
      </w:r>
      <w:r w:rsidR="00E12242">
        <w:instrText xml:space="preserve"> SEQ Figure \* ARABIC </w:instrText>
      </w:r>
      <w:r w:rsidR="00E12242">
        <w:fldChar w:fldCharType="separate"/>
      </w:r>
      <w:r>
        <w:t>2</w:t>
      </w:r>
      <w:r w:rsidR="00E12242">
        <w:fldChar w:fldCharType="end"/>
      </w:r>
      <w:bookmarkEnd w:id="29"/>
      <w:r>
        <w:t xml:space="preserve">: </w:t>
      </w:r>
      <w:r w:rsidR="00C247EF">
        <w:t xml:space="preserve">Study R2810-ONC-1624 </w:t>
      </w:r>
      <w:r>
        <w:t>Kaplan-Meier plot for the primary analysis of overall survival in the intent to treat population</w:t>
      </w:r>
    </w:p>
    <w:p w14:paraId="59C68A5E" w14:textId="2B489461" w:rsidR="00DC0A0B" w:rsidRDefault="00BE359B">
      <w:r>
        <w:rPr>
          <w:noProof/>
          <w:lang w:val="en-GB" w:eastAsia="en-GB"/>
        </w:rPr>
        <w:drawing>
          <wp:inline distT="0" distB="0" distL="0" distR="0" wp14:anchorId="1A711CF7" wp14:editId="1FCB7A17">
            <wp:extent cx="5598543" cy="2613804"/>
            <wp:effectExtent l="0" t="0" r="2540" b="0"/>
            <wp:docPr id="37" name="Picture 37" descr="Kaplan-Meier plot for the primary analysis of overall survival in the intent to treat population"/>
            <wp:cNvGraphicFramePr/>
            <a:graphic xmlns:a="http://schemas.openxmlformats.org/drawingml/2006/main">
              <a:graphicData uri="http://schemas.openxmlformats.org/drawingml/2006/picture">
                <pic:pic xmlns:pic="http://schemas.openxmlformats.org/drawingml/2006/picture">
                  <pic:nvPicPr>
                    <pic:cNvPr id="37" name="Picture 37" descr="Kaplan-Meier plot for the primary analysis of overall survival in the intent to treat population"/>
                    <pic:cNvPicPr/>
                  </pic:nvPicPr>
                  <pic:blipFill rotWithShape="1">
                    <a:blip r:embed="rId28"/>
                    <a:srcRect l="1394" t="8053" r="634" b="12013"/>
                    <a:stretch/>
                  </pic:blipFill>
                  <pic:spPr bwMode="auto">
                    <a:xfrm>
                      <a:off x="0" y="0"/>
                      <a:ext cx="5664411" cy="2644556"/>
                    </a:xfrm>
                    <a:prstGeom prst="rect">
                      <a:avLst/>
                    </a:prstGeom>
                    <a:ln>
                      <a:noFill/>
                    </a:ln>
                    <a:extLst>
                      <a:ext uri="{53640926-AAD7-44D8-BBD7-CCE9431645EC}">
                        <a14:shadowObscured xmlns:a14="http://schemas.microsoft.com/office/drawing/2010/main"/>
                      </a:ext>
                    </a:extLst>
                  </pic:spPr>
                </pic:pic>
              </a:graphicData>
            </a:graphic>
          </wp:inline>
        </w:drawing>
      </w:r>
    </w:p>
    <w:p w14:paraId="40C7A258" w14:textId="376D8C0F" w:rsidR="00DC0A0B" w:rsidRDefault="00BE359B">
      <w:r>
        <w:t xml:space="preserve">Therefore, the co-primary endpoint of </w:t>
      </w:r>
      <w:r w:rsidR="00C247EF">
        <w:t xml:space="preserve">overall survival </w:t>
      </w:r>
      <w:r>
        <w:t xml:space="preserve">was met, demonstrating both a statistically and clinically meaningful improvement in </w:t>
      </w:r>
      <w:r w:rsidR="00C247EF">
        <w:t>overall survival</w:t>
      </w:r>
      <w:r>
        <w:t xml:space="preserve"> for the intent to treat population.</w:t>
      </w:r>
    </w:p>
    <w:p w14:paraId="45ABF0C5" w14:textId="44ADD214" w:rsidR="00DC0A0B" w:rsidRDefault="00BE359B">
      <w:r>
        <w:t>Overall survival was assessed in both the modified intent to treat-1</w:t>
      </w:r>
      <w:r w:rsidR="00C247EF">
        <w:t xml:space="preserve"> population</w:t>
      </w:r>
      <w:r>
        <w:t xml:space="preserve"> and </w:t>
      </w:r>
      <w:r w:rsidR="00C247EF">
        <w:t xml:space="preserve">the </w:t>
      </w:r>
      <w:r>
        <w:t>modified intent to treat-2 population. The results were consistent with those observed for the intent to treat population. For the modified intent to treat-1 population, the non</w:t>
      </w:r>
      <w:r w:rsidR="00C247EF">
        <w:noBreakHyphen/>
      </w:r>
      <w:r>
        <w:t xml:space="preserve">randomised and confirmed PD-L1 expression of ≥ 50% population, the </w:t>
      </w:r>
      <w:r w:rsidR="00C247EF">
        <w:t xml:space="preserve">hazard ratio </w:t>
      </w:r>
      <w:r>
        <w:t xml:space="preserve">was 0.566 (95% CI: 0.418, 0.767) in favour of </w:t>
      </w:r>
      <w:proofErr w:type="spellStart"/>
      <w:r>
        <w:t>cemiplimab</w:t>
      </w:r>
      <w:proofErr w:type="spellEnd"/>
      <w:r>
        <w:t xml:space="preserve">. The median survival was not reached for patient in the </w:t>
      </w:r>
      <w:proofErr w:type="spellStart"/>
      <w:r>
        <w:t>cemiplimab</w:t>
      </w:r>
      <w:proofErr w:type="spellEnd"/>
      <w:r>
        <w:t xml:space="preserve"> arm and 14.2 months for patients in the chemotherapy arm. For the modified intent to treat-2 population, the randomised patients unaffected by the PD-L1 testing, the </w:t>
      </w:r>
      <w:r w:rsidR="00C247EF">
        <w:t xml:space="preserve">hazard ratio </w:t>
      </w:r>
      <w:r>
        <w:t xml:space="preserve">was 0.569 (95% CI: 0.403, 0.804). The median survival was not reached for patient in the </w:t>
      </w:r>
      <w:proofErr w:type="spellStart"/>
      <w:r>
        <w:t>cemiplimab</w:t>
      </w:r>
      <w:proofErr w:type="spellEnd"/>
      <w:r>
        <w:t xml:space="preserve"> arm and 12.1 months for patients in the chemotherapy arm.</w:t>
      </w:r>
    </w:p>
    <w:p w14:paraId="7040977F" w14:textId="7BE4B9C7" w:rsidR="00DC0A0B" w:rsidRDefault="00BE359B">
      <w:r>
        <w:t xml:space="preserve">A total of 463 </w:t>
      </w:r>
      <w:r w:rsidR="00C247EF">
        <w:t xml:space="preserve">progression-free survival </w:t>
      </w:r>
      <w:r>
        <w:t xml:space="preserve">events occurred, 201 (57%) in the </w:t>
      </w:r>
      <w:proofErr w:type="spellStart"/>
      <w:r>
        <w:t>cemiplimab</w:t>
      </w:r>
      <w:proofErr w:type="spellEnd"/>
      <w:r>
        <w:t xml:space="preserve"> arm and 262 (74%) in the chemotherapy arm, </w:t>
      </w:r>
      <w:r w:rsidR="00C247EF">
        <w:t xml:space="preserve">hazard ratio </w:t>
      </w:r>
      <w:r>
        <w:t>0.59 (95%</w:t>
      </w:r>
      <w:r w:rsidR="00C247EF">
        <w:t xml:space="preserve"> </w:t>
      </w:r>
      <w:r>
        <w:t>CI 0.49, 0.72), p</w:t>
      </w:r>
      <w:r w:rsidR="00C247EF">
        <w:t> </w:t>
      </w:r>
      <w:r>
        <w:t xml:space="preserve">&lt; 0.0001. The median time to an event was 6.2 months in the </w:t>
      </w:r>
      <w:proofErr w:type="spellStart"/>
      <w:r>
        <w:t>cemiplimab</w:t>
      </w:r>
      <w:proofErr w:type="spellEnd"/>
      <w:r>
        <w:t xml:space="preserve"> arm and 5.6</w:t>
      </w:r>
      <w:r w:rsidR="00C247EF">
        <w:t> </w:t>
      </w:r>
      <w:r>
        <w:t xml:space="preserve">months in the chemotherapy arm. </w:t>
      </w:r>
      <w:r>
        <w:fldChar w:fldCharType="begin"/>
      </w:r>
      <w:r>
        <w:instrText xml:space="preserve"> REF _Ref109390648 \h </w:instrText>
      </w:r>
      <w:r>
        <w:fldChar w:fldCharType="separate"/>
      </w:r>
      <w:r>
        <w:t>Figure 3</w:t>
      </w:r>
      <w:r>
        <w:fldChar w:fldCharType="end"/>
      </w:r>
      <w:r>
        <w:t xml:space="preserve"> </w:t>
      </w:r>
      <w:r w:rsidR="00C247EF">
        <w:t xml:space="preserve">(shown below) </w:t>
      </w:r>
      <w:r>
        <w:t xml:space="preserve">shows the Kaplan-Meier curve for </w:t>
      </w:r>
      <w:r w:rsidR="00C247EF">
        <w:t>progression-free survival</w:t>
      </w:r>
      <w:r>
        <w:t xml:space="preserve">. The </w:t>
      </w:r>
      <w:r w:rsidR="00C247EF">
        <w:t xml:space="preserve">progression-free survival </w:t>
      </w:r>
      <w:r>
        <w:t xml:space="preserve">results for the modified intent to treat-1 </w:t>
      </w:r>
      <w:r w:rsidR="00C247EF">
        <w:t xml:space="preserve">population and the modified intent to treat-2 </w:t>
      </w:r>
      <w:r>
        <w:t>population were consistent with those observed for the intent to treat population.</w:t>
      </w:r>
    </w:p>
    <w:p w14:paraId="33364DA3" w14:textId="3E48507D" w:rsidR="00DC0A0B" w:rsidRDefault="00BE359B">
      <w:pPr>
        <w:pStyle w:val="FigureTitle"/>
      </w:pPr>
      <w:bookmarkStart w:id="30" w:name="_Ref109390648"/>
      <w:r>
        <w:lastRenderedPageBreak/>
        <w:t xml:space="preserve">Figure </w:t>
      </w:r>
      <w:r w:rsidR="00E12242">
        <w:fldChar w:fldCharType="begin"/>
      </w:r>
      <w:r w:rsidR="00E12242">
        <w:instrText xml:space="preserve"> SEQ Figure \* ARABIC </w:instrText>
      </w:r>
      <w:r w:rsidR="00E12242">
        <w:fldChar w:fldCharType="separate"/>
      </w:r>
      <w:r>
        <w:t>3</w:t>
      </w:r>
      <w:r w:rsidR="00E12242">
        <w:fldChar w:fldCharType="end"/>
      </w:r>
      <w:bookmarkEnd w:id="30"/>
      <w:r>
        <w:t xml:space="preserve">: </w:t>
      </w:r>
      <w:r w:rsidR="00C247EF">
        <w:t xml:space="preserve">Study R2810-ONC-1624 </w:t>
      </w:r>
      <w:r>
        <w:t>Kaplan-Meier plot for the primary analysis of overall survival in the intent to treat population</w:t>
      </w:r>
    </w:p>
    <w:p w14:paraId="48CB96D7" w14:textId="5CF558D8" w:rsidR="00DC0A0B" w:rsidRDefault="00BE359B">
      <w:pPr>
        <w:pStyle w:val="FigureTitle"/>
      </w:pPr>
      <w:r>
        <w:rPr>
          <w:noProof/>
          <w:lang w:val="en-GB" w:eastAsia="en-GB"/>
        </w:rPr>
        <w:drawing>
          <wp:inline distT="0" distB="0" distL="0" distR="0" wp14:anchorId="4B5E3986" wp14:editId="765D107D">
            <wp:extent cx="5300003" cy="2314937"/>
            <wp:effectExtent l="0" t="0" r="0" b="9525"/>
            <wp:docPr id="39" name="Picture 39" descr="Kaplan-Meier plot for the primary analysis of overall survival in the intent to treat population"/>
            <wp:cNvGraphicFramePr/>
            <a:graphic xmlns:a="http://schemas.openxmlformats.org/drawingml/2006/main">
              <a:graphicData uri="http://schemas.openxmlformats.org/drawingml/2006/picture">
                <pic:pic xmlns:pic="http://schemas.openxmlformats.org/drawingml/2006/picture">
                  <pic:nvPicPr>
                    <pic:cNvPr id="39" name="Picture 39" descr="Kaplan-Meier plot for the primary analysis of overall survival in the intent to treat population"/>
                    <pic:cNvPicPr/>
                  </pic:nvPicPr>
                  <pic:blipFill rotWithShape="1">
                    <a:blip r:embed="rId29"/>
                    <a:srcRect t="7309" r="1809" b="11443"/>
                    <a:stretch/>
                  </pic:blipFill>
                  <pic:spPr bwMode="auto">
                    <a:xfrm>
                      <a:off x="0" y="0"/>
                      <a:ext cx="5302351" cy="2315963"/>
                    </a:xfrm>
                    <a:prstGeom prst="rect">
                      <a:avLst/>
                    </a:prstGeom>
                    <a:ln>
                      <a:noFill/>
                    </a:ln>
                    <a:extLst>
                      <a:ext uri="{53640926-AAD7-44D8-BBD7-CCE9431645EC}">
                        <a14:shadowObscured xmlns:a14="http://schemas.microsoft.com/office/drawing/2010/main"/>
                      </a:ext>
                    </a:extLst>
                  </pic:spPr>
                </pic:pic>
              </a:graphicData>
            </a:graphic>
          </wp:inline>
        </w:drawing>
      </w:r>
    </w:p>
    <w:p w14:paraId="7900CC7C" w14:textId="10B7F00C" w:rsidR="00DC0A0B" w:rsidRDefault="00BE359B">
      <w:r>
        <w:t>The overall response rate was 37% (95%</w:t>
      </w:r>
      <w:r w:rsidR="00C247EF">
        <w:t xml:space="preserve"> </w:t>
      </w:r>
      <w:r>
        <w:t xml:space="preserve">CI: 32, 42) in the </w:t>
      </w:r>
      <w:proofErr w:type="spellStart"/>
      <w:r>
        <w:t>cemiplimab</w:t>
      </w:r>
      <w:proofErr w:type="spellEnd"/>
      <w:r>
        <w:t xml:space="preserve"> arm and 21% (95%</w:t>
      </w:r>
      <w:r w:rsidR="00C247EF">
        <w:t xml:space="preserve"> </w:t>
      </w:r>
      <w:r>
        <w:t xml:space="preserve">CI: 17, 25) in the chemotherapy arm. The median </w:t>
      </w:r>
      <w:r w:rsidR="00C247EF">
        <w:t xml:space="preserve">duration of response </w:t>
      </w:r>
      <w:r>
        <w:t xml:space="preserve">was 21 months in the </w:t>
      </w:r>
      <w:proofErr w:type="spellStart"/>
      <w:r>
        <w:t>cemiplimab</w:t>
      </w:r>
      <w:proofErr w:type="spellEnd"/>
      <w:r>
        <w:t xml:space="preserve"> arm and 6 months in the chemotherapy arm.</w:t>
      </w:r>
    </w:p>
    <w:p w14:paraId="2EB199DF" w14:textId="658C5D8B" w:rsidR="00DC0A0B" w:rsidRDefault="00BE359B">
      <w:r>
        <w:t>Pre-specified subgroup efficacy analyses were conducted based on gender (male, female), age (&lt; 65, ≥ 65), race (White, Non-white), geographical region (European Union, Asia, rest of the world), ECOG PS (0, 1),</w:t>
      </w:r>
      <w:r>
        <w:rPr>
          <w:vertAlign w:val="superscript"/>
        </w:rPr>
        <w:fldChar w:fldCharType="begin"/>
      </w:r>
      <w:r>
        <w:rPr>
          <w:vertAlign w:val="superscript"/>
        </w:rPr>
        <w:instrText xml:space="preserve"> NOTEREF _Ref109215829 \h  \* MERGEFORMAT </w:instrText>
      </w:r>
      <w:r>
        <w:rPr>
          <w:vertAlign w:val="superscript"/>
        </w:rPr>
      </w:r>
      <w:r>
        <w:rPr>
          <w:vertAlign w:val="superscript"/>
        </w:rPr>
        <w:fldChar w:fldCharType="separate"/>
      </w:r>
      <w:r>
        <w:rPr>
          <w:vertAlign w:val="superscript"/>
        </w:rPr>
        <w:t>1</w:t>
      </w:r>
      <w:r>
        <w:rPr>
          <w:vertAlign w:val="superscript"/>
        </w:rPr>
        <w:fldChar w:fldCharType="end"/>
      </w:r>
      <w:r>
        <w:t xml:space="preserve"> and histology (squamous, non-squamous). </w:t>
      </w:r>
      <w:r w:rsidRPr="004A22ED">
        <w:rPr>
          <w:i/>
        </w:rPr>
        <w:t>Post-hoc</w:t>
      </w:r>
      <w:r>
        <w:t xml:space="preserve"> subgroup analyses were also conducted by disease stage (Stage IIIB, IIIC, IV), history of brain metastases, and by age intervals (&lt; 65</w:t>
      </w:r>
      <w:r w:rsidR="00750997">
        <w:t xml:space="preserve"> years</w:t>
      </w:r>
      <w:r>
        <w:t>, ≥ 65 to &lt; 75</w:t>
      </w:r>
      <w:r w:rsidR="00750997">
        <w:t xml:space="preserve"> years</w:t>
      </w:r>
      <w:r>
        <w:t>,</w:t>
      </w:r>
      <w:r w:rsidR="00750997">
        <w:t xml:space="preserve"> or</w:t>
      </w:r>
      <w:r>
        <w:t xml:space="preserve"> &gt; 75</w:t>
      </w:r>
      <w:r w:rsidR="00750997">
        <w:t xml:space="preserve"> years</w:t>
      </w:r>
      <w:r>
        <w:t xml:space="preserve">). </w:t>
      </w:r>
      <w:r w:rsidR="00750997">
        <w:t xml:space="preserve">Overall survival </w:t>
      </w:r>
      <w:r>
        <w:t xml:space="preserve">results for these subgroups are shown in </w:t>
      </w:r>
      <w:r>
        <w:fldChar w:fldCharType="begin"/>
      </w:r>
      <w:r>
        <w:instrText xml:space="preserve"> REF _Ref109391373 \h </w:instrText>
      </w:r>
      <w:r>
        <w:fldChar w:fldCharType="separate"/>
      </w:r>
      <w:r>
        <w:t>Figure 4</w:t>
      </w:r>
      <w:r>
        <w:fldChar w:fldCharType="end"/>
      </w:r>
      <w:r w:rsidR="00750997">
        <w:t xml:space="preserve"> (see below)</w:t>
      </w:r>
      <w:r>
        <w:t xml:space="preserve">. Trends towards greater efficacy of </w:t>
      </w:r>
      <w:proofErr w:type="spellStart"/>
      <w:r>
        <w:t>cemiplimab</w:t>
      </w:r>
      <w:proofErr w:type="spellEnd"/>
      <w:r>
        <w:t xml:space="preserve"> over chemotherapy were seen in all the subgroups assessed. Similarly </w:t>
      </w:r>
      <w:r w:rsidR="00750997">
        <w:t xml:space="preserve">progression-free survival </w:t>
      </w:r>
      <w:r>
        <w:t xml:space="preserve">by subgroup is shown in </w:t>
      </w:r>
      <w:r>
        <w:fldChar w:fldCharType="begin"/>
      </w:r>
      <w:r>
        <w:instrText xml:space="preserve"> REF _Ref110246753 \h </w:instrText>
      </w:r>
      <w:r>
        <w:fldChar w:fldCharType="separate"/>
      </w:r>
      <w:r>
        <w:t>Figure 5</w:t>
      </w:r>
      <w:r>
        <w:fldChar w:fldCharType="end"/>
      </w:r>
      <w:r w:rsidR="00750997">
        <w:t xml:space="preserve"> (see below)</w:t>
      </w:r>
      <w:r>
        <w:t xml:space="preserve"> and trends towards greater </w:t>
      </w:r>
      <w:r w:rsidR="00750997">
        <w:t xml:space="preserve">progression-free </w:t>
      </w:r>
      <w:proofErr w:type="spellStart"/>
      <w:r w:rsidR="00750997">
        <w:t>survival</w:t>
      </w:r>
      <w:r>
        <w:t>are</w:t>
      </w:r>
      <w:proofErr w:type="spellEnd"/>
      <w:r>
        <w:t xml:space="preserve"> shown for each of the subgroups examined.</w:t>
      </w:r>
    </w:p>
    <w:p w14:paraId="67A0B3C6" w14:textId="60623C7C" w:rsidR="00DC0A0B" w:rsidRDefault="00BE359B">
      <w:pPr>
        <w:pStyle w:val="FigureTitle"/>
      </w:pPr>
      <w:bookmarkStart w:id="31" w:name="_Ref109391373"/>
      <w:r>
        <w:lastRenderedPageBreak/>
        <w:t xml:space="preserve">Figure </w:t>
      </w:r>
      <w:r w:rsidR="00E12242">
        <w:fldChar w:fldCharType="begin"/>
      </w:r>
      <w:r w:rsidR="00E12242">
        <w:instrText xml:space="preserve"> SEQ Figure \* ARABIC </w:instrText>
      </w:r>
      <w:r w:rsidR="00E12242">
        <w:fldChar w:fldCharType="separate"/>
      </w:r>
      <w:r>
        <w:t>4</w:t>
      </w:r>
      <w:r w:rsidR="00E12242">
        <w:fldChar w:fldCharType="end"/>
      </w:r>
      <w:bookmarkEnd w:id="31"/>
      <w:r>
        <w:t xml:space="preserve">: </w:t>
      </w:r>
      <w:r w:rsidR="00750997">
        <w:t xml:space="preserve">Study R2810-ONC-1624 </w:t>
      </w:r>
      <w:r>
        <w:t>Forest plot of subgroup analysis of overall survival in the intent to treat population</w:t>
      </w:r>
    </w:p>
    <w:p w14:paraId="0786746F" w14:textId="42CFEF9F" w:rsidR="00DC0A0B" w:rsidRDefault="00BE359B">
      <w:pPr>
        <w:pStyle w:val="FigureTitle"/>
      </w:pPr>
      <w:r>
        <w:rPr>
          <w:noProof/>
          <w:lang w:val="en-GB" w:eastAsia="en-GB"/>
        </w:rPr>
        <w:drawing>
          <wp:inline distT="0" distB="0" distL="0" distR="0" wp14:anchorId="1F4BC0F4" wp14:editId="01B5545F">
            <wp:extent cx="5278056" cy="4936603"/>
            <wp:effectExtent l="0" t="0" r="0" b="0"/>
            <wp:docPr id="44" name="Picture 44" descr="Forest plot of subgroup analysis of overall survival in the intent to treat population"/>
            <wp:cNvGraphicFramePr/>
            <a:graphic xmlns:a="http://schemas.openxmlformats.org/drawingml/2006/main">
              <a:graphicData uri="http://schemas.openxmlformats.org/drawingml/2006/picture">
                <pic:pic xmlns:pic="http://schemas.openxmlformats.org/drawingml/2006/picture">
                  <pic:nvPicPr>
                    <pic:cNvPr id="44" name="Picture 44" descr="Forest plot of subgroup analysis of overall survival in the intent to treat population"/>
                    <pic:cNvPicPr/>
                  </pic:nvPicPr>
                  <pic:blipFill rotWithShape="1">
                    <a:blip r:embed="rId30"/>
                    <a:srcRect l="1822" t="6544" b="15828"/>
                    <a:stretch/>
                  </pic:blipFill>
                  <pic:spPr bwMode="auto">
                    <a:xfrm>
                      <a:off x="0" y="0"/>
                      <a:ext cx="5295318" cy="4952748"/>
                    </a:xfrm>
                    <a:prstGeom prst="rect">
                      <a:avLst/>
                    </a:prstGeom>
                    <a:ln>
                      <a:noFill/>
                    </a:ln>
                    <a:extLst>
                      <a:ext uri="{53640926-AAD7-44D8-BBD7-CCE9431645EC}">
                        <a14:shadowObscured xmlns:a14="http://schemas.microsoft.com/office/drawing/2010/main"/>
                      </a:ext>
                    </a:extLst>
                  </pic:spPr>
                </pic:pic>
              </a:graphicData>
            </a:graphic>
          </wp:inline>
        </w:drawing>
      </w:r>
    </w:p>
    <w:p w14:paraId="3E287284" w14:textId="335DED2E" w:rsidR="00DC0A0B" w:rsidRDefault="00BE359B">
      <w:pPr>
        <w:pStyle w:val="FigureDescription"/>
      </w:pPr>
      <w:r>
        <w:t>* Stratified by histology (squamous, non-squamous) accordingly to IWRS except for histology subgroups.</w:t>
      </w:r>
    </w:p>
    <w:p w14:paraId="3560D826" w14:textId="7695755C" w:rsidR="00DC0A0B" w:rsidRDefault="00BE359B">
      <w:pPr>
        <w:pStyle w:val="FigureDescription"/>
      </w:pPr>
      <w:r>
        <w:t>** According to IWRS</w:t>
      </w:r>
    </w:p>
    <w:p w14:paraId="5EC43A5D" w14:textId="29A98168" w:rsidR="00DC0A0B" w:rsidRDefault="00750997">
      <w:pPr>
        <w:pStyle w:val="FigureDescription"/>
      </w:pPr>
      <w:r>
        <w:t xml:space="preserve">Abbreviations: </w:t>
      </w:r>
      <w:proofErr w:type="spellStart"/>
      <w:r w:rsidR="00BE359B">
        <w:t>Cemi</w:t>
      </w:r>
      <w:proofErr w:type="spellEnd"/>
      <w:r w:rsidR="00BE359B">
        <w:t xml:space="preserve"> = </w:t>
      </w:r>
      <w:proofErr w:type="spellStart"/>
      <w:r w:rsidR="00BE359B">
        <w:t>cemiplimab</w:t>
      </w:r>
      <w:proofErr w:type="spellEnd"/>
      <w:r w:rsidR="00BE359B">
        <w:t>; Chemo = chemotherapy; CI = confidence interval; ECOG = Eastern Cooperative Oncology Group; HR = hazard ratio; ITT = intent to treat; IWRS = interactive web response system; ROW = rest of the world.</w:t>
      </w:r>
    </w:p>
    <w:p w14:paraId="1CD9E56E" w14:textId="37AA3244" w:rsidR="00DC0A0B" w:rsidRDefault="00BE359B">
      <w:pPr>
        <w:pStyle w:val="FigureTitle"/>
      </w:pPr>
      <w:bookmarkStart w:id="32" w:name="_Ref110246753"/>
      <w:r>
        <w:lastRenderedPageBreak/>
        <w:t xml:space="preserve">Figure </w:t>
      </w:r>
      <w:r w:rsidR="00E12242">
        <w:fldChar w:fldCharType="begin"/>
      </w:r>
      <w:r w:rsidR="00E12242">
        <w:instrText xml:space="preserve"> SEQ Figure \* ARABIC </w:instrText>
      </w:r>
      <w:r w:rsidR="00E12242">
        <w:fldChar w:fldCharType="separate"/>
      </w:r>
      <w:r>
        <w:t>5</w:t>
      </w:r>
      <w:r w:rsidR="00E12242">
        <w:fldChar w:fldCharType="end"/>
      </w:r>
      <w:bookmarkEnd w:id="32"/>
      <w:r>
        <w:t xml:space="preserve">: </w:t>
      </w:r>
      <w:r w:rsidR="00750997">
        <w:t xml:space="preserve">Study R2810-ONC-1624 </w:t>
      </w:r>
      <w:r>
        <w:t>Forest plot of subgroup analysis of progression free survival in the intent to treat</w:t>
      </w:r>
    </w:p>
    <w:p w14:paraId="2C4CA2A1" w14:textId="20E6BD5A" w:rsidR="00DC0A0B" w:rsidRDefault="00BE359B">
      <w:pPr>
        <w:pStyle w:val="FigureTitle"/>
      </w:pPr>
      <w:r>
        <w:rPr>
          <w:noProof/>
          <w:lang w:val="en-GB" w:eastAsia="en-GB"/>
        </w:rPr>
        <w:drawing>
          <wp:inline distT="0" distB="0" distL="0" distR="0" wp14:anchorId="0A32EDF3" wp14:editId="26A64ACF">
            <wp:extent cx="5399763" cy="4849793"/>
            <wp:effectExtent l="0" t="0" r="0" b="8255"/>
            <wp:docPr id="47" name="Picture 47" descr="Forest plot of subgroup analysis of progression free survival in the intent to treat"/>
            <wp:cNvGraphicFramePr/>
            <a:graphic xmlns:a="http://schemas.openxmlformats.org/drawingml/2006/main">
              <a:graphicData uri="http://schemas.openxmlformats.org/drawingml/2006/picture">
                <pic:pic xmlns:pic="http://schemas.openxmlformats.org/drawingml/2006/picture">
                  <pic:nvPicPr>
                    <pic:cNvPr id="47" name="Picture 47" descr="Forest plot of subgroup analysis of progression free survival in the intent to treat"/>
                    <pic:cNvPicPr/>
                  </pic:nvPicPr>
                  <pic:blipFill rotWithShape="1">
                    <a:blip r:embed="rId31"/>
                    <a:srcRect t="6040" b="17267"/>
                    <a:stretch/>
                  </pic:blipFill>
                  <pic:spPr bwMode="auto">
                    <a:xfrm>
                      <a:off x="0" y="0"/>
                      <a:ext cx="5400040" cy="4850042"/>
                    </a:xfrm>
                    <a:prstGeom prst="rect">
                      <a:avLst/>
                    </a:prstGeom>
                    <a:ln>
                      <a:noFill/>
                    </a:ln>
                    <a:extLst>
                      <a:ext uri="{53640926-AAD7-44D8-BBD7-CCE9431645EC}">
                        <a14:shadowObscured xmlns:a14="http://schemas.microsoft.com/office/drawing/2010/main"/>
                      </a:ext>
                    </a:extLst>
                  </pic:spPr>
                </pic:pic>
              </a:graphicData>
            </a:graphic>
          </wp:inline>
        </w:drawing>
      </w:r>
    </w:p>
    <w:p w14:paraId="3F047AFB" w14:textId="77777777" w:rsidR="00DC0A0B" w:rsidRDefault="00BE359B">
      <w:pPr>
        <w:pStyle w:val="FigureDescription"/>
      </w:pPr>
      <w:r>
        <w:t>* Stratified by histology (squamous, non-squamous) accordingly to IWRS except for histology subgroups.</w:t>
      </w:r>
    </w:p>
    <w:p w14:paraId="29EECA99" w14:textId="77777777" w:rsidR="00DC0A0B" w:rsidRDefault="00BE359B">
      <w:pPr>
        <w:pStyle w:val="FigureDescription"/>
      </w:pPr>
      <w:r>
        <w:t>** According to IWRS</w:t>
      </w:r>
    </w:p>
    <w:p w14:paraId="4EFAFB30" w14:textId="3954DE62" w:rsidR="00DC0A0B" w:rsidRDefault="00750997">
      <w:pPr>
        <w:pStyle w:val="FigureDescription"/>
      </w:pPr>
      <w:r>
        <w:t xml:space="preserve">Abbreviations: </w:t>
      </w:r>
      <w:proofErr w:type="spellStart"/>
      <w:r w:rsidR="00BE359B">
        <w:t>Cemi</w:t>
      </w:r>
      <w:proofErr w:type="spellEnd"/>
      <w:r w:rsidR="00BE359B">
        <w:t xml:space="preserve"> = </w:t>
      </w:r>
      <w:proofErr w:type="spellStart"/>
      <w:r w:rsidR="00BE359B">
        <w:t>cemiplimab</w:t>
      </w:r>
      <w:proofErr w:type="spellEnd"/>
      <w:r w:rsidR="00BE359B">
        <w:t>; Chemo = chemotherapy; CI = confidence interval; ECOG = Eastern Cooperative Oncology Group; IRC = independent review committee; ITT = intent to treat; IWRS</w:t>
      </w:r>
      <w:r>
        <w:t> </w:t>
      </w:r>
      <w:r w:rsidR="00BE359B">
        <w:t>=</w:t>
      </w:r>
      <w:r>
        <w:t> </w:t>
      </w:r>
      <w:r w:rsidR="00BE359B">
        <w:t>interactive web response system; ROW = rest of the world.</w:t>
      </w:r>
    </w:p>
    <w:p w14:paraId="6E68DE58" w14:textId="13901D2D" w:rsidR="00DC0A0B" w:rsidRDefault="00BE359B">
      <w:r>
        <w:fldChar w:fldCharType="begin"/>
      </w:r>
      <w:r>
        <w:instrText xml:space="preserve"> REF _Ref109391719 \h </w:instrText>
      </w:r>
      <w:r>
        <w:fldChar w:fldCharType="separate"/>
      </w:r>
      <w:r>
        <w:t>Table 7</w:t>
      </w:r>
      <w:r>
        <w:fldChar w:fldCharType="end"/>
      </w:r>
      <w:r>
        <w:t xml:space="preserve"> and </w:t>
      </w:r>
      <w:r>
        <w:fldChar w:fldCharType="begin"/>
      </w:r>
      <w:r>
        <w:instrText xml:space="preserve"> REF _Ref109391721 \h </w:instrText>
      </w:r>
      <w:r>
        <w:fldChar w:fldCharType="separate"/>
      </w:r>
      <w:r>
        <w:t>Table 8</w:t>
      </w:r>
      <w:r>
        <w:fldChar w:fldCharType="end"/>
      </w:r>
      <w:r>
        <w:t xml:space="preserve"> show the subgroup analyses by extent of tumour PD-L1 positivity in the modified intent to treat-1 and 2 populations respectively. While there appeared to be a clear trend towards increased survival and PFS with increasing PD-L1 positivity the high PD-L1 group given chemotherapy also had better outcomes than the groups with lower levels of PD-L1 positivity, though not nearly as high as the </w:t>
      </w:r>
      <w:proofErr w:type="spellStart"/>
      <w:r>
        <w:t>cemiplimab</w:t>
      </w:r>
      <w:proofErr w:type="spellEnd"/>
      <w:r>
        <w:t xml:space="preserve"> treated groups.</w:t>
      </w:r>
    </w:p>
    <w:p w14:paraId="15B67C04" w14:textId="13B4F481" w:rsidR="00DC0A0B" w:rsidRDefault="00BE359B">
      <w:pPr>
        <w:pStyle w:val="TableTitle"/>
      </w:pPr>
      <w:bookmarkStart w:id="33" w:name="_Ref109391719"/>
      <w:r>
        <w:lastRenderedPageBreak/>
        <w:t xml:space="preserve">Table </w:t>
      </w:r>
      <w:r w:rsidR="00E12242">
        <w:fldChar w:fldCharType="begin"/>
      </w:r>
      <w:r w:rsidR="00E12242">
        <w:instrText xml:space="preserve"> SEQ Table \* ARABIC </w:instrText>
      </w:r>
      <w:r w:rsidR="00E12242">
        <w:fldChar w:fldCharType="separate"/>
      </w:r>
      <w:r>
        <w:t>7</w:t>
      </w:r>
      <w:r w:rsidR="00E12242">
        <w:fldChar w:fldCharType="end"/>
      </w:r>
      <w:bookmarkEnd w:id="33"/>
      <w:r>
        <w:t xml:space="preserve">: </w:t>
      </w:r>
      <w:r w:rsidR="00750997">
        <w:t xml:space="preserve">Study R2810-ONC-1624 </w:t>
      </w:r>
      <w:r>
        <w:t>Analysis of overall survival and professional free survival by programmed death ligand 1 expression in the modified intent to treat-1 population</w:t>
      </w:r>
    </w:p>
    <w:p w14:paraId="565BCEFA" w14:textId="5E257A47" w:rsidR="00DC0A0B" w:rsidRDefault="00BE359B">
      <w:r>
        <w:rPr>
          <w:noProof/>
          <w:lang w:val="en-GB" w:eastAsia="en-GB"/>
        </w:rPr>
        <w:drawing>
          <wp:inline distT="0" distB="0" distL="0" distR="0" wp14:anchorId="099109FE" wp14:editId="7C5906C6">
            <wp:extent cx="5398823" cy="1707266"/>
            <wp:effectExtent l="0" t="0" r="0" b="7620"/>
            <wp:docPr id="51" name="Picture 51" descr="Analysis of overall survival and professional free survival by programmed death ligand 1 expression in the modified intent to treat-1 population"/>
            <wp:cNvGraphicFramePr/>
            <a:graphic xmlns:a="http://schemas.openxmlformats.org/drawingml/2006/main">
              <a:graphicData uri="http://schemas.openxmlformats.org/drawingml/2006/picture">
                <pic:pic xmlns:pic="http://schemas.openxmlformats.org/drawingml/2006/picture">
                  <pic:nvPicPr>
                    <pic:cNvPr id="51" name="Picture 51" descr="Analysis of overall survival and professional free survival by programmed death ligand 1 expression in the modified intent to treat-1 population"/>
                    <pic:cNvPicPr/>
                  </pic:nvPicPr>
                  <pic:blipFill rotWithShape="1">
                    <a:blip r:embed="rId32"/>
                    <a:srcRect t="7600" b="30106"/>
                    <a:stretch/>
                  </pic:blipFill>
                  <pic:spPr bwMode="auto">
                    <a:xfrm>
                      <a:off x="0" y="0"/>
                      <a:ext cx="5400040" cy="1707651"/>
                    </a:xfrm>
                    <a:prstGeom prst="rect">
                      <a:avLst/>
                    </a:prstGeom>
                    <a:ln>
                      <a:noFill/>
                    </a:ln>
                    <a:extLst>
                      <a:ext uri="{53640926-AAD7-44D8-BBD7-CCE9431645EC}">
                        <a14:shadowObscured xmlns:a14="http://schemas.microsoft.com/office/drawing/2010/main"/>
                      </a:ext>
                    </a:extLst>
                  </pic:spPr>
                </pic:pic>
              </a:graphicData>
            </a:graphic>
          </wp:inline>
        </w:drawing>
      </w:r>
    </w:p>
    <w:p w14:paraId="5ED0EF40" w14:textId="171B2C18" w:rsidR="00DC0A0B" w:rsidRDefault="00BE359B">
      <w:pPr>
        <w:pStyle w:val="TableDescription"/>
      </w:pPr>
      <w:r>
        <w:t>a Based on Kaplan-Meier method</w:t>
      </w:r>
    </w:p>
    <w:p w14:paraId="0877651F" w14:textId="08FD5021" w:rsidR="00DC0A0B" w:rsidRDefault="00BE359B">
      <w:pPr>
        <w:pStyle w:val="TableDescription"/>
      </w:pPr>
      <w:r>
        <w:t>b Based on stratified proportional hazards model (</w:t>
      </w:r>
      <w:proofErr w:type="spellStart"/>
      <w:r>
        <w:t>cemiplimab</w:t>
      </w:r>
      <w:proofErr w:type="spellEnd"/>
      <w:r>
        <w:t xml:space="preserve"> versus chemotherapy).</w:t>
      </w:r>
    </w:p>
    <w:p w14:paraId="78F7C4BF" w14:textId="6CA83620" w:rsidR="00DC0A0B" w:rsidRDefault="00BE359B">
      <w:pPr>
        <w:pStyle w:val="TableDescription"/>
      </w:pPr>
      <w:r>
        <w:t>c PD-L1 expression ≥ 90%</w:t>
      </w:r>
    </w:p>
    <w:p w14:paraId="0C3162B6" w14:textId="108A7321" w:rsidR="00DC0A0B" w:rsidRDefault="00BE359B">
      <w:pPr>
        <w:pStyle w:val="TableDescription"/>
      </w:pPr>
      <w:r>
        <w:t>d PD-L1 expression &gt; 60% and &lt; 90%</w:t>
      </w:r>
    </w:p>
    <w:p w14:paraId="2A6F8079" w14:textId="656D9012" w:rsidR="00DC0A0B" w:rsidRDefault="00BE359B">
      <w:pPr>
        <w:pStyle w:val="TableDescription"/>
      </w:pPr>
      <w:r>
        <w:t>e PD-L1 expression ≥ 50% and ≤ 60%</w:t>
      </w:r>
    </w:p>
    <w:p w14:paraId="373CECA3" w14:textId="07E42986" w:rsidR="00DC0A0B" w:rsidRDefault="00750997">
      <w:pPr>
        <w:pStyle w:val="TableDescription"/>
      </w:pPr>
      <w:r>
        <w:t xml:space="preserve">Abbreviations: </w:t>
      </w:r>
      <w:r w:rsidR="00BE359B">
        <w:t xml:space="preserve">CI = confidence interval; </w:t>
      </w:r>
      <w:proofErr w:type="spellStart"/>
      <w:r w:rsidR="00BE359B">
        <w:t>mITT</w:t>
      </w:r>
      <w:proofErr w:type="spellEnd"/>
      <w:r w:rsidR="00BE359B">
        <w:t xml:space="preserve"> = modified intent to treat; NE = not evaluable; OS = overall survival; PD-L1 = programmed cell death ligand 1; PFS = progression</w:t>
      </w:r>
      <w:r>
        <w:t>-</w:t>
      </w:r>
      <w:r w:rsidR="00BE359B">
        <w:t>free survival.</w:t>
      </w:r>
    </w:p>
    <w:p w14:paraId="156D75CD" w14:textId="62E50EC5" w:rsidR="00DC0A0B" w:rsidRDefault="00BE359B">
      <w:pPr>
        <w:pStyle w:val="TableTitle"/>
      </w:pPr>
      <w:bookmarkStart w:id="34" w:name="_Ref109391721"/>
      <w:r>
        <w:t xml:space="preserve">Table </w:t>
      </w:r>
      <w:r w:rsidR="00E12242">
        <w:fldChar w:fldCharType="begin"/>
      </w:r>
      <w:r w:rsidR="00E12242">
        <w:instrText xml:space="preserve"> SEQ Table \* ARABIC </w:instrText>
      </w:r>
      <w:r w:rsidR="00E12242">
        <w:fldChar w:fldCharType="separate"/>
      </w:r>
      <w:r>
        <w:t>8</w:t>
      </w:r>
      <w:r w:rsidR="00E12242">
        <w:fldChar w:fldCharType="end"/>
      </w:r>
      <w:bookmarkEnd w:id="34"/>
      <w:r>
        <w:t xml:space="preserve">: </w:t>
      </w:r>
      <w:r w:rsidR="00750997">
        <w:t xml:space="preserve">Study R2810-ONC-1624 </w:t>
      </w:r>
      <w:r>
        <w:t>Analysis of overall survival and professional free survival by programmed death ligand 1 expression in the modified intent to treat-2 population</w:t>
      </w:r>
    </w:p>
    <w:p w14:paraId="37E45202" w14:textId="450FFBD8" w:rsidR="00DC0A0B" w:rsidRDefault="00BE359B">
      <w:pPr>
        <w:pStyle w:val="TableTitle"/>
      </w:pPr>
      <w:r>
        <w:rPr>
          <w:noProof/>
          <w:lang w:val="en-GB" w:eastAsia="en-GB"/>
        </w:rPr>
        <w:drawing>
          <wp:inline distT="0" distB="0" distL="0" distR="0" wp14:anchorId="4A2E8421" wp14:editId="627BC9E8">
            <wp:extent cx="5399836" cy="1718840"/>
            <wp:effectExtent l="0" t="0" r="0" b="0"/>
            <wp:docPr id="52" name="Picture 52" descr="Analysis of overall survival and professional free survival by programmed death ligand 1 expression in the modified intent to treat-2 population"/>
            <wp:cNvGraphicFramePr/>
            <a:graphic xmlns:a="http://schemas.openxmlformats.org/drawingml/2006/main">
              <a:graphicData uri="http://schemas.openxmlformats.org/drawingml/2006/picture">
                <pic:pic xmlns:pic="http://schemas.openxmlformats.org/drawingml/2006/picture">
                  <pic:nvPicPr>
                    <pic:cNvPr id="52" name="Picture 52" descr="Analysis of overall survival and professional free survival by programmed death ligand 1 expression in the modified intent to treat-2 population"/>
                    <pic:cNvPicPr/>
                  </pic:nvPicPr>
                  <pic:blipFill rotWithShape="1">
                    <a:blip r:embed="rId33"/>
                    <a:srcRect t="5391" b="30554"/>
                    <a:stretch/>
                  </pic:blipFill>
                  <pic:spPr bwMode="auto">
                    <a:xfrm>
                      <a:off x="0" y="0"/>
                      <a:ext cx="5400040" cy="1718905"/>
                    </a:xfrm>
                    <a:prstGeom prst="rect">
                      <a:avLst/>
                    </a:prstGeom>
                    <a:ln>
                      <a:noFill/>
                    </a:ln>
                    <a:extLst>
                      <a:ext uri="{53640926-AAD7-44D8-BBD7-CCE9431645EC}">
                        <a14:shadowObscured xmlns:a14="http://schemas.microsoft.com/office/drawing/2010/main"/>
                      </a:ext>
                    </a:extLst>
                  </pic:spPr>
                </pic:pic>
              </a:graphicData>
            </a:graphic>
          </wp:inline>
        </w:drawing>
      </w:r>
    </w:p>
    <w:p w14:paraId="3CE2B407" w14:textId="77777777" w:rsidR="00DC0A0B" w:rsidRDefault="00BE359B">
      <w:pPr>
        <w:pStyle w:val="TableDescription"/>
      </w:pPr>
      <w:r>
        <w:t>a Based on Kaplan-Meier method</w:t>
      </w:r>
    </w:p>
    <w:p w14:paraId="60213600" w14:textId="77777777" w:rsidR="00DC0A0B" w:rsidRDefault="00BE359B">
      <w:pPr>
        <w:pStyle w:val="TableDescription"/>
      </w:pPr>
      <w:r>
        <w:t>b Based on stratified proportional hazards model (</w:t>
      </w:r>
      <w:proofErr w:type="spellStart"/>
      <w:r>
        <w:t>cemiplimab</w:t>
      </w:r>
      <w:proofErr w:type="spellEnd"/>
      <w:r>
        <w:t xml:space="preserve"> versus chemotherapy).</w:t>
      </w:r>
    </w:p>
    <w:p w14:paraId="75218672" w14:textId="77777777" w:rsidR="00DC0A0B" w:rsidRDefault="00BE359B">
      <w:pPr>
        <w:pStyle w:val="TableDescription"/>
      </w:pPr>
      <w:r>
        <w:t>c PD-L1 expression ≥ 90%</w:t>
      </w:r>
    </w:p>
    <w:p w14:paraId="222FCB90" w14:textId="77777777" w:rsidR="00DC0A0B" w:rsidRDefault="00BE359B">
      <w:pPr>
        <w:pStyle w:val="TableDescription"/>
      </w:pPr>
      <w:r>
        <w:t>d PD-L1 expression &gt; 60% and &lt; 90%</w:t>
      </w:r>
    </w:p>
    <w:p w14:paraId="1EA10870" w14:textId="77777777" w:rsidR="00DC0A0B" w:rsidRDefault="00BE359B">
      <w:pPr>
        <w:pStyle w:val="TableDescription"/>
      </w:pPr>
      <w:r>
        <w:t>e PD-L1 expression ≥ 50% and ≤ 60%</w:t>
      </w:r>
    </w:p>
    <w:p w14:paraId="113D5B53" w14:textId="7D341D26" w:rsidR="00DC0A0B" w:rsidRDefault="00750997">
      <w:pPr>
        <w:pStyle w:val="TableDescription"/>
      </w:pPr>
      <w:r>
        <w:t xml:space="preserve">Abbreviations: </w:t>
      </w:r>
      <w:r w:rsidR="00BE359B">
        <w:t xml:space="preserve">CI = confidence interval; </w:t>
      </w:r>
      <w:proofErr w:type="spellStart"/>
      <w:r w:rsidR="00BE359B">
        <w:t>mITT</w:t>
      </w:r>
      <w:proofErr w:type="spellEnd"/>
      <w:r w:rsidR="00BE359B">
        <w:t xml:space="preserve"> = modified intent to treat; NE = not evaluable; OS = overall survival; PD-L1 = programmed cell death ligand 1; PFS = progression free survival.</w:t>
      </w:r>
    </w:p>
    <w:p w14:paraId="4826CA1C" w14:textId="77777777" w:rsidR="00DC0A0B" w:rsidRDefault="00BE359B" w:rsidP="004A22ED">
      <w:pPr>
        <w:pStyle w:val="Heading5"/>
      </w:pPr>
      <w:r>
        <w:t>Safety</w:t>
      </w:r>
    </w:p>
    <w:p w14:paraId="13245CA1" w14:textId="11988C3D" w:rsidR="00DC0A0B" w:rsidRDefault="00BE359B">
      <w:r>
        <w:t xml:space="preserve">The safety population for Study R2810-ONC-1624 consisted of 697 patients who received at least one dose of any study treatment, 355 patients in the </w:t>
      </w:r>
      <w:proofErr w:type="spellStart"/>
      <w:r>
        <w:t>cemiplimab</w:t>
      </w:r>
      <w:proofErr w:type="spellEnd"/>
      <w:r>
        <w:t xml:space="preserve"> arm and 342</w:t>
      </w:r>
      <w:r w:rsidR="00750997">
        <w:t> </w:t>
      </w:r>
      <w:r>
        <w:t xml:space="preserve">patients in the chemotherapy arm. Patients received </w:t>
      </w:r>
      <w:proofErr w:type="spellStart"/>
      <w:r>
        <w:t>cemiplimab</w:t>
      </w:r>
      <w:proofErr w:type="spellEnd"/>
      <w:r>
        <w:t xml:space="preserve"> treatment for longer than those who received chemotherapy. The shorter duration of exposure for the chemotherapy arm was mostly due to the majority of patients completing study treatment after 4 or 6 cycles (equal to 12 to 18 weeks), compared to those in the </w:t>
      </w:r>
      <w:proofErr w:type="spellStart"/>
      <w:r>
        <w:t>cemiplimab</w:t>
      </w:r>
      <w:proofErr w:type="spellEnd"/>
      <w:r>
        <w:t xml:space="preserve"> arm </w:t>
      </w:r>
      <w:r>
        <w:lastRenderedPageBreak/>
        <w:t>(108 weeks). The overall median duration of exposure was 27.3 weeks (range: 0.3 to 115</w:t>
      </w:r>
      <w:r w:rsidR="00750997">
        <w:t> </w:t>
      </w:r>
      <w:r>
        <w:t xml:space="preserve">weeks) for </w:t>
      </w:r>
      <w:proofErr w:type="spellStart"/>
      <w:r>
        <w:t>cemiplimab</w:t>
      </w:r>
      <w:proofErr w:type="spellEnd"/>
      <w:r>
        <w:t xml:space="preserve"> and 17.7 weeks (range: 0.6 to 86.7 weeks) for chemotherapy. At the time of data </w:t>
      </w:r>
      <w:proofErr w:type="spellStart"/>
      <w:r>
        <w:t>cutoff</w:t>
      </w:r>
      <w:proofErr w:type="spellEnd"/>
      <w:r>
        <w:t xml:space="preserve">, 197 (55.5%) patients had been treated with </w:t>
      </w:r>
      <w:proofErr w:type="spellStart"/>
      <w:r>
        <w:t>cemiplimab</w:t>
      </w:r>
      <w:proofErr w:type="spellEnd"/>
      <w:r>
        <w:t xml:space="preserve"> for ≥ 24 weeks and 84 (23.7%) patients had been treated for ≥ 48 weeks. In the chemotherapy arm, 54 (15.8%) patients had been treated with </w:t>
      </w:r>
      <w:proofErr w:type="spellStart"/>
      <w:r>
        <w:t>cemiplimab</w:t>
      </w:r>
      <w:proofErr w:type="spellEnd"/>
      <w:r>
        <w:t xml:space="preserve"> for ≥ 24 weeks and 10 (2.9%) patients had been treated for ≥ 48 weeks.</w:t>
      </w:r>
    </w:p>
    <w:p w14:paraId="750258C3" w14:textId="0260A741" w:rsidR="00DC0A0B" w:rsidRDefault="00BE359B">
      <w:r>
        <w:t xml:space="preserve">Overall, patients in the </w:t>
      </w:r>
      <w:proofErr w:type="spellStart"/>
      <w:r>
        <w:t>cemiplimab</w:t>
      </w:r>
      <w:proofErr w:type="spellEnd"/>
      <w:r>
        <w:t xml:space="preserve"> arm experienced a lower number of treatment emergent adverse events (TEAEs), including Grade ≥ 3 and serious TEAEs, compared to patients in the chemotherapy arm. The proportion of patients that experienced any TEAEs was 88.2% for patients in the </w:t>
      </w:r>
      <w:proofErr w:type="spellStart"/>
      <w:r>
        <w:t>cemiplimab</w:t>
      </w:r>
      <w:proofErr w:type="spellEnd"/>
      <w:r>
        <w:t xml:space="preserve"> arm and 94.2% in the chemotherapy arm.</w:t>
      </w:r>
    </w:p>
    <w:p w14:paraId="76142D98" w14:textId="642716A4" w:rsidR="00DC0A0B" w:rsidRDefault="00BE359B">
      <w:r>
        <w:t xml:space="preserve">In addition, a lower proportion of patients in the </w:t>
      </w:r>
      <w:proofErr w:type="spellStart"/>
      <w:r>
        <w:t>cemiplimab</w:t>
      </w:r>
      <w:proofErr w:type="spellEnd"/>
      <w:r>
        <w:t xml:space="preserve"> arm compared to the chemotherapy arm experienced a Grade ≥ 3 TEAE, 37.2% versus 48.5% respectively. Specifically, the incidence of Grade 3 to 4 events was 27.6% in the </w:t>
      </w:r>
      <w:proofErr w:type="spellStart"/>
      <w:r>
        <w:t>cemiplimab</w:t>
      </w:r>
      <w:proofErr w:type="spellEnd"/>
      <w:r>
        <w:t xml:space="preserve"> arm and 39.5% in the chemotherapy arm.</w:t>
      </w:r>
    </w:p>
    <w:p w14:paraId="7F260AB0" w14:textId="20F03DD2" w:rsidR="00DC0A0B" w:rsidRDefault="00BE359B">
      <w:r>
        <w:t xml:space="preserve">A similar proportion of patients in the treatment arms experienced a serious TEAE, discontinued study treatment due to a TEAE, or had a dose delay/interruption due to a TEAE. The proportions of deaths due to a TEAE (Grade 5) was similar between the treatment arms, 9.6% in the </w:t>
      </w:r>
      <w:proofErr w:type="spellStart"/>
      <w:r>
        <w:t>cemiplimab</w:t>
      </w:r>
      <w:proofErr w:type="spellEnd"/>
      <w:r>
        <w:t xml:space="preserve"> arm and 9.1% in the chemotherapy arm. </w:t>
      </w:r>
      <w:r>
        <w:fldChar w:fldCharType="begin"/>
      </w:r>
      <w:r>
        <w:instrText xml:space="preserve"> REF _Ref109394855 \h </w:instrText>
      </w:r>
      <w:r>
        <w:fldChar w:fldCharType="separate"/>
      </w:r>
      <w:r>
        <w:t>Table 9</w:t>
      </w:r>
      <w:r>
        <w:fldChar w:fldCharType="end"/>
      </w:r>
      <w:r>
        <w:t xml:space="preserve"> </w:t>
      </w:r>
      <w:r w:rsidR="00750997">
        <w:t xml:space="preserve">(see below) </w:t>
      </w:r>
      <w:r>
        <w:t>lists TEAE</w:t>
      </w:r>
      <w:r w:rsidR="00750997">
        <w:t>s</w:t>
      </w:r>
      <w:r>
        <w:t xml:space="preserve"> with incidence ≥ 5%. The most common (≥ 10%) TEAEs in patients treated with </w:t>
      </w:r>
      <w:proofErr w:type="spellStart"/>
      <w:r>
        <w:t>cemiplimab</w:t>
      </w:r>
      <w:proofErr w:type="spellEnd"/>
      <w:r>
        <w:t xml:space="preserve"> were: anaemia (14.6%), decreased appetite (11.8%), and fatigue (10.1%). The most common (≥ 10%) TEAEs in patients treated with chemotherapy were: anaemia (50%), nausea (28.4%), alopecia (24%), decreased appetite (18.4%), neutropenia (18.4%), fatigue (17%), constipation (15.2%), thrombocytopenia (15.2%), vomiting (14.3%), neutrophil count decreased (12.3%), pneumonia (10.8%), peripheral neuropathy (10.8%), and platelet count decreased (10.5%).</w:t>
      </w:r>
    </w:p>
    <w:p w14:paraId="1FEA6C18" w14:textId="1320F7AD" w:rsidR="00DC0A0B" w:rsidRDefault="00BE359B">
      <w:pPr>
        <w:pStyle w:val="TableTitle"/>
      </w:pPr>
      <w:bookmarkStart w:id="35" w:name="_Ref109394855"/>
      <w:r>
        <w:lastRenderedPageBreak/>
        <w:t xml:space="preserve">Table </w:t>
      </w:r>
      <w:r w:rsidR="00E12242">
        <w:fldChar w:fldCharType="begin"/>
      </w:r>
      <w:r w:rsidR="00E12242">
        <w:instrText xml:space="preserve"> SEQ Table \* ARABIC </w:instrText>
      </w:r>
      <w:r w:rsidR="00E12242">
        <w:fldChar w:fldCharType="separate"/>
      </w:r>
      <w:r>
        <w:t>9</w:t>
      </w:r>
      <w:r w:rsidR="00E12242">
        <w:fldChar w:fldCharType="end"/>
      </w:r>
      <w:bookmarkEnd w:id="35"/>
      <w:r>
        <w:t xml:space="preserve">: </w:t>
      </w:r>
      <w:r w:rsidR="00750997">
        <w:t xml:space="preserve">Study R2810-ONC-1624 </w:t>
      </w:r>
      <w:r>
        <w:t>Summary of treatment emergence adverse events with an incidence of ≥ 5%</w:t>
      </w:r>
    </w:p>
    <w:p w14:paraId="1B7142AA" w14:textId="127704C8" w:rsidR="00DC0A0B" w:rsidRDefault="00BE359B">
      <w:r>
        <w:rPr>
          <w:noProof/>
          <w:lang w:val="en-GB" w:eastAsia="en-GB"/>
        </w:rPr>
        <w:drawing>
          <wp:inline distT="0" distB="0" distL="0" distR="0" wp14:anchorId="4D0C5CFE" wp14:editId="2D729136">
            <wp:extent cx="5398878" cy="4149306"/>
            <wp:effectExtent l="0" t="0" r="0" b="3810"/>
            <wp:docPr id="57" name="Picture 57" descr="Summary of treatment emergence adverse events with an incidence of ≥ 5%"/>
            <wp:cNvGraphicFramePr/>
            <a:graphic xmlns:a="http://schemas.openxmlformats.org/drawingml/2006/main">
              <a:graphicData uri="http://schemas.openxmlformats.org/drawingml/2006/picture">
                <pic:pic xmlns:pic="http://schemas.openxmlformats.org/drawingml/2006/picture">
                  <pic:nvPicPr>
                    <pic:cNvPr id="57" name="Picture 57" descr="Summary of treatment emergence adverse events with an incidence of ≥ 5%"/>
                    <pic:cNvPicPr/>
                  </pic:nvPicPr>
                  <pic:blipFill rotWithShape="1">
                    <a:blip r:embed="rId34">
                      <a:extLst>
                        <a:ext uri="{28A0092B-C50C-407E-A947-70E740481C1C}">
                          <a14:useLocalDpi xmlns:a14="http://schemas.microsoft.com/office/drawing/2010/main" val="0"/>
                        </a:ext>
                      </a:extLst>
                    </a:blip>
                    <a:srcRect t="7249" b="35590"/>
                    <a:stretch/>
                  </pic:blipFill>
                  <pic:spPr bwMode="auto">
                    <a:xfrm>
                      <a:off x="0" y="0"/>
                      <a:ext cx="5399405" cy="4149711"/>
                    </a:xfrm>
                    <a:prstGeom prst="rect">
                      <a:avLst/>
                    </a:prstGeom>
                    <a:ln>
                      <a:noFill/>
                    </a:ln>
                    <a:extLst>
                      <a:ext uri="{53640926-AAD7-44D8-BBD7-CCE9431645EC}">
                        <a14:shadowObscured xmlns:a14="http://schemas.microsoft.com/office/drawing/2010/main"/>
                      </a:ext>
                    </a:extLst>
                  </pic:spPr>
                </pic:pic>
              </a:graphicData>
            </a:graphic>
          </wp:inline>
        </w:drawing>
      </w:r>
      <w:r>
        <w:rPr>
          <w:noProof/>
          <w:lang w:val="en-GB" w:eastAsia="en-GB"/>
        </w:rPr>
        <w:drawing>
          <wp:inline distT="0" distB="0" distL="0" distR="0" wp14:anchorId="7AFF290C" wp14:editId="32418C9F">
            <wp:extent cx="5400040" cy="2566982"/>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rotWithShape="1">
                    <a:blip r:embed="rId34"/>
                    <a:srcRect t="64641"/>
                    <a:stretch/>
                  </pic:blipFill>
                  <pic:spPr bwMode="auto">
                    <a:xfrm>
                      <a:off x="0" y="0"/>
                      <a:ext cx="5400040" cy="2566982"/>
                    </a:xfrm>
                    <a:prstGeom prst="rect">
                      <a:avLst/>
                    </a:prstGeom>
                    <a:ln>
                      <a:noFill/>
                    </a:ln>
                    <a:extLst>
                      <a:ext uri="{53640926-AAD7-44D8-BBD7-CCE9431645EC}">
                        <a14:shadowObscured xmlns:a14="http://schemas.microsoft.com/office/drawing/2010/main"/>
                      </a:ext>
                    </a:extLst>
                  </pic:spPr>
                </pic:pic>
              </a:graphicData>
            </a:graphic>
          </wp:inline>
        </w:drawing>
      </w:r>
    </w:p>
    <w:p w14:paraId="1319B9B2" w14:textId="77777777" w:rsidR="00750997" w:rsidRDefault="00BE359B">
      <w:pPr>
        <w:pStyle w:val="TableDescription"/>
      </w:pPr>
      <w:r>
        <w:rPr>
          <w:noProof/>
          <w:lang w:val="en-GB" w:eastAsia="en-GB"/>
        </w:rPr>
        <w:lastRenderedPageBreak/>
        <w:drawing>
          <wp:inline distT="0" distB="0" distL="0" distR="0" wp14:anchorId="3B16F771" wp14:editId="7A963CF5">
            <wp:extent cx="5398135" cy="4408098"/>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rotWithShape="1">
                    <a:blip r:embed="rId35"/>
                    <a:srcRect t="-1" b="19682"/>
                    <a:stretch/>
                  </pic:blipFill>
                  <pic:spPr bwMode="auto">
                    <a:xfrm>
                      <a:off x="0" y="0"/>
                      <a:ext cx="5400040" cy="4409654"/>
                    </a:xfrm>
                    <a:prstGeom prst="rect">
                      <a:avLst/>
                    </a:prstGeom>
                    <a:ln>
                      <a:noFill/>
                    </a:ln>
                    <a:extLst>
                      <a:ext uri="{53640926-AAD7-44D8-BBD7-CCE9431645EC}">
                        <a14:shadowObscured xmlns:a14="http://schemas.microsoft.com/office/drawing/2010/main"/>
                      </a:ext>
                    </a:extLst>
                  </pic:spPr>
                </pic:pic>
              </a:graphicData>
            </a:graphic>
          </wp:inline>
        </w:drawing>
      </w:r>
      <w:r w:rsidR="00750997">
        <w:t xml:space="preserve">Abbreviations: AE = adverse event; CTCAE = Common Terminology Criteria for Adverse Events; MedDRA = Medical Dictionary for Regulatory Activities. NCL = National Cancer Institute; TEAE = treatment emergent adverse event </w:t>
      </w:r>
    </w:p>
    <w:p w14:paraId="5DA95DBA" w14:textId="1296BBBD" w:rsidR="00DC0A0B" w:rsidRDefault="00BE359B">
      <w:pPr>
        <w:pStyle w:val="TableDescription"/>
      </w:pPr>
      <w:r>
        <w:t>This table presents TEAEs irrespective of relationship to study treatment.</w:t>
      </w:r>
    </w:p>
    <w:p w14:paraId="3568B13C" w14:textId="03FC56E5" w:rsidR="00DC0A0B" w:rsidRDefault="00BE359B">
      <w:pPr>
        <w:pStyle w:val="TableDescription"/>
      </w:pPr>
      <w:r>
        <w:t>All adverse events were coded using the MedDRA version 22.1. NCI grade were coded using CTCAE version 4.03.</w:t>
      </w:r>
    </w:p>
    <w:p w14:paraId="029E509C" w14:textId="11F593C1" w:rsidR="00DC0A0B" w:rsidRDefault="00BE359B">
      <w:pPr>
        <w:pStyle w:val="TableDescription"/>
      </w:pPr>
      <w:r>
        <w:t xml:space="preserve">A patient is counted only once for multiple occurrences within a </w:t>
      </w:r>
      <w:r w:rsidR="00DA748C">
        <w:t>S</w:t>
      </w:r>
      <w:r>
        <w:t xml:space="preserve">ystem </w:t>
      </w:r>
      <w:r w:rsidR="00DA748C">
        <w:t>O</w:t>
      </w:r>
      <w:r>
        <w:t xml:space="preserve">rgan </w:t>
      </w:r>
      <w:r w:rsidR="00DA748C">
        <w:t>C</w:t>
      </w:r>
      <w:r>
        <w:t>lass/</w:t>
      </w:r>
      <w:r w:rsidR="00DA748C">
        <w:t>P</w:t>
      </w:r>
      <w:r>
        <w:t xml:space="preserve">referred </w:t>
      </w:r>
      <w:r w:rsidR="00DA748C">
        <w:t>T</w:t>
      </w:r>
      <w:r>
        <w:t>erm.</w:t>
      </w:r>
    </w:p>
    <w:p w14:paraId="599D9FCA" w14:textId="6C8446B3" w:rsidR="00DC0A0B" w:rsidRDefault="00BE359B">
      <w:pPr>
        <w:pStyle w:val="TableDescription"/>
      </w:pPr>
      <w:r>
        <w:t xml:space="preserve">For </w:t>
      </w:r>
      <w:r w:rsidR="00DA748C">
        <w:t>System Organ Class</w:t>
      </w:r>
      <w:r>
        <w:t xml:space="preserve">, the table was sorted by decreasing frequency of all grades in </w:t>
      </w:r>
      <w:proofErr w:type="spellStart"/>
      <w:r>
        <w:t>cemiplimab</w:t>
      </w:r>
      <w:proofErr w:type="spellEnd"/>
      <w:r>
        <w:t xml:space="preserve"> arm. Within each </w:t>
      </w:r>
      <w:r w:rsidR="00DA748C">
        <w:t xml:space="preserve">System Organ Class, Preferred Terms </w:t>
      </w:r>
      <w:r>
        <w:t xml:space="preserve">are sorted by decreasing frequency of all grades in the </w:t>
      </w:r>
      <w:proofErr w:type="spellStart"/>
      <w:r>
        <w:t>cemiplimab</w:t>
      </w:r>
      <w:proofErr w:type="spellEnd"/>
      <w:r>
        <w:t xml:space="preserve"> arm.</w:t>
      </w:r>
    </w:p>
    <w:p w14:paraId="7175067C" w14:textId="5D67C9AE" w:rsidR="00DC0A0B" w:rsidRDefault="00BE359B">
      <w:r>
        <w:t xml:space="preserve">The following Grade ≥ 3 TEAEs occurred at a higher incidence (≥ 1% difference) in the </w:t>
      </w:r>
      <w:proofErr w:type="spellStart"/>
      <w:r>
        <w:t>cemiplimab</w:t>
      </w:r>
      <w:proofErr w:type="spellEnd"/>
      <w:r>
        <w:t xml:space="preserve"> arm compared to the chemotherapy arm, aspartate aminotransferase increased (2.3% versus 0.3%), alkaline phosphatase (ALT) increased (1.4% versus 0.3%), hyperkalaemia (4.2% versus 1.9%), death (1.4% versus 0.3%), and pericardial effusion (1.1% versus 0%).</w:t>
      </w:r>
    </w:p>
    <w:p w14:paraId="3186A953" w14:textId="561E13BD" w:rsidR="00DC0A0B" w:rsidRDefault="00BE359B">
      <w:r>
        <w:t xml:space="preserve">Infusion reaction were reported in 20 (5.6%) patients given </w:t>
      </w:r>
      <w:proofErr w:type="spellStart"/>
      <w:r>
        <w:t>cemiplimab</w:t>
      </w:r>
      <w:proofErr w:type="spellEnd"/>
      <w:r>
        <w:t xml:space="preserve">, none of these were ≥ Grade 3. </w:t>
      </w:r>
      <w:r>
        <w:fldChar w:fldCharType="begin"/>
      </w:r>
      <w:r>
        <w:instrText xml:space="preserve"> REF _Ref109395404 \h </w:instrText>
      </w:r>
      <w:r>
        <w:fldChar w:fldCharType="separate"/>
      </w:r>
      <w:r>
        <w:t>Table 10</w:t>
      </w:r>
      <w:r>
        <w:fldChar w:fldCharType="end"/>
      </w:r>
      <w:r>
        <w:t xml:space="preserve"> lists immune</w:t>
      </w:r>
      <w:r>
        <w:noBreakHyphen/>
        <w:t>related adverse event</w:t>
      </w:r>
      <w:r w:rsidR="00750997">
        <w:t>s</w:t>
      </w:r>
      <w:r>
        <w:t xml:space="preserve">. A total of 62 (17.5%) patients given </w:t>
      </w:r>
      <w:proofErr w:type="spellStart"/>
      <w:r>
        <w:t>cemiplimab</w:t>
      </w:r>
      <w:proofErr w:type="spellEnd"/>
      <w:r>
        <w:t xml:space="preserve"> had an immune-related </w:t>
      </w:r>
      <w:r w:rsidR="00DA748C">
        <w:t xml:space="preserve">adverse </w:t>
      </w:r>
      <w:r>
        <w:t xml:space="preserve">event with 13 (3.7%) having </w:t>
      </w:r>
      <w:r w:rsidR="00DA748C">
        <w:t xml:space="preserve">such an event </w:t>
      </w:r>
      <w:r>
        <w:t>of ≥ Grade 3. These events included hyper</w:t>
      </w:r>
      <w:r w:rsidR="00DA748C">
        <w:t>-</w:t>
      </w:r>
      <w:r>
        <w:t xml:space="preserve"> and hypo</w:t>
      </w:r>
      <w:r w:rsidR="00DA748C">
        <w:t>-</w:t>
      </w:r>
      <w:proofErr w:type="spellStart"/>
      <w:r>
        <w:t>thyroidism</w:t>
      </w:r>
      <w:proofErr w:type="spellEnd"/>
      <w:r>
        <w:t xml:space="preserve">, pneumonitis, colitis, and rash. This compares with 8 (2.3%) of patients given chemotherapy having </w:t>
      </w:r>
      <w:r w:rsidR="00DA748C">
        <w:t xml:space="preserve">immune-related adverse event </w:t>
      </w:r>
      <w:r>
        <w:t xml:space="preserve">and only </w:t>
      </w:r>
      <w:r w:rsidR="00DA748C">
        <w:t>one</w:t>
      </w:r>
      <w:r>
        <w:t xml:space="preserve"> of these was ≥</w:t>
      </w:r>
      <w:r w:rsidR="00DA748C">
        <w:t xml:space="preserve"> </w:t>
      </w:r>
      <w:r>
        <w:t>Grade 3.</w:t>
      </w:r>
    </w:p>
    <w:p w14:paraId="75F3F386" w14:textId="7E605511" w:rsidR="00DC0A0B" w:rsidRDefault="00BE359B">
      <w:pPr>
        <w:pStyle w:val="TableTitle"/>
      </w:pPr>
      <w:bookmarkStart w:id="36" w:name="_Ref109395404"/>
      <w:r>
        <w:lastRenderedPageBreak/>
        <w:t xml:space="preserve">Table </w:t>
      </w:r>
      <w:r w:rsidR="00E12242">
        <w:fldChar w:fldCharType="begin"/>
      </w:r>
      <w:r w:rsidR="00E12242">
        <w:instrText xml:space="preserve"> SEQ Table \* ARABIC </w:instrText>
      </w:r>
      <w:r w:rsidR="00E12242">
        <w:fldChar w:fldCharType="separate"/>
      </w:r>
      <w:r>
        <w:t>10</w:t>
      </w:r>
      <w:r w:rsidR="00E12242">
        <w:fldChar w:fldCharType="end"/>
      </w:r>
      <w:bookmarkEnd w:id="36"/>
      <w:r>
        <w:t xml:space="preserve">: </w:t>
      </w:r>
      <w:r w:rsidR="00DA748C">
        <w:t xml:space="preserve">Study R2810-ONC-1624 </w:t>
      </w:r>
      <w:r>
        <w:t>Summary of immune related adverse events per sponsor assessment</w:t>
      </w:r>
    </w:p>
    <w:p w14:paraId="0250DABF" w14:textId="09D80540" w:rsidR="00DC0A0B" w:rsidRDefault="00BE359B">
      <w:r>
        <w:rPr>
          <w:noProof/>
          <w:lang w:val="en-GB" w:eastAsia="en-GB"/>
        </w:rPr>
        <w:drawing>
          <wp:inline distT="0" distB="0" distL="0" distR="0" wp14:anchorId="58B64469" wp14:editId="7C47E81C">
            <wp:extent cx="5399942" cy="4511615"/>
            <wp:effectExtent l="0" t="0" r="0" b="3810"/>
            <wp:docPr id="69" name="Picture 69" descr="Summary of immune related adverse events per sponsor assessment"/>
            <wp:cNvGraphicFramePr/>
            <a:graphic xmlns:a="http://schemas.openxmlformats.org/drawingml/2006/main">
              <a:graphicData uri="http://schemas.openxmlformats.org/drawingml/2006/picture">
                <pic:pic xmlns:pic="http://schemas.openxmlformats.org/drawingml/2006/picture">
                  <pic:nvPicPr>
                    <pic:cNvPr id="69" name="Picture 69" descr="Summary of immune related adverse events per sponsor assessment"/>
                    <pic:cNvPicPr/>
                  </pic:nvPicPr>
                  <pic:blipFill rotWithShape="1">
                    <a:blip r:embed="rId36"/>
                    <a:srcRect t="9284" b="13637"/>
                    <a:stretch/>
                  </pic:blipFill>
                  <pic:spPr bwMode="auto">
                    <a:xfrm>
                      <a:off x="0" y="0"/>
                      <a:ext cx="5400040" cy="4511697"/>
                    </a:xfrm>
                    <a:prstGeom prst="rect">
                      <a:avLst/>
                    </a:prstGeom>
                    <a:ln>
                      <a:noFill/>
                    </a:ln>
                    <a:extLst>
                      <a:ext uri="{53640926-AAD7-44D8-BBD7-CCE9431645EC}">
                        <a14:shadowObscured xmlns:a14="http://schemas.microsoft.com/office/drawing/2010/main"/>
                      </a:ext>
                    </a:extLst>
                  </pic:spPr>
                </pic:pic>
              </a:graphicData>
            </a:graphic>
          </wp:inline>
        </w:drawing>
      </w:r>
    </w:p>
    <w:p w14:paraId="2E1BD9AB" w14:textId="0B6E3D52" w:rsidR="00DA748C" w:rsidRDefault="00DA748C">
      <w:pPr>
        <w:pStyle w:val="TableDescription"/>
      </w:pPr>
      <w:r>
        <w:t xml:space="preserve">Abbreviations: CTCAE = Common Terminology Criteria for Adverse Events; </w:t>
      </w:r>
      <w:proofErr w:type="spellStart"/>
      <w:r>
        <w:t>irAE</w:t>
      </w:r>
      <w:proofErr w:type="spellEnd"/>
      <w:r>
        <w:t xml:space="preserve"> = immune related adverse event; MedDRA = Medical Dictionary for Regulatory Activities. NCL = National Cancer Institute</w:t>
      </w:r>
    </w:p>
    <w:p w14:paraId="3F4E1F3F" w14:textId="5AE82C39" w:rsidR="00DC0A0B" w:rsidRDefault="00BE359B">
      <w:pPr>
        <w:pStyle w:val="TableDescription"/>
      </w:pPr>
      <w:r>
        <w:t xml:space="preserve">All </w:t>
      </w:r>
      <w:r w:rsidR="00DA748C">
        <w:t xml:space="preserve">adverse events </w:t>
      </w:r>
      <w:r>
        <w:t xml:space="preserve">were coded using the MedDRA </w:t>
      </w:r>
      <w:proofErr w:type="spellStart"/>
      <w:r>
        <w:t>vesion</w:t>
      </w:r>
      <w:proofErr w:type="spellEnd"/>
      <w:r>
        <w:t xml:space="preserve"> 22.1. NCI grade were coded using CTCAE version 4.03.</w:t>
      </w:r>
    </w:p>
    <w:p w14:paraId="07FF832E" w14:textId="4A5407DF" w:rsidR="00DC0A0B" w:rsidRDefault="00BE359B">
      <w:pPr>
        <w:pStyle w:val="TableDescription"/>
      </w:pPr>
      <w:r>
        <w:t>A patient is counted only once for multiple occurrences within a preferred term.</w:t>
      </w:r>
    </w:p>
    <w:p w14:paraId="14BEBF98" w14:textId="54AC5FC0" w:rsidR="00DC0A0B" w:rsidRDefault="00BE359B">
      <w:pPr>
        <w:pStyle w:val="TableDescription"/>
      </w:pPr>
      <w:r>
        <w:t xml:space="preserve">The table was sorted by decreasing frequency of all grades in the </w:t>
      </w:r>
      <w:proofErr w:type="spellStart"/>
      <w:r>
        <w:t>cemiplimab</w:t>
      </w:r>
      <w:proofErr w:type="spellEnd"/>
      <w:r>
        <w:t xml:space="preserve"> arm.</w:t>
      </w:r>
    </w:p>
    <w:p w14:paraId="5F1988F8" w14:textId="77777777" w:rsidR="00DC0A0B" w:rsidRDefault="00BE359B">
      <w:pPr>
        <w:pStyle w:val="Heading3"/>
        <w:rPr>
          <w:lang w:eastAsia="en-AU"/>
        </w:rPr>
      </w:pPr>
      <w:bookmarkStart w:id="37" w:name="_Toc110247356"/>
      <w:r>
        <w:rPr>
          <w:lang w:eastAsia="en-AU"/>
        </w:rPr>
        <w:t>Risk management plan</w:t>
      </w:r>
      <w:bookmarkEnd w:id="37"/>
    </w:p>
    <w:p w14:paraId="71A88A80" w14:textId="3ED10003" w:rsidR="00DC0A0B" w:rsidRDefault="00BE359B">
      <w:r>
        <w:t>The sponsor has submitted European Union (EU)-risk management plan (RMP) version 1.0 (26 April 2019; data lock point (DLP) 10 October) and Australia specific annex (ASA) version 1.0 (31 July 2019) at first round evaluation and an updated ASA, version 1.1 (28</w:t>
      </w:r>
      <w:r w:rsidR="00DA748C">
        <w:t> </w:t>
      </w:r>
      <w:r>
        <w:t>February 2020) at second round evaluation in support of this application.</w:t>
      </w:r>
    </w:p>
    <w:p w14:paraId="69D64CBB" w14:textId="36EDEA71" w:rsidR="00DC0A0B" w:rsidRDefault="00BE359B">
      <w:r>
        <w:t xml:space="preserve">The summary of safety concerns and their associated risk monitoring and mitigation strategies are summarised in </w:t>
      </w:r>
      <w:r>
        <w:fldChar w:fldCharType="begin"/>
      </w:r>
      <w:r>
        <w:instrText xml:space="preserve"> REF _Ref97629131 \h </w:instrText>
      </w:r>
      <w:r>
        <w:fldChar w:fldCharType="separate"/>
      </w:r>
      <w:r>
        <w:t>Table 11</w:t>
      </w:r>
      <w:r>
        <w:fldChar w:fldCharType="end"/>
      </w:r>
      <w:r>
        <w:t xml:space="preserve">. Further information regarding the TGA’s risk management approach can be found in </w:t>
      </w:r>
      <w:hyperlink r:id="rId37" w:history="1">
        <w:r>
          <w:rPr>
            <w:rStyle w:val="Hyperlink"/>
          </w:rPr>
          <w:t>risk management plans for medicines and biologicals</w:t>
        </w:r>
      </w:hyperlink>
      <w:r>
        <w:t xml:space="preserve"> and </w:t>
      </w:r>
      <w:hyperlink r:id="rId38" w:history="1">
        <w:r>
          <w:rPr>
            <w:rStyle w:val="Hyperlink"/>
          </w:rPr>
          <w:t>the TGA's risk management approach</w:t>
        </w:r>
      </w:hyperlink>
      <w:r>
        <w:t>.</w:t>
      </w:r>
    </w:p>
    <w:p w14:paraId="5D4A8211" w14:textId="18B75A6F" w:rsidR="00DC0A0B" w:rsidRDefault="00BE359B">
      <w:pPr>
        <w:pStyle w:val="TableTitle"/>
      </w:pPr>
      <w:bookmarkStart w:id="38" w:name="_Ref97629131"/>
      <w:r>
        <w:lastRenderedPageBreak/>
        <w:t xml:space="preserve">Table </w:t>
      </w:r>
      <w:r w:rsidR="00E12242">
        <w:fldChar w:fldCharType="begin"/>
      </w:r>
      <w:r w:rsidR="00E12242">
        <w:instrText xml:space="preserve"> SEQ Table \* ARABIC </w:instrText>
      </w:r>
      <w:r w:rsidR="00E12242">
        <w:fldChar w:fldCharType="separate"/>
      </w:r>
      <w:r>
        <w:t>11</w:t>
      </w:r>
      <w:r w:rsidR="00E12242">
        <w:fldChar w:fldCharType="end"/>
      </w:r>
      <w:bookmarkEnd w:id="38"/>
      <w:r>
        <w:t>: Summary of safety concerns</w:t>
      </w:r>
    </w:p>
    <w:tbl>
      <w:tblPr>
        <w:tblStyle w:val="TableTGAblue"/>
        <w:tblW w:w="5000" w:type="pct"/>
        <w:tblLook w:val="04A0" w:firstRow="1" w:lastRow="0" w:firstColumn="1" w:lastColumn="0" w:noHBand="0" w:noVBand="1"/>
      </w:tblPr>
      <w:tblGrid>
        <w:gridCol w:w="1553"/>
        <w:gridCol w:w="1955"/>
        <w:gridCol w:w="1142"/>
        <w:gridCol w:w="1351"/>
        <w:gridCol w:w="1142"/>
        <w:gridCol w:w="1351"/>
      </w:tblGrid>
      <w:tr w:rsidR="00DC0A0B" w:rsidRPr="00DA748C" w14:paraId="5A76B057" w14:textId="77777777" w:rsidTr="00DC0A0B">
        <w:trPr>
          <w:cnfStyle w:val="100000000000" w:firstRow="1" w:lastRow="0" w:firstColumn="0" w:lastColumn="0" w:oddVBand="0" w:evenVBand="0" w:oddHBand="0" w:evenHBand="0" w:firstRowFirstColumn="0" w:firstRowLastColumn="0" w:lastRowFirstColumn="0" w:lastRowLastColumn="0"/>
          <w:trHeight w:val="131"/>
        </w:trPr>
        <w:tc>
          <w:tcPr>
            <w:tcW w:w="2429" w:type="pct"/>
            <w:gridSpan w:val="2"/>
            <w:vMerge w:val="restart"/>
            <w:tcBorders>
              <w:top w:val="single" w:sz="4" w:space="0" w:color="auto"/>
              <w:left w:val="single" w:sz="4" w:space="0" w:color="auto"/>
              <w:bottom w:val="single" w:sz="4" w:space="0" w:color="auto"/>
              <w:right w:val="single" w:sz="4" w:space="0" w:color="auto"/>
            </w:tcBorders>
          </w:tcPr>
          <w:p w14:paraId="0E6CA1BE" w14:textId="77777777" w:rsidR="00DC0A0B" w:rsidRPr="004A22ED" w:rsidRDefault="00BE359B" w:rsidP="004A22ED">
            <w:r w:rsidRPr="004A22ED">
              <w:t>Summary of safety concerns</w:t>
            </w:r>
          </w:p>
        </w:tc>
        <w:tc>
          <w:tcPr>
            <w:tcW w:w="1286" w:type="pct"/>
            <w:gridSpan w:val="2"/>
            <w:tcBorders>
              <w:top w:val="single" w:sz="4" w:space="0" w:color="auto"/>
              <w:left w:val="single" w:sz="4" w:space="0" w:color="auto"/>
              <w:bottom w:val="single" w:sz="4" w:space="0" w:color="auto"/>
              <w:right w:val="single" w:sz="4" w:space="0" w:color="auto"/>
            </w:tcBorders>
          </w:tcPr>
          <w:p w14:paraId="7885A826" w14:textId="77777777" w:rsidR="00DC0A0B" w:rsidRPr="004A22ED" w:rsidRDefault="00BE359B" w:rsidP="004A22ED">
            <w:r w:rsidRPr="004A22ED">
              <w:t>Pharmacovigilance</w:t>
            </w:r>
          </w:p>
        </w:tc>
        <w:tc>
          <w:tcPr>
            <w:tcW w:w="1286" w:type="pct"/>
            <w:gridSpan w:val="2"/>
            <w:tcBorders>
              <w:top w:val="single" w:sz="4" w:space="0" w:color="auto"/>
              <w:left w:val="single" w:sz="4" w:space="0" w:color="auto"/>
              <w:bottom w:val="single" w:sz="4" w:space="0" w:color="auto"/>
              <w:right w:val="single" w:sz="4" w:space="0" w:color="auto"/>
            </w:tcBorders>
          </w:tcPr>
          <w:p w14:paraId="3A90A780" w14:textId="77777777" w:rsidR="00DC0A0B" w:rsidRPr="004A22ED" w:rsidRDefault="00BE359B" w:rsidP="004A22ED">
            <w:r w:rsidRPr="004A22ED">
              <w:t>Risk Minimisation</w:t>
            </w:r>
          </w:p>
        </w:tc>
      </w:tr>
      <w:tr w:rsidR="00DC0A0B" w:rsidRPr="00DA748C" w14:paraId="381635B7" w14:textId="77777777" w:rsidTr="00DC0A0B">
        <w:trPr>
          <w:trHeight w:val="150"/>
        </w:trPr>
        <w:tc>
          <w:tcPr>
            <w:tcW w:w="2429" w:type="pct"/>
            <w:gridSpan w:val="2"/>
            <w:vMerge/>
            <w:tcBorders>
              <w:top w:val="single" w:sz="4" w:space="0" w:color="auto"/>
              <w:left w:val="single" w:sz="4" w:space="0" w:color="auto"/>
              <w:bottom w:val="single" w:sz="4" w:space="0" w:color="auto"/>
              <w:right w:val="single" w:sz="4" w:space="0" w:color="auto"/>
            </w:tcBorders>
            <w:shd w:val="clear" w:color="auto" w:fill="006DA7"/>
          </w:tcPr>
          <w:p w14:paraId="1657E774" w14:textId="77777777" w:rsidR="00DC0A0B" w:rsidRPr="004A22ED" w:rsidRDefault="00DC0A0B" w:rsidP="004A22ED"/>
        </w:tc>
        <w:tc>
          <w:tcPr>
            <w:tcW w:w="584" w:type="pct"/>
            <w:tcBorders>
              <w:top w:val="single" w:sz="4" w:space="0" w:color="auto"/>
              <w:left w:val="single" w:sz="4" w:space="0" w:color="auto"/>
              <w:bottom w:val="single" w:sz="4" w:space="0" w:color="auto"/>
              <w:right w:val="single" w:sz="4" w:space="0" w:color="auto"/>
            </w:tcBorders>
            <w:shd w:val="clear" w:color="auto" w:fill="006DA7"/>
          </w:tcPr>
          <w:p w14:paraId="45570B8E" w14:textId="77777777" w:rsidR="00DC0A0B" w:rsidRPr="004A22ED" w:rsidRDefault="00BE359B" w:rsidP="004A22ED">
            <w:r w:rsidRPr="004A22ED">
              <w:t>Routine</w:t>
            </w:r>
          </w:p>
        </w:tc>
        <w:tc>
          <w:tcPr>
            <w:tcW w:w="702" w:type="pct"/>
            <w:tcBorders>
              <w:top w:val="single" w:sz="4" w:space="0" w:color="auto"/>
              <w:left w:val="single" w:sz="4" w:space="0" w:color="auto"/>
              <w:bottom w:val="single" w:sz="4" w:space="0" w:color="auto"/>
              <w:right w:val="single" w:sz="4" w:space="0" w:color="auto"/>
            </w:tcBorders>
            <w:shd w:val="clear" w:color="auto" w:fill="006DA7"/>
          </w:tcPr>
          <w:p w14:paraId="37632C31" w14:textId="77777777" w:rsidR="00DC0A0B" w:rsidRPr="004A22ED" w:rsidRDefault="00BE359B" w:rsidP="004A22ED">
            <w:r w:rsidRPr="004A22ED">
              <w:t>Additional</w:t>
            </w:r>
          </w:p>
        </w:tc>
        <w:tc>
          <w:tcPr>
            <w:tcW w:w="584" w:type="pct"/>
            <w:tcBorders>
              <w:top w:val="single" w:sz="4" w:space="0" w:color="auto"/>
              <w:left w:val="single" w:sz="4" w:space="0" w:color="auto"/>
              <w:bottom w:val="single" w:sz="4" w:space="0" w:color="auto"/>
              <w:right w:val="single" w:sz="4" w:space="0" w:color="auto"/>
            </w:tcBorders>
            <w:shd w:val="clear" w:color="auto" w:fill="006DA7"/>
          </w:tcPr>
          <w:p w14:paraId="72A312F6" w14:textId="77777777" w:rsidR="00DC0A0B" w:rsidRPr="004A22ED" w:rsidRDefault="00BE359B" w:rsidP="004A22ED">
            <w:r w:rsidRPr="004A22ED">
              <w:t>Routine</w:t>
            </w:r>
          </w:p>
        </w:tc>
        <w:tc>
          <w:tcPr>
            <w:tcW w:w="702" w:type="pct"/>
            <w:tcBorders>
              <w:top w:val="single" w:sz="4" w:space="0" w:color="auto"/>
              <w:left w:val="single" w:sz="4" w:space="0" w:color="auto"/>
              <w:bottom w:val="single" w:sz="4" w:space="0" w:color="auto"/>
              <w:right w:val="single" w:sz="4" w:space="0" w:color="auto"/>
            </w:tcBorders>
            <w:shd w:val="clear" w:color="auto" w:fill="006DA7"/>
          </w:tcPr>
          <w:p w14:paraId="751B6C49" w14:textId="77777777" w:rsidR="00DC0A0B" w:rsidRPr="004A22ED" w:rsidRDefault="00BE359B" w:rsidP="004A22ED">
            <w:r w:rsidRPr="004A22ED">
              <w:t>Additional</w:t>
            </w:r>
          </w:p>
        </w:tc>
      </w:tr>
      <w:tr w:rsidR="00DC0A0B" w:rsidRPr="00DA748C" w14:paraId="737CBE81" w14:textId="77777777" w:rsidTr="00DC0A0B">
        <w:trPr>
          <w:trHeight w:val="137"/>
        </w:trPr>
        <w:tc>
          <w:tcPr>
            <w:tcW w:w="949" w:type="pct"/>
            <w:vMerge w:val="restart"/>
            <w:tcBorders>
              <w:top w:val="single" w:sz="4" w:space="0" w:color="auto"/>
            </w:tcBorders>
          </w:tcPr>
          <w:p w14:paraId="4717776F" w14:textId="77777777" w:rsidR="00DC0A0B" w:rsidRPr="004A22ED" w:rsidRDefault="00BE359B" w:rsidP="004A22ED">
            <w:pPr>
              <w:rPr>
                <w:b/>
              </w:rPr>
            </w:pPr>
            <w:r w:rsidRPr="004A22ED">
              <w:rPr>
                <w:b/>
              </w:rPr>
              <w:t>Important identified risks</w:t>
            </w:r>
          </w:p>
        </w:tc>
        <w:tc>
          <w:tcPr>
            <w:tcW w:w="1480" w:type="pct"/>
            <w:tcBorders>
              <w:top w:val="single" w:sz="4" w:space="0" w:color="auto"/>
            </w:tcBorders>
          </w:tcPr>
          <w:p w14:paraId="6A4DC1E0" w14:textId="77777777" w:rsidR="00DC0A0B" w:rsidRPr="004A22ED" w:rsidRDefault="00BE359B" w:rsidP="004A22ED">
            <w:r w:rsidRPr="004A22ED">
              <w:t>Immune-related adverse reactions (</w:t>
            </w:r>
            <w:proofErr w:type="spellStart"/>
            <w:r w:rsidRPr="004A22ED">
              <w:t>irARs</w:t>
            </w:r>
            <w:proofErr w:type="spellEnd"/>
            <w:r w:rsidRPr="004A22ED">
              <w:t xml:space="preserve">) (such as immune-related pneumonitis, colitis, hepatitis, endocrinopathies, immune-related skin adverse reactions, nephritis, and other </w:t>
            </w:r>
            <w:proofErr w:type="spellStart"/>
            <w:r w:rsidRPr="004A22ED">
              <w:t>irARs</w:t>
            </w:r>
            <w:proofErr w:type="spellEnd"/>
            <w:r w:rsidRPr="004A22ED">
              <w:t>)</w:t>
            </w:r>
          </w:p>
        </w:tc>
        <w:tc>
          <w:tcPr>
            <w:tcW w:w="584" w:type="pct"/>
            <w:tcBorders>
              <w:top w:val="single" w:sz="4" w:space="0" w:color="auto"/>
            </w:tcBorders>
          </w:tcPr>
          <w:p w14:paraId="4413A570" w14:textId="77777777" w:rsidR="00DC0A0B" w:rsidRPr="004A22ED" w:rsidRDefault="00BE359B" w:rsidP="004A22ED">
            <w:pPr>
              <w:jc w:val="center"/>
            </w:pPr>
            <w:r w:rsidRPr="004A22ED">
              <w:sym w:font="Wingdings" w:char="F0FC"/>
            </w:r>
            <w:r w:rsidRPr="004A22ED">
              <w:t>*</w:t>
            </w:r>
          </w:p>
        </w:tc>
        <w:tc>
          <w:tcPr>
            <w:tcW w:w="702" w:type="pct"/>
            <w:tcBorders>
              <w:top w:val="single" w:sz="4" w:space="0" w:color="auto"/>
            </w:tcBorders>
          </w:tcPr>
          <w:p w14:paraId="40BE8537" w14:textId="77777777" w:rsidR="00DC0A0B" w:rsidRPr="004A22ED" w:rsidRDefault="00BE359B" w:rsidP="004A22ED">
            <w:pPr>
              <w:jc w:val="center"/>
            </w:pPr>
            <w:r w:rsidRPr="004A22ED">
              <w:sym w:font="Wingdings" w:char="F0FC"/>
            </w:r>
            <w:r w:rsidRPr="004A22ED">
              <w:t>†</w:t>
            </w:r>
          </w:p>
        </w:tc>
        <w:tc>
          <w:tcPr>
            <w:tcW w:w="584" w:type="pct"/>
            <w:tcBorders>
              <w:top w:val="single" w:sz="4" w:space="0" w:color="auto"/>
            </w:tcBorders>
          </w:tcPr>
          <w:p w14:paraId="68096C6A" w14:textId="77777777" w:rsidR="00DC0A0B" w:rsidRPr="004A22ED" w:rsidRDefault="00BE359B" w:rsidP="004A22ED">
            <w:pPr>
              <w:jc w:val="center"/>
            </w:pPr>
            <w:r w:rsidRPr="004A22ED">
              <w:sym w:font="Wingdings" w:char="F0FC"/>
            </w:r>
          </w:p>
        </w:tc>
        <w:tc>
          <w:tcPr>
            <w:tcW w:w="702" w:type="pct"/>
            <w:tcBorders>
              <w:top w:val="single" w:sz="4" w:space="0" w:color="auto"/>
            </w:tcBorders>
          </w:tcPr>
          <w:p w14:paraId="4C910BC1" w14:textId="77777777" w:rsidR="00DC0A0B" w:rsidRPr="004A22ED" w:rsidRDefault="00BE359B" w:rsidP="004A22ED">
            <w:pPr>
              <w:jc w:val="center"/>
            </w:pPr>
            <w:r w:rsidRPr="004A22ED">
              <w:sym w:font="Wingdings" w:char="F0FC"/>
            </w:r>
            <w:r w:rsidRPr="004A22ED">
              <w:t>‡</w:t>
            </w:r>
          </w:p>
        </w:tc>
      </w:tr>
      <w:tr w:rsidR="00DC0A0B" w:rsidRPr="00DA748C" w14:paraId="2AAF8A09" w14:textId="77777777" w:rsidTr="00DC0A0B">
        <w:trPr>
          <w:trHeight w:val="94"/>
        </w:trPr>
        <w:tc>
          <w:tcPr>
            <w:tcW w:w="949" w:type="pct"/>
            <w:vMerge/>
          </w:tcPr>
          <w:p w14:paraId="13A56170" w14:textId="77777777" w:rsidR="00DC0A0B" w:rsidRPr="004A22ED" w:rsidRDefault="00DC0A0B" w:rsidP="004A22ED">
            <w:pPr>
              <w:rPr>
                <w:b/>
              </w:rPr>
            </w:pPr>
          </w:p>
        </w:tc>
        <w:tc>
          <w:tcPr>
            <w:tcW w:w="1480" w:type="pct"/>
          </w:tcPr>
          <w:p w14:paraId="4A97C1DB" w14:textId="77777777" w:rsidR="00DC0A0B" w:rsidRPr="004A22ED" w:rsidRDefault="00BE359B" w:rsidP="004A22ED">
            <w:r w:rsidRPr="004A22ED">
              <w:t>Infusion-related reactions (IRRs)</w:t>
            </w:r>
          </w:p>
        </w:tc>
        <w:tc>
          <w:tcPr>
            <w:tcW w:w="584" w:type="pct"/>
          </w:tcPr>
          <w:p w14:paraId="3AF4C2EE" w14:textId="77777777" w:rsidR="00DC0A0B" w:rsidRPr="004A22ED" w:rsidRDefault="00BE359B" w:rsidP="004A22ED">
            <w:pPr>
              <w:jc w:val="center"/>
            </w:pPr>
            <w:r w:rsidRPr="004A22ED">
              <w:sym w:font="Wingdings" w:char="F0FC"/>
            </w:r>
            <w:r w:rsidRPr="004A22ED">
              <w:t>*</w:t>
            </w:r>
          </w:p>
        </w:tc>
        <w:tc>
          <w:tcPr>
            <w:tcW w:w="702" w:type="pct"/>
          </w:tcPr>
          <w:p w14:paraId="5AE6EC2A" w14:textId="77777777" w:rsidR="00DC0A0B" w:rsidRPr="004A22ED" w:rsidRDefault="00BE359B" w:rsidP="004A22ED">
            <w:pPr>
              <w:jc w:val="center"/>
            </w:pPr>
            <w:r w:rsidRPr="004A22ED">
              <w:sym w:font="Wingdings" w:char="F0FC"/>
            </w:r>
            <w:r w:rsidRPr="004A22ED">
              <w:t>†</w:t>
            </w:r>
          </w:p>
        </w:tc>
        <w:tc>
          <w:tcPr>
            <w:tcW w:w="584" w:type="pct"/>
          </w:tcPr>
          <w:p w14:paraId="67FF00F0" w14:textId="77777777" w:rsidR="00DC0A0B" w:rsidRPr="004A22ED" w:rsidRDefault="00BE359B" w:rsidP="004A22ED">
            <w:pPr>
              <w:jc w:val="center"/>
            </w:pPr>
            <w:r w:rsidRPr="004A22ED">
              <w:sym w:font="Wingdings" w:char="F0FC"/>
            </w:r>
          </w:p>
        </w:tc>
        <w:tc>
          <w:tcPr>
            <w:tcW w:w="702" w:type="pct"/>
          </w:tcPr>
          <w:p w14:paraId="3CD3F6CA" w14:textId="77777777" w:rsidR="00DC0A0B" w:rsidRPr="004A22ED" w:rsidRDefault="00BE359B" w:rsidP="004A22ED">
            <w:pPr>
              <w:jc w:val="center"/>
            </w:pPr>
            <w:r w:rsidRPr="004A22ED">
              <w:sym w:font="Wingdings" w:char="F0FC"/>
            </w:r>
            <w:r w:rsidRPr="004A22ED">
              <w:t>‡</w:t>
            </w:r>
          </w:p>
        </w:tc>
      </w:tr>
      <w:tr w:rsidR="00DC0A0B" w:rsidRPr="00DA748C" w14:paraId="62F28BEE" w14:textId="77777777" w:rsidTr="00DC0A0B">
        <w:trPr>
          <w:trHeight w:val="159"/>
        </w:trPr>
        <w:tc>
          <w:tcPr>
            <w:tcW w:w="949" w:type="pct"/>
          </w:tcPr>
          <w:p w14:paraId="2B4F4F44" w14:textId="77777777" w:rsidR="00DC0A0B" w:rsidRPr="004A22ED" w:rsidRDefault="00BE359B" w:rsidP="004A22ED">
            <w:pPr>
              <w:rPr>
                <w:b/>
              </w:rPr>
            </w:pPr>
            <w:r w:rsidRPr="004A22ED">
              <w:rPr>
                <w:b/>
              </w:rPr>
              <w:t>Important potential risks</w:t>
            </w:r>
          </w:p>
        </w:tc>
        <w:tc>
          <w:tcPr>
            <w:tcW w:w="1480" w:type="pct"/>
          </w:tcPr>
          <w:p w14:paraId="1CA0AEEF" w14:textId="77777777" w:rsidR="00DC0A0B" w:rsidRPr="004A22ED" w:rsidRDefault="00BE359B" w:rsidP="004A22ED">
            <w:r w:rsidRPr="004A22ED">
              <w:t>Lack of effect due to anti-drug antibodies</w:t>
            </w:r>
          </w:p>
        </w:tc>
        <w:tc>
          <w:tcPr>
            <w:tcW w:w="584" w:type="pct"/>
          </w:tcPr>
          <w:p w14:paraId="5B63C863" w14:textId="77777777" w:rsidR="00DC0A0B" w:rsidRPr="004A22ED" w:rsidRDefault="00BE359B" w:rsidP="004A22ED">
            <w:pPr>
              <w:jc w:val="center"/>
            </w:pPr>
            <w:r w:rsidRPr="004A22ED">
              <w:sym w:font="Wingdings" w:char="F0FC"/>
            </w:r>
          </w:p>
        </w:tc>
        <w:tc>
          <w:tcPr>
            <w:tcW w:w="702" w:type="pct"/>
          </w:tcPr>
          <w:p w14:paraId="1E0B5555" w14:textId="77777777" w:rsidR="00DC0A0B" w:rsidRPr="004A22ED" w:rsidRDefault="00BE359B" w:rsidP="004A22ED">
            <w:pPr>
              <w:jc w:val="center"/>
            </w:pPr>
            <w:r w:rsidRPr="004A22ED">
              <w:sym w:font="Wingdings" w:char="F0FC"/>
            </w:r>
            <w:r w:rsidRPr="004A22ED">
              <w:t>†</w:t>
            </w:r>
          </w:p>
        </w:tc>
        <w:tc>
          <w:tcPr>
            <w:tcW w:w="584" w:type="pct"/>
          </w:tcPr>
          <w:p w14:paraId="33D56FC7" w14:textId="77777777" w:rsidR="00DC0A0B" w:rsidRPr="004A22ED" w:rsidRDefault="00BE359B" w:rsidP="004A22ED">
            <w:pPr>
              <w:jc w:val="center"/>
            </w:pPr>
            <w:r w:rsidRPr="004A22ED">
              <w:sym w:font="Wingdings" w:char="F0FC"/>
            </w:r>
          </w:p>
        </w:tc>
        <w:tc>
          <w:tcPr>
            <w:tcW w:w="702" w:type="pct"/>
          </w:tcPr>
          <w:p w14:paraId="1E2DED3A" w14:textId="77777777" w:rsidR="00DC0A0B" w:rsidRPr="004A22ED" w:rsidRDefault="00BE359B" w:rsidP="004A22ED">
            <w:pPr>
              <w:jc w:val="center"/>
            </w:pPr>
            <w:r w:rsidRPr="004A22ED">
              <w:t>–</w:t>
            </w:r>
          </w:p>
        </w:tc>
      </w:tr>
      <w:tr w:rsidR="00DC0A0B" w:rsidRPr="00DA748C" w14:paraId="4A545F20" w14:textId="77777777" w:rsidTr="00DC0A0B">
        <w:trPr>
          <w:trHeight w:val="178"/>
        </w:trPr>
        <w:tc>
          <w:tcPr>
            <w:tcW w:w="949" w:type="pct"/>
          </w:tcPr>
          <w:p w14:paraId="0DEF1CB4" w14:textId="77777777" w:rsidR="00DC0A0B" w:rsidRPr="004A22ED" w:rsidRDefault="00BE359B" w:rsidP="004A22ED">
            <w:pPr>
              <w:rPr>
                <w:b/>
              </w:rPr>
            </w:pPr>
            <w:r w:rsidRPr="004A22ED">
              <w:rPr>
                <w:b/>
              </w:rPr>
              <w:t>Missing information</w:t>
            </w:r>
          </w:p>
        </w:tc>
        <w:tc>
          <w:tcPr>
            <w:tcW w:w="1480" w:type="pct"/>
          </w:tcPr>
          <w:p w14:paraId="292CE6CE" w14:textId="77777777" w:rsidR="00DC0A0B" w:rsidRPr="004A22ED" w:rsidRDefault="00BE359B" w:rsidP="004A22ED">
            <w:r w:rsidRPr="004A22ED">
              <w:t>Long-term safety data</w:t>
            </w:r>
          </w:p>
        </w:tc>
        <w:tc>
          <w:tcPr>
            <w:tcW w:w="584" w:type="pct"/>
          </w:tcPr>
          <w:p w14:paraId="3A9F3644" w14:textId="77777777" w:rsidR="00DC0A0B" w:rsidRPr="004A22ED" w:rsidRDefault="00BE359B" w:rsidP="004A22ED">
            <w:pPr>
              <w:jc w:val="center"/>
            </w:pPr>
            <w:r w:rsidRPr="004A22ED">
              <w:sym w:font="Wingdings" w:char="F0FC"/>
            </w:r>
          </w:p>
        </w:tc>
        <w:tc>
          <w:tcPr>
            <w:tcW w:w="702" w:type="pct"/>
          </w:tcPr>
          <w:p w14:paraId="08F1A8D8" w14:textId="77777777" w:rsidR="00DC0A0B" w:rsidRPr="004A22ED" w:rsidRDefault="00BE359B" w:rsidP="004A22ED">
            <w:pPr>
              <w:jc w:val="center"/>
            </w:pPr>
            <w:r w:rsidRPr="004A22ED">
              <w:sym w:font="Wingdings" w:char="F0FC"/>
            </w:r>
            <w:r w:rsidRPr="004A22ED">
              <w:t>†</w:t>
            </w:r>
          </w:p>
        </w:tc>
        <w:tc>
          <w:tcPr>
            <w:tcW w:w="584" w:type="pct"/>
          </w:tcPr>
          <w:p w14:paraId="39E72DA7" w14:textId="77777777" w:rsidR="00DC0A0B" w:rsidRPr="004A22ED" w:rsidRDefault="00BE359B" w:rsidP="004A22ED">
            <w:pPr>
              <w:jc w:val="center"/>
            </w:pPr>
            <w:r w:rsidRPr="004A22ED">
              <w:t>–</w:t>
            </w:r>
          </w:p>
        </w:tc>
        <w:tc>
          <w:tcPr>
            <w:tcW w:w="702" w:type="pct"/>
          </w:tcPr>
          <w:p w14:paraId="74CF2892" w14:textId="77777777" w:rsidR="00DC0A0B" w:rsidRPr="004A22ED" w:rsidRDefault="00BE359B" w:rsidP="004A22ED">
            <w:pPr>
              <w:jc w:val="center"/>
            </w:pPr>
            <w:r w:rsidRPr="004A22ED">
              <w:t>–</w:t>
            </w:r>
          </w:p>
        </w:tc>
      </w:tr>
    </w:tbl>
    <w:p w14:paraId="061180A2" w14:textId="57A62C9A" w:rsidR="00DA748C" w:rsidRDefault="00DA748C">
      <w:pPr>
        <w:pStyle w:val="TableDescription"/>
      </w:pPr>
      <w:r>
        <w:t xml:space="preserve">Abbreviations: </w:t>
      </w:r>
      <w:proofErr w:type="spellStart"/>
      <w:r>
        <w:t>irAR</w:t>
      </w:r>
      <w:proofErr w:type="spellEnd"/>
      <w:r>
        <w:t xml:space="preserve"> = immune-related adverse reaction; IRR = infusion-related reaction.</w:t>
      </w:r>
    </w:p>
    <w:p w14:paraId="21D232A8" w14:textId="780C2C6E" w:rsidR="00DC0A0B" w:rsidRDefault="00BE359B">
      <w:pPr>
        <w:pStyle w:val="TableDescription"/>
      </w:pPr>
      <w:r>
        <w:t>* Specific adverse reaction follow up questionnaires</w:t>
      </w:r>
    </w:p>
    <w:p w14:paraId="17EE1D51" w14:textId="77777777" w:rsidR="00DC0A0B" w:rsidRDefault="00BE359B">
      <w:pPr>
        <w:pStyle w:val="TableDescription"/>
      </w:pPr>
      <w:r>
        <w:t>† Study R2813-ONC-1540</w:t>
      </w:r>
    </w:p>
    <w:p w14:paraId="24E76E71" w14:textId="77777777" w:rsidR="00DC0A0B" w:rsidRDefault="00BE359B">
      <w:pPr>
        <w:pStyle w:val="TableDescription"/>
      </w:pPr>
      <w:r>
        <w:t>‡ Patient Guide and Patient Alert Card</w:t>
      </w:r>
    </w:p>
    <w:p w14:paraId="5D849980" w14:textId="77777777" w:rsidR="00DC0A0B" w:rsidRDefault="00BE359B">
      <w:r>
        <w:t xml:space="preserve">Routine risk minimisation activities have been proposed for important identified and potential risks. Additional risk minimisation materials, a patient guide and patient alert card, have been proposed for important identified risks. This is acceptable to the RMP evaluator who has advised that the sponsor should submit the draft additional risk minimisation materials to the TGA for review at least 6 weeks prior to the planned supply date of </w:t>
      </w:r>
      <w:proofErr w:type="spellStart"/>
      <w:r>
        <w:t>Libtayo</w:t>
      </w:r>
      <w:proofErr w:type="spellEnd"/>
      <w:r>
        <w:t xml:space="preserve"> in Australia.</w:t>
      </w:r>
    </w:p>
    <w:p w14:paraId="60F111E1" w14:textId="77777777" w:rsidR="00DC0A0B" w:rsidRDefault="00BE359B">
      <w:pPr>
        <w:pStyle w:val="Heading3"/>
      </w:pPr>
      <w:bookmarkStart w:id="39" w:name="_Toc110247357"/>
      <w:r>
        <w:lastRenderedPageBreak/>
        <w:t>Risk-benefit analysis</w:t>
      </w:r>
      <w:bookmarkEnd w:id="39"/>
    </w:p>
    <w:p w14:paraId="1B47DD3A" w14:textId="77777777" w:rsidR="00DC0A0B" w:rsidRDefault="00BE359B">
      <w:pPr>
        <w:pStyle w:val="Heading4"/>
      </w:pPr>
      <w:r>
        <w:t>Delegate’s considerations</w:t>
      </w:r>
    </w:p>
    <w:p w14:paraId="1861DBD4" w14:textId="72FA59F7" w:rsidR="00DC0A0B" w:rsidRDefault="00BE359B">
      <w:r>
        <w:t xml:space="preserve">There was a clear survival and </w:t>
      </w:r>
      <w:r w:rsidR="00DA748C">
        <w:t xml:space="preserve">progression-free survival </w:t>
      </w:r>
      <w:r>
        <w:t xml:space="preserve">advantage for monotherapy </w:t>
      </w:r>
      <w:proofErr w:type="spellStart"/>
      <w:r>
        <w:t>cemiplimab</w:t>
      </w:r>
      <w:proofErr w:type="spellEnd"/>
      <w:r>
        <w:t xml:space="preserve"> over the various platinum doublet combinations given as comparators for adult patients with </w:t>
      </w:r>
      <w:r w:rsidR="00DA748C">
        <w:t>non-small cell lung cancer (</w:t>
      </w:r>
      <w:r>
        <w:t>NSCLC</w:t>
      </w:r>
      <w:r w:rsidR="00DA748C">
        <w:t>)</w:t>
      </w:r>
      <w:r>
        <w:t xml:space="preserve"> expressing PD-L1 (in ≥ 50% tumour cells) with no </w:t>
      </w:r>
      <w:r>
        <w:rPr>
          <w:i/>
          <w:iCs/>
        </w:rPr>
        <w:t>EGFR</w:t>
      </w:r>
      <w:r>
        <w:t xml:space="preserve">, </w:t>
      </w:r>
      <w:r>
        <w:rPr>
          <w:i/>
          <w:iCs/>
        </w:rPr>
        <w:t>ALK</w:t>
      </w:r>
      <w:r>
        <w:t xml:space="preserve"> or </w:t>
      </w:r>
      <w:r>
        <w:rPr>
          <w:i/>
          <w:iCs/>
        </w:rPr>
        <w:t>ROS1</w:t>
      </w:r>
      <w:r>
        <w:t xml:space="preserve"> </w:t>
      </w:r>
      <w:r w:rsidR="00DA748C">
        <w:t xml:space="preserve">genomic </w:t>
      </w:r>
      <w:r>
        <w:t>aberrations, who have either locally advanced NSCLC and who are not candidates for surgical resection or definitive chemoradiation, or have progressed after treatment with definitive chemo-radiation, or who have metastatic NSCLC. Efficacy was demonstrated for both squamous cell and adenocarcinoma. The issues regarding efficacy of most concern are the relatively few patients with locally advanced NSCLC included in the study and the use of kits to identify PD-L1 expression.</w:t>
      </w:r>
    </w:p>
    <w:p w14:paraId="7D3B0F95" w14:textId="6694A2B7" w:rsidR="00DC0A0B" w:rsidRDefault="00BE359B">
      <w:r>
        <w:t xml:space="preserve">Some consideration should also be given to time to response, though this was not formally assessed in the study it is apparent from the Kaplan-Meier plots of </w:t>
      </w:r>
      <w:r w:rsidR="00DA748C">
        <w:t xml:space="preserve">overall survival </w:t>
      </w:r>
      <w:r>
        <w:t xml:space="preserve">and </w:t>
      </w:r>
      <w:r w:rsidR="00DA748C">
        <w:t xml:space="preserve">progression-free survival </w:t>
      </w:r>
      <w:r>
        <w:t xml:space="preserve">that responses are apparent in the first 4 to 6 months of treatment. To date statements regarding duration of treatment in patients with no response have not been included in the </w:t>
      </w:r>
      <w:r w:rsidR="00DA748C">
        <w:t>Product Information (</w:t>
      </w:r>
      <w:r>
        <w:t>PI</w:t>
      </w:r>
      <w:r w:rsidR="00DA748C">
        <w:t>)</w:t>
      </w:r>
      <w:r>
        <w:t>. Given the safety and quality of life concerns with continuing treatment it may be that the PI should include a specific statement regarding when treatment should be ceased in patients who are not responding.</w:t>
      </w:r>
    </w:p>
    <w:p w14:paraId="5F4066B3" w14:textId="19B34136" w:rsidR="00DC0A0B" w:rsidRDefault="00DA748C">
      <w:r>
        <w:t xml:space="preserve">Concerning </w:t>
      </w:r>
      <w:r w:rsidR="00BE359B">
        <w:t>NSCLC tumour histology</w:t>
      </w:r>
      <w:r>
        <w:t>,</w:t>
      </w:r>
      <w:r w:rsidR="00BE359B">
        <w:t xml:space="preserve"> </w:t>
      </w:r>
      <w:r>
        <w:t xml:space="preserve">there was </w:t>
      </w:r>
      <w:r w:rsidR="00BE359B">
        <w:t>some effect in patients with squamous cell carcinomas having proportionally fewer deaths and progression events than patients with adenocarcinoma. Age had minimal effect on relative efficacy. There were few females included in this study and efficacy in that group was somewhat less than for males however given the small sample size and that this was an exploratory analysis, conclusions can’t be drawn from those results.</w:t>
      </w:r>
    </w:p>
    <w:p w14:paraId="4E418509" w14:textId="338BA21E" w:rsidR="00DC0A0B" w:rsidRDefault="00BE359B">
      <w:r>
        <w:t xml:space="preserve">The approach to tumour PD-L1 testing in Australia is evolving. It has been the practice to not identify a specific test method for identification of the presence of PD-L1. Given this study required tumours to have at least 50% PD-L1 positivity in the tumour sample, the Delegate considers that this should be a requirement for use of </w:t>
      </w:r>
      <w:proofErr w:type="spellStart"/>
      <w:r>
        <w:t>cemiplimab</w:t>
      </w:r>
      <w:proofErr w:type="spellEnd"/>
      <w:r>
        <w:t xml:space="preserve"> as monotherapy in the first line setting. Use of therapies as neo-adjuvants and adjuvants to surgery/ radiotherapy is not precluded.</w:t>
      </w:r>
    </w:p>
    <w:p w14:paraId="365D0570" w14:textId="77777777" w:rsidR="00DC0A0B" w:rsidRDefault="00BE359B">
      <w:pPr>
        <w:pStyle w:val="Heading4"/>
      </w:pPr>
      <w:r>
        <w:t>Conclusion</w:t>
      </w:r>
    </w:p>
    <w:p w14:paraId="29A67494" w14:textId="7DEE3059" w:rsidR="00DC0A0B" w:rsidRDefault="00BE359B">
      <w:r>
        <w:t>The Delegate proposes to approve the following indication for monotherapy first-line NSCLC:</w:t>
      </w:r>
    </w:p>
    <w:p w14:paraId="71D311E7" w14:textId="5042DF0F" w:rsidR="00DC0A0B" w:rsidRDefault="00BE359B">
      <w:pPr>
        <w:ind w:left="720"/>
        <w:rPr>
          <w:i/>
          <w:iCs/>
        </w:rPr>
      </w:pPr>
      <w:r>
        <w:rPr>
          <w:i/>
          <w:iCs/>
        </w:rPr>
        <w:t>Non-Small Cell Lung Cancer (NSCLC)</w:t>
      </w:r>
    </w:p>
    <w:p w14:paraId="4962B757" w14:textId="77777777" w:rsidR="00DC0A0B" w:rsidRDefault="00BE359B">
      <w:pPr>
        <w:ind w:left="720"/>
        <w:rPr>
          <w:i/>
          <w:iCs/>
        </w:rPr>
      </w:pPr>
      <w:r>
        <w:rPr>
          <w:i/>
          <w:iCs/>
        </w:rPr>
        <w:t xml:space="preserve">For the first-line treatment of patients with NSCLC whose tumours have  high PD-L1 expression [Tumour Proportion Score (TPS) ≥ 50%] as determined by a validated test, with no EGFR, ALK or ROS1 aberrations, and is: </w:t>
      </w:r>
    </w:p>
    <w:p w14:paraId="6B205826" w14:textId="53176ACD" w:rsidR="00DC0A0B" w:rsidRDefault="00BE359B">
      <w:pPr>
        <w:pStyle w:val="ListBullet"/>
        <w:ind w:left="1080"/>
        <w:rPr>
          <w:i/>
          <w:iCs/>
        </w:rPr>
      </w:pPr>
      <w:r>
        <w:rPr>
          <w:i/>
          <w:iCs/>
        </w:rPr>
        <w:t xml:space="preserve">locally advanced where patients are not candidates for surgical resection or definitive chemoradiation or </w:t>
      </w:r>
    </w:p>
    <w:p w14:paraId="3203AE56" w14:textId="0F4586D7" w:rsidR="00DC0A0B" w:rsidRDefault="00BE359B">
      <w:pPr>
        <w:pStyle w:val="ListBullet"/>
        <w:ind w:left="1080"/>
        <w:rPr>
          <w:i/>
          <w:iCs/>
        </w:rPr>
      </w:pPr>
      <w:r>
        <w:rPr>
          <w:i/>
          <w:iCs/>
        </w:rPr>
        <w:t>metastatic.</w:t>
      </w:r>
    </w:p>
    <w:p w14:paraId="4B3653A1" w14:textId="77777777" w:rsidR="00DC0A0B" w:rsidRDefault="00BE359B">
      <w:pPr>
        <w:pStyle w:val="Heading4"/>
      </w:pPr>
      <w:bookmarkStart w:id="40" w:name="_Toc98931936"/>
      <w:bookmarkEnd w:id="22"/>
      <w:r>
        <w:lastRenderedPageBreak/>
        <w:t>Advisory Committee considerations</w:t>
      </w:r>
      <w:bookmarkEnd w:id="40"/>
    </w:p>
    <w:p w14:paraId="7E3317E2" w14:textId="7A8FC29F" w:rsidR="00DC0A0B" w:rsidRDefault="00BE359B">
      <w:pPr>
        <w:rPr>
          <w:bCs/>
        </w:rPr>
      </w:pPr>
      <w:r>
        <w:rPr>
          <w:bCs/>
        </w:rPr>
        <w:t xml:space="preserve">The </w:t>
      </w:r>
      <w:hyperlink r:id="rId39" w:history="1">
        <w:r>
          <w:rPr>
            <w:rStyle w:val="Hyperlink"/>
            <w:szCs w:val="21"/>
          </w:rPr>
          <w:t>Advisory Committee on Medicines (ACM)</w:t>
        </w:r>
      </w:hyperlink>
      <w:r>
        <w:rPr>
          <w:color w:val="007099"/>
          <w:szCs w:val="21"/>
        </w:rPr>
        <w:t xml:space="preserve"> </w:t>
      </w:r>
      <w:r>
        <w:rPr>
          <w:bCs/>
        </w:rPr>
        <w:t>having considered the evaluations and the Delegate’s overview, as well as the sponsor’s response to these documents, advised the following.</w:t>
      </w:r>
    </w:p>
    <w:p w14:paraId="0928357C" w14:textId="77777777" w:rsidR="00DC0A0B" w:rsidRDefault="00BE359B">
      <w:pPr>
        <w:pStyle w:val="Heading5"/>
      </w:pPr>
      <w:r>
        <w:t>Specific advice to the Delegate</w:t>
      </w:r>
    </w:p>
    <w:p w14:paraId="0B542720" w14:textId="5CCA241F" w:rsidR="00DC0A0B" w:rsidRDefault="00BE359B">
      <w:pPr>
        <w:pStyle w:val="Numberbullet0"/>
        <w:numPr>
          <w:ilvl w:val="0"/>
          <w:numId w:val="38"/>
        </w:numPr>
        <w:rPr>
          <w:b/>
          <w:bCs/>
          <w:i/>
          <w:iCs/>
        </w:rPr>
      </w:pPr>
      <w:r>
        <w:rPr>
          <w:b/>
          <w:bCs/>
          <w:i/>
          <w:iCs/>
        </w:rPr>
        <w:t xml:space="preserve">The proposed indication for </w:t>
      </w:r>
      <w:r w:rsidR="00DA748C">
        <w:rPr>
          <w:b/>
          <w:bCs/>
          <w:i/>
          <w:iCs/>
        </w:rPr>
        <w:t>non-small cell lung cancer (</w:t>
      </w:r>
      <w:r>
        <w:rPr>
          <w:b/>
          <w:bCs/>
          <w:i/>
          <w:iCs/>
        </w:rPr>
        <w:t>NSCLC</w:t>
      </w:r>
      <w:r w:rsidR="00DA748C">
        <w:rPr>
          <w:b/>
          <w:bCs/>
          <w:i/>
          <w:iCs/>
        </w:rPr>
        <w:t>)</w:t>
      </w:r>
      <w:r>
        <w:rPr>
          <w:b/>
          <w:bCs/>
          <w:i/>
          <w:iCs/>
        </w:rPr>
        <w:t xml:space="preserve"> requires testing of tumour for quantification of PD-L1 expression. In the pivotal trial for this indication</w:t>
      </w:r>
      <w:r w:rsidR="00DA748C">
        <w:rPr>
          <w:b/>
          <w:bCs/>
          <w:i/>
          <w:iCs/>
        </w:rPr>
        <w:t>,</w:t>
      </w:r>
      <w:r>
        <w:rPr>
          <w:b/>
          <w:bCs/>
          <w:i/>
          <w:iCs/>
        </w:rPr>
        <w:t xml:space="preserve"> 3662 patients were screened with 710 </w:t>
      </w:r>
      <w:r w:rsidR="00DA748C">
        <w:rPr>
          <w:b/>
          <w:bCs/>
          <w:i/>
          <w:iCs/>
        </w:rPr>
        <w:t xml:space="preserve">patients </w:t>
      </w:r>
      <w:r>
        <w:rPr>
          <w:b/>
          <w:bCs/>
          <w:i/>
          <w:iCs/>
        </w:rPr>
        <w:t xml:space="preserve">randomised. Does the Committee have concerns regarding identification of patients in Australia who are likely to benefit from </w:t>
      </w:r>
      <w:proofErr w:type="spellStart"/>
      <w:r w:rsidR="00DA748C">
        <w:rPr>
          <w:b/>
          <w:bCs/>
          <w:i/>
          <w:iCs/>
        </w:rPr>
        <w:t>Libtayo</w:t>
      </w:r>
      <w:proofErr w:type="spellEnd"/>
      <w:r w:rsidR="00DA748C">
        <w:rPr>
          <w:b/>
          <w:bCs/>
          <w:i/>
          <w:iCs/>
        </w:rPr>
        <w:t xml:space="preserve"> </w:t>
      </w:r>
      <w:r>
        <w:rPr>
          <w:b/>
          <w:bCs/>
          <w:i/>
          <w:iCs/>
        </w:rPr>
        <w:t>for this indication?</w:t>
      </w:r>
    </w:p>
    <w:p w14:paraId="366DB950" w14:textId="21C5225D" w:rsidR="00DC0A0B" w:rsidRDefault="00BE359B">
      <w:r>
        <w:t xml:space="preserve">The ACM did not express concerns regarding identification of patients in Australia who are likely to benefit from </w:t>
      </w:r>
      <w:proofErr w:type="spellStart"/>
      <w:r>
        <w:t>Libtayo</w:t>
      </w:r>
      <w:proofErr w:type="spellEnd"/>
      <w:r>
        <w:t xml:space="preserve"> for the NSCLC identification.</w:t>
      </w:r>
    </w:p>
    <w:p w14:paraId="0B439113" w14:textId="71C7B762" w:rsidR="00DC0A0B" w:rsidRDefault="00BE359B">
      <w:r>
        <w:t>The ACM advised that PD-L1 expression is a continuum and that PD-L1 ≥ 50% on NSCLC cells is a reasonable cut off, noting that the higher the PD-L1 the better the response in general.</w:t>
      </w:r>
    </w:p>
    <w:p w14:paraId="08F3CF37" w14:textId="77777777" w:rsidR="00DC0A0B" w:rsidRDefault="00BE359B">
      <w:pPr>
        <w:pStyle w:val="Numberbullet0"/>
        <w:rPr>
          <w:b/>
          <w:bCs/>
          <w:i/>
          <w:iCs/>
        </w:rPr>
      </w:pPr>
      <w:r>
        <w:rPr>
          <w:b/>
          <w:bCs/>
          <w:i/>
          <w:iCs/>
        </w:rPr>
        <w:t>Please comment on the availability of tumour PD-L1 testing in Australia.</w:t>
      </w:r>
    </w:p>
    <w:p w14:paraId="0C612835" w14:textId="55A3DBE6" w:rsidR="00DC0A0B" w:rsidRDefault="00BE359B">
      <w:r>
        <w:t>The ACM advised that identification of patients with PD-L1 ≥ 50% on tumour cells in NSCLC is already widely available in Australia using assays equivalent to PD-L1 IHC 22C3 pharmDx</w:t>
      </w:r>
      <w:r w:rsidR="008C6BD7">
        <w:t>;</w:t>
      </w:r>
      <w:r w:rsidR="008C6BD7" w:rsidRPr="004A22ED">
        <w:rPr>
          <w:vertAlign w:val="superscript"/>
        </w:rPr>
        <w:fldChar w:fldCharType="begin"/>
      </w:r>
      <w:r w:rsidR="008C6BD7" w:rsidRPr="004A22ED">
        <w:rPr>
          <w:vertAlign w:val="superscript"/>
        </w:rPr>
        <w:instrText xml:space="preserve"> NOTEREF _Ref111560190 \h </w:instrText>
      </w:r>
      <w:r w:rsidR="008C6BD7">
        <w:rPr>
          <w:vertAlign w:val="superscript"/>
        </w:rPr>
        <w:instrText xml:space="preserve"> \* MERGEFORMAT </w:instrText>
      </w:r>
      <w:r w:rsidR="008C6BD7" w:rsidRPr="004A22ED">
        <w:rPr>
          <w:vertAlign w:val="superscript"/>
        </w:rPr>
      </w:r>
      <w:r w:rsidR="008C6BD7" w:rsidRPr="004A22ED">
        <w:rPr>
          <w:vertAlign w:val="superscript"/>
        </w:rPr>
        <w:fldChar w:fldCharType="separate"/>
      </w:r>
      <w:r w:rsidR="008C6BD7" w:rsidRPr="004A22ED">
        <w:rPr>
          <w:vertAlign w:val="superscript"/>
        </w:rPr>
        <w:t>16</w:t>
      </w:r>
      <w:r w:rsidR="008C6BD7" w:rsidRPr="004A22ED">
        <w:rPr>
          <w:vertAlign w:val="superscript"/>
        </w:rPr>
        <w:fldChar w:fldCharType="end"/>
      </w:r>
      <w:r>
        <w:t xml:space="preserve"> the assay used in the trials. Additionally, the ACM advised that pathologists are adequately trained in these assays, and there are quality assurance processes in place.</w:t>
      </w:r>
    </w:p>
    <w:p w14:paraId="065027B7" w14:textId="763EC719" w:rsidR="00DC0A0B" w:rsidRDefault="00BE359B">
      <w:r>
        <w:t>The ACM elaborated that it is likely that most laboratories use the Ventana SP263 PD-L1 assay</w:t>
      </w:r>
      <w:r w:rsidR="008C6BD7">
        <w:t>;</w:t>
      </w:r>
      <w:r w:rsidR="008C6BD7">
        <w:rPr>
          <w:rStyle w:val="FootnoteReference"/>
        </w:rPr>
        <w:footnoteReference w:id="18"/>
      </w:r>
      <w:r>
        <w:t xml:space="preserve"> or a 22C3 laboratory determined test (LDT) rather than ‘PD-L1 IHC 22C3 </w:t>
      </w:r>
      <w:proofErr w:type="spellStart"/>
      <w:r>
        <w:t>pharmDx</w:t>
      </w:r>
      <w:proofErr w:type="spellEnd"/>
      <w:r>
        <w:t xml:space="preserve">’ as the latter requires a specific </w:t>
      </w:r>
      <w:proofErr w:type="spellStart"/>
      <w:r>
        <w:t>Dako</w:t>
      </w:r>
      <w:proofErr w:type="spellEnd"/>
      <w:r>
        <w:t xml:space="preserve"> IHC platform </w:t>
      </w:r>
      <w:r w:rsidR="00136DF1">
        <w:t>[</w:t>
      </w:r>
      <w:proofErr w:type="spellStart"/>
      <w:r w:rsidR="00136DF1">
        <w:t>autostainer</w:t>
      </w:r>
      <w:proofErr w:type="spellEnd"/>
      <w:r w:rsidR="00136DF1">
        <w:t xml:space="preserve">] </w:t>
      </w:r>
      <w:r>
        <w:t>(</w:t>
      </w:r>
      <w:proofErr w:type="spellStart"/>
      <w:r>
        <w:t>Dako</w:t>
      </w:r>
      <w:proofErr w:type="spellEnd"/>
      <w:r>
        <w:t xml:space="preserve"> Link 48) that few laboratories in Australia have.</w:t>
      </w:r>
    </w:p>
    <w:p w14:paraId="4C103C45" w14:textId="77777777" w:rsidR="00DC0A0B" w:rsidRDefault="00BE359B">
      <w:r>
        <w:t xml:space="preserve">The ACM commented that since the PD-L1 22C3 </w:t>
      </w:r>
      <w:proofErr w:type="spellStart"/>
      <w:r>
        <w:t>pharmDx</w:t>
      </w:r>
      <w:proofErr w:type="spellEnd"/>
      <w:r>
        <w:t xml:space="preserve"> test is less available, it would be beneficial to have Ventana SP263 IHC labelled for use in </w:t>
      </w:r>
      <w:proofErr w:type="spellStart"/>
      <w:r>
        <w:t>cemiplimab</w:t>
      </w:r>
      <w:proofErr w:type="spellEnd"/>
      <w:r>
        <w:t xml:space="preserve"> as this assay is widely used in Australia.</w:t>
      </w:r>
    </w:p>
    <w:p w14:paraId="25E50407" w14:textId="77777777" w:rsidR="00DC0A0B" w:rsidRDefault="00BE359B">
      <w:pPr>
        <w:rPr>
          <w:b/>
          <w:bCs/>
          <w:i/>
          <w:iCs/>
        </w:rPr>
      </w:pPr>
      <w:r>
        <w:rPr>
          <w:b/>
          <w:bCs/>
          <w:i/>
          <w:iCs/>
        </w:rPr>
        <w:t>Pertaining to both indications</w:t>
      </w:r>
    </w:p>
    <w:p w14:paraId="5DD835AA" w14:textId="47B74BE6" w:rsidR="00DC0A0B" w:rsidRDefault="00BE359B">
      <w:pPr>
        <w:pStyle w:val="Numberbullet0"/>
        <w:rPr>
          <w:b/>
          <w:bCs/>
          <w:i/>
          <w:iCs/>
        </w:rPr>
      </w:pPr>
      <w:r>
        <w:rPr>
          <w:b/>
          <w:bCs/>
          <w:i/>
          <w:iCs/>
        </w:rPr>
        <w:t xml:space="preserve">While it is not usual to specify a duration of treatment prior to observing a response to treatment nearly all patients who responded did so within 6 months of commencing </w:t>
      </w:r>
      <w:proofErr w:type="spellStart"/>
      <w:r>
        <w:rPr>
          <w:b/>
          <w:bCs/>
          <w:i/>
          <w:iCs/>
        </w:rPr>
        <w:t>cemiplimab</w:t>
      </w:r>
      <w:proofErr w:type="spellEnd"/>
      <w:r>
        <w:rPr>
          <w:b/>
          <w:bCs/>
          <w:i/>
          <w:iCs/>
        </w:rPr>
        <w:t>. Does the Committee consider the PI should include a statement recommending cessation of treatment if a response is not observed in the first 6 months of treatment?</w:t>
      </w:r>
    </w:p>
    <w:p w14:paraId="15D32A82" w14:textId="1761059E" w:rsidR="00DC0A0B" w:rsidRDefault="00BE359B">
      <w:r>
        <w:t xml:space="preserve">The ACM was of the opinion that a statement in the PI recommending cessation of treatment if a response is not observed in the first 6 months of treatment is not needed for use in NSCLC. While the ACM acknowledged that most patients who are going to have a response to </w:t>
      </w:r>
      <w:proofErr w:type="spellStart"/>
      <w:r>
        <w:t>cemiplimab</w:t>
      </w:r>
      <w:proofErr w:type="spellEnd"/>
      <w:r>
        <w:t xml:space="preserve"> do so in the first 6 months, they agreed that some patients are late responders and that the toxicity/benefit profile over time should be left to </w:t>
      </w:r>
      <w:r w:rsidR="00136DF1">
        <w:t xml:space="preserve">a </w:t>
      </w:r>
      <w:r>
        <w:t>clinical decision.</w:t>
      </w:r>
    </w:p>
    <w:p w14:paraId="07E308B2" w14:textId="54EBD315" w:rsidR="00DC0A0B" w:rsidRDefault="00BE359B">
      <w:pPr>
        <w:pStyle w:val="Heading5"/>
      </w:pPr>
      <w:r>
        <w:t>Conclusion</w:t>
      </w:r>
    </w:p>
    <w:p w14:paraId="2D3A5584" w14:textId="3D4DF6D6" w:rsidR="00DC0A0B" w:rsidRDefault="00BE359B">
      <w:r>
        <w:t xml:space="preserve">The ACM considered this product to have an overall positive benefit-risk profile for the </w:t>
      </w:r>
      <w:r w:rsidR="00136DF1">
        <w:t xml:space="preserve">following indication </w:t>
      </w:r>
      <w:proofErr w:type="spellStart"/>
      <w:r>
        <w:t>indication</w:t>
      </w:r>
      <w:proofErr w:type="spellEnd"/>
      <w:r>
        <w:t>:</w:t>
      </w:r>
    </w:p>
    <w:p w14:paraId="31EF85DE" w14:textId="393888AA" w:rsidR="00DC0A0B" w:rsidRPr="004A22ED" w:rsidRDefault="00BE359B" w:rsidP="004A22ED">
      <w:pPr>
        <w:ind w:firstLine="720"/>
        <w:rPr>
          <w:b/>
          <w:bCs/>
          <w:i/>
        </w:rPr>
      </w:pPr>
      <w:r w:rsidRPr="004A22ED">
        <w:rPr>
          <w:b/>
          <w:bCs/>
          <w:i/>
        </w:rPr>
        <w:lastRenderedPageBreak/>
        <w:t>Non-Small Cell Lung Cancer (NSCLC)</w:t>
      </w:r>
    </w:p>
    <w:p w14:paraId="4CEF521D" w14:textId="0A37F48E" w:rsidR="00DC0A0B" w:rsidRDefault="00BE359B">
      <w:pPr>
        <w:ind w:left="720"/>
        <w:rPr>
          <w:i/>
          <w:iCs/>
        </w:rPr>
      </w:pPr>
      <w:r>
        <w:rPr>
          <w:i/>
          <w:iCs/>
        </w:rPr>
        <w:t>Treatment of adult patients with non-small cell lung cancer (NSCLC) expressing PD</w:t>
      </w:r>
      <w:r w:rsidR="00136DF1">
        <w:rPr>
          <w:i/>
          <w:iCs/>
        </w:rPr>
        <w:noBreakHyphen/>
      </w:r>
      <w:r>
        <w:rPr>
          <w:i/>
          <w:iCs/>
        </w:rPr>
        <w:t>L1 (in ≥ 50% tumour cells) as determined by a validated test and with no EGFR, ALK or ROS1 aberrations, who have</w:t>
      </w:r>
    </w:p>
    <w:p w14:paraId="142E12C8" w14:textId="684384DF" w:rsidR="00DC0A0B" w:rsidRDefault="00BE359B">
      <w:pPr>
        <w:pStyle w:val="ListBullet2"/>
        <w:rPr>
          <w:i/>
          <w:iCs/>
        </w:rPr>
      </w:pPr>
      <w:r>
        <w:rPr>
          <w:i/>
          <w:iCs/>
        </w:rPr>
        <w:t>locally advanced NSCLC and who are not candidates for surgical resection or definitive chemoradiation, or have progressed after treatment with definitive chemo-radiation, or</w:t>
      </w:r>
    </w:p>
    <w:p w14:paraId="56A395E7" w14:textId="00B2827A" w:rsidR="00DC0A0B" w:rsidRDefault="00BE359B">
      <w:pPr>
        <w:pStyle w:val="ListBullet2"/>
      </w:pPr>
      <w:r>
        <w:rPr>
          <w:i/>
          <w:iCs/>
        </w:rPr>
        <w:t>metastatic NSCLC</w:t>
      </w:r>
    </w:p>
    <w:p w14:paraId="27B3B8FD" w14:textId="77777777" w:rsidR="00DC0A0B" w:rsidRDefault="00BE359B">
      <w:pPr>
        <w:pStyle w:val="Heading2"/>
      </w:pPr>
      <w:bookmarkStart w:id="41" w:name="_Toc110247358"/>
      <w:r>
        <w:t>Outcome</w:t>
      </w:r>
      <w:bookmarkEnd w:id="41"/>
    </w:p>
    <w:p w14:paraId="34CC7FBA" w14:textId="096ABE25" w:rsidR="00DC0A0B" w:rsidRPr="00136DF1" w:rsidRDefault="00BE359B">
      <w:bookmarkStart w:id="42" w:name="_Toc314842517"/>
      <w:r w:rsidRPr="00136DF1">
        <w:t xml:space="preserve">Based on a review of quality, safety, and efficacy, the TGA approved the registration of </w:t>
      </w:r>
      <w:proofErr w:type="spellStart"/>
      <w:r w:rsidRPr="00136DF1">
        <w:t>Libtayo</w:t>
      </w:r>
      <w:proofErr w:type="spellEnd"/>
      <w:r w:rsidRPr="00136DF1">
        <w:t xml:space="preserve"> (</w:t>
      </w:r>
      <w:proofErr w:type="spellStart"/>
      <w:r w:rsidRPr="00136DF1">
        <w:t>cemiplimab</w:t>
      </w:r>
      <w:proofErr w:type="spellEnd"/>
      <w:r w:rsidRPr="00136DF1">
        <w:t>) 350 mg,</w:t>
      </w:r>
      <w:r w:rsidRPr="004A22ED">
        <w:t xml:space="preserve"> concentrate for solution for infusion</w:t>
      </w:r>
      <w:r w:rsidRPr="00136DF1">
        <w:t>, vial, for the following extension of indications:</w:t>
      </w:r>
    </w:p>
    <w:p w14:paraId="12296DBE" w14:textId="77777777" w:rsidR="00DC0A0B" w:rsidRDefault="00BE359B">
      <w:pPr>
        <w:ind w:left="720"/>
        <w:rPr>
          <w:i/>
          <w:iCs/>
        </w:rPr>
      </w:pPr>
      <w:r>
        <w:rPr>
          <w:i/>
          <w:iCs/>
        </w:rPr>
        <w:t>Non-Small Cell Lung Cancer</w:t>
      </w:r>
    </w:p>
    <w:p w14:paraId="5A63CB31" w14:textId="01BBAAA5" w:rsidR="00DC0A0B" w:rsidRDefault="00BE359B">
      <w:pPr>
        <w:ind w:left="720"/>
        <w:rPr>
          <w:i/>
          <w:iCs/>
        </w:rPr>
      </w:pPr>
      <w:proofErr w:type="spellStart"/>
      <w:r>
        <w:rPr>
          <w:i/>
          <w:iCs/>
        </w:rPr>
        <w:t>Libtayo</w:t>
      </w:r>
      <w:proofErr w:type="spellEnd"/>
      <w:r>
        <w:rPr>
          <w:i/>
          <w:iCs/>
        </w:rPr>
        <w:t xml:space="preserve"> as monotherapy is indicated for the first-line treatment of adult patients with non-small cell lung cancer (NSCLC) expressing PD-L1 tumour proportion score (TPS) ≥</w:t>
      </w:r>
      <w:r w:rsidR="00136DF1">
        <w:rPr>
          <w:i/>
          <w:iCs/>
        </w:rPr>
        <w:t> </w:t>
      </w:r>
      <w:r>
        <w:rPr>
          <w:i/>
          <w:iCs/>
        </w:rPr>
        <w:t>50% as determined by a validated test, with no EGFR, ALK or ROS1 aberrations, who have:</w:t>
      </w:r>
    </w:p>
    <w:p w14:paraId="41770758" w14:textId="53C0EACA" w:rsidR="00DC0A0B" w:rsidRDefault="00BE359B">
      <w:pPr>
        <w:pStyle w:val="ListBullet"/>
        <w:ind w:left="1080"/>
        <w:rPr>
          <w:i/>
          <w:iCs/>
        </w:rPr>
      </w:pPr>
      <w:r>
        <w:rPr>
          <w:i/>
          <w:iCs/>
        </w:rPr>
        <w:t>locally advanced NSCLC and who are not candidates for surgical resection or definitive chemoradiation, or</w:t>
      </w:r>
    </w:p>
    <w:p w14:paraId="244CD6CB" w14:textId="268D6E21" w:rsidR="00DC0A0B" w:rsidRDefault="00BE359B">
      <w:pPr>
        <w:pStyle w:val="ListBullet"/>
        <w:ind w:left="1080"/>
      </w:pPr>
      <w:r>
        <w:rPr>
          <w:i/>
          <w:iCs/>
        </w:rPr>
        <w:t>metastatic NSCLC.</w:t>
      </w:r>
    </w:p>
    <w:p w14:paraId="370F1272" w14:textId="77777777" w:rsidR="00DC0A0B" w:rsidRDefault="00BE359B">
      <w:r>
        <w:t>As such, the full indications at this time were:</w:t>
      </w:r>
    </w:p>
    <w:p w14:paraId="16688352" w14:textId="77777777" w:rsidR="00DC0A0B" w:rsidRPr="004A22ED" w:rsidRDefault="00BE359B">
      <w:pPr>
        <w:ind w:left="720"/>
        <w:rPr>
          <w:b/>
          <w:i/>
          <w:iCs/>
        </w:rPr>
      </w:pPr>
      <w:r w:rsidRPr="004A22ED">
        <w:rPr>
          <w:b/>
          <w:i/>
          <w:iCs/>
        </w:rPr>
        <w:t>Cutaneous Squamous Cell Carcinoma</w:t>
      </w:r>
    </w:p>
    <w:p w14:paraId="42829444" w14:textId="0809A3BB" w:rsidR="00DC0A0B" w:rsidRDefault="00BE359B">
      <w:pPr>
        <w:ind w:left="720"/>
        <w:rPr>
          <w:i/>
          <w:iCs/>
        </w:rPr>
      </w:pPr>
      <w:proofErr w:type="spellStart"/>
      <w:r>
        <w:rPr>
          <w:i/>
          <w:iCs/>
        </w:rPr>
        <w:t>Libtayo</w:t>
      </w:r>
      <w:proofErr w:type="spellEnd"/>
      <w:r>
        <w:rPr>
          <w:i/>
          <w:iCs/>
        </w:rPr>
        <w:t xml:space="preserve"> as monotherapy has provisional approval in Australia for the treatment of adult patients with metastatic or locally advanced cutaneous squamous cell carcinoma (</w:t>
      </w:r>
      <w:proofErr w:type="spellStart"/>
      <w:r>
        <w:rPr>
          <w:i/>
          <w:iCs/>
        </w:rPr>
        <w:t>mCSCC</w:t>
      </w:r>
      <w:proofErr w:type="spellEnd"/>
      <w:r>
        <w:rPr>
          <w:i/>
          <w:iCs/>
        </w:rPr>
        <w:t xml:space="preserve"> or </w:t>
      </w:r>
      <w:proofErr w:type="spellStart"/>
      <w:r>
        <w:rPr>
          <w:i/>
          <w:iCs/>
        </w:rPr>
        <w:t>laCSCC</w:t>
      </w:r>
      <w:proofErr w:type="spellEnd"/>
      <w:r>
        <w:rPr>
          <w:i/>
          <w:iCs/>
        </w:rPr>
        <w:t>) who are not candidates for curative surgery or curative radiation.</w:t>
      </w:r>
    </w:p>
    <w:p w14:paraId="267EC660" w14:textId="77777777" w:rsidR="00DC0A0B" w:rsidRDefault="00BE359B">
      <w:pPr>
        <w:ind w:left="720"/>
        <w:rPr>
          <w:i/>
          <w:iCs/>
        </w:rPr>
      </w:pPr>
      <w:r>
        <w:rPr>
          <w:i/>
          <w:iCs/>
        </w:rPr>
        <w:t>The decision to approve this indication has been made on the basis of objective response rate (ORR) and duration of response from single arm clinical studies. The sponsor is required to submit further clinical data to confirm the clinical benefit of the medicine.</w:t>
      </w:r>
    </w:p>
    <w:p w14:paraId="688D2A43" w14:textId="77777777" w:rsidR="00DC0A0B" w:rsidRPr="004A22ED" w:rsidRDefault="00BE359B">
      <w:pPr>
        <w:ind w:left="720"/>
        <w:rPr>
          <w:b/>
          <w:i/>
          <w:iCs/>
        </w:rPr>
      </w:pPr>
      <w:r w:rsidRPr="004A22ED">
        <w:rPr>
          <w:b/>
          <w:i/>
          <w:iCs/>
        </w:rPr>
        <w:t>Basal Cell Carcinoma</w:t>
      </w:r>
    </w:p>
    <w:p w14:paraId="0A9B40EF" w14:textId="31111D10" w:rsidR="00DC0A0B" w:rsidRDefault="00BE359B">
      <w:pPr>
        <w:ind w:left="720"/>
        <w:rPr>
          <w:i/>
          <w:iCs/>
        </w:rPr>
      </w:pPr>
      <w:proofErr w:type="spellStart"/>
      <w:r>
        <w:rPr>
          <w:i/>
          <w:iCs/>
        </w:rPr>
        <w:t>Libtayo</w:t>
      </w:r>
      <w:proofErr w:type="spellEnd"/>
      <w:r>
        <w:rPr>
          <w:i/>
          <w:iCs/>
        </w:rPr>
        <w:t xml:space="preserve"> as monotherapy is indicated for the treatment of adult patients with locally advanced basal cell carcinoma (BCC) previously treated with a hedgehog pathway inhibitor or for whom a hedgehog pathway inhibitor is not appropriate.</w:t>
      </w:r>
    </w:p>
    <w:p w14:paraId="0116B638" w14:textId="7BA6A595" w:rsidR="00DC0A0B" w:rsidRDefault="00BE359B">
      <w:pPr>
        <w:ind w:left="720"/>
        <w:rPr>
          <w:i/>
          <w:iCs/>
        </w:rPr>
      </w:pPr>
      <w:proofErr w:type="spellStart"/>
      <w:r>
        <w:rPr>
          <w:i/>
          <w:iCs/>
        </w:rPr>
        <w:t>Libtayo</w:t>
      </w:r>
      <w:proofErr w:type="spellEnd"/>
      <w:r>
        <w:rPr>
          <w:i/>
          <w:iCs/>
        </w:rPr>
        <w:t xml:space="preserve"> as monotherapy has provisional approval in Australia for the treatment of adult patients with metastatic BCC (</w:t>
      </w:r>
      <w:proofErr w:type="spellStart"/>
      <w:r>
        <w:rPr>
          <w:i/>
          <w:iCs/>
        </w:rPr>
        <w:t>mBCC</w:t>
      </w:r>
      <w:proofErr w:type="spellEnd"/>
      <w:r>
        <w:rPr>
          <w:i/>
          <w:iCs/>
        </w:rPr>
        <w:t>) previously treated with a hedgehog pathway inhibitor or for whom a hedgehog pathway inhibitor is not appropriate.</w:t>
      </w:r>
    </w:p>
    <w:p w14:paraId="5F5927F5" w14:textId="77777777" w:rsidR="00DC0A0B" w:rsidRDefault="00BE359B">
      <w:pPr>
        <w:ind w:left="720"/>
        <w:rPr>
          <w:i/>
          <w:iCs/>
        </w:rPr>
      </w:pPr>
      <w:r>
        <w:rPr>
          <w:i/>
          <w:iCs/>
        </w:rPr>
        <w:t xml:space="preserve">The decision to approve the </w:t>
      </w:r>
      <w:proofErr w:type="spellStart"/>
      <w:r>
        <w:rPr>
          <w:i/>
          <w:iCs/>
        </w:rPr>
        <w:t>mBCC</w:t>
      </w:r>
      <w:proofErr w:type="spellEnd"/>
      <w:r>
        <w:rPr>
          <w:i/>
          <w:iCs/>
        </w:rPr>
        <w:t xml:space="preserve"> indication has been made on the basis of objective response rate (ORR) and duration of response from a single arm clinical study. The sponsor is required to submit further clinical data to confirm the clinical benefit of the medicine.</w:t>
      </w:r>
    </w:p>
    <w:p w14:paraId="7A5EC2E2" w14:textId="77777777" w:rsidR="00DC0A0B" w:rsidRPr="004A22ED" w:rsidRDefault="00BE359B">
      <w:pPr>
        <w:ind w:left="720"/>
        <w:rPr>
          <w:b/>
          <w:i/>
          <w:iCs/>
        </w:rPr>
      </w:pPr>
      <w:r w:rsidRPr="004A22ED">
        <w:rPr>
          <w:b/>
          <w:i/>
          <w:iCs/>
        </w:rPr>
        <w:t>Non-Small Cell Lung Cancer</w:t>
      </w:r>
    </w:p>
    <w:p w14:paraId="20675E73" w14:textId="6DA82447" w:rsidR="00DC0A0B" w:rsidRDefault="00BE359B">
      <w:pPr>
        <w:ind w:left="720"/>
        <w:rPr>
          <w:i/>
          <w:iCs/>
        </w:rPr>
      </w:pPr>
      <w:proofErr w:type="spellStart"/>
      <w:r>
        <w:rPr>
          <w:i/>
          <w:iCs/>
        </w:rPr>
        <w:lastRenderedPageBreak/>
        <w:t>Libtayo</w:t>
      </w:r>
      <w:proofErr w:type="spellEnd"/>
      <w:r>
        <w:rPr>
          <w:i/>
          <w:iCs/>
        </w:rPr>
        <w:t xml:space="preserve"> as monotherapy is indicated for the first-line treatment of adult patients with non-small cell lung cancer (NSCLC) expressing PD-L1 tumour proportion score (TPS) ≥50% as determined by a validated test, with no EGFR, ALK or ROS1 aberrations, who have:</w:t>
      </w:r>
    </w:p>
    <w:p w14:paraId="389F2F7B" w14:textId="5FE0F6A2" w:rsidR="00DC0A0B" w:rsidRDefault="00BE359B">
      <w:pPr>
        <w:pStyle w:val="ListBullet"/>
        <w:ind w:left="1080"/>
        <w:rPr>
          <w:i/>
          <w:iCs/>
        </w:rPr>
      </w:pPr>
      <w:r>
        <w:rPr>
          <w:i/>
          <w:iCs/>
        </w:rPr>
        <w:t>locally advanced NSCLC and who are not candidates for surgical resection or definitive chemoradiation, or</w:t>
      </w:r>
    </w:p>
    <w:p w14:paraId="3F896244" w14:textId="6141625E" w:rsidR="00DC0A0B" w:rsidRDefault="00BE359B">
      <w:pPr>
        <w:pStyle w:val="ListBullet"/>
        <w:ind w:left="1080"/>
        <w:rPr>
          <w:i/>
          <w:iCs/>
        </w:rPr>
      </w:pPr>
      <w:r>
        <w:rPr>
          <w:i/>
          <w:iCs/>
        </w:rPr>
        <w:t>metastatic NSCLC.</w:t>
      </w:r>
    </w:p>
    <w:p w14:paraId="49E292EA" w14:textId="77777777" w:rsidR="00DC0A0B" w:rsidRDefault="00BE359B">
      <w:pPr>
        <w:pStyle w:val="Heading3"/>
      </w:pPr>
      <w:bookmarkStart w:id="43" w:name="_Toc110247359"/>
      <w:r>
        <w:t>Specific conditions of registration applying to these goods</w:t>
      </w:r>
      <w:bookmarkEnd w:id="43"/>
    </w:p>
    <w:p w14:paraId="3C65A424" w14:textId="77777777" w:rsidR="00DC0A0B" w:rsidRDefault="00BE359B">
      <w:pPr>
        <w:pStyle w:val="ListBullet"/>
      </w:pPr>
      <w:proofErr w:type="spellStart"/>
      <w:r>
        <w:t>Libtayo</w:t>
      </w:r>
      <w:proofErr w:type="spellEnd"/>
      <w:r>
        <w:t xml:space="preserve"> (</w:t>
      </w:r>
      <w:proofErr w:type="spellStart"/>
      <w:r>
        <w:t>cemiplimab</w:t>
      </w:r>
      <w:proofErr w:type="spellEnd"/>
      <w:r>
        <w:t xml:space="preserve">) is to be included in the Black Triangle Scheme. The PI and CMI </w:t>
      </w:r>
      <w:proofErr w:type="spellStart"/>
      <w:r>
        <w:t>forLibtayo</w:t>
      </w:r>
      <w:proofErr w:type="spellEnd"/>
      <w:r>
        <w:t xml:space="preserve"> must include the black triangle symbol and mandatory accompanying text </w:t>
      </w:r>
      <w:proofErr w:type="spellStart"/>
      <w:r>
        <w:t>forthe</w:t>
      </w:r>
      <w:proofErr w:type="spellEnd"/>
      <w:r>
        <w:t xml:space="preserve"> products entire period of provisional registration.</w:t>
      </w:r>
    </w:p>
    <w:p w14:paraId="514D0F6D" w14:textId="77777777" w:rsidR="00DC0A0B" w:rsidRDefault="00BE359B">
      <w:pPr>
        <w:pStyle w:val="ListBullet"/>
      </w:pPr>
      <w:r>
        <w:t xml:space="preserve">The </w:t>
      </w:r>
      <w:proofErr w:type="spellStart"/>
      <w:r>
        <w:t>Libtayo</w:t>
      </w:r>
      <w:proofErr w:type="spellEnd"/>
      <w:r>
        <w:t xml:space="preserve"> EU-Risk Management Plan (RMP) (version 2.0, dated 19 August 2020, data lock point 1 March 2020), with Australian Specific Annex (version 3.1, dated October 2021), included with submission PM-2021-03735-1-4, and any subsequent revisions, as agreed with the TGA will be implemented in Australia. </w:t>
      </w:r>
    </w:p>
    <w:p w14:paraId="1455A9B5" w14:textId="77777777" w:rsidR="00DC0A0B" w:rsidRDefault="00BE359B">
      <w:pPr>
        <w:pStyle w:val="ListBullet"/>
        <w:numPr>
          <w:ilvl w:val="0"/>
          <w:numId w:val="0"/>
        </w:numPr>
        <w:ind w:left="360"/>
      </w:pPr>
      <w:r>
        <w:t xml:space="preserve">An obligatory component of risk management plans is routine pharmacovigilance. Routine pharmacovigilance includes the submission of periodic safety update reports (PSURs). </w:t>
      </w:r>
    </w:p>
    <w:p w14:paraId="355C47D1" w14:textId="2A3EC5A2" w:rsidR="00DC0A0B" w:rsidRDefault="00BE359B">
      <w:pPr>
        <w:pStyle w:val="ListBullet"/>
        <w:numPr>
          <w:ilvl w:val="0"/>
          <w:numId w:val="0"/>
        </w:numPr>
        <w:ind w:left="360"/>
      </w:pPr>
      <w:r>
        <w:t xml:space="preserve">Unless agreed separately between the supplier who is the recipient of the approval and the TGA, the first report must be submitted to </w:t>
      </w:r>
      <w:r w:rsidR="00136DF1">
        <w:t xml:space="preserve">the </w:t>
      </w:r>
      <w:r>
        <w:t>TGA no later than 15 calendar months after the date of the approval letter. The subsequent reports must be submitted no less frequently than annually from the date of the first submitted report until the period covered by such reports is not less than three years from the date of the approval letter, or the entire period of provisional registration, whichever is longer.</w:t>
      </w:r>
    </w:p>
    <w:p w14:paraId="303BE635" w14:textId="77777777" w:rsidR="00DC0A0B" w:rsidRDefault="00BE359B">
      <w:pPr>
        <w:pStyle w:val="ListBullet"/>
        <w:numPr>
          <w:ilvl w:val="0"/>
          <w:numId w:val="0"/>
        </w:numPr>
        <w:ind w:left="36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5D5A10A7" w14:textId="020EB122" w:rsidR="00DC0A0B" w:rsidRDefault="00BE359B">
      <w:pPr>
        <w:pStyle w:val="ListBullet"/>
      </w:pPr>
      <w:r>
        <w:t>Confirmatory trial data (as identified in the sponsor’s plan to submit comprehensive clinical data on the safety and efficacy of the medicine before the end of the 6 years that would start on the day that registration would commence) must be provided.</w:t>
      </w:r>
    </w:p>
    <w:p w14:paraId="74DF6C37" w14:textId="3901000D" w:rsidR="00DC0A0B" w:rsidRDefault="00BE359B">
      <w:pPr>
        <w:pStyle w:val="ListBullet"/>
        <w:numPr>
          <w:ilvl w:val="0"/>
          <w:numId w:val="0"/>
        </w:numPr>
        <w:ind w:left="360"/>
      </w:pPr>
      <w:r>
        <w:t>Specifically, the sponsor must conduct studies as described in the clinical study plan in annex version 3.1 (date October 2021) of the Australia specific annex. The following study report(s) should be submitted to TGA:</w:t>
      </w:r>
    </w:p>
    <w:p w14:paraId="0C729B4A" w14:textId="78F62DCE" w:rsidR="00DC0A0B" w:rsidRDefault="00136DF1">
      <w:pPr>
        <w:pStyle w:val="ListBullet2"/>
      </w:pPr>
      <w:r>
        <w:t xml:space="preserve">Study </w:t>
      </w:r>
      <w:r w:rsidR="00BE359B">
        <w:t>R2810-ONC-1620 (Group 1), Phase II, by February 2022</w:t>
      </w:r>
    </w:p>
    <w:p w14:paraId="6107E756" w14:textId="6FF4D6A1" w:rsidR="00DC0A0B" w:rsidRDefault="00BE359B">
      <w:pPr>
        <w:pStyle w:val="ListBullet2"/>
        <w:numPr>
          <w:ilvl w:val="0"/>
          <w:numId w:val="0"/>
        </w:numPr>
        <w:ind w:left="360"/>
      </w:pPr>
      <w:r>
        <w:t>Further guidance for sponsors is available on the TGA website.</w:t>
      </w:r>
    </w:p>
    <w:p w14:paraId="0877DACE" w14:textId="77777777" w:rsidR="00DC0A0B" w:rsidRDefault="00BE359B">
      <w:pPr>
        <w:pStyle w:val="Heading2"/>
      </w:pPr>
      <w:bookmarkStart w:id="44" w:name="_Toc110247360"/>
      <w:r>
        <w:t>Attachment 1. Product Information</w:t>
      </w:r>
      <w:bookmarkEnd w:id="42"/>
      <w:bookmarkEnd w:id="44"/>
    </w:p>
    <w:p w14:paraId="7911C223" w14:textId="0183931C" w:rsidR="00DC0A0B" w:rsidRDefault="00BE359B">
      <w:r>
        <w:t xml:space="preserve">The PI for </w:t>
      </w:r>
      <w:proofErr w:type="spellStart"/>
      <w:r>
        <w:t>Libtayo</w:t>
      </w:r>
      <w:proofErr w:type="spellEnd"/>
      <w:r>
        <w:t xml:space="preserve"> approved with the submission which is described in this AusPAR is at Attachment 1. For the most recent PI, please refer to the TGA </w:t>
      </w:r>
      <w:hyperlink r:id="rId40" w:history="1">
        <w:r>
          <w:rPr>
            <w:rStyle w:val="Hyperlink"/>
          </w:rPr>
          <w:t>PI/CMI search facility</w:t>
        </w:r>
        <w:r>
          <w:rPr>
            <w:rStyle w:val="Hyperlink"/>
            <w:color w:val="auto"/>
            <w:u w:val="none"/>
          </w:rPr>
          <w:t>.</w:t>
        </w:r>
      </w:hyperlink>
    </w:p>
    <w:p w14:paraId="08EA7725" w14:textId="697C0401" w:rsidR="00DC0A0B" w:rsidRDefault="00BE359B" w:rsidP="00E12242">
      <w:pPr>
        <w:sectPr w:rsidR="00DC0A0B">
          <w:headerReference w:type="even" r:id="rId41"/>
          <w:headerReference w:type="default" r:id="rId42"/>
          <w:headerReference w:type="first" r:id="rId43"/>
          <w:footerReference w:type="first" r:id="rId44"/>
          <w:pgSz w:w="11906" w:h="16838" w:code="9"/>
          <w:pgMar w:top="834" w:right="1701" w:bottom="1191" w:left="1701" w:header="907" w:footer="216" w:gutter="0"/>
          <w:cols w:space="708"/>
          <w:docGrid w:linePitch="360"/>
        </w:sectPr>
      </w:pPr>
      <w: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DC0A0B" w14:paraId="0C247972" w14:textId="77777777">
        <w:trPr>
          <w:trHeight w:hRule="exact" w:val="704"/>
        </w:trPr>
        <w:tc>
          <w:tcPr>
            <w:tcW w:w="9175" w:type="dxa"/>
          </w:tcPr>
          <w:p w14:paraId="25E98F20" w14:textId="77777777" w:rsidR="00DC0A0B" w:rsidRDefault="00BE359B">
            <w:pPr>
              <w:pStyle w:val="TGASignoff"/>
            </w:pPr>
            <w:r>
              <w:lastRenderedPageBreak/>
              <w:t>Therapeutic Goods Administration</w:t>
            </w:r>
          </w:p>
        </w:tc>
      </w:tr>
      <w:tr w:rsidR="00DC0A0B" w14:paraId="7DD33DF4" w14:textId="77777777">
        <w:trPr>
          <w:trHeight w:val="1221"/>
        </w:trPr>
        <w:tc>
          <w:tcPr>
            <w:tcW w:w="9175" w:type="dxa"/>
            <w:tcMar>
              <w:top w:w="28" w:type="dxa"/>
            </w:tcMar>
          </w:tcPr>
          <w:p w14:paraId="6E53D471" w14:textId="77777777" w:rsidR="00DC0A0B" w:rsidRDefault="00BE359B">
            <w:pPr>
              <w:pStyle w:val="Address"/>
            </w:pPr>
            <w:r>
              <w:t>PO Box 100 Woden ACT 2606 Australia</w:t>
            </w:r>
          </w:p>
          <w:p w14:paraId="2109DE93" w14:textId="2FAF4E39" w:rsidR="00DC0A0B" w:rsidRDefault="00BE359B">
            <w:pPr>
              <w:pStyle w:val="Address"/>
            </w:pPr>
            <w:r>
              <w:t xml:space="preserve">Email: </w:t>
            </w:r>
            <w:hyperlink r:id="rId45" w:history="1">
              <w:r>
                <w:rPr>
                  <w:rStyle w:val="Hyperlink"/>
                </w:rPr>
                <w:t>info@tga.gov.au</w:t>
              </w:r>
            </w:hyperlink>
            <w:r>
              <w:t xml:space="preserve">  Phone: 1800 020 653  Fax: 02 6232 8605</w:t>
            </w:r>
          </w:p>
          <w:p w14:paraId="12AC7A0F" w14:textId="7358AB42" w:rsidR="00DC0A0B" w:rsidRDefault="00E12242">
            <w:pPr>
              <w:pStyle w:val="Address"/>
              <w:spacing w:line="260" w:lineRule="atLeast"/>
              <w:rPr>
                <w:b/>
                <w:color w:val="0000FF"/>
                <w:u w:val="single"/>
              </w:rPr>
            </w:pPr>
            <w:hyperlink r:id="rId46" w:history="1">
              <w:r w:rsidR="00BE359B">
                <w:rPr>
                  <w:rStyle w:val="Hyperlink"/>
                  <w:b/>
                </w:rPr>
                <w:t>https://www.tga.gov.au</w:t>
              </w:r>
            </w:hyperlink>
          </w:p>
        </w:tc>
      </w:tr>
    </w:tbl>
    <w:p w14:paraId="2BFCB5CC" w14:textId="77777777" w:rsidR="00DC0A0B" w:rsidRDefault="00DC0A0B"/>
    <w:sectPr w:rsidR="00DC0A0B">
      <w:headerReference w:type="even" r:id="rId47"/>
      <w:headerReference w:type="default" r:id="rId48"/>
      <w:footerReference w:type="default" r:id="rId49"/>
      <w:headerReference w:type="first" r:id="rId50"/>
      <w:footerReference w:type="first" r:id="rId51"/>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9F864" w14:textId="77777777" w:rsidR="00D71901" w:rsidRDefault="00D71901">
      <w:pPr>
        <w:spacing w:after="0"/>
      </w:pPr>
      <w:r>
        <w:separator/>
      </w:r>
    </w:p>
  </w:endnote>
  <w:endnote w:type="continuationSeparator" w:id="0">
    <w:p w14:paraId="6935DEB5" w14:textId="77777777" w:rsidR="00D71901" w:rsidRDefault="00D719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D71901" w14:paraId="70AB87AB" w14:textId="77777777">
      <w:trPr>
        <w:trHeight w:val="269"/>
      </w:trPr>
      <w:tc>
        <w:tcPr>
          <w:tcW w:w="7371" w:type="dxa"/>
          <w:tcMar>
            <w:top w:w="142" w:type="dxa"/>
            <w:bottom w:w="0" w:type="dxa"/>
          </w:tcMar>
        </w:tcPr>
        <w:p w14:paraId="14976DAB" w14:textId="662D24F6" w:rsidR="00D71901" w:rsidRDefault="00D71901">
          <w:pPr>
            <w:pStyle w:val="Footer"/>
          </w:pPr>
          <w:proofErr w:type="spellStart"/>
          <w:r>
            <w:t>AusPAR</w:t>
          </w:r>
          <w:proofErr w:type="spellEnd"/>
          <w:r>
            <w:t xml:space="preserve"> – </w:t>
          </w:r>
          <w:proofErr w:type="spellStart"/>
          <w:r>
            <w:t>Libtayo</w:t>
          </w:r>
          <w:proofErr w:type="spellEnd"/>
          <w:r>
            <w:t xml:space="preserve"> – </w:t>
          </w:r>
          <w:proofErr w:type="spellStart"/>
          <w:r>
            <w:t>cemiplimab</w:t>
          </w:r>
          <w:proofErr w:type="spellEnd"/>
          <w:r>
            <w:t xml:space="preserve"> - Sanofi-Aventis Australia Pty Ltd PM-2020-06003-1-4</w:t>
          </w:r>
          <w:r>
            <w:br/>
          </w:r>
          <w:r w:rsidR="004A22ED">
            <w:t>FINAL 18</w:t>
          </w:r>
          <w:r>
            <w:t xml:space="preserve"> August 2022</w:t>
          </w:r>
        </w:p>
      </w:tc>
      <w:tc>
        <w:tcPr>
          <w:tcW w:w="1490" w:type="dxa"/>
          <w:tcMar>
            <w:top w:w="142" w:type="dxa"/>
            <w:bottom w:w="0" w:type="dxa"/>
          </w:tcMar>
        </w:tcPr>
        <w:p w14:paraId="1056E568" w14:textId="66EA1095" w:rsidR="00D71901" w:rsidRDefault="00D71901">
          <w:pPr>
            <w:pStyle w:val="Footer"/>
            <w:jc w:val="right"/>
          </w:pPr>
          <w:r>
            <w:t xml:space="preserve">Page </w:t>
          </w:r>
          <w:r>
            <w:fldChar w:fldCharType="begin"/>
          </w:r>
          <w:r>
            <w:instrText xml:space="preserve"> PAGE  \* Arabic </w:instrText>
          </w:r>
          <w:r>
            <w:fldChar w:fldCharType="separate"/>
          </w:r>
          <w:r w:rsidR="00AE32B7">
            <w:rPr>
              <w:noProof/>
            </w:rPr>
            <w:t>11</w:t>
          </w:r>
          <w:r>
            <w:fldChar w:fldCharType="end"/>
          </w:r>
          <w:r>
            <w:t xml:space="preserve"> of </w:t>
          </w:r>
          <w:r w:rsidR="00E12242">
            <w:fldChar w:fldCharType="begin"/>
          </w:r>
          <w:r w:rsidR="00E12242">
            <w:instrText xml:space="preserve"> NUMPAGES  \* Arabic </w:instrText>
          </w:r>
          <w:r w:rsidR="00E12242">
            <w:fldChar w:fldCharType="separate"/>
          </w:r>
          <w:r w:rsidR="00AE32B7">
            <w:rPr>
              <w:noProof/>
            </w:rPr>
            <w:t>34</w:t>
          </w:r>
          <w:r w:rsidR="00E12242">
            <w:rPr>
              <w:noProof/>
            </w:rPr>
            <w:fldChar w:fldCharType="end"/>
          </w:r>
        </w:p>
      </w:tc>
    </w:tr>
  </w:tbl>
  <w:p w14:paraId="7F80907F" w14:textId="77777777" w:rsidR="00D71901" w:rsidRDefault="00D71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71901" w14:paraId="27DFD999" w14:textId="77777777">
      <w:trPr>
        <w:trHeight w:val="269"/>
      </w:trPr>
      <w:tc>
        <w:tcPr>
          <w:tcW w:w="4519" w:type="dxa"/>
          <w:tcBorders>
            <w:top w:val="single" w:sz="4" w:space="0" w:color="auto"/>
          </w:tcBorders>
          <w:tcMar>
            <w:top w:w="142" w:type="dxa"/>
            <w:bottom w:w="0" w:type="dxa"/>
          </w:tcMar>
        </w:tcPr>
        <w:p w14:paraId="0FDCB30D" w14:textId="77777777" w:rsidR="00D71901" w:rsidRDefault="00D71901">
          <w:pPr>
            <w:pStyle w:val="Footer"/>
          </w:pPr>
          <w:r>
            <w:t>Document title, Part #, Section # - Section title</w:t>
          </w:r>
        </w:p>
        <w:p w14:paraId="20CDBBD0" w14:textId="77777777" w:rsidR="00D71901" w:rsidRDefault="00D71901">
          <w:pPr>
            <w:pStyle w:val="Footer"/>
          </w:pPr>
          <w:r>
            <w:t>V1.0 October 2010</w:t>
          </w:r>
        </w:p>
      </w:tc>
      <w:tc>
        <w:tcPr>
          <w:tcW w:w="4342" w:type="dxa"/>
          <w:tcBorders>
            <w:top w:val="single" w:sz="4" w:space="0" w:color="auto"/>
          </w:tcBorders>
          <w:tcMar>
            <w:top w:w="142" w:type="dxa"/>
            <w:bottom w:w="0" w:type="dxa"/>
          </w:tcMar>
        </w:tcPr>
        <w:p w14:paraId="0FAAD5FC" w14:textId="77777777" w:rsidR="00D71901" w:rsidRDefault="00D71901">
          <w:pPr>
            <w:pStyle w:val="Footer"/>
            <w:jc w:val="right"/>
          </w:pPr>
          <w:r>
            <w:t xml:space="preserve">Page </w:t>
          </w:r>
          <w:r>
            <w:fldChar w:fldCharType="begin"/>
          </w:r>
          <w:r>
            <w:instrText xml:space="preserve"> PAGE   \* MERGEFORMAT </w:instrText>
          </w:r>
          <w:r>
            <w:fldChar w:fldCharType="separate"/>
          </w:r>
          <w:r>
            <w:t>3</w:t>
          </w:r>
          <w:r>
            <w:fldChar w:fldCharType="end"/>
          </w:r>
          <w:r>
            <w:t xml:space="preserve"> of </w:t>
          </w:r>
          <w:r w:rsidR="00E12242">
            <w:fldChar w:fldCharType="begin"/>
          </w:r>
          <w:r w:rsidR="00E12242">
            <w:instrText xml:space="preserve"> NUMPAGES  </w:instrText>
          </w:r>
          <w:r w:rsidR="00E12242">
            <w:fldChar w:fldCharType="separate"/>
          </w:r>
          <w:r>
            <w:t>21</w:t>
          </w:r>
          <w:r w:rsidR="00E12242">
            <w:fldChar w:fldCharType="end"/>
          </w:r>
        </w:p>
      </w:tc>
    </w:tr>
  </w:tbl>
  <w:p w14:paraId="51AB8D23" w14:textId="77777777" w:rsidR="00D71901" w:rsidRDefault="00D71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FEF6F" w14:textId="77777777" w:rsidR="00D71901" w:rsidRDefault="00D719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71901" w14:paraId="1008C842" w14:textId="77777777">
      <w:trPr>
        <w:trHeight w:val="108"/>
      </w:trPr>
      <w:tc>
        <w:tcPr>
          <w:tcW w:w="8875" w:type="dxa"/>
          <w:gridSpan w:val="2"/>
          <w:tcBorders>
            <w:bottom w:val="single" w:sz="4" w:space="0" w:color="auto"/>
          </w:tcBorders>
          <w:tcMar>
            <w:right w:w="284" w:type="dxa"/>
          </w:tcMar>
        </w:tcPr>
        <w:p w14:paraId="2B726C20" w14:textId="77777777" w:rsidR="00D71901" w:rsidRDefault="00D71901">
          <w:pPr>
            <w:pStyle w:val="Heading3"/>
          </w:pPr>
          <w:r>
            <w:t>Copyright</w:t>
          </w:r>
        </w:p>
        <w:p w14:paraId="5FAAE296" w14:textId="77777777" w:rsidR="00D71901" w:rsidRDefault="00D71901">
          <w:r>
            <w:rPr>
              <w:rFonts w:cs="Arial"/>
            </w:rPr>
            <w:t>©</w:t>
          </w:r>
          <w:r>
            <w:t xml:space="preserve"> Commonwealth of Australia [add year]</w:t>
          </w:r>
        </w:p>
        <w:p w14:paraId="39C381F7" w14:textId="77777777" w:rsidR="00D71901" w:rsidRDefault="00D71901"/>
        <w:p w14:paraId="1C5DA2AB" w14:textId="77777777" w:rsidR="00D71901" w:rsidRDefault="00D71901">
          <w:r>
            <w:t>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http://www.ag.gov.au/cca</w:t>
          </w:r>
        </w:p>
        <w:p w14:paraId="4F364DF7" w14:textId="77777777" w:rsidR="00D71901" w:rsidRDefault="00D71901"/>
        <w:p w14:paraId="7159E062" w14:textId="77777777" w:rsidR="00D71901" w:rsidRDefault="00D71901">
          <w:pPr>
            <w:pStyle w:val="Heading3"/>
          </w:pPr>
          <w:r>
            <w:t>Confidentiality</w:t>
          </w:r>
        </w:p>
        <w:p w14:paraId="2001FFC6" w14:textId="77777777" w:rsidR="00D71901" w:rsidRDefault="00D71901">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07BDFF43" w14:textId="77777777" w:rsidR="00D71901" w:rsidRDefault="00D71901"/>
        <w:p w14:paraId="1EF666E3" w14:textId="77777777" w:rsidR="00D71901" w:rsidRDefault="00D71901">
          <w:r>
            <w:t>For submission made by individuals, all personal details, other than your name, will be removed from your submission before it is published on the TGA’s Internet site.</w:t>
          </w:r>
        </w:p>
        <w:p w14:paraId="6DD5D91F" w14:textId="77777777" w:rsidR="00D71901" w:rsidRDefault="00D71901"/>
        <w:p w14:paraId="3FF75F1E" w14:textId="77777777" w:rsidR="00D71901" w:rsidRDefault="00D71901">
          <w:r>
            <w:t>In addition, a list of parties making submissions will be published. If you do not wish to be identified with your submission you must specifically request this in the space provided in the submission coversheet.</w:t>
          </w:r>
        </w:p>
      </w:tc>
    </w:tr>
    <w:tr w:rsidR="00D71901" w14:paraId="1ABE0310" w14:textId="77777777">
      <w:trPr>
        <w:trHeight w:val="417"/>
      </w:trPr>
      <w:tc>
        <w:tcPr>
          <w:tcW w:w="4519" w:type="dxa"/>
          <w:tcBorders>
            <w:top w:val="single" w:sz="4" w:space="0" w:color="auto"/>
          </w:tcBorders>
          <w:tcMar>
            <w:top w:w="142" w:type="dxa"/>
            <w:bottom w:w="0" w:type="dxa"/>
          </w:tcMar>
        </w:tcPr>
        <w:p w14:paraId="3BF754F5" w14:textId="77777777" w:rsidR="00D71901" w:rsidRDefault="00D71901">
          <w:r>
            <w:t>Document title, Part #, Section # - Section title</w:t>
          </w:r>
        </w:p>
        <w:p w14:paraId="1A8311B3" w14:textId="77777777" w:rsidR="00D71901" w:rsidRDefault="00D71901">
          <w:r>
            <w:t>V1.0 October 2010</w:t>
          </w:r>
        </w:p>
      </w:tc>
      <w:tc>
        <w:tcPr>
          <w:tcW w:w="4356" w:type="dxa"/>
          <w:tcBorders>
            <w:top w:val="single" w:sz="4" w:space="0" w:color="auto"/>
          </w:tcBorders>
          <w:tcMar>
            <w:top w:w="142" w:type="dxa"/>
            <w:bottom w:w="0" w:type="dxa"/>
          </w:tcMar>
        </w:tcPr>
        <w:p w14:paraId="314AB993" w14:textId="77777777" w:rsidR="00D71901" w:rsidRDefault="00D71901">
          <w:pPr>
            <w:jc w:val="right"/>
          </w:pPr>
          <w:r>
            <w:t xml:space="preserve">Page </w:t>
          </w:r>
          <w:r>
            <w:fldChar w:fldCharType="begin"/>
          </w:r>
          <w:r>
            <w:instrText xml:space="preserve"> PAGE   \* MERGEFORMAT </w:instrText>
          </w:r>
          <w:r>
            <w:fldChar w:fldCharType="separate"/>
          </w:r>
          <w:r>
            <w:t>1</w:t>
          </w:r>
          <w:r>
            <w:fldChar w:fldCharType="end"/>
          </w:r>
          <w:r>
            <w:t xml:space="preserve"> of </w:t>
          </w:r>
          <w:r w:rsidR="00E12242">
            <w:fldChar w:fldCharType="begin"/>
          </w:r>
          <w:r w:rsidR="00E12242">
            <w:instrText xml:space="preserve"> NUMPAGES  \* Arabic </w:instrText>
          </w:r>
          <w:r w:rsidR="00E12242">
            <w:fldChar w:fldCharType="separate"/>
          </w:r>
          <w:r>
            <w:t>21</w:t>
          </w:r>
          <w:r w:rsidR="00E12242">
            <w:fldChar w:fldCharType="end"/>
          </w:r>
          <w:r>
            <w:t xml:space="preserve">  </w:t>
          </w:r>
        </w:p>
      </w:tc>
    </w:tr>
  </w:tbl>
  <w:p w14:paraId="06883B4E" w14:textId="77777777" w:rsidR="00D71901" w:rsidRDefault="00D719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2AD1D" w14:textId="77777777" w:rsidR="00D71901" w:rsidRDefault="00D71901">
      <w:pPr>
        <w:spacing w:after="0"/>
      </w:pPr>
      <w:r>
        <w:separator/>
      </w:r>
    </w:p>
  </w:footnote>
  <w:footnote w:type="continuationSeparator" w:id="0">
    <w:p w14:paraId="34757A34" w14:textId="77777777" w:rsidR="00D71901" w:rsidRDefault="00D71901">
      <w:pPr>
        <w:spacing w:after="0"/>
      </w:pPr>
      <w:r>
        <w:continuationSeparator/>
      </w:r>
    </w:p>
  </w:footnote>
  <w:footnote w:id="1">
    <w:p w14:paraId="25C21436" w14:textId="0681FD7F" w:rsidR="00D71901" w:rsidRDefault="00D71901" w:rsidP="00D71901">
      <w:pPr>
        <w:pStyle w:val="FootnoteText"/>
      </w:pPr>
      <w:r>
        <w:rPr>
          <w:rStyle w:val="FootnoteReference"/>
        </w:rPr>
        <w:footnoteRef/>
      </w:r>
      <w:r>
        <w:t xml:space="preserve"> Bray F, </w:t>
      </w:r>
      <w:proofErr w:type="spellStart"/>
      <w:r>
        <w:t>Ferlay</w:t>
      </w:r>
      <w:proofErr w:type="spellEnd"/>
      <w:r>
        <w:t xml:space="preserve"> J, </w:t>
      </w:r>
      <w:proofErr w:type="spellStart"/>
      <w:r>
        <w:t>Soerjomataram</w:t>
      </w:r>
      <w:proofErr w:type="spellEnd"/>
      <w:r>
        <w:t xml:space="preserve"> I, Siegel RL, Torre LA, Jemal A. Global cancer statistics 2018: GLOBOCAN estimates of incidence and mortality worldwide for 36 cancers in 185 countries. CA</w:t>
      </w:r>
    </w:p>
    <w:p w14:paraId="631C2CFB" w14:textId="218E110B" w:rsidR="00D71901" w:rsidRPr="004A22ED" w:rsidRDefault="00D71901" w:rsidP="00D71901">
      <w:pPr>
        <w:pStyle w:val="FootnoteText"/>
        <w:rPr>
          <w:lang w:val="en-GB"/>
        </w:rPr>
      </w:pPr>
      <w:r>
        <w:t>Cancer J Clin 2018; 68(6):394-424.</w:t>
      </w:r>
    </w:p>
  </w:footnote>
  <w:footnote w:id="2">
    <w:p w14:paraId="71D2E33C" w14:textId="77777777" w:rsidR="00D71901" w:rsidRDefault="00D71901" w:rsidP="00D71901">
      <w:pPr>
        <w:pStyle w:val="FootnoteText"/>
      </w:pPr>
      <w:r>
        <w:rPr>
          <w:rStyle w:val="FootnoteReference"/>
        </w:rPr>
        <w:footnoteRef/>
      </w:r>
      <w:r>
        <w:t xml:space="preserve"> Dela Cruz C, </w:t>
      </w:r>
      <w:proofErr w:type="spellStart"/>
      <w:r>
        <w:t>Tanoue</w:t>
      </w:r>
      <w:proofErr w:type="spellEnd"/>
      <w:r>
        <w:t xml:space="preserve"> L, </w:t>
      </w:r>
      <w:proofErr w:type="spellStart"/>
      <w:r>
        <w:t>Matthay</w:t>
      </w:r>
      <w:proofErr w:type="spellEnd"/>
      <w:r>
        <w:t xml:space="preserve"> R. Lung cancer, epidemiology, </w:t>
      </w:r>
      <w:proofErr w:type="spellStart"/>
      <w:r>
        <w:t>etiology</w:t>
      </w:r>
      <w:proofErr w:type="spellEnd"/>
      <w:r>
        <w:t>, and prevention. Clin</w:t>
      </w:r>
    </w:p>
    <w:p w14:paraId="35BD8E11" w14:textId="3D2DA43E" w:rsidR="00D71901" w:rsidRPr="00D71901" w:rsidRDefault="00D71901" w:rsidP="00D71901">
      <w:pPr>
        <w:pStyle w:val="FootnoteText"/>
      </w:pPr>
      <w:r>
        <w:t>Chest Med 2011;32(4):605-611.</w:t>
      </w:r>
    </w:p>
  </w:footnote>
  <w:footnote w:id="3">
    <w:p w14:paraId="7E595CED" w14:textId="77777777" w:rsidR="00D71901" w:rsidRDefault="00D71901">
      <w:pPr>
        <w:pStyle w:val="FootnoteText"/>
        <w:spacing w:before="120" w:after="120"/>
        <w:rPr>
          <w:lang w:eastAsia="ja-JP"/>
        </w:rPr>
      </w:pPr>
      <w:r>
        <w:rPr>
          <w:rStyle w:val="FootnoteReference"/>
        </w:rPr>
        <w:footnoteRef/>
      </w:r>
      <w:r>
        <w:t xml:space="preserve"> </w:t>
      </w:r>
      <w:r>
        <w:rPr>
          <w:b/>
          <w:lang w:eastAsia="ja-JP"/>
        </w:rPr>
        <w:t>ECOG Performance Status:</w:t>
      </w:r>
      <w:r>
        <w:rPr>
          <w:lang w:eastAsia="ja-JP"/>
        </w:rPr>
        <w:t xml:space="preserve"> The Eastern Cooperative Oncology Group (ECOG) has developed criteria used by doctors and researchers to assess how a patient's disease is progressing, assess how the disease affects the daily living abilities of the patient, and determine appropriate treatment and prognosis. The following are used:</w:t>
      </w:r>
    </w:p>
    <w:p w14:paraId="454EDF5E" w14:textId="77777777" w:rsidR="00D71901" w:rsidRDefault="00D71901">
      <w:pPr>
        <w:pStyle w:val="FootnoteText"/>
        <w:spacing w:before="120" w:after="120"/>
        <w:rPr>
          <w:lang w:eastAsia="ja-JP"/>
        </w:rPr>
      </w:pPr>
      <w:r>
        <w:rPr>
          <w:lang w:eastAsia="ja-JP"/>
        </w:rPr>
        <w:t>0 - Fully active, able to carry on all pre-disease performance without restriction</w:t>
      </w:r>
    </w:p>
    <w:p w14:paraId="7DDBE8F2" w14:textId="77777777" w:rsidR="00D71901" w:rsidRDefault="00D71901">
      <w:pPr>
        <w:pStyle w:val="FootnoteText"/>
        <w:spacing w:before="120" w:after="120"/>
        <w:rPr>
          <w:lang w:eastAsia="ja-JP"/>
        </w:rPr>
      </w:pPr>
      <w:r>
        <w:rPr>
          <w:lang w:eastAsia="ja-JP"/>
        </w:rPr>
        <w:t>1- Restricted in physically strenuous activity but ambulatory and able to carry out work of a light or sedentary nature, for example, light house work, office work</w:t>
      </w:r>
    </w:p>
    <w:p w14:paraId="788476E9" w14:textId="77777777" w:rsidR="00D71901" w:rsidRDefault="00D71901">
      <w:pPr>
        <w:pStyle w:val="FootnoteText"/>
        <w:spacing w:before="120" w:after="120"/>
        <w:rPr>
          <w:lang w:eastAsia="ja-JP"/>
        </w:rPr>
      </w:pPr>
      <w:r>
        <w:rPr>
          <w:lang w:eastAsia="ja-JP"/>
        </w:rPr>
        <w:t>2 - Ambulatory and capable of all self-care but unable to carry out any work activities. Up and about more than 50% of waking hours</w:t>
      </w:r>
    </w:p>
    <w:p w14:paraId="0CD2B12C" w14:textId="77777777" w:rsidR="00D71901" w:rsidRDefault="00D71901">
      <w:pPr>
        <w:pStyle w:val="FootnoteText"/>
        <w:spacing w:before="120" w:after="120"/>
        <w:rPr>
          <w:lang w:eastAsia="ja-JP"/>
        </w:rPr>
      </w:pPr>
      <w:r>
        <w:rPr>
          <w:lang w:eastAsia="ja-JP"/>
        </w:rPr>
        <w:t>3 - Capable of only limited self-care, confined to bed or chair more than 50% of waking hours</w:t>
      </w:r>
    </w:p>
    <w:p w14:paraId="09E3A773" w14:textId="77777777" w:rsidR="00D71901" w:rsidRDefault="00D71901">
      <w:pPr>
        <w:pStyle w:val="FootnoteText"/>
        <w:spacing w:before="120" w:after="120"/>
        <w:rPr>
          <w:lang w:eastAsia="ja-JP"/>
        </w:rPr>
      </w:pPr>
      <w:r>
        <w:rPr>
          <w:lang w:eastAsia="ja-JP"/>
        </w:rPr>
        <w:t>4 - Completely disabled. Cannot carry on any self-care. Totally confined to bed or chair</w:t>
      </w:r>
    </w:p>
    <w:p w14:paraId="69D61EA8" w14:textId="3D65716D" w:rsidR="00D71901" w:rsidRDefault="00D71901">
      <w:pPr>
        <w:pStyle w:val="FootnoteText"/>
        <w:spacing w:before="120" w:after="120"/>
        <w:rPr>
          <w:lang w:eastAsia="ja-JP"/>
        </w:rPr>
      </w:pPr>
      <w:r>
        <w:rPr>
          <w:lang w:eastAsia="ja-JP"/>
        </w:rPr>
        <w:t>5 – Dead</w:t>
      </w:r>
    </w:p>
  </w:footnote>
  <w:footnote w:id="4">
    <w:p w14:paraId="0F731F2F" w14:textId="41D0586C" w:rsidR="00D71901" w:rsidRDefault="00D71901">
      <w:pPr>
        <w:pStyle w:val="FootnoteText"/>
      </w:pPr>
      <w:r>
        <w:rPr>
          <w:rStyle w:val="FootnoteReference"/>
        </w:rPr>
        <w:footnoteRef/>
      </w:r>
      <w:r>
        <w:t xml:space="preserve"> National Comprehensive Cancer Network guidelines on non-small cell lung cancer. Available on </w:t>
      </w:r>
      <w:hyperlink r:id="rId1" w:history="1">
        <w:r w:rsidRPr="00E05E7E">
          <w:rPr>
            <w:rStyle w:val="Hyperlink"/>
          </w:rPr>
          <w:t>www.nccn.org</w:t>
        </w:r>
      </w:hyperlink>
      <w:r>
        <w:t xml:space="preserve">. Latest version: </w:t>
      </w:r>
      <w:r w:rsidRPr="00F717E4">
        <w:t xml:space="preserve">Ettinger DS, Wood DE, </w:t>
      </w:r>
      <w:proofErr w:type="spellStart"/>
      <w:r w:rsidRPr="00F717E4">
        <w:t>Aisner</w:t>
      </w:r>
      <w:proofErr w:type="spellEnd"/>
      <w:r w:rsidRPr="00F717E4">
        <w:t xml:space="preserve"> DL, et al. Non-Small Cell Lung Cancer, Version 3.2022, NCCN Clinical Practice Guidelines in Oncology. J Natl </w:t>
      </w:r>
      <w:proofErr w:type="spellStart"/>
      <w:r w:rsidRPr="00F717E4">
        <w:t>Compr</w:t>
      </w:r>
      <w:proofErr w:type="spellEnd"/>
      <w:r w:rsidRPr="00F717E4">
        <w:t xml:space="preserve"> </w:t>
      </w:r>
      <w:proofErr w:type="spellStart"/>
      <w:r w:rsidRPr="00F717E4">
        <w:t>Canc</w:t>
      </w:r>
      <w:proofErr w:type="spellEnd"/>
      <w:r w:rsidRPr="00F717E4">
        <w:t xml:space="preserve"> </w:t>
      </w:r>
      <w:proofErr w:type="spellStart"/>
      <w:r w:rsidRPr="00F717E4">
        <w:t>Netw</w:t>
      </w:r>
      <w:proofErr w:type="spellEnd"/>
      <w:r w:rsidRPr="00F717E4">
        <w:t>. 2022;20(5):497-530.</w:t>
      </w:r>
    </w:p>
  </w:footnote>
  <w:footnote w:id="5">
    <w:p w14:paraId="24C6C681" w14:textId="77777777" w:rsidR="00D71901" w:rsidRPr="00004816" w:rsidRDefault="00D71901" w:rsidP="00265B91">
      <w:pPr>
        <w:pStyle w:val="FootnoteText"/>
        <w:rPr>
          <w:lang w:val="en-GB"/>
        </w:rPr>
      </w:pPr>
      <w:r>
        <w:rPr>
          <w:rStyle w:val="FootnoteReference"/>
        </w:rPr>
        <w:footnoteRef/>
      </w:r>
      <w:r>
        <w:t xml:space="preserve"> </w:t>
      </w:r>
      <w:r>
        <w:rPr>
          <w:lang w:val="en-GB"/>
        </w:rPr>
        <w:t xml:space="preserve">Further information about the approval, registration and indications of these medicines is available by searching for the respective </w:t>
      </w:r>
      <w:proofErr w:type="spellStart"/>
      <w:r>
        <w:rPr>
          <w:lang w:val="en-GB"/>
        </w:rPr>
        <w:t>AusPARs</w:t>
      </w:r>
      <w:proofErr w:type="spellEnd"/>
      <w:r>
        <w:rPr>
          <w:lang w:val="en-GB"/>
        </w:rPr>
        <w:t xml:space="preserve"> at </w:t>
      </w:r>
      <w:hyperlink r:id="rId2" w:history="1">
        <w:r w:rsidRPr="00E05E7E">
          <w:rPr>
            <w:rStyle w:val="Hyperlink"/>
            <w:lang w:val="en-GB"/>
          </w:rPr>
          <w:t>https://www.tga.gov.au/ws-auspar-index</w:t>
        </w:r>
      </w:hyperlink>
      <w:r>
        <w:rPr>
          <w:lang w:val="en-GB"/>
        </w:rPr>
        <w:t xml:space="preserve"> </w:t>
      </w:r>
    </w:p>
  </w:footnote>
  <w:footnote w:id="6">
    <w:p w14:paraId="0DAA6659" w14:textId="1FAD9194" w:rsidR="00D71901" w:rsidRDefault="00D71901">
      <w:pPr>
        <w:pStyle w:val="FootnoteText"/>
      </w:pPr>
      <w:r>
        <w:rPr>
          <w:rStyle w:val="FootnoteReference"/>
        </w:rPr>
        <w:footnoteRef/>
      </w:r>
      <w:r>
        <w:t xml:space="preserve"> Pembrolizumab is registered in Australia as of 8 March 2016. ARTG number: 263932.</w:t>
      </w:r>
    </w:p>
  </w:footnote>
  <w:footnote w:id="7">
    <w:p w14:paraId="523D8352" w14:textId="60B691C3" w:rsidR="00D71901" w:rsidRDefault="00D71901">
      <w:pPr>
        <w:pStyle w:val="FootnoteText"/>
      </w:pPr>
      <w:r>
        <w:rPr>
          <w:rStyle w:val="FootnoteReference"/>
        </w:rPr>
        <w:footnoteRef/>
      </w:r>
      <w:r>
        <w:t xml:space="preserve"> Nivolumab is registered in Australia as of 11 January 2016. ARTG number: 231867, 231868, 318057.</w:t>
      </w:r>
    </w:p>
  </w:footnote>
  <w:footnote w:id="8">
    <w:p w14:paraId="4D92A916" w14:textId="5702CC1E" w:rsidR="00D71901" w:rsidRDefault="00D71901">
      <w:pPr>
        <w:pStyle w:val="FootnoteText"/>
      </w:pPr>
      <w:r>
        <w:rPr>
          <w:rStyle w:val="FootnoteReference"/>
        </w:rPr>
        <w:footnoteRef/>
      </w:r>
      <w:r>
        <w:t xml:space="preserve"> Atezolizumab is registered in Australia as of 31 July 2019. ARTG number: 277120, 310681.</w:t>
      </w:r>
    </w:p>
  </w:footnote>
  <w:footnote w:id="9">
    <w:p w14:paraId="28BAEDB8" w14:textId="215D726B" w:rsidR="00D71901" w:rsidRDefault="00D71901">
      <w:pPr>
        <w:pStyle w:val="FootnoteText"/>
      </w:pPr>
      <w:r>
        <w:rPr>
          <w:rStyle w:val="FootnoteReference"/>
        </w:rPr>
        <w:footnoteRef/>
      </w:r>
      <w:r>
        <w:t xml:space="preserve"> Ipilimumab is registered in Australia as of 4 July 2011. ARTG number: 174319, 174322, 174326, 174327.</w:t>
      </w:r>
    </w:p>
  </w:footnote>
  <w:footnote w:id="10">
    <w:p w14:paraId="62661896" w14:textId="6C2775D6" w:rsidR="00D71901" w:rsidRPr="004A22ED" w:rsidRDefault="00D71901">
      <w:pPr>
        <w:pStyle w:val="FootnoteText"/>
        <w:rPr>
          <w:lang w:val="en-GB"/>
        </w:rPr>
      </w:pPr>
      <w:r>
        <w:rPr>
          <w:rStyle w:val="FootnoteReference"/>
        </w:rPr>
        <w:t>9</w:t>
      </w:r>
      <w:r>
        <w:t xml:space="preserve"> For further information on this submission, </w:t>
      </w:r>
      <w:r>
        <w:rPr>
          <w:lang w:val="en-GB"/>
        </w:rPr>
        <w:t xml:space="preserve">See the </w:t>
      </w:r>
      <w:proofErr w:type="spellStart"/>
      <w:r>
        <w:rPr>
          <w:lang w:val="en-GB"/>
        </w:rPr>
        <w:t>AusPAR</w:t>
      </w:r>
      <w:proofErr w:type="spellEnd"/>
      <w:r>
        <w:rPr>
          <w:lang w:val="en-GB"/>
        </w:rPr>
        <w:t xml:space="preserve"> for </w:t>
      </w:r>
      <w:proofErr w:type="spellStart"/>
      <w:r>
        <w:rPr>
          <w:lang w:val="en-GB"/>
        </w:rPr>
        <w:t>Libtayo</w:t>
      </w:r>
      <w:proofErr w:type="spellEnd"/>
      <w:r>
        <w:rPr>
          <w:lang w:val="en-GB"/>
        </w:rPr>
        <w:t xml:space="preserve"> </w:t>
      </w:r>
      <w:proofErr w:type="spellStart"/>
      <w:r>
        <w:rPr>
          <w:lang w:val="en-GB"/>
        </w:rPr>
        <w:t>cemiplimab</w:t>
      </w:r>
      <w:proofErr w:type="spellEnd"/>
      <w:r>
        <w:rPr>
          <w:lang w:val="en-GB"/>
        </w:rPr>
        <w:t xml:space="preserve"> Sanofi-Aventis Australia Pty Ltd, submission </w:t>
      </w:r>
      <w:r w:rsidRPr="00CF4404">
        <w:rPr>
          <w:lang w:val="en-GB"/>
        </w:rPr>
        <w:t>PM-2019-03270-1-4</w:t>
      </w:r>
      <w:r>
        <w:rPr>
          <w:lang w:val="en-GB"/>
        </w:rPr>
        <w:t xml:space="preserve">; available at:  </w:t>
      </w:r>
      <w:hyperlink r:id="rId3" w:history="1">
        <w:r w:rsidRPr="00E05E7E">
          <w:rPr>
            <w:rStyle w:val="Hyperlink"/>
            <w:lang w:val="en-GB"/>
          </w:rPr>
          <w:t>https://www.tga.gov.au/auspar/auspar-cemiplimab</w:t>
        </w:r>
      </w:hyperlink>
      <w:r>
        <w:rPr>
          <w:lang w:val="en-GB"/>
        </w:rPr>
        <w:t xml:space="preserve"> </w:t>
      </w:r>
    </w:p>
  </w:footnote>
  <w:footnote w:id="11">
    <w:p w14:paraId="75CB7291" w14:textId="3B8DED97" w:rsidR="00D71901" w:rsidRDefault="00D71901">
      <w:pPr>
        <w:pStyle w:val="FootnoteText"/>
      </w:pPr>
      <w:r>
        <w:rPr>
          <w:rStyle w:val="FootnoteReference"/>
        </w:rPr>
        <w:footnoteRef/>
      </w:r>
      <w:r>
        <w:t xml:space="preserve"> </w:t>
      </w:r>
      <w:r>
        <w:rPr>
          <w:rStyle w:val="FootnoteReference"/>
        </w:rPr>
        <w:footnoteRef/>
      </w:r>
      <w:r>
        <w:t xml:space="preserve"> </w:t>
      </w:r>
      <w:r>
        <w:rPr>
          <w:lang w:eastAsia="ja-JP"/>
        </w:rPr>
        <w:t xml:space="preserve">The Response Evaluation Criteria in Solid </w:t>
      </w:r>
      <w:proofErr w:type="spellStart"/>
      <w:r>
        <w:rPr>
          <w:lang w:eastAsia="ja-JP"/>
        </w:rPr>
        <w:t>Tumors</w:t>
      </w:r>
      <w:proofErr w:type="spellEnd"/>
      <w:r>
        <w:rPr>
          <w:lang w:eastAsia="ja-JP"/>
        </w:rPr>
        <w:t xml:space="preserve"> (RECIST) is a voluntary, international standard using unified, easily applicable criteria for measuring </w:t>
      </w:r>
      <w:proofErr w:type="spellStart"/>
      <w:r>
        <w:rPr>
          <w:lang w:eastAsia="ja-JP"/>
        </w:rPr>
        <w:t>tumor</w:t>
      </w:r>
      <w:proofErr w:type="spellEnd"/>
      <w:r>
        <w:rPr>
          <w:lang w:eastAsia="ja-JP"/>
        </w:rPr>
        <w:t xml:space="preserve"> response using X-ray, CT and MRI.</w:t>
      </w:r>
    </w:p>
  </w:footnote>
  <w:footnote w:id="12">
    <w:p w14:paraId="532B692F" w14:textId="2FBB6355" w:rsidR="00D71901" w:rsidRDefault="00D71901">
      <w:pPr>
        <w:pStyle w:val="FootnoteText"/>
      </w:pPr>
      <w:r>
        <w:rPr>
          <w:rStyle w:val="FootnoteReference"/>
        </w:rPr>
        <w:footnoteRef/>
      </w:r>
      <w:r>
        <w:t xml:space="preserve"> Paclitaxel was first registered in Australia on 17 October 2008. ARTG number: 133500.</w:t>
      </w:r>
    </w:p>
  </w:footnote>
  <w:footnote w:id="13">
    <w:p w14:paraId="06357EFA" w14:textId="49E44417" w:rsidR="00D71901" w:rsidRDefault="00D71901">
      <w:pPr>
        <w:pStyle w:val="FootnoteText"/>
      </w:pPr>
      <w:r>
        <w:rPr>
          <w:rStyle w:val="FootnoteReference"/>
        </w:rPr>
        <w:footnoteRef/>
      </w:r>
      <w:r>
        <w:t xml:space="preserve"> Cisplatin was first registered in Australia on 13 August 1991. ARTG number:11349</w:t>
      </w:r>
    </w:p>
  </w:footnote>
  <w:footnote w:id="14">
    <w:p w14:paraId="3E35015E" w14:textId="59895F6E" w:rsidR="00D71901" w:rsidRDefault="00D71901">
      <w:pPr>
        <w:pStyle w:val="FootnoteText"/>
      </w:pPr>
      <w:r>
        <w:rPr>
          <w:rStyle w:val="FootnoteReference"/>
        </w:rPr>
        <w:footnoteRef/>
      </w:r>
      <w:r>
        <w:t xml:space="preserve"> Carboplatin was first registered in Australia on 13 August 1991.ARTG number:12880</w:t>
      </w:r>
    </w:p>
  </w:footnote>
  <w:footnote w:id="15">
    <w:p w14:paraId="72D9B0F4" w14:textId="4DB919FE" w:rsidR="00D71901" w:rsidRDefault="00D71901">
      <w:pPr>
        <w:pStyle w:val="FootnoteText"/>
      </w:pPr>
      <w:r>
        <w:rPr>
          <w:rStyle w:val="FootnoteReference"/>
        </w:rPr>
        <w:footnoteRef/>
      </w:r>
      <w:r>
        <w:t xml:space="preserve"> Gemcitabine was first registered in Australia on 2 December 2008. ARTG number: 146760</w:t>
      </w:r>
    </w:p>
  </w:footnote>
  <w:footnote w:id="16">
    <w:p w14:paraId="722CC844" w14:textId="3186A548" w:rsidR="00D71901" w:rsidRDefault="00D71901">
      <w:pPr>
        <w:pStyle w:val="FootnoteText"/>
      </w:pPr>
      <w:r>
        <w:rPr>
          <w:rStyle w:val="FootnoteReference"/>
        </w:rPr>
        <w:footnoteRef/>
      </w:r>
      <w:r>
        <w:t xml:space="preserve"> Pemetrexed was first registered in Australia on 8 November 2007.ARTG number 146828</w:t>
      </w:r>
    </w:p>
  </w:footnote>
  <w:footnote w:id="17">
    <w:p w14:paraId="5A32F573" w14:textId="7079AFE9" w:rsidR="00D71901" w:rsidRPr="004A22ED" w:rsidRDefault="00D71901">
      <w:pPr>
        <w:pStyle w:val="FootnoteText"/>
        <w:rPr>
          <w:lang w:val="en-GB"/>
        </w:rPr>
      </w:pPr>
      <w:r>
        <w:rPr>
          <w:rStyle w:val="FootnoteReference"/>
        </w:rPr>
        <w:footnoteRef/>
      </w:r>
      <w:r>
        <w:t xml:space="preserve"> PD-L1 IHC 22C3 </w:t>
      </w:r>
      <w:proofErr w:type="spellStart"/>
      <w:r>
        <w:t>pharmDx</w:t>
      </w:r>
      <w:proofErr w:type="spellEnd"/>
      <w:r>
        <w:t xml:space="preserve"> (by Agilent</w:t>
      </w:r>
      <w:r w:rsidRPr="00CA71BA">
        <w:t xml:space="preserve"> Technologies, Inc.</w:t>
      </w:r>
      <w:r>
        <w:t>, USA)</w:t>
      </w:r>
      <w:r w:rsidRPr="00CA71BA">
        <w:t>;</w:t>
      </w:r>
      <w:r>
        <w:t xml:space="preserve"> The PD-L1 IHC 22C3 </w:t>
      </w:r>
      <w:proofErr w:type="spellStart"/>
      <w:r>
        <w:t>pharmDx</w:t>
      </w:r>
      <w:proofErr w:type="spellEnd"/>
      <w:r>
        <w:t xml:space="preserve"> is a qualitative immunohistochemical assay for </w:t>
      </w:r>
      <w:r w:rsidRPr="004A22ED">
        <w:rPr>
          <w:i/>
        </w:rPr>
        <w:t xml:space="preserve">in vitro </w:t>
      </w:r>
      <w:r>
        <w:t>diagnostic using using monoclonal mouse anti-PD-L1, Clone 22C3 intended for use in the detection of PD-L1 protein in formalin-fixed, paraffin-embedded (FFPE) non-small cell lung cancer (NSCLC), gastric or gastroesophageal junction (GEJ) adenocarcinoma, oesophageal squamous cell carcinoma (ESCC), cervical cancer, urothelial carcinoma and head and neck squamous cell carcinoma (HNSCC) tissues.</w:t>
      </w:r>
    </w:p>
  </w:footnote>
  <w:footnote w:id="18">
    <w:p w14:paraId="238DD020" w14:textId="1E0F8463" w:rsidR="00D71901" w:rsidRPr="004A22ED" w:rsidRDefault="00D71901">
      <w:pPr>
        <w:pStyle w:val="FootnoteText"/>
        <w:rPr>
          <w:lang w:val="en-GB"/>
        </w:rPr>
      </w:pPr>
      <w:r>
        <w:rPr>
          <w:rStyle w:val="FootnoteReference"/>
        </w:rPr>
        <w:footnoteRef/>
      </w:r>
      <w:r>
        <w:t xml:space="preserve"> The </w:t>
      </w:r>
      <w:r w:rsidRPr="008C6BD7">
        <w:t xml:space="preserve">Ventana </w:t>
      </w:r>
      <w:r>
        <w:t>PD-L1 SP263</w:t>
      </w:r>
      <w:r w:rsidRPr="008C6BD7">
        <w:t xml:space="preserve"> Assay </w:t>
      </w:r>
      <w:r>
        <w:t>(by Roche/</w:t>
      </w:r>
      <w:r w:rsidRPr="008C6BD7">
        <w:t>F. Hoffmann-La Roche</w:t>
      </w:r>
      <w:r>
        <w:t xml:space="preserve">, Switzerland) </w:t>
      </w:r>
      <w:r w:rsidRPr="008C6BD7">
        <w:t>is a qualitative immunohistochemistry assay usin</w:t>
      </w:r>
      <w:r>
        <w:t>g rabbit monoclonal anti-PD-L1 C</w:t>
      </w:r>
      <w:r w:rsidRPr="008C6BD7">
        <w:t xml:space="preserve">lone SP263 intended for use in the assessment of the programmed death ligand-1 (PD-L1) protein in formalin-fixed, paraffin-embedded (FFPE) non-small cell lung carcinoma (NSCLC) tissue specimens by light microscopy. The Ventana PD-L1 (SP263) Assay is used with the </w:t>
      </w:r>
      <w:proofErr w:type="spellStart"/>
      <w:r w:rsidRPr="008C6BD7">
        <w:t>OptiView</w:t>
      </w:r>
      <w:proofErr w:type="spellEnd"/>
      <w:r w:rsidRPr="008C6BD7">
        <w:t xml:space="preserve"> DAB IHC Detection Kit for staining on the </w:t>
      </w:r>
      <w:proofErr w:type="spellStart"/>
      <w:r w:rsidRPr="008C6BD7">
        <w:t>BenchMark</w:t>
      </w:r>
      <w:proofErr w:type="spellEnd"/>
      <w:r w:rsidRPr="008C6BD7">
        <w:t xml:space="preserve"> ULTRA instrument.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5E972" w14:textId="77777777" w:rsidR="00D71901" w:rsidRDefault="00D7190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F2322" w14:textId="77777777" w:rsidR="00D71901" w:rsidRDefault="00D71901">
    <w:pPr>
      <w:rPr>
        <w:lang w:eastAsia="en-AU"/>
      </w:rPr>
    </w:pPr>
    <w:r>
      <w:rPr>
        <w:noProof/>
        <w:lang w:val="en-GB" w:eastAsia="en-GB"/>
      </w:rPr>
      <w:drawing>
        <wp:anchor distT="0" distB="0" distL="114300" distR="114300" simplePos="0" relativeHeight="251659264" behindDoc="1" locked="0" layoutInCell="1" allowOverlap="1" wp14:anchorId="06600ADB" wp14:editId="2D8D2C5B">
          <wp:simplePos x="0" y="0"/>
          <wp:positionH relativeFrom="column">
            <wp:posOffset>-1089660</wp:posOffset>
          </wp:positionH>
          <wp:positionV relativeFrom="paragraph">
            <wp:posOffset>-585470</wp:posOffset>
          </wp:positionV>
          <wp:extent cx="7572375" cy="10706100"/>
          <wp:effectExtent l="19050" t="0" r="0" b="0"/>
          <wp:wrapNone/>
          <wp:docPr id="17"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992C4" w14:textId="77777777" w:rsidR="00D71901" w:rsidRDefault="00D719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CE35B" w14:textId="77777777" w:rsidR="00D71901" w:rsidRDefault="00D71901">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E0272" w14:textId="77777777" w:rsidR="00D71901" w:rsidRDefault="00D71901">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5B7FA" w14:textId="77777777" w:rsidR="00D71901" w:rsidRDefault="00D719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2D797" w14:textId="77777777" w:rsidR="00D71901" w:rsidRDefault="00D71901">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4F95E" w14:textId="77777777" w:rsidR="00D71901" w:rsidRDefault="00D71901">
    <w:r>
      <w:t>Therapeutic Goods Administration</w:t>
    </w:r>
  </w:p>
  <w:p w14:paraId="7CDF84D4" w14:textId="77777777" w:rsidR="00D71901" w:rsidRDefault="00D719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41DC28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68966A1"/>
    <w:multiLevelType w:val="hybridMultilevel"/>
    <w:tmpl w:val="03D44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9E0557"/>
    <w:multiLevelType w:val="hybridMultilevel"/>
    <w:tmpl w:val="349489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171C44"/>
    <w:multiLevelType w:val="hybridMultilevel"/>
    <w:tmpl w:val="73CE04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2E1248D"/>
    <w:multiLevelType w:val="hybridMultilevel"/>
    <w:tmpl w:val="1FAC64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CC3063F"/>
    <w:multiLevelType w:val="hybridMultilevel"/>
    <w:tmpl w:val="4BC09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10"/>
  </w:num>
  <w:num w:numId="5">
    <w:abstractNumId w:val="0"/>
  </w:num>
  <w:num w:numId="6">
    <w:abstractNumId w:val="10"/>
  </w:num>
  <w:num w:numId="7">
    <w:abstractNumId w:val="10"/>
  </w:num>
  <w:num w:numId="8">
    <w:abstractNumId w:val="8"/>
  </w:num>
  <w:num w:numId="9">
    <w:abstractNumId w:val="8"/>
  </w:num>
  <w:num w:numId="10">
    <w:abstractNumId w:val="8"/>
  </w:num>
  <w:num w:numId="11">
    <w:abstractNumId w:val="8"/>
  </w:num>
  <w:num w:numId="12">
    <w:abstractNumId w:val="3"/>
    <w:lvlOverride w:ilvl="0">
      <w:lvl w:ilvl="0">
        <w:numFmt w:val="bullet"/>
        <w:lvlText w:val="•"/>
        <w:legacy w:legacy="1" w:legacySpace="0" w:legacyIndent="0"/>
        <w:lvlJc w:val="left"/>
        <w:rPr>
          <w:rFonts w:ascii="Helv" w:hAnsi="Helv" w:hint="default"/>
        </w:rPr>
      </w:lvl>
    </w:lvlOverride>
  </w:num>
  <w:num w:numId="13">
    <w:abstractNumId w:val="10"/>
  </w:num>
  <w:num w:numId="14">
    <w:abstractNumId w:val="10"/>
  </w:num>
  <w:num w:numId="15">
    <w:abstractNumId w:val="10"/>
  </w:num>
  <w:num w:numId="16">
    <w:abstractNumId w:val="8"/>
  </w:num>
  <w:num w:numId="17">
    <w:abstractNumId w:val="8"/>
  </w:num>
  <w:num w:numId="18">
    <w:abstractNumId w:val="8"/>
  </w:num>
  <w:num w:numId="19">
    <w:abstractNumId w:val="10"/>
  </w:num>
  <w:num w:numId="20">
    <w:abstractNumId w:val="10"/>
  </w:num>
  <w:num w:numId="21">
    <w:abstractNumId w:val="10"/>
  </w:num>
  <w:num w:numId="22">
    <w:abstractNumId w:val="8"/>
  </w:num>
  <w:num w:numId="23">
    <w:abstractNumId w:val="8"/>
  </w:num>
  <w:num w:numId="24">
    <w:abstractNumId w:val="8"/>
  </w:num>
  <w:num w:numId="25">
    <w:abstractNumId w:val="8"/>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2"/>
  </w:num>
  <w:num w:numId="28">
    <w:abstractNumId w:val="15"/>
  </w:num>
  <w:num w:numId="29">
    <w:abstractNumId w:val="9"/>
  </w:num>
  <w:num w:numId="30">
    <w:abstractNumId w:val="11"/>
  </w:num>
  <w:num w:numId="31">
    <w:abstractNumId w:val="5"/>
  </w:num>
  <w:num w:numId="32">
    <w:abstractNumId w:val="13"/>
  </w:num>
  <w:num w:numId="33">
    <w:abstractNumId w:val="14"/>
  </w:num>
  <w:num w:numId="34">
    <w:abstractNumId w:val="4"/>
  </w:num>
  <w:num w:numId="35">
    <w:abstractNumId w:val="16"/>
  </w:num>
  <w:num w:numId="36">
    <w:abstractNumId w:val="6"/>
  </w:num>
  <w:num w:numId="37">
    <w:abstractNumId w:val="7"/>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24E"/>
    <w:rsid w:val="00002031"/>
    <w:rsid w:val="0000250B"/>
    <w:rsid w:val="00004734"/>
    <w:rsid w:val="00006B22"/>
    <w:rsid w:val="00006FAB"/>
    <w:rsid w:val="0001276A"/>
    <w:rsid w:val="000246AE"/>
    <w:rsid w:val="00025C67"/>
    <w:rsid w:val="00044772"/>
    <w:rsid w:val="0004541C"/>
    <w:rsid w:val="00051A78"/>
    <w:rsid w:val="0005559E"/>
    <w:rsid w:val="000604D6"/>
    <w:rsid w:val="000734D8"/>
    <w:rsid w:val="00077775"/>
    <w:rsid w:val="00080C64"/>
    <w:rsid w:val="00085000"/>
    <w:rsid w:val="00090471"/>
    <w:rsid w:val="00096AA7"/>
    <w:rsid w:val="000A1DED"/>
    <w:rsid w:val="000A3AED"/>
    <w:rsid w:val="000A50C4"/>
    <w:rsid w:val="000B3532"/>
    <w:rsid w:val="000B3A75"/>
    <w:rsid w:val="000C00C2"/>
    <w:rsid w:val="000C103B"/>
    <w:rsid w:val="000C690F"/>
    <w:rsid w:val="000D04F4"/>
    <w:rsid w:val="000D1295"/>
    <w:rsid w:val="000D391B"/>
    <w:rsid w:val="000D3D6D"/>
    <w:rsid w:val="000D4FC7"/>
    <w:rsid w:val="000D7500"/>
    <w:rsid w:val="000E09CC"/>
    <w:rsid w:val="000E6196"/>
    <w:rsid w:val="000F4869"/>
    <w:rsid w:val="000F5B42"/>
    <w:rsid w:val="000F6673"/>
    <w:rsid w:val="000F6E6F"/>
    <w:rsid w:val="0010601F"/>
    <w:rsid w:val="0010788A"/>
    <w:rsid w:val="00107A31"/>
    <w:rsid w:val="00110EA5"/>
    <w:rsid w:val="00112F56"/>
    <w:rsid w:val="00117C1F"/>
    <w:rsid w:val="00122C2E"/>
    <w:rsid w:val="00124ACD"/>
    <w:rsid w:val="00125318"/>
    <w:rsid w:val="001305A2"/>
    <w:rsid w:val="00133238"/>
    <w:rsid w:val="00133A1B"/>
    <w:rsid w:val="00136DF1"/>
    <w:rsid w:val="0014197B"/>
    <w:rsid w:val="001447CD"/>
    <w:rsid w:val="0014539A"/>
    <w:rsid w:val="001516B1"/>
    <w:rsid w:val="001518A5"/>
    <w:rsid w:val="00154EBB"/>
    <w:rsid w:val="00156316"/>
    <w:rsid w:val="00161181"/>
    <w:rsid w:val="00161D56"/>
    <w:rsid w:val="00162D14"/>
    <w:rsid w:val="00163780"/>
    <w:rsid w:val="00165389"/>
    <w:rsid w:val="0016716A"/>
    <w:rsid w:val="0017693F"/>
    <w:rsid w:val="0018110E"/>
    <w:rsid w:val="00181684"/>
    <w:rsid w:val="001843C6"/>
    <w:rsid w:val="0018489D"/>
    <w:rsid w:val="001850E0"/>
    <w:rsid w:val="00185407"/>
    <w:rsid w:val="00186369"/>
    <w:rsid w:val="001A03AF"/>
    <w:rsid w:val="001A2158"/>
    <w:rsid w:val="001A525F"/>
    <w:rsid w:val="001A5A00"/>
    <w:rsid w:val="001A66B8"/>
    <w:rsid w:val="001B09F9"/>
    <w:rsid w:val="001B1DA4"/>
    <w:rsid w:val="001B34C4"/>
    <w:rsid w:val="001B5C90"/>
    <w:rsid w:val="001B6448"/>
    <w:rsid w:val="001C2B47"/>
    <w:rsid w:val="001C32CD"/>
    <w:rsid w:val="001D2984"/>
    <w:rsid w:val="001E07CF"/>
    <w:rsid w:val="001E359E"/>
    <w:rsid w:val="001E59F1"/>
    <w:rsid w:val="001F2CEE"/>
    <w:rsid w:val="001F49EB"/>
    <w:rsid w:val="001F64A6"/>
    <w:rsid w:val="001F6CBA"/>
    <w:rsid w:val="00201D4E"/>
    <w:rsid w:val="002076C9"/>
    <w:rsid w:val="00207AD4"/>
    <w:rsid w:val="00220B8A"/>
    <w:rsid w:val="00221659"/>
    <w:rsid w:val="002257F3"/>
    <w:rsid w:val="00227C2A"/>
    <w:rsid w:val="002314EA"/>
    <w:rsid w:val="00233456"/>
    <w:rsid w:val="002339A5"/>
    <w:rsid w:val="00236394"/>
    <w:rsid w:val="00250271"/>
    <w:rsid w:val="00250F35"/>
    <w:rsid w:val="00257848"/>
    <w:rsid w:val="002578E8"/>
    <w:rsid w:val="00265B91"/>
    <w:rsid w:val="0027084A"/>
    <w:rsid w:val="002719FB"/>
    <w:rsid w:val="00271E85"/>
    <w:rsid w:val="00280265"/>
    <w:rsid w:val="00286434"/>
    <w:rsid w:val="00286C59"/>
    <w:rsid w:val="00291957"/>
    <w:rsid w:val="002942D1"/>
    <w:rsid w:val="0029501A"/>
    <w:rsid w:val="002A3721"/>
    <w:rsid w:val="002B1638"/>
    <w:rsid w:val="002B3624"/>
    <w:rsid w:val="002D0952"/>
    <w:rsid w:val="002D7DAB"/>
    <w:rsid w:val="002E40B3"/>
    <w:rsid w:val="002E4C9A"/>
    <w:rsid w:val="002F11F8"/>
    <w:rsid w:val="002F3F56"/>
    <w:rsid w:val="002F44B5"/>
    <w:rsid w:val="002F5122"/>
    <w:rsid w:val="00311AC0"/>
    <w:rsid w:val="003176FC"/>
    <w:rsid w:val="00324E45"/>
    <w:rsid w:val="0032583B"/>
    <w:rsid w:val="00326291"/>
    <w:rsid w:val="00327883"/>
    <w:rsid w:val="00331519"/>
    <w:rsid w:val="00332715"/>
    <w:rsid w:val="00335504"/>
    <w:rsid w:val="00340C18"/>
    <w:rsid w:val="003442FD"/>
    <w:rsid w:val="00347824"/>
    <w:rsid w:val="00350567"/>
    <w:rsid w:val="003521E8"/>
    <w:rsid w:val="00352AC2"/>
    <w:rsid w:val="00370CE3"/>
    <w:rsid w:val="00372007"/>
    <w:rsid w:val="003728F3"/>
    <w:rsid w:val="003735BC"/>
    <w:rsid w:val="0037496E"/>
    <w:rsid w:val="003763E0"/>
    <w:rsid w:val="00383221"/>
    <w:rsid w:val="00386150"/>
    <w:rsid w:val="003874CE"/>
    <w:rsid w:val="003876A7"/>
    <w:rsid w:val="00390333"/>
    <w:rsid w:val="00390900"/>
    <w:rsid w:val="00394C33"/>
    <w:rsid w:val="003955C0"/>
    <w:rsid w:val="003A7F6C"/>
    <w:rsid w:val="003B4D60"/>
    <w:rsid w:val="003B7E39"/>
    <w:rsid w:val="003C58DC"/>
    <w:rsid w:val="003D1E62"/>
    <w:rsid w:val="003E0B99"/>
    <w:rsid w:val="003E2486"/>
    <w:rsid w:val="003E3208"/>
    <w:rsid w:val="003F0B04"/>
    <w:rsid w:val="0040134E"/>
    <w:rsid w:val="0041250F"/>
    <w:rsid w:val="00412CF3"/>
    <w:rsid w:val="00417B82"/>
    <w:rsid w:val="004334C7"/>
    <w:rsid w:val="00440A2D"/>
    <w:rsid w:val="00441C3F"/>
    <w:rsid w:val="00444D1A"/>
    <w:rsid w:val="00445344"/>
    <w:rsid w:val="0045186A"/>
    <w:rsid w:val="00454BDC"/>
    <w:rsid w:val="004564A7"/>
    <w:rsid w:val="00456765"/>
    <w:rsid w:val="00460036"/>
    <w:rsid w:val="004617BF"/>
    <w:rsid w:val="00463658"/>
    <w:rsid w:val="004637A0"/>
    <w:rsid w:val="00470B3B"/>
    <w:rsid w:val="004722CC"/>
    <w:rsid w:val="00472696"/>
    <w:rsid w:val="00484AA0"/>
    <w:rsid w:val="00490483"/>
    <w:rsid w:val="004936E4"/>
    <w:rsid w:val="00494E60"/>
    <w:rsid w:val="00497487"/>
    <w:rsid w:val="004A22ED"/>
    <w:rsid w:val="004A2771"/>
    <w:rsid w:val="004A6189"/>
    <w:rsid w:val="004A7390"/>
    <w:rsid w:val="004B7B76"/>
    <w:rsid w:val="004C239D"/>
    <w:rsid w:val="004C2B1B"/>
    <w:rsid w:val="004C2DCA"/>
    <w:rsid w:val="004C4FBE"/>
    <w:rsid w:val="004C61D2"/>
    <w:rsid w:val="004F0C4A"/>
    <w:rsid w:val="004F0F38"/>
    <w:rsid w:val="004F3A98"/>
    <w:rsid w:val="004F47D6"/>
    <w:rsid w:val="004F6DD5"/>
    <w:rsid w:val="00500337"/>
    <w:rsid w:val="00501921"/>
    <w:rsid w:val="00505417"/>
    <w:rsid w:val="00513A3D"/>
    <w:rsid w:val="00517472"/>
    <w:rsid w:val="0052149B"/>
    <w:rsid w:val="0052379F"/>
    <w:rsid w:val="00523A21"/>
    <w:rsid w:val="00530354"/>
    <w:rsid w:val="00532230"/>
    <w:rsid w:val="0053625B"/>
    <w:rsid w:val="005434C6"/>
    <w:rsid w:val="00543B39"/>
    <w:rsid w:val="00545CDB"/>
    <w:rsid w:val="00546154"/>
    <w:rsid w:val="00547477"/>
    <w:rsid w:val="00550096"/>
    <w:rsid w:val="00555280"/>
    <w:rsid w:val="00557FF9"/>
    <w:rsid w:val="00562327"/>
    <w:rsid w:val="005711D5"/>
    <w:rsid w:val="00576378"/>
    <w:rsid w:val="005763FE"/>
    <w:rsid w:val="00577130"/>
    <w:rsid w:val="00577945"/>
    <w:rsid w:val="00577E38"/>
    <w:rsid w:val="00582452"/>
    <w:rsid w:val="00585322"/>
    <w:rsid w:val="005857C6"/>
    <w:rsid w:val="00592F6E"/>
    <w:rsid w:val="00593AD1"/>
    <w:rsid w:val="005A59AC"/>
    <w:rsid w:val="005A68B6"/>
    <w:rsid w:val="005A79F5"/>
    <w:rsid w:val="005B5241"/>
    <w:rsid w:val="005C494B"/>
    <w:rsid w:val="005C5570"/>
    <w:rsid w:val="005C5B66"/>
    <w:rsid w:val="005C79A4"/>
    <w:rsid w:val="005D5442"/>
    <w:rsid w:val="00603CE7"/>
    <w:rsid w:val="00603F32"/>
    <w:rsid w:val="00605AD4"/>
    <w:rsid w:val="006136D7"/>
    <w:rsid w:val="00625A6E"/>
    <w:rsid w:val="00632398"/>
    <w:rsid w:val="00640FC3"/>
    <w:rsid w:val="00642020"/>
    <w:rsid w:val="006430EE"/>
    <w:rsid w:val="00643CE5"/>
    <w:rsid w:val="0065337B"/>
    <w:rsid w:val="0065419D"/>
    <w:rsid w:val="006603BC"/>
    <w:rsid w:val="006604D8"/>
    <w:rsid w:val="00664A5B"/>
    <w:rsid w:val="0066735C"/>
    <w:rsid w:val="006763D2"/>
    <w:rsid w:val="00680C08"/>
    <w:rsid w:val="006901BA"/>
    <w:rsid w:val="006916A0"/>
    <w:rsid w:val="006931B1"/>
    <w:rsid w:val="006A15C0"/>
    <w:rsid w:val="006A58A8"/>
    <w:rsid w:val="006C3E2A"/>
    <w:rsid w:val="006C642F"/>
    <w:rsid w:val="006D03E5"/>
    <w:rsid w:val="006D5D3E"/>
    <w:rsid w:val="006E08B3"/>
    <w:rsid w:val="006E7D4A"/>
    <w:rsid w:val="006F12D9"/>
    <w:rsid w:val="006F17AC"/>
    <w:rsid w:val="006F25B8"/>
    <w:rsid w:val="006F276F"/>
    <w:rsid w:val="006F38D9"/>
    <w:rsid w:val="006F572E"/>
    <w:rsid w:val="006F7F0A"/>
    <w:rsid w:val="007046D6"/>
    <w:rsid w:val="00705DB0"/>
    <w:rsid w:val="0071111F"/>
    <w:rsid w:val="0072292E"/>
    <w:rsid w:val="00722B57"/>
    <w:rsid w:val="00730F8A"/>
    <w:rsid w:val="00735A8C"/>
    <w:rsid w:val="0074163C"/>
    <w:rsid w:val="0074253D"/>
    <w:rsid w:val="00744121"/>
    <w:rsid w:val="0074429B"/>
    <w:rsid w:val="00750997"/>
    <w:rsid w:val="007615BC"/>
    <w:rsid w:val="00762F05"/>
    <w:rsid w:val="00764AD7"/>
    <w:rsid w:val="007652FF"/>
    <w:rsid w:val="007703EF"/>
    <w:rsid w:val="00770CAC"/>
    <w:rsid w:val="00770EF1"/>
    <w:rsid w:val="0077131A"/>
    <w:rsid w:val="00773EF7"/>
    <w:rsid w:val="00774E1D"/>
    <w:rsid w:val="007765D8"/>
    <w:rsid w:val="0077675A"/>
    <w:rsid w:val="00780355"/>
    <w:rsid w:val="007819FD"/>
    <w:rsid w:val="00785717"/>
    <w:rsid w:val="00785721"/>
    <w:rsid w:val="00793A59"/>
    <w:rsid w:val="007A46F5"/>
    <w:rsid w:val="007A6505"/>
    <w:rsid w:val="007B6132"/>
    <w:rsid w:val="007B6E9F"/>
    <w:rsid w:val="007C1216"/>
    <w:rsid w:val="007C1AF7"/>
    <w:rsid w:val="007C6B9B"/>
    <w:rsid w:val="007D4B91"/>
    <w:rsid w:val="007D53B6"/>
    <w:rsid w:val="007F72F5"/>
    <w:rsid w:val="00804D99"/>
    <w:rsid w:val="00805D27"/>
    <w:rsid w:val="00806DCB"/>
    <w:rsid w:val="008110BC"/>
    <w:rsid w:val="008206F5"/>
    <w:rsid w:val="00821776"/>
    <w:rsid w:val="008321F5"/>
    <w:rsid w:val="00832369"/>
    <w:rsid w:val="00833ED8"/>
    <w:rsid w:val="00834660"/>
    <w:rsid w:val="00836BC2"/>
    <w:rsid w:val="00845C36"/>
    <w:rsid w:val="0085156D"/>
    <w:rsid w:val="00852B28"/>
    <w:rsid w:val="0085641B"/>
    <w:rsid w:val="00857136"/>
    <w:rsid w:val="00861C25"/>
    <w:rsid w:val="00865B03"/>
    <w:rsid w:val="00867FE9"/>
    <w:rsid w:val="00875A6B"/>
    <w:rsid w:val="00885B11"/>
    <w:rsid w:val="00886D15"/>
    <w:rsid w:val="00887DD8"/>
    <w:rsid w:val="00891BA9"/>
    <w:rsid w:val="00894AF2"/>
    <w:rsid w:val="00896018"/>
    <w:rsid w:val="008960DD"/>
    <w:rsid w:val="0089635C"/>
    <w:rsid w:val="008A2B9D"/>
    <w:rsid w:val="008A3D9F"/>
    <w:rsid w:val="008A5E0B"/>
    <w:rsid w:val="008A6D59"/>
    <w:rsid w:val="008B4B03"/>
    <w:rsid w:val="008B54A9"/>
    <w:rsid w:val="008B596F"/>
    <w:rsid w:val="008C159F"/>
    <w:rsid w:val="008C1623"/>
    <w:rsid w:val="008C1850"/>
    <w:rsid w:val="008C51A9"/>
    <w:rsid w:val="008C6BD7"/>
    <w:rsid w:val="008D3C38"/>
    <w:rsid w:val="008E7846"/>
    <w:rsid w:val="008F02E5"/>
    <w:rsid w:val="008F1CCC"/>
    <w:rsid w:val="008F2967"/>
    <w:rsid w:val="008F6943"/>
    <w:rsid w:val="00902A21"/>
    <w:rsid w:val="00904443"/>
    <w:rsid w:val="009067B4"/>
    <w:rsid w:val="0091523F"/>
    <w:rsid w:val="00920330"/>
    <w:rsid w:val="009219D7"/>
    <w:rsid w:val="00922D53"/>
    <w:rsid w:val="00923B70"/>
    <w:rsid w:val="00924482"/>
    <w:rsid w:val="00930237"/>
    <w:rsid w:val="00937C17"/>
    <w:rsid w:val="00940A89"/>
    <w:rsid w:val="00941F77"/>
    <w:rsid w:val="00946EA5"/>
    <w:rsid w:val="009556D7"/>
    <w:rsid w:val="00956027"/>
    <w:rsid w:val="009603B6"/>
    <w:rsid w:val="00960520"/>
    <w:rsid w:val="00963C08"/>
    <w:rsid w:val="0096793F"/>
    <w:rsid w:val="009752A5"/>
    <w:rsid w:val="00976E0D"/>
    <w:rsid w:val="0098585A"/>
    <w:rsid w:val="009A4CED"/>
    <w:rsid w:val="009A690D"/>
    <w:rsid w:val="009B1D12"/>
    <w:rsid w:val="009B416B"/>
    <w:rsid w:val="009C4304"/>
    <w:rsid w:val="009C4BD5"/>
    <w:rsid w:val="009C630B"/>
    <w:rsid w:val="009D7B77"/>
    <w:rsid w:val="009E0BB0"/>
    <w:rsid w:val="009E3FBB"/>
    <w:rsid w:val="009E5A87"/>
    <w:rsid w:val="009E747E"/>
    <w:rsid w:val="009F2673"/>
    <w:rsid w:val="009F7353"/>
    <w:rsid w:val="00A04F85"/>
    <w:rsid w:val="00A05FA4"/>
    <w:rsid w:val="00A102E4"/>
    <w:rsid w:val="00A1219C"/>
    <w:rsid w:val="00A12C42"/>
    <w:rsid w:val="00A14DF7"/>
    <w:rsid w:val="00A22D57"/>
    <w:rsid w:val="00A23DC6"/>
    <w:rsid w:val="00A3246D"/>
    <w:rsid w:val="00A36FA7"/>
    <w:rsid w:val="00A44DDB"/>
    <w:rsid w:val="00A475B7"/>
    <w:rsid w:val="00A47AF7"/>
    <w:rsid w:val="00A47C3E"/>
    <w:rsid w:val="00A50226"/>
    <w:rsid w:val="00A54021"/>
    <w:rsid w:val="00A60BAD"/>
    <w:rsid w:val="00A77F87"/>
    <w:rsid w:val="00A80B5B"/>
    <w:rsid w:val="00A84E36"/>
    <w:rsid w:val="00A964D1"/>
    <w:rsid w:val="00AA0ED0"/>
    <w:rsid w:val="00AB1B29"/>
    <w:rsid w:val="00AB55A6"/>
    <w:rsid w:val="00AC2B40"/>
    <w:rsid w:val="00AC2BB2"/>
    <w:rsid w:val="00AC2C3C"/>
    <w:rsid w:val="00AC512D"/>
    <w:rsid w:val="00AD0083"/>
    <w:rsid w:val="00AD224E"/>
    <w:rsid w:val="00AD3935"/>
    <w:rsid w:val="00AE32B7"/>
    <w:rsid w:val="00AE5DAF"/>
    <w:rsid w:val="00AE65EB"/>
    <w:rsid w:val="00AE67A7"/>
    <w:rsid w:val="00AE7567"/>
    <w:rsid w:val="00AF1D94"/>
    <w:rsid w:val="00AF2313"/>
    <w:rsid w:val="00AF4760"/>
    <w:rsid w:val="00AF60C5"/>
    <w:rsid w:val="00B009C6"/>
    <w:rsid w:val="00B01548"/>
    <w:rsid w:val="00B130C5"/>
    <w:rsid w:val="00B13EBD"/>
    <w:rsid w:val="00B1406F"/>
    <w:rsid w:val="00B17A9A"/>
    <w:rsid w:val="00B20882"/>
    <w:rsid w:val="00B21D29"/>
    <w:rsid w:val="00B23C75"/>
    <w:rsid w:val="00B25034"/>
    <w:rsid w:val="00B31CDC"/>
    <w:rsid w:val="00B33588"/>
    <w:rsid w:val="00B33863"/>
    <w:rsid w:val="00B37D17"/>
    <w:rsid w:val="00B4175E"/>
    <w:rsid w:val="00B41C85"/>
    <w:rsid w:val="00B452CE"/>
    <w:rsid w:val="00B54C25"/>
    <w:rsid w:val="00B63BD6"/>
    <w:rsid w:val="00B739E5"/>
    <w:rsid w:val="00B76B91"/>
    <w:rsid w:val="00B77EB1"/>
    <w:rsid w:val="00B811C6"/>
    <w:rsid w:val="00B855B0"/>
    <w:rsid w:val="00B86C78"/>
    <w:rsid w:val="00B91ECD"/>
    <w:rsid w:val="00B92E08"/>
    <w:rsid w:val="00BA1828"/>
    <w:rsid w:val="00BB0B78"/>
    <w:rsid w:val="00BB2717"/>
    <w:rsid w:val="00BB75D6"/>
    <w:rsid w:val="00BC622A"/>
    <w:rsid w:val="00BE0A78"/>
    <w:rsid w:val="00BE359B"/>
    <w:rsid w:val="00BE35F5"/>
    <w:rsid w:val="00BE6542"/>
    <w:rsid w:val="00BE79F0"/>
    <w:rsid w:val="00BE7B1A"/>
    <w:rsid w:val="00BF046D"/>
    <w:rsid w:val="00BF1190"/>
    <w:rsid w:val="00BF3774"/>
    <w:rsid w:val="00BF5D04"/>
    <w:rsid w:val="00BF7063"/>
    <w:rsid w:val="00C009AA"/>
    <w:rsid w:val="00C1164D"/>
    <w:rsid w:val="00C15B6C"/>
    <w:rsid w:val="00C161AA"/>
    <w:rsid w:val="00C16861"/>
    <w:rsid w:val="00C247EF"/>
    <w:rsid w:val="00C25B5E"/>
    <w:rsid w:val="00C34133"/>
    <w:rsid w:val="00C346AB"/>
    <w:rsid w:val="00C404A6"/>
    <w:rsid w:val="00C40A36"/>
    <w:rsid w:val="00C44419"/>
    <w:rsid w:val="00C45E7B"/>
    <w:rsid w:val="00C471B1"/>
    <w:rsid w:val="00C525A2"/>
    <w:rsid w:val="00C52E24"/>
    <w:rsid w:val="00C6316B"/>
    <w:rsid w:val="00C634A9"/>
    <w:rsid w:val="00C64586"/>
    <w:rsid w:val="00C70A36"/>
    <w:rsid w:val="00C70D53"/>
    <w:rsid w:val="00C73D0B"/>
    <w:rsid w:val="00C74F5C"/>
    <w:rsid w:val="00C772FF"/>
    <w:rsid w:val="00C80137"/>
    <w:rsid w:val="00C801AF"/>
    <w:rsid w:val="00C80256"/>
    <w:rsid w:val="00C94CD4"/>
    <w:rsid w:val="00C9747E"/>
    <w:rsid w:val="00CA71BA"/>
    <w:rsid w:val="00CB5158"/>
    <w:rsid w:val="00CB6BC0"/>
    <w:rsid w:val="00CB7314"/>
    <w:rsid w:val="00CC1B7C"/>
    <w:rsid w:val="00CC5044"/>
    <w:rsid w:val="00CC6B67"/>
    <w:rsid w:val="00CC727F"/>
    <w:rsid w:val="00CD295A"/>
    <w:rsid w:val="00CE135B"/>
    <w:rsid w:val="00CF15C3"/>
    <w:rsid w:val="00CF2B6F"/>
    <w:rsid w:val="00CF2F3E"/>
    <w:rsid w:val="00CF4404"/>
    <w:rsid w:val="00CF58B6"/>
    <w:rsid w:val="00CF5DAD"/>
    <w:rsid w:val="00D0062D"/>
    <w:rsid w:val="00D017ED"/>
    <w:rsid w:val="00D040D3"/>
    <w:rsid w:val="00D04C65"/>
    <w:rsid w:val="00D11C0A"/>
    <w:rsid w:val="00D153D8"/>
    <w:rsid w:val="00D201D2"/>
    <w:rsid w:val="00D212F3"/>
    <w:rsid w:val="00D224FE"/>
    <w:rsid w:val="00D23139"/>
    <w:rsid w:val="00D425BB"/>
    <w:rsid w:val="00D453FA"/>
    <w:rsid w:val="00D56348"/>
    <w:rsid w:val="00D6493E"/>
    <w:rsid w:val="00D66CFC"/>
    <w:rsid w:val="00D71901"/>
    <w:rsid w:val="00D7195D"/>
    <w:rsid w:val="00D72CBA"/>
    <w:rsid w:val="00D7301E"/>
    <w:rsid w:val="00D83AE1"/>
    <w:rsid w:val="00D854AC"/>
    <w:rsid w:val="00D855D4"/>
    <w:rsid w:val="00D902C9"/>
    <w:rsid w:val="00D9127B"/>
    <w:rsid w:val="00D93466"/>
    <w:rsid w:val="00DA1124"/>
    <w:rsid w:val="00DA64CB"/>
    <w:rsid w:val="00DA748C"/>
    <w:rsid w:val="00DB06B8"/>
    <w:rsid w:val="00DB6124"/>
    <w:rsid w:val="00DB750B"/>
    <w:rsid w:val="00DB75B7"/>
    <w:rsid w:val="00DC0A0B"/>
    <w:rsid w:val="00DC0A2F"/>
    <w:rsid w:val="00DC1948"/>
    <w:rsid w:val="00DC6BD2"/>
    <w:rsid w:val="00DC6E02"/>
    <w:rsid w:val="00DD28CD"/>
    <w:rsid w:val="00DE02AE"/>
    <w:rsid w:val="00DE39D1"/>
    <w:rsid w:val="00DF1D7F"/>
    <w:rsid w:val="00DF4BE4"/>
    <w:rsid w:val="00DF7C6F"/>
    <w:rsid w:val="00E02382"/>
    <w:rsid w:val="00E02FB4"/>
    <w:rsid w:val="00E12242"/>
    <w:rsid w:val="00E13FC7"/>
    <w:rsid w:val="00E164FB"/>
    <w:rsid w:val="00E20571"/>
    <w:rsid w:val="00E235F7"/>
    <w:rsid w:val="00E23659"/>
    <w:rsid w:val="00E239D4"/>
    <w:rsid w:val="00E26130"/>
    <w:rsid w:val="00E33D42"/>
    <w:rsid w:val="00E40B22"/>
    <w:rsid w:val="00E44B5E"/>
    <w:rsid w:val="00E44ED1"/>
    <w:rsid w:val="00E45619"/>
    <w:rsid w:val="00E4588F"/>
    <w:rsid w:val="00E46DA3"/>
    <w:rsid w:val="00E51BB1"/>
    <w:rsid w:val="00E55CB0"/>
    <w:rsid w:val="00E624A5"/>
    <w:rsid w:val="00E64BA4"/>
    <w:rsid w:val="00E7344E"/>
    <w:rsid w:val="00E82665"/>
    <w:rsid w:val="00EB0798"/>
    <w:rsid w:val="00EB36D6"/>
    <w:rsid w:val="00EB40AD"/>
    <w:rsid w:val="00EB586E"/>
    <w:rsid w:val="00EB5FC8"/>
    <w:rsid w:val="00EC0E7E"/>
    <w:rsid w:val="00EC463D"/>
    <w:rsid w:val="00EC7A85"/>
    <w:rsid w:val="00ED2922"/>
    <w:rsid w:val="00ED3CAD"/>
    <w:rsid w:val="00ED5A41"/>
    <w:rsid w:val="00EE1DE8"/>
    <w:rsid w:val="00EE27C2"/>
    <w:rsid w:val="00EE523A"/>
    <w:rsid w:val="00EF4BAD"/>
    <w:rsid w:val="00EF59DC"/>
    <w:rsid w:val="00F033EC"/>
    <w:rsid w:val="00F04F68"/>
    <w:rsid w:val="00F12670"/>
    <w:rsid w:val="00F14B27"/>
    <w:rsid w:val="00F24B8A"/>
    <w:rsid w:val="00F3148D"/>
    <w:rsid w:val="00F325C5"/>
    <w:rsid w:val="00F32FE0"/>
    <w:rsid w:val="00F35298"/>
    <w:rsid w:val="00F453BD"/>
    <w:rsid w:val="00F47333"/>
    <w:rsid w:val="00F47E37"/>
    <w:rsid w:val="00F53C07"/>
    <w:rsid w:val="00F53FD9"/>
    <w:rsid w:val="00F54B65"/>
    <w:rsid w:val="00F62B86"/>
    <w:rsid w:val="00F63DBF"/>
    <w:rsid w:val="00F640B6"/>
    <w:rsid w:val="00F66C4A"/>
    <w:rsid w:val="00F66DF2"/>
    <w:rsid w:val="00F717E4"/>
    <w:rsid w:val="00F80E40"/>
    <w:rsid w:val="00F848D9"/>
    <w:rsid w:val="00F931CE"/>
    <w:rsid w:val="00FA4BBA"/>
    <w:rsid w:val="00FA5069"/>
    <w:rsid w:val="00FA5B82"/>
    <w:rsid w:val="00FA639E"/>
    <w:rsid w:val="00FA6689"/>
    <w:rsid w:val="00FA6E92"/>
    <w:rsid w:val="00FC1FCA"/>
    <w:rsid w:val="00FC25E4"/>
    <w:rsid w:val="00FC4EF7"/>
    <w:rsid w:val="00FD0824"/>
    <w:rsid w:val="00FD119B"/>
    <w:rsid w:val="00FD1EDC"/>
    <w:rsid w:val="00FE1DEE"/>
    <w:rsid w:val="00FF0A56"/>
    <w:rsid w:val="00FF2126"/>
    <w:rsid w:val="00FF41B5"/>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B8362E"/>
  <w15:docId w15:val="{5FCF6691-322B-4CF0-94C7-AA840D0E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spacing w:before="120" w:after="120" w:line="240" w:lineRule="atLeast"/>
    </w:pPr>
    <w:rPr>
      <w:rFonts w:ascii="Cambria" w:eastAsia="Cambria" w:hAnsi="Cambria" w:cs="Times New Roman"/>
    </w:rPr>
  </w:style>
  <w:style w:type="paragraph" w:styleId="Heading1">
    <w:name w:val="heading 1"/>
    <w:basedOn w:val="Heading2"/>
    <w:next w:val="Normal"/>
    <w:link w:val="Heading1Char"/>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pPr>
      <w:keepNext/>
      <w:spacing w:before="360" w:after="0" w:line="220" w:lineRule="atLeast"/>
      <w:outlineLvl w:val="3"/>
    </w:pPr>
    <w:rPr>
      <w:b/>
      <w:bCs/>
      <w:szCs w:val="21"/>
    </w:rPr>
  </w:style>
  <w:style w:type="paragraph" w:styleId="Heading5">
    <w:name w:val="heading 5"/>
    <w:basedOn w:val="Normal"/>
    <w:next w:val="Normal"/>
    <w:link w:val="Heading5Char"/>
    <w:qFormat/>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Pr>
      <w:rFonts w:ascii="Arial" w:eastAsia="Times New Roman" w:hAnsi="Arial" w:cs="Times New Roman"/>
      <w:b/>
      <w:bCs/>
      <w:sz w:val="32"/>
      <w:szCs w:val="26"/>
    </w:rPr>
  </w:style>
  <w:style w:type="character" w:customStyle="1" w:styleId="Heading3Char">
    <w:name w:val="Heading 3 Char"/>
    <w:basedOn w:val="DefaultParagraphFont"/>
    <w:link w:val="Heading3"/>
    <w:rPr>
      <w:rFonts w:ascii="Arial" w:eastAsia="Times New Roman" w:hAnsi="Arial" w:cs="Times New Roman"/>
      <w:b/>
      <w:bCs/>
      <w:sz w:val="26"/>
      <w:szCs w:val="21"/>
    </w:rPr>
  </w:style>
  <w:style w:type="paragraph" w:customStyle="1" w:styleId="Address">
    <w:name w:val="Address"/>
    <w:basedOn w:val="Normal"/>
    <w:pPr>
      <w:spacing w:before="0" w:after="0" w:line="280" w:lineRule="atLeast"/>
      <w:jc w:val="center"/>
    </w:pPr>
  </w:style>
  <w:style w:type="paragraph" w:customStyle="1" w:styleId="AxisLabel">
    <w:name w:val="Axis Label"/>
    <w:basedOn w:val="Normal"/>
    <w:pPr>
      <w:spacing w:after="0" w:line="240" w:lineRule="auto"/>
    </w:pPr>
    <w:rPr>
      <w:rFonts w:ascii="Arial" w:hAnsi="Arial"/>
      <w:sz w:val="14"/>
      <w:lang w:eastAsia="en-AU"/>
    </w:rPr>
  </w:style>
  <w:style w:type="paragraph" w:customStyle="1" w:styleId="AxisTitle">
    <w:name w:val="Axis Title"/>
    <w:basedOn w:val="Normal"/>
    <w:pPr>
      <w:spacing w:after="0" w:line="240" w:lineRule="auto"/>
    </w:pPr>
    <w:rPr>
      <w:rFonts w:ascii="Arial" w:hAnsi="Arial"/>
      <w:sz w:val="16"/>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35"/>
    <w:pPr>
      <w:spacing w:before="0"/>
    </w:pPr>
    <w:rPr>
      <w:sz w:val="19"/>
      <w:szCs w:val="18"/>
    </w:rPr>
  </w:style>
  <w:style w:type="paragraph" w:customStyle="1" w:styleId="Contents">
    <w:name w:val="Contents"/>
    <w:basedOn w:val="Normal"/>
    <w:pPr>
      <w:spacing w:before="0" w:after="0"/>
    </w:pPr>
    <w:rPr>
      <w:rFonts w:ascii="Arial" w:hAnsi="Arial"/>
      <w:b/>
      <w:sz w:val="48"/>
    </w:rPr>
  </w:style>
  <w:style w:type="paragraph" w:styleId="Date">
    <w:name w:val="Date"/>
    <w:basedOn w:val="Normal"/>
    <w:next w:val="Normal"/>
    <w:link w:val="DateChar"/>
    <w:uiPriority w:val="99"/>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Pr>
      <w:rFonts w:ascii="Arial" w:eastAsia="Cambria" w:hAnsi="Arial" w:cs="Arial"/>
      <w:b/>
      <w:color w:val="002C47"/>
      <w:sz w:val="36"/>
      <w:szCs w:val="36"/>
    </w:rPr>
  </w:style>
  <w:style w:type="paragraph" w:customStyle="1" w:styleId="FigureDescription">
    <w:name w:val="Figure Description"/>
    <w:basedOn w:val="Normal"/>
    <w:pPr>
      <w:spacing w:after="0"/>
    </w:pPr>
    <w:rPr>
      <w:sz w:val="19"/>
    </w:rPr>
  </w:style>
  <w:style w:type="paragraph" w:customStyle="1" w:styleId="FigureTitle">
    <w:name w:val="Figure Title"/>
    <w:basedOn w:val="Normal"/>
    <w:pPr>
      <w:keepNext/>
      <w:spacing w:line="220" w:lineRule="atLeast"/>
    </w:pPr>
    <w:rPr>
      <w:b/>
    </w:rPr>
  </w:style>
  <w:style w:type="character" w:customStyle="1" w:styleId="Heading4Char">
    <w:name w:val="Heading 4 Char"/>
    <w:basedOn w:val="DefaultParagraphFont"/>
    <w:link w:val="Heading4"/>
    <w:rPr>
      <w:rFonts w:ascii="Cambria" w:eastAsia="Cambria" w:hAnsi="Cambria" w:cs="Times New Roman"/>
      <w:b/>
      <w:bCs/>
      <w:szCs w:val="21"/>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Pr>
      <w:rFonts w:ascii="Cambria" w:eastAsia="Cambria" w:hAnsi="Cambria" w:cs="Times New Roman"/>
      <w:sz w:val="17"/>
    </w:rPr>
  </w:style>
  <w:style w:type="paragraph" w:styleId="Header">
    <w:name w:val="header"/>
    <w:basedOn w:val="Normal"/>
    <w:link w:val="HeaderChar"/>
    <w:uiPriority w:val="99"/>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Pr>
      <w:rFonts w:ascii="Cambria" w:eastAsia="Cambria" w:hAnsi="Cambria" w:cs="Times New Roman"/>
      <w:sz w:val="17"/>
    </w:rPr>
  </w:style>
  <w:style w:type="paragraph" w:customStyle="1" w:styleId="HeaderNoLine">
    <w:name w:val="Header No Line"/>
    <w:basedOn w:val="Header"/>
    <w:pPr>
      <w:pBdr>
        <w:bottom w:val="none" w:sz="0" w:space="0" w:color="auto"/>
      </w:pBdr>
      <w:jc w:val="left"/>
    </w:pPr>
  </w:style>
  <w:style w:type="character" w:customStyle="1" w:styleId="Heading5Char">
    <w:name w:val="Heading 5 Char"/>
    <w:basedOn w:val="DefaultParagraphFont"/>
    <w:link w:val="Heading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Pr>
      <w:rFonts w:ascii="Cambria" w:eastAsia="Times New Roman" w:hAnsi="Cambria" w:cs="Times New Roman"/>
      <w:bCs/>
      <w:i/>
      <w:szCs w:val="21"/>
    </w:rPr>
  </w:style>
  <w:style w:type="character" w:customStyle="1" w:styleId="Heading7Char">
    <w:name w:val="Heading 7 Char"/>
    <w:basedOn w:val="DefaultParagraphFont"/>
    <w:link w:val="Heading7"/>
    <w:uiPriority w:val="9"/>
    <w:rPr>
      <w:rFonts w:ascii="Cambria" w:eastAsia="Times New Roman" w:hAnsi="Cambria" w:cs="Times New Roman"/>
      <w:bCs/>
      <w:sz w:val="20"/>
      <w:szCs w:val="24"/>
    </w:rPr>
  </w:style>
  <w:style w:type="character" w:styleId="Hyperlink">
    <w:name w:val="Hyperlink"/>
    <w:basedOn w:val="DefaultParagraphFont"/>
    <w:uiPriority w:val="99"/>
    <w:unhideWhenUsed/>
    <w:rPr>
      <w:color w:val="0000FF"/>
      <w:u w:val="single"/>
    </w:rPr>
  </w:style>
  <w:style w:type="paragraph" w:customStyle="1" w:styleId="Key">
    <w:name w:val="Key"/>
    <w:basedOn w:val="Normal"/>
    <w:rPr>
      <w:sz w:val="14"/>
    </w:rPr>
  </w:style>
  <w:style w:type="paragraph" w:customStyle="1" w:styleId="LegalCopy">
    <w:name w:val="Legal Copy"/>
    <w:basedOn w:val="Footer"/>
  </w:style>
  <w:style w:type="paragraph" w:customStyle="1" w:styleId="LegalSubheading">
    <w:name w:val="Legal Subheading"/>
    <w:basedOn w:val="Footer"/>
    <w:pPr>
      <w:outlineLvl w:val="1"/>
    </w:pPr>
    <w:rPr>
      <w:b/>
    </w:rPr>
  </w:style>
  <w:style w:type="table" w:styleId="LightShading-Accent2">
    <w:name w:val="Light Shading Accent 2"/>
    <w:basedOn w:val="TableNormal"/>
    <w:uiPriority w:val="60"/>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pPr>
      <w:numPr>
        <w:numId w:val="21"/>
      </w:numPr>
    </w:pPr>
  </w:style>
  <w:style w:type="paragraph" w:styleId="ListBullet2">
    <w:name w:val="List Bullet 2"/>
    <w:basedOn w:val="Normal"/>
    <w:uiPriority w:val="2"/>
    <w:qFormat/>
    <w:pPr>
      <w:numPr>
        <w:ilvl w:val="1"/>
        <w:numId w:val="21"/>
      </w:numPr>
    </w:pPr>
  </w:style>
  <w:style w:type="paragraph" w:styleId="ListBullet3">
    <w:name w:val="List Bullet 3"/>
    <w:basedOn w:val="Normal"/>
    <w:uiPriority w:val="2"/>
    <w:qFormat/>
    <w:pPr>
      <w:numPr>
        <w:ilvl w:val="2"/>
        <w:numId w:val="21"/>
      </w:numPr>
    </w:pPr>
  </w:style>
  <w:style w:type="numbering" w:customStyle="1" w:styleId="ListBullets">
    <w:name w:val="ListBullets"/>
    <w:uiPriority w:val="99"/>
    <w:locked/>
    <w:pPr>
      <w:numPr>
        <w:numId w:val="3"/>
      </w:numPr>
    </w:pPr>
  </w:style>
  <w:style w:type="table" w:styleId="MediumGrid2-Accent5">
    <w:name w:val="Medium Grid 2 Accent 5"/>
    <w:basedOn w:val="TableNormal"/>
    <w:uiPriority w:val="68"/>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pPr>
      <w:spacing w:before="240"/>
      <w:outlineLvl w:val="1"/>
    </w:pPr>
    <w:rPr>
      <w:rFonts w:ascii="Arial" w:hAnsi="Arial"/>
      <w:b/>
      <w:sz w:val="32"/>
    </w:rPr>
  </w:style>
  <w:style w:type="paragraph" w:customStyle="1" w:styleId="Notes">
    <w:name w:val="Notes"/>
    <w:basedOn w:val="Normal"/>
    <w:locked/>
    <w:pPr>
      <w:spacing w:after="0" w:line="240" w:lineRule="auto"/>
    </w:pPr>
    <w:rPr>
      <w:rFonts w:ascii="Arial" w:hAnsi="Arial"/>
      <w:sz w:val="16"/>
    </w:rPr>
  </w:style>
  <w:style w:type="paragraph" w:customStyle="1" w:styleId="Numberbullet0">
    <w:name w:val="Number bullet"/>
    <w:basedOn w:val="ListBullet"/>
    <w:uiPriority w:val="2"/>
    <w:qFormat/>
    <w:pPr>
      <w:numPr>
        <w:numId w:val="24"/>
      </w:numPr>
    </w:pPr>
  </w:style>
  <w:style w:type="paragraph" w:customStyle="1" w:styleId="Numberbullet2">
    <w:name w:val="Number bullet 2"/>
    <w:basedOn w:val="ListBullet2"/>
    <w:uiPriority w:val="2"/>
    <w:qFormat/>
    <w:pPr>
      <w:numPr>
        <w:numId w:val="24"/>
      </w:numPr>
    </w:pPr>
  </w:style>
  <w:style w:type="paragraph" w:customStyle="1" w:styleId="Numberbullet3">
    <w:name w:val="Number bullet 3"/>
    <w:basedOn w:val="ListBullet3"/>
    <w:uiPriority w:val="2"/>
    <w:qFormat/>
    <w:pPr>
      <w:numPr>
        <w:numId w:val="24"/>
      </w:numPr>
    </w:pPr>
  </w:style>
  <w:style w:type="numbering" w:customStyle="1" w:styleId="NumberBullet">
    <w:name w:val="NumberBullet"/>
    <w:uiPriority w:val="99"/>
    <w:locked/>
    <w:pPr>
      <w:numPr>
        <w:numId w:val="8"/>
      </w:numPr>
    </w:pPr>
  </w:style>
  <w:style w:type="character" w:styleId="PlaceholderText">
    <w:name w:val="Placeholder Text"/>
    <w:basedOn w:val="DefaultParagraphFont"/>
    <w:uiPriority w:val="99"/>
    <w:semiHidden/>
    <w:rPr>
      <w:color w:val="808080"/>
    </w:rPr>
  </w:style>
  <w:style w:type="paragraph" w:customStyle="1" w:styleId="Reference">
    <w:name w:val="Reference"/>
    <w:basedOn w:val="Normal"/>
    <w:pPr>
      <w:spacing w:before="40" w:after="0" w:line="180" w:lineRule="atLeast"/>
      <w:ind w:hanging="170"/>
    </w:pPr>
    <w:rPr>
      <w:sz w:val="19"/>
    </w:rPr>
  </w:style>
  <w:style w:type="paragraph" w:styleId="Subtitle">
    <w:name w:val="Subtitle"/>
    <w:basedOn w:val="Normal"/>
    <w:next w:val="Normal"/>
    <w:link w:val="SubtitleChar"/>
    <w:uiPriority w:val="11"/>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pPr>
      <w:spacing w:line="240" w:lineRule="auto"/>
    </w:pPr>
    <w:rPr>
      <w:szCs w:val="19"/>
    </w:rPr>
  </w:style>
  <w:style w:type="table" w:styleId="TableGrid">
    <w:name w:val="Table Grid"/>
    <w:basedOn w:val="TableNormal"/>
    <w:uiPriority w:val="59"/>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Pr>
      <w:sz w:val="19"/>
    </w:rPr>
  </w:style>
  <w:style w:type="table" w:customStyle="1" w:styleId="TableTGAblue">
    <w:name w:val="Table TGA blue"/>
    <w:basedOn w:val="TableNormal"/>
    <w:uiPriority w:val="99"/>
    <w:qFormat/>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pPr>
      <w:keepNext/>
    </w:pPr>
    <w:rPr>
      <w:b/>
    </w:rPr>
  </w:style>
  <w:style w:type="paragraph" w:customStyle="1" w:styleId="TGASignoff">
    <w:name w:val="TGA Signoff"/>
    <w:basedOn w:val="Normal"/>
    <w:pPr>
      <w:jc w:val="center"/>
    </w:pPr>
    <w:rPr>
      <w:rFonts w:ascii="Arial" w:hAnsi="Arial"/>
      <w:b/>
      <w:sz w:val="28"/>
    </w:rPr>
  </w:style>
  <w:style w:type="paragraph" w:styleId="Title">
    <w:name w:val="Title"/>
    <w:next w:val="Normal"/>
    <w:link w:val="TitleChar"/>
    <w:uiPriority w:val="10"/>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pPr>
      <w:tabs>
        <w:tab w:val="right" w:pos="8505"/>
      </w:tabs>
      <w:spacing w:after="200"/>
    </w:pPr>
    <w:rPr>
      <w:rFonts w:ascii="Arial" w:hAnsi="Arial"/>
      <w:b/>
      <w:sz w:val="32"/>
    </w:rPr>
  </w:style>
  <w:style w:type="paragraph" w:styleId="TOC2">
    <w:name w:val="toc 2"/>
    <w:basedOn w:val="Normal"/>
    <w:next w:val="Normal"/>
    <w:uiPriority w:val="39"/>
    <w:pPr>
      <w:tabs>
        <w:tab w:val="right" w:leader="underscore" w:pos="8505"/>
      </w:tabs>
      <w:spacing w:after="100"/>
      <w:ind w:left="624"/>
    </w:pPr>
    <w:rPr>
      <w:b/>
      <w:sz w:val="25"/>
    </w:rPr>
  </w:style>
  <w:style w:type="paragraph" w:styleId="TOC3">
    <w:name w:val="toc 3"/>
    <w:basedOn w:val="Normal"/>
    <w:next w:val="Normal"/>
    <w:uiPriority w:val="39"/>
    <w:pPr>
      <w:tabs>
        <w:tab w:val="right" w:leader="underscore" w:pos="8505"/>
      </w:tabs>
      <w:spacing w:after="100"/>
      <w:ind w:left="1021"/>
    </w:pPr>
  </w:style>
  <w:style w:type="paragraph" w:styleId="TOCHeading">
    <w:name w:val="TOC Heading"/>
    <w:basedOn w:val="Heading1"/>
    <w:next w:val="Normal"/>
    <w:uiPriority w:val="39"/>
    <w:semiHidden/>
    <w:unhideWhenUsed/>
    <w:qFormat/>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pPr>
      <w:spacing w:before="0" w:after="0" w:line="240" w:lineRule="auto"/>
    </w:pPr>
    <w:rPr>
      <w:sz w:val="18"/>
      <w:szCs w:val="20"/>
    </w:rPr>
  </w:style>
  <w:style w:type="character" w:customStyle="1" w:styleId="FootnoteTextChar">
    <w:name w:val="Footnote Text Char"/>
    <w:basedOn w:val="DefaultParagraphFont"/>
    <w:link w:val="FootnoteText"/>
    <w:rPr>
      <w:rFonts w:ascii="Cambria" w:eastAsia="Cambria" w:hAnsi="Cambria" w:cs="Times New Roman"/>
      <w:sz w:val="18"/>
      <w:szCs w:val="20"/>
    </w:rPr>
  </w:style>
  <w:style w:type="character" w:styleId="FootnoteReference">
    <w:name w:val="footnote reference"/>
    <w:basedOn w:val="DefaultParagraphFont"/>
    <w:uiPriority w:val="99"/>
    <w:unhideWhenUsed/>
    <w:rPr>
      <w:vertAlign w:val="superscript"/>
    </w:rPr>
  </w:style>
  <w:style w:type="paragraph" w:customStyle="1" w:styleId="Quotation">
    <w:name w:val="Quotation"/>
    <w:basedOn w:val="Normal"/>
    <w:next w:val="Normal"/>
    <w:uiPriority w:val="4"/>
    <w:qFormat/>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pPr>
      <w:ind w:left="992" w:hanging="992"/>
    </w:pPr>
  </w:style>
  <w:style w:type="paragraph" w:styleId="EndnoteText">
    <w:name w:val="endnote text"/>
    <w:basedOn w:val="Normal"/>
    <w:link w:val="EndnoteTextChar"/>
    <w:semiHidden/>
    <w:unhideWhenUsed/>
    <w:pPr>
      <w:spacing w:before="0" w:after="0" w:line="240" w:lineRule="auto"/>
    </w:pPr>
    <w:rPr>
      <w:sz w:val="20"/>
      <w:szCs w:val="20"/>
    </w:rPr>
  </w:style>
  <w:style w:type="character" w:customStyle="1" w:styleId="EndnoteTextChar">
    <w:name w:val="Endnote Text Char"/>
    <w:basedOn w:val="DefaultParagraphFont"/>
    <w:link w:val="EndnoteText"/>
    <w:semiHidden/>
    <w:rPr>
      <w:rFonts w:ascii="Cambria" w:eastAsia="Cambria" w:hAnsi="Cambria" w:cs="Times New Roman"/>
      <w:sz w:val="20"/>
      <w:szCs w:val="20"/>
    </w:rPr>
  </w:style>
  <w:style w:type="character" w:styleId="EndnoteReference">
    <w:name w:val="end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mbria" w:eastAsia="Cambria" w:hAnsi="Cambria" w:cs="Times New Roman"/>
      <w:b/>
      <w:bCs/>
      <w:sz w:val="20"/>
      <w:szCs w:val="20"/>
    </w:rPr>
  </w:style>
  <w:style w:type="paragraph" w:styleId="Revision">
    <w:name w:val="Revision"/>
    <w:hidden/>
    <w:uiPriority w:val="99"/>
    <w:semiHidden/>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Pr>
      <w:i/>
      <w:color w:val="007099"/>
    </w:rPr>
  </w:style>
  <w:style w:type="paragraph" w:customStyle="1" w:styleId="Tabletitle0">
    <w:name w:val="Table title"/>
    <w:basedOn w:val="Normal"/>
    <w:next w:val="Normal"/>
    <w:pPr>
      <w:keepNext/>
      <w:spacing w:after="180"/>
    </w:pPr>
    <w:rPr>
      <w:b/>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pPr>
      <w:adjustRightInd w:val="0"/>
      <w:snapToGrid w:val="0"/>
      <w:spacing w:before="180" w:after="180"/>
      <w:ind w:left="720"/>
      <w:contextualSpacing/>
    </w:pPr>
    <w:rPr>
      <w:rFonts w:eastAsia="MS Mincho"/>
      <w:szCs w:val="20"/>
      <w:lang w:eastAsia="ja-JP"/>
    </w:rPr>
  </w:style>
  <w:style w:type="character" w:customStyle="1" w:styleId="TabletextChar">
    <w:name w:val="Table text Char"/>
    <w:basedOn w:val="DefaultParagraphFont"/>
    <w:link w:val="Tabletext"/>
    <w:locked/>
    <w:rPr>
      <w:rFonts w:ascii="Cambria" w:eastAsia="Cambria" w:hAnsi="Cambria" w:cs="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7385">
      <w:bodyDiv w:val="1"/>
      <w:marLeft w:val="0"/>
      <w:marRight w:val="0"/>
      <w:marTop w:val="0"/>
      <w:marBottom w:val="0"/>
      <w:divBdr>
        <w:top w:val="none" w:sz="0" w:space="0" w:color="auto"/>
        <w:left w:val="none" w:sz="0" w:space="0" w:color="auto"/>
        <w:bottom w:val="none" w:sz="0" w:space="0" w:color="auto"/>
        <w:right w:val="none" w:sz="0" w:space="0" w:color="auto"/>
      </w:divBdr>
    </w:div>
    <w:div w:id="35088161">
      <w:bodyDiv w:val="1"/>
      <w:marLeft w:val="0"/>
      <w:marRight w:val="0"/>
      <w:marTop w:val="0"/>
      <w:marBottom w:val="0"/>
      <w:divBdr>
        <w:top w:val="none" w:sz="0" w:space="0" w:color="auto"/>
        <w:left w:val="none" w:sz="0" w:space="0" w:color="auto"/>
        <w:bottom w:val="none" w:sz="0" w:space="0" w:color="auto"/>
        <w:right w:val="none" w:sz="0" w:space="0" w:color="auto"/>
      </w:divBdr>
    </w:div>
    <w:div w:id="153181649">
      <w:bodyDiv w:val="1"/>
      <w:marLeft w:val="0"/>
      <w:marRight w:val="0"/>
      <w:marTop w:val="0"/>
      <w:marBottom w:val="0"/>
      <w:divBdr>
        <w:top w:val="none" w:sz="0" w:space="0" w:color="auto"/>
        <w:left w:val="none" w:sz="0" w:space="0" w:color="auto"/>
        <w:bottom w:val="none" w:sz="0" w:space="0" w:color="auto"/>
        <w:right w:val="none" w:sz="0" w:space="0" w:color="auto"/>
      </w:divBdr>
    </w:div>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418059257">
      <w:bodyDiv w:val="1"/>
      <w:marLeft w:val="0"/>
      <w:marRight w:val="0"/>
      <w:marTop w:val="0"/>
      <w:marBottom w:val="0"/>
      <w:divBdr>
        <w:top w:val="none" w:sz="0" w:space="0" w:color="auto"/>
        <w:left w:val="none" w:sz="0" w:space="0" w:color="auto"/>
        <w:bottom w:val="none" w:sz="0" w:space="0" w:color="auto"/>
        <w:right w:val="none" w:sz="0" w:space="0" w:color="auto"/>
      </w:divBdr>
    </w:div>
    <w:div w:id="497506403">
      <w:bodyDiv w:val="1"/>
      <w:marLeft w:val="0"/>
      <w:marRight w:val="0"/>
      <w:marTop w:val="0"/>
      <w:marBottom w:val="0"/>
      <w:divBdr>
        <w:top w:val="none" w:sz="0" w:space="0" w:color="auto"/>
        <w:left w:val="none" w:sz="0" w:space="0" w:color="auto"/>
        <w:bottom w:val="none" w:sz="0" w:space="0" w:color="auto"/>
        <w:right w:val="none" w:sz="0" w:space="0" w:color="auto"/>
      </w:divBdr>
    </w:div>
    <w:div w:id="556015146">
      <w:bodyDiv w:val="1"/>
      <w:marLeft w:val="0"/>
      <w:marRight w:val="0"/>
      <w:marTop w:val="0"/>
      <w:marBottom w:val="0"/>
      <w:divBdr>
        <w:top w:val="none" w:sz="0" w:space="0" w:color="auto"/>
        <w:left w:val="none" w:sz="0" w:space="0" w:color="auto"/>
        <w:bottom w:val="none" w:sz="0" w:space="0" w:color="auto"/>
        <w:right w:val="none" w:sz="0" w:space="0" w:color="auto"/>
      </w:divBdr>
    </w:div>
    <w:div w:id="723022255">
      <w:bodyDiv w:val="1"/>
      <w:marLeft w:val="0"/>
      <w:marRight w:val="0"/>
      <w:marTop w:val="0"/>
      <w:marBottom w:val="0"/>
      <w:divBdr>
        <w:top w:val="none" w:sz="0" w:space="0" w:color="auto"/>
        <w:left w:val="none" w:sz="0" w:space="0" w:color="auto"/>
        <w:bottom w:val="none" w:sz="0" w:space="0" w:color="auto"/>
        <w:right w:val="none" w:sz="0" w:space="0" w:color="auto"/>
      </w:divBdr>
    </w:div>
    <w:div w:id="761533368">
      <w:bodyDiv w:val="1"/>
      <w:marLeft w:val="0"/>
      <w:marRight w:val="0"/>
      <w:marTop w:val="0"/>
      <w:marBottom w:val="0"/>
      <w:divBdr>
        <w:top w:val="none" w:sz="0" w:space="0" w:color="auto"/>
        <w:left w:val="none" w:sz="0" w:space="0" w:color="auto"/>
        <w:bottom w:val="none" w:sz="0" w:space="0" w:color="auto"/>
        <w:right w:val="none" w:sz="0" w:space="0" w:color="auto"/>
      </w:divBdr>
    </w:div>
    <w:div w:id="1297949508">
      <w:bodyDiv w:val="1"/>
      <w:marLeft w:val="0"/>
      <w:marRight w:val="0"/>
      <w:marTop w:val="0"/>
      <w:marBottom w:val="0"/>
      <w:divBdr>
        <w:top w:val="none" w:sz="0" w:space="0" w:color="auto"/>
        <w:left w:val="none" w:sz="0" w:space="0" w:color="auto"/>
        <w:bottom w:val="none" w:sz="0" w:space="0" w:color="auto"/>
        <w:right w:val="none" w:sz="0" w:space="0" w:color="auto"/>
      </w:divBdr>
    </w:div>
    <w:div w:id="1775973768">
      <w:bodyDiv w:val="1"/>
      <w:marLeft w:val="0"/>
      <w:marRight w:val="0"/>
      <w:marTop w:val="0"/>
      <w:marBottom w:val="0"/>
      <w:divBdr>
        <w:top w:val="none" w:sz="0" w:space="0" w:color="auto"/>
        <w:left w:val="none" w:sz="0" w:space="0" w:color="auto"/>
        <w:bottom w:val="none" w:sz="0" w:space="0" w:color="auto"/>
        <w:right w:val="none" w:sz="0" w:space="0" w:color="auto"/>
      </w:divBdr>
    </w:div>
    <w:div w:id="1844778861">
      <w:bodyDiv w:val="1"/>
      <w:marLeft w:val="0"/>
      <w:marRight w:val="0"/>
      <w:marTop w:val="0"/>
      <w:marBottom w:val="0"/>
      <w:divBdr>
        <w:top w:val="none" w:sz="0" w:space="0" w:color="auto"/>
        <w:left w:val="none" w:sz="0" w:space="0" w:color="auto"/>
        <w:bottom w:val="none" w:sz="0" w:space="0" w:color="auto"/>
        <w:right w:val="none" w:sz="0" w:space="0" w:color="auto"/>
      </w:divBdr>
    </w:div>
    <w:div w:id="1845702371">
      <w:bodyDiv w:val="1"/>
      <w:marLeft w:val="0"/>
      <w:marRight w:val="0"/>
      <w:marTop w:val="0"/>
      <w:marBottom w:val="0"/>
      <w:divBdr>
        <w:top w:val="none" w:sz="0" w:space="0" w:color="auto"/>
        <w:left w:val="none" w:sz="0" w:space="0" w:color="auto"/>
        <w:bottom w:val="none" w:sz="0" w:space="0" w:color="auto"/>
        <w:right w:val="none" w:sz="0" w:space="0" w:color="auto"/>
      </w:divBdr>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2007709629">
      <w:bodyDiv w:val="1"/>
      <w:marLeft w:val="0"/>
      <w:marRight w:val="0"/>
      <w:marTop w:val="0"/>
      <w:marBottom w:val="0"/>
      <w:divBdr>
        <w:top w:val="none" w:sz="0" w:space="0" w:color="auto"/>
        <w:left w:val="none" w:sz="0" w:space="0" w:color="auto"/>
        <w:bottom w:val="none" w:sz="0" w:space="0" w:color="auto"/>
        <w:right w:val="none" w:sz="0" w:space="0" w:color="auto"/>
      </w:divBdr>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hyperlink" Target="https://www.tga.gov.au/committee/advisory-committee-medicines-acm"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header" Target="header4.xml"/><Relationship Id="rId47" Type="http://schemas.openxmlformats.org/officeDocument/2006/relationships/header" Target="header6.xml"/><Relationship Id="rId50"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hyperlink" Target="https://www.tga.gov.au/tgas-risk-management-approach" TargetMode="External"/><Relationship Id="rId46"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tga.gov.au/picmi-search-facility" TargetMode="Externa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hyperlink" Target="https://www.tga.gov.au/publication/risk-management-plans-medicines-and-biologicals" TargetMode="External"/><Relationship Id="rId40" Type="http://schemas.openxmlformats.org/officeDocument/2006/relationships/hyperlink" Target="https://www.tga.gov.au/picmi-search-facility" TargetMode="External"/><Relationship Id="rId45" Type="http://schemas.openxmlformats.org/officeDocument/2006/relationships/hyperlink" Target="mailto:info@tga.gov.au"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australia-canada-singapore-switzerland-united-kingdom-access-consortiu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oter" Target="footer3.xml"/><Relationship Id="rId10" Type="http://schemas.openxmlformats.org/officeDocument/2006/relationships/hyperlink" Target="mailto:tga.copyright@tga.gov.au"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footer" Target="footer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ga.gov.au/australian-public-assessment-report-auspar-guidance" TargetMode="External"/><Relationship Id="rId14" Type="http://schemas.openxmlformats.org/officeDocument/2006/relationships/hyperlink" Target="https://www.tga.gov.au/black-triangle-scheme"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5.xml"/><Relationship Id="rId48" Type="http://schemas.openxmlformats.org/officeDocument/2006/relationships/header" Target="header7.xml"/><Relationship Id="rId8" Type="http://schemas.openxmlformats.org/officeDocument/2006/relationships/hyperlink" Target="https://www.tga.gov.au" TargetMode="External"/><Relationship Id="rId51"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auspar/auspar-cemiplimab" TargetMode="External"/><Relationship Id="rId2" Type="http://schemas.openxmlformats.org/officeDocument/2006/relationships/hyperlink" Target="https://www.tga.gov.au/ws-auspar-index" TargetMode="External"/><Relationship Id="rId1" Type="http://schemas.openxmlformats.org/officeDocument/2006/relationships/hyperlink" Target="http://www.ncc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6600\D22-5542303%20%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016D96CC-BB7F-4D6E-A03A-1F7FFA7A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D22-5542303  AusPAR template.DOTX</Template>
  <TotalTime>20</TotalTime>
  <Pages>34</Pages>
  <Words>8237</Words>
  <Characters>46953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55080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Libtayo</dc:title>
  <dc:subject>prescription medicine regulation</dc:subject>
  <dc:creator>Therapeutic Goods Administration</dc:creator>
  <cp:keywords/>
  <cp:lastModifiedBy>KOLARIK-OREILLY, Kristy</cp:lastModifiedBy>
  <cp:revision>4</cp:revision>
  <cp:lastPrinted>2019-08-14T04:30:00Z</cp:lastPrinted>
  <dcterms:created xsi:type="dcterms:W3CDTF">2022-08-18T00:32:00Z</dcterms:created>
  <dcterms:modified xsi:type="dcterms:W3CDTF">2022-09-02T05:51:00Z</dcterms:modified>
  <cp:category/>
</cp:coreProperties>
</file>