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774D9" w14:textId="368159F5" w:rsidR="00B544CD" w:rsidRPr="00CA7C58" w:rsidRDefault="00B544CD" w:rsidP="0011296B">
      <w:pPr>
        <w:pStyle w:val="ListParagraph"/>
        <w:numPr>
          <w:ilvl w:val="0"/>
          <w:numId w:val="2"/>
        </w:numPr>
        <w:tabs>
          <w:tab w:val="clear" w:pos="720"/>
          <w:tab w:val="left" w:pos="360"/>
        </w:tabs>
        <w:ind w:left="360"/>
        <w:rPr>
          <w:rFonts w:ascii="Times New Roman" w:hAnsi="Times New Roman" w:cs="Times New Roman"/>
        </w:rPr>
      </w:pPr>
      <w:r w:rsidRPr="00CA7C58">
        <w:rPr>
          <w:rFonts w:ascii="Times New Roman" w:hAnsi="Times New Roman" w:cs="Times New Roman"/>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008C0845" w:rsidRPr="00C61100">
          <w:rPr>
            <w:rStyle w:val="Hyperlink"/>
            <w:rFonts w:ascii="Times New Roman" w:hAnsi="Times New Roman" w:cs="Times New Roman"/>
          </w:rPr>
          <w:t>www.tga.gov.au/reporting-problems</w:t>
        </w:r>
      </w:hyperlink>
      <w:r w:rsidRPr="00CA7C58">
        <w:rPr>
          <w:rFonts w:ascii="Times New Roman" w:hAnsi="Times New Roman" w:cs="Times New Roman"/>
        </w:rPr>
        <w:t>.</w:t>
      </w:r>
    </w:p>
    <w:p w14:paraId="18BCCFA9" w14:textId="0A3367D7" w:rsidR="00D73E9C" w:rsidRPr="00CA7C58" w:rsidRDefault="00D73E9C" w:rsidP="004455F0">
      <w:pPr>
        <w:pStyle w:val="ListParagraph"/>
        <w:rPr>
          <w:rFonts w:ascii="Times New Roman" w:hAnsi="Times New Roman" w:cs="Times New Roman"/>
          <w:b/>
          <w:bCs/>
        </w:rPr>
      </w:pPr>
    </w:p>
    <w:p w14:paraId="05CCACF1" w14:textId="4A629D5B" w:rsidR="007B13D6" w:rsidRPr="00CA7C58" w:rsidRDefault="007B13D6" w:rsidP="00431806">
      <w:pPr>
        <w:jc w:val="center"/>
        <w:rPr>
          <w:rFonts w:ascii="Times New Roman" w:hAnsi="Times New Roman" w:cs="Times New Roman"/>
          <w:b/>
          <w:bCs/>
          <w:caps/>
          <w:sz w:val="28"/>
          <w:szCs w:val="28"/>
        </w:rPr>
      </w:pPr>
      <w:r w:rsidRPr="00CA7C58">
        <w:rPr>
          <w:rFonts w:ascii="Times New Roman" w:hAnsi="Times New Roman" w:cs="Times New Roman"/>
          <w:b/>
          <w:bCs/>
          <w:sz w:val="28"/>
          <w:szCs w:val="28"/>
        </w:rPr>
        <w:t xml:space="preserve">AUSTRALIAN PRODUCT INFORMATION - </w:t>
      </w:r>
      <w:r w:rsidR="007F2819" w:rsidRPr="00CA7C58">
        <w:rPr>
          <w:rFonts w:ascii="Times New Roman" w:hAnsi="Times New Roman" w:cs="Times New Roman"/>
          <w:b/>
          <w:bCs/>
          <w:sz w:val="28"/>
          <w:szCs w:val="28"/>
        </w:rPr>
        <w:t>EMPAVELI</w:t>
      </w:r>
      <w:r w:rsidR="002D3C0D" w:rsidRPr="00CA7C58">
        <w:rPr>
          <w:rFonts w:ascii="Times New Roman" w:hAnsi="Times New Roman" w:cs="Times New Roman"/>
          <w:b/>
          <w:bCs/>
          <w:position w:val="6"/>
          <w:sz w:val="28"/>
          <w:szCs w:val="28"/>
        </w:rPr>
        <w:t>®</w:t>
      </w:r>
      <w:r w:rsidRPr="00CA7C58">
        <w:rPr>
          <w:rFonts w:ascii="Times New Roman" w:hAnsi="Times New Roman" w:cs="Times New Roman"/>
          <w:b/>
          <w:bCs/>
          <w:sz w:val="28"/>
          <w:szCs w:val="28"/>
        </w:rPr>
        <w:t xml:space="preserve"> </w:t>
      </w:r>
      <w:r w:rsidRPr="00CA7C58">
        <w:rPr>
          <w:rFonts w:ascii="Times New Roman" w:hAnsi="Times New Roman" w:cs="Times New Roman"/>
          <w:b/>
          <w:bCs/>
          <w:caps/>
          <w:sz w:val="28"/>
          <w:szCs w:val="28"/>
        </w:rPr>
        <w:t>(</w:t>
      </w:r>
      <w:r w:rsidR="00BC6B64" w:rsidRPr="00CA7C58">
        <w:rPr>
          <w:rFonts w:ascii="Times New Roman" w:hAnsi="Times New Roman" w:cs="Times New Roman"/>
          <w:b/>
          <w:bCs/>
          <w:caps/>
          <w:sz w:val="28"/>
          <w:szCs w:val="28"/>
        </w:rPr>
        <w:t>pegcetacoplan</w:t>
      </w:r>
      <w:r w:rsidRPr="00CA7C58">
        <w:rPr>
          <w:rFonts w:ascii="Times New Roman" w:hAnsi="Times New Roman" w:cs="Times New Roman"/>
          <w:b/>
          <w:bCs/>
          <w:caps/>
          <w:sz w:val="28"/>
          <w:szCs w:val="28"/>
        </w:rPr>
        <w:t>)</w:t>
      </w:r>
      <w:r w:rsidR="00BC6B64" w:rsidRPr="00CA7C58">
        <w:rPr>
          <w:rFonts w:ascii="Times New Roman" w:hAnsi="Times New Roman" w:cs="Times New Roman"/>
          <w:b/>
          <w:bCs/>
          <w:caps/>
          <w:sz w:val="28"/>
          <w:szCs w:val="28"/>
        </w:rPr>
        <w:t xml:space="preserve">, </w:t>
      </w:r>
      <w:r w:rsidR="00A01918" w:rsidRPr="00CA7C58">
        <w:rPr>
          <w:rFonts w:ascii="Times New Roman" w:hAnsi="Times New Roman" w:cs="Times New Roman"/>
          <w:b/>
          <w:bCs/>
          <w:caps/>
          <w:sz w:val="28"/>
          <w:szCs w:val="28"/>
        </w:rPr>
        <w:t xml:space="preserve">solution for </w:t>
      </w:r>
      <w:r w:rsidR="00E33F83" w:rsidRPr="00CA7C58">
        <w:rPr>
          <w:rFonts w:ascii="Times New Roman" w:hAnsi="Times New Roman" w:cs="Times New Roman"/>
          <w:b/>
          <w:bCs/>
          <w:caps/>
          <w:sz w:val="28"/>
          <w:szCs w:val="28"/>
        </w:rPr>
        <w:t>INJECTION</w:t>
      </w:r>
    </w:p>
    <w:p w14:paraId="2337E015" w14:textId="77777777" w:rsidR="001331AA" w:rsidRPr="00CA7C58" w:rsidRDefault="001331AA" w:rsidP="00431806">
      <w:pPr>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9350"/>
      </w:tblGrid>
      <w:tr w:rsidR="004455F0" w:rsidRPr="00CA7C58" w14:paraId="4466E8DE" w14:textId="77777777" w:rsidTr="004455F0">
        <w:tc>
          <w:tcPr>
            <w:tcW w:w="9350" w:type="dxa"/>
          </w:tcPr>
          <w:p w14:paraId="4324FAD6" w14:textId="77777777" w:rsidR="00771D6E" w:rsidRPr="00CA7C58" w:rsidRDefault="00771D6E" w:rsidP="00771D6E">
            <w:pPr>
              <w:rPr>
                <w:rFonts w:ascii="Times New Roman" w:hAnsi="Times New Roman" w:cs="Times New Roman"/>
                <w:b/>
              </w:rPr>
            </w:pPr>
            <w:r w:rsidRPr="00CA7C58">
              <w:rPr>
                <w:rFonts w:ascii="Times New Roman" w:hAnsi="Times New Roman" w:cs="Times New Roman"/>
                <w:b/>
              </w:rPr>
              <w:t>WARNING: SERIOUS INFECTIONS CAUSED BY ENCAPSULATED BACTERIA</w:t>
            </w:r>
          </w:p>
          <w:p w14:paraId="6A59A018" w14:textId="77777777" w:rsidR="007A6D7A" w:rsidRPr="00CA7C58" w:rsidRDefault="007A6D7A" w:rsidP="00771D6E">
            <w:pPr>
              <w:rPr>
                <w:rFonts w:ascii="Times New Roman" w:hAnsi="Times New Roman" w:cs="Times New Roman"/>
                <w:b/>
              </w:rPr>
            </w:pPr>
          </w:p>
          <w:p w14:paraId="7CB7C9C1" w14:textId="5BF59C86" w:rsidR="00771D6E" w:rsidRPr="00CA7C58" w:rsidRDefault="00771D6E" w:rsidP="00771D6E">
            <w:pPr>
              <w:rPr>
                <w:rFonts w:ascii="Times New Roman" w:hAnsi="Times New Roman" w:cs="Times New Roman"/>
                <w:b/>
              </w:rPr>
            </w:pPr>
            <w:r w:rsidRPr="00CA7C58">
              <w:rPr>
                <w:rFonts w:ascii="Times New Roman" w:hAnsi="Times New Roman" w:cs="Times New Roman"/>
                <w:b/>
              </w:rPr>
              <w:t xml:space="preserve">Use of </w:t>
            </w:r>
            <w:r w:rsidR="007F2819" w:rsidRPr="00CA7C58">
              <w:rPr>
                <w:rFonts w:ascii="Times New Roman" w:hAnsi="Times New Roman" w:cs="Times New Roman"/>
                <w:b/>
              </w:rPr>
              <w:t>EMPAVELI</w:t>
            </w:r>
            <w:r w:rsidRPr="00CA7C58">
              <w:rPr>
                <w:rFonts w:ascii="Times New Roman" w:hAnsi="Times New Roman" w:cs="Times New Roman"/>
                <w:b/>
              </w:rPr>
              <w:t xml:space="preserve"> may predispose individuals to serious infections, especially those caused by encapsulated bacteria, such as </w:t>
            </w:r>
            <w:r w:rsidRPr="00CA7C58">
              <w:rPr>
                <w:rFonts w:ascii="Times New Roman" w:hAnsi="Times New Roman" w:cs="Times New Roman"/>
                <w:b/>
                <w:i/>
                <w:iCs/>
              </w:rPr>
              <w:t>Streptococcus pneumoniae</w:t>
            </w:r>
            <w:r w:rsidRPr="00CA7C58">
              <w:rPr>
                <w:rFonts w:ascii="Times New Roman" w:hAnsi="Times New Roman" w:cs="Times New Roman"/>
                <w:b/>
              </w:rPr>
              <w:t xml:space="preserve">, </w:t>
            </w:r>
            <w:r w:rsidRPr="00CA7C58">
              <w:rPr>
                <w:rFonts w:ascii="Times New Roman" w:hAnsi="Times New Roman" w:cs="Times New Roman"/>
                <w:b/>
                <w:i/>
                <w:iCs/>
              </w:rPr>
              <w:t xml:space="preserve">Neisseria </w:t>
            </w:r>
            <w:r w:rsidRPr="00967BFF">
              <w:rPr>
                <w:rFonts w:ascii="Times New Roman" w:hAnsi="Times New Roman" w:cs="Times New Roman"/>
                <w:b/>
                <w:i/>
                <w:iCs/>
              </w:rPr>
              <w:t>meningitidis</w:t>
            </w:r>
            <w:r w:rsidRPr="00967BFF">
              <w:rPr>
                <w:rFonts w:ascii="Times New Roman" w:hAnsi="Times New Roman" w:cs="Times New Roman"/>
                <w:b/>
              </w:rPr>
              <w:t xml:space="preserve">, and </w:t>
            </w:r>
            <w:proofErr w:type="spellStart"/>
            <w:r w:rsidRPr="00967BFF">
              <w:rPr>
                <w:rFonts w:ascii="Times New Roman" w:hAnsi="Times New Roman" w:cs="Times New Roman"/>
                <w:b/>
                <w:i/>
                <w:iCs/>
              </w:rPr>
              <w:t>Haemophilus</w:t>
            </w:r>
            <w:proofErr w:type="spellEnd"/>
            <w:r w:rsidRPr="00967BFF">
              <w:rPr>
                <w:rFonts w:ascii="Times New Roman" w:hAnsi="Times New Roman" w:cs="Times New Roman"/>
                <w:b/>
                <w:i/>
                <w:iCs/>
              </w:rPr>
              <w:t xml:space="preserve"> influenzae </w:t>
            </w:r>
            <w:r w:rsidRPr="00967BFF">
              <w:rPr>
                <w:rFonts w:ascii="Times New Roman" w:hAnsi="Times New Roman" w:cs="Times New Roman"/>
                <w:b/>
              </w:rPr>
              <w:t>type B, which may become rapidly life</w:t>
            </w:r>
            <w:r w:rsidRPr="00967BFF">
              <w:rPr>
                <w:rFonts w:ascii="Times New Roman" w:hAnsi="Times New Roman" w:cs="Times New Roman"/>
                <w:b/>
              </w:rPr>
              <w:noBreakHyphen/>
              <w:t xml:space="preserve">threatening or fatal if not </w:t>
            </w:r>
            <w:proofErr w:type="spellStart"/>
            <w:r w:rsidR="0095316D" w:rsidRPr="00967BFF">
              <w:rPr>
                <w:rFonts w:ascii="Times New Roman" w:hAnsi="Times New Roman" w:cs="Times New Roman"/>
                <w:b/>
              </w:rPr>
              <w:t>recognised</w:t>
            </w:r>
            <w:proofErr w:type="spellEnd"/>
            <w:r w:rsidR="0095316D" w:rsidRPr="00967BFF">
              <w:rPr>
                <w:rFonts w:ascii="Times New Roman" w:hAnsi="Times New Roman" w:cs="Times New Roman"/>
                <w:b/>
              </w:rPr>
              <w:t xml:space="preserve"> </w:t>
            </w:r>
            <w:r w:rsidRPr="00967BFF">
              <w:rPr>
                <w:rFonts w:ascii="Times New Roman" w:hAnsi="Times New Roman" w:cs="Times New Roman"/>
                <w:b/>
              </w:rPr>
              <w:t>and treated</w:t>
            </w:r>
            <w:r w:rsidRPr="00CA7C58">
              <w:rPr>
                <w:rFonts w:ascii="Times New Roman" w:hAnsi="Times New Roman" w:cs="Times New Roman"/>
                <w:b/>
              </w:rPr>
              <w:t xml:space="preserve"> early [see </w:t>
            </w:r>
            <w:r w:rsidR="00FC39EB" w:rsidRPr="00CA7C58">
              <w:rPr>
                <w:rFonts w:ascii="Times New Roman" w:hAnsi="Times New Roman" w:cs="Times New Roman"/>
                <w:b/>
                <w:i/>
                <w:iCs/>
              </w:rPr>
              <w:t xml:space="preserve">section 4.4, </w:t>
            </w:r>
            <w:r w:rsidR="006A28F5" w:rsidRPr="00CA7C58">
              <w:rPr>
                <w:rFonts w:ascii="Times New Roman" w:hAnsi="Times New Roman" w:cs="Times New Roman"/>
                <w:b/>
                <w:i/>
                <w:iCs/>
              </w:rPr>
              <w:t xml:space="preserve">Special </w:t>
            </w:r>
            <w:r w:rsidRPr="00CA7C58">
              <w:rPr>
                <w:rFonts w:ascii="Times New Roman" w:hAnsi="Times New Roman" w:cs="Times New Roman"/>
                <w:b/>
                <w:i/>
                <w:iCs/>
              </w:rPr>
              <w:t>Warnings and Precautions</w:t>
            </w:r>
            <w:r w:rsidR="006A28F5" w:rsidRPr="00CA7C58">
              <w:rPr>
                <w:rFonts w:ascii="Times New Roman" w:hAnsi="Times New Roman" w:cs="Times New Roman"/>
                <w:b/>
                <w:i/>
                <w:iCs/>
              </w:rPr>
              <w:t xml:space="preserve"> for Use</w:t>
            </w:r>
            <w:r w:rsidRPr="00CA7C58">
              <w:rPr>
                <w:rFonts w:ascii="Times New Roman" w:hAnsi="Times New Roman" w:cs="Times New Roman"/>
                <w:b/>
              </w:rPr>
              <w:t>].</w:t>
            </w:r>
          </w:p>
          <w:p w14:paraId="41063563" w14:textId="0227C8B7" w:rsidR="00EF6B77" w:rsidRPr="00037637" w:rsidRDefault="00EF6B77" w:rsidP="00EF6B77">
            <w:pPr>
              <w:rPr>
                <w:rFonts w:ascii="Times New Roman" w:eastAsia="Times New Roman" w:hAnsi="Times New Roman" w:cs="Times New Roman"/>
              </w:rPr>
            </w:pPr>
          </w:p>
          <w:p w14:paraId="69845CED" w14:textId="15EDDE65" w:rsidR="00037637" w:rsidRPr="00037637" w:rsidRDefault="00037637" w:rsidP="00037637">
            <w:pPr>
              <w:numPr>
                <w:ilvl w:val="0"/>
                <w:numId w:val="3"/>
              </w:numPr>
              <w:rPr>
                <w:rFonts w:ascii="Times New Roman" w:hAnsi="Times New Roman" w:cs="Times New Roman"/>
                <w:b/>
                <w:bCs/>
              </w:rPr>
            </w:pPr>
            <w:r w:rsidRPr="00037637">
              <w:rPr>
                <w:rFonts w:ascii="Times New Roman" w:eastAsia="Times New Roman" w:hAnsi="Times New Roman" w:cs="Times New Roman"/>
                <w:b/>
                <w:bCs/>
              </w:rPr>
              <w:t xml:space="preserve">Vaccinate and/or revaccinate according to current national vaccination guidelines such as the Australian </w:t>
            </w:r>
            <w:proofErr w:type="spellStart"/>
            <w:r w:rsidRPr="00037637">
              <w:rPr>
                <w:rFonts w:ascii="Times New Roman" w:eastAsia="Times New Roman" w:hAnsi="Times New Roman" w:cs="Times New Roman"/>
                <w:b/>
                <w:bCs/>
              </w:rPr>
              <w:t>Immunisation</w:t>
            </w:r>
            <w:proofErr w:type="spellEnd"/>
            <w:r w:rsidRPr="00037637">
              <w:rPr>
                <w:rFonts w:ascii="Times New Roman" w:eastAsia="Times New Roman" w:hAnsi="Times New Roman" w:cs="Times New Roman"/>
                <w:b/>
                <w:bCs/>
              </w:rPr>
              <w:t xml:space="preserve"> Handbook; vaccines against encapsulated bacteria </w:t>
            </w:r>
            <w:r w:rsidRPr="00037637">
              <w:rPr>
                <w:rFonts w:ascii="Times New Roman" w:hAnsi="Times New Roman" w:cs="Times New Roman"/>
                <w:b/>
                <w:bCs/>
              </w:rPr>
              <w:t xml:space="preserve">such as </w:t>
            </w:r>
            <w:r w:rsidRPr="00037637">
              <w:rPr>
                <w:rFonts w:ascii="Times New Roman" w:hAnsi="Times New Roman" w:cs="Times New Roman"/>
                <w:b/>
                <w:bCs/>
                <w:i/>
                <w:iCs/>
              </w:rPr>
              <w:t>Streptococcus pneumoniae</w:t>
            </w:r>
            <w:r w:rsidRPr="00037637">
              <w:rPr>
                <w:rFonts w:ascii="Times New Roman" w:hAnsi="Times New Roman" w:cs="Times New Roman"/>
                <w:b/>
                <w:bCs/>
              </w:rPr>
              <w:t xml:space="preserve">, </w:t>
            </w:r>
            <w:r w:rsidRPr="00037637">
              <w:rPr>
                <w:rFonts w:ascii="Times New Roman" w:hAnsi="Times New Roman" w:cs="Times New Roman"/>
                <w:b/>
                <w:bCs/>
                <w:i/>
                <w:iCs/>
              </w:rPr>
              <w:t>Neisseria meningitidis</w:t>
            </w:r>
            <w:r w:rsidRPr="00037637">
              <w:rPr>
                <w:rFonts w:ascii="Times New Roman" w:hAnsi="Times New Roman" w:cs="Times New Roman"/>
                <w:b/>
                <w:bCs/>
              </w:rPr>
              <w:t xml:space="preserve">, and </w:t>
            </w:r>
            <w:proofErr w:type="spellStart"/>
            <w:r w:rsidRPr="00037637">
              <w:rPr>
                <w:rFonts w:ascii="Times New Roman" w:hAnsi="Times New Roman" w:cs="Times New Roman"/>
                <w:b/>
                <w:bCs/>
                <w:i/>
                <w:iCs/>
              </w:rPr>
              <w:t>Haemophilus</w:t>
            </w:r>
            <w:proofErr w:type="spellEnd"/>
            <w:r w:rsidRPr="00037637">
              <w:rPr>
                <w:rFonts w:ascii="Times New Roman" w:hAnsi="Times New Roman" w:cs="Times New Roman"/>
                <w:b/>
                <w:bCs/>
                <w:i/>
                <w:iCs/>
              </w:rPr>
              <w:t xml:space="preserve"> influenzae </w:t>
            </w:r>
            <w:r w:rsidRPr="00037637">
              <w:rPr>
                <w:rFonts w:ascii="Times New Roman" w:hAnsi="Times New Roman" w:cs="Times New Roman"/>
                <w:b/>
                <w:bCs/>
              </w:rPr>
              <w:t xml:space="preserve">type B, </w:t>
            </w:r>
            <w:r w:rsidRPr="00037637">
              <w:rPr>
                <w:rFonts w:ascii="Times New Roman" w:eastAsia="Times New Roman" w:hAnsi="Times New Roman" w:cs="Times New Roman"/>
                <w:b/>
                <w:bCs/>
              </w:rPr>
              <w:t>are recommended.</w:t>
            </w:r>
          </w:p>
          <w:p w14:paraId="61798A8D" w14:textId="77777777" w:rsidR="00037637" w:rsidRPr="00E54119" w:rsidRDefault="00037637" w:rsidP="00037637">
            <w:pPr>
              <w:ind w:left="720"/>
              <w:rPr>
                <w:rFonts w:ascii="Times New Roman" w:hAnsi="Times New Roman" w:cs="Times New Roman"/>
                <w:b/>
                <w:bCs/>
              </w:rPr>
            </w:pPr>
          </w:p>
          <w:p w14:paraId="4C5119DF" w14:textId="126FC911" w:rsidR="00037637" w:rsidRPr="00037637" w:rsidRDefault="00771D6E" w:rsidP="00037637">
            <w:pPr>
              <w:numPr>
                <w:ilvl w:val="0"/>
                <w:numId w:val="3"/>
              </w:numPr>
              <w:rPr>
                <w:rFonts w:ascii="Times New Roman" w:hAnsi="Times New Roman"/>
                <w:b/>
              </w:rPr>
            </w:pPr>
            <w:r w:rsidRPr="00CA7C58">
              <w:rPr>
                <w:rFonts w:ascii="Times New Roman" w:hAnsi="Times New Roman"/>
                <w:b/>
              </w:rPr>
              <w:t xml:space="preserve">Vaccinate patients against encapsulated bacteria as recommended at least 2 weeks prior to administering the first dose of </w:t>
            </w:r>
            <w:r w:rsidR="007F2819" w:rsidRPr="00CA7C58">
              <w:rPr>
                <w:rFonts w:ascii="Times New Roman" w:hAnsi="Times New Roman"/>
                <w:b/>
              </w:rPr>
              <w:t>EMPAVELI</w:t>
            </w:r>
            <w:r w:rsidRPr="00CA7C58">
              <w:rPr>
                <w:rFonts w:ascii="Times New Roman" w:hAnsi="Times New Roman"/>
                <w:b/>
              </w:rPr>
              <w:t xml:space="preserve"> unless the risks of delaying therapy with </w:t>
            </w:r>
            <w:r w:rsidR="007F2819" w:rsidRPr="00CA7C58">
              <w:rPr>
                <w:rFonts w:ascii="Times New Roman" w:hAnsi="Times New Roman"/>
                <w:b/>
              </w:rPr>
              <w:t>EMPAVELI</w:t>
            </w:r>
            <w:r w:rsidRPr="00CA7C58">
              <w:rPr>
                <w:rFonts w:ascii="Times New Roman" w:hAnsi="Times New Roman"/>
                <w:b/>
              </w:rPr>
              <w:t xml:space="preserve"> outweigh the risk of developing a serious infection</w:t>
            </w:r>
            <w:r w:rsidR="00AC3997">
              <w:rPr>
                <w:rFonts w:ascii="Times New Roman" w:hAnsi="Times New Roman"/>
                <w:b/>
              </w:rPr>
              <w:t xml:space="preserve">. </w:t>
            </w:r>
            <w:r w:rsidR="00AC3997" w:rsidRPr="00037637">
              <w:rPr>
                <w:rFonts w:ascii="Times New Roman" w:hAnsi="Times New Roman"/>
                <w:b/>
              </w:rPr>
              <w:t>Patients who initiate EMPAVELI less than 2</w:t>
            </w:r>
            <w:r w:rsidR="00037637" w:rsidRPr="00CA7C58">
              <w:rPr>
                <w:rFonts w:ascii="Times New Roman" w:hAnsi="Times New Roman"/>
                <w:b/>
              </w:rPr>
              <w:t> </w:t>
            </w:r>
            <w:r w:rsidR="00AC3997" w:rsidRPr="00037637">
              <w:rPr>
                <w:rFonts w:ascii="Times New Roman" w:hAnsi="Times New Roman"/>
                <w:b/>
              </w:rPr>
              <w:t xml:space="preserve">weeks after </w:t>
            </w:r>
            <w:r w:rsidR="00DA429F" w:rsidRPr="00037637">
              <w:rPr>
                <w:rFonts w:ascii="Times New Roman" w:hAnsi="Times New Roman"/>
                <w:b/>
              </w:rPr>
              <w:t>vaccination</w:t>
            </w:r>
            <w:r w:rsidR="00AC3997" w:rsidRPr="00037637">
              <w:rPr>
                <w:rFonts w:ascii="Times New Roman" w:hAnsi="Times New Roman"/>
                <w:b/>
              </w:rPr>
              <w:t xml:space="preserve"> must receive treatment with appropriate prophylactic antibiotics until 2</w:t>
            </w:r>
            <w:r w:rsidR="00037637" w:rsidRPr="00CA7C58">
              <w:rPr>
                <w:rFonts w:ascii="Times New Roman" w:hAnsi="Times New Roman"/>
                <w:b/>
              </w:rPr>
              <w:t> </w:t>
            </w:r>
            <w:r w:rsidR="00AC3997" w:rsidRPr="00037637">
              <w:rPr>
                <w:rFonts w:ascii="Times New Roman" w:hAnsi="Times New Roman"/>
                <w:b/>
              </w:rPr>
              <w:t xml:space="preserve">weeks after vaccination. </w:t>
            </w:r>
            <w:r w:rsidR="001F4791" w:rsidRPr="00037637">
              <w:rPr>
                <w:rFonts w:ascii="Times New Roman" w:hAnsi="Times New Roman"/>
                <w:b/>
                <w:i/>
                <w:iCs/>
              </w:rPr>
              <w:t>S</w:t>
            </w:r>
            <w:r w:rsidRPr="00037637">
              <w:rPr>
                <w:rFonts w:ascii="Times New Roman" w:hAnsi="Times New Roman"/>
                <w:b/>
                <w:i/>
                <w:iCs/>
              </w:rPr>
              <w:t xml:space="preserve">ee </w:t>
            </w:r>
            <w:r w:rsidR="001239E4">
              <w:rPr>
                <w:rFonts w:ascii="Times New Roman" w:hAnsi="Times New Roman"/>
                <w:b/>
                <w:i/>
                <w:iCs/>
              </w:rPr>
              <w:t>s</w:t>
            </w:r>
            <w:r w:rsidR="001F4791" w:rsidRPr="00037637">
              <w:rPr>
                <w:rFonts w:ascii="Times New Roman" w:hAnsi="Times New Roman"/>
                <w:b/>
                <w:i/>
                <w:iCs/>
              </w:rPr>
              <w:t xml:space="preserve">ection 4.4, </w:t>
            </w:r>
            <w:r w:rsidR="00B00C8B" w:rsidRPr="00037637">
              <w:rPr>
                <w:rFonts w:ascii="Times New Roman" w:hAnsi="Times New Roman"/>
                <w:b/>
                <w:i/>
                <w:iCs/>
              </w:rPr>
              <w:t>Special Warnings and Precautions for Use</w:t>
            </w:r>
            <w:r w:rsidRPr="00037637">
              <w:rPr>
                <w:rFonts w:ascii="Times New Roman" w:hAnsi="Times New Roman"/>
                <w:b/>
              </w:rPr>
              <w:t xml:space="preserve"> for additional guidance on the management of the risk of serious infection.</w:t>
            </w:r>
          </w:p>
          <w:p w14:paraId="24BC697C" w14:textId="77777777" w:rsidR="00771D6E" w:rsidRPr="00CA7C58" w:rsidRDefault="00771D6E" w:rsidP="00E54119">
            <w:pPr>
              <w:ind w:left="720"/>
              <w:rPr>
                <w:rFonts w:ascii="Times New Roman" w:hAnsi="Times New Roman" w:cs="Times New Roman"/>
                <w:b/>
              </w:rPr>
            </w:pPr>
          </w:p>
          <w:p w14:paraId="5BDCE5C0" w14:textId="03B8776F" w:rsidR="004455F0" w:rsidRPr="00CA7C58" w:rsidRDefault="00771D6E" w:rsidP="0011296B">
            <w:pPr>
              <w:numPr>
                <w:ilvl w:val="0"/>
                <w:numId w:val="3"/>
              </w:numPr>
              <w:rPr>
                <w:rFonts w:ascii="Times New Roman" w:hAnsi="Times New Roman" w:cs="Times New Roman"/>
                <w:b/>
              </w:rPr>
            </w:pPr>
            <w:r w:rsidRPr="00CA7C58">
              <w:rPr>
                <w:rFonts w:ascii="Times New Roman" w:hAnsi="Times New Roman" w:cs="Times New Roman"/>
                <w:b/>
              </w:rPr>
              <w:t>Vaccination reduces, but does not eliminate, the risk of serious infections. Monitor patients for early signs of serious infections and evaluate immediately if infection is suspected.</w:t>
            </w:r>
          </w:p>
        </w:tc>
      </w:tr>
    </w:tbl>
    <w:p w14:paraId="0AAB7672" w14:textId="77777777" w:rsidR="00221ACA" w:rsidRPr="00CA7C58" w:rsidRDefault="00221ACA" w:rsidP="007B13D6">
      <w:pPr>
        <w:rPr>
          <w:rFonts w:ascii="Times New Roman" w:hAnsi="Times New Roman" w:cs="Times New Roman"/>
        </w:rPr>
      </w:pPr>
    </w:p>
    <w:p w14:paraId="1813423D" w14:textId="44269B78" w:rsidR="007B13D6" w:rsidRPr="00CA7C58" w:rsidRDefault="007B13D6" w:rsidP="00651E48">
      <w:pPr>
        <w:pStyle w:val="C-Heading4"/>
        <w:numPr>
          <w:ilvl w:val="0"/>
          <w:numId w:val="0"/>
        </w:numPr>
        <w:spacing w:before="120"/>
        <w:ind w:left="720" w:hanging="720"/>
        <w:rPr>
          <w:sz w:val="28"/>
          <w:szCs w:val="28"/>
        </w:rPr>
      </w:pPr>
      <w:r w:rsidRPr="00CA7C58">
        <w:rPr>
          <w:sz w:val="28"/>
          <w:szCs w:val="28"/>
        </w:rPr>
        <w:t>1</w:t>
      </w:r>
      <w:r w:rsidRPr="00CA7C58">
        <w:rPr>
          <w:sz w:val="28"/>
          <w:szCs w:val="28"/>
        </w:rPr>
        <w:tab/>
        <w:t>NAME OF THE MEDICINE</w:t>
      </w:r>
    </w:p>
    <w:p w14:paraId="742B728C" w14:textId="77777777" w:rsidR="00E72B17" w:rsidRPr="00CA7C58" w:rsidRDefault="00E72B17" w:rsidP="00456159">
      <w:pPr>
        <w:rPr>
          <w:rFonts w:ascii="Times New Roman" w:hAnsi="Times New Roman" w:cs="Times New Roman"/>
        </w:rPr>
      </w:pPr>
    </w:p>
    <w:p w14:paraId="0F04B398" w14:textId="7E5E4AD7" w:rsidR="007B13D6" w:rsidRPr="00CA7C58" w:rsidRDefault="003E0D6C" w:rsidP="00C44434">
      <w:pPr>
        <w:ind w:left="360" w:hanging="360"/>
        <w:rPr>
          <w:rFonts w:ascii="Times New Roman" w:hAnsi="Times New Roman" w:cs="Times New Roman"/>
        </w:rPr>
      </w:pPr>
      <w:r w:rsidRPr="00CA7C58">
        <w:rPr>
          <w:rFonts w:ascii="Times New Roman" w:hAnsi="Times New Roman" w:cs="Times New Roman"/>
          <w:noProof/>
          <w:szCs w:val="22"/>
        </w:rPr>
        <w:t>Pegcetacoplan</w:t>
      </w:r>
    </w:p>
    <w:p w14:paraId="1AF51BC0" w14:textId="77777777" w:rsidR="0097652E" w:rsidRPr="00CA7C58" w:rsidRDefault="0097652E" w:rsidP="00C6388F">
      <w:pPr>
        <w:rPr>
          <w:rFonts w:ascii="Times New Roman" w:hAnsi="Times New Roman" w:cs="Times New Roman"/>
        </w:rPr>
      </w:pPr>
    </w:p>
    <w:p w14:paraId="1DFADD48" w14:textId="18273478" w:rsidR="007B13D6" w:rsidRPr="00CA7C58" w:rsidRDefault="007B13D6" w:rsidP="00651E48">
      <w:pPr>
        <w:pStyle w:val="C-Heading4"/>
        <w:numPr>
          <w:ilvl w:val="0"/>
          <w:numId w:val="0"/>
        </w:numPr>
        <w:spacing w:before="120"/>
        <w:ind w:left="720" w:hanging="720"/>
        <w:rPr>
          <w:sz w:val="28"/>
          <w:szCs w:val="28"/>
        </w:rPr>
      </w:pPr>
      <w:r w:rsidRPr="00CA7C58">
        <w:rPr>
          <w:sz w:val="28"/>
          <w:szCs w:val="28"/>
        </w:rPr>
        <w:t>2</w:t>
      </w:r>
      <w:r w:rsidRPr="00CA7C58">
        <w:rPr>
          <w:sz w:val="28"/>
          <w:szCs w:val="28"/>
        </w:rPr>
        <w:tab/>
        <w:t>QUALITATIVE AND QUANTITATIVE COMPOSITION</w:t>
      </w:r>
    </w:p>
    <w:p w14:paraId="472029D3" w14:textId="77777777" w:rsidR="00E72B17" w:rsidRPr="00CA7C58" w:rsidRDefault="00E72B17" w:rsidP="00E72B17">
      <w:pPr>
        <w:tabs>
          <w:tab w:val="left" w:pos="567"/>
        </w:tabs>
        <w:rPr>
          <w:rFonts w:ascii="Times New Roman" w:eastAsia="Times New Roman" w:hAnsi="Times New Roman" w:cs="Times New Roman"/>
          <w:noProof/>
          <w:lang w:val="en-GB"/>
        </w:rPr>
      </w:pPr>
    </w:p>
    <w:p w14:paraId="0515B72A" w14:textId="77777777" w:rsidR="001439AA" w:rsidRPr="009076C4" w:rsidRDefault="001439AA" w:rsidP="001439AA">
      <w:pPr>
        <w:tabs>
          <w:tab w:val="left" w:pos="567"/>
        </w:tabs>
        <w:jc w:val="both"/>
        <w:rPr>
          <w:rFonts w:ascii="Times New Roman" w:eastAsia="Times New Roman" w:hAnsi="Times New Roman" w:cs="Times New Roman"/>
          <w:noProof/>
          <w:lang w:val="en-AU"/>
        </w:rPr>
      </w:pPr>
      <w:r w:rsidRPr="009076C4">
        <w:rPr>
          <w:rFonts w:ascii="Times New Roman" w:eastAsia="Times New Roman" w:hAnsi="Times New Roman" w:cs="Times New Roman"/>
          <w:noProof/>
          <w:lang w:val="en-AU"/>
        </w:rPr>
        <w:t xml:space="preserve">Each 20 mL vial contains 1080 mg pegcetacoplan in a pH 5.0, 10 mM acetate buffer. </w:t>
      </w:r>
    </w:p>
    <w:p w14:paraId="7A435B62" w14:textId="77777777" w:rsidR="001439AA" w:rsidRPr="00161A56" w:rsidRDefault="001439AA" w:rsidP="008F3267">
      <w:pPr>
        <w:tabs>
          <w:tab w:val="left" w:pos="567"/>
        </w:tabs>
        <w:jc w:val="both"/>
        <w:rPr>
          <w:rFonts w:ascii="Times New Roman" w:eastAsia="Times New Roman" w:hAnsi="Times New Roman" w:cs="Times New Roman"/>
          <w:strike/>
          <w:noProof/>
          <w:color w:val="FF0000"/>
          <w:lang w:val="en-GB"/>
        </w:rPr>
      </w:pPr>
    </w:p>
    <w:p w14:paraId="4A6FC2B5" w14:textId="246E2833" w:rsidR="00E470F1" w:rsidRDefault="00E470F1" w:rsidP="00E72B17">
      <w:pPr>
        <w:tabs>
          <w:tab w:val="left" w:pos="567"/>
        </w:tabs>
        <w:rPr>
          <w:rFonts w:ascii="Times New Roman" w:eastAsia="Times New Roman" w:hAnsi="Times New Roman" w:cs="Times New Roman"/>
          <w:iCs/>
          <w:noProof/>
          <w:lang w:val="en-GB"/>
        </w:rPr>
      </w:pPr>
      <w:r w:rsidRPr="00CA7C58">
        <w:rPr>
          <w:rFonts w:ascii="Times New Roman" w:eastAsia="Times New Roman" w:hAnsi="Times New Roman" w:cs="Times New Roman"/>
          <w:iCs/>
          <w:noProof/>
          <w:lang w:val="en-GB"/>
        </w:rPr>
        <w:t>For the full list of excipients, see section</w:t>
      </w:r>
      <w:r w:rsidR="00C44434" w:rsidRPr="00CA7C58">
        <w:rPr>
          <w:rFonts w:ascii="Times New Roman" w:eastAsia="Times New Roman" w:hAnsi="Times New Roman" w:cs="Times New Roman"/>
          <w:iCs/>
          <w:noProof/>
          <w:lang w:val="en-GB"/>
        </w:rPr>
        <w:t> </w:t>
      </w:r>
      <w:r w:rsidRPr="00CA7C58">
        <w:rPr>
          <w:rFonts w:ascii="Times New Roman" w:eastAsia="Times New Roman" w:hAnsi="Times New Roman" w:cs="Times New Roman"/>
          <w:iCs/>
          <w:noProof/>
          <w:lang w:val="en-GB"/>
        </w:rPr>
        <w:t>6.1.</w:t>
      </w:r>
      <w:r w:rsidR="00C26AA8" w:rsidRPr="00CA7C58">
        <w:rPr>
          <w:rFonts w:ascii="Times New Roman" w:eastAsia="Times New Roman" w:hAnsi="Times New Roman" w:cs="Times New Roman"/>
          <w:iCs/>
          <w:noProof/>
          <w:lang w:val="en-GB"/>
        </w:rPr>
        <w:t xml:space="preserve"> List of </w:t>
      </w:r>
      <w:r w:rsidR="00E03CD6" w:rsidRPr="00CA7C58">
        <w:rPr>
          <w:rFonts w:ascii="Times New Roman" w:eastAsia="Times New Roman" w:hAnsi="Times New Roman" w:cs="Times New Roman"/>
          <w:iCs/>
          <w:noProof/>
          <w:lang w:val="en-GB"/>
        </w:rPr>
        <w:t>Excipients</w:t>
      </w:r>
      <w:r w:rsidR="00CB5661" w:rsidRPr="00CA7C58">
        <w:rPr>
          <w:rFonts w:ascii="Times New Roman" w:eastAsia="Times New Roman" w:hAnsi="Times New Roman" w:cs="Times New Roman"/>
          <w:iCs/>
          <w:noProof/>
          <w:lang w:val="en-GB"/>
        </w:rPr>
        <w:t>.</w:t>
      </w:r>
    </w:p>
    <w:p w14:paraId="34BD8E4C" w14:textId="77777777" w:rsidR="0044218A" w:rsidRPr="00CA7C58" w:rsidRDefault="0044218A" w:rsidP="00E72B17">
      <w:pPr>
        <w:tabs>
          <w:tab w:val="left" w:pos="567"/>
        </w:tabs>
        <w:rPr>
          <w:rFonts w:ascii="Times New Roman" w:eastAsia="Times New Roman" w:hAnsi="Times New Roman" w:cs="Times New Roman"/>
          <w:iCs/>
          <w:noProof/>
          <w:lang w:val="en-GB"/>
        </w:rPr>
      </w:pPr>
    </w:p>
    <w:p w14:paraId="1C697A56" w14:textId="77777777" w:rsidR="00C30A6F" w:rsidRPr="00CA7C58" w:rsidRDefault="00C30A6F" w:rsidP="00E953DA">
      <w:pPr>
        <w:rPr>
          <w:rFonts w:ascii="Times New Roman" w:hAnsi="Times New Roman" w:cs="Times New Roman"/>
        </w:rPr>
      </w:pPr>
    </w:p>
    <w:p w14:paraId="2EDBBDEC" w14:textId="3314AC52" w:rsidR="007B13D6" w:rsidRPr="00CA7C58" w:rsidRDefault="007B13D6" w:rsidP="00651E48">
      <w:pPr>
        <w:pStyle w:val="C-Heading4"/>
        <w:numPr>
          <w:ilvl w:val="0"/>
          <w:numId w:val="0"/>
        </w:numPr>
        <w:spacing w:before="120"/>
        <w:ind w:left="720" w:hanging="720"/>
        <w:rPr>
          <w:sz w:val="28"/>
          <w:szCs w:val="28"/>
        </w:rPr>
      </w:pPr>
      <w:r w:rsidRPr="00CA7C58">
        <w:rPr>
          <w:sz w:val="28"/>
          <w:szCs w:val="28"/>
        </w:rPr>
        <w:t>3</w:t>
      </w:r>
      <w:r w:rsidRPr="00CA7C58">
        <w:rPr>
          <w:sz w:val="28"/>
          <w:szCs w:val="28"/>
        </w:rPr>
        <w:tab/>
        <w:t>PHARMACEUTICAL FORM</w:t>
      </w:r>
    </w:p>
    <w:p w14:paraId="7D42B090" w14:textId="77777777" w:rsidR="00853F94" w:rsidRPr="00CA7C58" w:rsidRDefault="00853F94" w:rsidP="002A11B0">
      <w:pPr>
        <w:rPr>
          <w:rFonts w:ascii="Times New Roman" w:hAnsi="Times New Roman" w:cs="Times New Roman"/>
          <w:noProof/>
          <w:szCs w:val="22"/>
        </w:rPr>
      </w:pPr>
    </w:p>
    <w:p w14:paraId="5D571F34" w14:textId="6E70F9CF" w:rsidR="002A11B0" w:rsidRPr="00CA7C58" w:rsidRDefault="002A11B0" w:rsidP="002A11B0">
      <w:pPr>
        <w:rPr>
          <w:rFonts w:ascii="Times New Roman" w:hAnsi="Times New Roman" w:cs="Times New Roman"/>
          <w:noProof/>
          <w:szCs w:val="22"/>
        </w:rPr>
      </w:pPr>
      <w:r w:rsidRPr="00CA7C58">
        <w:rPr>
          <w:rFonts w:ascii="Times New Roman" w:hAnsi="Times New Roman" w:cs="Times New Roman"/>
          <w:noProof/>
          <w:szCs w:val="22"/>
        </w:rPr>
        <w:t>Solution for</w:t>
      </w:r>
      <w:r w:rsidR="0037279A" w:rsidRPr="00CA7C58">
        <w:rPr>
          <w:rFonts w:ascii="Times New Roman" w:hAnsi="Times New Roman" w:cs="Times New Roman"/>
          <w:noProof/>
          <w:szCs w:val="22"/>
        </w:rPr>
        <w:t xml:space="preserve"> injection</w:t>
      </w:r>
      <w:r w:rsidRPr="00CA7C58">
        <w:rPr>
          <w:rFonts w:ascii="Times New Roman" w:hAnsi="Times New Roman" w:cs="Times New Roman"/>
          <w:noProof/>
          <w:szCs w:val="22"/>
        </w:rPr>
        <w:t>.</w:t>
      </w:r>
    </w:p>
    <w:p w14:paraId="65EB2536" w14:textId="77777777" w:rsidR="003B7CAD" w:rsidRPr="00CA7C58" w:rsidRDefault="003B7CAD" w:rsidP="002A11B0">
      <w:pPr>
        <w:rPr>
          <w:rFonts w:ascii="Times New Roman" w:hAnsi="Times New Roman" w:cs="Times New Roman"/>
          <w:noProof/>
          <w:szCs w:val="22"/>
        </w:rPr>
      </w:pPr>
    </w:p>
    <w:p w14:paraId="7255021A" w14:textId="0C13B488" w:rsidR="002A11B0" w:rsidRPr="00CA7C58" w:rsidRDefault="002A11B0" w:rsidP="008F3267">
      <w:pPr>
        <w:jc w:val="both"/>
        <w:rPr>
          <w:rFonts w:ascii="Times New Roman" w:hAnsi="Times New Roman" w:cs="Times New Roman"/>
          <w:noProof/>
          <w:szCs w:val="22"/>
        </w:rPr>
      </w:pPr>
      <w:r w:rsidRPr="00CA7C58">
        <w:rPr>
          <w:rFonts w:ascii="Times New Roman" w:hAnsi="Times New Roman" w:cs="Times New Roman"/>
          <w:noProof/>
          <w:szCs w:val="22"/>
        </w:rPr>
        <w:t>Clear, colourless to slightly yellowish aqueous solution</w:t>
      </w:r>
      <w:r w:rsidR="00EB28E6" w:rsidRPr="00CA7C58">
        <w:rPr>
          <w:rFonts w:ascii="Times New Roman" w:hAnsi="Times New Roman" w:cs="Times New Roman"/>
          <w:noProof/>
          <w:szCs w:val="22"/>
        </w:rPr>
        <w:t xml:space="preserve">, practically free from visible particles, </w:t>
      </w:r>
      <w:r w:rsidR="0037279A" w:rsidRPr="00CA7C58">
        <w:rPr>
          <w:rFonts w:ascii="Times New Roman" w:hAnsi="Times New Roman" w:cs="Times New Roman"/>
          <w:noProof/>
          <w:szCs w:val="22"/>
        </w:rPr>
        <w:t>to be administered by subcutaneous infusion.</w:t>
      </w:r>
    </w:p>
    <w:p w14:paraId="1EFB3E9E" w14:textId="279DF1AA" w:rsidR="00EB28E6" w:rsidRPr="00CA7C58" w:rsidRDefault="00EB28E6" w:rsidP="008F3267">
      <w:pPr>
        <w:jc w:val="both"/>
        <w:rPr>
          <w:rFonts w:ascii="Times New Roman" w:hAnsi="Times New Roman" w:cs="Times New Roman"/>
          <w:noProof/>
          <w:szCs w:val="22"/>
        </w:rPr>
      </w:pPr>
    </w:p>
    <w:p w14:paraId="714CDE6C" w14:textId="438FAA1C" w:rsidR="00EB28E6" w:rsidRPr="00CA7C58" w:rsidRDefault="00EB28E6" w:rsidP="008F3267">
      <w:pPr>
        <w:jc w:val="both"/>
        <w:rPr>
          <w:rFonts w:ascii="Times New Roman" w:hAnsi="Times New Roman" w:cs="Times New Roman"/>
          <w:noProof/>
          <w:szCs w:val="22"/>
        </w:rPr>
      </w:pPr>
      <w:r w:rsidRPr="00CA7C58">
        <w:rPr>
          <w:rFonts w:ascii="Times New Roman" w:hAnsi="Times New Roman" w:cs="Times New Roman"/>
          <w:noProof/>
          <w:szCs w:val="22"/>
        </w:rPr>
        <w:t>EMPAVELI solution for injection does not contain any antimicrobial preservatives. The vial is for single use in one patient on one occasion only.</w:t>
      </w:r>
      <w:r w:rsidR="00F26869">
        <w:rPr>
          <w:rFonts w:ascii="Times New Roman" w:hAnsi="Times New Roman" w:cs="Times New Roman"/>
          <w:noProof/>
          <w:szCs w:val="22"/>
        </w:rPr>
        <w:t xml:space="preserve"> Discard any residue.</w:t>
      </w:r>
    </w:p>
    <w:p w14:paraId="5940E250" w14:textId="77777777" w:rsidR="007A6D7A" w:rsidRPr="00CA7C58" w:rsidRDefault="007A6D7A" w:rsidP="008F3267">
      <w:pPr>
        <w:jc w:val="both"/>
        <w:rPr>
          <w:rFonts w:ascii="Times New Roman" w:hAnsi="Times New Roman" w:cs="Times New Roman"/>
          <w:noProof/>
          <w:szCs w:val="22"/>
        </w:rPr>
      </w:pPr>
    </w:p>
    <w:p w14:paraId="00C71BFD" w14:textId="3B239FA1" w:rsidR="00C52A98" w:rsidRPr="00CA7C58" w:rsidRDefault="007B13D6" w:rsidP="008F3267">
      <w:pPr>
        <w:pStyle w:val="C-Heading4"/>
        <w:numPr>
          <w:ilvl w:val="0"/>
          <w:numId w:val="0"/>
        </w:numPr>
        <w:spacing w:before="120"/>
        <w:ind w:left="720" w:hanging="720"/>
        <w:jc w:val="both"/>
        <w:rPr>
          <w:sz w:val="28"/>
          <w:szCs w:val="28"/>
        </w:rPr>
      </w:pPr>
      <w:r w:rsidRPr="00CA7C58">
        <w:rPr>
          <w:sz w:val="28"/>
          <w:szCs w:val="28"/>
        </w:rPr>
        <w:t>4</w:t>
      </w:r>
      <w:r w:rsidRPr="00CA7C58">
        <w:rPr>
          <w:sz w:val="28"/>
          <w:szCs w:val="28"/>
        </w:rPr>
        <w:tab/>
        <w:t>CLINICAL PARTICULARS</w:t>
      </w:r>
    </w:p>
    <w:p w14:paraId="58D37788" w14:textId="77777777" w:rsidR="007A6D7A" w:rsidRPr="00CA7C58" w:rsidRDefault="007A6D7A" w:rsidP="008F3267">
      <w:pPr>
        <w:ind w:left="540" w:hanging="540"/>
        <w:jc w:val="both"/>
        <w:rPr>
          <w:rFonts w:ascii="Times New Roman" w:hAnsi="Times New Roman" w:cs="Times New Roman"/>
        </w:rPr>
      </w:pPr>
    </w:p>
    <w:p w14:paraId="4B509E11" w14:textId="60AFB529" w:rsidR="007B13D6" w:rsidRPr="00CA7C58" w:rsidRDefault="007B13D6" w:rsidP="008F3267">
      <w:pPr>
        <w:pStyle w:val="C-Heading4"/>
        <w:numPr>
          <w:ilvl w:val="0"/>
          <w:numId w:val="0"/>
        </w:numPr>
        <w:spacing w:before="0"/>
        <w:ind w:left="720" w:hanging="720"/>
        <w:jc w:val="both"/>
        <w:rPr>
          <w:szCs w:val="24"/>
        </w:rPr>
      </w:pPr>
      <w:r w:rsidRPr="00CA7C58">
        <w:rPr>
          <w:szCs w:val="24"/>
        </w:rPr>
        <w:t>4.1</w:t>
      </w:r>
      <w:r w:rsidR="00D95BDC" w:rsidRPr="00CA7C58">
        <w:rPr>
          <w:szCs w:val="24"/>
        </w:rPr>
        <w:tab/>
      </w:r>
      <w:r w:rsidRPr="00CA7C58">
        <w:rPr>
          <w:szCs w:val="24"/>
        </w:rPr>
        <w:t>THERAPEUTIC INDICATIONS</w:t>
      </w:r>
    </w:p>
    <w:p w14:paraId="36F97166" w14:textId="77777777" w:rsidR="00903C8B" w:rsidRPr="00CA7C58" w:rsidRDefault="00903C8B" w:rsidP="008F3267">
      <w:pPr>
        <w:jc w:val="both"/>
        <w:rPr>
          <w:rFonts w:ascii="Times New Roman" w:hAnsi="Times New Roman" w:cs="Times New Roman"/>
        </w:rPr>
      </w:pPr>
    </w:p>
    <w:p w14:paraId="7E2169C8" w14:textId="7ECF606E" w:rsidR="00BC0985" w:rsidRPr="00CA7C58" w:rsidRDefault="007F2819" w:rsidP="008F3267">
      <w:pPr>
        <w:jc w:val="both"/>
        <w:rPr>
          <w:rFonts w:ascii="Times New Roman" w:hAnsi="Times New Roman" w:cs="Times New Roman"/>
          <w:i/>
        </w:rPr>
      </w:pPr>
      <w:r w:rsidRPr="00CA7C58">
        <w:rPr>
          <w:rFonts w:ascii="Times New Roman" w:hAnsi="Times New Roman" w:cs="Times New Roman"/>
        </w:rPr>
        <w:t>EMPAVELI</w:t>
      </w:r>
      <w:r w:rsidR="00BC0985" w:rsidRPr="00CA7C58">
        <w:rPr>
          <w:rFonts w:ascii="Times New Roman" w:hAnsi="Times New Roman" w:cs="Times New Roman"/>
        </w:rPr>
        <w:t xml:space="preserve"> is indicated in the treatment of adult patients with paroxysmal nocturnal </w:t>
      </w:r>
      <w:proofErr w:type="spellStart"/>
      <w:r w:rsidR="00BC0985" w:rsidRPr="00CA7C58">
        <w:rPr>
          <w:rFonts w:ascii="Times New Roman" w:hAnsi="Times New Roman" w:cs="Times New Roman"/>
        </w:rPr>
        <w:t>haemoglobinuria</w:t>
      </w:r>
      <w:proofErr w:type="spellEnd"/>
      <w:r w:rsidR="00BC0985" w:rsidRPr="00CA7C58">
        <w:rPr>
          <w:rFonts w:ascii="Times New Roman" w:hAnsi="Times New Roman" w:cs="Times New Roman"/>
        </w:rPr>
        <w:t xml:space="preserve"> (PNH)</w:t>
      </w:r>
      <w:r w:rsidR="00220C6D">
        <w:rPr>
          <w:rFonts w:ascii="Times New Roman" w:hAnsi="Times New Roman" w:cs="Times New Roman"/>
        </w:rPr>
        <w:t xml:space="preserve"> who have an inadequate response to, or are intolerant of</w:t>
      </w:r>
      <w:r w:rsidR="009D5473">
        <w:rPr>
          <w:rFonts w:ascii="Times New Roman" w:hAnsi="Times New Roman" w:cs="Times New Roman"/>
        </w:rPr>
        <w:t>,</w:t>
      </w:r>
      <w:r w:rsidR="00220C6D">
        <w:rPr>
          <w:rFonts w:ascii="Times New Roman" w:hAnsi="Times New Roman" w:cs="Times New Roman"/>
        </w:rPr>
        <w:t xml:space="preserve"> a C5 inhibitor</w:t>
      </w:r>
      <w:r w:rsidR="00BF5C48" w:rsidRPr="00CA7C58">
        <w:rPr>
          <w:rFonts w:ascii="Times New Roman" w:hAnsi="Times New Roman" w:cs="Times New Roman"/>
        </w:rPr>
        <w:t>.</w:t>
      </w:r>
    </w:p>
    <w:p w14:paraId="7957795D" w14:textId="77777777" w:rsidR="00503203" w:rsidRPr="00CA7C58" w:rsidRDefault="00503203" w:rsidP="008F3267">
      <w:pPr>
        <w:ind w:left="540" w:hanging="540"/>
        <w:jc w:val="both"/>
        <w:rPr>
          <w:rFonts w:ascii="Times New Roman" w:hAnsi="Times New Roman" w:cs="Times New Roman"/>
        </w:rPr>
      </w:pPr>
    </w:p>
    <w:p w14:paraId="7EF4D965" w14:textId="4FC5BF49" w:rsidR="007B13D6" w:rsidRPr="00CA7C58" w:rsidRDefault="007B13D6" w:rsidP="008F3267">
      <w:pPr>
        <w:pStyle w:val="C-Heading4"/>
        <w:numPr>
          <w:ilvl w:val="0"/>
          <w:numId w:val="0"/>
        </w:numPr>
        <w:spacing w:before="0"/>
        <w:ind w:left="720" w:hanging="720"/>
        <w:jc w:val="both"/>
        <w:rPr>
          <w:szCs w:val="24"/>
        </w:rPr>
      </w:pPr>
      <w:r w:rsidRPr="00CA7C58">
        <w:rPr>
          <w:szCs w:val="24"/>
        </w:rPr>
        <w:t>4.2</w:t>
      </w:r>
      <w:r w:rsidR="00D95BDC" w:rsidRPr="00CA7C58">
        <w:rPr>
          <w:szCs w:val="24"/>
        </w:rPr>
        <w:tab/>
      </w:r>
      <w:r w:rsidRPr="00CA7C58">
        <w:rPr>
          <w:szCs w:val="24"/>
        </w:rPr>
        <w:t>DOSE AND METHOD OF ADMINISTRATION</w:t>
      </w:r>
    </w:p>
    <w:p w14:paraId="58C42EF1" w14:textId="77777777" w:rsidR="00C44434" w:rsidRPr="00CA7C58" w:rsidRDefault="00C44434" w:rsidP="008F3267">
      <w:pPr>
        <w:jc w:val="both"/>
        <w:rPr>
          <w:rFonts w:ascii="Times New Roman" w:hAnsi="Times New Roman" w:cs="Times New Roman"/>
        </w:rPr>
      </w:pPr>
    </w:p>
    <w:p w14:paraId="27592EBD" w14:textId="12CA35C0" w:rsidR="001B009A" w:rsidRDefault="001B009A" w:rsidP="008F3267">
      <w:pPr>
        <w:jc w:val="both"/>
        <w:rPr>
          <w:rFonts w:ascii="Times New Roman" w:eastAsia="Times New Roman" w:hAnsi="Times New Roman" w:cs="Times New Roman"/>
          <w:b/>
        </w:rPr>
      </w:pPr>
      <w:r w:rsidRPr="001B009A">
        <w:rPr>
          <w:rFonts w:ascii="Times New Roman" w:eastAsia="Times New Roman" w:hAnsi="Times New Roman" w:cs="Times New Roman"/>
          <w:b/>
        </w:rPr>
        <w:t>Recommended Vaccination and Prophylaxis</w:t>
      </w:r>
    </w:p>
    <w:p w14:paraId="7F4C8AF6" w14:textId="77777777" w:rsidR="001B009A" w:rsidRPr="00CA7C58" w:rsidRDefault="001B009A" w:rsidP="008F3267">
      <w:pPr>
        <w:jc w:val="both"/>
        <w:rPr>
          <w:rFonts w:ascii="Times New Roman" w:hAnsi="Times New Roman" w:cs="Times New Roman"/>
          <w:i/>
          <w:iCs/>
          <w:noProof/>
          <w:szCs w:val="22"/>
          <w:u w:val="single"/>
        </w:rPr>
      </w:pPr>
      <w:r w:rsidRPr="00CA7C58">
        <w:rPr>
          <w:rFonts w:ascii="Times New Roman" w:hAnsi="Times New Roman" w:cs="Times New Roman"/>
          <w:i/>
          <w:iCs/>
          <w:noProof/>
          <w:szCs w:val="22"/>
          <w:u w:val="single"/>
        </w:rPr>
        <w:t>Before receiving treatment with EMPAVELI</w:t>
      </w:r>
    </w:p>
    <w:p w14:paraId="367BE951" w14:textId="77777777" w:rsidR="001B009A" w:rsidRPr="00CA7C58" w:rsidRDefault="001B009A" w:rsidP="008F3267">
      <w:pPr>
        <w:pStyle w:val="C-BodyText"/>
        <w:numPr>
          <w:ilvl w:val="0"/>
          <w:numId w:val="8"/>
        </w:numPr>
        <w:spacing w:before="0" w:after="0" w:line="240" w:lineRule="auto"/>
        <w:ind w:left="360"/>
        <w:jc w:val="both"/>
        <w:rPr>
          <w:szCs w:val="24"/>
        </w:rPr>
      </w:pPr>
      <w:r w:rsidRPr="00CA7C58">
        <w:rPr>
          <w:i/>
          <w:iCs/>
          <w:szCs w:val="24"/>
        </w:rPr>
        <w:t>Patients with known history of vaccination</w:t>
      </w:r>
      <w:r w:rsidRPr="00CA7C58">
        <w:rPr>
          <w:szCs w:val="24"/>
        </w:rPr>
        <w:t xml:space="preserve">: Ensure that patients have received vaccines against encapsulated bacteria including </w:t>
      </w:r>
      <w:r w:rsidRPr="00CA7C58">
        <w:rPr>
          <w:i/>
          <w:iCs/>
          <w:szCs w:val="24"/>
        </w:rPr>
        <w:t>Streptococcus pneumoniae</w:t>
      </w:r>
      <w:r w:rsidRPr="00CA7C58">
        <w:rPr>
          <w:szCs w:val="24"/>
        </w:rPr>
        <w:t xml:space="preserve">, </w:t>
      </w:r>
      <w:r w:rsidRPr="00CA7C58">
        <w:rPr>
          <w:i/>
          <w:iCs/>
          <w:szCs w:val="24"/>
        </w:rPr>
        <w:t xml:space="preserve">Neisseria meningitidis </w:t>
      </w:r>
      <w:r w:rsidRPr="00CA7C58">
        <w:rPr>
          <w:szCs w:val="24"/>
        </w:rPr>
        <w:t xml:space="preserve">types A, C, W, Y, and B, and </w:t>
      </w:r>
      <w:proofErr w:type="spellStart"/>
      <w:r w:rsidRPr="00CA7C58">
        <w:rPr>
          <w:i/>
          <w:iCs/>
          <w:szCs w:val="24"/>
        </w:rPr>
        <w:t>Haemophilus</w:t>
      </w:r>
      <w:proofErr w:type="spellEnd"/>
      <w:r w:rsidRPr="00CA7C58">
        <w:rPr>
          <w:i/>
          <w:iCs/>
          <w:szCs w:val="24"/>
        </w:rPr>
        <w:t xml:space="preserve"> influenzae </w:t>
      </w:r>
      <w:r w:rsidRPr="00CA7C58">
        <w:rPr>
          <w:szCs w:val="24"/>
        </w:rPr>
        <w:t>type B</w:t>
      </w:r>
      <w:r w:rsidRPr="00CA7C58">
        <w:rPr>
          <w:i/>
          <w:iCs/>
          <w:szCs w:val="24"/>
        </w:rPr>
        <w:t xml:space="preserve"> </w:t>
      </w:r>
      <w:r w:rsidRPr="00CA7C58">
        <w:rPr>
          <w:szCs w:val="24"/>
        </w:rPr>
        <w:t>(Hib) within 2 years prior to starting EMPAVELI</w:t>
      </w:r>
      <w:r w:rsidRPr="00CA7C58" w:rsidDel="008858FC">
        <w:t xml:space="preserve"> </w:t>
      </w:r>
      <w:r w:rsidRPr="00CA7C58">
        <w:t xml:space="preserve">(see </w:t>
      </w:r>
      <w:r w:rsidRPr="00CA7C58">
        <w:rPr>
          <w:i/>
          <w:iCs/>
        </w:rPr>
        <w:t>section 4.4 Special Warnings and Precautions for Use</w:t>
      </w:r>
      <w:r w:rsidRPr="00CA7C58">
        <w:t>).</w:t>
      </w:r>
    </w:p>
    <w:p w14:paraId="4AB29C45" w14:textId="77777777" w:rsidR="001B009A" w:rsidRPr="00CA7C58" w:rsidRDefault="001B009A" w:rsidP="008F3267">
      <w:pPr>
        <w:pStyle w:val="C-BodyText"/>
        <w:numPr>
          <w:ilvl w:val="0"/>
          <w:numId w:val="8"/>
        </w:numPr>
        <w:spacing w:before="0" w:after="0" w:line="240" w:lineRule="auto"/>
        <w:ind w:left="360"/>
        <w:jc w:val="both"/>
        <w:rPr>
          <w:szCs w:val="24"/>
        </w:rPr>
      </w:pPr>
      <w:r w:rsidRPr="00CA7C58">
        <w:rPr>
          <w:i/>
          <w:iCs/>
          <w:szCs w:val="24"/>
        </w:rPr>
        <w:t>Patients without known history of vaccination</w:t>
      </w:r>
      <w:r w:rsidRPr="00CA7C58">
        <w:rPr>
          <w:szCs w:val="24"/>
        </w:rPr>
        <w:t xml:space="preserve">: Administer required vaccines at least 2 weeks prior to receiving the first dose of </w:t>
      </w:r>
      <w:r w:rsidRPr="00CA7C58">
        <w:rPr>
          <w:noProof/>
          <w:szCs w:val="24"/>
        </w:rPr>
        <w:t xml:space="preserve">EMPAVELI </w:t>
      </w:r>
      <w:r w:rsidRPr="00CA7C58">
        <w:t xml:space="preserve">(see </w:t>
      </w:r>
      <w:r w:rsidRPr="00CA7C58">
        <w:rPr>
          <w:i/>
          <w:iCs/>
        </w:rPr>
        <w:t>section 4.4 Special Warnings and Precautions for Use</w:t>
      </w:r>
      <w:r w:rsidRPr="00CA7C58">
        <w:t>)</w:t>
      </w:r>
      <w:r w:rsidRPr="00CA7C58">
        <w:rPr>
          <w:szCs w:val="24"/>
        </w:rPr>
        <w:t>.</w:t>
      </w:r>
    </w:p>
    <w:p w14:paraId="4121E6B9" w14:textId="77777777" w:rsidR="001B009A" w:rsidRPr="00CA7C58" w:rsidRDefault="001B009A" w:rsidP="008F3267">
      <w:pPr>
        <w:pStyle w:val="C-BodyText"/>
        <w:numPr>
          <w:ilvl w:val="1"/>
          <w:numId w:val="7"/>
        </w:numPr>
        <w:spacing w:before="0" w:after="0" w:line="240" w:lineRule="auto"/>
        <w:ind w:left="720"/>
        <w:jc w:val="both"/>
        <w:rPr>
          <w:szCs w:val="24"/>
          <w:u w:val="single"/>
        </w:rPr>
      </w:pPr>
      <w:r w:rsidRPr="00CA7C58">
        <w:rPr>
          <w:szCs w:val="24"/>
        </w:rPr>
        <w:t xml:space="preserve">If immediate therapy with </w:t>
      </w:r>
      <w:r w:rsidRPr="00CA7C58">
        <w:rPr>
          <w:noProof/>
          <w:szCs w:val="24"/>
        </w:rPr>
        <w:t>EMPAVELI</w:t>
      </w:r>
      <w:r w:rsidRPr="00CA7C58">
        <w:rPr>
          <w:szCs w:val="24"/>
        </w:rPr>
        <w:t xml:space="preserve"> is indicated, administer required vaccine</w:t>
      </w:r>
      <w:r>
        <w:rPr>
          <w:szCs w:val="24"/>
        </w:rPr>
        <w:t>s</w:t>
      </w:r>
      <w:r w:rsidRPr="00CA7C58">
        <w:rPr>
          <w:szCs w:val="24"/>
        </w:rPr>
        <w:t xml:space="preserve"> as soon as possible and provide patients with antibacterial drug prophylaxis</w:t>
      </w:r>
      <w:r>
        <w:rPr>
          <w:szCs w:val="24"/>
        </w:rPr>
        <w:t xml:space="preserve"> until 2 weeks after vaccination</w:t>
      </w:r>
      <w:r w:rsidRPr="00CA7C58">
        <w:rPr>
          <w:szCs w:val="24"/>
        </w:rPr>
        <w:t xml:space="preserve"> </w:t>
      </w:r>
      <w:r w:rsidRPr="00CA7C58">
        <w:t xml:space="preserve">(see </w:t>
      </w:r>
      <w:r w:rsidRPr="00CA7C58">
        <w:rPr>
          <w:i/>
          <w:iCs/>
        </w:rPr>
        <w:t>section 4.4 Special Warnings and Precautions for Use</w:t>
      </w:r>
      <w:r w:rsidRPr="00CA7C58">
        <w:t>)</w:t>
      </w:r>
      <w:r w:rsidRPr="00CA7C58">
        <w:rPr>
          <w:szCs w:val="24"/>
        </w:rPr>
        <w:t>.</w:t>
      </w:r>
    </w:p>
    <w:p w14:paraId="1FDE0E28" w14:textId="36AD24E0" w:rsidR="00C44434" w:rsidRPr="00CA7C58" w:rsidRDefault="00F82032" w:rsidP="008F3267">
      <w:pPr>
        <w:pStyle w:val="C-Heading4"/>
        <w:numPr>
          <w:ilvl w:val="0"/>
          <w:numId w:val="0"/>
        </w:numPr>
        <w:spacing w:before="120"/>
        <w:ind w:left="1080" w:hanging="1080"/>
        <w:jc w:val="both"/>
        <w:rPr>
          <w:noProof/>
        </w:rPr>
      </w:pPr>
      <w:r w:rsidRPr="00CA7C58">
        <w:rPr>
          <w:szCs w:val="24"/>
        </w:rPr>
        <w:t>Dosage</w:t>
      </w:r>
    </w:p>
    <w:p w14:paraId="6CE42DDD" w14:textId="25D60DD9" w:rsidR="00757289" w:rsidRPr="00CA7C58" w:rsidRDefault="00757289" w:rsidP="008F3267">
      <w:pPr>
        <w:jc w:val="both"/>
        <w:rPr>
          <w:rFonts w:ascii="Times New Roman" w:hAnsi="Times New Roman" w:cs="Times New Roman"/>
          <w:i/>
          <w:iCs/>
          <w:noProof/>
          <w:szCs w:val="22"/>
          <w:u w:val="single"/>
        </w:rPr>
      </w:pPr>
      <w:r w:rsidRPr="00CA7C58">
        <w:rPr>
          <w:rFonts w:ascii="Times New Roman" w:hAnsi="Times New Roman" w:cs="Times New Roman"/>
          <w:i/>
          <w:iCs/>
          <w:noProof/>
          <w:szCs w:val="22"/>
          <w:u w:val="single"/>
        </w:rPr>
        <w:t>Adult Patients with PNH</w:t>
      </w:r>
    </w:p>
    <w:p w14:paraId="393CE9FE" w14:textId="571EBF37" w:rsidR="005D617D" w:rsidRPr="00CA7C58" w:rsidRDefault="007F2819" w:rsidP="008F3267">
      <w:pPr>
        <w:pStyle w:val="C-BodyText"/>
        <w:spacing w:before="0" w:after="0" w:line="240" w:lineRule="auto"/>
        <w:jc w:val="both"/>
      </w:pPr>
      <w:r w:rsidRPr="00CA7C58">
        <w:rPr>
          <w:noProof/>
        </w:rPr>
        <w:t>EMPAVELI</w:t>
      </w:r>
      <w:r w:rsidR="000D05E1" w:rsidRPr="00CA7C58">
        <w:rPr>
          <w:noProof/>
        </w:rPr>
        <w:t xml:space="preserve"> </w:t>
      </w:r>
      <w:r w:rsidR="00060838" w:rsidRPr="00CA7C58">
        <w:rPr>
          <w:noProof/>
        </w:rPr>
        <w:t>is administered twice weekly as a 1,080</w:t>
      </w:r>
      <w:r w:rsidR="00E376EF" w:rsidRPr="00CA7C58">
        <w:rPr>
          <w:noProof/>
        </w:rPr>
        <w:t> </w:t>
      </w:r>
      <w:r w:rsidR="00060838" w:rsidRPr="00CA7C58">
        <w:rPr>
          <w:noProof/>
        </w:rPr>
        <w:t>mg subcutaneous infusion with a commercially available syringe system infusion pump that can deliver doses up to 20</w:t>
      </w:r>
      <w:r w:rsidR="00E376EF" w:rsidRPr="00CA7C58">
        <w:rPr>
          <w:noProof/>
        </w:rPr>
        <w:t> </w:t>
      </w:r>
      <w:r w:rsidR="00060838" w:rsidRPr="00CA7C58">
        <w:rPr>
          <w:noProof/>
        </w:rPr>
        <w:t>m</w:t>
      </w:r>
      <w:r w:rsidR="0000140E" w:rsidRPr="00CA7C58">
        <w:rPr>
          <w:noProof/>
        </w:rPr>
        <w:t>L</w:t>
      </w:r>
      <w:r w:rsidR="00060838" w:rsidRPr="00CA7C58">
        <w:rPr>
          <w:noProof/>
        </w:rPr>
        <w:t>.</w:t>
      </w:r>
      <w:r w:rsidR="00060838" w:rsidRPr="00CA7C58">
        <w:t xml:space="preserve"> </w:t>
      </w:r>
      <w:r w:rsidR="009E446E" w:rsidRPr="00CA7C58">
        <w:t>(</w:t>
      </w:r>
      <w:r w:rsidR="009E446E" w:rsidRPr="00CA7C58">
        <w:rPr>
          <w:i/>
          <w:iCs/>
        </w:rPr>
        <w:t xml:space="preserve">See Method of </w:t>
      </w:r>
      <w:r w:rsidR="005313A4" w:rsidRPr="00CA7C58">
        <w:rPr>
          <w:i/>
          <w:iCs/>
        </w:rPr>
        <w:t xml:space="preserve">administration </w:t>
      </w:r>
      <w:r w:rsidR="009E446E" w:rsidRPr="00CA7C58">
        <w:t xml:space="preserve">and </w:t>
      </w:r>
      <w:r w:rsidR="009E446E" w:rsidRPr="00CA7C58">
        <w:rPr>
          <w:i/>
          <w:iCs/>
        </w:rPr>
        <w:t xml:space="preserve">Instructions for </w:t>
      </w:r>
      <w:r w:rsidR="00B47898" w:rsidRPr="00CA7C58">
        <w:rPr>
          <w:i/>
          <w:iCs/>
        </w:rPr>
        <w:t>Use</w:t>
      </w:r>
      <w:r w:rsidR="009E446E" w:rsidRPr="00CA7C58">
        <w:t>.)</w:t>
      </w:r>
      <w:r w:rsidR="00EB28E6" w:rsidRPr="00CA7C58">
        <w:t xml:space="preserve"> </w:t>
      </w:r>
      <w:r w:rsidR="00432296" w:rsidRPr="00432296">
        <w:t>After proper training in subcutaneous infusion, a patient may self-administer, or the patient’s caregiver may administer EMPAVELI, if a healthcare provider determines that it is appropriate</w:t>
      </w:r>
      <w:r w:rsidR="00EB28E6" w:rsidRPr="00CA7C58">
        <w:t>.</w:t>
      </w:r>
    </w:p>
    <w:p w14:paraId="4A552685" w14:textId="51A26372" w:rsidR="005D617D" w:rsidRDefault="005D617D" w:rsidP="008F3267">
      <w:pPr>
        <w:jc w:val="both"/>
        <w:rPr>
          <w:rFonts w:ascii="Times New Roman" w:hAnsi="Times New Roman" w:cs="Times New Roman"/>
          <w:noProof/>
          <w:szCs w:val="22"/>
        </w:rPr>
      </w:pPr>
    </w:p>
    <w:p w14:paraId="23AEB292" w14:textId="77777777" w:rsidR="00CC5643" w:rsidRPr="00CA7C58" w:rsidRDefault="00CC5643" w:rsidP="008F3267">
      <w:pPr>
        <w:jc w:val="both"/>
        <w:rPr>
          <w:rFonts w:ascii="Times New Roman" w:hAnsi="Times New Roman" w:cs="Times New Roman"/>
          <w:noProof/>
        </w:rPr>
      </w:pPr>
      <w:r w:rsidRPr="00CA7C58">
        <w:rPr>
          <w:rFonts w:ascii="Times New Roman" w:hAnsi="Times New Roman" w:cs="Times New Roman"/>
        </w:rPr>
        <w:t>PNH</w:t>
      </w:r>
      <w:r w:rsidRPr="00CA7C58">
        <w:rPr>
          <w:rFonts w:ascii="Times New Roman" w:hAnsi="Times New Roman" w:cs="Times New Roman"/>
          <w:noProof/>
        </w:rPr>
        <w:t xml:space="preserve"> is a chronic disease and treatment with EMPAVELI is recommended to continue for the patient’s lifetime, unless the discontinuation of EMPAVELI is clinically indicated (see </w:t>
      </w:r>
      <w:r w:rsidRPr="00CA7C58">
        <w:rPr>
          <w:rFonts w:ascii="Times New Roman" w:hAnsi="Times New Roman" w:cs="Times New Roman"/>
          <w:i/>
          <w:iCs/>
          <w:noProof/>
        </w:rPr>
        <w:t xml:space="preserve">section 4.4 </w:t>
      </w:r>
      <w:r w:rsidRPr="00CA7C58">
        <w:rPr>
          <w:rFonts w:ascii="Times New Roman" w:hAnsi="Times New Roman" w:cs="Times New Roman"/>
          <w:i/>
          <w:iCs/>
        </w:rPr>
        <w:t>Special Warnings and Precautions for Use</w:t>
      </w:r>
      <w:r w:rsidRPr="00CA7C58">
        <w:rPr>
          <w:rFonts w:ascii="Times New Roman" w:hAnsi="Times New Roman" w:cs="Times New Roman"/>
          <w:noProof/>
        </w:rPr>
        <w:t>).</w:t>
      </w:r>
    </w:p>
    <w:p w14:paraId="6601E04F" w14:textId="0098B158" w:rsidR="005D617D" w:rsidRPr="00CA7C58" w:rsidRDefault="005D617D" w:rsidP="00E33498">
      <w:pPr>
        <w:jc w:val="both"/>
        <w:rPr>
          <w:rFonts w:ascii="Times New Roman" w:hAnsi="Times New Roman" w:cs="Times New Roman"/>
          <w:i/>
          <w:iCs/>
          <w:u w:val="single"/>
        </w:rPr>
      </w:pPr>
      <w:r w:rsidRPr="00CA7C58">
        <w:rPr>
          <w:rFonts w:ascii="Times New Roman" w:hAnsi="Times New Roman" w:cs="Times New Roman"/>
          <w:i/>
          <w:iCs/>
          <w:u w:val="single"/>
        </w:rPr>
        <w:lastRenderedPageBreak/>
        <w:t>Patients</w:t>
      </w:r>
      <w:r w:rsidR="00A65B2C" w:rsidRPr="00CA7C58">
        <w:rPr>
          <w:rFonts w:ascii="Times New Roman" w:hAnsi="Times New Roman" w:cs="Times New Roman"/>
          <w:i/>
          <w:iCs/>
          <w:u w:val="single"/>
        </w:rPr>
        <w:t xml:space="preserve"> switching to </w:t>
      </w:r>
      <w:r w:rsidR="007F2819" w:rsidRPr="00CA7C58">
        <w:rPr>
          <w:rFonts w:ascii="Times New Roman" w:hAnsi="Times New Roman" w:cs="Times New Roman"/>
          <w:i/>
          <w:iCs/>
          <w:u w:val="single"/>
        </w:rPr>
        <w:t>EMPAVELI</w:t>
      </w:r>
      <w:r w:rsidR="00A65B2C" w:rsidRPr="00CA7C58">
        <w:rPr>
          <w:rFonts w:ascii="Times New Roman" w:hAnsi="Times New Roman" w:cs="Times New Roman"/>
          <w:i/>
          <w:iCs/>
          <w:u w:val="single"/>
        </w:rPr>
        <w:t xml:space="preserve"> from a C5 inhibitor</w:t>
      </w:r>
      <w:r w:rsidR="00BC6FF2" w:rsidRPr="00CA7C58">
        <w:rPr>
          <w:rFonts w:ascii="Times New Roman" w:hAnsi="Times New Roman" w:cs="Times New Roman"/>
          <w:i/>
          <w:iCs/>
          <w:u w:val="single"/>
        </w:rPr>
        <w:t xml:space="preserve"> (</w:t>
      </w:r>
      <w:r w:rsidR="004E0B73" w:rsidRPr="00CA7C58">
        <w:rPr>
          <w:rFonts w:ascii="Times New Roman" w:hAnsi="Times New Roman" w:cs="Times New Roman"/>
          <w:i/>
          <w:iCs/>
          <w:u w:val="single"/>
        </w:rPr>
        <w:t>e</w:t>
      </w:r>
      <w:r w:rsidR="00BC6FF2" w:rsidRPr="00CA7C58">
        <w:rPr>
          <w:rFonts w:ascii="Times New Roman" w:hAnsi="Times New Roman" w:cs="Times New Roman"/>
          <w:i/>
          <w:iCs/>
          <w:u w:val="single"/>
        </w:rPr>
        <w:t xml:space="preserve">culizumab </w:t>
      </w:r>
      <w:proofErr w:type="spellStart"/>
      <w:r w:rsidR="00BC6FF2" w:rsidRPr="00CA7C58">
        <w:rPr>
          <w:rFonts w:ascii="Times New Roman" w:hAnsi="Times New Roman" w:cs="Times New Roman"/>
          <w:i/>
          <w:iCs/>
          <w:u w:val="single"/>
        </w:rPr>
        <w:t>rmc</w:t>
      </w:r>
      <w:proofErr w:type="spellEnd"/>
      <w:r w:rsidR="00BC6FF2" w:rsidRPr="00CA7C58">
        <w:rPr>
          <w:rFonts w:ascii="Times New Roman" w:hAnsi="Times New Roman" w:cs="Times New Roman"/>
          <w:i/>
          <w:iCs/>
          <w:u w:val="single"/>
        </w:rPr>
        <w:t xml:space="preserve">, </w:t>
      </w:r>
      <w:proofErr w:type="spellStart"/>
      <w:r w:rsidR="004E0B73" w:rsidRPr="00CA7C58">
        <w:rPr>
          <w:rFonts w:ascii="Times New Roman" w:hAnsi="Times New Roman" w:cs="Times New Roman"/>
          <w:i/>
          <w:iCs/>
          <w:u w:val="single"/>
        </w:rPr>
        <w:t>r</w:t>
      </w:r>
      <w:r w:rsidR="00BC6FF2" w:rsidRPr="00CA7C58">
        <w:rPr>
          <w:rFonts w:ascii="Times New Roman" w:hAnsi="Times New Roman" w:cs="Times New Roman"/>
          <w:i/>
          <w:iCs/>
          <w:u w:val="single"/>
        </w:rPr>
        <w:t>avulizumab</w:t>
      </w:r>
      <w:proofErr w:type="spellEnd"/>
      <w:r w:rsidR="00BC6FF2" w:rsidRPr="00CA7C58">
        <w:rPr>
          <w:rFonts w:ascii="Times New Roman" w:hAnsi="Times New Roman" w:cs="Times New Roman"/>
          <w:i/>
          <w:iCs/>
          <w:u w:val="single"/>
        </w:rPr>
        <w:t xml:space="preserve"> </w:t>
      </w:r>
      <w:proofErr w:type="spellStart"/>
      <w:r w:rsidR="00BC6FF2" w:rsidRPr="00CA7C58">
        <w:rPr>
          <w:rFonts w:ascii="Times New Roman" w:hAnsi="Times New Roman" w:cs="Times New Roman"/>
          <w:i/>
          <w:iCs/>
          <w:u w:val="single"/>
        </w:rPr>
        <w:t>rch</w:t>
      </w:r>
      <w:proofErr w:type="spellEnd"/>
      <w:r w:rsidR="00BC6FF2" w:rsidRPr="00CA7C58">
        <w:rPr>
          <w:rFonts w:ascii="Times New Roman" w:hAnsi="Times New Roman" w:cs="Times New Roman"/>
          <w:i/>
          <w:iCs/>
          <w:u w:val="single"/>
        </w:rPr>
        <w:t>)</w:t>
      </w:r>
    </w:p>
    <w:p w14:paraId="453F29DA" w14:textId="5D2F0DC3" w:rsidR="00060838" w:rsidRPr="00CA7C58" w:rsidRDefault="00060838" w:rsidP="00E33498">
      <w:pPr>
        <w:jc w:val="both"/>
        <w:rPr>
          <w:rFonts w:ascii="Times New Roman" w:hAnsi="Times New Roman" w:cs="Times New Roman"/>
          <w:noProof/>
        </w:rPr>
      </w:pPr>
      <w:r w:rsidRPr="00CA7C58">
        <w:rPr>
          <w:rFonts w:ascii="Times New Roman" w:hAnsi="Times New Roman" w:cs="Times New Roman"/>
          <w:noProof/>
        </w:rPr>
        <w:t>For the first 4</w:t>
      </w:r>
      <w:r w:rsidR="00E376EF" w:rsidRPr="00CA7C58">
        <w:rPr>
          <w:rFonts w:ascii="Times New Roman" w:hAnsi="Times New Roman" w:cs="Times New Roman"/>
          <w:noProof/>
        </w:rPr>
        <w:t> </w:t>
      </w:r>
      <w:r w:rsidRPr="00CA7C58">
        <w:rPr>
          <w:rFonts w:ascii="Times New Roman" w:hAnsi="Times New Roman" w:cs="Times New Roman"/>
          <w:noProof/>
        </w:rPr>
        <w:t xml:space="preserve">weeks, </w:t>
      </w:r>
      <w:r w:rsidR="007F2819" w:rsidRPr="00CA7C58">
        <w:rPr>
          <w:rFonts w:ascii="Times New Roman" w:hAnsi="Times New Roman" w:cs="Times New Roman"/>
          <w:noProof/>
        </w:rPr>
        <w:t>EMPAVELI</w:t>
      </w:r>
      <w:r w:rsidR="000D05E1" w:rsidRPr="00CA7C58">
        <w:rPr>
          <w:rFonts w:ascii="Times New Roman" w:hAnsi="Times New Roman" w:cs="Times New Roman"/>
          <w:noProof/>
        </w:rPr>
        <w:t xml:space="preserve"> </w:t>
      </w:r>
      <w:r w:rsidRPr="00CA7C58">
        <w:rPr>
          <w:rFonts w:ascii="Times New Roman" w:hAnsi="Times New Roman" w:cs="Times New Roman"/>
          <w:noProof/>
        </w:rPr>
        <w:t>is administered as twice weekly subcutaneous doses of 1,080</w:t>
      </w:r>
      <w:r w:rsidR="004E5C04" w:rsidRPr="00CA7C58">
        <w:rPr>
          <w:rFonts w:ascii="Times New Roman" w:hAnsi="Times New Roman" w:cs="Times New Roman"/>
          <w:noProof/>
        </w:rPr>
        <w:t> </w:t>
      </w:r>
      <w:r w:rsidRPr="00CA7C58">
        <w:rPr>
          <w:rFonts w:ascii="Times New Roman" w:hAnsi="Times New Roman" w:cs="Times New Roman"/>
          <w:noProof/>
        </w:rPr>
        <w:t>mg in addition to the patient’s current dose of C5 inhibitor treatment to minimi</w:t>
      </w:r>
      <w:r w:rsidR="0000140E" w:rsidRPr="00CA7C58">
        <w:rPr>
          <w:rFonts w:ascii="Times New Roman" w:hAnsi="Times New Roman" w:cs="Times New Roman"/>
          <w:noProof/>
        </w:rPr>
        <w:t>s</w:t>
      </w:r>
      <w:r w:rsidRPr="00CA7C58">
        <w:rPr>
          <w:rFonts w:ascii="Times New Roman" w:hAnsi="Times New Roman" w:cs="Times New Roman"/>
          <w:noProof/>
        </w:rPr>
        <w:t>e the risk of haemolysis with abrupt treatment discontinuation. After 4</w:t>
      </w:r>
      <w:r w:rsidR="00E376EF" w:rsidRPr="00CA7C58">
        <w:rPr>
          <w:rFonts w:ascii="Times New Roman" w:hAnsi="Times New Roman" w:cs="Times New Roman"/>
          <w:noProof/>
        </w:rPr>
        <w:t> </w:t>
      </w:r>
      <w:r w:rsidRPr="00CA7C58">
        <w:rPr>
          <w:rFonts w:ascii="Times New Roman" w:hAnsi="Times New Roman" w:cs="Times New Roman"/>
          <w:noProof/>
        </w:rPr>
        <w:t xml:space="preserve">weeks, the patient should discontinue </w:t>
      </w:r>
      <w:r w:rsidR="0000140E" w:rsidRPr="00CA7C58">
        <w:rPr>
          <w:rFonts w:ascii="Times New Roman" w:hAnsi="Times New Roman" w:cs="Times New Roman"/>
          <w:noProof/>
        </w:rPr>
        <w:t xml:space="preserve">treatment with the </w:t>
      </w:r>
      <w:r w:rsidRPr="00CA7C58">
        <w:rPr>
          <w:rFonts w:ascii="Times New Roman" w:hAnsi="Times New Roman" w:cs="Times New Roman"/>
          <w:noProof/>
        </w:rPr>
        <w:t>C5 inhibitor before continuing on monotherapy with</w:t>
      </w:r>
      <w:r w:rsidR="004E5C04" w:rsidRPr="00CA7C58">
        <w:rPr>
          <w:rFonts w:ascii="Times New Roman" w:hAnsi="Times New Roman" w:cs="Times New Roman"/>
          <w:noProof/>
        </w:rPr>
        <w:t xml:space="preserve"> </w:t>
      </w:r>
      <w:r w:rsidR="007F2819" w:rsidRPr="00CA7C58">
        <w:rPr>
          <w:rFonts w:ascii="Times New Roman" w:hAnsi="Times New Roman" w:cs="Times New Roman"/>
          <w:noProof/>
        </w:rPr>
        <w:t>EMPAVELI</w:t>
      </w:r>
      <w:r w:rsidRPr="00CA7C58">
        <w:rPr>
          <w:rFonts w:ascii="Times New Roman" w:hAnsi="Times New Roman" w:cs="Times New Roman"/>
          <w:noProof/>
        </w:rPr>
        <w:t>.</w:t>
      </w:r>
    </w:p>
    <w:p w14:paraId="46E045EF" w14:textId="77777777" w:rsidR="00B63421" w:rsidRPr="00CA7C58" w:rsidRDefault="00B63421" w:rsidP="00E33498">
      <w:pPr>
        <w:jc w:val="both"/>
        <w:rPr>
          <w:rFonts w:ascii="Times New Roman" w:hAnsi="Times New Roman" w:cs="Times New Roman"/>
          <w:noProof/>
          <w:szCs w:val="22"/>
        </w:rPr>
      </w:pPr>
    </w:p>
    <w:p w14:paraId="55B81BA2" w14:textId="58CEC756" w:rsidR="00B63421" w:rsidRPr="00CA7C58" w:rsidRDefault="00B63421" w:rsidP="00E33498">
      <w:pPr>
        <w:jc w:val="both"/>
        <w:rPr>
          <w:rFonts w:ascii="Times New Roman" w:hAnsi="Times New Roman" w:cs="Times New Roman"/>
          <w:noProof/>
          <w:szCs w:val="22"/>
        </w:rPr>
      </w:pPr>
      <w:r w:rsidRPr="00CA7C58">
        <w:rPr>
          <w:rFonts w:ascii="Times New Roman" w:hAnsi="Times New Roman" w:cs="Times New Roman"/>
          <w:i/>
          <w:iCs/>
          <w:noProof/>
          <w:szCs w:val="22"/>
          <w:u w:val="single"/>
        </w:rPr>
        <w:t xml:space="preserve">Dose adjustment for </w:t>
      </w:r>
      <w:r w:rsidR="007F2819" w:rsidRPr="00CA7C58">
        <w:rPr>
          <w:rFonts w:ascii="Times New Roman" w:hAnsi="Times New Roman" w:cs="Times New Roman"/>
          <w:i/>
          <w:iCs/>
          <w:noProof/>
          <w:szCs w:val="22"/>
          <w:u w:val="single"/>
        </w:rPr>
        <w:t>EMPAVELI</w:t>
      </w:r>
    </w:p>
    <w:p w14:paraId="1308EF2B" w14:textId="5E7B610D" w:rsidR="00B63421" w:rsidRPr="00CA7C58" w:rsidRDefault="00B63421" w:rsidP="00E33498">
      <w:pPr>
        <w:jc w:val="both"/>
        <w:rPr>
          <w:rFonts w:ascii="Times New Roman" w:hAnsi="Times New Roman" w:cs="Times New Roman"/>
          <w:noProof/>
          <w:szCs w:val="22"/>
        </w:rPr>
      </w:pPr>
      <w:r w:rsidRPr="00CA7C58">
        <w:rPr>
          <w:rFonts w:ascii="Times New Roman" w:hAnsi="Times New Roman" w:cs="Times New Roman"/>
          <w:noProof/>
          <w:szCs w:val="22"/>
        </w:rPr>
        <w:t>The dosing regimen may be changed to 1,080</w:t>
      </w:r>
      <w:r w:rsidR="00E376EF" w:rsidRPr="00CA7C58">
        <w:rPr>
          <w:rFonts w:ascii="Times New Roman" w:hAnsi="Times New Roman" w:cs="Times New Roman"/>
          <w:noProof/>
          <w:szCs w:val="22"/>
        </w:rPr>
        <w:t> </w:t>
      </w:r>
      <w:r w:rsidRPr="00CA7C58">
        <w:rPr>
          <w:rFonts w:ascii="Times New Roman" w:hAnsi="Times New Roman" w:cs="Times New Roman"/>
          <w:noProof/>
          <w:szCs w:val="22"/>
        </w:rPr>
        <w:t>mg every third day if a subject has a lactate dehydrogenase (LDH) level greater than 2</w:t>
      </w:r>
      <w:r w:rsidR="00E376EF" w:rsidRPr="00CA7C58">
        <w:rPr>
          <w:rFonts w:ascii="Times New Roman" w:hAnsi="Times New Roman" w:cs="Times New Roman"/>
          <w:noProof/>
          <w:szCs w:val="22"/>
        </w:rPr>
        <w:t> </w:t>
      </w:r>
      <w:r w:rsidRPr="00CA7C58">
        <w:rPr>
          <w:rFonts w:ascii="Times New Roman" w:hAnsi="Times New Roman" w:cs="Times New Roman"/>
          <w:noProof/>
          <w:szCs w:val="22"/>
        </w:rPr>
        <w:t>×</w:t>
      </w:r>
      <w:r w:rsidR="00E376EF" w:rsidRPr="00CA7C58">
        <w:rPr>
          <w:rFonts w:ascii="Times New Roman" w:hAnsi="Times New Roman" w:cs="Times New Roman"/>
          <w:noProof/>
          <w:szCs w:val="22"/>
        </w:rPr>
        <w:t> </w:t>
      </w:r>
      <w:r w:rsidRPr="00CA7C58">
        <w:rPr>
          <w:rFonts w:ascii="Times New Roman" w:hAnsi="Times New Roman" w:cs="Times New Roman"/>
          <w:noProof/>
          <w:szCs w:val="22"/>
        </w:rPr>
        <w:t>upper limit of normal (ULN).</w:t>
      </w:r>
    </w:p>
    <w:p w14:paraId="58CC0BE0" w14:textId="77777777" w:rsidR="00B63421" w:rsidRPr="00CA7C58" w:rsidRDefault="00B63421" w:rsidP="00E33498">
      <w:pPr>
        <w:jc w:val="both"/>
        <w:rPr>
          <w:rFonts w:ascii="Times New Roman" w:hAnsi="Times New Roman" w:cs="Times New Roman"/>
          <w:noProof/>
          <w:szCs w:val="22"/>
        </w:rPr>
      </w:pPr>
    </w:p>
    <w:p w14:paraId="26F0869D" w14:textId="4B20731D" w:rsidR="00B63421" w:rsidRPr="00CA7C58" w:rsidRDefault="00B63421" w:rsidP="00E33498">
      <w:pPr>
        <w:jc w:val="both"/>
        <w:rPr>
          <w:rFonts w:ascii="Times New Roman" w:hAnsi="Times New Roman" w:cs="Times New Roman"/>
          <w:noProof/>
          <w:szCs w:val="22"/>
        </w:rPr>
      </w:pPr>
      <w:r w:rsidRPr="00CA7C58">
        <w:rPr>
          <w:rFonts w:ascii="Times New Roman" w:hAnsi="Times New Roman" w:cs="Times New Roman"/>
          <w:noProof/>
          <w:szCs w:val="22"/>
        </w:rPr>
        <w:t>In the event of a dose increase, monitor LDH twice weekly for at least 4</w:t>
      </w:r>
      <w:r w:rsidR="00E376EF" w:rsidRPr="00CA7C58">
        <w:rPr>
          <w:rFonts w:ascii="Times New Roman" w:hAnsi="Times New Roman" w:cs="Times New Roman"/>
          <w:noProof/>
          <w:szCs w:val="22"/>
        </w:rPr>
        <w:t> </w:t>
      </w:r>
      <w:r w:rsidRPr="00CA7C58">
        <w:rPr>
          <w:rFonts w:ascii="Times New Roman" w:hAnsi="Times New Roman" w:cs="Times New Roman"/>
          <w:noProof/>
          <w:szCs w:val="22"/>
        </w:rPr>
        <w:t>weeks.</w:t>
      </w:r>
    </w:p>
    <w:p w14:paraId="746900A3" w14:textId="77777777" w:rsidR="00B63421" w:rsidRPr="00CA7C58" w:rsidRDefault="00B63421" w:rsidP="00E33498">
      <w:pPr>
        <w:jc w:val="both"/>
        <w:rPr>
          <w:rFonts w:ascii="Times New Roman" w:hAnsi="Times New Roman" w:cs="Times New Roman"/>
          <w:noProof/>
          <w:szCs w:val="22"/>
        </w:rPr>
      </w:pPr>
    </w:p>
    <w:p w14:paraId="7B4A519E" w14:textId="0FC200E4" w:rsidR="00B63421" w:rsidRPr="00CA7C58" w:rsidRDefault="00B63421" w:rsidP="00E33498">
      <w:pPr>
        <w:jc w:val="both"/>
        <w:rPr>
          <w:rFonts w:ascii="Times New Roman" w:hAnsi="Times New Roman" w:cs="Times New Roman"/>
          <w:i/>
          <w:iCs/>
          <w:noProof/>
          <w:szCs w:val="22"/>
          <w:u w:val="single"/>
        </w:rPr>
      </w:pPr>
      <w:r w:rsidRPr="00CA7C58">
        <w:rPr>
          <w:rFonts w:ascii="Times New Roman" w:hAnsi="Times New Roman" w:cs="Times New Roman"/>
          <w:i/>
          <w:iCs/>
          <w:noProof/>
          <w:szCs w:val="22"/>
          <w:u w:val="single"/>
        </w:rPr>
        <w:t xml:space="preserve">Missed dose of </w:t>
      </w:r>
      <w:r w:rsidR="007F2819" w:rsidRPr="00CA7C58">
        <w:rPr>
          <w:rFonts w:ascii="Times New Roman" w:hAnsi="Times New Roman" w:cs="Times New Roman"/>
          <w:i/>
          <w:iCs/>
          <w:noProof/>
          <w:szCs w:val="22"/>
          <w:u w:val="single"/>
        </w:rPr>
        <w:t>EMPAVELI</w:t>
      </w:r>
    </w:p>
    <w:p w14:paraId="69D5C4B1" w14:textId="7CD83097" w:rsidR="00984566" w:rsidRPr="00DE45D0" w:rsidRDefault="00B63421" w:rsidP="00E33498">
      <w:pPr>
        <w:jc w:val="both"/>
        <w:rPr>
          <w:rFonts w:ascii="Times New Roman" w:hAnsi="Times New Roman" w:cs="Times New Roman"/>
          <w:noProof/>
          <w:szCs w:val="22"/>
        </w:rPr>
      </w:pPr>
      <w:r w:rsidRPr="00CA7C58">
        <w:rPr>
          <w:rFonts w:ascii="Times New Roman" w:hAnsi="Times New Roman" w:cs="Times New Roman"/>
          <w:noProof/>
          <w:szCs w:val="22"/>
        </w:rPr>
        <w:t xml:space="preserve">If a dose of </w:t>
      </w:r>
      <w:r w:rsidR="007F2819" w:rsidRPr="00CA7C58">
        <w:rPr>
          <w:rFonts w:ascii="Times New Roman" w:hAnsi="Times New Roman" w:cs="Times New Roman"/>
          <w:noProof/>
          <w:szCs w:val="22"/>
        </w:rPr>
        <w:t>EMPAVELI</w:t>
      </w:r>
      <w:r w:rsidRPr="00CA7C58">
        <w:rPr>
          <w:rFonts w:ascii="Times New Roman" w:hAnsi="Times New Roman" w:cs="Times New Roman"/>
          <w:noProof/>
          <w:szCs w:val="22"/>
        </w:rPr>
        <w:t xml:space="preserve"> is missed, </w:t>
      </w:r>
      <w:r w:rsidR="00455BEF">
        <w:rPr>
          <w:rFonts w:ascii="Times New Roman" w:hAnsi="Times New Roman" w:cs="Times New Roman"/>
          <w:noProof/>
          <w:szCs w:val="22"/>
        </w:rPr>
        <w:t>and</w:t>
      </w:r>
      <w:r w:rsidR="00984566">
        <w:rPr>
          <w:rFonts w:ascii="Times New Roman" w:hAnsi="Times New Roman" w:cs="Times New Roman"/>
          <w:noProof/>
          <w:szCs w:val="22"/>
        </w:rPr>
        <w:t xml:space="preserve"> </w:t>
      </w:r>
      <w:r w:rsidR="00455BEF" w:rsidRPr="00DE45D0">
        <w:rPr>
          <w:rFonts w:ascii="Times New Roman" w:hAnsi="Times New Roman" w:cs="Times New Roman"/>
          <w:noProof/>
          <w:szCs w:val="22"/>
        </w:rPr>
        <w:t>the next scheduled dose has not been administered, then the missed dose should be administered as soon as possible, and then the regular schedule resumed.</w:t>
      </w:r>
    </w:p>
    <w:p w14:paraId="7BF94365" w14:textId="77777777" w:rsidR="00984566" w:rsidRPr="00DE45D0" w:rsidRDefault="00984566" w:rsidP="00E33498">
      <w:pPr>
        <w:jc w:val="both"/>
        <w:rPr>
          <w:rFonts w:ascii="Times New Roman" w:hAnsi="Times New Roman" w:cs="Times New Roman"/>
          <w:noProof/>
          <w:szCs w:val="22"/>
        </w:rPr>
      </w:pPr>
    </w:p>
    <w:p w14:paraId="1FB98AC2" w14:textId="6470BE65" w:rsidR="00455BEF" w:rsidRPr="00DE45D0" w:rsidRDefault="00DE45D0" w:rsidP="00E33498">
      <w:pPr>
        <w:jc w:val="both"/>
        <w:rPr>
          <w:rFonts w:ascii="Times New Roman" w:hAnsi="Times New Roman" w:cs="Times New Roman"/>
          <w:noProof/>
          <w:szCs w:val="22"/>
        </w:rPr>
      </w:pPr>
      <w:r w:rsidRPr="00DE45D0">
        <w:rPr>
          <w:rFonts w:ascii="Times New Roman" w:hAnsi="Times New Roman" w:cs="Times New Roman"/>
          <w:noProof/>
          <w:szCs w:val="22"/>
        </w:rPr>
        <w:t>Two doses should not be administered on the same day; however, i</w:t>
      </w:r>
      <w:r w:rsidR="00455BEF" w:rsidRPr="00DE45D0">
        <w:rPr>
          <w:rFonts w:ascii="Times New Roman" w:hAnsi="Times New Roman" w:cs="Times New Roman"/>
          <w:noProof/>
          <w:szCs w:val="22"/>
        </w:rPr>
        <w:t xml:space="preserve">t is acceptable to administer doses on </w:t>
      </w:r>
      <w:r w:rsidR="00984566" w:rsidRPr="00DE45D0">
        <w:rPr>
          <w:rFonts w:ascii="Times New Roman" w:hAnsi="Times New Roman" w:cs="Times New Roman"/>
          <w:noProof/>
          <w:szCs w:val="22"/>
        </w:rPr>
        <w:t>2</w:t>
      </w:r>
      <w:r w:rsidR="00037637">
        <w:rPr>
          <w:rFonts w:ascii="Times New Roman" w:hAnsi="Times New Roman" w:cs="Times New Roman"/>
          <w:noProof/>
          <w:szCs w:val="22"/>
        </w:rPr>
        <w:t> </w:t>
      </w:r>
      <w:r w:rsidR="00455BEF" w:rsidRPr="00DE45D0">
        <w:rPr>
          <w:rFonts w:ascii="Times New Roman" w:hAnsi="Times New Roman" w:cs="Times New Roman"/>
          <w:noProof/>
          <w:szCs w:val="22"/>
        </w:rPr>
        <w:t>consecutive days</w:t>
      </w:r>
      <w:r w:rsidR="00DF0EB7" w:rsidRPr="00DE45D0">
        <w:rPr>
          <w:rFonts w:ascii="Times New Roman" w:hAnsi="Times New Roman" w:cs="Times New Roman"/>
          <w:noProof/>
          <w:szCs w:val="22"/>
        </w:rPr>
        <w:t>.</w:t>
      </w:r>
    </w:p>
    <w:p w14:paraId="3959FDEE" w14:textId="77777777" w:rsidR="001C4D01" w:rsidRPr="00CA7C58" w:rsidRDefault="001C4D01" w:rsidP="00E33498">
      <w:pPr>
        <w:jc w:val="both"/>
        <w:rPr>
          <w:rFonts w:ascii="Times New Roman" w:hAnsi="Times New Roman" w:cs="Times New Roman"/>
          <w:noProof/>
          <w:szCs w:val="22"/>
        </w:rPr>
      </w:pPr>
    </w:p>
    <w:p w14:paraId="58AD5F10" w14:textId="77777777" w:rsidR="0017631E" w:rsidRPr="00CA7C58" w:rsidRDefault="0017631E" w:rsidP="00E33498">
      <w:pPr>
        <w:pStyle w:val="C-Heading4"/>
        <w:numPr>
          <w:ilvl w:val="0"/>
          <w:numId w:val="0"/>
        </w:numPr>
        <w:spacing w:before="0"/>
        <w:ind w:left="1080" w:hanging="1080"/>
        <w:jc w:val="both"/>
        <w:rPr>
          <w:szCs w:val="24"/>
        </w:rPr>
      </w:pPr>
      <w:r w:rsidRPr="00CA7C58">
        <w:rPr>
          <w:szCs w:val="24"/>
        </w:rPr>
        <w:t>Method of administration</w:t>
      </w:r>
    </w:p>
    <w:p w14:paraId="3BBCAF37" w14:textId="23F8B88C" w:rsidR="00CE5969" w:rsidRPr="00CA7C58" w:rsidRDefault="007F2819" w:rsidP="00E33498">
      <w:pPr>
        <w:jc w:val="both"/>
        <w:rPr>
          <w:rFonts w:ascii="Times New Roman" w:hAnsi="Times New Roman" w:cs="Times New Roman"/>
          <w:noProof/>
          <w:szCs w:val="22"/>
        </w:rPr>
      </w:pPr>
      <w:r w:rsidRPr="00CA7C58">
        <w:rPr>
          <w:rFonts w:ascii="Times New Roman" w:hAnsi="Times New Roman" w:cs="Times New Roman"/>
          <w:noProof/>
          <w:szCs w:val="22"/>
        </w:rPr>
        <w:t>EMPAVELI</w:t>
      </w:r>
      <w:r w:rsidR="00333803" w:rsidRPr="00CA7C58">
        <w:rPr>
          <w:rFonts w:ascii="Times New Roman" w:hAnsi="Times New Roman" w:cs="Times New Roman"/>
          <w:noProof/>
          <w:szCs w:val="22"/>
        </w:rPr>
        <w:t xml:space="preserve"> </w:t>
      </w:r>
      <w:r w:rsidR="0017631E" w:rsidRPr="00CA7C58">
        <w:rPr>
          <w:rFonts w:ascii="Times New Roman" w:hAnsi="Times New Roman" w:cs="Times New Roman"/>
          <w:noProof/>
          <w:szCs w:val="22"/>
        </w:rPr>
        <w:t>should only be administered via subcutaneous administration using a syringe system infusion pump.</w:t>
      </w:r>
    </w:p>
    <w:p w14:paraId="730F5EE5" w14:textId="77777777" w:rsidR="00CE5969" w:rsidRPr="00CA7C58" w:rsidRDefault="00CE5969" w:rsidP="00E33498">
      <w:pPr>
        <w:jc w:val="both"/>
        <w:rPr>
          <w:rFonts w:ascii="Times New Roman" w:hAnsi="Times New Roman" w:cs="Times New Roman"/>
          <w:noProof/>
          <w:szCs w:val="22"/>
        </w:rPr>
      </w:pPr>
    </w:p>
    <w:p w14:paraId="0E24C0DB" w14:textId="17CC976C" w:rsidR="0017631E" w:rsidRPr="00CA7C58" w:rsidRDefault="0017631E" w:rsidP="00E33498">
      <w:pPr>
        <w:jc w:val="both"/>
        <w:rPr>
          <w:rFonts w:ascii="Times New Roman" w:hAnsi="Times New Roman" w:cs="Times New Roman"/>
          <w:noProof/>
          <w:szCs w:val="22"/>
        </w:rPr>
      </w:pPr>
      <w:r w:rsidRPr="00CA7C58">
        <w:rPr>
          <w:rFonts w:ascii="Times New Roman" w:hAnsi="Times New Roman" w:cs="Times New Roman"/>
          <w:noProof/>
          <w:szCs w:val="22"/>
        </w:rPr>
        <w:t xml:space="preserve">When </w:t>
      </w:r>
      <w:r w:rsidR="00BC6FF2" w:rsidRPr="00CA7C58">
        <w:rPr>
          <w:rFonts w:ascii="Times New Roman" w:hAnsi="Times New Roman" w:cs="Times New Roman"/>
          <w:noProof/>
          <w:szCs w:val="22"/>
        </w:rPr>
        <w:t>therapy with</w:t>
      </w:r>
      <w:r w:rsidR="000B7B21" w:rsidRPr="00CA7C58">
        <w:rPr>
          <w:rFonts w:ascii="Times New Roman" w:hAnsi="Times New Roman" w:cs="Times New Roman"/>
          <w:noProof/>
          <w:szCs w:val="22"/>
        </w:rPr>
        <w:t xml:space="preserve"> </w:t>
      </w:r>
      <w:r w:rsidR="007F2819" w:rsidRPr="00CA7C58">
        <w:rPr>
          <w:rFonts w:ascii="Times New Roman" w:hAnsi="Times New Roman" w:cs="Times New Roman"/>
          <w:noProof/>
          <w:szCs w:val="22"/>
        </w:rPr>
        <w:t>EMPAVELI</w:t>
      </w:r>
      <w:r w:rsidR="008C6BFE" w:rsidRPr="00CA7C58">
        <w:rPr>
          <w:rFonts w:ascii="Times New Roman" w:hAnsi="Times New Roman" w:cs="Times New Roman"/>
          <w:noProof/>
          <w:szCs w:val="22"/>
        </w:rPr>
        <w:t xml:space="preserve"> </w:t>
      </w:r>
      <w:r w:rsidRPr="00CA7C58">
        <w:rPr>
          <w:rFonts w:ascii="Times New Roman" w:hAnsi="Times New Roman" w:cs="Times New Roman"/>
          <w:noProof/>
          <w:szCs w:val="22"/>
        </w:rPr>
        <w:t xml:space="preserve">is initiated, the patient will be instructed by a qualified healthcare </w:t>
      </w:r>
      <w:r w:rsidR="009026B4" w:rsidRPr="00CA7C58">
        <w:rPr>
          <w:rFonts w:ascii="Times New Roman" w:hAnsi="Times New Roman" w:cs="Times New Roman"/>
          <w:noProof/>
          <w:szCs w:val="22"/>
        </w:rPr>
        <w:t xml:space="preserve">provider </w:t>
      </w:r>
      <w:r w:rsidRPr="00CA7C58">
        <w:rPr>
          <w:rFonts w:ascii="Times New Roman" w:hAnsi="Times New Roman" w:cs="Times New Roman"/>
          <w:noProof/>
          <w:szCs w:val="22"/>
        </w:rPr>
        <w:t>in infusion techniques, the use of a syringe system infusion pump, the keeping of a treatment record, the recognition of possible adverse reactions, and measures to be taken in case these occur.</w:t>
      </w:r>
    </w:p>
    <w:p w14:paraId="33075572" w14:textId="77777777" w:rsidR="0017631E" w:rsidRPr="00CA7C58" w:rsidRDefault="0017631E" w:rsidP="00E33498">
      <w:pPr>
        <w:jc w:val="both"/>
        <w:rPr>
          <w:rFonts w:ascii="Times New Roman" w:hAnsi="Times New Roman" w:cs="Times New Roman"/>
          <w:noProof/>
          <w:szCs w:val="22"/>
        </w:rPr>
      </w:pPr>
    </w:p>
    <w:p w14:paraId="0C7726A2" w14:textId="6C9676E6" w:rsidR="003115AD" w:rsidRPr="00CA7C58" w:rsidRDefault="0017631E" w:rsidP="00E33498">
      <w:pPr>
        <w:jc w:val="both"/>
        <w:rPr>
          <w:rFonts w:ascii="Times New Roman" w:hAnsi="Times New Roman" w:cs="Times New Roman"/>
        </w:rPr>
      </w:pPr>
      <w:r w:rsidRPr="00CA7C58">
        <w:rPr>
          <w:rFonts w:ascii="Times New Roman" w:hAnsi="Times New Roman" w:cs="Times New Roman"/>
          <w:noProof/>
          <w:szCs w:val="22"/>
        </w:rPr>
        <w:t xml:space="preserve">Infuse </w:t>
      </w:r>
      <w:r w:rsidR="007F2819" w:rsidRPr="00CA7C58">
        <w:rPr>
          <w:rFonts w:ascii="Times New Roman" w:hAnsi="Times New Roman" w:cs="Times New Roman"/>
          <w:noProof/>
          <w:szCs w:val="22"/>
        </w:rPr>
        <w:t>EMPAVELI</w:t>
      </w:r>
      <w:r w:rsidR="0012694B" w:rsidRPr="00CA7C58">
        <w:rPr>
          <w:rFonts w:ascii="Times New Roman" w:hAnsi="Times New Roman" w:cs="Times New Roman"/>
          <w:noProof/>
          <w:szCs w:val="22"/>
        </w:rPr>
        <w:t xml:space="preserve"> </w:t>
      </w:r>
      <w:r w:rsidRPr="00CA7C58">
        <w:rPr>
          <w:rFonts w:ascii="Times New Roman" w:hAnsi="Times New Roman" w:cs="Times New Roman"/>
          <w:noProof/>
          <w:szCs w:val="22"/>
        </w:rPr>
        <w:t>in the abdomen, thigh</w:t>
      </w:r>
      <w:r w:rsidR="00C47A55" w:rsidRPr="00CA7C58">
        <w:rPr>
          <w:rFonts w:ascii="Times New Roman" w:hAnsi="Times New Roman" w:cs="Times New Roman"/>
          <w:noProof/>
          <w:szCs w:val="22"/>
        </w:rPr>
        <w:t>s</w:t>
      </w:r>
      <w:r w:rsidRPr="00CA7C58">
        <w:rPr>
          <w:rFonts w:ascii="Times New Roman" w:hAnsi="Times New Roman" w:cs="Times New Roman"/>
          <w:noProof/>
          <w:szCs w:val="22"/>
        </w:rPr>
        <w:t xml:space="preserve">, </w:t>
      </w:r>
      <w:r w:rsidR="008D6796" w:rsidRPr="00CA7C58">
        <w:rPr>
          <w:rFonts w:ascii="Times New Roman" w:hAnsi="Times New Roman" w:cs="Times New Roman"/>
          <w:noProof/>
          <w:szCs w:val="22"/>
        </w:rPr>
        <w:t>hips</w:t>
      </w:r>
      <w:r w:rsidR="009B6494" w:rsidRPr="00CA7C58">
        <w:rPr>
          <w:rFonts w:ascii="Times New Roman" w:hAnsi="Times New Roman" w:cs="Times New Roman"/>
          <w:noProof/>
          <w:szCs w:val="22"/>
        </w:rPr>
        <w:t xml:space="preserve">, </w:t>
      </w:r>
      <w:r w:rsidRPr="00CA7C58">
        <w:rPr>
          <w:rFonts w:ascii="Times New Roman" w:hAnsi="Times New Roman" w:cs="Times New Roman"/>
          <w:noProof/>
          <w:szCs w:val="22"/>
        </w:rPr>
        <w:t>or upper arms. Infusion sites should be at least 7.5</w:t>
      </w:r>
      <w:r w:rsidR="00E376EF" w:rsidRPr="00CA7C58">
        <w:rPr>
          <w:rFonts w:ascii="Times New Roman" w:hAnsi="Times New Roman" w:cs="Times New Roman"/>
          <w:noProof/>
          <w:szCs w:val="22"/>
        </w:rPr>
        <w:t> </w:t>
      </w:r>
      <w:r w:rsidRPr="00CA7C58">
        <w:rPr>
          <w:rFonts w:ascii="Times New Roman" w:hAnsi="Times New Roman" w:cs="Times New Roman"/>
          <w:noProof/>
          <w:szCs w:val="22"/>
        </w:rPr>
        <w:t>cm apart from each other. Rotate infusion sites between administration. Do not infuse into areas where the skin is tender, bruised, red, or hard. Avoid infusing into tattoos, scars</w:t>
      </w:r>
      <w:r w:rsidR="00E376EF" w:rsidRPr="00CA7C58">
        <w:rPr>
          <w:rFonts w:ascii="Times New Roman" w:hAnsi="Times New Roman" w:cs="Times New Roman"/>
          <w:noProof/>
          <w:szCs w:val="22"/>
        </w:rPr>
        <w:t>,</w:t>
      </w:r>
      <w:r w:rsidRPr="00CA7C58">
        <w:rPr>
          <w:rFonts w:ascii="Times New Roman" w:hAnsi="Times New Roman" w:cs="Times New Roman"/>
          <w:noProof/>
          <w:szCs w:val="22"/>
        </w:rPr>
        <w:t xml:space="preserve"> or stretch marks.</w:t>
      </w:r>
    </w:p>
    <w:p w14:paraId="54E5DA90" w14:textId="77777777" w:rsidR="003115AD" w:rsidRPr="00CA7C58" w:rsidRDefault="003115AD" w:rsidP="00E33498">
      <w:pPr>
        <w:jc w:val="both"/>
        <w:rPr>
          <w:rFonts w:ascii="Times New Roman" w:hAnsi="Times New Roman" w:cs="Times New Roman"/>
        </w:rPr>
      </w:pPr>
    </w:p>
    <w:p w14:paraId="3B65BF9F" w14:textId="0CCD16D5" w:rsidR="0017631E" w:rsidRPr="00CA7C58" w:rsidRDefault="0017631E" w:rsidP="00E33498">
      <w:pPr>
        <w:jc w:val="both"/>
        <w:rPr>
          <w:rFonts w:ascii="Times New Roman" w:hAnsi="Times New Roman" w:cs="Times New Roman"/>
          <w:noProof/>
          <w:szCs w:val="22"/>
        </w:rPr>
      </w:pPr>
      <w:r w:rsidRPr="00CA7C58">
        <w:rPr>
          <w:rFonts w:ascii="Times New Roman" w:hAnsi="Times New Roman" w:cs="Times New Roman"/>
          <w:noProof/>
          <w:szCs w:val="22"/>
        </w:rPr>
        <w:t>The typical infusion time is approximately 30</w:t>
      </w:r>
      <w:r w:rsidR="00E376EF" w:rsidRPr="00CA7C58">
        <w:rPr>
          <w:rFonts w:ascii="Times New Roman" w:hAnsi="Times New Roman" w:cs="Times New Roman"/>
          <w:noProof/>
          <w:szCs w:val="22"/>
        </w:rPr>
        <w:t> </w:t>
      </w:r>
      <w:r w:rsidRPr="00CA7C58">
        <w:rPr>
          <w:rFonts w:ascii="Times New Roman" w:hAnsi="Times New Roman" w:cs="Times New Roman"/>
          <w:noProof/>
          <w:szCs w:val="22"/>
        </w:rPr>
        <w:t>minutes (if using two sites) or approximately 60</w:t>
      </w:r>
      <w:r w:rsidR="00E376EF" w:rsidRPr="00CA7C58">
        <w:rPr>
          <w:rFonts w:ascii="Times New Roman" w:hAnsi="Times New Roman" w:cs="Times New Roman"/>
          <w:noProof/>
          <w:szCs w:val="22"/>
        </w:rPr>
        <w:t> </w:t>
      </w:r>
      <w:r w:rsidRPr="00CA7C58">
        <w:rPr>
          <w:rFonts w:ascii="Times New Roman" w:hAnsi="Times New Roman" w:cs="Times New Roman"/>
          <w:noProof/>
          <w:szCs w:val="22"/>
        </w:rPr>
        <w:t xml:space="preserve">minutes (if using one site). The infusion should be started promptly after drawing </w:t>
      </w:r>
      <w:r w:rsidR="007F2819" w:rsidRPr="00CA7C58">
        <w:rPr>
          <w:rFonts w:ascii="Times New Roman" w:hAnsi="Times New Roman" w:cs="Times New Roman"/>
          <w:noProof/>
          <w:szCs w:val="22"/>
        </w:rPr>
        <w:t>EMPAVELI</w:t>
      </w:r>
      <w:r w:rsidR="003D3921" w:rsidRPr="00CA7C58">
        <w:rPr>
          <w:rFonts w:ascii="Times New Roman" w:hAnsi="Times New Roman" w:cs="Times New Roman"/>
          <w:noProof/>
          <w:szCs w:val="22"/>
        </w:rPr>
        <w:t xml:space="preserve"> </w:t>
      </w:r>
      <w:r w:rsidRPr="00CA7C58">
        <w:rPr>
          <w:rFonts w:ascii="Times New Roman" w:hAnsi="Times New Roman" w:cs="Times New Roman"/>
          <w:noProof/>
          <w:szCs w:val="22"/>
        </w:rPr>
        <w:t>into the syringe. Complete the administration within 2</w:t>
      </w:r>
      <w:r w:rsidR="00E376EF" w:rsidRPr="00CA7C58">
        <w:rPr>
          <w:rFonts w:ascii="Times New Roman" w:hAnsi="Times New Roman" w:cs="Times New Roman"/>
          <w:noProof/>
          <w:szCs w:val="22"/>
        </w:rPr>
        <w:t> </w:t>
      </w:r>
      <w:r w:rsidRPr="00CA7C58">
        <w:rPr>
          <w:rFonts w:ascii="Times New Roman" w:hAnsi="Times New Roman" w:cs="Times New Roman"/>
          <w:noProof/>
          <w:szCs w:val="22"/>
        </w:rPr>
        <w:t>hours after preparing the syringe.</w:t>
      </w:r>
    </w:p>
    <w:p w14:paraId="395A74E9" w14:textId="77777777" w:rsidR="00545181" w:rsidRPr="00CA7C58" w:rsidRDefault="00545181" w:rsidP="00E33498">
      <w:pPr>
        <w:jc w:val="both"/>
        <w:rPr>
          <w:rFonts w:ascii="Times New Roman" w:hAnsi="Times New Roman" w:cs="Times New Roman"/>
        </w:rPr>
      </w:pPr>
    </w:p>
    <w:p w14:paraId="5B266C5D" w14:textId="3712FFF1" w:rsidR="00B47358" w:rsidRPr="00CA7C58" w:rsidRDefault="001550F4" w:rsidP="00E33498">
      <w:pPr>
        <w:pStyle w:val="C-Heading4"/>
        <w:numPr>
          <w:ilvl w:val="0"/>
          <w:numId w:val="0"/>
        </w:numPr>
        <w:spacing w:before="120"/>
        <w:ind w:left="1080" w:hanging="1080"/>
        <w:jc w:val="both"/>
        <w:rPr>
          <w:szCs w:val="24"/>
        </w:rPr>
      </w:pPr>
      <w:r w:rsidRPr="00CA7C58">
        <w:rPr>
          <w:szCs w:val="24"/>
        </w:rPr>
        <w:t>Renal impairment</w:t>
      </w:r>
    </w:p>
    <w:p w14:paraId="6C1806BF" w14:textId="46F87983" w:rsidR="00B47358" w:rsidRPr="00CA7C58" w:rsidRDefault="00B47358" w:rsidP="00E33498">
      <w:pPr>
        <w:jc w:val="both"/>
        <w:rPr>
          <w:rFonts w:ascii="Times New Roman" w:hAnsi="Times New Roman" w:cs="Times New Roman"/>
          <w:bCs/>
          <w:szCs w:val="22"/>
        </w:rPr>
      </w:pPr>
      <w:r w:rsidRPr="00CA7C58">
        <w:rPr>
          <w:rFonts w:ascii="Times New Roman" w:hAnsi="Times New Roman" w:cs="Times New Roman"/>
          <w:bCs/>
          <w:szCs w:val="22"/>
        </w:rPr>
        <w:t xml:space="preserve">Renal impairment had no effect on the pharmacokinetics of </w:t>
      </w:r>
      <w:proofErr w:type="spellStart"/>
      <w:r w:rsidRPr="00CA7C58">
        <w:rPr>
          <w:rFonts w:ascii="Times New Roman" w:hAnsi="Times New Roman" w:cs="Times New Roman"/>
          <w:bCs/>
          <w:szCs w:val="22"/>
        </w:rPr>
        <w:t>pegcetacoplan</w:t>
      </w:r>
      <w:proofErr w:type="spellEnd"/>
      <w:r w:rsidRPr="00CA7C58">
        <w:rPr>
          <w:rFonts w:ascii="Times New Roman" w:hAnsi="Times New Roman" w:cs="Times New Roman"/>
          <w:bCs/>
          <w:szCs w:val="22"/>
        </w:rPr>
        <w:t xml:space="preserve">; therefore, </w:t>
      </w:r>
      <w:r w:rsidR="003223D3" w:rsidRPr="00CA7C58">
        <w:rPr>
          <w:rFonts w:ascii="Times New Roman" w:hAnsi="Times New Roman" w:cs="Times New Roman"/>
          <w:bCs/>
          <w:szCs w:val="22"/>
        </w:rPr>
        <w:t xml:space="preserve">dose adjustment of </w:t>
      </w:r>
      <w:r w:rsidR="007F2819" w:rsidRPr="00CA7C58">
        <w:rPr>
          <w:rFonts w:ascii="Times New Roman" w:hAnsi="Times New Roman" w:cs="Times New Roman"/>
          <w:bCs/>
          <w:szCs w:val="22"/>
        </w:rPr>
        <w:t>EMPAVELI</w:t>
      </w:r>
      <w:r w:rsidR="003223D3" w:rsidRPr="00CA7C58">
        <w:rPr>
          <w:rFonts w:ascii="Times New Roman" w:hAnsi="Times New Roman" w:cs="Times New Roman"/>
          <w:bCs/>
          <w:szCs w:val="22"/>
        </w:rPr>
        <w:t xml:space="preserve"> </w:t>
      </w:r>
      <w:r w:rsidRPr="00CA7C58">
        <w:rPr>
          <w:rFonts w:ascii="Times New Roman" w:hAnsi="Times New Roman" w:cs="Times New Roman"/>
          <w:bCs/>
          <w:szCs w:val="22"/>
        </w:rPr>
        <w:t xml:space="preserve">in patients with renal impairment is not necessary (see </w:t>
      </w:r>
      <w:r w:rsidRPr="00CA7C58">
        <w:rPr>
          <w:rFonts w:ascii="Times New Roman" w:hAnsi="Times New Roman" w:cs="Times New Roman"/>
          <w:bCs/>
          <w:i/>
          <w:iCs/>
          <w:szCs w:val="22"/>
        </w:rPr>
        <w:t>section 5.2</w:t>
      </w:r>
      <w:r w:rsidR="00545181" w:rsidRPr="00CA7C58">
        <w:rPr>
          <w:rFonts w:ascii="Times New Roman" w:hAnsi="Times New Roman" w:cs="Times New Roman"/>
          <w:bCs/>
          <w:i/>
          <w:iCs/>
          <w:szCs w:val="22"/>
        </w:rPr>
        <w:t xml:space="preserve"> Pharmacokinetic Properties</w:t>
      </w:r>
      <w:r w:rsidRPr="00CA7C58">
        <w:rPr>
          <w:rFonts w:ascii="Times New Roman" w:hAnsi="Times New Roman" w:cs="Times New Roman"/>
          <w:bCs/>
          <w:szCs w:val="22"/>
        </w:rPr>
        <w:t>).</w:t>
      </w:r>
    </w:p>
    <w:p w14:paraId="70C7BADB" w14:textId="77777777" w:rsidR="00B47358" w:rsidRPr="00CA7C58" w:rsidRDefault="00B47358" w:rsidP="00E33498">
      <w:pPr>
        <w:jc w:val="both"/>
        <w:rPr>
          <w:rFonts w:ascii="Times New Roman" w:hAnsi="Times New Roman" w:cs="Times New Roman"/>
          <w:bCs/>
          <w:szCs w:val="22"/>
        </w:rPr>
      </w:pPr>
    </w:p>
    <w:p w14:paraId="39584BEF" w14:textId="20D0D095" w:rsidR="00B47358" w:rsidRPr="00CA7C58" w:rsidRDefault="001550F4" w:rsidP="00C44434">
      <w:pPr>
        <w:pStyle w:val="C-Heading4"/>
        <w:numPr>
          <w:ilvl w:val="0"/>
          <w:numId w:val="0"/>
        </w:numPr>
        <w:spacing w:before="120"/>
        <w:ind w:left="1080" w:hanging="1080"/>
        <w:rPr>
          <w:szCs w:val="24"/>
        </w:rPr>
      </w:pPr>
      <w:r w:rsidRPr="00CA7C58">
        <w:rPr>
          <w:szCs w:val="24"/>
        </w:rPr>
        <w:lastRenderedPageBreak/>
        <w:t>Hepatic impairment</w:t>
      </w:r>
    </w:p>
    <w:p w14:paraId="0B65EAB7" w14:textId="455A650A" w:rsidR="00B47358" w:rsidRDefault="00CE5969" w:rsidP="00E33498">
      <w:pPr>
        <w:jc w:val="both"/>
        <w:rPr>
          <w:rFonts w:ascii="Times New Roman" w:hAnsi="Times New Roman" w:cs="Times New Roman"/>
          <w:bCs/>
          <w:szCs w:val="22"/>
        </w:rPr>
      </w:pPr>
      <w:r w:rsidRPr="00CA7C58">
        <w:rPr>
          <w:rFonts w:ascii="Times New Roman" w:hAnsi="Times New Roman" w:cs="Times New Roman"/>
        </w:rPr>
        <w:t xml:space="preserve">The safety and efficacy of </w:t>
      </w:r>
      <w:r w:rsidR="007F2819" w:rsidRPr="00CA7C58">
        <w:rPr>
          <w:rFonts w:ascii="Times New Roman" w:hAnsi="Times New Roman" w:cs="Times New Roman"/>
        </w:rPr>
        <w:t>EMPAVELI</w:t>
      </w:r>
      <w:r w:rsidRPr="00CA7C58">
        <w:rPr>
          <w:rFonts w:ascii="Times New Roman" w:hAnsi="Times New Roman" w:cs="Times New Roman"/>
        </w:rPr>
        <w:t xml:space="preserve"> have not been studied in patients with hepatic impairment; however, population pharmacokinetic data suggest that no dose adjustment is required in patients with hepatic impairment</w:t>
      </w:r>
      <w:r w:rsidR="00B47358" w:rsidRPr="00CA7C58">
        <w:rPr>
          <w:rFonts w:ascii="Times New Roman" w:hAnsi="Times New Roman" w:cs="Times New Roman"/>
          <w:bCs/>
          <w:szCs w:val="22"/>
        </w:rPr>
        <w:t xml:space="preserve"> (see </w:t>
      </w:r>
      <w:r w:rsidR="00B47358" w:rsidRPr="00CA7C58">
        <w:rPr>
          <w:rFonts w:ascii="Times New Roman" w:hAnsi="Times New Roman" w:cs="Times New Roman"/>
          <w:bCs/>
          <w:i/>
          <w:iCs/>
          <w:szCs w:val="22"/>
        </w:rPr>
        <w:t>section 5.2</w:t>
      </w:r>
      <w:r w:rsidR="00545181" w:rsidRPr="00CA7C58">
        <w:rPr>
          <w:rFonts w:ascii="Times New Roman" w:hAnsi="Times New Roman" w:cs="Times New Roman"/>
          <w:bCs/>
          <w:i/>
          <w:iCs/>
          <w:szCs w:val="22"/>
        </w:rPr>
        <w:t xml:space="preserve"> Pharmacokinetic Properties</w:t>
      </w:r>
      <w:r w:rsidR="00B47358" w:rsidRPr="00CA7C58">
        <w:rPr>
          <w:rFonts w:ascii="Times New Roman" w:hAnsi="Times New Roman" w:cs="Times New Roman"/>
          <w:bCs/>
          <w:szCs w:val="22"/>
        </w:rPr>
        <w:t>).</w:t>
      </w:r>
    </w:p>
    <w:p w14:paraId="6319F1A3" w14:textId="77777777" w:rsidR="006B06E0" w:rsidRDefault="006B06E0" w:rsidP="00E33498">
      <w:pPr>
        <w:jc w:val="both"/>
        <w:rPr>
          <w:rFonts w:ascii="Times New Roman" w:hAnsi="Times New Roman" w:cs="Times New Roman"/>
          <w:bCs/>
          <w:szCs w:val="22"/>
        </w:rPr>
      </w:pPr>
    </w:p>
    <w:p w14:paraId="48C1C87A" w14:textId="77777777" w:rsidR="006B06E0" w:rsidRPr="00CA7C58" w:rsidRDefault="006B06E0" w:rsidP="00E33498">
      <w:pPr>
        <w:jc w:val="both"/>
        <w:rPr>
          <w:rFonts w:ascii="Times New Roman" w:hAnsi="Times New Roman" w:cs="Times New Roman"/>
          <w:bCs/>
          <w:szCs w:val="22"/>
        </w:rPr>
      </w:pPr>
    </w:p>
    <w:p w14:paraId="4EC84282" w14:textId="524940B9" w:rsidR="007B13D6" w:rsidRPr="00CA7C58" w:rsidRDefault="007B13D6" w:rsidP="00C44434">
      <w:pPr>
        <w:pStyle w:val="C-Heading4"/>
        <w:numPr>
          <w:ilvl w:val="0"/>
          <w:numId w:val="0"/>
        </w:numPr>
        <w:spacing w:before="0"/>
        <w:ind w:left="720" w:hanging="720"/>
        <w:rPr>
          <w:szCs w:val="24"/>
        </w:rPr>
      </w:pPr>
      <w:r w:rsidRPr="00CA7C58">
        <w:rPr>
          <w:szCs w:val="24"/>
        </w:rPr>
        <w:t>4.3</w:t>
      </w:r>
      <w:r w:rsidR="00D95BDC" w:rsidRPr="00CA7C58">
        <w:rPr>
          <w:szCs w:val="24"/>
        </w:rPr>
        <w:tab/>
      </w:r>
      <w:r w:rsidRPr="00CA7C58">
        <w:rPr>
          <w:szCs w:val="24"/>
        </w:rPr>
        <w:t>CONTRAINDICATIONS</w:t>
      </w:r>
    </w:p>
    <w:p w14:paraId="5F44CAF4" w14:textId="77777777" w:rsidR="007874A7" w:rsidRPr="00CA7C58" w:rsidRDefault="007874A7" w:rsidP="00E54119">
      <w:pPr>
        <w:pStyle w:val="C-BodyText"/>
        <w:spacing w:before="0" w:after="0" w:line="240" w:lineRule="auto"/>
      </w:pPr>
    </w:p>
    <w:p w14:paraId="5B353635" w14:textId="37E3114B" w:rsidR="00437C8D" w:rsidRPr="00CA7C58" w:rsidRDefault="007F2819" w:rsidP="00E54119">
      <w:pPr>
        <w:pStyle w:val="C-BodyText"/>
        <w:spacing w:before="0" w:after="0" w:line="240" w:lineRule="auto"/>
        <w:rPr>
          <w:szCs w:val="24"/>
        </w:rPr>
      </w:pPr>
      <w:r w:rsidRPr="00CA7C58">
        <w:rPr>
          <w:szCs w:val="24"/>
        </w:rPr>
        <w:t>EMPAVELI</w:t>
      </w:r>
      <w:r w:rsidR="00437C8D" w:rsidRPr="00CA7C58">
        <w:rPr>
          <w:szCs w:val="24"/>
        </w:rPr>
        <w:t xml:space="preserve"> is contraindicated in patients with:</w:t>
      </w:r>
    </w:p>
    <w:p w14:paraId="236D79CE" w14:textId="6FB791F2" w:rsidR="00437C8D" w:rsidRPr="00CA7C58" w:rsidRDefault="00437C8D" w:rsidP="00E54119">
      <w:pPr>
        <w:pStyle w:val="C-BodyText"/>
        <w:numPr>
          <w:ilvl w:val="0"/>
          <w:numId w:val="4"/>
        </w:numPr>
        <w:spacing w:before="0" w:after="0"/>
        <w:ind w:hanging="90"/>
        <w:rPr>
          <w:szCs w:val="24"/>
        </w:rPr>
      </w:pPr>
      <w:r w:rsidRPr="00CA7C58">
        <w:rPr>
          <w:szCs w:val="24"/>
        </w:rPr>
        <w:t xml:space="preserve">Hypersensitivity to </w:t>
      </w:r>
      <w:proofErr w:type="spellStart"/>
      <w:r w:rsidRPr="00CA7C58">
        <w:rPr>
          <w:szCs w:val="24"/>
        </w:rPr>
        <w:t>pegcetacoplan</w:t>
      </w:r>
      <w:proofErr w:type="spellEnd"/>
      <w:r w:rsidRPr="00CA7C58">
        <w:rPr>
          <w:szCs w:val="24"/>
        </w:rPr>
        <w:t xml:space="preserve"> or to any of the excipients.</w:t>
      </w:r>
    </w:p>
    <w:p w14:paraId="39E69E04" w14:textId="2317BC0B" w:rsidR="00437C8D" w:rsidRPr="00CA7C58" w:rsidRDefault="00437C8D" w:rsidP="00E54119">
      <w:pPr>
        <w:pStyle w:val="C-BodyText"/>
        <w:numPr>
          <w:ilvl w:val="0"/>
          <w:numId w:val="4"/>
        </w:numPr>
        <w:spacing w:before="0" w:after="0"/>
        <w:ind w:left="720" w:hanging="450"/>
        <w:rPr>
          <w:szCs w:val="24"/>
        </w:rPr>
      </w:pPr>
      <w:r w:rsidRPr="00CA7C58">
        <w:rPr>
          <w:szCs w:val="24"/>
        </w:rPr>
        <w:t xml:space="preserve">Unresolved infection caused by encapsulated bacteria including </w:t>
      </w:r>
      <w:r w:rsidR="00B91DB4" w:rsidRPr="00CA7C58">
        <w:rPr>
          <w:i/>
          <w:iCs/>
          <w:szCs w:val="24"/>
        </w:rPr>
        <w:t>Neisseria meningitidis</w:t>
      </w:r>
      <w:r w:rsidR="00B91DB4" w:rsidRPr="00CA7C58">
        <w:rPr>
          <w:szCs w:val="24"/>
        </w:rPr>
        <w:t xml:space="preserve">, </w:t>
      </w:r>
      <w:r w:rsidRPr="00CA7C58">
        <w:rPr>
          <w:i/>
          <w:iCs/>
          <w:szCs w:val="24"/>
        </w:rPr>
        <w:t>Streptococcus pneumoniae</w:t>
      </w:r>
      <w:r w:rsidRPr="00CA7C58">
        <w:rPr>
          <w:szCs w:val="24"/>
        </w:rPr>
        <w:t xml:space="preserve">, and </w:t>
      </w:r>
      <w:proofErr w:type="spellStart"/>
      <w:r w:rsidRPr="00CA7C58">
        <w:rPr>
          <w:i/>
          <w:iCs/>
          <w:szCs w:val="24"/>
        </w:rPr>
        <w:t>Haemophilus</w:t>
      </w:r>
      <w:proofErr w:type="spellEnd"/>
      <w:r w:rsidRPr="00CA7C58">
        <w:rPr>
          <w:i/>
          <w:iCs/>
          <w:szCs w:val="24"/>
        </w:rPr>
        <w:t xml:space="preserve"> influenzae</w:t>
      </w:r>
      <w:r w:rsidR="00B91DB4">
        <w:rPr>
          <w:i/>
          <w:iCs/>
          <w:szCs w:val="24"/>
        </w:rPr>
        <w:t xml:space="preserve"> </w:t>
      </w:r>
      <w:r w:rsidR="00B91DB4" w:rsidRPr="00B91DB4">
        <w:rPr>
          <w:szCs w:val="24"/>
          <w:lang w:val="en-GB"/>
        </w:rPr>
        <w:t>(see section 4.4)</w:t>
      </w:r>
      <w:r w:rsidRPr="00B91DB4">
        <w:rPr>
          <w:szCs w:val="24"/>
        </w:rPr>
        <w:t>.</w:t>
      </w:r>
    </w:p>
    <w:p w14:paraId="08729721" w14:textId="125933C0" w:rsidR="007B13D6" w:rsidRPr="00CA7C58" w:rsidRDefault="007B13D6" w:rsidP="00E54119">
      <w:pPr>
        <w:ind w:left="360" w:hanging="360"/>
        <w:rPr>
          <w:rFonts w:ascii="Times New Roman" w:hAnsi="Times New Roman" w:cs="Times New Roman"/>
        </w:rPr>
      </w:pPr>
    </w:p>
    <w:p w14:paraId="7D76AB7D" w14:textId="33C696C1" w:rsidR="007B13D6" w:rsidRPr="00CA7C58" w:rsidRDefault="007B13D6" w:rsidP="00C44434">
      <w:pPr>
        <w:pStyle w:val="C-Heading4"/>
        <w:numPr>
          <w:ilvl w:val="0"/>
          <w:numId w:val="0"/>
        </w:numPr>
        <w:spacing w:before="0"/>
        <w:ind w:left="720" w:hanging="720"/>
        <w:rPr>
          <w:szCs w:val="24"/>
        </w:rPr>
      </w:pPr>
      <w:r w:rsidRPr="00CA7C58">
        <w:rPr>
          <w:szCs w:val="24"/>
        </w:rPr>
        <w:t>4.4</w:t>
      </w:r>
      <w:r w:rsidR="00D95BDC" w:rsidRPr="00CA7C58">
        <w:rPr>
          <w:szCs w:val="24"/>
        </w:rPr>
        <w:tab/>
      </w:r>
      <w:r w:rsidRPr="00CA7C58">
        <w:rPr>
          <w:szCs w:val="24"/>
        </w:rPr>
        <w:t>SPECIAL WARNINGS AND PRECAUTIONS FOR USE</w:t>
      </w:r>
    </w:p>
    <w:p w14:paraId="64924B25" w14:textId="77777777" w:rsidR="007874A7" w:rsidRPr="00CA7C58" w:rsidRDefault="007874A7" w:rsidP="00E54119">
      <w:pPr>
        <w:pStyle w:val="C-BodyText"/>
        <w:spacing w:before="0" w:after="0" w:line="240" w:lineRule="auto"/>
      </w:pPr>
    </w:p>
    <w:p w14:paraId="2A02CD9E" w14:textId="68728E12" w:rsidR="008C27EA" w:rsidRPr="00CA7C58" w:rsidRDefault="008C27EA" w:rsidP="00E54119">
      <w:pPr>
        <w:pStyle w:val="C-Heading4"/>
        <w:numPr>
          <w:ilvl w:val="0"/>
          <w:numId w:val="0"/>
        </w:numPr>
        <w:spacing w:before="0"/>
        <w:ind w:left="1080" w:hanging="1080"/>
        <w:rPr>
          <w:szCs w:val="24"/>
        </w:rPr>
      </w:pPr>
      <w:bookmarkStart w:id="0" w:name="_Toc49162357"/>
      <w:r w:rsidRPr="00CA7C58">
        <w:rPr>
          <w:szCs w:val="24"/>
        </w:rPr>
        <w:t>Serious Infections Caused by Encapsulated Bacteria</w:t>
      </w:r>
      <w:bookmarkStart w:id="1" w:name="_Hlk30602737"/>
      <w:bookmarkEnd w:id="0"/>
    </w:p>
    <w:bookmarkEnd w:id="1"/>
    <w:p w14:paraId="4896FFCA" w14:textId="58B3190F" w:rsidR="008C27EA" w:rsidRPr="00CA7C58" w:rsidRDefault="008C27EA" w:rsidP="00034A66">
      <w:pPr>
        <w:autoSpaceDE w:val="0"/>
        <w:autoSpaceDN w:val="0"/>
        <w:adjustRightInd w:val="0"/>
        <w:jc w:val="both"/>
        <w:rPr>
          <w:rFonts w:ascii="Times New Roman" w:hAnsi="Times New Roman" w:cs="Times New Roman"/>
        </w:rPr>
      </w:pPr>
      <w:r w:rsidRPr="00CA7C58">
        <w:rPr>
          <w:rFonts w:ascii="Times New Roman" w:hAnsi="Times New Roman" w:cs="Times New Roman"/>
        </w:rPr>
        <w:t xml:space="preserve">The use of </w:t>
      </w:r>
      <w:r w:rsidR="007F2819" w:rsidRPr="00CA7C58">
        <w:rPr>
          <w:rFonts w:ascii="Times New Roman" w:hAnsi="Times New Roman" w:cs="Times New Roman"/>
        </w:rPr>
        <w:t>EMPAVELI</w:t>
      </w:r>
      <w:r w:rsidRPr="00CA7C58">
        <w:rPr>
          <w:rFonts w:ascii="Times New Roman" w:hAnsi="Times New Roman" w:cs="Times New Roman"/>
        </w:rPr>
        <w:t xml:space="preserve"> may predispose individuals to serious infections caused by encapsulated bacteria </w:t>
      </w:r>
      <w:bookmarkStart w:id="2" w:name="_Hlk43808163"/>
      <w:r w:rsidRPr="00CA7C58">
        <w:rPr>
          <w:rFonts w:ascii="Times New Roman" w:hAnsi="Times New Roman" w:cs="Times New Roman"/>
        </w:rPr>
        <w:t xml:space="preserve">including </w:t>
      </w:r>
      <w:bookmarkStart w:id="3" w:name="_Hlk40266082"/>
      <w:r w:rsidRPr="00CA7C58">
        <w:rPr>
          <w:rFonts w:ascii="Times New Roman" w:hAnsi="Times New Roman" w:cs="Times New Roman"/>
          <w:i/>
          <w:iCs/>
        </w:rPr>
        <w:t>Streptococcus pneumoniae</w:t>
      </w:r>
      <w:r w:rsidRPr="00CA7C58">
        <w:rPr>
          <w:rFonts w:ascii="Times New Roman" w:hAnsi="Times New Roman" w:cs="Times New Roman"/>
        </w:rPr>
        <w:t xml:space="preserve">, </w:t>
      </w:r>
      <w:r w:rsidRPr="00CA7C58">
        <w:rPr>
          <w:rFonts w:ascii="Times New Roman" w:hAnsi="Times New Roman" w:cs="Times New Roman"/>
          <w:i/>
          <w:iCs/>
        </w:rPr>
        <w:t>Neisseria meningitidis</w:t>
      </w:r>
      <w:r w:rsidRPr="00CA7C58">
        <w:rPr>
          <w:rFonts w:ascii="Times New Roman" w:hAnsi="Times New Roman" w:cs="Times New Roman"/>
        </w:rPr>
        <w:t xml:space="preserve">, and </w:t>
      </w:r>
      <w:proofErr w:type="spellStart"/>
      <w:r w:rsidRPr="00CA7C58">
        <w:rPr>
          <w:rFonts w:ascii="Times New Roman" w:hAnsi="Times New Roman" w:cs="Times New Roman"/>
          <w:i/>
          <w:iCs/>
        </w:rPr>
        <w:t>Haemophilus</w:t>
      </w:r>
      <w:proofErr w:type="spellEnd"/>
      <w:r w:rsidRPr="00CA7C58">
        <w:rPr>
          <w:rFonts w:ascii="Times New Roman" w:hAnsi="Times New Roman" w:cs="Times New Roman"/>
          <w:i/>
          <w:iCs/>
        </w:rPr>
        <w:t xml:space="preserve"> influenzae</w:t>
      </w:r>
      <w:bookmarkEnd w:id="2"/>
      <w:r w:rsidRPr="00CA7C58">
        <w:rPr>
          <w:rFonts w:ascii="Times New Roman" w:hAnsi="Times New Roman" w:cs="Times New Roman"/>
        </w:rPr>
        <w:t>.</w:t>
      </w:r>
      <w:bookmarkEnd w:id="3"/>
      <w:r w:rsidRPr="00CA7C58">
        <w:rPr>
          <w:rFonts w:ascii="Times New Roman" w:hAnsi="Times New Roman" w:cs="Times New Roman"/>
        </w:rPr>
        <w:t xml:space="preserve"> To reduce the risk of infection, all patients must be vaccinated against these bacteria according to current local guidelines at least 2 weeks prior to receiving </w:t>
      </w:r>
      <w:r w:rsidR="007F2819" w:rsidRPr="00CA7C58">
        <w:rPr>
          <w:rFonts w:ascii="Times New Roman" w:hAnsi="Times New Roman" w:cs="Times New Roman"/>
        </w:rPr>
        <w:t>EMPAVELI</w:t>
      </w:r>
      <w:r w:rsidRPr="00CA7C58">
        <w:rPr>
          <w:rFonts w:ascii="Times New Roman" w:hAnsi="Times New Roman" w:cs="Times New Roman"/>
        </w:rPr>
        <w:t xml:space="preserve">, unless the risk of delaying therapy with </w:t>
      </w:r>
      <w:r w:rsidR="007F2819" w:rsidRPr="00CA7C58">
        <w:rPr>
          <w:rFonts w:ascii="Times New Roman" w:hAnsi="Times New Roman" w:cs="Times New Roman"/>
        </w:rPr>
        <w:t>EMPAVELI</w:t>
      </w:r>
      <w:r w:rsidRPr="00CA7C58">
        <w:rPr>
          <w:rFonts w:ascii="Times New Roman" w:hAnsi="Times New Roman" w:cs="Times New Roman"/>
        </w:rPr>
        <w:t xml:space="preserve"> outweighs the risk of developing an infection. </w:t>
      </w:r>
      <w:bookmarkStart w:id="4" w:name="_Hlk47600883"/>
      <w:r w:rsidRPr="00CA7C58">
        <w:rPr>
          <w:rFonts w:ascii="Times New Roman" w:hAnsi="Times New Roman" w:cs="Times New Roman"/>
        </w:rPr>
        <w:t xml:space="preserve">Patients who initiate treatment with </w:t>
      </w:r>
      <w:r w:rsidR="007F2819" w:rsidRPr="00CA7C58">
        <w:rPr>
          <w:rFonts w:ascii="Times New Roman" w:hAnsi="Times New Roman" w:cs="Times New Roman"/>
        </w:rPr>
        <w:t>EMPAVELI</w:t>
      </w:r>
      <w:r w:rsidRPr="00CA7C58">
        <w:rPr>
          <w:rFonts w:ascii="Times New Roman" w:hAnsi="Times New Roman" w:cs="Times New Roman"/>
        </w:rPr>
        <w:t xml:space="preserve"> less than 2 weeks after vaccination must receive treatment with appropriate prophylactic antibiotics until 2 weeks after vaccination.</w:t>
      </w:r>
      <w:bookmarkEnd w:id="4"/>
    </w:p>
    <w:p w14:paraId="0A7824D7" w14:textId="77777777" w:rsidR="00E477DF" w:rsidRPr="00CA7C58" w:rsidRDefault="00E477DF" w:rsidP="00034A66">
      <w:pPr>
        <w:autoSpaceDE w:val="0"/>
        <w:autoSpaceDN w:val="0"/>
        <w:adjustRightInd w:val="0"/>
        <w:jc w:val="both"/>
        <w:rPr>
          <w:rFonts w:ascii="Times New Roman" w:hAnsi="Times New Roman" w:cs="Times New Roman"/>
        </w:rPr>
      </w:pPr>
      <w:bookmarkStart w:id="5" w:name="_Toc49162358"/>
    </w:p>
    <w:p w14:paraId="3817057F" w14:textId="576E8DE9" w:rsidR="00E477DF" w:rsidRPr="00CA7C58" w:rsidRDefault="00E477DF" w:rsidP="00034A66">
      <w:pPr>
        <w:autoSpaceDE w:val="0"/>
        <w:autoSpaceDN w:val="0"/>
        <w:adjustRightInd w:val="0"/>
        <w:jc w:val="both"/>
        <w:rPr>
          <w:rFonts w:ascii="Times New Roman" w:hAnsi="Times New Roman" w:cs="Times New Roman"/>
        </w:rPr>
      </w:pPr>
      <w:r w:rsidRPr="00CA7C58">
        <w:rPr>
          <w:rFonts w:ascii="Times New Roman" w:hAnsi="Times New Roman" w:cs="Times New Roman"/>
        </w:rPr>
        <w:t>Vaccination may not be sufficient to prevent serious infection. Consider official guidance on the appropriate use of antibacterial agents. Monitor all patients for early signs of serious infection, evaluate immediately if infection is suspected, and treat with appropriate antibiotics if necessary. Inform patients of these signs and symptoms and that they should seek medical care immediately.</w:t>
      </w:r>
    </w:p>
    <w:p w14:paraId="4746F70A" w14:textId="77777777" w:rsidR="00D06281" w:rsidRPr="00CA7C58" w:rsidRDefault="00D06281" w:rsidP="00034A66">
      <w:pPr>
        <w:autoSpaceDE w:val="0"/>
        <w:autoSpaceDN w:val="0"/>
        <w:adjustRightInd w:val="0"/>
        <w:jc w:val="both"/>
        <w:rPr>
          <w:rFonts w:ascii="Times New Roman" w:hAnsi="Times New Roman" w:cs="Times New Roman"/>
        </w:rPr>
      </w:pPr>
    </w:p>
    <w:p w14:paraId="5C533347" w14:textId="7EAFB5B2" w:rsidR="009D55A8" w:rsidRPr="00CA7C58" w:rsidRDefault="009D55A8" w:rsidP="00034A66">
      <w:pPr>
        <w:pStyle w:val="C-Heading4"/>
        <w:numPr>
          <w:ilvl w:val="0"/>
          <w:numId w:val="0"/>
        </w:numPr>
        <w:spacing w:before="0"/>
        <w:ind w:left="1080" w:hanging="1080"/>
        <w:jc w:val="both"/>
        <w:rPr>
          <w:szCs w:val="24"/>
        </w:rPr>
      </w:pPr>
      <w:r w:rsidRPr="00CA7C58">
        <w:rPr>
          <w:szCs w:val="24"/>
        </w:rPr>
        <w:t>Hypersensitivity</w:t>
      </w:r>
      <w:bookmarkEnd w:id="5"/>
    </w:p>
    <w:p w14:paraId="7EE30B26" w14:textId="71CC1506" w:rsidR="009D55A8" w:rsidRPr="00CA7C58" w:rsidRDefault="009D55A8" w:rsidP="00034A66">
      <w:pPr>
        <w:autoSpaceDE w:val="0"/>
        <w:autoSpaceDN w:val="0"/>
        <w:adjustRightInd w:val="0"/>
        <w:jc w:val="both"/>
        <w:rPr>
          <w:rFonts w:ascii="Times New Roman" w:hAnsi="Times New Roman" w:cs="Times New Roman"/>
        </w:rPr>
      </w:pPr>
      <w:r w:rsidRPr="00CA7C58">
        <w:rPr>
          <w:rFonts w:ascii="Times New Roman" w:hAnsi="Times New Roman" w:cs="Times New Roman"/>
        </w:rPr>
        <w:t xml:space="preserve">Hypersensitivity reactions have been reported. If a severe hypersensitivity reaction (including anaphylaxis) occurs, discontinue infusion with </w:t>
      </w:r>
      <w:r w:rsidR="007F2819" w:rsidRPr="00CA7C58">
        <w:rPr>
          <w:rFonts w:ascii="Times New Roman" w:hAnsi="Times New Roman" w:cs="Times New Roman"/>
        </w:rPr>
        <w:t>EMPAVELI</w:t>
      </w:r>
      <w:r w:rsidRPr="00CA7C58">
        <w:rPr>
          <w:rFonts w:ascii="Times New Roman" w:hAnsi="Times New Roman" w:cs="Times New Roman"/>
        </w:rPr>
        <w:t xml:space="preserve"> immediately and institute appropriate treatment.</w:t>
      </w:r>
    </w:p>
    <w:p w14:paraId="34BDCB33" w14:textId="77777777" w:rsidR="00D06281" w:rsidRPr="00CA7C58" w:rsidRDefault="00D06281" w:rsidP="00034A66">
      <w:pPr>
        <w:autoSpaceDE w:val="0"/>
        <w:autoSpaceDN w:val="0"/>
        <w:adjustRightInd w:val="0"/>
        <w:jc w:val="both"/>
        <w:rPr>
          <w:rFonts w:ascii="Times New Roman" w:hAnsi="Times New Roman" w:cs="Times New Roman"/>
        </w:rPr>
      </w:pPr>
    </w:p>
    <w:p w14:paraId="525B7DE0" w14:textId="3D4F69B6" w:rsidR="00FB5ED2" w:rsidRPr="00CA7C58" w:rsidRDefault="00FB5ED2" w:rsidP="00034A66">
      <w:pPr>
        <w:pStyle w:val="C-Heading4"/>
        <w:numPr>
          <w:ilvl w:val="0"/>
          <w:numId w:val="0"/>
        </w:numPr>
        <w:spacing w:before="0"/>
        <w:ind w:left="1080" w:hanging="1080"/>
        <w:jc w:val="both"/>
        <w:rPr>
          <w:szCs w:val="24"/>
        </w:rPr>
      </w:pPr>
      <w:bookmarkStart w:id="6" w:name="_Toc49162359"/>
      <w:r w:rsidRPr="00CA7C58">
        <w:rPr>
          <w:szCs w:val="24"/>
        </w:rPr>
        <w:t xml:space="preserve">Monitoring PNH Manifestations after Discontinuation of </w:t>
      </w:r>
      <w:bookmarkEnd w:id="6"/>
      <w:r w:rsidR="007F2819" w:rsidRPr="00CA7C58">
        <w:rPr>
          <w:szCs w:val="24"/>
        </w:rPr>
        <w:t>EMPAVELI</w:t>
      </w:r>
    </w:p>
    <w:p w14:paraId="1AF8EB25" w14:textId="605C4E5C" w:rsidR="00FB5ED2" w:rsidRPr="00CA7C58" w:rsidRDefault="00FB5ED2" w:rsidP="00034A66">
      <w:pPr>
        <w:autoSpaceDE w:val="0"/>
        <w:autoSpaceDN w:val="0"/>
        <w:adjustRightInd w:val="0"/>
        <w:jc w:val="both"/>
        <w:rPr>
          <w:rFonts w:ascii="Times New Roman" w:hAnsi="Times New Roman" w:cs="Times New Roman"/>
        </w:rPr>
      </w:pPr>
      <w:r w:rsidRPr="00CA7C58">
        <w:rPr>
          <w:rFonts w:ascii="Times New Roman" w:hAnsi="Times New Roman" w:cs="Times New Roman"/>
        </w:rPr>
        <w:t xml:space="preserve">If patients with PNH discontinue treatment with </w:t>
      </w:r>
      <w:r w:rsidR="007F2819" w:rsidRPr="00CA7C58">
        <w:rPr>
          <w:rFonts w:ascii="Times New Roman" w:hAnsi="Times New Roman" w:cs="Times New Roman"/>
        </w:rPr>
        <w:t>EMPAVELI</w:t>
      </w:r>
      <w:r w:rsidRPr="00CA7C58">
        <w:rPr>
          <w:rFonts w:ascii="Times New Roman" w:hAnsi="Times New Roman" w:cs="Times New Roman"/>
        </w:rPr>
        <w:t xml:space="preserve">, they should be closely monitored for signs and symptoms of serious intravascular </w:t>
      </w:r>
      <w:proofErr w:type="spellStart"/>
      <w:r w:rsidRPr="00CA7C58">
        <w:rPr>
          <w:rFonts w:ascii="Times New Roman" w:hAnsi="Times New Roman" w:cs="Times New Roman"/>
        </w:rPr>
        <w:t>h</w:t>
      </w:r>
      <w:r w:rsidR="003E04C1" w:rsidRPr="00CA7C58">
        <w:rPr>
          <w:rFonts w:ascii="Times New Roman" w:hAnsi="Times New Roman" w:cs="Times New Roman"/>
        </w:rPr>
        <w:t>a</w:t>
      </w:r>
      <w:r w:rsidRPr="00CA7C58">
        <w:rPr>
          <w:rFonts w:ascii="Times New Roman" w:hAnsi="Times New Roman" w:cs="Times New Roman"/>
        </w:rPr>
        <w:t>emolysis</w:t>
      </w:r>
      <w:proofErr w:type="spellEnd"/>
      <w:r w:rsidRPr="00CA7C58">
        <w:rPr>
          <w:rFonts w:ascii="Times New Roman" w:hAnsi="Times New Roman" w:cs="Times New Roman"/>
        </w:rPr>
        <w:t xml:space="preserve">. Intravascular </w:t>
      </w:r>
      <w:proofErr w:type="spellStart"/>
      <w:r w:rsidRPr="00CA7C58">
        <w:rPr>
          <w:rFonts w:ascii="Times New Roman" w:hAnsi="Times New Roman" w:cs="Times New Roman"/>
        </w:rPr>
        <w:t>h</w:t>
      </w:r>
      <w:r w:rsidR="003E04C1" w:rsidRPr="00CA7C58">
        <w:rPr>
          <w:rFonts w:ascii="Times New Roman" w:hAnsi="Times New Roman" w:cs="Times New Roman"/>
        </w:rPr>
        <w:t>a</w:t>
      </w:r>
      <w:r w:rsidRPr="00CA7C58">
        <w:rPr>
          <w:rFonts w:ascii="Times New Roman" w:hAnsi="Times New Roman" w:cs="Times New Roman"/>
        </w:rPr>
        <w:t>emolysis</w:t>
      </w:r>
      <w:proofErr w:type="spellEnd"/>
      <w:r w:rsidRPr="00CA7C58">
        <w:rPr>
          <w:rFonts w:ascii="Times New Roman" w:hAnsi="Times New Roman" w:cs="Times New Roman"/>
        </w:rPr>
        <w:t xml:space="preserve"> is identified by elevated LDH levels along with sudden decrease in PNH clone size or </w:t>
      </w:r>
      <w:proofErr w:type="spellStart"/>
      <w:r w:rsidRPr="00CA7C58">
        <w:rPr>
          <w:rFonts w:ascii="Times New Roman" w:hAnsi="Times New Roman" w:cs="Times New Roman"/>
        </w:rPr>
        <w:t>h</w:t>
      </w:r>
      <w:r w:rsidR="003E04C1" w:rsidRPr="00CA7C58">
        <w:rPr>
          <w:rFonts w:ascii="Times New Roman" w:hAnsi="Times New Roman" w:cs="Times New Roman"/>
        </w:rPr>
        <w:t>a</w:t>
      </w:r>
      <w:r w:rsidRPr="00CA7C58">
        <w:rPr>
          <w:rFonts w:ascii="Times New Roman" w:hAnsi="Times New Roman" w:cs="Times New Roman"/>
        </w:rPr>
        <w:t>emoglobin</w:t>
      </w:r>
      <w:proofErr w:type="spellEnd"/>
      <w:r w:rsidRPr="00CA7C58">
        <w:rPr>
          <w:rFonts w:ascii="Times New Roman" w:hAnsi="Times New Roman" w:cs="Times New Roman"/>
        </w:rPr>
        <w:t xml:space="preserve">, or reappearance of symptoms such as fatigue, </w:t>
      </w:r>
      <w:proofErr w:type="spellStart"/>
      <w:r w:rsidRPr="00CA7C58">
        <w:rPr>
          <w:rFonts w:ascii="Times New Roman" w:hAnsi="Times New Roman" w:cs="Times New Roman"/>
        </w:rPr>
        <w:t>h</w:t>
      </w:r>
      <w:r w:rsidR="003E04C1" w:rsidRPr="00CA7C58">
        <w:rPr>
          <w:rFonts w:ascii="Times New Roman" w:hAnsi="Times New Roman" w:cs="Times New Roman"/>
        </w:rPr>
        <w:t>a</w:t>
      </w:r>
      <w:r w:rsidRPr="00CA7C58">
        <w:rPr>
          <w:rFonts w:ascii="Times New Roman" w:hAnsi="Times New Roman" w:cs="Times New Roman"/>
        </w:rPr>
        <w:t>emoglobinuria</w:t>
      </w:r>
      <w:proofErr w:type="spellEnd"/>
      <w:r w:rsidRPr="00CA7C58">
        <w:rPr>
          <w:rFonts w:ascii="Times New Roman" w:hAnsi="Times New Roman" w:cs="Times New Roman"/>
        </w:rPr>
        <w:t>, abdominal pain, shortness of breath (</w:t>
      </w:r>
      <w:proofErr w:type="spellStart"/>
      <w:r w:rsidRPr="00CA7C58">
        <w:rPr>
          <w:rFonts w:ascii="Times New Roman" w:hAnsi="Times New Roman" w:cs="Times New Roman"/>
        </w:rPr>
        <w:t>dyspn</w:t>
      </w:r>
      <w:r w:rsidR="003E04C1" w:rsidRPr="00CA7C58">
        <w:rPr>
          <w:rFonts w:ascii="Times New Roman" w:hAnsi="Times New Roman" w:cs="Times New Roman"/>
        </w:rPr>
        <w:t>o</w:t>
      </w:r>
      <w:r w:rsidRPr="00CA7C58">
        <w:rPr>
          <w:rFonts w:ascii="Times New Roman" w:hAnsi="Times New Roman" w:cs="Times New Roman"/>
        </w:rPr>
        <w:t>ea</w:t>
      </w:r>
      <w:proofErr w:type="spellEnd"/>
      <w:r w:rsidRPr="00CA7C58">
        <w:rPr>
          <w:rFonts w:ascii="Times New Roman" w:hAnsi="Times New Roman" w:cs="Times New Roman"/>
        </w:rPr>
        <w:t xml:space="preserve">), major adverse vascular event (including thrombosis), dysphagia, or erectile dysfunction. If discontinuation of </w:t>
      </w:r>
      <w:r w:rsidR="007F2819" w:rsidRPr="00CA7C58">
        <w:rPr>
          <w:rFonts w:ascii="Times New Roman" w:hAnsi="Times New Roman" w:cs="Times New Roman"/>
        </w:rPr>
        <w:t>EMPAVELI</w:t>
      </w:r>
      <w:r w:rsidRPr="00CA7C58">
        <w:rPr>
          <w:rFonts w:ascii="Times New Roman" w:hAnsi="Times New Roman" w:cs="Times New Roman"/>
        </w:rPr>
        <w:t xml:space="preserve"> is necessary, an alternate therapy should be considered because PNH is life-threatening if untreated</w:t>
      </w:r>
      <w:bookmarkStart w:id="7" w:name="_Hlk48139971"/>
      <w:r w:rsidRPr="00CA7C58">
        <w:rPr>
          <w:rFonts w:ascii="Times New Roman" w:hAnsi="Times New Roman" w:cs="Times New Roman"/>
        </w:rPr>
        <w:t xml:space="preserve">. In addition, slow weaning should be </w:t>
      </w:r>
      <w:r w:rsidR="00F1644F" w:rsidRPr="00CA7C58">
        <w:rPr>
          <w:rFonts w:ascii="Times New Roman" w:hAnsi="Times New Roman" w:cs="Times New Roman"/>
        </w:rPr>
        <w:t>considered,</w:t>
      </w:r>
      <w:r w:rsidRPr="00CA7C58">
        <w:rPr>
          <w:rFonts w:ascii="Times New Roman" w:hAnsi="Times New Roman" w:cs="Times New Roman"/>
        </w:rPr>
        <w:t xml:space="preserve"> and patients should be closely monitored for at least 8 weeks to detect </w:t>
      </w:r>
      <w:proofErr w:type="spellStart"/>
      <w:r w:rsidRPr="00CA7C58">
        <w:rPr>
          <w:rFonts w:ascii="Times New Roman" w:hAnsi="Times New Roman" w:cs="Times New Roman"/>
        </w:rPr>
        <w:t>h</w:t>
      </w:r>
      <w:r w:rsidR="003E04C1" w:rsidRPr="00CA7C58">
        <w:rPr>
          <w:rFonts w:ascii="Times New Roman" w:hAnsi="Times New Roman" w:cs="Times New Roman"/>
        </w:rPr>
        <w:t>a</w:t>
      </w:r>
      <w:r w:rsidRPr="00CA7C58">
        <w:rPr>
          <w:rFonts w:ascii="Times New Roman" w:hAnsi="Times New Roman" w:cs="Times New Roman"/>
        </w:rPr>
        <w:t>emolysis</w:t>
      </w:r>
      <w:proofErr w:type="spellEnd"/>
      <w:r w:rsidRPr="00CA7C58">
        <w:rPr>
          <w:rFonts w:ascii="Times New Roman" w:hAnsi="Times New Roman" w:cs="Times New Roman"/>
        </w:rPr>
        <w:t xml:space="preserve"> and other reactions, as alternative complement inhibitors may not prevent </w:t>
      </w:r>
      <w:proofErr w:type="spellStart"/>
      <w:r w:rsidRPr="00CA7C58">
        <w:rPr>
          <w:rFonts w:ascii="Times New Roman" w:hAnsi="Times New Roman" w:cs="Times New Roman"/>
        </w:rPr>
        <w:t>h</w:t>
      </w:r>
      <w:r w:rsidR="003E04C1" w:rsidRPr="00CA7C58">
        <w:rPr>
          <w:rFonts w:ascii="Times New Roman" w:hAnsi="Times New Roman" w:cs="Times New Roman"/>
        </w:rPr>
        <w:t>a</w:t>
      </w:r>
      <w:r w:rsidRPr="00CA7C58">
        <w:rPr>
          <w:rFonts w:ascii="Times New Roman" w:hAnsi="Times New Roman" w:cs="Times New Roman"/>
        </w:rPr>
        <w:t>emolysis</w:t>
      </w:r>
      <w:proofErr w:type="spellEnd"/>
      <w:r w:rsidRPr="00CA7C58">
        <w:rPr>
          <w:rFonts w:ascii="Times New Roman" w:hAnsi="Times New Roman" w:cs="Times New Roman"/>
        </w:rPr>
        <w:t xml:space="preserve"> as efficiently</w:t>
      </w:r>
      <w:bookmarkEnd w:id="7"/>
      <w:r w:rsidRPr="00CA7C58">
        <w:rPr>
          <w:rFonts w:ascii="Times New Roman" w:hAnsi="Times New Roman" w:cs="Times New Roman"/>
        </w:rPr>
        <w:t>.</w:t>
      </w:r>
    </w:p>
    <w:p w14:paraId="240A6479" w14:textId="4E3F8C05" w:rsidR="007E551B" w:rsidRDefault="007E551B" w:rsidP="00034A66">
      <w:pPr>
        <w:ind w:left="360" w:hanging="360"/>
        <w:jc w:val="both"/>
        <w:rPr>
          <w:rFonts w:ascii="Times New Roman" w:hAnsi="Times New Roman" w:cs="Times New Roman"/>
        </w:rPr>
      </w:pPr>
      <w:bookmarkStart w:id="8" w:name="_Hlk49930671"/>
    </w:p>
    <w:p w14:paraId="566D6155" w14:textId="77777777" w:rsidR="009C66A8" w:rsidRPr="000A3548" w:rsidRDefault="009C66A8" w:rsidP="00034A66">
      <w:pPr>
        <w:keepNext/>
        <w:keepLines/>
        <w:autoSpaceDE w:val="0"/>
        <w:autoSpaceDN w:val="0"/>
        <w:adjustRightInd w:val="0"/>
        <w:jc w:val="both"/>
        <w:rPr>
          <w:rFonts w:ascii="Times New Roman" w:hAnsi="Times New Roman" w:cs="Times New Roman"/>
          <w:b/>
          <w:bCs/>
        </w:rPr>
      </w:pPr>
      <w:r w:rsidRPr="000A3548">
        <w:rPr>
          <w:rFonts w:ascii="Times New Roman" w:hAnsi="Times New Roman" w:cs="Times New Roman"/>
          <w:b/>
          <w:bCs/>
        </w:rPr>
        <w:t>PNH laboratory monitoring</w:t>
      </w:r>
    </w:p>
    <w:p w14:paraId="3D3BCD80" w14:textId="77777777" w:rsidR="009C66A8" w:rsidRPr="00B91DB4" w:rsidRDefault="009C66A8" w:rsidP="00034A66">
      <w:pPr>
        <w:autoSpaceDE w:val="0"/>
        <w:autoSpaceDN w:val="0"/>
        <w:adjustRightInd w:val="0"/>
        <w:jc w:val="both"/>
        <w:rPr>
          <w:rFonts w:ascii="Times New Roman" w:hAnsi="Times New Roman" w:cs="Times New Roman"/>
        </w:rPr>
      </w:pPr>
      <w:r w:rsidRPr="00B91DB4">
        <w:rPr>
          <w:rFonts w:ascii="Times New Roman" w:hAnsi="Times New Roman" w:cs="Times New Roman"/>
        </w:rPr>
        <w:t xml:space="preserve">Patients with PNH receiving </w:t>
      </w:r>
      <w:r>
        <w:rPr>
          <w:rFonts w:ascii="Times New Roman" w:hAnsi="Times New Roman" w:cs="Times New Roman"/>
        </w:rPr>
        <w:t>EMP</w:t>
      </w:r>
      <w:r w:rsidRPr="00B91DB4">
        <w:rPr>
          <w:rFonts w:ascii="Times New Roman" w:hAnsi="Times New Roman" w:cs="Times New Roman"/>
        </w:rPr>
        <w:t xml:space="preserve">AVELI should be monitored regularly for signs and symptoms of </w:t>
      </w:r>
      <w:proofErr w:type="spellStart"/>
      <w:r w:rsidRPr="00B91DB4">
        <w:rPr>
          <w:rFonts w:ascii="Times New Roman" w:hAnsi="Times New Roman" w:cs="Times New Roman"/>
        </w:rPr>
        <w:t>haemolysis</w:t>
      </w:r>
      <w:proofErr w:type="spellEnd"/>
      <w:r w:rsidRPr="00B91DB4">
        <w:rPr>
          <w:rFonts w:ascii="Times New Roman" w:hAnsi="Times New Roman" w:cs="Times New Roman"/>
        </w:rPr>
        <w:t>, including measuring LDH levels, and may require dose adjustment within the recommended dosing schedule (see section 4.2).</w:t>
      </w:r>
    </w:p>
    <w:p w14:paraId="76EB85FD" w14:textId="77777777" w:rsidR="009C66A8" w:rsidRPr="00CA7C58" w:rsidRDefault="009C66A8" w:rsidP="00E54119">
      <w:pPr>
        <w:ind w:left="360" w:hanging="360"/>
        <w:rPr>
          <w:rFonts w:ascii="Times New Roman" w:hAnsi="Times New Roman" w:cs="Times New Roman"/>
        </w:rPr>
      </w:pPr>
    </w:p>
    <w:p w14:paraId="70B30191" w14:textId="77777777" w:rsidR="00A34B83" w:rsidRPr="00CA7C58" w:rsidRDefault="00A34B83" w:rsidP="00E54119">
      <w:pPr>
        <w:pStyle w:val="C-Heading4"/>
        <w:numPr>
          <w:ilvl w:val="0"/>
          <w:numId w:val="0"/>
        </w:numPr>
        <w:spacing w:before="0"/>
        <w:ind w:left="1080" w:hanging="1080"/>
        <w:rPr>
          <w:szCs w:val="24"/>
        </w:rPr>
      </w:pPr>
      <w:bookmarkStart w:id="9" w:name="_Hlk45894364"/>
      <w:r w:rsidRPr="00CA7C58">
        <w:rPr>
          <w:szCs w:val="24"/>
        </w:rPr>
        <w:t>Excipients with known effect</w:t>
      </w:r>
    </w:p>
    <w:p w14:paraId="1E4FFFD4" w14:textId="77777777" w:rsidR="00A34B83" w:rsidRPr="00CA7C58" w:rsidRDefault="00A34B83" w:rsidP="00034A66">
      <w:pPr>
        <w:keepNext/>
        <w:keepLines/>
        <w:autoSpaceDE w:val="0"/>
        <w:autoSpaceDN w:val="0"/>
        <w:adjustRightInd w:val="0"/>
        <w:jc w:val="both"/>
        <w:rPr>
          <w:rFonts w:ascii="Times New Roman" w:hAnsi="Times New Roman" w:cs="Times New Roman"/>
        </w:rPr>
      </w:pPr>
      <w:r w:rsidRPr="00CA7C58">
        <w:rPr>
          <w:rFonts w:ascii="Times New Roman" w:hAnsi="Times New Roman" w:cs="Times New Roman"/>
        </w:rPr>
        <w:t>This medicinal product contains sorbitol. The additive effect of concomitantly administered products containing sorbitol (or fructose) and dietary intake of sorbitol (or fructose) should be taken into consideration for patients known or suspected to have the rare genetic disorder of hereditary fructose intolerance (HFI).</w:t>
      </w:r>
    </w:p>
    <w:bookmarkEnd w:id="8"/>
    <w:bookmarkEnd w:id="9"/>
    <w:p w14:paraId="51903641" w14:textId="77777777" w:rsidR="00BB4CC5" w:rsidRPr="00CA7C58" w:rsidRDefault="00BB4CC5" w:rsidP="00034A66">
      <w:pPr>
        <w:jc w:val="both"/>
        <w:rPr>
          <w:rFonts w:ascii="Times New Roman" w:hAnsi="Times New Roman" w:cs="Times New Roman"/>
        </w:rPr>
      </w:pPr>
    </w:p>
    <w:p w14:paraId="550B62FF" w14:textId="605D16CC" w:rsidR="007B13D6" w:rsidRPr="00CA7C58" w:rsidRDefault="007B13D6" w:rsidP="00034A66">
      <w:pPr>
        <w:pStyle w:val="C-Heading4"/>
        <w:numPr>
          <w:ilvl w:val="0"/>
          <w:numId w:val="0"/>
        </w:numPr>
        <w:spacing w:before="0"/>
        <w:ind w:left="1080" w:hanging="1080"/>
        <w:jc w:val="both"/>
        <w:rPr>
          <w:szCs w:val="24"/>
        </w:rPr>
      </w:pPr>
      <w:r w:rsidRPr="00CA7C58">
        <w:rPr>
          <w:szCs w:val="24"/>
        </w:rPr>
        <w:t>Use in the elderly</w:t>
      </w:r>
    </w:p>
    <w:p w14:paraId="1B777BD7" w14:textId="36B5EF3C" w:rsidR="00504EDD" w:rsidRPr="00CA7C58" w:rsidRDefault="004F0B60" w:rsidP="00034A66">
      <w:pPr>
        <w:jc w:val="both"/>
        <w:rPr>
          <w:rFonts w:ascii="Times New Roman" w:hAnsi="Times New Roman" w:cs="Times New Roman"/>
        </w:rPr>
      </w:pPr>
      <w:r w:rsidRPr="00CA7C58">
        <w:rPr>
          <w:rFonts w:ascii="Times New Roman" w:hAnsi="Times New Roman" w:cs="Times New Roman"/>
        </w:rPr>
        <w:t xml:space="preserve">Although there </w:t>
      </w:r>
      <w:proofErr w:type="gramStart"/>
      <w:r w:rsidRPr="00CA7C58">
        <w:rPr>
          <w:rFonts w:ascii="Times New Roman" w:hAnsi="Times New Roman" w:cs="Times New Roman"/>
        </w:rPr>
        <w:t>were</w:t>
      </w:r>
      <w:proofErr w:type="gramEnd"/>
      <w:r w:rsidRPr="00CA7C58">
        <w:rPr>
          <w:rFonts w:ascii="Times New Roman" w:hAnsi="Times New Roman" w:cs="Times New Roman"/>
        </w:rPr>
        <w:t xml:space="preserve"> no apparent age</w:t>
      </w:r>
      <w:r w:rsidRPr="00CA7C58">
        <w:rPr>
          <w:rFonts w:ascii="Times New Roman" w:hAnsi="Times New Roman" w:cs="Times New Roman"/>
        </w:rPr>
        <w:noBreakHyphen/>
        <w:t>related differences observed in clinical studies, the number of patients aged 65</w:t>
      </w:r>
      <w:r w:rsidR="00E376EF" w:rsidRPr="00CA7C58">
        <w:rPr>
          <w:rFonts w:ascii="Times New Roman" w:hAnsi="Times New Roman" w:cs="Times New Roman"/>
        </w:rPr>
        <w:t> </w:t>
      </w:r>
      <w:r w:rsidRPr="00CA7C58">
        <w:rPr>
          <w:rFonts w:ascii="Times New Roman" w:hAnsi="Times New Roman" w:cs="Times New Roman"/>
        </w:rPr>
        <w:t>years and over was not sufficient to determine whether they respond differently from younger subjects</w:t>
      </w:r>
      <w:r w:rsidR="00B530FC" w:rsidRPr="00CA7C58">
        <w:rPr>
          <w:rFonts w:ascii="Times New Roman" w:hAnsi="Times New Roman" w:cs="Times New Roman"/>
        </w:rPr>
        <w:t>.</w:t>
      </w:r>
    </w:p>
    <w:p w14:paraId="7E047E22" w14:textId="77777777" w:rsidR="00F4155A" w:rsidRPr="00CA7C58" w:rsidRDefault="00F4155A" w:rsidP="00034A66">
      <w:pPr>
        <w:jc w:val="both"/>
        <w:rPr>
          <w:rFonts w:ascii="Times New Roman" w:hAnsi="Times New Roman" w:cs="Times New Roman"/>
        </w:rPr>
      </w:pPr>
    </w:p>
    <w:p w14:paraId="4FA0B8C1" w14:textId="3D6F9DC6" w:rsidR="007B13D6" w:rsidRPr="00CA7C58" w:rsidRDefault="007B13D6" w:rsidP="00034A66">
      <w:pPr>
        <w:pStyle w:val="C-Heading4"/>
        <w:numPr>
          <w:ilvl w:val="0"/>
          <w:numId w:val="0"/>
        </w:numPr>
        <w:spacing w:before="0"/>
        <w:ind w:left="1080" w:hanging="1080"/>
        <w:jc w:val="both"/>
        <w:rPr>
          <w:szCs w:val="24"/>
        </w:rPr>
      </w:pPr>
      <w:proofErr w:type="spellStart"/>
      <w:r w:rsidRPr="00CA7C58">
        <w:rPr>
          <w:szCs w:val="24"/>
        </w:rPr>
        <w:t>Paediatric</w:t>
      </w:r>
      <w:proofErr w:type="spellEnd"/>
      <w:r w:rsidRPr="00CA7C58">
        <w:rPr>
          <w:szCs w:val="24"/>
        </w:rPr>
        <w:t xml:space="preserve"> use</w:t>
      </w:r>
    </w:p>
    <w:p w14:paraId="51B73246" w14:textId="7ED2797C" w:rsidR="008C3E4B" w:rsidRPr="00CA7C58" w:rsidRDefault="008C3E4B" w:rsidP="00034A66">
      <w:pPr>
        <w:pStyle w:val="C-BodyText"/>
        <w:spacing w:before="0" w:after="0" w:line="240" w:lineRule="auto"/>
        <w:jc w:val="both"/>
        <w:rPr>
          <w:rFonts w:eastAsiaTheme="minorHAnsi"/>
          <w:szCs w:val="24"/>
        </w:rPr>
      </w:pPr>
      <w:r w:rsidRPr="00CA7C58">
        <w:rPr>
          <w:rFonts w:eastAsiaTheme="minorHAnsi"/>
          <w:szCs w:val="24"/>
        </w:rPr>
        <w:t xml:space="preserve">The safety and efficacy of </w:t>
      </w:r>
      <w:proofErr w:type="spellStart"/>
      <w:r w:rsidRPr="00CA7C58">
        <w:rPr>
          <w:rFonts w:eastAsiaTheme="minorHAnsi"/>
          <w:szCs w:val="24"/>
        </w:rPr>
        <w:t>pegcetacoplan</w:t>
      </w:r>
      <w:proofErr w:type="spellEnd"/>
      <w:r w:rsidRPr="00CA7C58">
        <w:rPr>
          <w:rFonts w:eastAsiaTheme="minorHAnsi"/>
          <w:szCs w:val="24"/>
        </w:rPr>
        <w:t xml:space="preserve"> in children with PNH from birth to less than 18 years have not been established.</w:t>
      </w:r>
    </w:p>
    <w:p w14:paraId="6B8B8E5E" w14:textId="77777777" w:rsidR="00824F92" w:rsidRPr="00CA7C58" w:rsidRDefault="00824F92" w:rsidP="00034A66">
      <w:pPr>
        <w:jc w:val="both"/>
        <w:rPr>
          <w:rFonts w:ascii="Times New Roman" w:hAnsi="Times New Roman" w:cs="Times New Roman"/>
        </w:rPr>
      </w:pPr>
    </w:p>
    <w:p w14:paraId="4C9995F6" w14:textId="42C85D1D" w:rsidR="00B530FC" w:rsidRPr="00CA7C58" w:rsidRDefault="00B530FC" w:rsidP="00034A66">
      <w:pPr>
        <w:pStyle w:val="C-Heading4"/>
        <w:numPr>
          <w:ilvl w:val="0"/>
          <w:numId w:val="0"/>
        </w:numPr>
        <w:spacing w:before="0"/>
        <w:ind w:left="1080" w:hanging="1080"/>
        <w:jc w:val="both"/>
        <w:rPr>
          <w:szCs w:val="24"/>
        </w:rPr>
      </w:pPr>
      <w:bookmarkStart w:id="10" w:name="_Hlk52361652"/>
      <w:r w:rsidRPr="00CA7C58">
        <w:rPr>
          <w:szCs w:val="24"/>
        </w:rPr>
        <w:t>Effects on laboratory tests</w:t>
      </w:r>
    </w:p>
    <w:p w14:paraId="7E92E6AD" w14:textId="21BD8DC9" w:rsidR="005346EB" w:rsidRPr="00CA7C58" w:rsidRDefault="005346EB" w:rsidP="00034A66">
      <w:pPr>
        <w:pStyle w:val="C-BodyText"/>
        <w:spacing w:before="0" w:after="0" w:line="240" w:lineRule="auto"/>
        <w:jc w:val="both"/>
        <w:rPr>
          <w:szCs w:val="24"/>
        </w:rPr>
      </w:pPr>
      <w:bookmarkStart w:id="11" w:name="_Hlk52373024"/>
      <w:r w:rsidRPr="00CA7C58">
        <w:rPr>
          <w:szCs w:val="24"/>
        </w:rPr>
        <w:t xml:space="preserve">There may be interference between silica reagents in coagulation panels </w:t>
      </w:r>
      <w:r w:rsidR="00092FA6" w:rsidRPr="00CA7C58">
        <w:rPr>
          <w:szCs w:val="24"/>
        </w:rPr>
        <w:t xml:space="preserve">and </w:t>
      </w:r>
      <w:r w:rsidR="007F2819" w:rsidRPr="00CA7C58">
        <w:rPr>
          <w:szCs w:val="24"/>
        </w:rPr>
        <w:t>EMPAVELI</w:t>
      </w:r>
      <w:r w:rsidR="00092FA6" w:rsidRPr="00CA7C58">
        <w:rPr>
          <w:szCs w:val="24"/>
        </w:rPr>
        <w:t xml:space="preserve"> </w:t>
      </w:r>
      <w:bookmarkEnd w:id="11"/>
      <w:r w:rsidRPr="00CA7C58">
        <w:rPr>
          <w:szCs w:val="24"/>
        </w:rPr>
        <w:t>that results in artificially prolonged activated partial thromboplastin time (</w:t>
      </w:r>
      <w:proofErr w:type="spellStart"/>
      <w:r w:rsidRPr="00CA7C58">
        <w:rPr>
          <w:szCs w:val="24"/>
        </w:rPr>
        <w:t>aPTT</w:t>
      </w:r>
      <w:proofErr w:type="spellEnd"/>
      <w:r w:rsidRPr="00CA7C58">
        <w:rPr>
          <w:szCs w:val="24"/>
        </w:rPr>
        <w:t>); therefore, the use of silica reagents in coagulation panels should be avoided.</w:t>
      </w:r>
    </w:p>
    <w:bookmarkEnd w:id="10"/>
    <w:p w14:paraId="3679BFEE" w14:textId="352A0EB0" w:rsidR="007B13D6" w:rsidRPr="00CA7C58" w:rsidRDefault="007B13D6" w:rsidP="00034A66">
      <w:pPr>
        <w:jc w:val="both"/>
        <w:rPr>
          <w:rFonts w:ascii="Times New Roman" w:hAnsi="Times New Roman" w:cs="Times New Roman"/>
        </w:rPr>
      </w:pPr>
    </w:p>
    <w:p w14:paraId="5EB7F65C" w14:textId="1BF8A5F4" w:rsidR="007E551B" w:rsidRPr="00CA7C58" w:rsidRDefault="007E551B" w:rsidP="00034A66">
      <w:pPr>
        <w:pStyle w:val="C-Heading4"/>
        <w:numPr>
          <w:ilvl w:val="0"/>
          <w:numId w:val="0"/>
        </w:numPr>
        <w:spacing w:before="0"/>
        <w:ind w:left="720" w:hanging="720"/>
        <w:jc w:val="both"/>
        <w:rPr>
          <w:szCs w:val="24"/>
        </w:rPr>
      </w:pPr>
      <w:r w:rsidRPr="00CA7C58">
        <w:rPr>
          <w:szCs w:val="24"/>
        </w:rPr>
        <w:t>4.5</w:t>
      </w:r>
      <w:r w:rsidR="00D95BDC" w:rsidRPr="00CA7C58">
        <w:rPr>
          <w:szCs w:val="24"/>
        </w:rPr>
        <w:tab/>
      </w:r>
      <w:r w:rsidRPr="00CA7C58">
        <w:rPr>
          <w:szCs w:val="24"/>
        </w:rPr>
        <w:t>INTERACTIONS WITH OTHER MEDICINES AND OTHER FORMS OF INTERACTIONS</w:t>
      </w:r>
    </w:p>
    <w:p w14:paraId="2D033A37" w14:textId="77777777" w:rsidR="007874A7" w:rsidRPr="00CA7C58" w:rsidRDefault="007874A7" w:rsidP="00034A66">
      <w:pPr>
        <w:pStyle w:val="C-BodyText"/>
        <w:spacing w:before="0" w:after="0" w:line="240" w:lineRule="auto"/>
        <w:jc w:val="both"/>
      </w:pPr>
    </w:p>
    <w:p w14:paraId="77AA3F0E" w14:textId="58C9E117" w:rsidR="004B3D25" w:rsidRPr="00CA7C58" w:rsidRDefault="004B3D25" w:rsidP="00034A66">
      <w:pPr>
        <w:jc w:val="both"/>
        <w:rPr>
          <w:rFonts w:ascii="Times New Roman" w:hAnsi="Times New Roman" w:cs="Times New Roman"/>
        </w:rPr>
      </w:pPr>
      <w:r w:rsidRPr="00CA7C58">
        <w:rPr>
          <w:rFonts w:ascii="Times New Roman" w:hAnsi="Times New Roman" w:cs="Times New Roman"/>
        </w:rPr>
        <w:t xml:space="preserve">No </w:t>
      </w:r>
      <w:r w:rsidR="003A6193">
        <w:rPr>
          <w:rFonts w:ascii="Times New Roman" w:hAnsi="Times New Roman" w:cs="Times New Roman"/>
        </w:rPr>
        <w:t xml:space="preserve">clinical </w:t>
      </w:r>
      <w:r w:rsidRPr="00CA7C58">
        <w:rPr>
          <w:rFonts w:ascii="Times New Roman" w:hAnsi="Times New Roman" w:cs="Times New Roman"/>
        </w:rPr>
        <w:t>interaction studies have been performed.</w:t>
      </w:r>
      <w:r w:rsidR="003A6193">
        <w:rPr>
          <w:rFonts w:ascii="Times New Roman" w:hAnsi="Times New Roman" w:cs="Times New Roman"/>
        </w:rPr>
        <w:t xml:space="preserve"> </w:t>
      </w:r>
      <w:r w:rsidR="003A6193" w:rsidRPr="00C31EDE">
        <w:rPr>
          <w:rFonts w:ascii="Times New Roman" w:hAnsi="Times New Roman" w:cs="Times New Roman"/>
        </w:rPr>
        <w:t xml:space="preserve">Nonclinical studies showed that </w:t>
      </w:r>
      <w:proofErr w:type="spellStart"/>
      <w:r w:rsidR="003A6193" w:rsidRPr="00C31EDE">
        <w:rPr>
          <w:rFonts w:ascii="Times New Roman" w:hAnsi="Times New Roman" w:cs="Times New Roman"/>
        </w:rPr>
        <w:t>pegcetacoplan</w:t>
      </w:r>
      <w:proofErr w:type="spellEnd"/>
      <w:r w:rsidR="003A6193" w:rsidRPr="00C31EDE">
        <w:rPr>
          <w:rFonts w:ascii="Times New Roman" w:hAnsi="Times New Roman" w:cs="Times New Roman"/>
        </w:rPr>
        <w:t xml:space="preserve"> has a low potential for pharmacokinetic drug interactions</w:t>
      </w:r>
      <w:r w:rsidR="00A52B2B">
        <w:rPr>
          <w:rFonts w:ascii="Times New Roman" w:hAnsi="Times New Roman" w:cs="Times New Roman"/>
        </w:rPr>
        <w:t>,</w:t>
      </w:r>
      <w:r w:rsidR="003A6193" w:rsidRPr="00C31EDE">
        <w:rPr>
          <w:rFonts w:ascii="Times New Roman" w:hAnsi="Times New Roman" w:cs="Times New Roman"/>
        </w:rPr>
        <w:t xml:space="preserve"> as it did not induce or inhibit cytochrome P450 isozyme activities or serve as a substrate and/or inhibitor for human drug transporters.</w:t>
      </w:r>
    </w:p>
    <w:p w14:paraId="3C9B4E1B" w14:textId="2D104624" w:rsidR="007E551B" w:rsidRPr="00CA7C58" w:rsidRDefault="007E551B" w:rsidP="00034A66">
      <w:pPr>
        <w:jc w:val="both"/>
        <w:rPr>
          <w:rFonts w:ascii="Times New Roman" w:hAnsi="Times New Roman" w:cs="Times New Roman"/>
        </w:rPr>
      </w:pPr>
    </w:p>
    <w:p w14:paraId="645F8EDE" w14:textId="6FDD08C6" w:rsidR="007E551B" w:rsidRPr="00CA7C58" w:rsidRDefault="007E551B" w:rsidP="00034A66">
      <w:pPr>
        <w:pStyle w:val="C-Heading4"/>
        <w:numPr>
          <w:ilvl w:val="0"/>
          <w:numId w:val="0"/>
        </w:numPr>
        <w:spacing w:before="0"/>
        <w:ind w:left="720" w:hanging="720"/>
        <w:jc w:val="both"/>
        <w:rPr>
          <w:szCs w:val="24"/>
        </w:rPr>
      </w:pPr>
      <w:r w:rsidRPr="00CA7C58">
        <w:rPr>
          <w:szCs w:val="24"/>
        </w:rPr>
        <w:t>4.6</w:t>
      </w:r>
      <w:r w:rsidR="00650DDF" w:rsidRPr="00CA7C58">
        <w:rPr>
          <w:szCs w:val="24"/>
        </w:rPr>
        <w:tab/>
      </w:r>
      <w:r w:rsidRPr="00CA7C58">
        <w:rPr>
          <w:szCs w:val="24"/>
        </w:rPr>
        <w:t>FERTILITY, PREGNANCY AND LACTATION</w:t>
      </w:r>
    </w:p>
    <w:p w14:paraId="0DA687FF" w14:textId="77777777" w:rsidR="007874A7" w:rsidRPr="00CA7C58" w:rsidRDefault="007874A7" w:rsidP="00034A66">
      <w:pPr>
        <w:pStyle w:val="C-BodyText"/>
        <w:spacing w:before="0" w:after="0" w:line="240" w:lineRule="auto"/>
        <w:jc w:val="both"/>
      </w:pPr>
    </w:p>
    <w:p w14:paraId="27EA583E" w14:textId="1C83BC12" w:rsidR="007E551B" w:rsidRPr="00CA7C58" w:rsidRDefault="007E551B" w:rsidP="00034A66">
      <w:pPr>
        <w:pStyle w:val="C-Heading4"/>
        <w:numPr>
          <w:ilvl w:val="0"/>
          <w:numId w:val="0"/>
        </w:numPr>
        <w:spacing w:before="0"/>
        <w:ind w:left="1080" w:hanging="1080"/>
        <w:jc w:val="both"/>
        <w:rPr>
          <w:b w:val="0"/>
          <w:bCs/>
          <w:szCs w:val="24"/>
        </w:rPr>
      </w:pPr>
      <w:r w:rsidRPr="00CA7C58">
        <w:rPr>
          <w:szCs w:val="24"/>
        </w:rPr>
        <w:t>Effects on fertility</w:t>
      </w:r>
    </w:p>
    <w:p w14:paraId="6362203D" w14:textId="5A6B9290" w:rsidR="00DF420A" w:rsidRPr="00CA7C58" w:rsidRDefault="00DF420A" w:rsidP="00034A66">
      <w:pPr>
        <w:jc w:val="both"/>
        <w:rPr>
          <w:rFonts w:ascii="Times New Roman" w:hAnsi="Times New Roman" w:cs="Times New Roman"/>
          <w:noProof/>
        </w:rPr>
      </w:pPr>
      <w:r w:rsidRPr="00CA7C58">
        <w:rPr>
          <w:rFonts w:ascii="Times New Roman" w:hAnsi="Times New Roman" w:cs="Times New Roman"/>
          <w:noProof/>
        </w:rPr>
        <w:t>Effects of pegcetacoplan upon fertility have not been studied in animals. There were no microscopic abnormalities in male or female reproductive organs in toxicity studies in rabbits and monkeys</w:t>
      </w:r>
      <w:r w:rsidR="003A6193">
        <w:rPr>
          <w:rFonts w:ascii="Times New Roman" w:hAnsi="Times New Roman" w:cs="Times New Roman"/>
          <w:noProof/>
        </w:rPr>
        <w:t xml:space="preserve"> dosed daily</w:t>
      </w:r>
      <w:r w:rsidR="00AC4FBF">
        <w:rPr>
          <w:rFonts w:ascii="Times New Roman" w:hAnsi="Times New Roman" w:cs="Times New Roman"/>
          <w:noProof/>
        </w:rPr>
        <w:t xml:space="preserve"> subcutaneously</w:t>
      </w:r>
      <w:r w:rsidR="003A6193">
        <w:rPr>
          <w:rFonts w:ascii="Times New Roman" w:hAnsi="Times New Roman" w:cs="Times New Roman"/>
          <w:noProof/>
        </w:rPr>
        <w:t xml:space="preserve"> for </w:t>
      </w:r>
      <w:r w:rsidR="00572291">
        <w:rPr>
          <w:rFonts w:ascii="Times New Roman" w:hAnsi="Times New Roman" w:cs="Times New Roman"/>
          <w:noProof/>
        </w:rPr>
        <w:t>up</w:t>
      </w:r>
      <w:r w:rsidR="003A6193">
        <w:rPr>
          <w:rFonts w:ascii="Times New Roman" w:hAnsi="Times New Roman" w:cs="Times New Roman"/>
          <w:noProof/>
        </w:rPr>
        <w:t xml:space="preserve"> to 9 months at exposure levels up to 6 times the clinical AUC</w:t>
      </w:r>
      <w:r w:rsidRPr="00CA7C58">
        <w:rPr>
          <w:rFonts w:ascii="Times New Roman" w:hAnsi="Times New Roman" w:cs="Times New Roman"/>
          <w:noProof/>
        </w:rPr>
        <w:t>.</w:t>
      </w:r>
    </w:p>
    <w:p w14:paraId="0D273BA1" w14:textId="77777777" w:rsidR="00E953DA" w:rsidRPr="00CA7C58" w:rsidRDefault="00E953DA" w:rsidP="00034A66">
      <w:pPr>
        <w:jc w:val="both"/>
        <w:rPr>
          <w:rFonts w:ascii="Times New Roman" w:hAnsi="Times New Roman" w:cs="Times New Roman"/>
          <w:noProof/>
        </w:rPr>
      </w:pPr>
    </w:p>
    <w:p w14:paraId="21508571" w14:textId="29C2C587" w:rsidR="007E551B" w:rsidRPr="00CA7C58" w:rsidRDefault="007E551B" w:rsidP="00034A66">
      <w:pPr>
        <w:pStyle w:val="C-Heading4"/>
        <w:numPr>
          <w:ilvl w:val="0"/>
          <w:numId w:val="0"/>
        </w:numPr>
        <w:spacing w:before="0"/>
        <w:ind w:left="1080" w:hanging="1080"/>
        <w:jc w:val="both"/>
        <w:rPr>
          <w:szCs w:val="24"/>
        </w:rPr>
      </w:pPr>
      <w:r w:rsidRPr="00CA7C58">
        <w:rPr>
          <w:szCs w:val="24"/>
        </w:rPr>
        <w:lastRenderedPageBreak/>
        <w:t>Use in pregnancy</w:t>
      </w:r>
      <w:r w:rsidR="004432D1" w:rsidRPr="00CA7C58">
        <w:rPr>
          <w:szCs w:val="24"/>
        </w:rPr>
        <w:t xml:space="preserve"> – </w:t>
      </w:r>
      <w:r w:rsidR="00E93BC4" w:rsidRPr="00CA7C58">
        <w:rPr>
          <w:szCs w:val="24"/>
        </w:rPr>
        <w:t>Category B3</w:t>
      </w:r>
    </w:p>
    <w:p w14:paraId="582196F4" w14:textId="4E168876" w:rsidR="00A25D68" w:rsidRPr="00CA7C58" w:rsidRDefault="00A25D68" w:rsidP="00034A66">
      <w:pPr>
        <w:jc w:val="both"/>
        <w:rPr>
          <w:rFonts w:ascii="Times New Roman" w:hAnsi="Times New Roman" w:cs="Times New Roman"/>
          <w:noProof/>
        </w:rPr>
      </w:pPr>
      <w:bookmarkStart w:id="12" w:name="_Hlk47599822"/>
      <w:r w:rsidRPr="00CA7C58">
        <w:rPr>
          <w:rFonts w:ascii="Times New Roman" w:hAnsi="Times New Roman" w:cs="Times New Roman"/>
          <w:noProof/>
        </w:rPr>
        <w:t xml:space="preserve">There are insufficient data on </w:t>
      </w:r>
      <w:r w:rsidR="007F2819" w:rsidRPr="00CA7C58">
        <w:rPr>
          <w:rFonts w:ascii="Times New Roman" w:hAnsi="Times New Roman" w:cs="Times New Roman"/>
          <w:noProof/>
        </w:rPr>
        <w:t>EMPAVELI</w:t>
      </w:r>
      <w:r w:rsidRPr="00CA7C58">
        <w:rPr>
          <w:rFonts w:ascii="Times New Roman" w:hAnsi="Times New Roman" w:cs="Times New Roman"/>
          <w:noProof/>
        </w:rPr>
        <w:t xml:space="preserve"> use in pregnant women to inform a drug</w:t>
      </w:r>
      <w:r w:rsidRPr="00CA7C58">
        <w:rPr>
          <w:rFonts w:ascii="Times New Roman" w:hAnsi="Times New Roman" w:cs="Times New Roman"/>
          <w:noProof/>
        </w:rPr>
        <w:noBreakHyphen/>
        <w:t>associated risk of major birth defects, miscarriage, or adverse maternal or fetal outcomes.</w:t>
      </w:r>
      <w:bookmarkStart w:id="13" w:name="_Toc49162362"/>
    </w:p>
    <w:bookmarkEnd w:id="13"/>
    <w:p w14:paraId="48262E48" w14:textId="77777777" w:rsidR="00CE3A00" w:rsidRPr="00CE3A00" w:rsidRDefault="00CE3A00" w:rsidP="00034A66">
      <w:pPr>
        <w:pStyle w:val="C-BodyText"/>
        <w:spacing w:before="0" w:after="0" w:line="240" w:lineRule="auto"/>
        <w:jc w:val="both"/>
        <w:rPr>
          <w:szCs w:val="24"/>
        </w:rPr>
      </w:pPr>
    </w:p>
    <w:p w14:paraId="2200CEC1" w14:textId="515C2100" w:rsidR="00716437" w:rsidRPr="007B4FC9" w:rsidRDefault="00716437" w:rsidP="00034A66">
      <w:pPr>
        <w:pStyle w:val="C-BodyText"/>
        <w:spacing w:before="0" w:after="0" w:line="240" w:lineRule="auto"/>
        <w:jc w:val="both"/>
        <w:rPr>
          <w:szCs w:val="24"/>
          <w:shd w:val="clear" w:color="auto" w:fill="FFFFFF"/>
        </w:rPr>
      </w:pPr>
      <w:r w:rsidRPr="00CA7C58">
        <w:rPr>
          <w:szCs w:val="24"/>
        </w:rPr>
        <w:t xml:space="preserve">It is recommended that women of childbearing potential use effective contraception methods to prevent pregnancy during treatment with </w:t>
      </w:r>
      <w:proofErr w:type="spellStart"/>
      <w:r w:rsidRPr="00CA7C58">
        <w:rPr>
          <w:szCs w:val="24"/>
        </w:rPr>
        <w:t>pegcetacoplan</w:t>
      </w:r>
      <w:proofErr w:type="spellEnd"/>
      <w:r w:rsidRPr="00CA7C58">
        <w:rPr>
          <w:szCs w:val="24"/>
        </w:rPr>
        <w:t xml:space="preserve"> and for at least 8 weeks after the last dose of </w:t>
      </w:r>
      <w:proofErr w:type="spellStart"/>
      <w:r w:rsidRPr="00CA7C58">
        <w:rPr>
          <w:szCs w:val="24"/>
        </w:rPr>
        <w:t>pegcetacoplan</w:t>
      </w:r>
      <w:proofErr w:type="spellEnd"/>
      <w:r w:rsidRPr="00CA7C58">
        <w:rPr>
          <w:szCs w:val="24"/>
        </w:rPr>
        <w:t>.</w:t>
      </w:r>
      <w:r w:rsidR="007B4FC9">
        <w:rPr>
          <w:szCs w:val="24"/>
          <w:shd w:val="clear" w:color="auto" w:fill="FFFFFF"/>
        </w:rPr>
        <w:t xml:space="preserve"> </w:t>
      </w:r>
      <w:r w:rsidR="005B354E" w:rsidRPr="00636CFA">
        <w:t xml:space="preserve">Pregnancy testing is </w:t>
      </w:r>
      <w:r w:rsidR="005B354E">
        <w:t>advised</w:t>
      </w:r>
      <w:r w:rsidR="005B354E" w:rsidRPr="00636CFA">
        <w:t xml:space="preserve"> for females of reproductive potential prior to treatment with EMPAVELI</w:t>
      </w:r>
      <w:r w:rsidR="005B354E">
        <w:t>.</w:t>
      </w:r>
    </w:p>
    <w:p w14:paraId="4A5E26A7" w14:textId="18FDBE3F" w:rsidR="005B354E" w:rsidRDefault="005B354E" w:rsidP="00E54119">
      <w:pPr>
        <w:pStyle w:val="C-BodyText"/>
        <w:spacing w:before="0" w:after="0" w:line="240" w:lineRule="auto"/>
      </w:pPr>
    </w:p>
    <w:p w14:paraId="28DD4A80" w14:textId="77777777" w:rsidR="00100BE1" w:rsidRPr="005B354E" w:rsidRDefault="00100BE1" w:rsidP="00034A66">
      <w:pPr>
        <w:pStyle w:val="C-BodyText"/>
        <w:spacing w:before="0" w:after="0" w:line="240" w:lineRule="auto"/>
        <w:jc w:val="both"/>
      </w:pPr>
      <w:bookmarkStart w:id="14" w:name="_Hlk47099541"/>
      <w:bookmarkEnd w:id="12"/>
      <w:r w:rsidRPr="00636CFA">
        <w:t xml:space="preserve">Use of </w:t>
      </w:r>
      <w:r w:rsidRPr="00EA6C0A">
        <w:t xml:space="preserve">EMPAVELI in pregnancy should be carefully considered, </w:t>
      </w:r>
      <w:proofErr w:type="gramStart"/>
      <w:r w:rsidRPr="00EA6C0A">
        <w:t>with regard to</w:t>
      </w:r>
      <w:proofErr w:type="gramEnd"/>
      <w:r w:rsidRPr="00EA6C0A">
        <w:t xml:space="preserve"> the specific risks of PNH (including maternal and neonatal death and non</w:t>
      </w:r>
      <w:r w:rsidRPr="00EA6C0A">
        <w:noBreakHyphen/>
        <w:t>live birth) and benefits for each patient. EMPAVELI</w:t>
      </w:r>
      <w:r w:rsidRPr="00636CFA">
        <w:t xml:space="preserve"> should be used during pregnancy only if the potential benefit justifies the potential risk to the mother, fetus</w:t>
      </w:r>
      <w:r>
        <w:t>,</w:t>
      </w:r>
      <w:r w:rsidRPr="00636CFA">
        <w:t xml:space="preserve"> and/or neonate.</w:t>
      </w:r>
    </w:p>
    <w:p w14:paraId="4C7FD6DB" w14:textId="77777777" w:rsidR="00100BE1" w:rsidRDefault="00100BE1" w:rsidP="00034A66">
      <w:pPr>
        <w:pStyle w:val="C-BodyText"/>
        <w:spacing w:before="0" w:after="0" w:line="240" w:lineRule="auto"/>
        <w:jc w:val="both"/>
        <w:rPr>
          <w:szCs w:val="24"/>
        </w:rPr>
      </w:pPr>
    </w:p>
    <w:p w14:paraId="5F627EE7" w14:textId="359BCE43" w:rsidR="00100BE1" w:rsidRDefault="00100BE1" w:rsidP="00034A66">
      <w:pPr>
        <w:jc w:val="both"/>
        <w:rPr>
          <w:rFonts w:ascii="Times New Roman" w:hAnsi="Times New Roman" w:cs="Times New Roman"/>
          <w:i/>
          <w:iCs/>
          <w:u w:val="single"/>
        </w:rPr>
      </w:pPr>
      <w:r>
        <w:rPr>
          <w:rFonts w:ascii="Times New Roman" w:hAnsi="Times New Roman" w:cs="Times New Roman"/>
          <w:i/>
          <w:iCs/>
          <w:u w:val="single"/>
        </w:rPr>
        <w:t>Clinical Considerations</w:t>
      </w:r>
    </w:p>
    <w:p w14:paraId="3544BC34" w14:textId="7DEAC6D3" w:rsidR="00F113CA" w:rsidRPr="0071515E" w:rsidRDefault="00F113CA" w:rsidP="00034A66">
      <w:pPr>
        <w:jc w:val="both"/>
        <w:rPr>
          <w:rFonts w:ascii="Times New Roman" w:hAnsi="Times New Roman" w:cs="Times New Roman"/>
          <w:u w:val="single"/>
        </w:rPr>
      </w:pPr>
      <w:r w:rsidRPr="0071515E">
        <w:rPr>
          <w:rFonts w:ascii="Times New Roman" w:hAnsi="Times New Roman" w:cs="Times New Roman"/>
          <w:u w:val="single"/>
        </w:rPr>
        <w:t>Disease-associated maternal and/or fetal/neonatal risk</w:t>
      </w:r>
    </w:p>
    <w:p w14:paraId="1B9F955F" w14:textId="65E00235" w:rsidR="00CE3A00" w:rsidRDefault="00100BE1" w:rsidP="00034A66">
      <w:pPr>
        <w:jc w:val="both"/>
        <w:rPr>
          <w:rFonts w:ascii="Times New Roman" w:hAnsi="Times New Roman" w:cs="Times New Roman"/>
        </w:rPr>
      </w:pPr>
      <w:r w:rsidRPr="00DD506D">
        <w:rPr>
          <w:rFonts w:ascii="Times New Roman" w:hAnsi="Times New Roman" w:cs="Times New Roman"/>
        </w:rPr>
        <w:t>In pregnancy,</w:t>
      </w:r>
      <w:r>
        <w:rPr>
          <w:rFonts w:ascii="Times New Roman" w:hAnsi="Times New Roman" w:cs="Times New Roman"/>
        </w:rPr>
        <w:t xml:space="preserve"> PNH</w:t>
      </w:r>
      <w:r w:rsidRPr="00B05D03">
        <w:rPr>
          <w:rFonts w:ascii="Times New Roman" w:hAnsi="Times New Roman" w:cs="Times New Roman"/>
        </w:rPr>
        <w:t xml:space="preserve"> is associated with adverse maternal outcomes, including worsening </w:t>
      </w:r>
      <w:proofErr w:type="spellStart"/>
      <w:r w:rsidRPr="00B05D03">
        <w:rPr>
          <w:rFonts w:ascii="Times New Roman" w:hAnsi="Times New Roman" w:cs="Times New Roman"/>
        </w:rPr>
        <w:t>cytopenias</w:t>
      </w:r>
      <w:proofErr w:type="spellEnd"/>
      <w:r w:rsidRPr="00B05D03">
        <w:rPr>
          <w:rFonts w:ascii="Times New Roman" w:hAnsi="Times New Roman" w:cs="Times New Roman"/>
        </w:rPr>
        <w:t xml:space="preserve">, thrombotic events, infections, bleeding, miscarriages and increased maternal mortality, and adverse fetal outcomes, including fetal death and </w:t>
      </w:r>
      <w:r w:rsidRPr="00255882">
        <w:rPr>
          <w:rFonts w:ascii="Times New Roman" w:hAnsi="Times New Roman" w:cs="Times New Roman"/>
        </w:rPr>
        <w:t>premature delivery.</w:t>
      </w:r>
    </w:p>
    <w:p w14:paraId="216BF872" w14:textId="77777777" w:rsidR="00CE3A00" w:rsidRDefault="00CE3A00" w:rsidP="00034A66">
      <w:pPr>
        <w:jc w:val="both"/>
        <w:rPr>
          <w:rFonts w:ascii="Times New Roman" w:hAnsi="Times New Roman" w:cs="Times New Roman"/>
        </w:rPr>
      </w:pPr>
    </w:p>
    <w:p w14:paraId="15DA0E79" w14:textId="54321C13" w:rsidR="00CE3A00" w:rsidRPr="0071515E" w:rsidRDefault="00CE3A00" w:rsidP="00034A66">
      <w:pPr>
        <w:jc w:val="both"/>
        <w:rPr>
          <w:rFonts w:ascii="Times New Roman" w:hAnsi="Times New Roman" w:cs="Times New Roman"/>
          <w:u w:val="single"/>
        </w:rPr>
      </w:pPr>
      <w:r w:rsidRPr="0071515E">
        <w:rPr>
          <w:rFonts w:ascii="Times New Roman" w:hAnsi="Times New Roman" w:cs="Times New Roman"/>
          <w:u w:val="single"/>
        </w:rPr>
        <w:t>Animal Data</w:t>
      </w:r>
    </w:p>
    <w:p w14:paraId="3F24DC4D" w14:textId="5222A328" w:rsidR="00A87226" w:rsidRPr="00CA7C58" w:rsidRDefault="00A87226" w:rsidP="00034A66">
      <w:pPr>
        <w:jc w:val="both"/>
        <w:rPr>
          <w:rFonts w:ascii="Times New Roman" w:hAnsi="Times New Roman" w:cs="Times New Roman"/>
          <w:i/>
          <w:iCs/>
        </w:rPr>
      </w:pPr>
      <w:r w:rsidRPr="00CA7C58">
        <w:rPr>
          <w:rFonts w:ascii="Times New Roman" w:hAnsi="Times New Roman" w:cs="Times New Roman"/>
        </w:rPr>
        <w:t xml:space="preserve">Animal reproduction studies with </w:t>
      </w:r>
      <w:proofErr w:type="spellStart"/>
      <w:r w:rsidRPr="00CA7C58">
        <w:rPr>
          <w:rFonts w:ascii="Times New Roman" w:hAnsi="Times New Roman" w:cs="Times New Roman"/>
        </w:rPr>
        <w:t>pegcetacoplan</w:t>
      </w:r>
      <w:proofErr w:type="spellEnd"/>
      <w:r w:rsidRPr="00CA7C58">
        <w:rPr>
          <w:rFonts w:ascii="Times New Roman" w:hAnsi="Times New Roman" w:cs="Times New Roman"/>
        </w:rPr>
        <w:t xml:space="preserve"> were conducted in rats, rabbits, and cynomolgus monkeys. </w:t>
      </w:r>
      <w:proofErr w:type="spellStart"/>
      <w:r w:rsidRPr="00CA7C58">
        <w:rPr>
          <w:rFonts w:ascii="Times New Roman" w:hAnsi="Times New Roman" w:cs="Times New Roman"/>
        </w:rPr>
        <w:t>Pegcetacoplan</w:t>
      </w:r>
      <w:proofErr w:type="spellEnd"/>
      <w:r w:rsidRPr="00CA7C58">
        <w:rPr>
          <w:rFonts w:ascii="Times New Roman" w:hAnsi="Times New Roman" w:cs="Times New Roman"/>
        </w:rPr>
        <w:t xml:space="preserve"> treatment of pregnant cynomolgus monkeys at a subcutaneous dose of 28 mg/kg/day (2.9 times the human steady</w:t>
      </w:r>
      <w:r w:rsidRPr="00CA7C58">
        <w:rPr>
          <w:rFonts w:ascii="Times New Roman" w:hAnsi="Times New Roman" w:cs="Times New Roman"/>
        </w:rPr>
        <w:noBreakHyphen/>
        <w:t xml:space="preserve">state </w:t>
      </w:r>
      <w:r w:rsidR="003A6193">
        <w:rPr>
          <w:rFonts w:ascii="Times New Roman" w:hAnsi="Times New Roman" w:cs="Times New Roman"/>
        </w:rPr>
        <w:t>AU</w:t>
      </w:r>
      <w:r w:rsidRPr="00CA7C58">
        <w:rPr>
          <w:rFonts w:ascii="Times New Roman" w:hAnsi="Times New Roman" w:cs="Times New Roman"/>
        </w:rPr>
        <w:t xml:space="preserve">C) from the </w:t>
      </w:r>
      <w:bookmarkStart w:id="15" w:name="_Hlk47099558"/>
      <w:bookmarkEnd w:id="14"/>
      <w:r w:rsidRPr="00CA7C58">
        <w:rPr>
          <w:rFonts w:ascii="Times New Roman" w:hAnsi="Times New Roman" w:cs="Times New Roman"/>
        </w:rPr>
        <w:t xml:space="preserve">gestation period through parturition resulted in a statistically significant increase in abortions or stillbirths compared to controls. </w:t>
      </w:r>
      <w:r w:rsidR="00572291">
        <w:rPr>
          <w:rFonts w:ascii="Times New Roman" w:hAnsi="Times New Roman" w:cs="Times New Roman"/>
        </w:rPr>
        <w:t>The relative exposure a</w:t>
      </w:r>
      <w:r w:rsidR="003A6193">
        <w:rPr>
          <w:rFonts w:ascii="Times New Roman" w:hAnsi="Times New Roman" w:cs="Times New Roman"/>
        </w:rPr>
        <w:t xml:space="preserve">t the </w:t>
      </w:r>
      <w:r w:rsidR="00384D0F">
        <w:rPr>
          <w:rFonts w:ascii="Times New Roman" w:hAnsi="Times New Roman" w:cs="Times New Roman"/>
        </w:rPr>
        <w:t>no</w:t>
      </w:r>
      <w:r w:rsidR="00384D0F">
        <w:rPr>
          <w:rFonts w:ascii="Times New Roman" w:hAnsi="Times New Roman" w:cs="Times New Roman"/>
        </w:rPr>
        <w:noBreakHyphen/>
        <w:t>adverse</w:t>
      </w:r>
      <w:r w:rsidR="00384D0F">
        <w:rPr>
          <w:rFonts w:ascii="Times New Roman" w:hAnsi="Times New Roman" w:cs="Times New Roman"/>
        </w:rPr>
        <w:noBreakHyphen/>
        <w:t>effect level</w:t>
      </w:r>
      <w:r w:rsidR="003A6193">
        <w:rPr>
          <w:rFonts w:ascii="Times New Roman" w:hAnsi="Times New Roman" w:cs="Times New Roman"/>
        </w:rPr>
        <w:t xml:space="preserve"> for this effect (7 mg/kg/day) was </w:t>
      </w:r>
      <w:proofErr w:type="gramStart"/>
      <w:r w:rsidR="003A6193">
        <w:rPr>
          <w:rFonts w:ascii="Times New Roman" w:hAnsi="Times New Roman" w:cs="Times New Roman"/>
        </w:rPr>
        <w:t>similar to</w:t>
      </w:r>
      <w:proofErr w:type="gramEnd"/>
      <w:r w:rsidR="003A6193">
        <w:rPr>
          <w:rFonts w:ascii="Times New Roman" w:hAnsi="Times New Roman" w:cs="Times New Roman"/>
        </w:rPr>
        <w:t xml:space="preserve"> that anticipated clinically (1.3 times AUC). </w:t>
      </w:r>
      <w:r w:rsidRPr="00CA7C58">
        <w:rPr>
          <w:rFonts w:ascii="Times New Roman" w:hAnsi="Times New Roman" w:cs="Times New Roman"/>
        </w:rPr>
        <w:t xml:space="preserve">No maternal toxicity or teratogenic effects were observed in offspring delivered at term. Additionally, no developmental effects were observed in infants up to 6 months postpartum. </w:t>
      </w:r>
      <w:r w:rsidR="00572291">
        <w:rPr>
          <w:rFonts w:ascii="Times New Roman" w:hAnsi="Times New Roman" w:cs="Times New Roman"/>
        </w:rPr>
        <w:t>Minimal s</w:t>
      </w:r>
      <w:r w:rsidRPr="00CA7C58">
        <w:rPr>
          <w:rFonts w:ascii="Times New Roman" w:hAnsi="Times New Roman" w:cs="Times New Roman"/>
        </w:rPr>
        <w:t xml:space="preserve">ystemic exposure to </w:t>
      </w:r>
      <w:proofErr w:type="spellStart"/>
      <w:r w:rsidRPr="00CA7C58">
        <w:rPr>
          <w:rFonts w:ascii="Times New Roman" w:hAnsi="Times New Roman" w:cs="Times New Roman"/>
        </w:rPr>
        <w:t>pegcetacoplan</w:t>
      </w:r>
      <w:proofErr w:type="spellEnd"/>
      <w:r w:rsidRPr="00CA7C58">
        <w:rPr>
          <w:rFonts w:ascii="Times New Roman" w:hAnsi="Times New Roman" w:cs="Times New Roman"/>
        </w:rPr>
        <w:t xml:space="preserve"> </w:t>
      </w:r>
      <w:r w:rsidR="00572291" w:rsidRPr="00CA7C58">
        <w:rPr>
          <w:rFonts w:ascii="Times New Roman" w:hAnsi="Times New Roman" w:cs="Times New Roman"/>
        </w:rPr>
        <w:t>(less than 1%</w:t>
      </w:r>
      <w:r w:rsidR="00572291">
        <w:rPr>
          <w:rFonts w:ascii="Times New Roman" w:hAnsi="Times New Roman" w:cs="Times New Roman"/>
        </w:rPr>
        <w:t xml:space="preserve"> of maternal exposure</w:t>
      </w:r>
      <w:r w:rsidR="00572291" w:rsidRPr="00CA7C58">
        <w:rPr>
          <w:rFonts w:ascii="Times New Roman" w:hAnsi="Times New Roman" w:cs="Times New Roman"/>
        </w:rPr>
        <w:t>)</w:t>
      </w:r>
      <w:r w:rsidR="00572291">
        <w:rPr>
          <w:rFonts w:ascii="Times New Roman" w:hAnsi="Times New Roman" w:cs="Times New Roman"/>
        </w:rPr>
        <w:t xml:space="preserve"> </w:t>
      </w:r>
      <w:r w:rsidRPr="00CA7C58">
        <w:rPr>
          <w:rFonts w:ascii="Times New Roman" w:hAnsi="Times New Roman" w:cs="Times New Roman"/>
        </w:rPr>
        <w:t>was detected in fetuses from monkeys treated with 28 mg/kg/day from the period of organogenesis through the second trimester.</w:t>
      </w:r>
      <w:bookmarkEnd w:id="15"/>
    </w:p>
    <w:p w14:paraId="200491F5" w14:textId="77777777" w:rsidR="00A87226" w:rsidRPr="00CA7C58" w:rsidRDefault="00A87226" w:rsidP="00034A66">
      <w:pPr>
        <w:pStyle w:val="C-BodyText"/>
        <w:spacing w:before="0" w:after="0" w:line="240" w:lineRule="auto"/>
        <w:jc w:val="both"/>
        <w:rPr>
          <w:i/>
          <w:iCs/>
          <w:szCs w:val="24"/>
        </w:rPr>
      </w:pPr>
    </w:p>
    <w:p w14:paraId="5D01ACA6" w14:textId="234046E7" w:rsidR="007E551B" w:rsidRPr="00CA7C58" w:rsidRDefault="007E551B" w:rsidP="00034A66">
      <w:pPr>
        <w:pStyle w:val="C-Heading4"/>
        <w:numPr>
          <w:ilvl w:val="0"/>
          <w:numId w:val="0"/>
        </w:numPr>
        <w:spacing w:before="0"/>
        <w:ind w:left="1080" w:hanging="1080"/>
        <w:jc w:val="both"/>
        <w:rPr>
          <w:szCs w:val="24"/>
        </w:rPr>
      </w:pPr>
      <w:r w:rsidRPr="00CA7C58">
        <w:rPr>
          <w:szCs w:val="24"/>
        </w:rPr>
        <w:t>Use in lactation</w:t>
      </w:r>
    </w:p>
    <w:p w14:paraId="625D64DC" w14:textId="4C1491F9" w:rsidR="003C4200" w:rsidRPr="00CA7C58" w:rsidRDefault="003C4200" w:rsidP="00034A66">
      <w:pPr>
        <w:jc w:val="both"/>
        <w:rPr>
          <w:rFonts w:ascii="Times New Roman" w:hAnsi="Times New Roman" w:cs="Times New Roman"/>
        </w:rPr>
      </w:pPr>
      <w:bookmarkStart w:id="16" w:name="_Hlk47599670"/>
      <w:r w:rsidRPr="00CA7C58">
        <w:rPr>
          <w:rFonts w:ascii="Times New Roman" w:hAnsi="Times New Roman" w:cs="Times New Roman"/>
        </w:rPr>
        <w:t xml:space="preserve">It is not known whether </w:t>
      </w:r>
      <w:proofErr w:type="spellStart"/>
      <w:r w:rsidRPr="00CA7C58">
        <w:rPr>
          <w:rFonts w:ascii="Times New Roman" w:hAnsi="Times New Roman" w:cs="Times New Roman"/>
        </w:rPr>
        <w:t>pegcetacoplan</w:t>
      </w:r>
      <w:proofErr w:type="spellEnd"/>
      <w:r w:rsidRPr="00CA7C58">
        <w:rPr>
          <w:rFonts w:ascii="Times New Roman" w:hAnsi="Times New Roman" w:cs="Times New Roman"/>
        </w:rPr>
        <w:t xml:space="preserve"> is secreted in human milk or whether there is potential for absorption and harm to the infant. Animal data and the chemical nature of </w:t>
      </w:r>
      <w:proofErr w:type="spellStart"/>
      <w:r w:rsidRPr="00CA7C58">
        <w:rPr>
          <w:rFonts w:ascii="Times New Roman" w:hAnsi="Times New Roman" w:cs="Times New Roman"/>
        </w:rPr>
        <w:t>pegcetacoplan</w:t>
      </w:r>
      <w:proofErr w:type="spellEnd"/>
      <w:r w:rsidRPr="00CA7C58">
        <w:rPr>
          <w:rFonts w:ascii="Times New Roman" w:hAnsi="Times New Roman" w:cs="Times New Roman"/>
        </w:rPr>
        <w:t xml:space="preserve"> suggest that the risk of clinically relevant exposure to the infant is minimal (see </w:t>
      </w:r>
      <w:r w:rsidR="003A6193">
        <w:rPr>
          <w:rFonts w:ascii="Times New Roman" w:hAnsi="Times New Roman" w:cs="Times New Roman"/>
        </w:rPr>
        <w:t>below</w:t>
      </w:r>
      <w:r w:rsidRPr="00CA7C58">
        <w:rPr>
          <w:rFonts w:ascii="Times New Roman" w:hAnsi="Times New Roman" w:cs="Times New Roman"/>
        </w:rPr>
        <w:t>).</w:t>
      </w:r>
    </w:p>
    <w:bookmarkEnd w:id="16"/>
    <w:p w14:paraId="1B216BAA" w14:textId="77777777" w:rsidR="00CD26E0" w:rsidRPr="00CA7C58" w:rsidRDefault="00CD26E0" w:rsidP="00034A66">
      <w:pPr>
        <w:pStyle w:val="C-BodyText"/>
        <w:spacing w:before="0" w:after="0" w:line="240" w:lineRule="auto"/>
        <w:jc w:val="both"/>
        <w:rPr>
          <w:szCs w:val="24"/>
        </w:rPr>
      </w:pPr>
    </w:p>
    <w:p w14:paraId="12F97022" w14:textId="1C54573A" w:rsidR="003C4200" w:rsidRPr="00CA7C58" w:rsidRDefault="003C4200" w:rsidP="00034A66">
      <w:pPr>
        <w:autoSpaceDE w:val="0"/>
        <w:autoSpaceDN w:val="0"/>
        <w:adjustRightInd w:val="0"/>
        <w:jc w:val="both"/>
        <w:rPr>
          <w:rFonts w:ascii="Times New Roman" w:hAnsi="Times New Roman" w:cs="Times New Roman"/>
        </w:rPr>
      </w:pPr>
      <w:r w:rsidRPr="00CA7C58">
        <w:rPr>
          <w:rFonts w:ascii="Times New Roman" w:hAnsi="Times New Roman" w:cs="Times New Roman"/>
        </w:rPr>
        <w:t xml:space="preserve">Minimal (less than 1%) </w:t>
      </w:r>
      <w:proofErr w:type="spellStart"/>
      <w:r w:rsidRPr="00CA7C58">
        <w:rPr>
          <w:rFonts w:ascii="Times New Roman" w:hAnsi="Times New Roman" w:cs="Times New Roman"/>
        </w:rPr>
        <w:t>pegcetacoplan</w:t>
      </w:r>
      <w:proofErr w:type="spellEnd"/>
      <w:r w:rsidRPr="00CA7C58">
        <w:rPr>
          <w:rFonts w:ascii="Times New Roman" w:hAnsi="Times New Roman" w:cs="Times New Roman"/>
        </w:rPr>
        <w:t xml:space="preserve"> excretion in milk has been demonstrated in monkeys; therefore, the probability of clinically relevant exposure of breastfed infant through breastmilk is considered </w:t>
      </w:r>
      <w:r w:rsidR="003A6193">
        <w:rPr>
          <w:rFonts w:ascii="Times New Roman" w:hAnsi="Times New Roman" w:cs="Times New Roman"/>
        </w:rPr>
        <w:t>low</w:t>
      </w:r>
      <w:r w:rsidRPr="00CA7C58">
        <w:rPr>
          <w:rFonts w:ascii="Times New Roman" w:hAnsi="Times New Roman" w:cs="Times New Roman"/>
        </w:rPr>
        <w:t>.</w:t>
      </w:r>
    </w:p>
    <w:p w14:paraId="4E2C33AB" w14:textId="77777777" w:rsidR="007E551B" w:rsidRPr="00CA7C58" w:rsidRDefault="007E551B" w:rsidP="00034A66">
      <w:pPr>
        <w:ind w:left="360" w:hanging="360"/>
        <w:jc w:val="both"/>
        <w:rPr>
          <w:rFonts w:ascii="Times New Roman" w:hAnsi="Times New Roman" w:cs="Times New Roman"/>
        </w:rPr>
      </w:pPr>
    </w:p>
    <w:p w14:paraId="4E18F8D9" w14:textId="048EB05E" w:rsidR="007E551B" w:rsidRPr="00CA7C58" w:rsidRDefault="007E551B" w:rsidP="00034A66">
      <w:pPr>
        <w:pStyle w:val="C-Heading4"/>
        <w:numPr>
          <w:ilvl w:val="0"/>
          <w:numId w:val="0"/>
        </w:numPr>
        <w:spacing w:before="0"/>
        <w:ind w:left="720" w:hanging="720"/>
        <w:jc w:val="both"/>
        <w:rPr>
          <w:szCs w:val="24"/>
        </w:rPr>
      </w:pPr>
      <w:r w:rsidRPr="00CA7C58">
        <w:rPr>
          <w:szCs w:val="24"/>
        </w:rPr>
        <w:t>4.7</w:t>
      </w:r>
      <w:r w:rsidR="00D95BDC" w:rsidRPr="00CA7C58">
        <w:rPr>
          <w:szCs w:val="24"/>
        </w:rPr>
        <w:tab/>
      </w:r>
      <w:r w:rsidRPr="00CA7C58">
        <w:rPr>
          <w:szCs w:val="24"/>
        </w:rPr>
        <w:t>EFFECTS ON ABILITY TO DRIVE AND USE MACHINES</w:t>
      </w:r>
    </w:p>
    <w:p w14:paraId="7110BEDE" w14:textId="77777777" w:rsidR="00CA7C58" w:rsidRPr="00CA7C58" w:rsidRDefault="00CA7C58" w:rsidP="00034A66">
      <w:pPr>
        <w:pStyle w:val="C-BodyText"/>
        <w:spacing w:before="0" w:after="0" w:line="240" w:lineRule="auto"/>
        <w:jc w:val="both"/>
      </w:pPr>
    </w:p>
    <w:p w14:paraId="7DBBC800" w14:textId="7971CC4A" w:rsidR="007E551B" w:rsidRPr="00CA7C58" w:rsidRDefault="007F2819" w:rsidP="00034A66">
      <w:pPr>
        <w:ind w:left="360" w:hanging="360"/>
        <w:jc w:val="both"/>
        <w:rPr>
          <w:rFonts w:ascii="Times New Roman" w:hAnsi="Times New Roman" w:cs="Times New Roman"/>
        </w:rPr>
      </w:pPr>
      <w:r w:rsidRPr="00CA7C58">
        <w:rPr>
          <w:rFonts w:ascii="Times New Roman" w:eastAsia="Times New Roman" w:hAnsi="Times New Roman" w:cs="Times New Roman"/>
        </w:rPr>
        <w:t>EMPAVELI</w:t>
      </w:r>
      <w:r w:rsidR="00A61B5A" w:rsidRPr="00CA7C58">
        <w:rPr>
          <w:rFonts w:ascii="Times New Roman" w:eastAsia="Times New Roman" w:hAnsi="Times New Roman" w:cs="Times New Roman"/>
        </w:rPr>
        <w:t xml:space="preserve"> has no or negligible influence on the ability to drive and use machines.</w:t>
      </w:r>
    </w:p>
    <w:p w14:paraId="20D0BCD2" w14:textId="77777777" w:rsidR="007E551B" w:rsidRPr="00CA7C58" w:rsidRDefault="007E551B" w:rsidP="00034A66">
      <w:pPr>
        <w:jc w:val="both"/>
        <w:rPr>
          <w:rFonts w:ascii="Times New Roman" w:hAnsi="Times New Roman" w:cs="Times New Roman"/>
        </w:rPr>
      </w:pPr>
    </w:p>
    <w:p w14:paraId="73ECC5FC" w14:textId="5F585C14" w:rsidR="007E551B" w:rsidRPr="00CA7C58" w:rsidRDefault="007E551B" w:rsidP="00034A66">
      <w:pPr>
        <w:pStyle w:val="C-Heading4"/>
        <w:numPr>
          <w:ilvl w:val="0"/>
          <w:numId w:val="0"/>
        </w:numPr>
        <w:spacing w:before="0"/>
        <w:ind w:left="720" w:hanging="720"/>
        <w:jc w:val="both"/>
        <w:rPr>
          <w:szCs w:val="24"/>
        </w:rPr>
      </w:pPr>
      <w:r w:rsidRPr="00CA7C58">
        <w:rPr>
          <w:szCs w:val="24"/>
        </w:rPr>
        <w:t>4.8</w:t>
      </w:r>
      <w:r w:rsidR="00D95BDC" w:rsidRPr="00CA7C58">
        <w:rPr>
          <w:szCs w:val="24"/>
        </w:rPr>
        <w:tab/>
      </w:r>
      <w:r w:rsidRPr="00CA7C58">
        <w:rPr>
          <w:szCs w:val="24"/>
        </w:rPr>
        <w:t>ADVERSE EFFECTS (UNDESIRABLE EFFECTS)</w:t>
      </w:r>
    </w:p>
    <w:p w14:paraId="5BD1615A" w14:textId="77777777" w:rsidR="00CA7C58" w:rsidRPr="00CA7C58" w:rsidRDefault="00CA7C58" w:rsidP="00034A66">
      <w:pPr>
        <w:pStyle w:val="C-BodyText"/>
        <w:spacing w:before="0" w:after="0" w:line="240" w:lineRule="auto"/>
        <w:jc w:val="both"/>
      </w:pPr>
    </w:p>
    <w:p w14:paraId="357A8C78" w14:textId="7712A94B" w:rsidR="00A0314D" w:rsidRPr="00CA7C58" w:rsidRDefault="00A0314D" w:rsidP="00034A66">
      <w:pPr>
        <w:pStyle w:val="C-Heading4"/>
        <w:numPr>
          <w:ilvl w:val="0"/>
          <w:numId w:val="0"/>
        </w:numPr>
        <w:spacing w:before="0"/>
        <w:ind w:left="1080" w:hanging="1080"/>
        <w:jc w:val="both"/>
        <w:rPr>
          <w:szCs w:val="24"/>
        </w:rPr>
      </w:pPr>
      <w:r w:rsidRPr="00CA7C58">
        <w:rPr>
          <w:szCs w:val="24"/>
        </w:rPr>
        <w:t>Clinical Trial Experience in Adult Patients with PNH</w:t>
      </w:r>
    </w:p>
    <w:p w14:paraId="23DEF239" w14:textId="7738C11D" w:rsidR="009258D9" w:rsidRDefault="00AC4FBF" w:rsidP="00034A66">
      <w:pPr>
        <w:autoSpaceDE w:val="0"/>
        <w:autoSpaceDN w:val="0"/>
        <w:adjustRightInd w:val="0"/>
        <w:jc w:val="both"/>
        <w:rPr>
          <w:rFonts w:ascii="Times New Roman" w:hAnsi="Times New Roman" w:cs="Times New Roman"/>
        </w:rPr>
      </w:pPr>
      <w:r w:rsidRPr="00CA7C58">
        <w:rPr>
          <w:rFonts w:ascii="Times New Roman" w:hAnsi="Times New Roman" w:cs="Times New Roman"/>
        </w:rPr>
        <w:t xml:space="preserve">The data described below </w:t>
      </w:r>
      <w:r>
        <w:rPr>
          <w:rFonts w:ascii="Times New Roman" w:hAnsi="Times New Roman" w:cs="Times New Roman"/>
        </w:rPr>
        <w:t xml:space="preserve">in Table 1 </w:t>
      </w:r>
      <w:r w:rsidRPr="00CA7C58">
        <w:rPr>
          <w:rFonts w:ascii="Times New Roman" w:hAnsi="Times New Roman" w:cs="Times New Roman"/>
        </w:rPr>
        <w:t>reflect the exposure in 80 adult patients with PNH who received EMPAVELI (n=41) or eculizumab (n=39) at the recommended dosing regimens for 16 weeks</w:t>
      </w:r>
      <w:r>
        <w:rPr>
          <w:rFonts w:ascii="Times New Roman" w:hAnsi="Times New Roman" w:cs="Times New Roman"/>
        </w:rPr>
        <w:t xml:space="preserve"> in </w:t>
      </w:r>
      <w:r w:rsidRPr="00CA7C58">
        <w:rPr>
          <w:rFonts w:ascii="Times New Roman" w:hAnsi="Times New Roman" w:cs="Times New Roman"/>
        </w:rPr>
        <w:t>Study APL2</w:t>
      </w:r>
      <w:r w:rsidRPr="00CA7C58">
        <w:rPr>
          <w:rFonts w:ascii="Times New Roman" w:hAnsi="Times New Roman" w:cs="Times New Roman"/>
        </w:rPr>
        <w:noBreakHyphen/>
        <w:t>302.</w:t>
      </w:r>
    </w:p>
    <w:p w14:paraId="6BFFCA5C" w14:textId="77777777" w:rsidR="009258D9" w:rsidRDefault="009258D9" w:rsidP="00034A66">
      <w:pPr>
        <w:autoSpaceDE w:val="0"/>
        <w:autoSpaceDN w:val="0"/>
        <w:adjustRightInd w:val="0"/>
        <w:jc w:val="both"/>
        <w:rPr>
          <w:rFonts w:ascii="Times New Roman" w:hAnsi="Times New Roman" w:cs="Times New Roman"/>
        </w:rPr>
      </w:pPr>
    </w:p>
    <w:p w14:paraId="5E62D9CF" w14:textId="319DAD45" w:rsidR="00FF3454" w:rsidRPr="00CA7C58" w:rsidRDefault="009258D9" w:rsidP="00034A66">
      <w:pPr>
        <w:autoSpaceDE w:val="0"/>
        <w:autoSpaceDN w:val="0"/>
        <w:adjustRightInd w:val="0"/>
        <w:jc w:val="both"/>
        <w:rPr>
          <w:rFonts w:ascii="Times New Roman" w:hAnsi="Times New Roman" w:cs="Times New Roman"/>
        </w:rPr>
      </w:pPr>
      <w:r w:rsidRPr="009258D9">
        <w:rPr>
          <w:rFonts w:ascii="Times New Roman" w:hAnsi="Times New Roman" w:cs="Times New Roman"/>
        </w:rPr>
        <w:t>Serious adverse events were reported in 7 (17%) patients with PNH receiving EMPAVELI.</w:t>
      </w:r>
      <w:r>
        <w:rPr>
          <w:rFonts w:ascii="Times New Roman" w:hAnsi="Times New Roman" w:cs="Times New Roman"/>
        </w:rPr>
        <w:t xml:space="preserve"> </w:t>
      </w:r>
      <w:r w:rsidRPr="009258D9">
        <w:rPr>
          <w:rFonts w:ascii="Times New Roman" w:hAnsi="Times New Roman" w:cs="Times New Roman"/>
        </w:rPr>
        <w:t>The most common serious adverse reaction in patients treated with EMPAVELI was infections (5%).</w:t>
      </w:r>
    </w:p>
    <w:p w14:paraId="114AB6BD" w14:textId="052DD39E" w:rsidR="00FF3454" w:rsidRPr="00CA7C58" w:rsidRDefault="00FF3454" w:rsidP="00FF3454">
      <w:pPr>
        <w:rPr>
          <w:rFonts w:ascii="Times New Roman" w:eastAsia="Times New Roman" w:hAnsi="Times New Roman" w:cs="Times New Roman"/>
        </w:rPr>
      </w:pPr>
      <w:bookmarkStart w:id="17" w:name="_Ref45118004"/>
    </w:p>
    <w:bookmarkEnd w:id="17"/>
    <w:p w14:paraId="18013EB6" w14:textId="158688C7" w:rsidR="007E4D4A" w:rsidRPr="00CA7C58" w:rsidRDefault="007E4D4A" w:rsidP="007E4D4A">
      <w:pPr>
        <w:jc w:val="both"/>
        <w:rPr>
          <w:rFonts w:ascii="Times New Roman" w:eastAsia="Times New Roman" w:hAnsi="Times New Roman" w:cs="Times New Roman"/>
          <w:b/>
          <w:bCs/>
          <w:sz w:val="20"/>
          <w:szCs w:val="20"/>
        </w:rPr>
      </w:pPr>
      <w:r w:rsidRPr="00CA7C58">
        <w:rPr>
          <w:rFonts w:ascii="Times New Roman" w:eastAsia="Times New Roman" w:hAnsi="Times New Roman" w:cs="Times New Roman"/>
          <w:b/>
          <w:bCs/>
        </w:rPr>
        <w:t>Table </w:t>
      </w:r>
      <w:r w:rsidRPr="00CA7C58">
        <w:rPr>
          <w:rFonts w:ascii="Times New Roman" w:eastAsia="Times New Roman" w:hAnsi="Times New Roman" w:cs="Times New Roman"/>
          <w:b/>
          <w:bCs/>
        </w:rPr>
        <w:fldChar w:fldCharType="begin"/>
      </w:r>
      <w:r w:rsidRPr="00CA7C58">
        <w:rPr>
          <w:rFonts w:ascii="Times New Roman" w:eastAsia="Times New Roman" w:hAnsi="Times New Roman" w:cs="Times New Roman"/>
          <w:b/>
          <w:bCs/>
        </w:rPr>
        <w:instrText xml:space="preserve"> SEQ Table \* ARABIC </w:instrText>
      </w:r>
      <w:r w:rsidRPr="00CA7C58">
        <w:rPr>
          <w:rFonts w:ascii="Times New Roman" w:eastAsia="Times New Roman" w:hAnsi="Times New Roman" w:cs="Times New Roman"/>
          <w:b/>
          <w:bCs/>
        </w:rPr>
        <w:fldChar w:fldCharType="separate"/>
      </w:r>
      <w:r w:rsidRPr="00CA7C58">
        <w:rPr>
          <w:rFonts w:ascii="Times New Roman" w:eastAsia="Times New Roman" w:hAnsi="Times New Roman" w:cs="Times New Roman"/>
          <w:b/>
          <w:bCs/>
        </w:rPr>
        <w:t>1</w:t>
      </w:r>
      <w:r w:rsidRPr="00CA7C58">
        <w:rPr>
          <w:rFonts w:ascii="Times New Roman" w:eastAsia="Times New Roman" w:hAnsi="Times New Roman" w:cs="Times New Roman"/>
          <w:b/>
          <w:bCs/>
        </w:rPr>
        <w:fldChar w:fldCharType="end"/>
      </w:r>
      <w:r w:rsidRPr="00CA7C58">
        <w:rPr>
          <w:rFonts w:ascii="Times New Roman" w:eastAsia="Times New Roman" w:hAnsi="Times New Roman" w:cs="Times New Roman"/>
          <w:b/>
          <w:bCs/>
        </w:rPr>
        <w:t xml:space="preserve">: Adverse Events Reported in ≥5% of Patients Treated with </w:t>
      </w:r>
      <w:r w:rsidR="007F2819" w:rsidRPr="00CA7C58">
        <w:rPr>
          <w:rFonts w:ascii="Times New Roman" w:eastAsia="Times New Roman" w:hAnsi="Times New Roman" w:cs="Times New Roman"/>
          <w:b/>
          <w:bCs/>
        </w:rPr>
        <w:t>EMPAVELI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250"/>
        <w:gridCol w:w="2610"/>
      </w:tblGrid>
      <w:tr w:rsidR="00CA7C58" w:rsidRPr="00CA7C58" w14:paraId="49FE7389" w14:textId="77777777" w:rsidTr="00A52B2B">
        <w:tc>
          <w:tcPr>
            <w:tcW w:w="3258" w:type="dxa"/>
            <w:shd w:val="clear" w:color="auto" w:fill="auto"/>
            <w:vAlign w:val="center"/>
          </w:tcPr>
          <w:p w14:paraId="02CF99BF" w14:textId="77777777" w:rsidR="007E4D4A" w:rsidRPr="0095659B" w:rsidRDefault="007E4D4A" w:rsidP="00CA7C58">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Body System</w:t>
            </w:r>
          </w:p>
          <w:p w14:paraId="7149EEC1" w14:textId="14A950B5" w:rsidR="007E4D4A" w:rsidRPr="0095659B" w:rsidRDefault="007E4D4A" w:rsidP="00CA7C58">
            <w:pPr>
              <w:ind w:left="180"/>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 xml:space="preserve">Adverse </w:t>
            </w:r>
            <w:r w:rsidR="00E644F0" w:rsidRPr="0095659B">
              <w:rPr>
                <w:rFonts w:ascii="Times New Roman" w:eastAsia="Times New Roman" w:hAnsi="Times New Roman" w:cs="Times New Roman"/>
                <w:b/>
                <w:bCs/>
                <w:sz w:val="20"/>
                <w:szCs w:val="20"/>
              </w:rPr>
              <w:t>Event</w:t>
            </w:r>
          </w:p>
        </w:tc>
        <w:tc>
          <w:tcPr>
            <w:tcW w:w="2250" w:type="dxa"/>
            <w:shd w:val="clear" w:color="auto" w:fill="auto"/>
          </w:tcPr>
          <w:p w14:paraId="3C594F10" w14:textId="07E5C859" w:rsidR="007E4D4A" w:rsidRPr="0095659B" w:rsidRDefault="007F2819" w:rsidP="00CA7C58">
            <w:pPr>
              <w:jc w:val="cente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EMPAVELI</w:t>
            </w:r>
          </w:p>
          <w:p w14:paraId="493AE769" w14:textId="77777777" w:rsidR="007E4D4A" w:rsidRPr="0095659B" w:rsidRDefault="007E4D4A" w:rsidP="00CA7C58">
            <w:pPr>
              <w:jc w:val="cente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(N=41)</w:t>
            </w:r>
          </w:p>
          <w:p w14:paraId="73CC95BC" w14:textId="77777777" w:rsidR="007E4D4A" w:rsidRPr="0095659B" w:rsidRDefault="007E4D4A" w:rsidP="00CA7C58">
            <w:pPr>
              <w:jc w:val="cente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n (%)</w:t>
            </w:r>
          </w:p>
        </w:tc>
        <w:tc>
          <w:tcPr>
            <w:tcW w:w="2610" w:type="dxa"/>
            <w:shd w:val="clear" w:color="auto" w:fill="auto"/>
          </w:tcPr>
          <w:p w14:paraId="0A995166" w14:textId="77777777" w:rsidR="007E4D4A" w:rsidRPr="0095659B" w:rsidRDefault="007E4D4A" w:rsidP="00CA7C58">
            <w:pPr>
              <w:jc w:val="cente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Eculizumab</w:t>
            </w:r>
          </w:p>
          <w:p w14:paraId="36D47286" w14:textId="77777777" w:rsidR="007E4D4A" w:rsidRPr="0095659B" w:rsidRDefault="007E4D4A" w:rsidP="00CA7C58">
            <w:pPr>
              <w:jc w:val="cente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(N=39)</w:t>
            </w:r>
          </w:p>
          <w:p w14:paraId="0F3A4890" w14:textId="77777777" w:rsidR="007E4D4A" w:rsidRPr="0095659B" w:rsidRDefault="007E4D4A" w:rsidP="00CA7C58">
            <w:pPr>
              <w:jc w:val="cente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n (%)</w:t>
            </w:r>
          </w:p>
        </w:tc>
      </w:tr>
      <w:tr w:rsidR="00CA7C58" w:rsidRPr="00CA7C58" w14:paraId="2A992303" w14:textId="77777777" w:rsidTr="00CA7C58">
        <w:tc>
          <w:tcPr>
            <w:tcW w:w="8118" w:type="dxa"/>
            <w:gridSpan w:val="3"/>
            <w:shd w:val="clear" w:color="auto" w:fill="auto"/>
          </w:tcPr>
          <w:p w14:paraId="41A32397" w14:textId="77777777" w:rsidR="007E4D4A" w:rsidRPr="0095659B" w:rsidRDefault="007E4D4A" w:rsidP="00CA7C58">
            <w:pPr>
              <w:rPr>
                <w:rFonts w:ascii="Times New Roman" w:eastAsia="Times New Roman" w:hAnsi="Times New Roman" w:cs="Times New Roman"/>
                <w:sz w:val="20"/>
                <w:szCs w:val="20"/>
              </w:rPr>
            </w:pPr>
            <w:r w:rsidRPr="0095659B">
              <w:rPr>
                <w:rFonts w:ascii="Times New Roman" w:eastAsia="Times New Roman" w:hAnsi="Times New Roman" w:cs="Times New Roman"/>
                <w:b/>
                <w:bCs/>
                <w:sz w:val="20"/>
                <w:szCs w:val="20"/>
              </w:rPr>
              <w:t>General disorders and administration site conditions</w:t>
            </w:r>
          </w:p>
        </w:tc>
      </w:tr>
      <w:tr w:rsidR="00CA7C58" w:rsidRPr="00CA7C58" w14:paraId="49884A19" w14:textId="77777777" w:rsidTr="00CA7C58">
        <w:tc>
          <w:tcPr>
            <w:tcW w:w="3258" w:type="dxa"/>
            <w:shd w:val="clear" w:color="auto" w:fill="auto"/>
          </w:tcPr>
          <w:p w14:paraId="4FE0E4AF" w14:textId="77777777" w:rsidR="007E4D4A" w:rsidRPr="0095659B" w:rsidRDefault="007E4D4A" w:rsidP="00CA7C58">
            <w:pPr>
              <w:ind w:left="180"/>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Injection site erythema</w:t>
            </w:r>
          </w:p>
          <w:p w14:paraId="01B1E911" w14:textId="77777777" w:rsidR="007E4D4A" w:rsidRPr="0095659B" w:rsidRDefault="007E4D4A" w:rsidP="00CA7C58">
            <w:pPr>
              <w:ind w:left="180"/>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Injection site reaction</w:t>
            </w:r>
          </w:p>
          <w:p w14:paraId="2146DC56" w14:textId="77777777" w:rsidR="007E4D4A" w:rsidRPr="0095659B" w:rsidRDefault="007E4D4A" w:rsidP="00CA7C58">
            <w:pPr>
              <w:ind w:left="180"/>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Injection site swelling</w:t>
            </w:r>
          </w:p>
          <w:p w14:paraId="367F9AB3" w14:textId="77777777" w:rsidR="007E4D4A" w:rsidRPr="0095659B" w:rsidRDefault="007E4D4A" w:rsidP="00CA7C58">
            <w:pPr>
              <w:ind w:left="180"/>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Injection site induration</w:t>
            </w:r>
          </w:p>
          <w:p w14:paraId="4047C683" w14:textId="7EB0FAD1" w:rsidR="007E4D4A" w:rsidRPr="0095659B" w:rsidRDefault="007E4D4A" w:rsidP="00CA7C58">
            <w:pPr>
              <w:ind w:left="180"/>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Asthenia</w:t>
            </w:r>
          </w:p>
        </w:tc>
        <w:tc>
          <w:tcPr>
            <w:tcW w:w="2250" w:type="dxa"/>
            <w:shd w:val="clear" w:color="auto" w:fill="auto"/>
          </w:tcPr>
          <w:p w14:paraId="1C97733F"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7 (17.1)</w:t>
            </w:r>
          </w:p>
          <w:p w14:paraId="792D01B0"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5 (12.2)</w:t>
            </w:r>
          </w:p>
          <w:p w14:paraId="4EA6B9EB"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4 (9.8)</w:t>
            </w:r>
          </w:p>
          <w:p w14:paraId="6D37454F"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3 (7.3)</w:t>
            </w:r>
          </w:p>
          <w:p w14:paraId="660FC809" w14:textId="51FEE821"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3 (7.3)</w:t>
            </w:r>
          </w:p>
        </w:tc>
        <w:tc>
          <w:tcPr>
            <w:tcW w:w="2610" w:type="dxa"/>
            <w:shd w:val="clear" w:color="auto" w:fill="auto"/>
          </w:tcPr>
          <w:p w14:paraId="0679F603"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0</w:t>
            </w:r>
          </w:p>
          <w:p w14:paraId="0FDF846B"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0</w:t>
            </w:r>
          </w:p>
          <w:p w14:paraId="0CE7C09C"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0</w:t>
            </w:r>
          </w:p>
          <w:p w14:paraId="31D4DBF1"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0</w:t>
            </w:r>
          </w:p>
          <w:p w14:paraId="0F65A56F" w14:textId="3CA1164D"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3 (7.7)</w:t>
            </w:r>
          </w:p>
        </w:tc>
      </w:tr>
      <w:tr w:rsidR="00CA7C58" w:rsidRPr="00CA7C58" w14:paraId="7626B004" w14:textId="77777777" w:rsidTr="00CA7C58">
        <w:tc>
          <w:tcPr>
            <w:tcW w:w="8118" w:type="dxa"/>
            <w:gridSpan w:val="3"/>
            <w:shd w:val="clear" w:color="auto" w:fill="auto"/>
          </w:tcPr>
          <w:p w14:paraId="0C8F7275" w14:textId="77777777" w:rsidR="007E4D4A" w:rsidRPr="0095659B" w:rsidDel="00C74C5D" w:rsidRDefault="007E4D4A" w:rsidP="00CA7C58">
            <w:pPr>
              <w:rPr>
                <w:rFonts w:ascii="Times New Roman" w:eastAsia="Times New Roman" w:hAnsi="Times New Roman" w:cs="Times New Roman"/>
                <w:sz w:val="20"/>
                <w:szCs w:val="20"/>
              </w:rPr>
            </w:pPr>
            <w:r w:rsidRPr="0095659B">
              <w:rPr>
                <w:rFonts w:ascii="Times New Roman" w:eastAsia="Times New Roman" w:hAnsi="Times New Roman" w:cs="Times New Roman"/>
                <w:b/>
                <w:bCs/>
                <w:sz w:val="20"/>
                <w:szCs w:val="20"/>
              </w:rPr>
              <w:t>Gastrointestinal disorders</w:t>
            </w:r>
          </w:p>
        </w:tc>
      </w:tr>
      <w:tr w:rsidR="00CA7C58" w:rsidRPr="00CA7C58" w14:paraId="5FBA890F" w14:textId="77777777" w:rsidTr="00CA7C58">
        <w:tc>
          <w:tcPr>
            <w:tcW w:w="3258" w:type="dxa"/>
            <w:shd w:val="clear" w:color="auto" w:fill="auto"/>
          </w:tcPr>
          <w:p w14:paraId="453B8E87" w14:textId="77777777" w:rsidR="007E4D4A" w:rsidRPr="0095659B" w:rsidDel="00091CC9" w:rsidRDefault="007E4D4A" w:rsidP="00CA7C58">
            <w:pPr>
              <w:ind w:left="180"/>
              <w:rPr>
                <w:rFonts w:ascii="Times New Roman" w:eastAsia="Times New Roman" w:hAnsi="Times New Roman" w:cs="Times New Roman"/>
                <w:sz w:val="20"/>
                <w:szCs w:val="20"/>
              </w:rPr>
            </w:pPr>
            <w:proofErr w:type="spellStart"/>
            <w:r w:rsidRPr="0095659B">
              <w:rPr>
                <w:rFonts w:ascii="Times New Roman" w:eastAsia="Times New Roman" w:hAnsi="Times New Roman" w:cs="Times New Roman"/>
                <w:sz w:val="20"/>
                <w:szCs w:val="20"/>
              </w:rPr>
              <w:t>Diarrhoea</w:t>
            </w:r>
            <w:proofErr w:type="spellEnd"/>
          </w:p>
        </w:tc>
        <w:tc>
          <w:tcPr>
            <w:tcW w:w="2250" w:type="dxa"/>
            <w:shd w:val="clear" w:color="auto" w:fill="auto"/>
          </w:tcPr>
          <w:p w14:paraId="18D79B4D" w14:textId="77777777" w:rsidR="007E4D4A" w:rsidRPr="0095659B" w:rsidDel="001528E8"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9 (22.0)</w:t>
            </w:r>
          </w:p>
        </w:tc>
        <w:tc>
          <w:tcPr>
            <w:tcW w:w="2610" w:type="dxa"/>
            <w:shd w:val="clear" w:color="auto" w:fill="auto"/>
          </w:tcPr>
          <w:p w14:paraId="226D8CAD" w14:textId="77777777" w:rsidR="007E4D4A" w:rsidRPr="0095659B" w:rsidDel="00C74C5D"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1 (2.6)</w:t>
            </w:r>
          </w:p>
        </w:tc>
      </w:tr>
      <w:tr w:rsidR="00CA7C58" w:rsidRPr="00CA7C58" w14:paraId="32483831" w14:textId="77777777" w:rsidTr="00CA7C58">
        <w:tc>
          <w:tcPr>
            <w:tcW w:w="3258" w:type="dxa"/>
            <w:shd w:val="clear" w:color="auto" w:fill="auto"/>
          </w:tcPr>
          <w:p w14:paraId="1228F7D8" w14:textId="5547FDFF" w:rsidR="007E4D4A" w:rsidRPr="0095659B" w:rsidRDefault="007E4D4A" w:rsidP="00CA7C58">
            <w:pPr>
              <w:ind w:left="180"/>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 xml:space="preserve">Abdominal </w:t>
            </w:r>
            <w:r w:rsidR="00713184" w:rsidRPr="0095659B">
              <w:rPr>
                <w:rFonts w:ascii="Times New Roman" w:eastAsia="Times New Roman" w:hAnsi="Times New Roman" w:cs="Times New Roman"/>
                <w:sz w:val="20"/>
                <w:szCs w:val="20"/>
              </w:rPr>
              <w:t>pain</w:t>
            </w:r>
          </w:p>
        </w:tc>
        <w:tc>
          <w:tcPr>
            <w:tcW w:w="2250" w:type="dxa"/>
            <w:shd w:val="clear" w:color="auto" w:fill="auto"/>
          </w:tcPr>
          <w:p w14:paraId="48B8C274"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5 (12.2)</w:t>
            </w:r>
          </w:p>
        </w:tc>
        <w:tc>
          <w:tcPr>
            <w:tcW w:w="2610" w:type="dxa"/>
            <w:shd w:val="clear" w:color="auto" w:fill="auto"/>
          </w:tcPr>
          <w:p w14:paraId="7308C3B0"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4 (10.3)</w:t>
            </w:r>
          </w:p>
        </w:tc>
      </w:tr>
      <w:tr w:rsidR="00CA7C58" w:rsidRPr="00CA7C58" w14:paraId="5EC8D61F" w14:textId="77777777" w:rsidTr="00CA7C58">
        <w:tc>
          <w:tcPr>
            <w:tcW w:w="8118" w:type="dxa"/>
            <w:gridSpan w:val="3"/>
            <w:shd w:val="clear" w:color="auto" w:fill="auto"/>
          </w:tcPr>
          <w:p w14:paraId="681A94BC" w14:textId="77777777" w:rsidR="007E4D4A" w:rsidRPr="0095659B" w:rsidRDefault="007E4D4A" w:rsidP="00CA7C58">
            <w:pPr>
              <w:rPr>
                <w:rFonts w:ascii="Times New Roman" w:eastAsia="Times New Roman" w:hAnsi="Times New Roman" w:cs="Times New Roman"/>
                <w:sz w:val="20"/>
                <w:szCs w:val="20"/>
              </w:rPr>
            </w:pPr>
            <w:r w:rsidRPr="0095659B">
              <w:rPr>
                <w:rFonts w:ascii="Times New Roman" w:eastAsia="Times New Roman" w:hAnsi="Times New Roman" w:cs="Times New Roman"/>
                <w:b/>
                <w:bCs/>
                <w:sz w:val="20"/>
                <w:szCs w:val="20"/>
              </w:rPr>
              <w:t>Blood and lymphatic system disorders</w:t>
            </w:r>
          </w:p>
        </w:tc>
      </w:tr>
      <w:tr w:rsidR="00CA7C58" w:rsidRPr="00CA7C58" w14:paraId="0DFC0551" w14:textId="77777777" w:rsidTr="00CA7C58">
        <w:tc>
          <w:tcPr>
            <w:tcW w:w="3258" w:type="dxa"/>
            <w:shd w:val="clear" w:color="auto" w:fill="auto"/>
          </w:tcPr>
          <w:p w14:paraId="59CB5DB1" w14:textId="77777777" w:rsidR="007E4D4A" w:rsidRPr="0095659B" w:rsidRDefault="007E4D4A" w:rsidP="00CA7C58">
            <w:pPr>
              <w:ind w:left="180"/>
              <w:rPr>
                <w:rFonts w:ascii="Times New Roman" w:eastAsia="Times New Roman" w:hAnsi="Times New Roman" w:cs="Times New Roman"/>
                <w:sz w:val="20"/>
                <w:szCs w:val="20"/>
              </w:rPr>
            </w:pPr>
            <w:proofErr w:type="spellStart"/>
            <w:r w:rsidRPr="0095659B">
              <w:rPr>
                <w:rFonts w:ascii="Times New Roman" w:eastAsia="Times New Roman" w:hAnsi="Times New Roman" w:cs="Times New Roman"/>
                <w:sz w:val="20"/>
                <w:szCs w:val="20"/>
              </w:rPr>
              <w:t>Haemolysis</w:t>
            </w:r>
            <w:proofErr w:type="spellEnd"/>
          </w:p>
        </w:tc>
        <w:tc>
          <w:tcPr>
            <w:tcW w:w="2250" w:type="dxa"/>
            <w:shd w:val="clear" w:color="auto" w:fill="auto"/>
          </w:tcPr>
          <w:p w14:paraId="69D647DC"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4 (9.8)</w:t>
            </w:r>
          </w:p>
        </w:tc>
        <w:tc>
          <w:tcPr>
            <w:tcW w:w="2610" w:type="dxa"/>
            <w:shd w:val="clear" w:color="auto" w:fill="auto"/>
          </w:tcPr>
          <w:p w14:paraId="5C8FA6BA"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9 (23.1)</w:t>
            </w:r>
          </w:p>
        </w:tc>
      </w:tr>
      <w:tr w:rsidR="00CA7C58" w:rsidRPr="00CA7C58" w14:paraId="5EBD0D2C" w14:textId="77777777" w:rsidTr="00CA7C58">
        <w:tc>
          <w:tcPr>
            <w:tcW w:w="8118" w:type="dxa"/>
            <w:gridSpan w:val="3"/>
            <w:shd w:val="clear" w:color="auto" w:fill="auto"/>
          </w:tcPr>
          <w:p w14:paraId="2C4E9BD5" w14:textId="77777777" w:rsidR="007E4D4A" w:rsidRPr="0095659B" w:rsidDel="00C74C5D" w:rsidRDefault="007E4D4A" w:rsidP="00CA7C58">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Musculoskeletal and connective tissue disorders</w:t>
            </w:r>
          </w:p>
        </w:tc>
      </w:tr>
      <w:tr w:rsidR="00CA7C58" w:rsidRPr="00CA7C58" w14:paraId="7FC543BB" w14:textId="77777777" w:rsidTr="00CA7C58">
        <w:tc>
          <w:tcPr>
            <w:tcW w:w="3258" w:type="dxa"/>
            <w:shd w:val="clear" w:color="auto" w:fill="auto"/>
          </w:tcPr>
          <w:p w14:paraId="15AF462D" w14:textId="77777777" w:rsidR="007E4D4A" w:rsidRPr="0095659B" w:rsidDel="00091CC9" w:rsidRDefault="007E4D4A" w:rsidP="00CA7C58">
            <w:pPr>
              <w:ind w:left="180"/>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Back pain</w:t>
            </w:r>
          </w:p>
        </w:tc>
        <w:tc>
          <w:tcPr>
            <w:tcW w:w="2250" w:type="dxa"/>
            <w:shd w:val="clear" w:color="auto" w:fill="auto"/>
          </w:tcPr>
          <w:p w14:paraId="0023E320" w14:textId="77777777" w:rsidR="007E4D4A" w:rsidRPr="0095659B" w:rsidDel="001528E8"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3 (7.3)</w:t>
            </w:r>
          </w:p>
        </w:tc>
        <w:tc>
          <w:tcPr>
            <w:tcW w:w="2610" w:type="dxa"/>
            <w:shd w:val="clear" w:color="auto" w:fill="auto"/>
          </w:tcPr>
          <w:p w14:paraId="7BCCEDA1" w14:textId="77777777" w:rsidR="007E4D4A" w:rsidRPr="0095659B" w:rsidDel="00C74C5D"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4 (10.3)</w:t>
            </w:r>
          </w:p>
        </w:tc>
      </w:tr>
      <w:tr w:rsidR="00CA7C58" w:rsidRPr="00CA7C58" w14:paraId="542E3BAC" w14:textId="77777777" w:rsidTr="00CA7C58">
        <w:tc>
          <w:tcPr>
            <w:tcW w:w="3258" w:type="dxa"/>
            <w:shd w:val="clear" w:color="auto" w:fill="auto"/>
          </w:tcPr>
          <w:p w14:paraId="4DC44A1B" w14:textId="77777777" w:rsidR="007E4D4A" w:rsidRPr="0095659B" w:rsidDel="00091CC9" w:rsidRDefault="007E4D4A" w:rsidP="00CA7C58">
            <w:pPr>
              <w:ind w:left="180"/>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Pain in extremity</w:t>
            </w:r>
          </w:p>
        </w:tc>
        <w:tc>
          <w:tcPr>
            <w:tcW w:w="2250" w:type="dxa"/>
            <w:shd w:val="clear" w:color="auto" w:fill="auto"/>
          </w:tcPr>
          <w:p w14:paraId="7E5BBA4F" w14:textId="77777777" w:rsidR="007E4D4A" w:rsidRPr="0095659B" w:rsidDel="001528E8"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3 (7.3)</w:t>
            </w:r>
          </w:p>
        </w:tc>
        <w:tc>
          <w:tcPr>
            <w:tcW w:w="2610" w:type="dxa"/>
            <w:shd w:val="clear" w:color="auto" w:fill="auto"/>
          </w:tcPr>
          <w:p w14:paraId="20075400" w14:textId="77777777" w:rsidR="007E4D4A" w:rsidRPr="0095659B" w:rsidDel="00C74C5D"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1 (2.6)</w:t>
            </w:r>
          </w:p>
        </w:tc>
      </w:tr>
      <w:tr w:rsidR="00CA7C58" w:rsidRPr="00CA7C58" w14:paraId="01D0CBF8" w14:textId="77777777" w:rsidTr="00CA7C58">
        <w:tc>
          <w:tcPr>
            <w:tcW w:w="3258" w:type="dxa"/>
            <w:shd w:val="clear" w:color="auto" w:fill="auto"/>
          </w:tcPr>
          <w:p w14:paraId="0CB40DC1" w14:textId="77777777" w:rsidR="007E4D4A" w:rsidRPr="0095659B" w:rsidRDefault="007E4D4A" w:rsidP="00CA7C58">
            <w:pPr>
              <w:rPr>
                <w:rFonts w:ascii="Times New Roman" w:eastAsia="Times New Roman" w:hAnsi="Times New Roman" w:cs="Times New Roman"/>
                <w:sz w:val="20"/>
                <w:szCs w:val="20"/>
              </w:rPr>
            </w:pPr>
            <w:r w:rsidRPr="0095659B">
              <w:rPr>
                <w:rFonts w:ascii="Times New Roman" w:eastAsia="Times New Roman" w:hAnsi="Times New Roman" w:cs="Times New Roman"/>
                <w:b/>
                <w:bCs/>
                <w:sz w:val="20"/>
                <w:szCs w:val="20"/>
              </w:rPr>
              <w:t>Nervous system disorders</w:t>
            </w:r>
          </w:p>
        </w:tc>
        <w:tc>
          <w:tcPr>
            <w:tcW w:w="2250" w:type="dxa"/>
            <w:shd w:val="clear" w:color="auto" w:fill="auto"/>
          </w:tcPr>
          <w:p w14:paraId="7280578A" w14:textId="77777777" w:rsidR="007E4D4A" w:rsidRPr="0095659B" w:rsidRDefault="007E4D4A" w:rsidP="00CA7C58">
            <w:pPr>
              <w:jc w:val="center"/>
              <w:rPr>
                <w:rFonts w:ascii="Times New Roman" w:eastAsia="Times New Roman" w:hAnsi="Times New Roman" w:cs="Times New Roman"/>
                <w:sz w:val="20"/>
                <w:szCs w:val="20"/>
              </w:rPr>
            </w:pPr>
          </w:p>
        </w:tc>
        <w:tc>
          <w:tcPr>
            <w:tcW w:w="2610" w:type="dxa"/>
            <w:shd w:val="clear" w:color="auto" w:fill="auto"/>
          </w:tcPr>
          <w:p w14:paraId="40AB2C57" w14:textId="77777777" w:rsidR="007E4D4A" w:rsidRPr="0095659B" w:rsidRDefault="007E4D4A" w:rsidP="00CA7C58">
            <w:pPr>
              <w:jc w:val="center"/>
              <w:rPr>
                <w:rFonts w:ascii="Times New Roman" w:eastAsia="Times New Roman" w:hAnsi="Times New Roman" w:cs="Times New Roman"/>
                <w:sz w:val="20"/>
                <w:szCs w:val="20"/>
              </w:rPr>
            </w:pPr>
          </w:p>
        </w:tc>
      </w:tr>
      <w:tr w:rsidR="00CA7C58" w:rsidRPr="00CA7C58" w14:paraId="26FD5609" w14:textId="77777777" w:rsidTr="00CA7C58">
        <w:tc>
          <w:tcPr>
            <w:tcW w:w="3258" w:type="dxa"/>
            <w:shd w:val="clear" w:color="auto" w:fill="auto"/>
          </w:tcPr>
          <w:p w14:paraId="68559BCF" w14:textId="17007E88" w:rsidR="007E4D4A" w:rsidRPr="0095659B" w:rsidRDefault="007E4D4A" w:rsidP="00CA7C58">
            <w:pPr>
              <w:ind w:left="180"/>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Headache</w:t>
            </w:r>
          </w:p>
        </w:tc>
        <w:tc>
          <w:tcPr>
            <w:tcW w:w="2250" w:type="dxa"/>
            <w:shd w:val="clear" w:color="auto" w:fill="auto"/>
          </w:tcPr>
          <w:p w14:paraId="45195520" w14:textId="4E5D18B8"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3 (7.3)</w:t>
            </w:r>
          </w:p>
        </w:tc>
        <w:tc>
          <w:tcPr>
            <w:tcW w:w="2610" w:type="dxa"/>
            <w:shd w:val="clear" w:color="auto" w:fill="auto"/>
          </w:tcPr>
          <w:p w14:paraId="70708077" w14:textId="25600036"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9 (23.1)</w:t>
            </w:r>
          </w:p>
        </w:tc>
      </w:tr>
      <w:tr w:rsidR="00CA7C58" w:rsidRPr="00CA7C58" w14:paraId="55D6C305" w14:textId="77777777" w:rsidTr="00CA7C58">
        <w:tc>
          <w:tcPr>
            <w:tcW w:w="8118" w:type="dxa"/>
            <w:gridSpan w:val="3"/>
            <w:shd w:val="clear" w:color="auto" w:fill="auto"/>
          </w:tcPr>
          <w:p w14:paraId="5FDA5409" w14:textId="77777777" w:rsidR="007E4D4A" w:rsidRPr="0095659B" w:rsidRDefault="007E4D4A" w:rsidP="00CA7C58">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Vascular disorders</w:t>
            </w:r>
          </w:p>
        </w:tc>
      </w:tr>
      <w:tr w:rsidR="00CA7C58" w:rsidRPr="00CA7C58" w14:paraId="47B1D43A" w14:textId="77777777" w:rsidTr="00CA7C58">
        <w:tc>
          <w:tcPr>
            <w:tcW w:w="3258" w:type="dxa"/>
            <w:shd w:val="clear" w:color="auto" w:fill="auto"/>
          </w:tcPr>
          <w:p w14:paraId="2B048A48" w14:textId="77777777" w:rsidR="007E4D4A" w:rsidRPr="0095659B" w:rsidRDefault="007E4D4A" w:rsidP="00CA7C58">
            <w:pPr>
              <w:ind w:left="180"/>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Hypertension</w:t>
            </w:r>
          </w:p>
        </w:tc>
        <w:tc>
          <w:tcPr>
            <w:tcW w:w="2250" w:type="dxa"/>
            <w:shd w:val="clear" w:color="auto" w:fill="auto"/>
          </w:tcPr>
          <w:p w14:paraId="6839C279"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3 (7.3)</w:t>
            </w:r>
          </w:p>
        </w:tc>
        <w:tc>
          <w:tcPr>
            <w:tcW w:w="2610" w:type="dxa"/>
            <w:shd w:val="clear" w:color="auto" w:fill="auto"/>
          </w:tcPr>
          <w:p w14:paraId="0AE67F64" w14:textId="77777777" w:rsidR="007E4D4A" w:rsidRPr="0095659B" w:rsidRDefault="007E4D4A" w:rsidP="00CA7C58">
            <w:pPr>
              <w:jc w:val="center"/>
              <w:rPr>
                <w:rFonts w:ascii="Times New Roman" w:eastAsia="Times New Roman" w:hAnsi="Times New Roman" w:cs="Times New Roman"/>
                <w:sz w:val="20"/>
                <w:szCs w:val="20"/>
              </w:rPr>
            </w:pPr>
            <w:r w:rsidRPr="0095659B">
              <w:rPr>
                <w:rFonts w:ascii="Times New Roman" w:eastAsia="Times New Roman" w:hAnsi="Times New Roman" w:cs="Times New Roman"/>
                <w:sz w:val="20"/>
                <w:szCs w:val="20"/>
              </w:rPr>
              <w:t>1 (2.6)</w:t>
            </w:r>
          </w:p>
        </w:tc>
      </w:tr>
    </w:tbl>
    <w:p w14:paraId="51A939E0" w14:textId="70BDEE9A" w:rsidR="00CA7C58" w:rsidRPr="006F3D10" w:rsidRDefault="00CA7C58" w:rsidP="00E54119">
      <w:pPr>
        <w:pStyle w:val="C-BodyText"/>
        <w:spacing w:before="0" w:after="0" w:line="240" w:lineRule="auto"/>
        <w:rPr>
          <w:iCs/>
          <w:szCs w:val="24"/>
        </w:rPr>
      </w:pPr>
      <w:bookmarkStart w:id="18" w:name="_Hlk52373165"/>
    </w:p>
    <w:p w14:paraId="479654CA" w14:textId="77777777" w:rsidR="00AE43E1" w:rsidRPr="006F3D10" w:rsidRDefault="00AE43E1" w:rsidP="00AE43E1">
      <w:pPr>
        <w:autoSpaceDE w:val="0"/>
        <w:autoSpaceDN w:val="0"/>
        <w:adjustRightInd w:val="0"/>
        <w:rPr>
          <w:rFonts w:ascii="Times New Roman" w:hAnsi="Times New Roman" w:cs="Times New Roman"/>
          <w:color w:val="000000"/>
          <w:u w:val="single"/>
        </w:rPr>
      </w:pPr>
      <w:bookmarkStart w:id="19" w:name="_Hlk80698067"/>
      <w:r w:rsidRPr="006F3D10">
        <w:rPr>
          <w:rFonts w:ascii="Times New Roman" w:hAnsi="Times New Roman" w:cs="Times New Roman"/>
          <w:color w:val="000000"/>
          <w:u w:val="single"/>
        </w:rPr>
        <w:t xml:space="preserve">Clinically relevant adverse reactions in less than 5% of patients include: </w:t>
      </w:r>
    </w:p>
    <w:p w14:paraId="6D3F9CC7" w14:textId="77777777" w:rsidR="00AE43E1" w:rsidRPr="006F3D10" w:rsidRDefault="00AE43E1" w:rsidP="00AE43E1">
      <w:pPr>
        <w:pStyle w:val="ListParagraph"/>
        <w:numPr>
          <w:ilvl w:val="0"/>
          <w:numId w:val="41"/>
        </w:numPr>
        <w:autoSpaceDE w:val="0"/>
        <w:autoSpaceDN w:val="0"/>
        <w:adjustRightInd w:val="0"/>
        <w:rPr>
          <w:rFonts w:ascii="Times New Roman" w:hAnsi="Times New Roman" w:cs="Times New Roman"/>
          <w:color w:val="000000"/>
        </w:rPr>
      </w:pPr>
      <w:r w:rsidRPr="006F3D10">
        <w:rPr>
          <w:rFonts w:ascii="Times New Roman" w:hAnsi="Times New Roman" w:cs="Times New Roman"/>
          <w:color w:val="000000"/>
        </w:rPr>
        <w:t xml:space="preserve">Intestinal ischemia </w:t>
      </w:r>
    </w:p>
    <w:p w14:paraId="3C6E5E80" w14:textId="77777777" w:rsidR="00AE43E1" w:rsidRPr="006F3D10" w:rsidRDefault="00AE43E1" w:rsidP="00AE43E1">
      <w:pPr>
        <w:pStyle w:val="ListParagraph"/>
        <w:numPr>
          <w:ilvl w:val="0"/>
          <w:numId w:val="41"/>
        </w:numPr>
        <w:autoSpaceDE w:val="0"/>
        <w:autoSpaceDN w:val="0"/>
        <w:adjustRightInd w:val="0"/>
        <w:rPr>
          <w:rFonts w:ascii="Times New Roman" w:hAnsi="Times New Roman" w:cs="Times New Roman"/>
          <w:color w:val="000000"/>
        </w:rPr>
      </w:pPr>
      <w:r w:rsidRPr="006F3D10">
        <w:rPr>
          <w:rFonts w:ascii="Times New Roman" w:hAnsi="Times New Roman" w:cs="Times New Roman"/>
          <w:color w:val="000000"/>
        </w:rPr>
        <w:t xml:space="preserve">Biliary sepsis </w:t>
      </w:r>
    </w:p>
    <w:p w14:paraId="712C3707" w14:textId="77777777" w:rsidR="00AE43E1" w:rsidRPr="006F3D10" w:rsidRDefault="00AE43E1" w:rsidP="00AE43E1">
      <w:pPr>
        <w:pStyle w:val="ListParagraph"/>
        <w:numPr>
          <w:ilvl w:val="0"/>
          <w:numId w:val="41"/>
        </w:numPr>
        <w:autoSpaceDE w:val="0"/>
        <w:autoSpaceDN w:val="0"/>
        <w:adjustRightInd w:val="0"/>
        <w:rPr>
          <w:rFonts w:ascii="Times New Roman" w:hAnsi="Times New Roman" w:cs="Times New Roman"/>
          <w:color w:val="000000"/>
        </w:rPr>
      </w:pPr>
      <w:r w:rsidRPr="006F3D10">
        <w:rPr>
          <w:rFonts w:ascii="Times New Roman" w:hAnsi="Times New Roman" w:cs="Times New Roman"/>
          <w:color w:val="000000"/>
        </w:rPr>
        <w:t xml:space="preserve">Hypersensitivity pneumonitis </w:t>
      </w:r>
    </w:p>
    <w:p w14:paraId="402D6DB2" w14:textId="77777777" w:rsidR="00CD6D43" w:rsidRDefault="00CD6D43" w:rsidP="006069DF">
      <w:pPr>
        <w:pStyle w:val="C-BodyText"/>
        <w:spacing w:before="0" w:after="0" w:line="240" w:lineRule="auto"/>
      </w:pPr>
    </w:p>
    <w:p w14:paraId="445FC638" w14:textId="6E0490A1" w:rsidR="006069DF" w:rsidRDefault="00100BE1" w:rsidP="00034A66">
      <w:pPr>
        <w:pStyle w:val="C-BodyText"/>
        <w:spacing w:before="0" w:after="0" w:line="240" w:lineRule="auto"/>
        <w:jc w:val="both"/>
      </w:pPr>
      <w:r w:rsidRPr="00CA7C58">
        <w:t xml:space="preserve">The data described </w:t>
      </w:r>
      <w:r>
        <w:t>in Table 2</w:t>
      </w:r>
      <w:r w:rsidRPr="00CA7C58">
        <w:t xml:space="preserve"> reflect the exposure</w:t>
      </w:r>
      <w:r>
        <w:t xml:space="preserve"> in the 80 adult patients in </w:t>
      </w:r>
      <w:r w:rsidRPr="00CA7C58">
        <w:t>Study APL2</w:t>
      </w:r>
      <w:r w:rsidRPr="00CA7C58">
        <w:noBreakHyphen/>
        <w:t xml:space="preserve">302 </w:t>
      </w:r>
      <w:r>
        <w:t>who</w:t>
      </w:r>
      <w:r w:rsidRPr="00CA7C58">
        <w:t xml:space="preserve"> recei</w:t>
      </w:r>
      <w:r>
        <w:t>ved</w:t>
      </w:r>
      <w:r w:rsidRPr="00CA7C58">
        <w:t xml:space="preserve"> EMPAVELI at the recommended dosing regimens for </w:t>
      </w:r>
      <w:r>
        <w:t>up to 48 </w:t>
      </w:r>
      <w:r w:rsidRPr="00CA7C58">
        <w:t>weeks.</w:t>
      </w:r>
      <w:bookmarkEnd w:id="19"/>
    </w:p>
    <w:p w14:paraId="29442CC9" w14:textId="77777777" w:rsidR="006069DF" w:rsidRDefault="006069DF" w:rsidP="006069DF">
      <w:pPr>
        <w:pStyle w:val="C-BodyText"/>
        <w:spacing w:before="0" w:after="0" w:line="240" w:lineRule="auto"/>
        <w:rPr>
          <w:iCs/>
          <w:szCs w:val="24"/>
        </w:rPr>
      </w:pPr>
    </w:p>
    <w:p w14:paraId="3776D7B6" w14:textId="15F58E9F" w:rsidR="006069DF" w:rsidRPr="00CA7C58" w:rsidRDefault="006069DF" w:rsidP="006069DF">
      <w:pPr>
        <w:jc w:val="both"/>
        <w:rPr>
          <w:rFonts w:ascii="Times New Roman" w:eastAsia="Times New Roman" w:hAnsi="Times New Roman" w:cs="Times New Roman"/>
          <w:b/>
          <w:bCs/>
          <w:sz w:val="20"/>
          <w:szCs w:val="20"/>
        </w:rPr>
      </w:pPr>
      <w:r w:rsidRPr="00CA7C58">
        <w:rPr>
          <w:rFonts w:ascii="Times New Roman" w:eastAsia="Times New Roman" w:hAnsi="Times New Roman" w:cs="Times New Roman"/>
          <w:b/>
          <w:bCs/>
        </w:rPr>
        <w:t>Table </w:t>
      </w:r>
      <w:r>
        <w:rPr>
          <w:rFonts w:ascii="Times New Roman" w:eastAsia="Times New Roman" w:hAnsi="Times New Roman" w:cs="Times New Roman"/>
          <w:b/>
          <w:bCs/>
        </w:rPr>
        <w:t>2</w:t>
      </w:r>
      <w:r w:rsidRPr="00CA7C58">
        <w:rPr>
          <w:rFonts w:ascii="Times New Roman" w:eastAsia="Times New Roman" w:hAnsi="Times New Roman" w:cs="Times New Roman"/>
          <w:b/>
          <w:bCs/>
        </w:rPr>
        <w:t xml:space="preserve">: Adverse Events Reported in </w:t>
      </w:r>
      <w:r w:rsidR="00C242C3">
        <w:rPr>
          <w:rFonts w:ascii="Times New Roman" w:eastAsia="Times New Roman" w:hAnsi="Times New Roman" w:cs="Times New Roman"/>
          <w:b/>
          <w:bCs/>
        </w:rPr>
        <w:t xml:space="preserve">≥5% of </w:t>
      </w:r>
      <w:r w:rsidRPr="00CA7C58">
        <w:rPr>
          <w:rFonts w:ascii="Times New Roman" w:eastAsia="Times New Roman" w:hAnsi="Times New Roman" w:cs="Times New Roman"/>
          <w:b/>
          <w:bCs/>
        </w:rPr>
        <w:t>Patients Treated with EMPAVELI</w:t>
      </w:r>
      <w:r>
        <w:rPr>
          <w:rFonts w:ascii="Times New Roman" w:eastAsia="Times New Roman" w:hAnsi="Times New Roman" w:cs="Times New Roman"/>
          <w:b/>
          <w:bCs/>
        </w:rPr>
        <w:t xml:space="preserve"> </w:t>
      </w:r>
      <w:r w:rsidR="00C242C3">
        <w:rPr>
          <w:rFonts w:ascii="Times New Roman" w:eastAsia="Times New Roman" w:hAnsi="Times New Roman" w:cs="Times New Roman"/>
          <w:b/>
          <w:bCs/>
        </w:rPr>
        <w:t xml:space="preserve">for </w:t>
      </w:r>
      <w:r w:rsidR="000229E5">
        <w:rPr>
          <w:rFonts w:ascii="Times New Roman" w:eastAsia="Times New Roman" w:hAnsi="Times New Roman" w:cs="Times New Roman"/>
          <w:b/>
          <w:bCs/>
        </w:rPr>
        <w:t xml:space="preserve">up to </w:t>
      </w:r>
      <w:r w:rsidR="00C242C3">
        <w:rPr>
          <w:rFonts w:ascii="Times New Roman" w:eastAsia="Times New Roman" w:hAnsi="Times New Roman" w:cs="Times New Roman"/>
          <w:b/>
          <w:bCs/>
        </w:rPr>
        <w:t>48 Weeks</w:t>
      </w:r>
    </w:p>
    <w:tbl>
      <w:tblPr>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160"/>
        <w:gridCol w:w="2340"/>
      </w:tblGrid>
      <w:tr w:rsidR="00C242C3" w:rsidRPr="00CA7C58" w14:paraId="547546D1" w14:textId="77777777" w:rsidTr="006733DC">
        <w:tc>
          <w:tcPr>
            <w:tcW w:w="3055" w:type="dxa"/>
            <w:shd w:val="clear" w:color="auto" w:fill="auto"/>
            <w:vAlign w:val="center"/>
          </w:tcPr>
          <w:p w14:paraId="653E3FE6" w14:textId="54B06FEF" w:rsidR="00C242C3" w:rsidRPr="0095659B" w:rsidRDefault="00C242C3" w:rsidP="00B253D3">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MedDRA SOC</w:t>
            </w:r>
          </w:p>
        </w:tc>
        <w:tc>
          <w:tcPr>
            <w:tcW w:w="2160" w:type="dxa"/>
            <w:shd w:val="clear" w:color="auto" w:fill="auto"/>
            <w:vAlign w:val="center"/>
          </w:tcPr>
          <w:p w14:paraId="20265224" w14:textId="77777777" w:rsidR="00C242C3" w:rsidRPr="0095659B" w:rsidRDefault="00C242C3" w:rsidP="006D5561">
            <w:pPr>
              <w:pStyle w:val="TableTextColHead"/>
              <w:rPr>
                <w:rFonts w:ascii="Times New Roman" w:hAnsi="Times New Roman"/>
              </w:rPr>
            </w:pPr>
            <w:r w:rsidRPr="0095659B">
              <w:rPr>
                <w:rFonts w:ascii="Times New Roman" w:hAnsi="Times New Roman"/>
              </w:rPr>
              <w:t>Very common</w:t>
            </w:r>
          </w:p>
          <w:p w14:paraId="5C0F77C4" w14:textId="09E01DB7" w:rsidR="00C242C3" w:rsidRPr="0095659B" w:rsidRDefault="00C242C3" w:rsidP="00C242C3">
            <w:pPr>
              <w:pStyle w:val="TableTextColHead"/>
              <w:rPr>
                <w:rFonts w:ascii="Times New Roman" w:hAnsi="Times New Roman"/>
                <w:b w:val="0"/>
              </w:rPr>
            </w:pPr>
            <w:r w:rsidRPr="0095659B">
              <w:rPr>
                <w:rFonts w:ascii="Times New Roman" w:hAnsi="Times New Roman"/>
              </w:rPr>
              <w:t>≥1/10</w:t>
            </w:r>
          </w:p>
        </w:tc>
        <w:tc>
          <w:tcPr>
            <w:tcW w:w="2340" w:type="dxa"/>
            <w:shd w:val="clear" w:color="auto" w:fill="auto"/>
            <w:vAlign w:val="center"/>
          </w:tcPr>
          <w:p w14:paraId="58728A38" w14:textId="77777777" w:rsidR="00C242C3" w:rsidRPr="0095659B" w:rsidRDefault="00C242C3" w:rsidP="006D5561">
            <w:pPr>
              <w:pStyle w:val="TableTextColHead"/>
              <w:rPr>
                <w:rFonts w:ascii="Times New Roman" w:hAnsi="Times New Roman"/>
              </w:rPr>
            </w:pPr>
            <w:r w:rsidRPr="0095659B">
              <w:rPr>
                <w:rFonts w:ascii="Times New Roman" w:hAnsi="Times New Roman"/>
              </w:rPr>
              <w:t>Common</w:t>
            </w:r>
          </w:p>
          <w:p w14:paraId="745FD3D5" w14:textId="35C60CA6" w:rsidR="00C242C3" w:rsidRPr="0095659B" w:rsidRDefault="00C242C3" w:rsidP="00C242C3">
            <w:pPr>
              <w:pStyle w:val="TableTextColHead"/>
              <w:rPr>
                <w:rFonts w:ascii="Times New Roman" w:hAnsi="Times New Roman"/>
              </w:rPr>
            </w:pPr>
            <w:r w:rsidRPr="0095659B">
              <w:rPr>
                <w:rFonts w:ascii="Times New Roman" w:hAnsi="Times New Roman"/>
              </w:rPr>
              <w:t>≥1/100 to &lt;1/10</w:t>
            </w:r>
          </w:p>
        </w:tc>
      </w:tr>
      <w:tr w:rsidR="00C242C3" w:rsidRPr="00CA7C58" w14:paraId="44114D41" w14:textId="77777777" w:rsidTr="006733DC">
        <w:tc>
          <w:tcPr>
            <w:tcW w:w="3055" w:type="dxa"/>
            <w:shd w:val="clear" w:color="auto" w:fill="auto"/>
          </w:tcPr>
          <w:p w14:paraId="322A99FE" w14:textId="77777777" w:rsidR="00C242C3" w:rsidRPr="0095659B" w:rsidRDefault="00C242C3" w:rsidP="006D5561">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Infections and infestations</w:t>
            </w:r>
          </w:p>
        </w:tc>
        <w:tc>
          <w:tcPr>
            <w:tcW w:w="2160" w:type="dxa"/>
            <w:shd w:val="clear" w:color="auto" w:fill="auto"/>
          </w:tcPr>
          <w:p w14:paraId="0512C769" w14:textId="77777777"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Nasopharyngitis</w:t>
            </w:r>
          </w:p>
          <w:p w14:paraId="2762657D" w14:textId="3C78BAD8"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lastRenderedPageBreak/>
              <w:t>Upper respiratory tract infection</w:t>
            </w:r>
          </w:p>
        </w:tc>
        <w:tc>
          <w:tcPr>
            <w:tcW w:w="2340" w:type="dxa"/>
            <w:shd w:val="clear" w:color="auto" w:fill="auto"/>
          </w:tcPr>
          <w:p w14:paraId="572C1FE7" w14:textId="77777777"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lastRenderedPageBreak/>
              <w:t>Urinary tract infection</w:t>
            </w:r>
          </w:p>
          <w:p w14:paraId="52D0C3AC" w14:textId="77777777" w:rsidR="00C242C3" w:rsidRPr="0095659B" w:rsidRDefault="00C242C3" w:rsidP="00C242C3">
            <w:pPr>
              <w:rPr>
                <w:rFonts w:ascii="Times New Roman" w:eastAsia="Times New Roman" w:hAnsi="Times New Roman" w:cs="Times New Roman"/>
                <w:bCs/>
                <w:sz w:val="20"/>
                <w:szCs w:val="20"/>
              </w:rPr>
            </w:pPr>
            <w:r w:rsidRPr="0095659B">
              <w:rPr>
                <w:rFonts w:ascii="Times New Roman" w:eastAsia="Times New Roman" w:hAnsi="Times New Roman" w:cs="Times New Roman"/>
                <w:bCs/>
                <w:sz w:val="20"/>
                <w:szCs w:val="20"/>
              </w:rPr>
              <w:t>Oral herpes</w:t>
            </w:r>
          </w:p>
          <w:p w14:paraId="2DEF86C3" w14:textId="77777777" w:rsidR="00C242C3" w:rsidRPr="0095659B" w:rsidRDefault="00C242C3" w:rsidP="00C242C3">
            <w:pPr>
              <w:rPr>
                <w:rFonts w:ascii="Times New Roman" w:eastAsia="Times New Roman" w:hAnsi="Times New Roman" w:cs="Times New Roman"/>
                <w:bCs/>
                <w:sz w:val="20"/>
                <w:szCs w:val="20"/>
              </w:rPr>
            </w:pPr>
            <w:r w:rsidRPr="0095659B">
              <w:rPr>
                <w:rFonts w:ascii="Times New Roman" w:eastAsia="Times New Roman" w:hAnsi="Times New Roman" w:cs="Times New Roman"/>
                <w:bCs/>
                <w:sz w:val="20"/>
                <w:szCs w:val="20"/>
              </w:rPr>
              <w:lastRenderedPageBreak/>
              <w:t>Gastroenteritis</w:t>
            </w:r>
          </w:p>
          <w:p w14:paraId="04DC3971" w14:textId="5911A22F"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Sinusitis</w:t>
            </w:r>
          </w:p>
        </w:tc>
      </w:tr>
      <w:tr w:rsidR="00C242C3" w:rsidRPr="00CA7C58" w14:paraId="1A2C6876" w14:textId="77777777" w:rsidTr="006733DC">
        <w:tc>
          <w:tcPr>
            <w:tcW w:w="3055" w:type="dxa"/>
            <w:shd w:val="clear" w:color="auto" w:fill="auto"/>
          </w:tcPr>
          <w:p w14:paraId="66CD8A15" w14:textId="77777777" w:rsidR="00C242C3" w:rsidRPr="0095659B" w:rsidRDefault="00C242C3" w:rsidP="006D5561">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lastRenderedPageBreak/>
              <w:t>Blood and lymphatic system disorders</w:t>
            </w:r>
          </w:p>
        </w:tc>
        <w:tc>
          <w:tcPr>
            <w:tcW w:w="2160" w:type="dxa"/>
            <w:shd w:val="clear" w:color="auto" w:fill="auto"/>
          </w:tcPr>
          <w:p w14:paraId="76372ECD" w14:textId="5E7F92A1" w:rsidR="00C242C3" w:rsidRPr="00794679" w:rsidRDefault="00C242C3" w:rsidP="00C242C3">
            <w:pPr>
              <w:pStyle w:val="TableTextColHead"/>
              <w:jc w:val="left"/>
              <w:rPr>
                <w:rFonts w:ascii="Times New Roman" w:hAnsi="Times New Roman"/>
                <w:b w:val="0"/>
                <w:bCs/>
              </w:rPr>
            </w:pPr>
            <w:proofErr w:type="spellStart"/>
            <w:r w:rsidRPr="00794679">
              <w:rPr>
                <w:rFonts w:ascii="Times New Roman" w:hAnsi="Times New Roman"/>
                <w:b w:val="0"/>
                <w:bCs/>
              </w:rPr>
              <w:t>Haemolysis</w:t>
            </w:r>
            <w:proofErr w:type="spellEnd"/>
          </w:p>
        </w:tc>
        <w:tc>
          <w:tcPr>
            <w:tcW w:w="2340" w:type="dxa"/>
            <w:shd w:val="clear" w:color="auto" w:fill="auto"/>
          </w:tcPr>
          <w:p w14:paraId="3E0B733F" w14:textId="17A08AF4"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Thrombocytopenia</w:t>
            </w:r>
          </w:p>
        </w:tc>
      </w:tr>
      <w:tr w:rsidR="00C242C3" w:rsidRPr="00CA7C58" w14:paraId="20334A1F" w14:textId="77777777" w:rsidTr="006733DC">
        <w:tc>
          <w:tcPr>
            <w:tcW w:w="3055" w:type="dxa"/>
            <w:shd w:val="clear" w:color="auto" w:fill="auto"/>
          </w:tcPr>
          <w:p w14:paraId="4B64722C" w14:textId="72E44F28" w:rsidR="00C242C3" w:rsidRPr="0095659B" w:rsidRDefault="00C242C3" w:rsidP="006D5561">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Psychiatric disorders</w:t>
            </w:r>
          </w:p>
        </w:tc>
        <w:tc>
          <w:tcPr>
            <w:tcW w:w="2160" w:type="dxa"/>
            <w:shd w:val="clear" w:color="auto" w:fill="auto"/>
          </w:tcPr>
          <w:p w14:paraId="677CDEF8" w14:textId="3B99FA92" w:rsidR="00C242C3" w:rsidRPr="0095659B" w:rsidRDefault="00C242C3" w:rsidP="00C242C3">
            <w:pPr>
              <w:pStyle w:val="TableTextColHead"/>
              <w:jc w:val="left"/>
              <w:rPr>
                <w:rFonts w:ascii="Times New Roman" w:hAnsi="Times New Roman"/>
                <w:b w:val="0"/>
                <w:bCs/>
              </w:rPr>
            </w:pPr>
          </w:p>
        </w:tc>
        <w:tc>
          <w:tcPr>
            <w:tcW w:w="2340" w:type="dxa"/>
            <w:shd w:val="clear" w:color="auto" w:fill="auto"/>
          </w:tcPr>
          <w:p w14:paraId="3C82B9E5" w14:textId="01761284"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Anxiety</w:t>
            </w:r>
          </w:p>
        </w:tc>
      </w:tr>
      <w:tr w:rsidR="00C242C3" w:rsidRPr="00CA7C58" w14:paraId="2389DF3F" w14:textId="77777777" w:rsidTr="006733DC">
        <w:tc>
          <w:tcPr>
            <w:tcW w:w="3055" w:type="dxa"/>
            <w:shd w:val="clear" w:color="auto" w:fill="auto"/>
          </w:tcPr>
          <w:p w14:paraId="34B03090" w14:textId="77777777" w:rsidR="00C242C3" w:rsidRPr="0095659B" w:rsidRDefault="00C242C3" w:rsidP="006D5561">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Nervous system disorders</w:t>
            </w:r>
          </w:p>
        </w:tc>
        <w:tc>
          <w:tcPr>
            <w:tcW w:w="2160" w:type="dxa"/>
            <w:shd w:val="clear" w:color="auto" w:fill="auto"/>
          </w:tcPr>
          <w:p w14:paraId="6643D8E8" w14:textId="1D2E8337"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Headache</w:t>
            </w:r>
          </w:p>
        </w:tc>
        <w:tc>
          <w:tcPr>
            <w:tcW w:w="2340" w:type="dxa"/>
            <w:shd w:val="clear" w:color="auto" w:fill="auto"/>
          </w:tcPr>
          <w:p w14:paraId="53E518E4" w14:textId="77777777" w:rsidR="00C242C3" w:rsidRPr="0095659B" w:rsidRDefault="00C242C3" w:rsidP="00C242C3">
            <w:pPr>
              <w:pStyle w:val="TableTextColHead"/>
              <w:jc w:val="left"/>
              <w:rPr>
                <w:rFonts w:ascii="Times New Roman" w:hAnsi="Times New Roman"/>
                <w:b w:val="0"/>
                <w:bCs/>
              </w:rPr>
            </w:pPr>
          </w:p>
        </w:tc>
      </w:tr>
      <w:tr w:rsidR="00C242C3" w:rsidRPr="00CA7C58" w14:paraId="25BA4BFE" w14:textId="77777777" w:rsidTr="006733DC">
        <w:tc>
          <w:tcPr>
            <w:tcW w:w="3055" w:type="dxa"/>
            <w:shd w:val="clear" w:color="auto" w:fill="auto"/>
          </w:tcPr>
          <w:p w14:paraId="20F2ED3C" w14:textId="770207C4" w:rsidR="00C242C3" w:rsidRPr="0095659B" w:rsidRDefault="00C242C3" w:rsidP="006D5561">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Vascular disorders</w:t>
            </w:r>
          </w:p>
        </w:tc>
        <w:tc>
          <w:tcPr>
            <w:tcW w:w="2160" w:type="dxa"/>
            <w:shd w:val="clear" w:color="auto" w:fill="auto"/>
          </w:tcPr>
          <w:p w14:paraId="2283DB35" w14:textId="77777777" w:rsidR="00C242C3" w:rsidRPr="0095659B" w:rsidRDefault="00C242C3" w:rsidP="00C242C3">
            <w:pPr>
              <w:pStyle w:val="TableTextColHead"/>
              <w:jc w:val="left"/>
              <w:rPr>
                <w:rFonts w:ascii="Times New Roman" w:hAnsi="Times New Roman"/>
                <w:b w:val="0"/>
                <w:bCs/>
              </w:rPr>
            </w:pPr>
          </w:p>
        </w:tc>
        <w:tc>
          <w:tcPr>
            <w:tcW w:w="2340" w:type="dxa"/>
            <w:shd w:val="clear" w:color="auto" w:fill="auto"/>
          </w:tcPr>
          <w:p w14:paraId="377D53E0" w14:textId="0C0AA5D2"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Hypertension</w:t>
            </w:r>
          </w:p>
        </w:tc>
      </w:tr>
      <w:tr w:rsidR="00C242C3" w:rsidRPr="00CA7C58" w14:paraId="14E4ED28" w14:textId="77777777" w:rsidTr="006733DC">
        <w:tc>
          <w:tcPr>
            <w:tcW w:w="3055" w:type="dxa"/>
            <w:shd w:val="clear" w:color="auto" w:fill="auto"/>
          </w:tcPr>
          <w:p w14:paraId="7B46270F" w14:textId="77777777" w:rsidR="00C242C3" w:rsidRPr="0095659B" w:rsidRDefault="00C242C3" w:rsidP="006D5561">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 xml:space="preserve">Respiratory, </w:t>
            </w:r>
            <w:proofErr w:type="gramStart"/>
            <w:r w:rsidRPr="0095659B">
              <w:rPr>
                <w:rFonts w:ascii="Times New Roman" w:eastAsia="Times New Roman" w:hAnsi="Times New Roman" w:cs="Times New Roman"/>
                <w:b/>
                <w:bCs/>
                <w:sz w:val="20"/>
                <w:szCs w:val="20"/>
              </w:rPr>
              <w:t>thoracic</w:t>
            </w:r>
            <w:proofErr w:type="gramEnd"/>
            <w:r w:rsidRPr="0095659B">
              <w:rPr>
                <w:rFonts w:ascii="Times New Roman" w:eastAsia="Times New Roman" w:hAnsi="Times New Roman" w:cs="Times New Roman"/>
                <w:b/>
                <w:bCs/>
                <w:sz w:val="20"/>
                <w:szCs w:val="20"/>
              </w:rPr>
              <w:t xml:space="preserve"> and mediastinal disorders</w:t>
            </w:r>
          </w:p>
        </w:tc>
        <w:tc>
          <w:tcPr>
            <w:tcW w:w="2160" w:type="dxa"/>
            <w:shd w:val="clear" w:color="auto" w:fill="auto"/>
          </w:tcPr>
          <w:p w14:paraId="4D556CF9" w14:textId="6571D376"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Cough</w:t>
            </w:r>
          </w:p>
        </w:tc>
        <w:tc>
          <w:tcPr>
            <w:tcW w:w="2340" w:type="dxa"/>
            <w:shd w:val="clear" w:color="auto" w:fill="auto"/>
          </w:tcPr>
          <w:p w14:paraId="0A4D33AD" w14:textId="77777777"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Oropharyngeal pain</w:t>
            </w:r>
          </w:p>
          <w:p w14:paraId="6142767B" w14:textId="592763F1" w:rsidR="00C242C3" w:rsidRPr="0095659B" w:rsidRDefault="00C242C3" w:rsidP="00C242C3">
            <w:pPr>
              <w:rPr>
                <w:rFonts w:ascii="Times New Roman" w:hAnsi="Times New Roman" w:cs="Times New Roman"/>
                <w:bCs/>
                <w:sz w:val="20"/>
                <w:szCs w:val="20"/>
              </w:rPr>
            </w:pPr>
            <w:r w:rsidRPr="0095659B">
              <w:rPr>
                <w:rFonts w:ascii="Times New Roman" w:hAnsi="Times New Roman" w:cs="Times New Roman"/>
                <w:bCs/>
                <w:sz w:val="20"/>
                <w:szCs w:val="20"/>
              </w:rPr>
              <w:t>Epistaxis</w:t>
            </w:r>
          </w:p>
        </w:tc>
      </w:tr>
      <w:tr w:rsidR="00C242C3" w:rsidRPr="00CA7C58" w14:paraId="0E31FB21" w14:textId="77777777" w:rsidTr="006733DC">
        <w:tc>
          <w:tcPr>
            <w:tcW w:w="3055" w:type="dxa"/>
            <w:shd w:val="clear" w:color="auto" w:fill="auto"/>
          </w:tcPr>
          <w:p w14:paraId="2D6AE708" w14:textId="77777777" w:rsidR="00C242C3" w:rsidRPr="0095659B" w:rsidRDefault="00C242C3" w:rsidP="00C242C3">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Gastrointestinal disorders</w:t>
            </w:r>
          </w:p>
        </w:tc>
        <w:tc>
          <w:tcPr>
            <w:tcW w:w="2160" w:type="dxa"/>
            <w:shd w:val="clear" w:color="auto" w:fill="auto"/>
          </w:tcPr>
          <w:p w14:paraId="339CACF9" w14:textId="77777777" w:rsidR="00C242C3" w:rsidRPr="0095659B" w:rsidRDefault="00C242C3" w:rsidP="00C242C3">
            <w:pPr>
              <w:pStyle w:val="TableTextColHead"/>
              <w:jc w:val="left"/>
              <w:rPr>
                <w:rFonts w:ascii="Times New Roman" w:hAnsi="Times New Roman"/>
                <w:b w:val="0"/>
                <w:bCs/>
              </w:rPr>
            </w:pPr>
            <w:proofErr w:type="spellStart"/>
            <w:r w:rsidRPr="0095659B">
              <w:rPr>
                <w:rFonts w:ascii="Times New Roman" w:hAnsi="Times New Roman"/>
                <w:b w:val="0"/>
                <w:bCs/>
              </w:rPr>
              <w:t>Diarrhoea</w:t>
            </w:r>
            <w:proofErr w:type="spellEnd"/>
          </w:p>
          <w:p w14:paraId="792DED07" w14:textId="1CA48F4C"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Abdominal pain</w:t>
            </w:r>
          </w:p>
        </w:tc>
        <w:tc>
          <w:tcPr>
            <w:tcW w:w="2340" w:type="dxa"/>
            <w:shd w:val="clear" w:color="auto" w:fill="auto"/>
          </w:tcPr>
          <w:p w14:paraId="71EB1E8D" w14:textId="701A0AFB"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Abdominal distension</w:t>
            </w:r>
          </w:p>
        </w:tc>
      </w:tr>
      <w:tr w:rsidR="00C242C3" w:rsidRPr="00CA7C58" w14:paraId="00DBB844" w14:textId="77777777" w:rsidTr="006733DC">
        <w:tc>
          <w:tcPr>
            <w:tcW w:w="3055" w:type="dxa"/>
            <w:shd w:val="clear" w:color="auto" w:fill="auto"/>
          </w:tcPr>
          <w:p w14:paraId="2E7BC721" w14:textId="77777777" w:rsidR="00C242C3" w:rsidRPr="0095659B" w:rsidRDefault="00C242C3" w:rsidP="006D5561">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Skin and subcutaneous tissue disorders</w:t>
            </w:r>
          </w:p>
        </w:tc>
        <w:tc>
          <w:tcPr>
            <w:tcW w:w="2160" w:type="dxa"/>
            <w:shd w:val="clear" w:color="auto" w:fill="auto"/>
          </w:tcPr>
          <w:p w14:paraId="5D9301EC" w14:textId="77777777" w:rsidR="00C242C3" w:rsidRPr="0095659B" w:rsidRDefault="00C242C3" w:rsidP="00C242C3">
            <w:pPr>
              <w:pStyle w:val="TableTextColHead"/>
              <w:jc w:val="left"/>
              <w:rPr>
                <w:rFonts w:ascii="Times New Roman" w:hAnsi="Times New Roman"/>
                <w:b w:val="0"/>
                <w:bCs/>
              </w:rPr>
            </w:pPr>
          </w:p>
        </w:tc>
        <w:tc>
          <w:tcPr>
            <w:tcW w:w="2340" w:type="dxa"/>
            <w:shd w:val="clear" w:color="auto" w:fill="auto"/>
          </w:tcPr>
          <w:p w14:paraId="6BBD98C4" w14:textId="176B4DAD"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Erythema</w:t>
            </w:r>
          </w:p>
        </w:tc>
      </w:tr>
      <w:tr w:rsidR="00C242C3" w:rsidRPr="00CA7C58" w14:paraId="398515ED" w14:textId="77777777" w:rsidTr="006733DC">
        <w:tc>
          <w:tcPr>
            <w:tcW w:w="3055" w:type="dxa"/>
            <w:shd w:val="clear" w:color="auto" w:fill="auto"/>
          </w:tcPr>
          <w:p w14:paraId="0838B1FE" w14:textId="77777777" w:rsidR="00C242C3" w:rsidRPr="0095659B" w:rsidRDefault="00C242C3" w:rsidP="006D5561">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Musculoskeletal and connective tissue disorders</w:t>
            </w:r>
          </w:p>
        </w:tc>
        <w:tc>
          <w:tcPr>
            <w:tcW w:w="2160" w:type="dxa"/>
            <w:shd w:val="clear" w:color="auto" w:fill="auto"/>
          </w:tcPr>
          <w:p w14:paraId="021113FA" w14:textId="6AC2F349"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Arthralgia</w:t>
            </w:r>
          </w:p>
        </w:tc>
        <w:tc>
          <w:tcPr>
            <w:tcW w:w="2340" w:type="dxa"/>
            <w:shd w:val="clear" w:color="auto" w:fill="auto"/>
          </w:tcPr>
          <w:p w14:paraId="6192DA2F" w14:textId="77777777"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Pain in extremity</w:t>
            </w:r>
          </w:p>
          <w:p w14:paraId="59C93ACD" w14:textId="77777777" w:rsidR="00C242C3" w:rsidRPr="0095659B" w:rsidRDefault="00C242C3" w:rsidP="00C242C3">
            <w:pPr>
              <w:rPr>
                <w:rFonts w:ascii="Times New Roman" w:eastAsia="Times New Roman" w:hAnsi="Times New Roman" w:cs="Times New Roman"/>
                <w:bCs/>
                <w:sz w:val="20"/>
                <w:szCs w:val="20"/>
              </w:rPr>
            </w:pPr>
            <w:r w:rsidRPr="0095659B">
              <w:rPr>
                <w:rFonts w:ascii="Times New Roman" w:eastAsia="Times New Roman" w:hAnsi="Times New Roman" w:cs="Times New Roman"/>
                <w:bCs/>
                <w:sz w:val="20"/>
                <w:szCs w:val="20"/>
              </w:rPr>
              <w:t>Back pain</w:t>
            </w:r>
          </w:p>
          <w:p w14:paraId="64380D5C" w14:textId="17E1C2BC"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Myalgia</w:t>
            </w:r>
          </w:p>
        </w:tc>
      </w:tr>
      <w:tr w:rsidR="00C242C3" w:rsidRPr="00CA7C58" w14:paraId="46BD4A56" w14:textId="77777777" w:rsidTr="006733DC">
        <w:tc>
          <w:tcPr>
            <w:tcW w:w="3055" w:type="dxa"/>
            <w:shd w:val="clear" w:color="auto" w:fill="auto"/>
          </w:tcPr>
          <w:p w14:paraId="41A6F6A8" w14:textId="77777777" w:rsidR="00C242C3" w:rsidRPr="0095659B" w:rsidRDefault="00C242C3" w:rsidP="006D5561">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Renal and urinary disorders</w:t>
            </w:r>
          </w:p>
        </w:tc>
        <w:tc>
          <w:tcPr>
            <w:tcW w:w="2160" w:type="dxa"/>
            <w:shd w:val="clear" w:color="auto" w:fill="auto"/>
          </w:tcPr>
          <w:p w14:paraId="3D516D30" w14:textId="77777777" w:rsidR="00C242C3" w:rsidRPr="0095659B" w:rsidRDefault="00C242C3" w:rsidP="00C242C3">
            <w:pPr>
              <w:pStyle w:val="TableTextColHead"/>
              <w:jc w:val="left"/>
              <w:rPr>
                <w:rFonts w:ascii="Times New Roman" w:hAnsi="Times New Roman"/>
                <w:b w:val="0"/>
                <w:bCs/>
              </w:rPr>
            </w:pPr>
          </w:p>
        </w:tc>
        <w:tc>
          <w:tcPr>
            <w:tcW w:w="2340" w:type="dxa"/>
            <w:shd w:val="clear" w:color="auto" w:fill="auto"/>
          </w:tcPr>
          <w:p w14:paraId="77D6A253" w14:textId="51823020"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Acute kidney injury</w:t>
            </w:r>
          </w:p>
        </w:tc>
      </w:tr>
      <w:tr w:rsidR="00C242C3" w:rsidRPr="00CA7C58" w14:paraId="3E71ADC0" w14:textId="77777777" w:rsidTr="006733DC">
        <w:tc>
          <w:tcPr>
            <w:tcW w:w="3055" w:type="dxa"/>
            <w:shd w:val="clear" w:color="auto" w:fill="auto"/>
          </w:tcPr>
          <w:p w14:paraId="66D9AA2B" w14:textId="77777777" w:rsidR="00C242C3" w:rsidRPr="0095659B" w:rsidRDefault="00C242C3" w:rsidP="006D5561">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General disorders and administration site conditions</w:t>
            </w:r>
          </w:p>
        </w:tc>
        <w:tc>
          <w:tcPr>
            <w:tcW w:w="2160" w:type="dxa"/>
            <w:shd w:val="clear" w:color="auto" w:fill="auto"/>
          </w:tcPr>
          <w:p w14:paraId="76D08CB0" w14:textId="77777777" w:rsidR="00C242C3" w:rsidRPr="0095659B" w:rsidRDefault="00C242C3" w:rsidP="00C242C3">
            <w:pPr>
              <w:rPr>
                <w:rFonts w:ascii="Times New Roman" w:eastAsia="Times New Roman" w:hAnsi="Times New Roman" w:cs="Times New Roman"/>
                <w:bCs/>
                <w:sz w:val="20"/>
                <w:szCs w:val="20"/>
              </w:rPr>
            </w:pPr>
            <w:r w:rsidRPr="0095659B">
              <w:rPr>
                <w:rFonts w:ascii="Times New Roman" w:eastAsia="Times New Roman" w:hAnsi="Times New Roman" w:cs="Times New Roman"/>
                <w:bCs/>
                <w:sz w:val="20"/>
                <w:szCs w:val="20"/>
              </w:rPr>
              <w:t>Injection site erythema</w:t>
            </w:r>
          </w:p>
          <w:p w14:paraId="39B22284" w14:textId="77777777" w:rsidR="00C242C3" w:rsidRPr="0095659B" w:rsidRDefault="00C242C3" w:rsidP="00C242C3">
            <w:pPr>
              <w:rPr>
                <w:rFonts w:ascii="Times New Roman" w:eastAsia="Times New Roman" w:hAnsi="Times New Roman" w:cs="Times New Roman"/>
                <w:bCs/>
                <w:sz w:val="20"/>
                <w:szCs w:val="20"/>
              </w:rPr>
            </w:pPr>
            <w:r w:rsidRPr="0095659B">
              <w:rPr>
                <w:rFonts w:ascii="Times New Roman" w:eastAsia="Times New Roman" w:hAnsi="Times New Roman" w:cs="Times New Roman"/>
                <w:bCs/>
                <w:sz w:val="20"/>
                <w:szCs w:val="20"/>
              </w:rPr>
              <w:t>Fatigue</w:t>
            </w:r>
          </w:p>
          <w:p w14:paraId="47622729" w14:textId="01E2EF0F"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Pyrexia</w:t>
            </w:r>
          </w:p>
        </w:tc>
        <w:tc>
          <w:tcPr>
            <w:tcW w:w="2340" w:type="dxa"/>
            <w:shd w:val="clear" w:color="auto" w:fill="auto"/>
          </w:tcPr>
          <w:p w14:paraId="50B8FFFD" w14:textId="77777777" w:rsidR="00C242C3" w:rsidRPr="0095659B" w:rsidRDefault="00C242C3" w:rsidP="00C242C3">
            <w:pPr>
              <w:rPr>
                <w:rFonts w:ascii="Times New Roman" w:eastAsia="Times New Roman" w:hAnsi="Times New Roman" w:cs="Times New Roman"/>
                <w:bCs/>
                <w:sz w:val="20"/>
                <w:szCs w:val="20"/>
              </w:rPr>
            </w:pPr>
            <w:r w:rsidRPr="0095659B">
              <w:rPr>
                <w:rFonts w:ascii="Times New Roman" w:eastAsia="Times New Roman" w:hAnsi="Times New Roman" w:cs="Times New Roman"/>
                <w:bCs/>
                <w:sz w:val="20"/>
                <w:szCs w:val="20"/>
              </w:rPr>
              <w:t>Injection site pruritus</w:t>
            </w:r>
          </w:p>
          <w:p w14:paraId="644173B6" w14:textId="77777777" w:rsidR="00C242C3" w:rsidRPr="0095659B" w:rsidRDefault="00C242C3" w:rsidP="00C242C3">
            <w:pPr>
              <w:rPr>
                <w:rFonts w:ascii="Times New Roman" w:eastAsia="Times New Roman" w:hAnsi="Times New Roman" w:cs="Times New Roman"/>
                <w:bCs/>
                <w:sz w:val="20"/>
                <w:szCs w:val="20"/>
              </w:rPr>
            </w:pPr>
            <w:r w:rsidRPr="0095659B">
              <w:rPr>
                <w:rFonts w:ascii="Times New Roman" w:eastAsia="Times New Roman" w:hAnsi="Times New Roman" w:cs="Times New Roman"/>
                <w:bCs/>
                <w:sz w:val="20"/>
                <w:szCs w:val="20"/>
              </w:rPr>
              <w:t>Asthenia</w:t>
            </w:r>
          </w:p>
          <w:p w14:paraId="3E00EF0D" w14:textId="77777777" w:rsidR="00C242C3" w:rsidRPr="0095659B" w:rsidRDefault="00C242C3" w:rsidP="00C242C3">
            <w:pPr>
              <w:rPr>
                <w:rFonts w:ascii="Times New Roman" w:eastAsia="Times New Roman" w:hAnsi="Times New Roman" w:cs="Times New Roman"/>
                <w:bCs/>
                <w:sz w:val="20"/>
                <w:szCs w:val="20"/>
              </w:rPr>
            </w:pPr>
            <w:r w:rsidRPr="0095659B">
              <w:rPr>
                <w:rFonts w:ascii="Times New Roman" w:eastAsia="Times New Roman" w:hAnsi="Times New Roman" w:cs="Times New Roman"/>
                <w:bCs/>
                <w:sz w:val="20"/>
                <w:szCs w:val="20"/>
              </w:rPr>
              <w:t>Injection site bruising</w:t>
            </w:r>
          </w:p>
          <w:p w14:paraId="44DF88B5" w14:textId="77777777" w:rsidR="00C242C3" w:rsidRPr="0095659B" w:rsidRDefault="00C242C3" w:rsidP="00C242C3">
            <w:pPr>
              <w:rPr>
                <w:rFonts w:ascii="Times New Roman" w:eastAsia="Times New Roman" w:hAnsi="Times New Roman" w:cs="Times New Roman"/>
                <w:bCs/>
                <w:sz w:val="20"/>
                <w:szCs w:val="20"/>
              </w:rPr>
            </w:pPr>
            <w:r w:rsidRPr="0095659B">
              <w:rPr>
                <w:rFonts w:ascii="Times New Roman" w:eastAsia="Times New Roman" w:hAnsi="Times New Roman" w:cs="Times New Roman"/>
                <w:bCs/>
                <w:sz w:val="20"/>
                <w:szCs w:val="20"/>
              </w:rPr>
              <w:t>Injection site induration</w:t>
            </w:r>
          </w:p>
          <w:p w14:paraId="4E8C706E" w14:textId="77777777" w:rsidR="00C242C3" w:rsidRPr="0095659B" w:rsidRDefault="00C242C3" w:rsidP="00C242C3">
            <w:pPr>
              <w:rPr>
                <w:rFonts w:ascii="Times New Roman" w:eastAsia="Times New Roman" w:hAnsi="Times New Roman" w:cs="Times New Roman"/>
                <w:bCs/>
                <w:sz w:val="20"/>
                <w:szCs w:val="20"/>
              </w:rPr>
            </w:pPr>
            <w:r w:rsidRPr="0095659B">
              <w:rPr>
                <w:rFonts w:ascii="Times New Roman" w:eastAsia="Times New Roman" w:hAnsi="Times New Roman" w:cs="Times New Roman"/>
                <w:bCs/>
                <w:sz w:val="20"/>
                <w:szCs w:val="20"/>
              </w:rPr>
              <w:t>Injection site reaction</w:t>
            </w:r>
          </w:p>
          <w:p w14:paraId="7CC1FC48" w14:textId="77777777" w:rsidR="00C242C3" w:rsidRPr="0095659B" w:rsidRDefault="00C242C3" w:rsidP="00C242C3">
            <w:pPr>
              <w:rPr>
                <w:rFonts w:ascii="Times New Roman" w:eastAsia="Times New Roman" w:hAnsi="Times New Roman" w:cs="Times New Roman"/>
                <w:bCs/>
                <w:sz w:val="20"/>
                <w:szCs w:val="20"/>
              </w:rPr>
            </w:pPr>
            <w:r w:rsidRPr="0095659B">
              <w:rPr>
                <w:rFonts w:ascii="Times New Roman" w:eastAsia="Times New Roman" w:hAnsi="Times New Roman" w:cs="Times New Roman"/>
                <w:bCs/>
                <w:sz w:val="20"/>
                <w:szCs w:val="20"/>
              </w:rPr>
              <w:t>Injection site swelling</w:t>
            </w:r>
          </w:p>
          <w:p w14:paraId="1B852D2F" w14:textId="38F84B92" w:rsidR="00C242C3" w:rsidRPr="0095659B" w:rsidRDefault="00C242C3" w:rsidP="00C242C3">
            <w:pPr>
              <w:pStyle w:val="TableTextColHead"/>
              <w:jc w:val="left"/>
              <w:rPr>
                <w:rFonts w:ascii="Times New Roman" w:hAnsi="Times New Roman"/>
                <w:b w:val="0"/>
                <w:bCs/>
              </w:rPr>
            </w:pPr>
            <w:r w:rsidRPr="0095659B">
              <w:rPr>
                <w:rFonts w:ascii="Times New Roman" w:hAnsi="Times New Roman"/>
                <w:b w:val="0"/>
                <w:bCs/>
              </w:rPr>
              <w:t>Injection site pain</w:t>
            </w:r>
          </w:p>
        </w:tc>
      </w:tr>
      <w:tr w:rsidR="00C242C3" w:rsidRPr="00CA7C58" w14:paraId="1DAE6D40" w14:textId="77777777" w:rsidTr="00794679">
        <w:tc>
          <w:tcPr>
            <w:tcW w:w="3055" w:type="dxa"/>
            <w:shd w:val="clear" w:color="auto" w:fill="auto"/>
          </w:tcPr>
          <w:p w14:paraId="2A2362B6" w14:textId="77777777" w:rsidR="00C242C3" w:rsidRPr="0095659B" w:rsidRDefault="00C242C3" w:rsidP="006D5561">
            <w:pPr>
              <w:rPr>
                <w:rFonts w:ascii="Times New Roman" w:eastAsia="Times New Roman" w:hAnsi="Times New Roman" w:cs="Times New Roman"/>
                <w:b/>
                <w:bCs/>
                <w:sz w:val="20"/>
                <w:szCs w:val="20"/>
              </w:rPr>
            </w:pPr>
            <w:r w:rsidRPr="0095659B">
              <w:rPr>
                <w:rFonts w:ascii="Times New Roman" w:eastAsia="Times New Roman" w:hAnsi="Times New Roman" w:cs="Times New Roman"/>
                <w:b/>
                <w:bCs/>
                <w:sz w:val="20"/>
                <w:szCs w:val="20"/>
              </w:rPr>
              <w:t>Injury, poisoning and procedural complications</w:t>
            </w:r>
          </w:p>
        </w:tc>
        <w:tc>
          <w:tcPr>
            <w:tcW w:w="2160" w:type="dxa"/>
            <w:shd w:val="clear" w:color="auto" w:fill="auto"/>
          </w:tcPr>
          <w:p w14:paraId="2A8EB04B" w14:textId="77777777" w:rsidR="00C242C3" w:rsidRPr="0095659B" w:rsidRDefault="00C242C3" w:rsidP="00C242C3">
            <w:pPr>
              <w:pStyle w:val="TableTextColHead"/>
              <w:jc w:val="left"/>
              <w:rPr>
                <w:rFonts w:ascii="Times New Roman" w:hAnsi="Times New Roman"/>
                <w:b w:val="0"/>
                <w:bCs/>
              </w:rPr>
            </w:pPr>
          </w:p>
        </w:tc>
        <w:tc>
          <w:tcPr>
            <w:tcW w:w="2340" w:type="dxa"/>
            <w:shd w:val="clear" w:color="auto" w:fill="auto"/>
          </w:tcPr>
          <w:p w14:paraId="7672788C" w14:textId="77777777" w:rsidR="00C242C3" w:rsidRDefault="00C242C3" w:rsidP="00C242C3">
            <w:pPr>
              <w:pStyle w:val="TableTextColHead"/>
              <w:jc w:val="left"/>
              <w:rPr>
                <w:rFonts w:ascii="Times New Roman" w:hAnsi="Times New Roman"/>
                <w:b w:val="0"/>
                <w:bCs/>
              </w:rPr>
            </w:pPr>
            <w:r w:rsidRPr="0095659B">
              <w:rPr>
                <w:rFonts w:ascii="Times New Roman" w:hAnsi="Times New Roman"/>
                <w:b w:val="0"/>
                <w:bCs/>
              </w:rPr>
              <w:t>Contusion</w:t>
            </w:r>
          </w:p>
          <w:p w14:paraId="3F0DEE5C" w14:textId="1B52CD37" w:rsidR="00794679" w:rsidRPr="00794679" w:rsidRDefault="00794679" w:rsidP="00794679">
            <w:pPr>
              <w:rPr>
                <w:rFonts w:ascii="Times New Roman" w:hAnsi="Times New Roman" w:cs="Times New Roman"/>
                <w:sz w:val="20"/>
                <w:szCs w:val="20"/>
              </w:rPr>
            </w:pPr>
            <w:r w:rsidRPr="00794679">
              <w:rPr>
                <w:rFonts w:ascii="Times New Roman" w:hAnsi="Times New Roman" w:cs="Times New Roman"/>
                <w:sz w:val="20"/>
                <w:szCs w:val="20"/>
              </w:rPr>
              <w:t>Vaccination complication</w:t>
            </w:r>
          </w:p>
        </w:tc>
      </w:tr>
    </w:tbl>
    <w:p w14:paraId="417787C0" w14:textId="77777777" w:rsidR="00394147" w:rsidRPr="00CA7C58" w:rsidRDefault="00394147" w:rsidP="00E54119">
      <w:pPr>
        <w:pStyle w:val="C-BodyText"/>
        <w:spacing w:before="0" w:after="0" w:line="240" w:lineRule="auto"/>
        <w:rPr>
          <w:iCs/>
          <w:szCs w:val="24"/>
        </w:rPr>
      </w:pPr>
    </w:p>
    <w:p w14:paraId="73D80086" w14:textId="05BD7E76" w:rsidR="00A70B38" w:rsidRPr="00CA7C58" w:rsidRDefault="00EA2292" w:rsidP="00034A66">
      <w:pPr>
        <w:pStyle w:val="C-BodyText"/>
        <w:spacing w:before="0" w:after="0" w:line="240" w:lineRule="auto"/>
        <w:jc w:val="both"/>
        <w:rPr>
          <w:b/>
          <w:bCs/>
          <w:szCs w:val="24"/>
        </w:rPr>
      </w:pPr>
      <w:r w:rsidRPr="00CA7C58">
        <w:rPr>
          <w:b/>
          <w:bCs/>
          <w:iCs/>
          <w:szCs w:val="24"/>
        </w:rPr>
        <w:t>Description of selected adverse reactions</w:t>
      </w:r>
      <w:bookmarkEnd w:id="18"/>
    </w:p>
    <w:p w14:paraId="4098FD34" w14:textId="77777777" w:rsidR="00A70B38" w:rsidRPr="0071515E" w:rsidRDefault="00A70B38" w:rsidP="00034A66">
      <w:pPr>
        <w:autoSpaceDE w:val="0"/>
        <w:autoSpaceDN w:val="0"/>
        <w:adjustRightInd w:val="0"/>
        <w:jc w:val="both"/>
        <w:rPr>
          <w:rFonts w:ascii="Times New Roman" w:hAnsi="Times New Roman" w:cs="Times New Roman"/>
          <w:i/>
          <w:u w:val="single"/>
        </w:rPr>
      </w:pPr>
      <w:r w:rsidRPr="0071515E">
        <w:rPr>
          <w:rFonts w:ascii="Times New Roman" w:hAnsi="Times New Roman" w:cs="Times New Roman"/>
          <w:i/>
          <w:u w:val="single"/>
        </w:rPr>
        <w:t>Injection site reactions</w:t>
      </w:r>
    </w:p>
    <w:p w14:paraId="48369CB7" w14:textId="49D0EC43" w:rsidR="00A70B38" w:rsidRPr="00CA7C58" w:rsidRDefault="00A70B38" w:rsidP="00034A66">
      <w:pPr>
        <w:autoSpaceDE w:val="0"/>
        <w:autoSpaceDN w:val="0"/>
        <w:adjustRightInd w:val="0"/>
        <w:jc w:val="both"/>
        <w:rPr>
          <w:rFonts w:ascii="Times New Roman" w:hAnsi="Times New Roman" w:cs="Times New Roman"/>
          <w:iCs/>
        </w:rPr>
      </w:pPr>
      <w:r w:rsidRPr="00CA7C58">
        <w:rPr>
          <w:rFonts w:ascii="Times New Roman" w:hAnsi="Times New Roman" w:cs="Times New Roman"/>
          <w:iCs/>
        </w:rPr>
        <w:t>Injections site reactions (e.g.</w:t>
      </w:r>
      <w:r w:rsidR="00E154DA" w:rsidRPr="00CA7C58">
        <w:rPr>
          <w:rFonts w:ascii="Times New Roman" w:hAnsi="Times New Roman" w:cs="Times New Roman"/>
          <w:iCs/>
        </w:rPr>
        <w:t>,</w:t>
      </w:r>
      <w:r w:rsidRPr="00CA7C58">
        <w:rPr>
          <w:rFonts w:ascii="Times New Roman" w:hAnsi="Times New Roman" w:cs="Times New Roman"/>
          <w:iCs/>
        </w:rPr>
        <w:t xml:space="preserve"> erythema, swelling, induration, </w:t>
      </w:r>
      <w:r w:rsidR="00E644F0">
        <w:rPr>
          <w:rFonts w:ascii="Times New Roman" w:hAnsi="Times New Roman" w:cs="Times New Roman"/>
          <w:iCs/>
        </w:rPr>
        <w:t>pruritus</w:t>
      </w:r>
      <w:r w:rsidRPr="00CA7C58">
        <w:rPr>
          <w:rFonts w:ascii="Times New Roman" w:hAnsi="Times New Roman" w:cs="Times New Roman"/>
          <w:iCs/>
        </w:rPr>
        <w:t>, and pain) have been reported during Study APL2</w:t>
      </w:r>
      <w:r w:rsidR="00E376EF" w:rsidRPr="00CA7C58">
        <w:rPr>
          <w:rFonts w:ascii="Times New Roman" w:hAnsi="Times New Roman" w:cs="Times New Roman"/>
          <w:iCs/>
        </w:rPr>
        <w:noBreakHyphen/>
      </w:r>
      <w:r w:rsidRPr="00CA7C58">
        <w:rPr>
          <w:rFonts w:ascii="Times New Roman" w:hAnsi="Times New Roman" w:cs="Times New Roman"/>
          <w:iCs/>
        </w:rPr>
        <w:t>302. These reactions were not severe and did not lead to discontinuation of treatment.</w:t>
      </w:r>
    </w:p>
    <w:p w14:paraId="7226F6BD" w14:textId="77777777" w:rsidR="00A70B38" w:rsidRPr="00CA7C58" w:rsidRDefault="00A70B38" w:rsidP="00034A66">
      <w:pPr>
        <w:autoSpaceDE w:val="0"/>
        <w:autoSpaceDN w:val="0"/>
        <w:adjustRightInd w:val="0"/>
        <w:jc w:val="both"/>
        <w:rPr>
          <w:rFonts w:ascii="Times New Roman" w:hAnsi="Times New Roman" w:cs="Times New Roman"/>
          <w:iCs/>
        </w:rPr>
      </w:pPr>
    </w:p>
    <w:p w14:paraId="5BD49DD4" w14:textId="7F1C6509" w:rsidR="00A70B38" w:rsidRPr="0071515E" w:rsidRDefault="000C6A43" w:rsidP="00034A66">
      <w:pPr>
        <w:autoSpaceDE w:val="0"/>
        <w:autoSpaceDN w:val="0"/>
        <w:adjustRightInd w:val="0"/>
        <w:jc w:val="both"/>
        <w:rPr>
          <w:rFonts w:ascii="Times New Roman" w:hAnsi="Times New Roman" w:cs="Times New Roman"/>
          <w:i/>
          <w:u w:val="single"/>
        </w:rPr>
      </w:pPr>
      <w:proofErr w:type="spellStart"/>
      <w:r w:rsidRPr="0071515E">
        <w:rPr>
          <w:rFonts w:ascii="Times New Roman" w:hAnsi="Times New Roman" w:cs="Times New Roman"/>
          <w:i/>
          <w:u w:val="single"/>
        </w:rPr>
        <w:t>Diarrh</w:t>
      </w:r>
      <w:r w:rsidR="00C5565D" w:rsidRPr="0071515E">
        <w:rPr>
          <w:rFonts w:ascii="Times New Roman" w:hAnsi="Times New Roman" w:cs="Times New Roman"/>
          <w:i/>
          <w:u w:val="single"/>
        </w:rPr>
        <w:t>o</w:t>
      </w:r>
      <w:r w:rsidRPr="0071515E">
        <w:rPr>
          <w:rFonts w:ascii="Times New Roman" w:hAnsi="Times New Roman" w:cs="Times New Roman"/>
          <w:i/>
          <w:u w:val="single"/>
        </w:rPr>
        <w:t>ea</w:t>
      </w:r>
      <w:proofErr w:type="spellEnd"/>
    </w:p>
    <w:p w14:paraId="06B7C0E2" w14:textId="402DA47A" w:rsidR="00A70B38" w:rsidRPr="00CA7C58" w:rsidRDefault="00A70B38" w:rsidP="00034A66">
      <w:pPr>
        <w:autoSpaceDE w:val="0"/>
        <w:autoSpaceDN w:val="0"/>
        <w:adjustRightInd w:val="0"/>
        <w:jc w:val="both"/>
        <w:rPr>
          <w:rFonts w:ascii="Times New Roman" w:hAnsi="Times New Roman" w:cs="Times New Roman"/>
          <w:iCs/>
        </w:rPr>
      </w:pPr>
      <w:r w:rsidRPr="00CA7C58">
        <w:rPr>
          <w:rFonts w:ascii="Times New Roman" w:hAnsi="Times New Roman" w:cs="Times New Roman"/>
          <w:iCs/>
        </w:rPr>
        <w:t xml:space="preserve">Cases of </w:t>
      </w:r>
      <w:proofErr w:type="spellStart"/>
      <w:r w:rsidRPr="00CA7C58">
        <w:rPr>
          <w:rFonts w:ascii="Times New Roman" w:hAnsi="Times New Roman" w:cs="Times New Roman"/>
          <w:iCs/>
        </w:rPr>
        <w:t>diarrhoea</w:t>
      </w:r>
      <w:proofErr w:type="spellEnd"/>
      <w:r w:rsidRPr="00CA7C58">
        <w:rPr>
          <w:rFonts w:ascii="Times New Roman" w:hAnsi="Times New Roman" w:cs="Times New Roman"/>
          <w:iCs/>
        </w:rPr>
        <w:t xml:space="preserve"> have been reported during Study APL2</w:t>
      </w:r>
      <w:r w:rsidR="00E376EF" w:rsidRPr="00CA7C58">
        <w:rPr>
          <w:rFonts w:ascii="Times New Roman" w:hAnsi="Times New Roman" w:cs="Times New Roman"/>
          <w:iCs/>
        </w:rPr>
        <w:noBreakHyphen/>
      </w:r>
      <w:r w:rsidRPr="00CA7C58">
        <w:rPr>
          <w:rFonts w:ascii="Times New Roman" w:hAnsi="Times New Roman" w:cs="Times New Roman"/>
          <w:iCs/>
        </w:rPr>
        <w:t>302, none of them were severe or led to discontinuation of treatment.</w:t>
      </w:r>
    </w:p>
    <w:p w14:paraId="68A74979" w14:textId="0018259B" w:rsidR="005A3E08" w:rsidRPr="00CA7C58" w:rsidRDefault="005A3E08" w:rsidP="00034A66">
      <w:pPr>
        <w:autoSpaceDE w:val="0"/>
        <w:autoSpaceDN w:val="0"/>
        <w:adjustRightInd w:val="0"/>
        <w:jc w:val="both"/>
        <w:rPr>
          <w:rFonts w:ascii="Times New Roman" w:hAnsi="Times New Roman" w:cs="Times New Roman"/>
          <w:iCs/>
        </w:rPr>
      </w:pPr>
    </w:p>
    <w:p w14:paraId="3880A8C5" w14:textId="4BE8CAFF" w:rsidR="005A3E08" w:rsidRPr="0071515E" w:rsidRDefault="005A3E08" w:rsidP="00034A66">
      <w:pPr>
        <w:autoSpaceDE w:val="0"/>
        <w:autoSpaceDN w:val="0"/>
        <w:adjustRightInd w:val="0"/>
        <w:jc w:val="both"/>
        <w:rPr>
          <w:rFonts w:ascii="Times New Roman" w:hAnsi="Times New Roman" w:cs="Times New Roman"/>
          <w:i/>
          <w:u w:val="single"/>
        </w:rPr>
      </w:pPr>
      <w:proofErr w:type="spellStart"/>
      <w:r w:rsidRPr="0071515E">
        <w:rPr>
          <w:rFonts w:ascii="Times New Roman" w:hAnsi="Times New Roman" w:cs="Times New Roman"/>
          <w:i/>
          <w:u w:val="single"/>
        </w:rPr>
        <w:t>Haemolysis</w:t>
      </w:r>
      <w:bookmarkStart w:id="20" w:name="_Hlk48040051"/>
      <w:bookmarkStart w:id="21" w:name="_Hlk47941037"/>
      <w:proofErr w:type="spellEnd"/>
    </w:p>
    <w:p w14:paraId="3AD75832" w14:textId="0280DA0B" w:rsidR="005A3E08" w:rsidRDefault="005A3E08" w:rsidP="00034A66">
      <w:pPr>
        <w:autoSpaceDE w:val="0"/>
        <w:autoSpaceDN w:val="0"/>
        <w:adjustRightInd w:val="0"/>
        <w:jc w:val="both"/>
        <w:rPr>
          <w:rFonts w:ascii="Times New Roman" w:hAnsi="Times New Roman" w:cs="Times New Roman"/>
          <w:iCs/>
        </w:rPr>
      </w:pPr>
      <w:proofErr w:type="spellStart"/>
      <w:r w:rsidRPr="00CA7C58">
        <w:rPr>
          <w:rFonts w:ascii="Times New Roman" w:hAnsi="Times New Roman" w:cs="Times New Roman"/>
        </w:rPr>
        <w:t>Haemolysis</w:t>
      </w:r>
      <w:proofErr w:type="spellEnd"/>
      <w:r w:rsidRPr="00CA7C58">
        <w:rPr>
          <w:rFonts w:ascii="Times New Roman" w:hAnsi="Times New Roman" w:cs="Times New Roman"/>
          <w:iCs/>
        </w:rPr>
        <w:t xml:space="preserve"> and </w:t>
      </w:r>
      <w:proofErr w:type="spellStart"/>
      <w:r w:rsidRPr="00CA7C58">
        <w:rPr>
          <w:rFonts w:ascii="Times New Roman" w:hAnsi="Times New Roman" w:cs="Times New Roman"/>
          <w:iCs/>
        </w:rPr>
        <w:t>h</w:t>
      </w:r>
      <w:r w:rsidR="009E35F2" w:rsidRPr="00CA7C58">
        <w:rPr>
          <w:rFonts w:ascii="Times New Roman" w:hAnsi="Times New Roman" w:cs="Times New Roman"/>
          <w:iCs/>
        </w:rPr>
        <w:t>a</w:t>
      </w:r>
      <w:r w:rsidRPr="00CA7C58">
        <w:rPr>
          <w:rFonts w:ascii="Times New Roman" w:hAnsi="Times New Roman" w:cs="Times New Roman"/>
          <w:iCs/>
        </w:rPr>
        <w:t>emolytic</w:t>
      </w:r>
      <w:proofErr w:type="spellEnd"/>
      <w:r w:rsidRPr="00CA7C58">
        <w:rPr>
          <w:rFonts w:ascii="Times New Roman" w:hAnsi="Times New Roman" w:cs="Times New Roman"/>
          <w:iCs/>
        </w:rPr>
        <w:t xml:space="preserve"> anemia have been reported during Study APL2</w:t>
      </w:r>
      <w:r w:rsidR="00E376EF" w:rsidRPr="00CA7C58">
        <w:rPr>
          <w:rFonts w:ascii="Times New Roman" w:hAnsi="Times New Roman" w:cs="Times New Roman"/>
          <w:iCs/>
        </w:rPr>
        <w:noBreakHyphen/>
      </w:r>
      <w:r w:rsidRPr="00CA7C58">
        <w:rPr>
          <w:rFonts w:ascii="Times New Roman" w:hAnsi="Times New Roman" w:cs="Times New Roman"/>
          <w:iCs/>
        </w:rPr>
        <w:t xml:space="preserve">302 but occurred less </w:t>
      </w:r>
      <w:r w:rsidRPr="00DF54F3">
        <w:rPr>
          <w:rFonts w:ascii="Times New Roman" w:hAnsi="Times New Roman" w:cs="Times New Roman"/>
          <w:iCs/>
        </w:rPr>
        <w:t xml:space="preserve">frequently in the </w:t>
      </w:r>
      <w:r w:rsidR="007F2819" w:rsidRPr="00DF54F3">
        <w:rPr>
          <w:rFonts w:ascii="Times New Roman" w:hAnsi="Times New Roman" w:cs="Times New Roman"/>
          <w:iCs/>
        </w:rPr>
        <w:t>EMPAVELI</w:t>
      </w:r>
      <w:r w:rsidRPr="00DF54F3">
        <w:rPr>
          <w:rFonts w:ascii="Times New Roman" w:hAnsi="Times New Roman" w:cs="Times New Roman"/>
          <w:iCs/>
        </w:rPr>
        <w:t xml:space="preserve"> group than in the eculizumab group</w:t>
      </w:r>
      <w:r w:rsidR="0087284B" w:rsidRPr="00DF54F3">
        <w:rPr>
          <w:rFonts w:ascii="Times New Roman" w:hAnsi="Times New Roman" w:cs="Times New Roman"/>
          <w:iCs/>
        </w:rPr>
        <w:t xml:space="preserve"> during the </w:t>
      </w:r>
      <w:proofErr w:type="spellStart"/>
      <w:r w:rsidR="003E239E" w:rsidRPr="00DF54F3">
        <w:rPr>
          <w:rFonts w:ascii="Times New Roman" w:hAnsi="Times New Roman" w:cs="Times New Roman"/>
          <w:iCs/>
        </w:rPr>
        <w:t>randomi</w:t>
      </w:r>
      <w:r w:rsidR="00BC7CCD" w:rsidRPr="00DF54F3">
        <w:rPr>
          <w:rFonts w:ascii="Times New Roman" w:hAnsi="Times New Roman" w:cs="Times New Roman"/>
          <w:iCs/>
        </w:rPr>
        <w:t>s</w:t>
      </w:r>
      <w:r w:rsidR="003E239E" w:rsidRPr="00DF54F3">
        <w:rPr>
          <w:rFonts w:ascii="Times New Roman" w:hAnsi="Times New Roman" w:cs="Times New Roman"/>
          <w:iCs/>
        </w:rPr>
        <w:t>ed</w:t>
      </w:r>
      <w:proofErr w:type="spellEnd"/>
      <w:r w:rsidR="003E239E" w:rsidRPr="00DF54F3">
        <w:rPr>
          <w:rFonts w:ascii="Times New Roman" w:hAnsi="Times New Roman" w:cs="Times New Roman"/>
          <w:iCs/>
        </w:rPr>
        <w:t xml:space="preserve"> control</w:t>
      </w:r>
      <w:r w:rsidR="00631632" w:rsidRPr="00DF54F3">
        <w:rPr>
          <w:rFonts w:ascii="Times New Roman" w:hAnsi="Times New Roman" w:cs="Times New Roman"/>
          <w:iCs/>
        </w:rPr>
        <w:t>led</w:t>
      </w:r>
      <w:r w:rsidR="003E239E" w:rsidRPr="00DF54F3">
        <w:rPr>
          <w:rFonts w:ascii="Times New Roman" w:hAnsi="Times New Roman" w:cs="Times New Roman"/>
          <w:iCs/>
        </w:rPr>
        <w:t xml:space="preserve"> period</w:t>
      </w:r>
      <w:r w:rsidR="003E239E">
        <w:rPr>
          <w:rFonts w:ascii="Times New Roman" w:hAnsi="Times New Roman" w:cs="Times New Roman"/>
          <w:iCs/>
        </w:rPr>
        <w:t xml:space="preserve"> (</w:t>
      </w:r>
      <w:r w:rsidR="0087284B">
        <w:rPr>
          <w:rFonts w:ascii="Times New Roman" w:hAnsi="Times New Roman" w:cs="Times New Roman"/>
          <w:iCs/>
        </w:rPr>
        <w:t>RCP</w:t>
      </w:r>
      <w:r w:rsidR="003E239E">
        <w:rPr>
          <w:rFonts w:ascii="Times New Roman" w:hAnsi="Times New Roman" w:cs="Times New Roman"/>
          <w:iCs/>
        </w:rPr>
        <w:t>)</w:t>
      </w:r>
      <w:r w:rsidR="0087284B">
        <w:rPr>
          <w:rFonts w:ascii="Times New Roman" w:hAnsi="Times New Roman" w:cs="Times New Roman"/>
          <w:iCs/>
        </w:rPr>
        <w:t xml:space="preserve"> (Week</w:t>
      </w:r>
      <w:r w:rsidR="003E239E" w:rsidRPr="00CA7C58">
        <w:rPr>
          <w:rFonts w:ascii="Times New Roman" w:hAnsi="Times New Roman" w:cs="Times New Roman"/>
        </w:rPr>
        <w:t> </w:t>
      </w:r>
      <w:r w:rsidR="0087284B">
        <w:rPr>
          <w:rFonts w:ascii="Times New Roman" w:hAnsi="Times New Roman" w:cs="Times New Roman"/>
          <w:iCs/>
        </w:rPr>
        <w:t>16)</w:t>
      </w:r>
      <w:r w:rsidRPr="00CA7C58">
        <w:rPr>
          <w:rFonts w:ascii="Times New Roman" w:hAnsi="Times New Roman" w:cs="Times New Roman"/>
          <w:iCs/>
        </w:rPr>
        <w:t>.</w:t>
      </w:r>
      <w:bookmarkEnd w:id="20"/>
    </w:p>
    <w:bookmarkEnd w:id="21"/>
    <w:p w14:paraId="526F6309" w14:textId="77777777" w:rsidR="00A70B38" w:rsidRPr="00CA7C58" w:rsidRDefault="00A70B38" w:rsidP="00034A66">
      <w:pPr>
        <w:autoSpaceDE w:val="0"/>
        <w:autoSpaceDN w:val="0"/>
        <w:adjustRightInd w:val="0"/>
        <w:jc w:val="both"/>
        <w:rPr>
          <w:rFonts w:ascii="Times New Roman" w:hAnsi="Times New Roman" w:cs="Times New Roman"/>
          <w:iCs/>
        </w:rPr>
      </w:pPr>
    </w:p>
    <w:p w14:paraId="16372E4F" w14:textId="41A7B10C" w:rsidR="00A70B38" w:rsidRPr="00CA7C58" w:rsidRDefault="00A70B38" w:rsidP="00034A66">
      <w:pPr>
        <w:pStyle w:val="C-BodyText"/>
        <w:spacing w:before="0" w:after="0" w:line="240" w:lineRule="auto"/>
        <w:jc w:val="both"/>
        <w:rPr>
          <w:b/>
          <w:bCs/>
          <w:iCs/>
          <w:szCs w:val="24"/>
        </w:rPr>
      </w:pPr>
      <w:r w:rsidRPr="00CA7C58">
        <w:rPr>
          <w:b/>
          <w:bCs/>
          <w:iCs/>
          <w:szCs w:val="24"/>
        </w:rPr>
        <w:t>Immunogenicity</w:t>
      </w:r>
    </w:p>
    <w:p w14:paraId="0EFB8D0A" w14:textId="06BC5460" w:rsidR="00CD0F71" w:rsidRPr="00CA7C58" w:rsidRDefault="00CD0F71" w:rsidP="00034A66">
      <w:pPr>
        <w:pStyle w:val="BodyText2"/>
        <w:spacing w:before="0"/>
        <w:ind w:firstLine="0"/>
        <w:jc w:val="both"/>
        <w:rPr>
          <w:rFonts w:ascii="Times New Roman" w:hAnsi="Times New Roman"/>
          <w:sz w:val="24"/>
        </w:rPr>
      </w:pPr>
      <w:r w:rsidRPr="00CA7C58">
        <w:rPr>
          <w:rFonts w:ascii="Times New Roman" w:hAnsi="Times New Roman"/>
          <w:sz w:val="24"/>
        </w:rPr>
        <w:t xml:space="preserve">The immunogenicity of </w:t>
      </w:r>
      <w:r w:rsidR="007F2819" w:rsidRPr="00CA7C58">
        <w:rPr>
          <w:rFonts w:ascii="Times New Roman" w:hAnsi="Times New Roman"/>
          <w:sz w:val="24"/>
        </w:rPr>
        <w:t>EMPAVELI</w:t>
      </w:r>
      <w:r w:rsidRPr="00CA7C58">
        <w:rPr>
          <w:rFonts w:ascii="Times New Roman" w:hAnsi="Times New Roman"/>
          <w:sz w:val="24"/>
        </w:rPr>
        <w:t xml:space="preserve"> has been evaluated using specific anti</w:t>
      </w:r>
      <w:r w:rsidR="00E376EF" w:rsidRPr="00CA7C58">
        <w:rPr>
          <w:rFonts w:ascii="Times New Roman" w:hAnsi="Times New Roman"/>
          <w:sz w:val="24"/>
        </w:rPr>
        <w:noBreakHyphen/>
      </w:r>
      <w:r w:rsidRPr="00CA7C58">
        <w:rPr>
          <w:rFonts w:ascii="Times New Roman" w:hAnsi="Times New Roman"/>
          <w:sz w:val="24"/>
        </w:rPr>
        <w:t xml:space="preserve">drug antibody (ADA) assays, one specific for the detection of ADAs against the peptide moiety of </w:t>
      </w:r>
      <w:proofErr w:type="spellStart"/>
      <w:r w:rsidRPr="00CA7C58">
        <w:rPr>
          <w:rFonts w:ascii="Times New Roman" w:hAnsi="Times New Roman"/>
          <w:sz w:val="24"/>
        </w:rPr>
        <w:t>pegcetacoplan</w:t>
      </w:r>
      <w:proofErr w:type="spellEnd"/>
      <w:r w:rsidRPr="00CA7C58">
        <w:rPr>
          <w:rFonts w:ascii="Times New Roman" w:hAnsi="Times New Roman"/>
          <w:sz w:val="24"/>
        </w:rPr>
        <w:t xml:space="preserve"> (anti</w:t>
      </w:r>
      <w:r w:rsidR="00E376EF" w:rsidRPr="00CA7C58">
        <w:rPr>
          <w:rFonts w:ascii="Times New Roman" w:hAnsi="Times New Roman"/>
          <w:sz w:val="24"/>
        </w:rPr>
        <w:noBreakHyphen/>
      </w:r>
      <w:proofErr w:type="spellStart"/>
      <w:r w:rsidRPr="00CA7C58">
        <w:rPr>
          <w:rFonts w:ascii="Times New Roman" w:hAnsi="Times New Roman"/>
          <w:sz w:val="24"/>
        </w:rPr>
        <w:t>pegcetacoplan</w:t>
      </w:r>
      <w:proofErr w:type="spellEnd"/>
      <w:r w:rsidRPr="00CA7C58">
        <w:rPr>
          <w:rFonts w:ascii="Times New Roman" w:hAnsi="Times New Roman"/>
          <w:sz w:val="24"/>
        </w:rPr>
        <w:t xml:space="preserve"> peptide) and a second one specific for ADAs against the polyethylene glycol (PEG) component of </w:t>
      </w:r>
      <w:proofErr w:type="spellStart"/>
      <w:r w:rsidRPr="00CA7C58">
        <w:rPr>
          <w:rFonts w:ascii="Times New Roman" w:hAnsi="Times New Roman"/>
          <w:sz w:val="24"/>
        </w:rPr>
        <w:t>pegcetacoplan</w:t>
      </w:r>
      <w:proofErr w:type="spellEnd"/>
      <w:r w:rsidRPr="00CA7C58">
        <w:rPr>
          <w:rFonts w:ascii="Times New Roman" w:hAnsi="Times New Roman"/>
          <w:sz w:val="24"/>
        </w:rPr>
        <w:t xml:space="preserve"> (anti</w:t>
      </w:r>
      <w:r w:rsidR="00E376EF" w:rsidRPr="00CA7C58">
        <w:rPr>
          <w:rFonts w:ascii="Times New Roman" w:hAnsi="Times New Roman"/>
          <w:sz w:val="24"/>
        </w:rPr>
        <w:noBreakHyphen/>
      </w:r>
      <w:r w:rsidRPr="00CA7C58">
        <w:rPr>
          <w:rFonts w:ascii="Times New Roman" w:hAnsi="Times New Roman"/>
          <w:sz w:val="24"/>
        </w:rPr>
        <w:t>PEG).</w:t>
      </w:r>
    </w:p>
    <w:p w14:paraId="487631AA" w14:textId="77777777" w:rsidR="002B1AAC" w:rsidRPr="00CA7C58" w:rsidRDefault="002B1AAC" w:rsidP="00034A66">
      <w:pPr>
        <w:pStyle w:val="BodyText2"/>
        <w:spacing w:before="0"/>
        <w:ind w:firstLine="0"/>
        <w:jc w:val="both"/>
        <w:rPr>
          <w:rFonts w:ascii="Times New Roman" w:hAnsi="Times New Roman"/>
          <w:sz w:val="24"/>
        </w:rPr>
      </w:pPr>
    </w:p>
    <w:p w14:paraId="6BC5C06F" w14:textId="0A81513C" w:rsidR="00B253D3" w:rsidRPr="00CA7C58" w:rsidRDefault="00100BE1" w:rsidP="00034A66">
      <w:pPr>
        <w:autoSpaceDE w:val="0"/>
        <w:autoSpaceDN w:val="0"/>
        <w:adjustRightInd w:val="0"/>
        <w:jc w:val="both"/>
        <w:rPr>
          <w:rFonts w:ascii="Times New Roman" w:hAnsi="Times New Roman" w:cs="Times New Roman"/>
          <w:iCs/>
        </w:rPr>
      </w:pPr>
      <w:bookmarkStart w:id="22" w:name="_Hlk49952772"/>
      <w:r w:rsidRPr="00CA7C58">
        <w:rPr>
          <w:rFonts w:ascii="Times New Roman" w:hAnsi="Times New Roman" w:cs="Times New Roman"/>
        </w:rPr>
        <w:lastRenderedPageBreak/>
        <w:t>Anti</w:t>
      </w:r>
      <w:r w:rsidRPr="00CA7C58">
        <w:rPr>
          <w:rFonts w:ascii="Times New Roman" w:hAnsi="Times New Roman" w:cs="Times New Roman"/>
        </w:rPr>
        <w:noBreakHyphen/>
        <w:t xml:space="preserve">drug antibody incidence (seroconverted </w:t>
      </w:r>
      <w:r w:rsidRPr="00A35A13">
        <w:rPr>
          <w:rFonts w:ascii="Times New Roman" w:hAnsi="Times New Roman" w:cs="Times New Roman"/>
        </w:rPr>
        <w:t>ADA or boosted ADA from pre</w:t>
      </w:r>
      <w:r w:rsidRPr="00A35A13">
        <w:rPr>
          <w:rFonts w:ascii="Times New Roman" w:hAnsi="Times New Roman" w:cs="Times New Roman"/>
        </w:rPr>
        <w:noBreakHyphen/>
        <w:t xml:space="preserve">existing level) was low, and when present, had no noticeable impact on the pharmacokinetics/pharmacodynamics (PK/PD), efficacy, or safety profile of </w:t>
      </w:r>
      <w:proofErr w:type="spellStart"/>
      <w:r w:rsidRPr="00A35A13">
        <w:rPr>
          <w:rFonts w:ascii="Times New Roman" w:hAnsi="Times New Roman" w:cs="Times New Roman"/>
        </w:rPr>
        <w:t>pegcetacoplan</w:t>
      </w:r>
      <w:proofErr w:type="spellEnd"/>
      <w:r w:rsidRPr="00A35A13">
        <w:rPr>
          <w:rFonts w:ascii="Times New Roman" w:hAnsi="Times New Roman" w:cs="Times New Roman"/>
        </w:rPr>
        <w:t>. Throughout Study APL2</w:t>
      </w:r>
      <w:r w:rsidRPr="00A35A13">
        <w:rPr>
          <w:rFonts w:ascii="Times New Roman" w:hAnsi="Times New Roman" w:cs="Times New Roman"/>
        </w:rPr>
        <w:noBreakHyphen/>
        <w:t xml:space="preserve">302, </w:t>
      </w:r>
      <w:r>
        <w:rPr>
          <w:rFonts w:ascii="Times New Roman" w:hAnsi="Times New Roman" w:cs="Times New Roman"/>
        </w:rPr>
        <w:t>up to</w:t>
      </w:r>
      <w:r w:rsidRPr="00A35A13">
        <w:rPr>
          <w:rFonts w:ascii="Times New Roman" w:hAnsi="Times New Roman" w:cs="Times New Roman"/>
        </w:rPr>
        <w:t xml:space="preserve"> Week 48, 2 out of 80 patients developed anti</w:t>
      </w:r>
      <w:r w:rsidRPr="00A35A13">
        <w:rPr>
          <w:rFonts w:ascii="Times New Roman" w:hAnsi="Times New Roman" w:cs="Times New Roman"/>
        </w:rPr>
        <w:noBreakHyphen/>
      </w:r>
      <w:proofErr w:type="spellStart"/>
      <w:r w:rsidRPr="00A35A13">
        <w:rPr>
          <w:rFonts w:ascii="Times New Roman" w:hAnsi="Times New Roman" w:cs="Times New Roman"/>
        </w:rPr>
        <w:t>pegcetacoplan</w:t>
      </w:r>
      <w:proofErr w:type="spellEnd"/>
      <w:r w:rsidRPr="00A35A13">
        <w:rPr>
          <w:rFonts w:ascii="Times New Roman" w:hAnsi="Times New Roman" w:cs="Times New Roman"/>
        </w:rPr>
        <w:t xml:space="preserve"> peptide antibodies. Six out of 80 patients developed anti</w:t>
      </w:r>
      <w:r w:rsidRPr="00A35A13">
        <w:rPr>
          <w:rFonts w:ascii="Times New Roman" w:hAnsi="Times New Roman" w:cs="Times New Roman"/>
        </w:rPr>
        <w:noBreakHyphen/>
        <w:t>PEG antibody incidence; two were seroconversion and four were treatment</w:t>
      </w:r>
      <w:r w:rsidRPr="00A35A13">
        <w:rPr>
          <w:rFonts w:ascii="Times New Roman" w:hAnsi="Times New Roman" w:cs="Times New Roman"/>
        </w:rPr>
        <w:noBreakHyphen/>
        <w:t>boosted</w:t>
      </w:r>
      <w:r w:rsidRPr="00CA7C58">
        <w:rPr>
          <w:rFonts w:ascii="Times New Roman" w:hAnsi="Times New Roman" w:cs="Times New Roman"/>
        </w:rPr>
        <w:t>.</w:t>
      </w:r>
      <w:bookmarkEnd w:id="22"/>
    </w:p>
    <w:p w14:paraId="47BCB0E8" w14:textId="77777777" w:rsidR="00DB524D" w:rsidRPr="00CA7C58" w:rsidRDefault="00DB524D" w:rsidP="00034A66">
      <w:pPr>
        <w:pStyle w:val="BodyText2"/>
        <w:spacing w:before="0"/>
        <w:ind w:firstLine="0"/>
        <w:jc w:val="both"/>
        <w:rPr>
          <w:rFonts w:ascii="Times New Roman" w:hAnsi="Times New Roman"/>
          <w:sz w:val="24"/>
        </w:rPr>
      </w:pPr>
    </w:p>
    <w:p w14:paraId="56B579AB" w14:textId="1C997F7D" w:rsidR="00D91311" w:rsidRPr="00CA7C58" w:rsidRDefault="00D91311" w:rsidP="00034A66">
      <w:pPr>
        <w:pStyle w:val="C-Heading4"/>
        <w:numPr>
          <w:ilvl w:val="0"/>
          <w:numId w:val="0"/>
        </w:numPr>
        <w:spacing w:before="0"/>
        <w:ind w:left="1080" w:hanging="1080"/>
        <w:jc w:val="both"/>
        <w:rPr>
          <w:szCs w:val="24"/>
        </w:rPr>
      </w:pPr>
      <w:r w:rsidRPr="00CA7C58">
        <w:rPr>
          <w:szCs w:val="24"/>
        </w:rPr>
        <w:t>Reporting suspected adverse effects</w:t>
      </w:r>
    </w:p>
    <w:p w14:paraId="000C024A" w14:textId="605EACE8" w:rsidR="00BE609F" w:rsidRDefault="00BE609F" w:rsidP="00034A66">
      <w:pPr>
        <w:rPr>
          <w:rFonts w:ascii="Times New Roman" w:hAnsi="Times New Roman" w:cs="Times New Roman"/>
        </w:rPr>
      </w:pPr>
      <w:r w:rsidRPr="00CA7C58">
        <w:rPr>
          <w:rFonts w:ascii="Times New Roman" w:hAnsi="Times New Roman" w:cs="Times New Roman"/>
          <w:i/>
          <w:iCs/>
        </w:rPr>
        <w:t>Reporting suspected adverse reactions after registration of the medicinal product is important. It allows continued monitoring of the benefit</w:t>
      </w:r>
      <w:r w:rsidR="00E54119">
        <w:rPr>
          <w:rFonts w:ascii="Times New Roman" w:hAnsi="Times New Roman" w:cs="Times New Roman"/>
          <w:i/>
          <w:iCs/>
        </w:rPr>
        <w:noBreakHyphen/>
      </w:r>
      <w:r w:rsidRPr="00CA7C58">
        <w:rPr>
          <w:rFonts w:ascii="Times New Roman" w:hAnsi="Times New Roman" w:cs="Times New Roman"/>
          <w:i/>
          <w:iCs/>
        </w:rPr>
        <w:t>risk balance of the medicinal product. Healthcare</w:t>
      </w:r>
      <w:r w:rsidR="00034A66">
        <w:rPr>
          <w:rFonts w:ascii="Times New Roman" w:hAnsi="Times New Roman" w:cs="Times New Roman"/>
          <w:i/>
          <w:iCs/>
        </w:rPr>
        <w:t xml:space="preserve"> </w:t>
      </w:r>
      <w:r w:rsidRPr="00CA7C58">
        <w:rPr>
          <w:rFonts w:ascii="Times New Roman" w:hAnsi="Times New Roman" w:cs="Times New Roman"/>
          <w:i/>
          <w:iCs/>
        </w:rPr>
        <w:t>professionals are asked to report any suspected adverse reactions at</w:t>
      </w:r>
      <w:r w:rsidRPr="00CA7C58">
        <w:rPr>
          <w:rFonts w:ascii="Times New Roman" w:hAnsi="Times New Roman" w:cs="Times New Roman"/>
        </w:rPr>
        <w:t xml:space="preserve"> </w:t>
      </w:r>
      <w:hyperlink r:id="rId12" w:history="1">
        <w:r w:rsidR="00915291" w:rsidRPr="006C232A">
          <w:rPr>
            <w:rStyle w:val="Hyperlink"/>
            <w:rFonts w:ascii="Times New Roman" w:hAnsi="Times New Roman" w:cs="Times New Roman"/>
            <w:i/>
            <w:iCs/>
          </w:rPr>
          <w:t>www.tga.gov.au/reportingproblems</w:t>
        </w:r>
      </w:hyperlink>
      <w:r w:rsidRPr="008C0845">
        <w:rPr>
          <w:rFonts w:ascii="Times New Roman" w:hAnsi="Times New Roman" w:cs="Times New Roman"/>
        </w:rPr>
        <w:t>.</w:t>
      </w:r>
    </w:p>
    <w:p w14:paraId="2B1C3C5D" w14:textId="77777777" w:rsidR="00915291" w:rsidRPr="00CA7C58" w:rsidRDefault="00915291" w:rsidP="00034A66">
      <w:pPr>
        <w:rPr>
          <w:rFonts w:ascii="Times New Roman" w:hAnsi="Times New Roman" w:cs="Times New Roman"/>
          <w:i/>
          <w:iCs/>
        </w:rPr>
      </w:pPr>
    </w:p>
    <w:p w14:paraId="3646802A" w14:textId="3BFC4D28" w:rsidR="002E50E9" w:rsidRPr="00CA7C58" w:rsidRDefault="002E50E9" w:rsidP="00E54119">
      <w:pPr>
        <w:rPr>
          <w:rFonts w:ascii="Times New Roman" w:hAnsi="Times New Roman" w:cs="Times New Roman"/>
        </w:rPr>
      </w:pPr>
    </w:p>
    <w:p w14:paraId="155015C8" w14:textId="20B4D055" w:rsidR="000C3A58" w:rsidRPr="00CA7C58" w:rsidRDefault="002E50E9" w:rsidP="00C44434">
      <w:pPr>
        <w:pStyle w:val="C-Heading4"/>
        <w:numPr>
          <w:ilvl w:val="0"/>
          <w:numId w:val="0"/>
        </w:numPr>
        <w:spacing w:before="0"/>
        <w:ind w:left="720" w:hanging="720"/>
        <w:rPr>
          <w:szCs w:val="24"/>
        </w:rPr>
      </w:pPr>
      <w:r w:rsidRPr="00CA7C58">
        <w:rPr>
          <w:szCs w:val="24"/>
        </w:rPr>
        <w:t>4.9</w:t>
      </w:r>
      <w:r w:rsidR="00D95BDC" w:rsidRPr="00CA7C58">
        <w:rPr>
          <w:szCs w:val="24"/>
        </w:rPr>
        <w:tab/>
      </w:r>
      <w:r w:rsidRPr="00CA7C58">
        <w:rPr>
          <w:szCs w:val="24"/>
        </w:rPr>
        <w:t>OVERDOSE</w:t>
      </w:r>
    </w:p>
    <w:p w14:paraId="53A923B8" w14:textId="77777777" w:rsidR="00CA7C58" w:rsidRPr="00CA7C58" w:rsidRDefault="00CA7C58" w:rsidP="00E54119">
      <w:pPr>
        <w:pStyle w:val="C-BodyText"/>
        <w:spacing w:before="0" w:after="0" w:line="240" w:lineRule="auto"/>
      </w:pPr>
    </w:p>
    <w:p w14:paraId="71C376BD" w14:textId="0753730D" w:rsidR="001B610F" w:rsidRPr="00CA7C58" w:rsidRDefault="00463403" w:rsidP="00E54119">
      <w:pPr>
        <w:autoSpaceDE w:val="0"/>
        <w:autoSpaceDN w:val="0"/>
        <w:adjustRightInd w:val="0"/>
        <w:rPr>
          <w:rFonts w:ascii="Times New Roman" w:hAnsi="Times New Roman" w:cs="Times New Roman"/>
          <w:iCs/>
        </w:rPr>
      </w:pPr>
      <w:r w:rsidRPr="00CA7C58">
        <w:rPr>
          <w:rFonts w:ascii="Times New Roman" w:hAnsi="Times New Roman" w:cs="Times New Roman"/>
          <w:iCs/>
        </w:rPr>
        <w:t>No case of overdose has been reported during clinical studies</w:t>
      </w:r>
      <w:r w:rsidR="0071100B" w:rsidRPr="00CA7C58">
        <w:rPr>
          <w:rFonts w:ascii="Times New Roman" w:hAnsi="Times New Roman" w:cs="Times New Roman"/>
          <w:iCs/>
        </w:rPr>
        <w:t>.</w:t>
      </w:r>
    </w:p>
    <w:p w14:paraId="73B90E44" w14:textId="77777777" w:rsidR="00AC636F" w:rsidRPr="00CA7C58" w:rsidRDefault="00AC636F" w:rsidP="00DB6782">
      <w:pPr>
        <w:autoSpaceDE w:val="0"/>
        <w:autoSpaceDN w:val="0"/>
        <w:adjustRightInd w:val="0"/>
        <w:jc w:val="both"/>
        <w:rPr>
          <w:rFonts w:ascii="Times New Roman" w:hAnsi="Times New Roman" w:cs="Times New Roman"/>
          <w:iCs/>
        </w:rPr>
      </w:pPr>
    </w:p>
    <w:p w14:paraId="5FA673CB" w14:textId="2C41C230" w:rsidR="00C51FB2" w:rsidRPr="00CA7C58" w:rsidRDefault="00463403" w:rsidP="00DB6782">
      <w:pPr>
        <w:autoSpaceDE w:val="0"/>
        <w:autoSpaceDN w:val="0"/>
        <w:adjustRightInd w:val="0"/>
        <w:jc w:val="both"/>
        <w:rPr>
          <w:rFonts w:ascii="Times New Roman" w:hAnsi="Times New Roman" w:cs="Times New Roman"/>
          <w:i/>
        </w:rPr>
      </w:pPr>
      <w:r w:rsidRPr="00CA7C58">
        <w:rPr>
          <w:rFonts w:ascii="Times New Roman" w:hAnsi="Times New Roman" w:cs="Times New Roman"/>
          <w:i/>
        </w:rPr>
        <w:t>For information on the management of overdose, contact the Poison Information Centre on 13 11 26 (Australia).</w:t>
      </w:r>
    </w:p>
    <w:p w14:paraId="1724851E" w14:textId="77777777" w:rsidR="00463403" w:rsidRPr="00CA7C58" w:rsidRDefault="00463403" w:rsidP="00E54119">
      <w:pPr>
        <w:autoSpaceDE w:val="0"/>
        <w:autoSpaceDN w:val="0"/>
        <w:adjustRightInd w:val="0"/>
        <w:rPr>
          <w:rFonts w:ascii="Times New Roman" w:hAnsi="Times New Roman" w:cs="Times New Roman"/>
          <w:iCs/>
        </w:rPr>
      </w:pPr>
    </w:p>
    <w:p w14:paraId="5EB445E7" w14:textId="0789DE71" w:rsidR="006C4775" w:rsidRPr="00CA7C58" w:rsidRDefault="006C4775" w:rsidP="00C44434">
      <w:pPr>
        <w:pStyle w:val="C-Heading4"/>
        <w:numPr>
          <w:ilvl w:val="0"/>
          <w:numId w:val="0"/>
        </w:numPr>
        <w:spacing w:before="0"/>
        <w:ind w:left="720" w:hanging="720"/>
        <w:rPr>
          <w:sz w:val="28"/>
          <w:szCs w:val="28"/>
        </w:rPr>
      </w:pPr>
      <w:r w:rsidRPr="00CA7C58">
        <w:rPr>
          <w:sz w:val="28"/>
          <w:szCs w:val="28"/>
        </w:rPr>
        <w:t>5</w:t>
      </w:r>
      <w:r w:rsidR="00651E48" w:rsidRPr="00CA7C58">
        <w:rPr>
          <w:sz w:val="28"/>
          <w:szCs w:val="28"/>
        </w:rPr>
        <w:tab/>
      </w:r>
      <w:r w:rsidRPr="00CA7C58">
        <w:rPr>
          <w:sz w:val="28"/>
          <w:szCs w:val="28"/>
        </w:rPr>
        <w:t>PHARMACOLOGICAL PROPERTIES</w:t>
      </w:r>
    </w:p>
    <w:p w14:paraId="4F27515E" w14:textId="77777777" w:rsidR="00C44434" w:rsidRPr="00CA7C58" w:rsidRDefault="00C44434" w:rsidP="00CA7C58">
      <w:pPr>
        <w:pStyle w:val="C-BodyText"/>
        <w:spacing w:before="0" w:after="0" w:line="240" w:lineRule="auto"/>
      </w:pPr>
    </w:p>
    <w:p w14:paraId="44EA9D23" w14:textId="1A9F1048" w:rsidR="006C4775" w:rsidRPr="00CA7C58" w:rsidRDefault="006C4775" w:rsidP="00CA7C58">
      <w:pPr>
        <w:pStyle w:val="C-Heading4"/>
        <w:numPr>
          <w:ilvl w:val="0"/>
          <w:numId w:val="0"/>
        </w:numPr>
        <w:spacing w:before="0"/>
        <w:ind w:left="720" w:hanging="720"/>
        <w:rPr>
          <w:szCs w:val="24"/>
        </w:rPr>
      </w:pPr>
      <w:r w:rsidRPr="00CA7C58">
        <w:rPr>
          <w:szCs w:val="24"/>
        </w:rPr>
        <w:t>5.1</w:t>
      </w:r>
      <w:r w:rsidR="00D95BDC" w:rsidRPr="00CA7C58">
        <w:rPr>
          <w:szCs w:val="24"/>
        </w:rPr>
        <w:tab/>
      </w:r>
      <w:r w:rsidRPr="00CA7C58">
        <w:rPr>
          <w:szCs w:val="24"/>
        </w:rPr>
        <w:t>PHARMACODYNAMIC PROPERTIES</w:t>
      </w:r>
    </w:p>
    <w:p w14:paraId="63405712" w14:textId="77777777" w:rsidR="00CA7C58" w:rsidRPr="00CA7C58" w:rsidRDefault="00CA7C58" w:rsidP="00DB6782">
      <w:pPr>
        <w:pStyle w:val="C-BodyText"/>
        <w:spacing w:before="0" w:after="0" w:line="240" w:lineRule="auto"/>
        <w:jc w:val="both"/>
      </w:pPr>
    </w:p>
    <w:p w14:paraId="09FC3A2D" w14:textId="1BFA4CD5" w:rsidR="005944BB" w:rsidRPr="00CA7C58" w:rsidRDefault="005944BB" w:rsidP="00DB6782">
      <w:pPr>
        <w:autoSpaceDE w:val="0"/>
        <w:autoSpaceDN w:val="0"/>
        <w:adjustRightInd w:val="0"/>
        <w:jc w:val="both"/>
        <w:rPr>
          <w:rFonts w:ascii="Times New Roman" w:hAnsi="Times New Roman" w:cs="Times New Roman"/>
        </w:rPr>
      </w:pPr>
      <w:r w:rsidRPr="00CA7C58">
        <w:rPr>
          <w:rFonts w:ascii="Times New Roman" w:hAnsi="Times New Roman" w:cs="Times New Roman"/>
        </w:rPr>
        <w:t>Pharmacotherapeutic group: Selective immunosuppressants, ATC code: LO4AAXX</w:t>
      </w:r>
    </w:p>
    <w:p w14:paraId="6C623545" w14:textId="77777777" w:rsidR="00CA7C58" w:rsidRPr="00CA7C58" w:rsidRDefault="00CA7C58" w:rsidP="00DB6782">
      <w:pPr>
        <w:autoSpaceDE w:val="0"/>
        <w:autoSpaceDN w:val="0"/>
        <w:adjustRightInd w:val="0"/>
        <w:jc w:val="both"/>
        <w:rPr>
          <w:rFonts w:ascii="Times New Roman" w:hAnsi="Times New Roman" w:cs="Times New Roman"/>
        </w:rPr>
      </w:pPr>
    </w:p>
    <w:p w14:paraId="167FA975" w14:textId="3689A3F7" w:rsidR="006C4775" w:rsidRPr="00CA7C58" w:rsidRDefault="001067A4" w:rsidP="00DB6782">
      <w:pPr>
        <w:pStyle w:val="C-Heading4"/>
        <w:numPr>
          <w:ilvl w:val="0"/>
          <w:numId w:val="0"/>
        </w:numPr>
        <w:spacing w:before="0"/>
        <w:ind w:left="1080" w:hanging="1080"/>
        <w:jc w:val="both"/>
        <w:rPr>
          <w:szCs w:val="24"/>
        </w:rPr>
      </w:pPr>
      <w:r w:rsidRPr="00CA7C58">
        <w:rPr>
          <w:szCs w:val="24"/>
        </w:rPr>
        <w:t>Mechanism</w:t>
      </w:r>
      <w:r w:rsidR="006C4775" w:rsidRPr="00CA7C58">
        <w:rPr>
          <w:szCs w:val="24"/>
        </w:rPr>
        <w:t xml:space="preserve"> of action</w:t>
      </w:r>
    </w:p>
    <w:p w14:paraId="79FF5104" w14:textId="0EA28EDE" w:rsidR="005D66DD" w:rsidRPr="00CA7C58" w:rsidRDefault="005D66DD" w:rsidP="00DB6782">
      <w:pPr>
        <w:pStyle w:val="C-BodyText"/>
        <w:spacing w:before="0" w:after="0" w:line="240" w:lineRule="auto"/>
        <w:jc w:val="both"/>
        <w:rPr>
          <w:szCs w:val="24"/>
        </w:rPr>
      </w:pPr>
      <w:bookmarkStart w:id="23" w:name="_Hlk47864046"/>
      <w:proofErr w:type="spellStart"/>
      <w:r w:rsidRPr="00CA7C58">
        <w:rPr>
          <w:szCs w:val="24"/>
        </w:rPr>
        <w:t>Pegcetacoplan</w:t>
      </w:r>
      <w:bookmarkEnd w:id="23"/>
      <w:proofErr w:type="spellEnd"/>
      <w:r w:rsidRPr="00CA7C58">
        <w:rPr>
          <w:szCs w:val="24"/>
        </w:rPr>
        <w:t xml:space="preserve"> binds to complement protein C3 and its activation fragment C3b with high affinity, thereby regulating the cleavage of C3 and the generation of downstream effectors of complement activation. In PNH, extravascular </w:t>
      </w:r>
      <w:proofErr w:type="spellStart"/>
      <w:r w:rsidRPr="00CA7C58">
        <w:rPr>
          <w:szCs w:val="24"/>
        </w:rPr>
        <w:t>h</w:t>
      </w:r>
      <w:r w:rsidR="009C04EC" w:rsidRPr="00CA7C58">
        <w:rPr>
          <w:szCs w:val="24"/>
        </w:rPr>
        <w:t>a</w:t>
      </w:r>
      <w:r w:rsidRPr="00CA7C58">
        <w:rPr>
          <w:szCs w:val="24"/>
        </w:rPr>
        <w:t>emolysis</w:t>
      </w:r>
      <w:proofErr w:type="spellEnd"/>
      <w:r w:rsidRPr="00CA7C58">
        <w:rPr>
          <w:szCs w:val="24"/>
        </w:rPr>
        <w:t xml:space="preserve"> (EVH) is facilitated by C3b opsonization while intravascular </w:t>
      </w:r>
      <w:proofErr w:type="spellStart"/>
      <w:r w:rsidRPr="00CA7C58">
        <w:rPr>
          <w:szCs w:val="24"/>
        </w:rPr>
        <w:t>h</w:t>
      </w:r>
      <w:r w:rsidR="009C04EC" w:rsidRPr="00CA7C58">
        <w:rPr>
          <w:szCs w:val="24"/>
        </w:rPr>
        <w:t>a</w:t>
      </w:r>
      <w:r w:rsidRPr="00CA7C58">
        <w:rPr>
          <w:szCs w:val="24"/>
        </w:rPr>
        <w:t>emolysis</w:t>
      </w:r>
      <w:proofErr w:type="spellEnd"/>
      <w:r w:rsidRPr="00CA7C58">
        <w:rPr>
          <w:szCs w:val="24"/>
        </w:rPr>
        <w:t xml:space="preserve"> (IVH) is mediated by the downstream membrane attack complex (MAC). </w:t>
      </w:r>
      <w:proofErr w:type="spellStart"/>
      <w:r w:rsidRPr="00CA7C58">
        <w:rPr>
          <w:szCs w:val="24"/>
        </w:rPr>
        <w:t>Pegcetacoplan</w:t>
      </w:r>
      <w:proofErr w:type="spellEnd"/>
      <w:r w:rsidRPr="00CA7C58">
        <w:rPr>
          <w:szCs w:val="24"/>
        </w:rPr>
        <w:t xml:space="preserve"> exerts broad regulation of the complement cascade by acting proximal to both C3b and MAC formation, thereby controlling the mechanisms that lead to EVH and IVH. These functions of </w:t>
      </w:r>
      <w:proofErr w:type="spellStart"/>
      <w:r w:rsidR="003D5E35" w:rsidRPr="00CA7C58">
        <w:rPr>
          <w:szCs w:val="24"/>
        </w:rPr>
        <w:t>pegcetacoplan</w:t>
      </w:r>
      <w:proofErr w:type="spellEnd"/>
      <w:r w:rsidR="003D5E35" w:rsidRPr="00CA7C58">
        <w:rPr>
          <w:szCs w:val="24"/>
        </w:rPr>
        <w:t xml:space="preserve"> </w:t>
      </w:r>
      <w:r w:rsidRPr="00CA7C58">
        <w:rPr>
          <w:szCs w:val="24"/>
        </w:rPr>
        <w:t>underlie the observed sustained reduction in complement</w:t>
      </w:r>
      <w:r w:rsidRPr="00CA7C58">
        <w:rPr>
          <w:szCs w:val="24"/>
        </w:rPr>
        <w:noBreakHyphen/>
        <w:t xml:space="preserve">mediated </w:t>
      </w:r>
      <w:proofErr w:type="spellStart"/>
      <w:r w:rsidRPr="00CA7C58">
        <w:rPr>
          <w:szCs w:val="24"/>
        </w:rPr>
        <w:t>h</w:t>
      </w:r>
      <w:r w:rsidR="009C04EC" w:rsidRPr="00CA7C58">
        <w:rPr>
          <w:szCs w:val="24"/>
        </w:rPr>
        <w:t>a</w:t>
      </w:r>
      <w:r w:rsidRPr="00CA7C58">
        <w:rPr>
          <w:szCs w:val="24"/>
        </w:rPr>
        <w:t>emolytic</w:t>
      </w:r>
      <w:proofErr w:type="spellEnd"/>
      <w:r w:rsidRPr="00CA7C58">
        <w:rPr>
          <w:szCs w:val="24"/>
        </w:rPr>
        <w:t xml:space="preserve"> activity in patients with PNH.</w:t>
      </w:r>
    </w:p>
    <w:p w14:paraId="0D4FA102" w14:textId="77777777" w:rsidR="00CA7C58" w:rsidRPr="00CA7C58" w:rsidRDefault="00CA7C58" w:rsidP="00DB6782">
      <w:pPr>
        <w:pStyle w:val="C-BodyText"/>
        <w:spacing w:before="0" w:after="0" w:line="240" w:lineRule="auto"/>
        <w:jc w:val="both"/>
        <w:rPr>
          <w:szCs w:val="24"/>
        </w:rPr>
      </w:pPr>
    </w:p>
    <w:p w14:paraId="6A95ED3C" w14:textId="77777777" w:rsidR="00AD7128" w:rsidRPr="00CA7C58" w:rsidRDefault="00AD7128" w:rsidP="00DB6782">
      <w:pPr>
        <w:pStyle w:val="C-Heading4"/>
        <w:numPr>
          <w:ilvl w:val="0"/>
          <w:numId w:val="0"/>
        </w:numPr>
        <w:spacing w:before="0"/>
        <w:ind w:left="1080" w:hanging="1080"/>
        <w:jc w:val="both"/>
        <w:rPr>
          <w:szCs w:val="24"/>
        </w:rPr>
      </w:pPr>
      <w:r w:rsidRPr="00CA7C58">
        <w:rPr>
          <w:szCs w:val="24"/>
        </w:rPr>
        <w:t>Pharmacodynamic effects</w:t>
      </w:r>
    </w:p>
    <w:p w14:paraId="14BAFAAE" w14:textId="1EEAEF85" w:rsidR="00AD7128" w:rsidRPr="00CA7C58" w:rsidRDefault="00AD7128" w:rsidP="00DB6782">
      <w:pPr>
        <w:autoSpaceDE w:val="0"/>
        <w:autoSpaceDN w:val="0"/>
        <w:adjustRightInd w:val="0"/>
        <w:jc w:val="both"/>
        <w:rPr>
          <w:rFonts w:ascii="Times New Roman" w:hAnsi="Times New Roman" w:cs="Times New Roman"/>
        </w:rPr>
      </w:pPr>
      <w:r w:rsidRPr="00CA7C58">
        <w:rPr>
          <w:rFonts w:ascii="Times New Roman" w:hAnsi="Times New Roman" w:cs="Times New Roman"/>
        </w:rPr>
        <w:t>In Study APL2-302, mean C3 concentration increased from 0.94</w:t>
      </w:r>
      <w:r w:rsidR="00E376EF" w:rsidRPr="00CA7C58">
        <w:rPr>
          <w:rFonts w:ascii="Times New Roman" w:hAnsi="Times New Roman" w:cs="Times New Roman"/>
        </w:rPr>
        <w:t> </w:t>
      </w:r>
      <w:r w:rsidRPr="00CA7C58">
        <w:rPr>
          <w:rFonts w:ascii="Times New Roman" w:hAnsi="Times New Roman" w:cs="Times New Roman"/>
        </w:rPr>
        <w:t>g/</w:t>
      </w:r>
      <w:r w:rsidR="00781F78" w:rsidRPr="00CA7C58">
        <w:rPr>
          <w:rFonts w:ascii="Times New Roman" w:hAnsi="Times New Roman" w:cs="Times New Roman"/>
        </w:rPr>
        <w:t>L</w:t>
      </w:r>
      <w:r w:rsidRPr="00CA7C58">
        <w:rPr>
          <w:rFonts w:ascii="Times New Roman" w:hAnsi="Times New Roman" w:cs="Times New Roman"/>
        </w:rPr>
        <w:t xml:space="preserve"> at baseline to 3.83</w:t>
      </w:r>
      <w:r w:rsidR="00E376EF" w:rsidRPr="00CA7C58">
        <w:rPr>
          <w:rFonts w:ascii="Times New Roman" w:hAnsi="Times New Roman" w:cs="Times New Roman"/>
        </w:rPr>
        <w:t> </w:t>
      </w:r>
      <w:r w:rsidRPr="00CA7C58">
        <w:rPr>
          <w:rFonts w:ascii="Times New Roman" w:hAnsi="Times New Roman" w:cs="Times New Roman"/>
        </w:rPr>
        <w:t>g/</w:t>
      </w:r>
      <w:r w:rsidR="00781F78" w:rsidRPr="00CA7C58">
        <w:rPr>
          <w:rFonts w:ascii="Times New Roman" w:hAnsi="Times New Roman" w:cs="Times New Roman"/>
        </w:rPr>
        <w:t>L</w:t>
      </w:r>
      <w:r w:rsidRPr="00CA7C58">
        <w:rPr>
          <w:rFonts w:ascii="Times New Roman" w:hAnsi="Times New Roman" w:cs="Times New Roman"/>
        </w:rPr>
        <w:t xml:space="preserve"> at Week</w:t>
      </w:r>
      <w:r w:rsidR="00E376EF" w:rsidRPr="00CA7C58">
        <w:rPr>
          <w:rFonts w:ascii="Times New Roman" w:hAnsi="Times New Roman" w:cs="Times New Roman"/>
        </w:rPr>
        <w:t> </w:t>
      </w:r>
      <w:r w:rsidRPr="00CA7C58">
        <w:rPr>
          <w:rFonts w:ascii="Times New Roman" w:hAnsi="Times New Roman" w:cs="Times New Roman"/>
        </w:rPr>
        <w:t xml:space="preserve">16 in the </w:t>
      </w:r>
      <w:proofErr w:type="spellStart"/>
      <w:r w:rsidRPr="00CA7C58">
        <w:rPr>
          <w:rFonts w:ascii="Times New Roman" w:hAnsi="Times New Roman" w:cs="Times New Roman"/>
        </w:rPr>
        <w:t>pegcetacoplan</w:t>
      </w:r>
      <w:proofErr w:type="spellEnd"/>
      <w:r w:rsidRPr="00CA7C58">
        <w:rPr>
          <w:rFonts w:ascii="Times New Roman" w:hAnsi="Times New Roman" w:cs="Times New Roman"/>
        </w:rPr>
        <w:t xml:space="preserve"> group. The baseline percentage of PNH Type II + III RBCs was 66.80%, which then increased to 93.85% at Week</w:t>
      </w:r>
      <w:r w:rsidR="00E376EF" w:rsidRPr="00CA7C58">
        <w:rPr>
          <w:rFonts w:ascii="Times New Roman" w:hAnsi="Times New Roman" w:cs="Times New Roman"/>
        </w:rPr>
        <w:t> </w:t>
      </w:r>
      <w:r w:rsidRPr="00CA7C58">
        <w:rPr>
          <w:rFonts w:ascii="Times New Roman" w:hAnsi="Times New Roman" w:cs="Times New Roman"/>
        </w:rPr>
        <w:t>16. The mean percentage of PNH Type II + III RBCs with C3 deposition was 17.73% at baseline and this decreased to 0.20% at Week</w:t>
      </w:r>
      <w:r w:rsidR="00E376EF" w:rsidRPr="00CA7C58">
        <w:rPr>
          <w:rFonts w:ascii="Times New Roman" w:hAnsi="Times New Roman" w:cs="Times New Roman"/>
        </w:rPr>
        <w:t> </w:t>
      </w:r>
      <w:r w:rsidRPr="00CA7C58">
        <w:rPr>
          <w:rFonts w:ascii="Times New Roman" w:hAnsi="Times New Roman" w:cs="Times New Roman"/>
        </w:rPr>
        <w:t xml:space="preserve">16. </w:t>
      </w:r>
      <w:proofErr w:type="spellStart"/>
      <w:r w:rsidRPr="00CA7C58">
        <w:rPr>
          <w:rFonts w:ascii="Times New Roman" w:hAnsi="Times New Roman" w:cs="Times New Roman"/>
        </w:rPr>
        <w:t>Pegcetacoplan</w:t>
      </w:r>
      <w:proofErr w:type="spellEnd"/>
      <w:r w:rsidRPr="00CA7C58">
        <w:rPr>
          <w:rFonts w:ascii="Times New Roman" w:hAnsi="Times New Roman" w:cs="Times New Roman"/>
        </w:rPr>
        <w:t xml:space="preserve"> treatment of patients with PNH resulted in the improvement of </w:t>
      </w:r>
      <w:proofErr w:type="spellStart"/>
      <w:r w:rsidRPr="00CA7C58">
        <w:rPr>
          <w:rFonts w:ascii="Times New Roman" w:hAnsi="Times New Roman" w:cs="Times New Roman"/>
        </w:rPr>
        <w:t>haemoglobin</w:t>
      </w:r>
      <w:proofErr w:type="spellEnd"/>
      <w:r w:rsidRPr="00CA7C58">
        <w:rPr>
          <w:rFonts w:ascii="Times New Roman" w:hAnsi="Times New Roman" w:cs="Times New Roman"/>
        </w:rPr>
        <w:t xml:space="preserve"> (Hb) level and reduction of absolute reticulocyte count (ARC) and LDH (see </w:t>
      </w:r>
      <w:r w:rsidRPr="00CA7C58">
        <w:rPr>
          <w:rFonts w:ascii="Times New Roman" w:hAnsi="Times New Roman" w:cs="Times New Roman"/>
          <w:i/>
          <w:iCs/>
        </w:rPr>
        <w:t xml:space="preserve">Clinical </w:t>
      </w:r>
      <w:r w:rsidR="00CE66A0" w:rsidRPr="00CA7C58">
        <w:rPr>
          <w:rFonts w:ascii="Times New Roman" w:hAnsi="Times New Roman" w:cs="Times New Roman"/>
          <w:i/>
          <w:iCs/>
        </w:rPr>
        <w:t>trials</w:t>
      </w:r>
      <w:r w:rsidRPr="00CA7C58">
        <w:rPr>
          <w:rFonts w:ascii="Times New Roman" w:hAnsi="Times New Roman" w:cs="Times New Roman"/>
        </w:rPr>
        <w:t>).</w:t>
      </w:r>
    </w:p>
    <w:p w14:paraId="6979B0CE" w14:textId="31C2AC25" w:rsidR="00DC1D60" w:rsidRPr="00CA7C58" w:rsidRDefault="00DC1D60" w:rsidP="00DB6782">
      <w:pPr>
        <w:autoSpaceDE w:val="0"/>
        <w:autoSpaceDN w:val="0"/>
        <w:adjustRightInd w:val="0"/>
        <w:jc w:val="both"/>
        <w:rPr>
          <w:rFonts w:ascii="Times New Roman" w:hAnsi="Times New Roman" w:cs="Times New Roman"/>
        </w:rPr>
      </w:pPr>
    </w:p>
    <w:p w14:paraId="74FBB751" w14:textId="410B4C44" w:rsidR="006C4775" w:rsidRPr="00CA7C58" w:rsidRDefault="006C4775" w:rsidP="00DB6782">
      <w:pPr>
        <w:pStyle w:val="C-Heading4"/>
        <w:numPr>
          <w:ilvl w:val="0"/>
          <w:numId w:val="0"/>
        </w:numPr>
        <w:spacing w:before="0"/>
        <w:ind w:left="1080" w:hanging="1080"/>
        <w:jc w:val="both"/>
        <w:rPr>
          <w:szCs w:val="24"/>
        </w:rPr>
      </w:pPr>
      <w:r w:rsidRPr="00CA7C58">
        <w:rPr>
          <w:szCs w:val="24"/>
        </w:rPr>
        <w:t>Clinical trials</w:t>
      </w:r>
    </w:p>
    <w:p w14:paraId="1D96DB02" w14:textId="0324A528" w:rsidR="00E75328" w:rsidRPr="00CA7C58" w:rsidRDefault="00CE66A0" w:rsidP="00DB6782">
      <w:pPr>
        <w:ind w:left="360" w:hanging="360"/>
        <w:jc w:val="both"/>
        <w:rPr>
          <w:rFonts w:ascii="Times New Roman" w:hAnsi="Times New Roman" w:cs="Times New Roman"/>
          <w:b/>
          <w:bCs/>
        </w:rPr>
      </w:pPr>
      <w:r w:rsidRPr="00CA7C58">
        <w:rPr>
          <w:rFonts w:ascii="Times New Roman" w:hAnsi="Times New Roman" w:cs="Times New Roman"/>
          <w:b/>
          <w:bCs/>
        </w:rPr>
        <w:t xml:space="preserve">Paroxysmal Nocturnal </w:t>
      </w:r>
      <w:proofErr w:type="spellStart"/>
      <w:r w:rsidRPr="00CA7C58">
        <w:rPr>
          <w:rFonts w:ascii="Times New Roman" w:hAnsi="Times New Roman" w:cs="Times New Roman"/>
          <w:b/>
          <w:bCs/>
        </w:rPr>
        <w:t>Haemoglobinuria</w:t>
      </w:r>
      <w:proofErr w:type="spellEnd"/>
      <w:r w:rsidRPr="00CA7C58">
        <w:rPr>
          <w:rFonts w:ascii="Times New Roman" w:hAnsi="Times New Roman" w:cs="Times New Roman"/>
          <w:b/>
          <w:bCs/>
        </w:rPr>
        <w:t xml:space="preserve"> (PNH)</w:t>
      </w:r>
    </w:p>
    <w:p w14:paraId="2F02177A" w14:textId="5A109F66" w:rsidR="003840B9" w:rsidRDefault="003840B9" w:rsidP="00DB6782">
      <w:pPr>
        <w:pStyle w:val="C-BodyText"/>
        <w:spacing w:before="0" w:after="0" w:line="240" w:lineRule="auto"/>
        <w:jc w:val="both"/>
        <w:rPr>
          <w:szCs w:val="24"/>
        </w:rPr>
      </w:pPr>
      <w:r w:rsidRPr="00CA7C58">
        <w:rPr>
          <w:szCs w:val="24"/>
        </w:rPr>
        <w:t xml:space="preserve">The efficacy and safety of </w:t>
      </w:r>
      <w:r w:rsidR="007F2819" w:rsidRPr="00CA7C58">
        <w:rPr>
          <w:szCs w:val="24"/>
        </w:rPr>
        <w:t>EMPAVELI</w:t>
      </w:r>
      <w:r w:rsidRPr="00CA7C58">
        <w:rPr>
          <w:szCs w:val="24"/>
        </w:rPr>
        <w:t xml:space="preserve"> in patients with PNH was assessed in an open</w:t>
      </w:r>
      <w:r w:rsidRPr="00CA7C58">
        <w:rPr>
          <w:szCs w:val="24"/>
        </w:rPr>
        <w:noBreakHyphen/>
        <w:t xml:space="preserve">label, </w:t>
      </w:r>
      <w:proofErr w:type="spellStart"/>
      <w:r w:rsidR="0095316D">
        <w:rPr>
          <w:szCs w:val="24"/>
        </w:rPr>
        <w:t>randomised</w:t>
      </w:r>
      <w:proofErr w:type="spellEnd"/>
      <w:r w:rsidRPr="00CA7C58">
        <w:rPr>
          <w:szCs w:val="24"/>
        </w:rPr>
        <w:t>, active comparator controlled 16</w:t>
      </w:r>
      <w:r w:rsidRPr="00CA7C58">
        <w:rPr>
          <w:szCs w:val="24"/>
        </w:rPr>
        <w:noBreakHyphen/>
        <w:t>week Phase 3 study (Study APL2</w:t>
      </w:r>
      <w:r w:rsidRPr="00CA7C58">
        <w:rPr>
          <w:szCs w:val="24"/>
        </w:rPr>
        <w:noBreakHyphen/>
        <w:t>302; NCT03500549). This study enrolled patients with PNH who had been treated with a stable dose of eculizumab for at least the previous 3 months and with Hb levels &lt;10.5 g/dL.</w:t>
      </w:r>
    </w:p>
    <w:p w14:paraId="00EB2A57" w14:textId="77777777" w:rsidR="00CA7C58" w:rsidRPr="00CA7C58" w:rsidRDefault="00CA7C58" w:rsidP="00DB6782">
      <w:pPr>
        <w:pStyle w:val="C-BodyText"/>
        <w:spacing w:before="0" w:after="0" w:line="240" w:lineRule="auto"/>
        <w:jc w:val="both"/>
        <w:rPr>
          <w:szCs w:val="24"/>
        </w:rPr>
      </w:pPr>
    </w:p>
    <w:p w14:paraId="7E4B6D7F" w14:textId="0ACF16EA" w:rsidR="003840B9" w:rsidRDefault="003840B9" w:rsidP="00DB6782">
      <w:pPr>
        <w:pStyle w:val="C-BodyText"/>
        <w:spacing w:before="0" w:after="0" w:line="240" w:lineRule="auto"/>
        <w:jc w:val="both"/>
        <w:rPr>
          <w:szCs w:val="24"/>
        </w:rPr>
      </w:pPr>
      <w:bookmarkStart w:id="24" w:name="_Hlk46925588"/>
      <w:r w:rsidRPr="00CA7C58">
        <w:rPr>
          <w:szCs w:val="24"/>
        </w:rPr>
        <w:t xml:space="preserve">The dose of </w:t>
      </w:r>
      <w:r w:rsidR="007F2819" w:rsidRPr="00CA7C58">
        <w:rPr>
          <w:szCs w:val="24"/>
        </w:rPr>
        <w:t>EMPAVELI</w:t>
      </w:r>
      <w:r w:rsidRPr="00CA7C58">
        <w:rPr>
          <w:szCs w:val="24"/>
        </w:rPr>
        <w:t xml:space="preserve"> was 1,080 mg twice weekly. Eligible patients entered a 4</w:t>
      </w:r>
      <w:r w:rsidRPr="00CA7C58">
        <w:rPr>
          <w:szCs w:val="24"/>
        </w:rPr>
        <w:noBreakHyphen/>
        <w:t>week run</w:t>
      </w:r>
      <w:r w:rsidRPr="00CA7C58">
        <w:rPr>
          <w:szCs w:val="24"/>
        </w:rPr>
        <w:noBreakHyphen/>
        <w:t xml:space="preserve">in period during which they received </w:t>
      </w:r>
      <w:r w:rsidR="007F2819" w:rsidRPr="00CA7C58">
        <w:rPr>
          <w:szCs w:val="24"/>
        </w:rPr>
        <w:t>EMPAVELI</w:t>
      </w:r>
      <w:r w:rsidRPr="00CA7C58">
        <w:rPr>
          <w:szCs w:val="24"/>
        </w:rPr>
        <w:t xml:space="preserve"> 1,080 mg subcutaneously twice weekly in addition to their current dose of eculizumab. Patients were then </w:t>
      </w:r>
      <w:proofErr w:type="spellStart"/>
      <w:r w:rsidRPr="00CA7C58">
        <w:rPr>
          <w:szCs w:val="24"/>
        </w:rPr>
        <w:t>randomi</w:t>
      </w:r>
      <w:r w:rsidR="00BA3AEB" w:rsidRPr="00CA7C58">
        <w:rPr>
          <w:szCs w:val="24"/>
        </w:rPr>
        <w:t>s</w:t>
      </w:r>
      <w:r w:rsidRPr="00CA7C58">
        <w:rPr>
          <w:szCs w:val="24"/>
        </w:rPr>
        <w:t>ed</w:t>
      </w:r>
      <w:proofErr w:type="spellEnd"/>
      <w:r w:rsidRPr="00CA7C58">
        <w:rPr>
          <w:szCs w:val="24"/>
        </w:rPr>
        <w:t xml:space="preserve"> in a 1:1 ratio to receive either 1,080 mg of </w:t>
      </w:r>
      <w:r w:rsidR="007F2819" w:rsidRPr="00CA7C58">
        <w:rPr>
          <w:szCs w:val="24"/>
        </w:rPr>
        <w:t>EMPAVELI</w:t>
      </w:r>
      <w:r w:rsidRPr="00CA7C58">
        <w:rPr>
          <w:szCs w:val="24"/>
        </w:rPr>
        <w:t xml:space="preserve"> twice weekly or their current dose of eculizumab through the duration of the 16</w:t>
      </w:r>
      <w:r w:rsidRPr="00CA7C58">
        <w:rPr>
          <w:szCs w:val="24"/>
        </w:rPr>
        <w:noBreakHyphen/>
        <w:t xml:space="preserve">week RCP. If required, the dose of </w:t>
      </w:r>
      <w:r w:rsidR="007F2819" w:rsidRPr="00CA7C58">
        <w:rPr>
          <w:szCs w:val="24"/>
        </w:rPr>
        <w:t>EMPAVELI</w:t>
      </w:r>
      <w:r w:rsidRPr="00CA7C58">
        <w:rPr>
          <w:szCs w:val="24"/>
        </w:rPr>
        <w:t xml:space="preserve"> could be adjusted to 1</w:t>
      </w:r>
      <w:r w:rsidR="009C04EC" w:rsidRPr="00CA7C58">
        <w:rPr>
          <w:szCs w:val="24"/>
        </w:rPr>
        <w:t>,</w:t>
      </w:r>
      <w:r w:rsidRPr="00CA7C58">
        <w:rPr>
          <w:szCs w:val="24"/>
        </w:rPr>
        <w:t xml:space="preserve">080 mg every 3 days. </w:t>
      </w:r>
      <w:proofErr w:type="spellStart"/>
      <w:r w:rsidRPr="00CA7C58">
        <w:rPr>
          <w:szCs w:val="24"/>
        </w:rPr>
        <w:t>Randomi</w:t>
      </w:r>
      <w:r w:rsidR="006C5146" w:rsidRPr="00CA7C58">
        <w:rPr>
          <w:szCs w:val="24"/>
        </w:rPr>
        <w:t>s</w:t>
      </w:r>
      <w:r w:rsidRPr="00CA7C58">
        <w:rPr>
          <w:szCs w:val="24"/>
        </w:rPr>
        <w:t>ation</w:t>
      </w:r>
      <w:proofErr w:type="spellEnd"/>
      <w:r w:rsidRPr="00CA7C58">
        <w:rPr>
          <w:szCs w:val="24"/>
        </w:rPr>
        <w:t xml:space="preserve"> was stratified based on the number of packed red blood cell (PRBC) transfusions within the 12 months prior to Day </w:t>
      </w:r>
      <w:r w:rsidRPr="00CA7C58">
        <w:rPr>
          <w:szCs w:val="24"/>
        </w:rPr>
        <w:noBreakHyphen/>
        <w:t>28 (&lt;4; ≥4) and platelet count at screening (&lt;100,000/mm</w:t>
      </w:r>
      <w:r w:rsidRPr="00CA7C58">
        <w:rPr>
          <w:szCs w:val="24"/>
          <w:vertAlign w:val="superscript"/>
        </w:rPr>
        <w:t>3</w:t>
      </w:r>
      <w:r w:rsidRPr="00CA7C58">
        <w:rPr>
          <w:szCs w:val="24"/>
        </w:rPr>
        <w:t>; ≥100,000/mm</w:t>
      </w:r>
      <w:r w:rsidRPr="00CA7C58">
        <w:rPr>
          <w:szCs w:val="24"/>
          <w:vertAlign w:val="superscript"/>
        </w:rPr>
        <w:t>3</w:t>
      </w:r>
      <w:r w:rsidRPr="00CA7C58">
        <w:rPr>
          <w:szCs w:val="24"/>
        </w:rPr>
        <w:t>). Following completion of the</w:t>
      </w:r>
      <w:r w:rsidR="00600F3F" w:rsidRPr="00CA7C58">
        <w:rPr>
          <w:szCs w:val="24"/>
        </w:rPr>
        <w:t xml:space="preserve"> </w:t>
      </w:r>
      <w:r w:rsidRPr="00CA7C58">
        <w:rPr>
          <w:szCs w:val="24"/>
        </w:rPr>
        <w:t>RCP, all patients entered a 32</w:t>
      </w:r>
      <w:r w:rsidRPr="00CA7C58">
        <w:rPr>
          <w:szCs w:val="24"/>
        </w:rPr>
        <w:noBreakHyphen/>
        <w:t>week open</w:t>
      </w:r>
      <w:r w:rsidRPr="00CA7C58">
        <w:rPr>
          <w:szCs w:val="24"/>
        </w:rPr>
        <w:noBreakHyphen/>
        <w:t xml:space="preserve">label period and received monotherapy with </w:t>
      </w:r>
      <w:r w:rsidR="007F2819" w:rsidRPr="00CA7C58">
        <w:rPr>
          <w:szCs w:val="24"/>
        </w:rPr>
        <w:t>EMPAVELI</w:t>
      </w:r>
      <w:r w:rsidRPr="00CA7C58">
        <w:rPr>
          <w:szCs w:val="24"/>
        </w:rPr>
        <w:t>. All patients who completed the 48</w:t>
      </w:r>
      <w:r w:rsidRPr="00CA7C58">
        <w:rPr>
          <w:szCs w:val="24"/>
        </w:rPr>
        <w:noBreakHyphen/>
        <w:t xml:space="preserve">week period </w:t>
      </w:r>
      <w:proofErr w:type="gramStart"/>
      <w:r w:rsidRPr="00CA7C58">
        <w:rPr>
          <w:szCs w:val="24"/>
        </w:rPr>
        <w:t>were</w:t>
      </w:r>
      <w:proofErr w:type="gramEnd"/>
      <w:r w:rsidRPr="00CA7C58">
        <w:rPr>
          <w:szCs w:val="24"/>
        </w:rPr>
        <w:t xml:space="preserve"> eligible to enroll in a separate long</w:t>
      </w:r>
      <w:r w:rsidRPr="00CA7C58">
        <w:rPr>
          <w:szCs w:val="24"/>
        </w:rPr>
        <w:noBreakHyphen/>
        <w:t>term extension study.</w:t>
      </w:r>
    </w:p>
    <w:p w14:paraId="3292FF8F" w14:textId="77777777" w:rsidR="00CA7C58" w:rsidRPr="00CA7C58" w:rsidRDefault="00CA7C58" w:rsidP="00DB6782">
      <w:pPr>
        <w:pStyle w:val="C-BodyText"/>
        <w:spacing w:before="0" w:after="0" w:line="240" w:lineRule="auto"/>
        <w:jc w:val="both"/>
        <w:rPr>
          <w:szCs w:val="24"/>
        </w:rPr>
      </w:pPr>
    </w:p>
    <w:bookmarkEnd w:id="24"/>
    <w:p w14:paraId="2EB49A99" w14:textId="187D86B9" w:rsidR="003840B9" w:rsidRDefault="003840B9" w:rsidP="00DB6782">
      <w:pPr>
        <w:pStyle w:val="C-BodyText"/>
        <w:spacing w:before="0" w:after="0" w:line="240" w:lineRule="auto"/>
        <w:jc w:val="both"/>
        <w:rPr>
          <w:szCs w:val="24"/>
        </w:rPr>
      </w:pPr>
      <w:r w:rsidRPr="00CA7C58">
        <w:rPr>
          <w:szCs w:val="24"/>
        </w:rPr>
        <w:t xml:space="preserve">Patients were vaccinated against </w:t>
      </w:r>
      <w:r w:rsidRPr="00CA7C58">
        <w:rPr>
          <w:i/>
          <w:iCs/>
          <w:szCs w:val="24"/>
        </w:rPr>
        <w:t>Streptococcus pneumoniae</w:t>
      </w:r>
      <w:r w:rsidRPr="00CA7C58">
        <w:rPr>
          <w:szCs w:val="24"/>
        </w:rPr>
        <w:t xml:space="preserve">, </w:t>
      </w:r>
      <w:r w:rsidRPr="00CA7C58">
        <w:rPr>
          <w:i/>
          <w:iCs/>
          <w:szCs w:val="24"/>
        </w:rPr>
        <w:t>Neisseria meningitidis</w:t>
      </w:r>
      <w:r w:rsidRPr="00CA7C58">
        <w:rPr>
          <w:szCs w:val="24"/>
        </w:rPr>
        <w:t xml:space="preserve"> types A, C, W, Y, and B, and </w:t>
      </w:r>
      <w:proofErr w:type="spellStart"/>
      <w:r w:rsidRPr="00CA7C58">
        <w:rPr>
          <w:i/>
          <w:iCs/>
          <w:szCs w:val="24"/>
        </w:rPr>
        <w:t>Haemophilus</w:t>
      </w:r>
      <w:proofErr w:type="spellEnd"/>
      <w:r w:rsidRPr="00CA7C58">
        <w:rPr>
          <w:i/>
          <w:iCs/>
          <w:szCs w:val="24"/>
        </w:rPr>
        <w:t xml:space="preserve"> influenzae </w:t>
      </w:r>
      <w:r w:rsidRPr="00CA7C58">
        <w:rPr>
          <w:szCs w:val="24"/>
        </w:rPr>
        <w:t xml:space="preserve">type B (Hib), either within 2 years prior to Day 1 or within 2 weeks after starting treatment with </w:t>
      </w:r>
      <w:r w:rsidR="007F2819" w:rsidRPr="00CA7C58">
        <w:rPr>
          <w:szCs w:val="24"/>
        </w:rPr>
        <w:t>EMPAVELI</w:t>
      </w:r>
      <w:r w:rsidRPr="00CA7C58">
        <w:rPr>
          <w:szCs w:val="24"/>
        </w:rPr>
        <w:t xml:space="preserve">. Patients vaccinated after Day 1 received prophylactic treatment with appropriate antibiotics until 2 weeks after vaccination. In addition, prophylactic antibiotic therapy was administered at the discretion of the investigator in accordance with local treatment guidelines for patients with PNH who are receiving treatment with a complement inhibitor. </w:t>
      </w:r>
      <w:r w:rsidR="007F2819" w:rsidRPr="00CA7C58">
        <w:rPr>
          <w:szCs w:val="24"/>
        </w:rPr>
        <w:t>EMPAVELI</w:t>
      </w:r>
      <w:r w:rsidRPr="00CA7C58">
        <w:rPr>
          <w:szCs w:val="24"/>
        </w:rPr>
        <w:t xml:space="preserve"> was administered as a subcutaneous infusion; the infusion time was approximately 20 to 40 minutes.</w:t>
      </w:r>
    </w:p>
    <w:p w14:paraId="22A62912" w14:textId="77777777" w:rsidR="00CA7C58" w:rsidRPr="00CA7C58" w:rsidRDefault="00CA7C58" w:rsidP="00DB6782">
      <w:pPr>
        <w:pStyle w:val="C-BodyText"/>
        <w:spacing w:before="0" w:after="0" w:line="240" w:lineRule="auto"/>
        <w:jc w:val="both"/>
        <w:rPr>
          <w:szCs w:val="24"/>
        </w:rPr>
      </w:pPr>
    </w:p>
    <w:p w14:paraId="4AC5B63B" w14:textId="73BD9FF2" w:rsidR="00B965A4" w:rsidRDefault="00B965A4" w:rsidP="00DB6782">
      <w:pPr>
        <w:pStyle w:val="C-BodyText"/>
        <w:spacing w:before="0" w:after="0" w:line="240" w:lineRule="auto"/>
        <w:jc w:val="both"/>
        <w:rPr>
          <w:szCs w:val="24"/>
        </w:rPr>
      </w:pPr>
      <w:r w:rsidRPr="00CA7C58">
        <w:rPr>
          <w:szCs w:val="24"/>
        </w:rPr>
        <w:t xml:space="preserve">The primary efficacy endpoint was change from baseline to Week 16 (during RCP) in </w:t>
      </w:r>
      <w:proofErr w:type="spellStart"/>
      <w:r w:rsidRPr="00CA7C58">
        <w:rPr>
          <w:szCs w:val="24"/>
        </w:rPr>
        <w:t>h</w:t>
      </w:r>
      <w:r w:rsidR="009E35F2" w:rsidRPr="00CA7C58">
        <w:rPr>
          <w:szCs w:val="24"/>
        </w:rPr>
        <w:t>a</w:t>
      </w:r>
      <w:r w:rsidRPr="00CA7C58">
        <w:rPr>
          <w:szCs w:val="24"/>
        </w:rPr>
        <w:t>emoglobin</w:t>
      </w:r>
      <w:proofErr w:type="spellEnd"/>
      <w:r w:rsidRPr="00CA7C58">
        <w:rPr>
          <w:szCs w:val="24"/>
        </w:rPr>
        <w:t xml:space="preserve"> level. Baseline was defined as the average of measurements recorded prior to taking the first dose of </w:t>
      </w:r>
      <w:r w:rsidR="007F2819" w:rsidRPr="00CA7C58">
        <w:rPr>
          <w:szCs w:val="24"/>
        </w:rPr>
        <w:t>EMPAVELI</w:t>
      </w:r>
      <w:r w:rsidRPr="00CA7C58">
        <w:rPr>
          <w:szCs w:val="24"/>
        </w:rPr>
        <w:t>. Key secondary efficacy endpoints were transfusion avoidance, defined as the proportion of patients who did not require a transfusion during the</w:t>
      </w:r>
      <w:r w:rsidR="009C04EC" w:rsidRPr="00CA7C58">
        <w:rPr>
          <w:szCs w:val="24"/>
        </w:rPr>
        <w:t xml:space="preserve"> </w:t>
      </w:r>
      <w:r w:rsidRPr="00CA7C58">
        <w:rPr>
          <w:szCs w:val="24"/>
        </w:rPr>
        <w:t>RCP, and change from baseline to Week 16 in absolute reticulocyte count (ARC), LDH level, and FACIT</w:t>
      </w:r>
      <w:r w:rsidRPr="00CA7C58">
        <w:rPr>
          <w:szCs w:val="24"/>
        </w:rPr>
        <w:noBreakHyphen/>
        <w:t>fatigue scale score.</w:t>
      </w:r>
    </w:p>
    <w:p w14:paraId="4CAE076A" w14:textId="77777777" w:rsidR="00CA7C58" w:rsidRPr="00CA7C58" w:rsidRDefault="00CA7C58" w:rsidP="00DB6782">
      <w:pPr>
        <w:pStyle w:val="C-BodyText"/>
        <w:spacing w:before="0" w:after="0" w:line="240" w:lineRule="auto"/>
        <w:jc w:val="both"/>
        <w:rPr>
          <w:szCs w:val="24"/>
        </w:rPr>
      </w:pPr>
    </w:p>
    <w:p w14:paraId="1DECE0A9" w14:textId="0EF4D533" w:rsidR="00B965A4" w:rsidRDefault="00B965A4" w:rsidP="00DB6782">
      <w:pPr>
        <w:pStyle w:val="C-BodyText"/>
        <w:spacing w:before="0" w:after="0" w:line="240" w:lineRule="auto"/>
        <w:jc w:val="both"/>
        <w:rPr>
          <w:szCs w:val="24"/>
        </w:rPr>
      </w:pPr>
      <w:r w:rsidRPr="00CA7C58">
        <w:rPr>
          <w:szCs w:val="24"/>
        </w:rPr>
        <w:t xml:space="preserve">A total of 80 patients were </w:t>
      </w:r>
      <w:proofErr w:type="spellStart"/>
      <w:r w:rsidR="0095316D">
        <w:rPr>
          <w:szCs w:val="24"/>
        </w:rPr>
        <w:t>randomised</w:t>
      </w:r>
      <w:proofErr w:type="spellEnd"/>
      <w:r w:rsidRPr="00CA7C58">
        <w:rPr>
          <w:szCs w:val="24"/>
        </w:rPr>
        <w:t xml:space="preserve"> to receive treatment, 41 to </w:t>
      </w:r>
      <w:r w:rsidR="007F2819" w:rsidRPr="00CA7C58">
        <w:rPr>
          <w:szCs w:val="24"/>
        </w:rPr>
        <w:t>EMPAVELI</w:t>
      </w:r>
      <w:r w:rsidRPr="00CA7C58" w:rsidDel="002538BF">
        <w:rPr>
          <w:szCs w:val="24"/>
        </w:rPr>
        <w:t xml:space="preserve"> </w:t>
      </w:r>
      <w:r w:rsidRPr="00CA7C58">
        <w:rPr>
          <w:szCs w:val="24"/>
        </w:rPr>
        <w:t xml:space="preserve">and 39 to eculizumab. Demographics and baseline disease characteristics were generally well balanced between treatment groups (see </w:t>
      </w:r>
      <w:r w:rsidRPr="00CA7C58">
        <w:rPr>
          <w:szCs w:val="24"/>
        </w:rPr>
        <w:fldChar w:fldCharType="begin"/>
      </w:r>
      <w:r w:rsidRPr="00CA7C58">
        <w:rPr>
          <w:szCs w:val="24"/>
        </w:rPr>
        <w:instrText xml:space="preserve"> REF _Ref35585738 \h  \* MERGEFORMAT </w:instrText>
      </w:r>
      <w:r w:rsidRPr="00CA7C58">
        <w:rPr>
          <w:szCs w:val="24"/>
        </w:rPr>
      </w:r>
      <w:r w:rsidRPr="00CA7C58">
        <w:rPr>
          <w:szCs w:val="24"/>
        </w:rPr>
        <w:fldChar w:fldCharType="separate"/>
      </w:r>
      <w:r w:rsidR="007304C9" w:rsidRPr="007304C9">
        <w:rPr>
          <w:szCs w:val="24"/>
        </w:rPr>
        <w:t>Table </w:t>
      </w:r>
      <w:r w:rsidRPr="00CA7C58">
        <w:rPr>
          <w:szCs w:val="24"/>
        </w:rPr>
        <w:fldChar w:fldCharType="end"/>
      </w:r>
      <w:r w:rsidR="007304C9">
        <w:rPr>
          <w:szCs w:val="24"/>
        </w:rPr>
        <w:t>3</w:t>
      </w:r>
      <w:r w:rsidRPr="00CA7C58">
        <w:rPr>
          <w:szCs w:val="24"/>
        </w:rPr>
        <w:t xml:space="preserve">). A total of 38 patients in the group treated with </w:t>
      </w:r>
      <w:r w:rsidR="007F2819" w:rsidRPr="00CA7C58">
        <w:rPr>
          <w:szCs w:val="24"/>
        </w:rPr>
        <w:t>EMPAVELI</w:t>
      </w:r>
      <w:r w:rsidRPr="00CA7C58" w:rsidDel="002538BF">
        <w:rPr>
          <w:szCs w:val="24"/>
        </w:rPr>
        <w:t xml:space="preserve"> </w:t>
      </w:r>
      <w:r w:rsidRPr="00CA7C58">
        <w:rPr>
          <w:szCs w:val="24"/>
        </w:rPr>
        <w:t>and 39 patients in the eculizumab group completed the 16</w:t>
      </w:r>
      <w:r w:rsidRPr="00CA7C58">
        <w:rPr>
          <w:szCs w:val="24"/>
        </w:rPr>
        <w:noBreakHyphen/>
        <w:t>week RCP and continued into the 32</w:t>
      </w:r>
      <w:r w:rsidRPr="00CA7C58">
        <w:rPr>
          <w:szCs w:val="24"/>
        </w:rPr>
        <w:noBreakHyphen/>
        <w:t>week open</w:t>
      </w:r>
      <w:r w:rsidRPr="00CA7C58">
        <w:rPr>
          <w:szCs w:val="24"/>
        </w:rPr>
        <w:noBreakHyphen/>
        <w:t>label period.</w:t>
      </w:r>
      <w:r w:rsidRPr="00A52B2B">
        <w:rPr>
          <w:szCs w:val="24"/>
        </w:rPr>
        <w:t xml:space="preserve"> </w:t>
      </w:r>
      <w:r w:rsidRPr="00CA7C58">
        <w:rPr>
          <w:szCs w:val="24"/>
        </w:rPr>
        <w:t xml:space="preserve">Because of adverse events of </w:t>
      </w:r>
      <w:proofErr w:type="spellStart"/>
      <w:r w:rsidR="009E35F2" w:rsidRPr="00CA7C58">
        <w:rPr>
          <w:szCs w:val="24"/>
        </w:rPr>
        <w:t>haemolysis</w:t>
      </w:r>
      <w:proofErr w:type="spellEnd"/>
      <w:r w:rsidRPr="00CA7C58">
        <w:rPr>
          <w:szCs w:val="24"/>
        </w:rPr>
        <w:t xml:space="preserve">, 3 patients were discontinued from the </w:t>
      </w:r>
      <w:r w:rsidR="007F2819" w:rsidRPr="00CA7C58">
        <w:rPr>
          <w:szCs w:val="24"/>
        </w:rPr>
        <w:t>EMPAVELI</w:t>
      </w:r>
      <w:r w:rsidRPr="00CA7C58">
        <w:rPr>
          <w:szCs w:val="24"/>
        </w:rPr>
        <w:t xml:space="preserve"> group during the RCP. </w:t>
      </w:r>
      <w:bookmarkStart w:id="25" w:name="_Hlk47600196"/>
      <w:r w:rsidRPr="00CA7C58">
        <w:rPr>
          <w:szCs w:val="24"/>
        </w:rPr>
        <w:t>Two out of 41</w:t>
      </w:r>
      <w:r w:rsidR="00E376EF" w:rsidRPr="00CA7C58">
        <w:rPr>
          <w:szCs w:val="24"/>
        </w:rPr>
        <w:t> </w:t>
      </w:r>
      <w:r w:rsidRPr="00CA7C58">
        <w:rPr>
          <w:szCs w:val="24"/>
        </w:rPr>
        <w:t xml:space="preserve">patients in the </w:t>
      </w:r>
      <w:r w:rsidR="007F2819" w:rsidRPr="00CA7C58">
        <w:rPr>
          <w:szCs w:val="24"/>
        </w:rPr>
        <w:t>EMPAVELI</w:t>
      </w:r>
      <w:r w:rsidRPr="00CA7C58">
        <w:rPr>
          <w:szCs w:val="24"/>
        </w:rPr>
        <w:t xml:space="preserve"> group needed the dose adjustment to 1,080 mg every 3 days.</w:t>
      </w:r>
      <w:bookmarkEnd w:id="25"/>
    </w:p>
    <w:p w14:paraId="2437D0DD" w14:textId="77777777" w:rsidR="00CA7C58" w:rsidRPr="00CA7C58" w:rsidRDefault="00CA7C58" w:rsidP="00E54119">
      <w:pPr>
        <w:pStyle w:val="C-BodyText"/>
        <w:spacing w:before="0" w:after="0" w:line="240" w:lineRule="auto"/>
        <w:rPr>
          <w:szCs w:val="24"/>
        </w:rPr>
      </w:pPr>
    </w:p>
    <w:p w14:paraId="75D5CA87" w14:textId="3177CD23" w:rsidR="0008128F" w:rsidRPr="00CA7C58" w:rsidRDefault="0008128F" w:rsidP="0008128F">
      <w:pPr>
        <w:pStyle w:val="Caption"/>
        <w:spacing w:before="0" w:line="240" w:lineRule="auto"/>
        <w:jc w:val="both"/>
        <w:rPr>
          <w:b w:val="0"/>
          <w:bCs w:val="0"/>
        </w:rPr>
      </w:pPr>
      <w:bookmarkStart w:id="26" w:name="_Ref35585738"/>
      <w:r w:rsidRPr="00CA7C58">
        <w:lastRenderedPageBreak/>
        <w:t>Table </w:t>
      </w:r>
      <w:bookmarkEnd w:id="26"/>
      <w:r w:rsidR="007304C9">
        <w:t>3</w:t>
      </w:r>
      <w:r w:rsidR="000D370D" w:rsidRPr="00CA7C58">
        <w:rPr>
          <w:noProof/>
        </w:rPr>
        <w:t>:</w:t>
      </w:r>
      <w:r w:rsidRPr="00CA7C58">
        <w:t xml:space="preserve"> Patient Baseline Demographics and Characteristics in Study APL2-302</w:t>
      </w:r>
    </w:p>
    <w:tbl>
      <w:tblPr>
        <w:tblStyle w:val="TableGrid"/>
        <w:tblW w:w="0" w:type="auto"/>
        <w:tblLook w:val="04A0" w:firstRow="1" w:lastRow="0" w:firstColumn="1" w:lastColumn="0" w:noHBand="0" w:noVBand="1"/>
      </w:tblPr>
      <w:tblGrid>
        <w:gridCol w:w="3145"/>
        <w:gridCol w:w="1350"/>
        <w:gridCol w:w="1516"/>
        <w:gridCol w:w="2264"/>
      </w:tblGrid>
      <w:tr w:rsidR="00CA7C58" w:rsidRPr="00CA7C58" w14:paraId="2FC1F1A3" w14:textId="77777777" w:rsidTr="00E33F83">
        <w:trPr>
          <w:trHeight w:val="474"/>
        </w:trPr>
        <w:tc>
          <w:tcPr>
            <w:tcW w:w="3145" w:type="dxa"/>
            <w:vAlign w:val="center"/>
          </w:tcPr>
          <w:p w14:paraId="25C78DE3" w14:textId="77777777" w:rsidR="0008128F" w:rsidRPr="00CA7C58" w:rsidRDefault="0008128F" w:rsidP="00E33F83">
            <w:pPr>
              <w:pStyle w:val="C-BodyText"/>
              <w:keepNext/>
              <w:keepLines/>
              <w:spacing w:before="0" w:after="0" w:line="240" w:lineRule="auto"/>
              <w:rPr>
                <w:b/>
                <w:bCs/>
                <w:sz w:val="20"/>
              </w:rPr>
            </w:pPr>
            <w:r w:rsidRPr="00CA7C58">
              <w:rPr>
                <w:b/>
                <w:bCs/>
                <w:sz w:val="20"/>
              </w:rPr>
              <w:t>Parameter</w:t>
            </w:r>
          </w:p>
        </w:tc>
        <w:tc>
          <w:tcPr>
            <w:tcW w:w="1350" w:type="dxa"/>
            <w:vAlign w:val="center"/>
          </w:tcPr>
          <w:p w14:paraId="739B0638" w14:textId="77777777" w:rsidR="0008128F" w:rsidRPr="00CA7C58" w:rsidRDefault="0008128F" w:rsidP="00E33F83">
            <w:pPr>
              <w:pStyle w:val="C-BodyText"/>
              <w:keepNext/>
              <w:keepLines/>
              <w:spacing w:before="0" w:after="0" w:line="240" w:lineRule="auto"/>
              <w:jc w:val="center"/>
              <w:rPr>
                <w:b/>
                <w:bCs/>
                <w:sz w:val="20"/>
              </w:rPr>
            </w:pPr>
            <w:r w:rsidRPr="00CA7C58">
              <w:rPr>
                <w:b/>
                <w:bCs/>
                <w:sz w:val="20"/>
              </w:rPr>
              <w:t>Statistics</w:t>
            </w:r>
          </w:p>
        </w:tc>
        <w:tc>
          <w:tcPr>
            <w:tcW w:w="1516" w:type="dxa"/>
            <w:vAlign w:val="center"/>
          </w:tcPr>
          <w:p w14:paraId="1D4A7A7F" w14:textId="2B27B4AB" w:rsidR="0008128F" w:rsidRPr="00CA7C58" w:rsidRDefault="007F2819" w:rsidP="00E33F83">
            <w:pPr>
              <w:pStyle w:val="C-BodyText"/>
              <w:keepNext/>
              <w:keepLines/>
              <w:spacing w:before="0" w:after="0" w:line="240" w:lineRule="auto"/>
              <w:jc w:val="center"/>
              <w:rPr>
                <w:b/>
                <w:bCs/>
                <w:sz w:val="20"/>
              </w:rPr>
            </w:pPr>
            <w:r w:rsidRPr="00CA7C58">
              <w:rPr>
                <w:b/>
                <w:bCs/>
                <w:sz w:val="20"/>
              </w:rPr>
              <w:t>EMPAVELI</w:t>
            </w:r>
            <w:r w:rsidR="0008128F" w:rsidRPr="00CA7C58">
              <w:rPr>
                <w:b/>
                <w:bCs/>
                <w:sz w:val="20"/>
              </w:rPr>
              <w:t xml:space="preserve"> (n=41)</w:t>
            </w:r>
          </w:p>
        </w:tc>
        <w:tc>
          <w:tcPr>
            <w:tcW w:w="2264" w:type="dxa"/>
            <w:vAlign w:val="center"/>
          </w:tcPr>
          <w:p w14:paraId="4D4A2032" w14:textId="77777777" w:rsidR="0008128F" w:rsidRPr="00CA7C58" w:rsidRDefault="0008128F" w:rsidP="00E33F83">
            <w:pPr>
              <w:pStyle w:val="C-BodyText"/>
              <w:keepNext/>
              <w:keepLines/>
              <w:spacing w:before="0" w:after="0" w:line="240" w:lineRule="auto"/>
              <w:jc w:val="center"/>
              <w:rPr>
                <w:b/>
                <w:bCs/>
                <w:sz w:val="20"/>
              </w:rPr>
            </w:pPr>
            <w:r w:rsidRPr="00CA7C58">
              <w:rPr>
                <w:b/>
                <w:bCs/>
                <w:sz w:val="20"/>
              </w:rPr>
              <w:t>Eculizumab (n=39)</w:t>
            </w:r>
          </w:p>
        </w:tc>
      </w:tr>
      <w:tr w:rsidR="00CA7C58" w:rsidRPr="00CA7C58" w14:paraId="4DCBF2C1" w14:textId="77777777" w:rsidTr="00E33F83">
        <w:trPr>
          <w:trHeight w:val="549"/>
        </w:trPr>
        <w:tc>
          <w:tcPr>
            <w:tcW w:w="3145" w:type="dxa"/>
            <w:vAlign w:val="center"/>
          </w:tcPr>
          <w:p w14:paraId="3E5FBB07" w14:textId="77777777" w:rsidR="0008128F" w:rsidRPr="00CA7C58" w:rsidRDefault="0008128F" w:rsidP="00E33F83">
            <w:pPr>
              <w:pStyle w:val="C-BodyText"/>
              <w:keepNext/>
              <w:keepLines/>
              <w:spacing w:before="0" w:after="0" w:line="240" w:lineRule="auto"/>
              <w:rPr>
                <w:sz w:val="20"/>
              </w:rPr>
            </w:pPr>
            <w:r w:rsidRPr="00CA7C58">
              <w:rPr>
                <w:sz w:val="20"/>
              </w:rPr>
              <w:t>Age (years)</w:t>
            </w:r>
          </w:p>
        </w:tc>
        <w:tc>
          <w:tcPr>
            <w:tcW w:w="1350" w:type="dxa"/>
            <w:vAlign w:val="center"/>
          </w:tcPr>
          <w:p w14:paraId="7996D9F3" w14:textId="77777777" w:rsidR="0008128F" w:rsidRPr="00CA7C58" w:rsidRDefault="0008128F" w:rsidP="00E33F83">
            <w:pPr>
              <w:pStyle w:val="C-BodyText"/>
              <w:keepNext/>
              <w:keepLines/>
              <w:spacing w:before="0" w:after="0" w:line="240" w:lineRule="auto"/>
              <w:jc w:val="center"/>
              <w:rPr>
                <w:sz w:val="20"/>
              </w:rPr>
            </w:pPr>
            <w:r w:rsidRPr="00CA7C58">
              <w:rPr>
                <w:sz w:val="20"/>
              </w:rPr>
              <w:t>Mean (SD)</w:t>
            </w:r>
          </w:p>
        </w:tc>
        <w:tc>
          <w:tcPr>
            <w:tcW w:w="1516" w:type="dxa"/>
            <w:vAlign w:val="center"/>
          </w:tcPr>
          <w:p w14:paraId="2B343A63" w14:textId="77777777" w:rsidR="0008128F" w:rsidRPr="00CA7C58" w:rsidRDefault="0008128F" w:rsidP="00E33F83">
            <w:pPr>
              <w:pStyle w:val="C-BodyText"/>
              <w:keepNext/>
              <w:keepLines/>
              <w:spacing w:before="0" w:after="0" w:line="240" w:lineRule="auto"/>
              <w:jc w:val="center"/>
              <w:rPr>
                <w:sz w:val="20"/>
              </w:rPr>
            </w:pPr>
            <w:r w:rsidRPr="00CA7C58">
              <w:rPr>
                <w:sz w:val="20"/>
              </w:rPr>
              <w:t>50.2 (16.3)</w:t>
            </w:r>
          </w:p>
        </w:tc>
        <w:tc>
          <w:tcPr>
            <w:tcW w:w="2264" w:type="dxa"/>
            <w:vAlign w:val="center"/>
          </w:tcPr>
          <w:p w14:paraId="0DB0AC3A" w14:textId="77777777" w:rsidR="0008128F" w:rsidRPr="00CA7C58" w:rsidRDefault="0008128F" w:rsidP="00E33F83">
            <w:pPr>
              <w:pStyle w:val="C-BodyText"/>
              <w:keepNext/>
              <w:keepLines/>
              <w:spacing w:before="0" w:after="0" w:line="240" w:lineRule="auto"/>
              <w:jc w:val="center"/>
              <w:rPr>
                <w:sz w:val="20"/>
              </w:rPr>
            </w:pPr>
            <w:r w:rsidRPr="00CA7C58">
              <w:rPr>
                <w:sz w:val="20"/>
              </w:rPr>
              <w:t>47.3 (15.8)</w:t>
            </w:r>
          </w:p>
        </w:tc>
      </w:tr>
      <w:tr w:rsidR="00CA7C58" w:rsidRPr="00CA7C58" w14:paraId="41FA2331" w14:textId="77777777" w:rsidTr="00E33F83">
        <w:trPr>
          <w:trHeight w:val="297"/>
        </w:trPr>
        <w:tc>
          <w:tcPr>
            <w:tcW w:w="3145" w:type="dxa"/>
            <w:vAlign w:val="center"/>
          </w:tcPr>
          <w:p w14:paraId="242CAD1B" w14:textId="77777777" w:rsidR="0008128F" w:rsidRPr="00CA7C58" w:rsidRDefault="0008128F" w:rsidP="00E33F83">
            <w:pPr>
              <w:pStyle w:val="C-BodyText"/>
              <w:keepNext/>
              <w:keepLines/>
              <w:spacing w:before="0" w:after="0" w:line="240" w:lineRule="auto"/>
              <w:rPr>
                <w:sz w:val="20"/>
              </w:rPr>
            </w:pPr>
            <w:r w:rsidRPr="00CA7C58">
              <w:rPr>
                <w:sz w:val="20"/>
              </w:rPr>
              <w:t>Dose level of eculizumab at baseline</w:t>
            </w:r>
          </w:p>
          <w:p w14:paraId="60F9BA3A" w14:textId="77777777" w:rsidR="0008128F" w:rsidRPr="00CA7C58" w:rsidRDefault="0008128F" w:rsidP="00E33F83">
            <w:pPr>
              <w:pStyle w:val="C-BodyText"/>
              <w:keepNext/>
              <w:keepLines/>
              <w:spacing w:before="0" w:after="0" w:line="240" w:lineRule="auto"/>
              <w:ind w:left="240"/>
              <w:rPr>
                <w:sz w:val="20"/>
              </w:rPr>
            </w:pPr>
            <w:r w:rsidRPr="00CA7C58">
              <w:rPr>
                <w:sz w:val="20"/>
              </w:rPr>
              <w:t>Every 2 weeks IV 900 mg</w:t>
            </w:r>
          </w:p>
          <w:p w14:paraId="676A1F9B" w14:textId="77777777" w:rsidR="0008128F" w:rsidRPr="00CA7C58" w:rsidRDefault="0008128F" w:rsidP="00E33F83">
            <w:pPr>
              <w:pStyle w:val="C-BodyText"/>
              <w:keepNext/>
              <w:keepLines/>
              <w:spacing w:before="0" w:after="0" w:line="240" w:lineRule="auto"/>
              <w:ind w:left="240"/>
              <w:rPr>
                <w:sz w:val="20"/>
              </w:rPr>
            </w:pPr>
            <w:r w:rsidRPr="00CA7C58">
              <w:rPr>
                <w:sz w:val="20"/>
              </w:rPr>
              <w:t>Every 11 days IV 900 mg</w:t>
            </w:r>
          </w:p>
          <w:p w14:paraId="6D4B63A8" w14:textId="77777777" w:rsidR="0008128F" w:rsidRPr="00CA7C58" w:rsidRDefault="0008128F" w:rsidP="00E33F83">
            <w:pPr>
              <w:pStyle w:val="C-BodyText"/>
              <w:keepNext/>
              <w:keepLines/>
              <w:spacing w:before="0" w:after="0" w:line="240" w:lineRule="auto"/>
              <w:ind w:left="240"/>
              <w:rPr>
                <w:sz w:val="20"/>
              </w:rPr>
            </w:pPr>
            <w:r w:rsidRPr="00CA7C58">
              <w:rPr>
                <w:sz w:val="20"/>
              </w:rPr>
              <w:t>Every 2 weeks IV 1200 mg</w:t>
            </w:r>
          </w:p>
          <w:p w14:paraId="003B28E2" w14:textId="77777777" w:rsidR="0008128F" w:rsidRPr="00CA7C58" w:rsidRDefault="0008128F" w:rsidP="00E33F83">
            <w:pPr>
              <w:pStyle w:val="C-BodyText"/>
              <w:keepNext/>
              <w:keepLines/>
              <w:spacing w:before="0" w:after="0" w:line="240" w:lineRule="auto"/>
              <w:ind w:left="240"/>
              <w:rPr>
                <w:sz w:val="20"/>
              </w:rPr>
            </w:pPr>
            <w:r w:rsidRPr="00CA7C58">
              <w:rPr>
                <w:sz w:val="20"/>
              </w:rPr>
              <w:t>Every 2 weeks IV 1500 mg</w:t>
            </w:r>
          </w:p>
        </w:tc>
        <w:tc>
          <w:tcPr>
            <w:tcW w:w="1350" w:type="dxa"/>
            <w:vAlign w:val="center"/>
          </w:tcPr>
          <w:p w14:paraId="789C1B86" w14:textId="77777777" w:rsidR="0008128F" w:rsidRPr="00CA7C58" w:rsidRDefault="0008128F" w:rsidP="00E33F83">
            <w:pPr>
              <w:pStyle w:val="C-BodyText"/>
              <w:keepNext/>
              <w:keepLines/>
              <w:spacing w:before="0" w:after="0" w:line="240" w:lineRule="auto"/>
              <w:jc w:val="center"/>
              <w:rPr>
                <w:sz w:val="20"/>
              </w:rPr>
            </w:pPr>
          </w:p>
          <w:p w14:paraId="17D8D114" w14:textId="77777777" w:rsidR="0008128F" w:rsidRPr="00CA7C58" w:rsidRDefault="0008128F" w:rsidP="00E33F83">
            <w:pPr>
              <w:pStyle w:val="C-BodyText"/>
              <w:keepNext/>
              <w:keepLines/>
              <w:spacing w:before="0" w:after="0" w:line="240" w:lineRule="auto"/>
              <w:jc w:val="center"/>
              <w:rPr>
                <w:sz w:val="20"/>
              </w:rPr>
            </w:pPr>
          </w:p>
          <w:p w14:paraId="73D9B59E" w14:textId="77777777" w:rsidR="0008128F" w:rsidRPr="00CA7C58" w:rsidRDefault="0008128F" w:rsidP="00E33F83">
            <w:pPr>
              <w:pStyle w:val="C-BodyText"/>
              <w:keepNext/>
              <w:keepLines/>
              <w:spacing w:before="0" w:after="0" w:line="240" w:lineRule="auto"/>
              <w:jc w:val="center"/>
              <w:rPr>
                <w:sz w:val="20"/>
              </w:rPr>
            </w:pPr>
            <w:r w:rsidRPr="00CA7C58">
              <w:rPr>
                <w:sz w:val="20"/>
              </w:rPr>
              <w:t>n (%)</w:t>
            </w:r>
          </w:p>
          <w:p w14:paraId="021967F0" w14:textId="77777777" w:rsidR="0008128F" w:rsidRPr="00CA7C58" w:rsidRDefault="0008128F" w:rsidP="00E33F83">
            <w:pPr>
              <w:pStyle w:val="C-BodyText"/>
              <w:keepNext/>
              <w:keepLines/>
              <w:spacing w:before="0" w:after="0" w:line="240" w:lineRule="auto"/>
              <w:jc w:val="center"/>
              <w:rPr>
                <w:sz w:val="20"/>
              </w:rPr>
            </w:pPr>
            <w:r w:rsidRPr="00CA7C58">
              <w:rPr>
                <w:sz w:val="20"/>
              </w:rPr>
              <w:t>n (%)</w:t>
            </w:r>
          </w:p>
          <w:p w14:paraId="23B50747" w14:textId="77777777" w:rsidR="0008128F" w:rsidRPr="00CA7C58" w:rsidRDefault="0008128F" w:rsidP="00E33F83">
            <w:pPr>
              <w:pStyle w:val="C-BodyText"/>
              <w:keepNext/>
              <w:keepLines/>
              <w:spacing w:before="0" w:after="0" w:line="240" w:lineRule="auto"/>
              <w:jc w:val="center"/>
              <w:rPr>
                <w:sz w:val="20"/>
              </w:rPr>
            </w:pPr>
            <w:r w:rsidRPr="00CA7C58">
              <w:rPr>
                <w:sz w:val="20"/>
              </w:rPr>
              <w:t>n (%)</w:t>
            </w:r>
          </w:p>
          <w:p w14:paraId="72E50543" w14:textId="77777777" w:rsidR="0008128F" w:rsidRPr="00CA7C58" w:rsidRDefault="0008128F" w:rsidP="00E33F83">
            <w:pPr>
              <w:pStyle w:val="C-BodyText"/>
              <w:keepNext/>
              <w:keepLines/>
              <w:spacing w:before="0" w:after="0" w:line="240" w:lineRule="auto"/>
              <w:jc w:val="center"/>
              <w:rPr>
                <w:sz w:val="20"/>
              </w:rPr>
            </w:pPr>
            <w:r w:rsidRPr="00CA7C58">
              <w:rPr>
                <w:sz w:val="20"/>
              </w:rPr>
              <w:t>n (%)</w:t>
            </w:r>
          </w:p>
        </w:tc>
        <w:tc>
          <w:tcPr>
            <w:tcW w:w="1516" w:type="dxa"/>
            <w:vAlign w:val="center"/>
          </w:tcPr>
          <w:p w14:paraId="5707BD58" w14:textId="77777777" w:rsidR="0008128F" w:rsidRPr="00CA7C58" w:rsidRDefault="0008128F" w:rsidP="00E33F83">
            <w:pPr>
              <w:pStyle w:val="C-BodyText"/>
              <w:keepNext/>
              <w:keepLines/>
              <w:spacing w:before="0" w:after="0" w:line="240" w:lineRule="auto"/>
              <w:jc w:val="center"/>
              <w:rPr>
                <w:sz w:val="20"/>
              </w:rPr>
            </w:pPr>
          </w:p>
          <w:p w14:paraId="5EF7C949" w14:textId="77777777" w:rsidR="0008128F" w:rsidRPr="00CA7C58" w:rsidRDefault="0008128F" w:rsidP="00E33F83">
            <w:pPr>
              <w:pStyle w:val="C-BodyText"/>
              <w:keepNext/>
              <w:keepLines/>
              <w:spacing w:before="0" w:after="0" w:line="240" w:lineRule="auto"/>
              <w:jc w:val="center"/>
              <w:rPr>
                <w:sz w:val="20"/>
              </w:rPr>
            </w:pPr>
          </w:p>
          <w:p w14:paraId="62F1DA12" w14:textId="77777777" w:rsidR="0008128F" w:rsidRPr="00CA7C58" w:rsidRDefault="0008128F" w:rsidP="00E33F83">
            <w:pPr>
              <w:pStyle w:val="C-BodyText"/>
              <w:keepNext/>
              <w:keepLines/>
              <w:spacing w:before="0" w:after="0" w:line="240" w:lineRule="auto"/>
              <w:jc w:val="center"/>
              <w:rPr>
                <w:sz w:val="20"/>
              </w:rPr>
            </w:pPr>
            <w:r w:rsidRPr="00CA7C58">
              <w:rPr>
                <w:sz w:val="20"/>
              </w:rPr>
              <w:t>26 (63.4)</w:t>
            </w:r>
          </w:p>
          <w:p w14:paraId="7347DB99" w14:textId="77777777" w:rsidR="0008128F" w:rsidRPr="00CA7C58" w:rsidRDefault="0008128F" w:rsidP="00E33F83">
            <w:pPr>
              <w:pStyle w:val="C-BodyText"/>
              <w:keepNext/>
              <w:keepLines/>
              <w:spacing w:before="0" w:after="0" w:line="240" w:lineRule="auto"/>
              <w:jc w:val="center"/>
              <w:rPr>
                <w:sz w:val="20"/>
              </w:rPr>
            </w:pPr>
            <w:r w:rsidRPr="00CA7C58">
              <w:rPr>
                <w:sz w:val="20"/>
              </w:rPr>
              <w:t>1 (2.4)</w:t>
            </w:r>
          </w:p>
          <w:p w14:paraId="26C06E7A" w14:textId="77777777" w:rsidR="0008128F" w:rsidRPr="00CA7C58" w:rsidRDefault="0008128F" w:rsidP="00E33F83">
            <w:pPr>
              <w:pStyle w:val="C-BodyText"/>
              <w:keepNext/>
              <w:keepLines/>
              <w:spacing w:before="0" w:after="0" w:line="240" w:lineRule="auto"/>
              <w:jc w:val="center"/>
              <w:rPr>
                <w:sz w:val="20"/>
              </w:rPr>
            </w:pPr>
            <w:r w:rsidRPr="00CA7C58">
              <w:rPr>
                <w:sz w:val="20"/>
              </w:rPr>
              <w:t>12 (29.3)</w:t>
            </w:r>
          </w:p>
          <w:p w14:paraId="3F5AF565" w14:textId="77777777" w:rsidR="0008128F" w:rsidRPr="00CA7C58" w:rsidRDefault="0008128F" w:rsidP="00E33F83">
            <w:pPr>
              <w:pStyle w:val="C-BodyText"/>
              <w:keepNext/>
              <w:keepLines/>
              <w:spacing w:before="0" w:after="0" w:line="240" w:lineRule="auto"/>
              <w:jc w:val="center"/>
              <w:rPr>
                <w:sz w:val="20"/>
              </w:rPr>
            </w:pPr>
            <w:r w:rsidRPr="00CA7C58">
              <w:rPr>
                <w:sz w:val="20"/>
              </w:rPr>
              <w:t>2 (4.9)</w:t>
            </w:r>
          </w:p>
        </w:tc>
        <w:tc>
          <w:tcPr>
            <w:tcW w:w="2264" w:type="dxa"/>
            <w:vAlign w:val="center"/>
          </w:tcPr>
          <w:p w14:paraId="1F84EA93" w14:textId="77777777" w:rsidR="0008128F" w:rsidRPr="00CA7C58" w:rsidRDefault="0008128F" w:rsidP="00E33F83">
            <w:pPr>
              <w:pStyle w:val="C-BodyText"/>
              <w:keepNext/>
              <w:keepLines/>
              <w:spacing w:before="0" w:after="0" w:line="240" w:lineRule="auto"/>
              <w:jc w:val="center"/>
              <w:rPr>
                <w:sz w:val="20"/>
              </w:rPr>
            </w:pPr>
          </w:p>
          <w:p w14:paraId="4927DCCC" w14:textId="77777777" w:rsidR="0008128F" w:rsidRPr="00CA7C58" w:rsidRDefault="0008128F" w:rsidP="00E33F83">
            <w:pPr>
              <w:pStyle w:val="C-BodyText"/>
              <w:keepNext/>
              <w:keepLines/>
              <w:spacing w:before="0" w:after="0" w:line="240" w:lineRule="auto"/>
              <w:jc w:val="center"/>
              <w:rPr>
                <w:sz w:val="20"/>
              </w:rPr>
            </w:pPr>
          </w:p>
          <w:p w14:paraId="194E5E52" w14:textId="77777777" w:rsidR="0008128F" w:rsidRPr="00CA7C58" w:rsidRDefault="0008128F" w:rsidP="00E33F83">
            <w:pPr>
              <w:pStyle w:val="C-BodyText"/>
              <w:keepNext/>
              <w:keepLines/>
              <w:spacing w:before="0" w:after="0" w:line="240" w:lineRule="auto"/>
              <w:jc w:val="center"/>
              <w:rPr>
                <w:sz w:val="20"/>
              </w:rPr>
            </w:pPr>
            <w:r w:rsidRPr="00CA7C58">
              <w:rPr>
                <w:sz w:val="20"/>
              </w:rPr>
              <w:t>30 (76.9)</w:t>
            </w:r>
          </w:p>
          <w:p w14:paraId="6E852BF4" w14:textId="77777777" w:rsidR="0008128F" w:rsidRPr="00CA7C58" w:rsidRDefault="0008128F" w:rsidP="00E33F83">
            <w:pPr>
              <w:pStyle w:val="C-BodyText"/>
              <w:keepNext/>
              <w:keepLines/>
              <w:spacing w:before="0" w:after="0" w:line="240" w:lineRule="auto"/>
              <w:jc w:val="center"/>
              <w:rPr>
                <w:sz w:val="20"/>
              </w:rPr>
            </w:pPr>
            <w:r w:rsidRPr="00CA7C58">
              <w:rPr>
                <w:sz w:val="20"/>
              </w:rPr>
              <w:t>0</w:t>
            </w:r>
          </w:p>
          <w:p w14:paraId="05F42A61" w14:textId="77777777" w:rsidR="0008128F" w:rsidRPr="00CA7C58" w:rsidRDefault="0008128F" w:rsidP="00E33F83">
            <w:pPr>
              <w:pStyle w:val="C-BodyText"/>
              <w:keepNext/>
              <w:keepLines/>
              <w:spacing w:before="0" w:after="0" w:line="240" w:lineRule="auto"/>
              <w:jc w:val="center"/>
              <w:rPr>
                <w:sz w:val="20"/>
              </w:rPr>
            </w:pPr>
            <w:r w:rsidRPr="00CA7C58">
              <w:rPr>
                <w:sz w:val="20"/>
              </w:rPr>
              <w:t>9 (23.1)</w:t>
            </w:r>
          </w:p>
          <w:p w14:paraId="030A6CBC" w14:textId="77777777" w:rsidR="0008128F" w:rsidRPr="00CA7C58" w:rsidRDefault="0008128F" w:rsidP="00E33F83">
            <w:pPr>
              <w:pStyle w:val="C-BodyText"/>
              <w:keepNext/>
              <w:keepLines/>
              <w:spacing w:before="0" w:after="0" w:line="240" w:lineRule="auto"/>
              <w:jc w:val="center"/>
              <w:rPr>
                <w:sz w:val="20"/>
              </w:rPr>
            </w:pPr>
            <w:r w:rsidRPr="00CA7C58">
              <w:rPr>
                <w:sz w:val="20"/>
              </w:rPr>
              <w:t>0</w:t>
            </w:r>
          </w:p>
        </w:tc>
      </w:tr>
      <w:tr w:rsidR="00CA7C58" w:rsidRPr="00CA7C58" w14:paraId="38F1215F" w14:textId="77777777" w:rsidTr="00E33F83">
        <w:trPr>
          <w:trHeight w:val="297"/>
        </w:trPr>
        <w:tc>
          <w:tcPr>
            <w:tcW w:w="3145" w:type="dxa"/>
            <w:vAlign w:val="center"/>
          </w:tcPr>
          <w:p w14:paraId="3424DFCD" w14:textId="77777777" w:rsidR="0008128F" w:rsidRPr="00CA7C58" w:rsidRDefault="0008128F" w:rsidP="00E33F83">
            <w:pPr>
              <w:pStyle w:val="C-BodyText"/>
              <w:keepNext/>
              <w:keepLines/>
              <w:spacing w:before="0" w:after="0" w:line="240" w:lineRule="auto"/>
              <w:rPr>
                <w:sz w:val="20"/>
              </w:rPr>
            </w:pPr>
            <w:r w:rsidRPr="00CA7C58">
              <w:rPr>
                <w:sz w:val="20"/>
              </w:rPr>
              <w:t>Female</w:t>
            </w:r>
          </w:p>
        </w:tc>
        <w:tc>
          <w:tcPr>
            <w:tcW w:w="1350" w:type="dxa"/>
            <w:vAlign w:val="center"/>
          </w:tcPr>
          <w:p w14:paraId="05AA9384" w14:textId="77777777" w:rsidR="0008128F" w:rsidRPr="00CA7C58" w:rsidRDefault="0008128F" w:rsidP="00E33F83">
            <w:pPr>
              <w:pStyle w:val="C-BodyText"/>
              <w:keepNext/>
              <w:keepLines/>
              <w:spacing w:before="0" w:after="0" w:line="240" w:lineRule="auto"/>
              <w:jc w:val="center"/>
              <w:rPr>
                <w:sz w:val="20"/>
              </w:rPr>
            </w:pPr>
            <w:r w:rsidRPr="00CA7C58">
              <w:rPr>
                <w:sz w:val="20"/>
              </w:rPr>
              <w:t>n (%)</w:t>
            </w:r>
          </w:p>
        </w:tc>
        <w:tc>
          <w:tcPr>
            <w:tcW w:w="1516" w:type="dxa"/>
            <w:vAlign w:val="center"/>
          </w:tcPr>
          <w:p w14:paraId="7BE9F2D6" w14:textId="77777777" w:rsidR="0008128F" w:rsidRPr="00CA7C58" w:rsidRDefault="0008128F" w:rsidP="00E33F83">
            <w:pPr>
              <w:pStyle w:val="C-BodyText"/>
              <w:keepNext/>
              <w:keepLines/>
              <w:spacing w:before="0" w:after="0" w:line="240" w:lineRule="auto"/>
              <w:jc w:val="center"/>
              <w:rPr>
                <w:sz w:val="20"/>
              </w:rPr>
            </w:pPr>
            <w:r w:rsidRPr="00CA7C58">
              <w:rPr>
                <w:sz w:val="20"/>
              </w:rPr>
              <w:t>27 (65.9)</w:t>
            </w:r>
          </w:p>
        </w:tc>
        <w:tc>
          <w:tcPr>
            <w:tcW w:w="2264" w:type="dxa"/>
            <w:vAlign w:val="center"/>
          </w:tcPr>
          <w:p w14:paraId="5915EB4F" w14:textId="77777777" w:rsidR="0008128F" w:rsidRPr="00CA7C58" w:rsidRDefault="0008128F" w:rsidP="00E33F83">
            <w:pPr>
              <w:pStyle w:val="C-BodyText"/>
              <w:keepNext/>
              <w:keepLines/>
              <w:spacing w:before="0" w:after="0" w:line="240" w:lineRule="auto"/>
              <w:jc w:val="center"/>
              <w:rPr>
                <w:sz w:val="20"/>
              </w:rPr>
            </w:pPr>
            <w:r w:rsidRPr="00CA7C58">
              <w:rPr>
                <w:sz w:val="20"/>
              </w:rPr>
              <w:t>22 (56.4)</w:t>
            </w:r>
          </w:p>
        </w:tc>
      </w:tr>
      <w:tr w:rsidR="00CA7C58" w:rsidRPr="00CA7C58" w14:paraId="04CEE380" w14:textId="77777777" w:rsidTr="00E33F83">
        <w:trPr>
          <w:trHeight w:val="306"/>
        </w:trPr>
        <w:tc>
          <w:tcPr>
            <w:tcW w:w="3145" w:type="dxa"/>
            <w:vAlign w:val="center"/>
          </w:tcPr>
          <w:p w14:paraId="159A1407" w14:textId="77777777" w:rsidR="0008128F" w:rsidRPr="00CA7C58" w:rsidRDefault="0008128F" w:rsidP="00E33F83">
            <w:pPr>
              <w:pStyle w:val="C-BodyText"/>
              <w:keepNext/>
              <w:keepLines/>
              <w:spacing w:before="0" w:after="0" w:line="240" w:lineRule="auto"/>
              <w:rPr>
                <w:sz w:val="20"/>
              </w:rPr>
            </w:pPr>
            <w:r w:rsidRPr="00CA7C58">
              <w:rPr>
                <w:sz w:val="20"/>
              </w:rPr>
              <w:t xml:space="preserve">Time since diagnosis of PNH (years) to Day </w:t>
            </w:r>
            <w:r w:rsidRPr="00CA7C58">
              <w:rPr>
                <w:sz w:val="20"/>
              </w:rPr>
              <w:noBreakHyphen/>
              <w:t>28</w:t>
            </w:r>
          </w:p>
        </w:tc>
        <w:tc>
          <w:tcPr>
            <w:tcW w:w="1350" w:type="dxa"/>
            <w:vAlign w:val="center"/>
          </w:tcPr>
          <w:p w14:paraId="52FF1434" w14:textId="77777777" w:rsidR="0008128F" w:rsidRPr="00CA7C58" w:rsidRDefault="0008128F" w:rsidP="00E33F83">
            <w:pPr>
              <w:pStyle w:val="C-BodyText"/>
              <w:keepNext/>
              <w:keepLines/>
              <w:spacing w:before="0" w:after="0" w:line="240" w:lineRule="auto"/>
              <w:jc w:val="center"/>
              <w:rPr>
                <w:sz w:val="20"/>
              </w:rPr>
            </w:pPr>
            <w:r w:rsidRPr="00CA7C58">
              <w:rPr>
                <w:sz w:val="20"/>
              </w:rPr>
              <w:t>Mean (SD)</w:t>
            </w:r>
          </w:p>
        </w:tc>
        <w:tc>
          <w:tcPr>
            <w:tcW w:w="1516" w:type="dxa"/>
            <w:vAlign w:val="center"/>
          </w:tcPr>
          <w:p w14:paraId="1EB6E98E" w14:textId="77777777" w:rsidR="0008128F" w:rsidRPr="00CA7C58" w:rsidRDefault="0008128F" w:rsidP="00E33F83">
            <w:pPr>
              <w:pStyle w:val="C-BodyText"/>
              <w:keepNext/>
              <w:keepLines/>
              <w:spacing w:before="0" w:after="0" w:line="240" w:lineRule="auto"/>
              <w:jc w:val="center"/>
              <w:rPr>
                <w:sz w:val="20"/>
              </w:rPr>
            </w:pPr>
            <w:r w:rsidRPr="00CA7C58">
              <w:rPr>
                <w:sz w:val="20"/>
              </w:rPr>
              <w:t>8.7 (7.4)</w:t>
            </w:r>
          </w:p>
        </w:tc>
        <w:tc>
          <w:tcPr>
            <w:tcW w:w="2264" w:type="dxa"/>
            <w:vAlign w:val="center"/>
          </w:tcPr>
          <w:p w14:paraId="6A2ABE2E" w14:textId="77777777" w:rsidR="0008128F" w:rsidRPr="00CA7C58" w:rsidRDefault="0008128F" w:rsidP="00E33F83">
            <w:pPr>
              <w:pStyle w:val="C-BodyText"/>
              <w:keepNext/>
              <w:keepLines/>
              <w:spacing w:before="0" w:after="0" w:line="240" w:lineRule="auto"/>
              <w:jc w:val="center"/>
              <w:rPr>
                <w:sz w:val="20"/>
              </w:rPr>
            </w:pPr>
            <w:r w:rsidRPr="00CA7C58">
              <w:rPr>
                <w:sz w:val="20"/>
              </w:rPr>
              <w:t>11.7 (9.6)</w:t>
            </w:r>
          </w:p>
        </w:tc>
      </w:tr>
      <w:tr w:rsidR="00CA7C58" w:rsidRPr="00CA7C58" w14:paraId="5AEF67E6" w14:textId="77777777" w:rsidTr="00E33F83">
        <w:trPr>
          <w:trHeight w:val="241"/>
        </w:trPr>
        <w:tc>
          <w:tcPr>
            <w:tcW w:w="3145" w:type="dxa"/>
            <w:vAlign w:val="center"/>
          </w:tcPr>
          <w:p w14:paraId="0FFA517C" w14:textId="5689B9DD" w:rsidR="0008128F" w:rsidRPr="00CA7C58" w:rsidRDefault="0008128F" w:rsidP="00E33F83">
            <w:pPr>
              <w:pStyle w:val="C-BodyText"/>
              <w:keepNext/>
              <w:keepLines/>
              <w:tabs>
                <w:tab w:val="left" w:pos="705"/>
              </w:tabs>
              <w:spacing w:before="0" w:after="0" w:line="240" w:lineRule="auto"/>
              <w:rPr>
                <w:sz w:val="20"/>
              </w:rPr>
            </w:pPr>
            <w:proofErr w:type="spellStart"/>
            <w:r w:rsidRPr="00CA7C58">
              <w:rPr>
                <w:sz w:val="20"/>
              </w:rPr>
              <w:t>H</w:t>
            </w:r>
            <w:r w:rsidR="009E35F2" w:rsidRPr="00CA7C58">
              <w:rPr>
                <w:sz w:val="20"/>
              </w:rPr>
              <w:t>a</w:t>
            </w:r>
            <w:r w:rsidRPr="00CA7C58">
              <w:rPr>
                <w:sz w:val="20"/>
              </w:rPr>
              <w:t>emoglobin</w:t>
            </w:r>
            <w:proofErr w:type="spellEnd"/>
            <w:r w:rsidRPr="00CA7C58">
              <w:rPr>
                <w:sz w:val="20"/>
              </w:rPr>
              <w:t xml:space="preserve"> level (g/dL)</w:t>
            </w:r>
          </w:p>
        </w:tc>
        <w:tc>
          <w:tcPr>
            <w:tcW w:w="1350" w:type="dxa"/>
            <w:vAlign w:val="center"/>
          </w:tcPr>
          <w:p w14:paraId="1114CD6E" w14:textId="77777777" w:rsidR="0008128F" w:rsidRPr="00CA7C58" w:rsidRDefault="0008128F" w:rsidP="00E33F83">
            <w:pPr>
              <w:pStyle w:val="C-BodyText"/>
              <w:keepNext/>
              <w:keepLines/>
              <w:spacing w:before="0" w:after="0" w:line="240" w:lineRule="auto"/>
              <w:jc w:val="center"/>
              <w:rPr>
                <w:sz w:val="20"/>
              </w:rPr>
            </w:pPr>
            <w:r w:rsidRPr="00CA7C58">
              <w:rPr>
                <w:sz w:val="20"/>
              </w:rPr>
              <w:t>Mean (SD)</w:t>
            </w:r>
          </w:p>
        </w:tc>
        <w:tc>
          <w:tcPr>
            <w:tcW w:w="1516" w:type="dxa"/>
            <w:vAlign w:val="center"/>
          </w:tcPr>
          <w:p w14:paraId="66199E18" w14:textId="77777777" w:rsidR="0008128F" w:rsidRPr="00CA7C58" w:rsidRDefault="0008128F" w:rsidP="00E33F83">
            <w:pPr>
              <w:pStyle w:val="C-BodyText"/>
              <w:keepNext/>
              <w:keepLines/>
              <w:spacing w:before="0" w:after="0" w:line="240" w:lineRule="auto"/>
              <w:jc w:val="center"/>
              <w:rPr>
                <w:sz w:val="20"/>
              </w:rPr>
            </w:pPr>
            <w:r w:rsidRPr="00CA7C58">
              <w:rPr>
                <w:sz w:val="20"/>
              </w:rPr>
              <w:t>8.7 (1.1)</w:t>
            </w:r>
          </w:p>
        </w:tc>
        <w:tc>
          <w:tcPr>
            <w:tcW w:w="2264" w:type="dxa"/>
            <w:vAlign w:val="center"/>
          </w:tcPr>
          <w:p w14:paraId="7FD2F434" w14:textId="77777777" w:rsidR="0008128F" w:rsidRPr="00CA7C58" w:rsidRDefault="0008128F" w:rsidP="00E33F83">
            <w:pPr>
              <w:pStyle w:val="C-BodyText"/>
              <w:keepNext/>
              <w:keepLines/>
              <w:spacing w:before="0" w:after="0" w:line="240" w:lineRule="auto"/>
              <w:jc w:val="center"/>
              <w:rPr>
                <w:sz w:val="20"/>
              </w:rPr>
            </w:pPr>
            <w:r w:rsidRPr="00CA7C58">
              <w:rPr>
                <w:sz w:val="20"/>
              </w:rPr>
              <w:t>8.7 (0.9)</w:t>
            </w:r>
          </w:p>
        </w:tc>
      </w:tr>
      <w:tr w:rsidR="00CA7C58" w:rsidRPr="00CA7C58" w14:paraId="1147D1DB" w14:textId="77777777" w:rsidTr="00E33F83">
        <w:trPr>
          <w:trHeight w:val="241"/>
        </w:trPr>
        <w:tc>
          <w:tcPr>
            <w:tcW w:w="3145" w:type="dxa"/>
            <w:vAlign w:val="center"/>
          </w:tcPr>
          <w:p w14:paraId="2D71C9E2" w14:textId="677B40C9" w:rsidR="0008128F" w:rsidRPr="00CA7C58" w:rsidRDefault="0008128F" w:rsidP="00E33F83">
            <w:pPr>
              <w:pStyle w:val="C-BodyText"/>
              <w:keepNext/>
              <w:keepLines/>
              <w:tabs>
                <w:tab w:val="left" w:pos="705"/>
              </w:tabs>
              <w:spacing w:before="0" w:after="0" w:line="240" w:lineRule="auto"/>
              <w:rPr>
                <w:sz w:val="20"/>
              </w:rPr>
            </w:pPr>
            <w:r w:rsidRPr="00CA7C58">
              <w:rPr>
                <w:sz w:val="20"/>
              </w:rPr>
              <w:t xml:space="preserve">Absolute Reticulocyte </w:t>
            </w:r>
            <w:r w:rsidR="000E36C7" w:rsidRPr="00CA7C58">
              <w:rPr>
                <w:sz w:val="20"/>
              </w:rPr>
              <w:t xml:space="preserve">Count </w:t>
            </w:r>
            <w:r w:rsidRPr="00CA7C58">
              <w:rPr>
                <w:sz w:val="20"/>
              </w:rPr>
              <w:t>(10</w:t>
            </w:r>
            <w:r w:rsidRPr="00CA7C58">
              <w:rPr>
                <w:sz w:val="20"/>
                <w:vertAlign w:val="superscript"/>
              </w:rPr>
              <w:t>9</w:t>
            </w:r>
            <w:r w:rsidRPr="00CA7C58">
              <w:rPr>
                <w:sz w:val="20"/>
              </w:rPr>
              <w:t>/L)</w:t>
            </w:r>
          </w:p>
        </w:tc>
        <w:tc>
          <w:tcPr>
            <w:tcW w:w="1350" w:type="dxa"/>
            <w:vAlign w:val="center"/>
          </w:tcPr>
          <w:p w14:paraId="015AA917" w14:textId="77777777" w:rsidR="0008128F" w:rsidRPr="00CA7C58" w:rsidRDefault="0008128F" w:rsidP="00E33F83">
            <w:pPr>
              <w:pStyle w:val="C-BodyText"/>
              <w:keepNext/>
              <w:keepLines/>
              <w:spacing w:before="0" w:after="0" w:line="240" w:lineRule="auto"/>
              <w:jc w:val="center"/>
              <w:rPr>
                <w:sz w:val="20"/>
              </w:rPr>
            </w:pPr>
            <w:r w:rsidRPr="00CA7C58">
              <w:rPr>
                <w:sz w:val="20"/>
              </w:rPr>
              <w:t>Mean (SD)</w:t>
            </w:r>
          </w:p>
        </w:tc>
        <w:tc>
          <w:tcPr>
            <w:tcW w:w="1516" w:type="dxa"/>
            <w:vAlign w:val="center"/>
          </w:tcPr>
          <w:p w14:paraId="697C3612" w14:textId="3F56D22A" w:rsidR="0008128F" w:rsidRPr="00CA7C58" w:rsidRDefault="0008128F" w:rsidP="00713184">
            <w:pPr>
              <w:pStyle w:val="C-BodyText"/>
              <w:keepNext/>
              <w:keepLines/>
              <w:spacing w:before="0" w:after="0" w:line="240" w:lineRule="auto"/>
              <w:jc w:val="center"/>
              <w:rPr>
                <w:sz w:val="20"/>
              </w:rPr>
            </w:pPr>
            <w:r w:rsidRPr="00CA7C58">
              <w:rPr>
                <w:sz w:val="20"/>
              </w:rPr>
              <w:t>218 (75.0)</w:t>
            </w:r>
          </w:p>
        </w:tc>
        <w:tc>
          <w:tcPr>
            <w:tcW w:w="2264" w:type="dxa"/>
            <w:vAlign w:val="center"/>
          </w:tcPr>
          <w:p w14:paraId="5D333A13" w14:textId="77777777" w:rsidR="0008128F" w:rsidRPr="00CA7C58" w:rsidRDefault="0008128F" w:rsidP="00E33F83">
            <w:pPr>
              <w:pStyle w:val="C-BodyText"/>
              <w:keepNext/>
              <w:keepLines/>
              <w:spacing w:before="0" w:after="0" w:line="240" w:lineRule="auto"/>
              <w:jc w:val="center"/>
              <w:rPr>
                <w:sz w:val="20"/>
              </w:rPr>
            </w:pPr>
            <w:r w:rsidRPr="00CA7C58">
              <w:rPr>
                <w:sz w:val="20"/>
              </w:rPr>
              <w:t>216 (69.1)</w:t>
            </w:r>
          </w:p>
        </w:tc>
      </w:tr>
      <w:tr w:rsidR="00CA7C58" w:rsidRPr="00CA7C58" w14:paraId="06545D89" w14:textId="77777777" w:rsidTr="00E33F83">
        <w:trPr>
          <w:trHeight w:val="241"/>
        </w:trPr>
        <w:tc>
          <w:tcPr>
            <w:tcW w:w="3145" w:type="dxa"/>
            <w:vAlign w:val="center"/>
          </w:tcPr>
          <w:p w14:paraId="0B4A8811" w14:textId="77777777" w:rsidR="0008128F" w:rsidRPr="00CA7C58" w:rsidRDefault="0008128F" w:rsidP="00E33F83">
            <w:pPr>
              <w:pStyle w:val="C-BodyText"/>
              <w:keepNext/>
              <w:keepLines/>
              <w:tabs>
                <w:tab w:val="left" w:pos="510"/>
                <w:tab w:val="left" w:pos="705"/>
              </w:tabs>
              <w:spacing w:before="0" w:after="0" w:line="240" w:lineRule="auto"/>
              <w:rPr>
                <w:sz w:val="20"/>
              </w:rPr>
            </w:pPr>
            <w:r w:rsidRPr="00CA7C58">
              <w:rPr>
                <w:sz w:val="20"/>
              </w:rPr>
              <w:t>LDH level (U/L)</w:t>
            </w:r>
          </w:p>
        </w:tc>
        <w:tc>
          <w:tcPr>
            <w:tcW w:w="1350" w:type="dxa"/>
            <w:vAlign w:val="center"/>
          </w:tcPr>
          <w:p w14:paraId="4552AEEB" w14:textId="77777777" w:rsidR="0008128F" w:rsidRPr="00CA7C58" w:rsidRDefault="0008128F" w:rsidP="00E33F83">
            <w:pPr>
              <w:pStyle w:val="C-BodyText"/>
              <w:keepNext/>
              <w:keepLines/>
              <w:spacing w:before="0" w:after="0" w:line="240" w:lineRule="auto"/>
              <w:jc w:val="center"/>
              <w:rPr>
                <w:sz w:val="20"/>
              </w:rPr>
            </w:pPr>
            <w:r w:rsidRPr="00CA7C58">
              <w:rPr>
                <w:sz w:val="20"/>
              </w:rPr>
              <w:t>Mean (SD)</w:t>
            </w:r>
          </w:p>
        </w:tc>
        <w:tc>
          <w:tcPr>
            <w:tcW w:w="1516" w:type="dxa"/>
            <w:vAlign w:val="center"/>
          </w:tcPr>
          <w:p w14:paraId="100D56CC" w14:textId="23C88123" w:rsidR="0008128F" w:rsidRPr="00CA7C58" w:rsidRDefault="0008128F" w:rsidP="00E33F83">
            <w:pPr>
              <w:pStyle w:val="C-BodyText"/>
              <w:keepNext/>
              <w:keepLines/>
              <w:spacing w:before="0" w:after="0" w:line="240" w:lineRule="auto"/>
              <w:jc w:val="center"/>
              <w:rPr>
                <w:sz w:val="20"/>
              </w:rPr>
            </w:pPr>
            <w:r w:rsidRPr="00CA7C58">
              <w:rPr>
                <w:sz w:val="20"/>
              </w:rPr>
              <w:t>257.5 (97.7)</w:t>
            </w:r>
          </w:p>
        </w:tc>
        <w:tc>
          <w:tcPr>
            <w:tcW w:w="2264" w:type="dxa"/>
            <w:vAlign w:val="center"/>
          </w:tcPr>
          <w:p w14:paraId="6AC79963" w14:textId="5E0ED27C" w:rsidR="0008128F" w:rsidRPr="00CA7C58" w:rsidRDefault="0008128F" w:rsidP="00E33F83">
            <w:pPr>
              <w:pStyle w:val="C-BodyText"/>
              <w:keepNext/>
              <w:keepLines/>
              <w:spacing w:before="0" w:after="0" w:line="240" w:lineRule="auto"/>
              <w:jc w:val="center"/>
              <w:rPr>
                <w:sz w:val="20"/>
              </w:rPr>
            </w:pPr>
            <w:r w:rsidRPr="00CA7C58">
              <w:rPr>
                <w:sz w:val="20"/>
              </w:rPr>
              <w:t>308.6 (284.8)</w:t>
            </w:r>
          </w:p>
        </w:tc>
      </w:tr>
      <w:tr w:rsidR="00CA7C58" w:rsidRPr="00CA7C58" w14:paraId="085E0637" w14:textId="77777777" w:rsidTr="00E33F83">
        <w:trPr>
          <w:trHeight w:val="241"/>
        </w:trPr>
        <w:tc>
          <w:tcPr>
            <w:tcW w:w="3145" w:type="dxa"/>
            <w:vAlign w:val="center"/>
          </w:tcPr>
          <w:p w14:paraId="6D94F9E7" w14:textId="77777777" w:rsidR="0008128F" w:rsidRPr="00CA7C58" w:rsidRDefault="0008128F" w:rsidP="00E33F83">
            <w:pPr>
              <w:pStyle w:val="C-BodyText"/>
              <w:keepNext/>
              <w:keepLines/>
              <w:tabs>
                <w:tab w:val="left" w:pos="510"/>
                <w:tab w:val="left" w:pos="705"/>
              </w:tabs>
              <w:spacing w:before="0" w:after="0" w:line="240" w:lineRule="auto"/>
              <w:rPr>
                <w:sz w:val="20"/>
              </w:rPr>
            </w:pPr>
            <w:r w:rsidRPr="00CA7C58">
              <w:rPr>
                <w:sz w:val="20"/>
              </w:rPr>
              <w:t>Total FACIT</w:t>
            </w:r>
            <w:r w:rsidRPr="00CA7C58">
              <w:rPr>
                <w:sz w:val="20"/>
              </w:rPr>
              <w:noBreakHyphen/>
              <w:t>fatigue score</w:t>
            </w:r>
          </w:p>
        </w:tc>
        <w:tc>
          <w:tcPr>
            <w:tcW w:w="1350" w:type="dxa"/>
            <w:vAlign w:val="center"/>
          </w:tcPr>
          <w:p w14:paraId="07440869" w14:textId="77777777" w:rsidR="0008128F" w:rsidRPr="00CA7C58" w:rsidRDefault="0008128F" w:rsidP="00E33F83">
            <w:pPr>
              <w:pStyle w:val="C-BodyText"/>
              <w:keepNext/>
              <w:keepLines/>
              <w:spacing w:before="0" w:after="0" w:line="240" w:lineRule="auto"/>
              <w:jc w:val="center"/>
              <w:rPr>
                <w:sz w:val="20"/>
              </w:rPr>
            </w:pPr>
            <w:r w:rsidRPr="00CA7C58">
              <w:rPr>
                <w:sz w:val="20"/>
              </w:rPr>
              <w:t>Mean (SD)</w:t>
            </w:r>
          </w:p>
        </w:tc>
        <w:tc>
          <w:tcPr>
            <w:tcW w:w="1516" w:type="dxa"/>
            <w:vAlign w:val="center"/>
          </w:tcPr>
          <w:p w14:paraId="5803506D" w14:textId="77777777" w:rsidR="0008128F" w:rsidRPr="00CA7C58" w:rsidRDefault="0008128F" w:rsidP="00E33F83">
            <w:pPr>
              <w:pStyle w:val="C-BodyText"/>
              <w:keepNext/>
              <w:keepLines/>
              <w:spacing w:before="0" w:after="0" w:line="240" w:lineRule="auto"/>
              <w:jc w:val="center"/>
              <w:rPr>
                <w:sz w:val="20"/>
              </w:rPr>
            </w:pPr>
            <w:r w:rsidRPr="00CA7C58">
              <w:rPr>
                <w:sz w:val="20"/>
              </w:rPr>
              <w:t>32.2 (11.4)</w:t>
            </w:r>
          </w:p>
        </w:tc>
        <w:tc>
          <w:tcPr>
            <w:tcW w:w="2264" w:type="dxa"/>
            <w:vAlign w:val="center"/>
          </w:tcPr>
          <w:p w14:paraId="12314CDA" w14:textId="77777777" w:rsidR="0008128F" w:rsidRPr="00CA7C58" w:rsidRDefault="0008128F" w:rsidP="00E33F83">
            <w:pPr>
              <w:pStyle w:val="C-BodyText"/>
              <w:keepNext/>
              <w:keepLines/>
              <w:spacing w:before="0" w:after="0" w:line="240" w:lineRule="auto"/>
              <w:jc w:val="center"/>
              <w:rPr>
                <w:sz w:val="20"/>
              </w:rPr>
            </w:pPr>
            <w:r w:rsidRPr="00CA7C58">
              <w:rPr>
                <w:sz w:val="20"/>
              </w:rPr>
              <w:t>31.6 (12.5)</w:t>
            </w:r>
          </w:p>
        </w:tc>
      </w:tr>
      <w:tr w:rsidR="00CA7C58" w:rsidRPr="00CA7C58" w14:paraId="3ADFACD6" w14:textId="77777777" w:rsidTr="00E33F83">
        <w:trPr>
          <w:trHeight w:val="461"/>
        </w:trPr>
        <w:tc>
          <w:tcPr>
            <w:tcW w:w="3145" w:type="dxa"/>
            <w:tcBorders>
              <w:bottom w:val="nil"/>
            </w:tcBorders>
            <w:vAlign w:val="center"/>
          </w:tcPr>
          <w:p w14:paraId="1A21163E" w14:textId="77777777" w:rsidR="0008128F" w:rsidRPr="00CA7C58" w:rsidRDefault="0008128F" w:rsidP="00E33F83">
            <w:pPr>
              <w:pStyle w:val="C-BodyText"/>
              <w:keepNext/>
              <w:keepLines/>
              <w:tabs>
                <w:tab w:val="left" w:pos="510"/>
                <w:tab w:val="left" w:pos="705"/>
              </w:tabs>
              <w:spacing w:before="0" w:after="0" w:line="240" w:lineRule="auto"/>
              <w:rPr>
                <w:sz w:val="20"/>
              </w:rPr>
            </w:pPr>
            <w:r w:rsidRPr="00CA7C58">
              <w:rPr>
                <w:sz w:val="20"/>
              </w:rPr>
              <w:t xml:space="preserve">Number of transfusions in last 12 months prior to Day </w:t>
            </w:r>
            <w:r w:rsidRPr="00CA7C58">
              <w:rPr>
                <w:sz w:val="20"/>
              </w:rPr>
              <w:noBreakHyphen/>
              <w:t>28</w:t>
            </w:r>
          </w:p>
        </w:tc>
        <w:tc>
          <w:tcPr>
            <w:tcW w:w="1350" w:type="dxa"/>
            <w:vAlign w:val="center"/>
          </w:tcPr>
          <w:p w14:paraId="025F0D16" w14:textId="77777777" w:rsidR="0008128F" w:rsidRPr="00CA7C58" w:rsidRDefault="0008128F" w:rsidP="00E33F83">
            <w:pPr>
              <w:pStyle w:val="C-BodyText"/>
              <w:keepNext/>
              <w:keepLines/>
              <w:spacing w:before="0" w:after="0" w:line="240" w:lineRule="auto"/>
              <w:jc w:val="center"/>
              <w:rPr>
                <w:sz w:val="20"/>
              </w:rPr>
            </w:pPr>
            <w:r w:rsidRPr="00CA7C58">
              <w:rPr>
                <w:sz w:val="20"/>
              </w:rPr>
              <w:t>Mean (SD)</w:t>
            </w:r>
          </w:p>
        </w:tc>
        <w:tc>
          <w:tcPr>
            <w:tcW w:w="1516" w:type="dxa"/>
            <w:vAlign w:val="center"/>
          </w:tcPr>
          <w:p w14:paraId="1385C030" w14:textId="77777777" w:rsidR="0008128F" w:rsidRPr="00CA7C58" w:rsidRDefault="0008128F" w:rsidP="00E33F83">
            <w:pPr>
              <w:pStyle w:val="C-BodyText"/>
              <w:keepNext/>
              <w:keepLines/>
              <w:spacing w:before="0" w:after="0" w:line="240" w:lineRule="auto"/>
              <w:jc w:val="center"/>
              <w:rPr>
                <w:sz w:val="20"/>
              </w:rPr>
            </w:pPr>
            <w:r w:rsidRPr="00CA7C58">
              <w:rPr>
                <w:sz w:val="20"/>
              </w:rPr>
              <w:t>6.1 (7.3)</w:t>
            </w:r>
          </w:p>
        </w:tc>
        <w:tc>
          <w:tcPr>
            <w:tcW w:w="2264" w:type="dxa"/>
            <w:vAlign w:val="center"/>
          </w:tcPr>
          <w:p w14:paraId="0D2AB7F3" w14:textId="79ADD6C7" w:rsidR="0008128F" w:rsidRPr="00CA7C58" w:rsidRDefault="0008128F" w:rsidP="00E33F83">
            <w:pPr>
              <w:pStyle w:val="C-BodyText"/>
              <w:keepNext/>
              <w:keepLines/>
              <w:spacing w:before="0" w:after="0" w:line="240" w:lineRule="auto"/>
              <w:jc w:val="center"/>
              <w:rPr>
                <w:sz w:val="20"/>
              </w:rPr>
            </w:pPr>
            <w:r w:rsidRPr="00CA7C58">
              <w:rPr>
                <w:sz w:val="20"/>
              </w:rPr>
              <w:t>6.9 (7.7)</w:t>
            </w:r>
          </w:p>
        </w:tc>
      </w:tr>
      <w:tr w:rsidR="00CA7C58" w:rsidRPr="00CA7C58" w14:paraId="31C6269C" w14:textId="77777777" w:rsidTr="00E33F83">
        <w:trPr>
          <w:trHeight w:val="325"/>
        </w:trPr>
        <w:tc>
          <w:tcPr>
            <w:tcW w:w="3145" w:type="dxa"/>
            <w:tcBorders>
              <w:top w:val="nil"/>
              <w:bottom w:val="nil"/>
            </w:tcBorders>
            <w:vAlign w:val="center"/>
          </w:tcPr>
          <w:p w14:paraId="31F65321" w14:textId="77777777" w:rsidR="0008128F" w:rsidRPr="00CA7C58" w:rsidRDefault="0008128F" w:rsidP="00E33F83">
            <w:pPr>
              <w:pStyle w:val="C-BodyText"/>
              <w:keepNext/>
              <w:keepLines/>
              <w:spacing w:before="0" w:after="0" w:line="240" w:lineRule="auto"/>
              <w:ind w:left="240"/>
              <w:rPr>
                <w:sz w:val="20"/>
              </w:rPr>
            </w:pPr>
            <w:r w:rsidRPr="00CA7C58">
              <w:rPr>
                <w:sz w:val="20"/>
              </w:rPr>
              <w:t>&lt;4</w:t>
            </w:r>
          </w:p>
        </w:tc>
        <w:tc>
          <w:tcPr>
            <w:tcW w:w="1350" w:type="dxa"/>
            <w:vAlign w:val="center"/>
          </w:tcPr>
          <w:p w14:paraId="51DFD41B" w14:textId="77777777" w:rsidR="0008128F" w:rsidRPr="00CA7C58" w:rsidRDefault="0008128F" w:rsidP="00E33F83">
            <w:pPr>
              <w:pStyle w:val="C-BodyText"/>
              <w:keepNext/>
              <w:keepLines/>
              <w:spacing w:before="0" w:after="0" w:line="240" w:lineRule="auto"/>
              <w:jc w:val="center"/>
              <w:rPr>
                <w:sz w:val="20"/>
              </w:rPr>
            </w:pPr>
            <w:r w:rsidRPr="00CA7C58">
              <w:rPr>
                <w:sz w:val="20"/>
              </w:rPr>
              <w:t>n (%)</w:t>
            </w:r>
          </w:p>
        </w:tc>
        <w:tc>
          <w:tcPr>
            <w:tcW w:w="1516" w:type="dxa"/>
            <w:vAlign w:val="center"/>
          </w:tcPr>
          <w:p w14:paraId="12D8F5B7" w14:textId="77777777" w:rsidR="0008128F" w:rsidRPr="00CA7C58" w:rsidRDefault="0008128F" w:rsidP="00E33F83">
            <w:pPr>
              <w:pStyle w:val="C-BodyText"/>
              <w:keepNext/>
              <w:keepLines/>
              <w:spacing w:before="0" w:after="0" w:line="240" w:lineRule="auto"/>
              <w:jc w:val="center"/>
              <w:rPr>
                <w:sz w:val="20"/>
              </w:rPr>
            </w:pPr>
            <w:r w:rsidRPr="00CA7C58">
              <w:rPr>
                <w:sz w:val="20"/>
              </w:rPr>
              <w:t>20 (48.8)</w:t>
            </w:r>
          </w:p>
        </w:tc>
        <w:tc>
          <w:tcPr>
            <w:tcW w:w="2264" w:type="dxa"/>
            <w:vAlign w:val="center"/>
          </w:tcPr>
          <w:p w14:paraId="28572228" w14:textId="77777777" w:rsidR="0008128F" w:rsidRPr="00CA7C58" w:rsidRDefault="0008128F" w:rsidP="00E33F83">
            <w:pPr>
              <w:pStyle w:val="C-BodyText"/>
              <w:keepNext/>
              <w:keepLines/>
              <w:spacing w:before="0" w:after="0" w:line="240" w:lineRule="auto"/>
              <w:jc w:val="center"/>
              <w:rPr>
                <w:sz w:val="20"/>
              </w:rPr>
            </w:pPr>
            <w:r w:rsidRPr="00CA7C58">
              <w:rPr>
                <w:sz w:val="20"/>
              </w:rPr>
              <w:t>16 (41.0)</w:t>
            </w:r>
          </w:p>
        </w:tc>
      </w:tr>
      <w:tr w:rsidR="00CA7C58" w:rsidRPr="00CA7C58" w14:paraId="73B152A4" w14:textId="77777777" w:rsidTr="00E33F83">
        <w:trPr>
          <w:trHeight w:val="278"/>
        </w:trPr>
        <w:tc>
          <w:tcPr>
            <w:tcW w:w="3145" w:type="dxa"/>
            <w:tcBorders>
              <w:top w:val="nil"/>
              <w:bottom w:val="single" w:sz="4" w:space="0" w:color="auto"/>
            </w:tcBorders>
            <w:vAlign w:val="center"/>
          </w:tcPr>
          <w:p w14:paraId="19C3EC7E" w14:textId="77777777" w:rsidR="0008128F" w:rsidRPr="00CA7C58" w:rsidRDefault="0008128F" w:rsidP="00E33F83">
            <w:pPr>
              <w:pStyle w:val="C-BodyText"/>
              <w:keepNext/>
              <w:keepLines/>
              <w:spacing w:before="0" w:after="0" w:line="240" w:lineRule="auto"/>
              <w:ind w:left="240"/>
              <w:rPr>
                <w:sz w:val="20"/>
              </w:rPr>
            </w:pPr>
            <w:r w:rsidRPr="00CA7C58">
              <w:rPr>
                <w:sz w:val="20"/>
              </w:rPr>
              <w:t>≥4</w:t>
            </w:r>
          </w:p>
        </w:tc>
        <w:tc>
          <w:tcPr>
            <w:tcW w:w="1350" w:type="dxa"/>
            <w:vAlign w:val="center"/>
          </w:tcPr>
          <w:p w14:paraId="0C544BA2" w14:textId="77777777" w:rsidR="0008128F" w:rsidRPr="00CA7C58" w:rsidRDefault="0008128F" w:rsidP="00E33F83">
            <w:pPr>
              <w:pStyle w:val="C-BodyText"/>
              <w:keepNext/>
              <w:keepLines/>
              <w:spacing w:before="0" w:after="0" w:line="240" w:lineRule="auto"/>
              <w:jc w:val="center"/>
              <w:rPr>
                <w:sz w:val="20"/>
              </w:rPr>
            </w:pPr>
            <w:r w:rsidRPr="00CA7C58">
              <w:rPr>
                <w:sz w:val="20"/>
              </w:rPr>
              <w:t>n (%)</w:t>
            </w:r>
          </w:p>
        </w:tc>
        <w:tc>
          <w:tcPr>
            <w:tcW w:w="1516" w:type="dxa"/>
            <w:vAlign w:val="center"/>
          </w:tcPr>
          <w:p w14:paraId="18E63FA0" w14:textId="77777777" w:rsidR="0008128F" w:rsidRPr="00CA7C58" w:rsidRDefault="0008128F" w:rsidP="00E33F83">
            <w:pPr>
              <w:pStyle w:val="C-BodyText"/>
              <w:keepNext/>
              <w:keepLines/>
              <w:spacing w:before="0" w:after="0" w:line="240" w:lineRule="auto"/>
              <w:jc w:val="center"/>
              <w:rPr>
                <w:sz w:val="20"/>
              </w:rPr>
            </w:pPr>
            <w:r w:rsidRPr="00CA7C58">
              <w:rPr>
                <w:sz w:val="20"/>
              </w:rPr>
              <w:t>21 (51.2)</w:t>
            </w:r>
          </w:p>
        </w:tc>
        <w:tc>
          <w:tcPr>
            <w:tcW w:w="2264" w:type="dxa"/>
            <w:vAlign w:val="center"/>
          </w:tcPr>
          <w:p w14:paraId="54239253" w14:textId="77777777" w:rsidR="0008128F" w:rsidRPr="00CA7C58" w:rsidRDefault="0008128F" w:rsidP="00E33F83">
            <w:pPr>
              <w:pStyle w:val="C-BodyText"/>
              <w:keepNext/>
              <w:keepLines/>
              <w:spacing w:before="0" w:after="0" w:line="240" w:lineRule="auto"/>
              <w:jc w:val="center"/>
              <w:rPr>
                <w:sz w:val="20"/>
              </w:rPr>
            </w:pPr>
            <w:r w:rsidRPr="00CA7C58">
              <w:rPr>
                <w:sz w:val="20"/>
              </w:rPr>
              <w:t>23 (59.0)</w:t>
            </w:r>
          </w:p>
        </w:tc>
      </w:tr>
      <w:tr w:rsidR="00CA7C58" w:rsidRPr="00CA7C58" w14:paraId="1DF1D49A" w14:textId="77777777" w:rsidTr="00E33F83">
        <w:trPr>
          <w:trHeight w:val="278"/>
        </w:trPr>
        <w:tc>
          <w:tcPr>
            <w:tcW w:w="3145" w:type="dxa"/>
            <w:tcBorders>
              <w:top w:val="single" w:sz="4" w:space="0" w:color="auto"/>
              <w:bottom w:val="single" w:sz="4" w:space="0" w:color="auto"/>
            </w:tcBorders>
            <w:vAlign w:val="center"/>
          </w:tcPr>
          <w:p w14:paraId="74BC4B45" w14:textId="632F1BAB" w:rsidR="0008128F" w:rsidRPr="00CA7C58" w:rsidRDefault="0008128F" w:rsidP="00E33F83">
            <w:pPr>
              <w:pStyle w:val="C-BodyText"/>
              <w:keepNext/>
              <w:keepLines/>
              <w:spacing w:before="0" w:after="0" w:line="240" w:lineRule="auto"/>
              <w:rPr>
                <w:sz w:val="20"/>
              </w:rPr>
            </w:pPr>
            <w:r w:rsidRPr="00CA7C58">
              <w:rPr>
                <w:sz w:val="20"/>
              </w:rPr>
              <w:t>Platelet count at screening (</w:t>
            </w:r>
            <w:r w:rsidR="0098150E" w:rsidRPr="00CA7C58">
              <w:rPr>
                <w:sz w:val="20"/>
              </w:rPr>
              <w:t>count/mm</w:t>
            </w:r>
            <w:r w:rsidR="0098150E" w:rsidRPr="00CA7C58">
              <w:rPr>
                <w:sz w:val="20"/>
                <w:vertAlign w:val="superscript"/>
              </w:rPr>
              <w:t>3</w:t>
            </w:r>
            <w:r w:rsidRPr="00CA7C58">
              <w:rPr>
                <w:sz w:val="20"/>
              </w:rPr>
              <w:t>)</w:t>
            </w:r>
          </w:p>
        </w:tc>
        <w:tc>
          <w:tcPr>
            <w:tcW w:w="1350" w:type="dxa"/>
            <w:vAlign w:val="center"/>
          </w:tcPr>
          <w:p w14:paraId="76A09345" w14:textId="6BAD51BB" w:rsidR="0008128F" w:rsidRPr="00CA7C58" w:rsidRDefault="0008128F" w:rsidP="00E33F83">
            <w:pPr>
              <w:pStyle w:val="C-BodyText"/>
              <w:keepNext/>
              <w:keepLines/>
              <w:spacing w:before="0" w:after="0" w:line="240" w:lineRule="auto"/>
              <w:jc w:val="center"/>
              <w:rPr>
                <w:sz w:val="20"/>
              </w:rPr>
            </w:pPr>
            <w:r w:rsidRPr="00CA7C58">
              <w:rPr>
                <w:sz w:val="20"/>
              </w:rPr>
              <w:t>Mean (SD</w:t>
            </w:r>
            <w:r w:rsidR="00E376EF" w:rsidRPr="00CA7C58">
              <w:rPr>
                <w:sz w:val="20"/>
              </w:rPr>
              <w:t>)</w:t>
            </w:r>
          </w:p>
        </w:tc>
        <w:tc>
          <w:tcPr>
            <w:tcW w:w="1516" w:type="dxa"/>
            <w:vAlign w:val="center"/>
          </w:tcPr>
          <w:p w14:paraId="093EABFD" w14:textId="77777777" w:rsidR="0008128F" w:rsidRPr="00CA7C58" w:rsidRDefault="0008128F" w:rsidP="00E33F83">
            <w:pPr>
              <w:pStyle w:val="C-BodyText"/>
              <w:keepNext/>
              <w:keepLines/>
              <w:spacing w:before="0" w:after="0" w:line="240" w:lineRule="auto"/>
              <w:jc w:val="center"/>
              <w:rPr>
                <w:sz w:val="20"/>
              </w:rPr>
            </w:pPr>
            <w:r w:rsidRPr="00CA7C58">
              <w:rPr>
                <w:sz w:val="20"/>
              </w:rPr>
              <w:t>167 (98.3)</w:t>
            </w:r>
          </w:p>
        </w:tc>
        <w:tc>
          <w:tcPr>
            <w:tcW w:w="2264" w:type="dxa"/>
            <w:vAlign w:val="center"/>
          </w:tcPr>
          <w:p w14:paraId="4458CE5E" w14:textId="77777777" w:rsidR="0008128F" w:rsidRPr="00CA7C58" w:rsidRDefault="0008128F" w:rsidP="00E33F83">
            <w:pPr>
              <w:pStyle w:val="C-BodyText"/>
              <w:keepNext/>
              <w:keepLines/>
              <w:spacing w:before="0" w:after="0" w:line="240" w:lineRule="auto"/>
              <w:jc w:val="center"/>
              <w:rPr>
                <w:sz w:val="20"/>
              </w:rPr>
            </w:pPr>
            <w:r w:rsidRPr="00CA7C58">
              <w:rPr>
                <w:sz w:val="20"/>
              </w:rPr>
              <w:t>147 (68.8)</w:t>
            </w:r>
          </w:p>
        </w:tc>
      </w:tr>
      <w:tr w:rsidR="00CA7C58" w:rsidRPr="00CA7C58" w14:paraId="1871115F" w14:textId="77777777" w:rsidTr="00E33F83">
        <w:trPr>
          <w:trHeight w:val="278"/>
        </w:trPr>
        <w:tc>
          <w:tcPr>
            <w:tcW w:w="3145" w:type="dxa"/>
            <w:tcBorders>
              <w:top w:val="single" w:sz="4" w:space="0" w:color="auto"/>
              <w:bottom w:val="single" w:sz="4" w:space="0" w:color="auto"/>
            </w:tcBorders>
            <w:vAlign w:val="center"/>
          </w:tcPr>
          <w:p w14:paraId="6175D35D" w14:textId="77777777" w:rsidR="0008128F" w:rsidRPr="00CA7C58" w:rsidRDefault="0008128F" w:rsidP="00E33F83">
            <w:pPr>
              <w:pStyle w:val="C-BodyText"/>
              <w:keepNext/>
              <w:keepLines/>
              <w:spacing w:before="0" w:after="0" w:line="240" w:lineRule="auto"/>
              <w:ind w:left="240"/>
              <w:rPr>
                <w:sz w:val="20"/>
              </w:rPr>
            </w:pPr>
            <w:r w:rsidRPr="00CA7C58">
              <w:rPr>
                <w:sz w:val="20"/>
              </w:rPr>
              <w:t>&lt;100,000</w:t>
            </w:r>
          </w:p>
        </w:tc>
        <w:tc>
          <w:tcPr>
            <w:tcW w:w="1350" w:type="dxa"/>
            <w:vAlign w:val="center"/>
          </w:tcPr>
          <w:p w14:paraId="003A7234" w14:textId="77777777" w:rsidR="0008128F" w:rsidRPr="00CA7C58" w:rsidRDefault="0008128F" w:rsidP="00E33F83">
            <w:pPr>
              <w:pStyle w:val="C-BodyText"/>
              <w:keepNext/>
              <w:keepLines/>
              <w:spacing w:before="0" w:after="0" w:line="240" w:lineRule="auto"/>
              <w:jc w:val="center"/>
              <w:rPr>
                <w:sz w:val="20"/>
              </w:rPr>
            </w:pPr>
            <w:r w:rsidRPr="00CA7C58">
              <w:rPr>
                <w:sz w:val="20"/>
              </w:rPr>
              <w:t>n (%)</w:t>
            </w:r>
          </w:p>
        </w:tc>
        <w:tc>
          <w:tcPr>
            <w:tcW w:w="1516" w:type="dxa"/>
            <w:vAlign w:val="center"/>
          </w:tcPr>
          <w:p w14:paraId="5D3BD914" w14:textId="77777777" w:rsidR="0008128F" w:rsidRPr="00CA7C58" w:rsidRDefault="0008128F" w:rsidP="00E33F83">
            <w:pPr>
              <w:pStyle w:val="C-BodyText"/>
              <w:keepNext/>
              <w:keepLines/>
              <w:spacing w:before="0" w:after="0" w:line="240" w:lineRule="auto"/>
              <w:jc w:val="center"/>
              <w:rPr>
                <w:sz w:val="20"/>
              </w:rPr>
            </w:pPr>
            <w:r w:rsidRPr="00CA7C58">
              <w:rPr>
                <w:sz w:val="20"/>
              </w:rPr>
              <w:t>12 (29.3)</w:t>
            </w:r>
          </w:p>
        </w:tc>
        <w:tc>
          <w:tcPr>
            <w:tcW w:w="2264" w:type="dxa"/>
            <w:vAlign w:val="center"/>
          </w:tcPr>
          <w:p w14:paraId="5C03CA34" w14:textId="77777777" w:rsidR="0008128F" w:rsidRPr="00CA7C58" w:rsidRDefault="0008128F" w:rsidP="00E33F83">
            <w:pPr>
              <w:pStyle w:val="C-BodyText"/>
              <w:keepNext/>
              <w:keepLines/>
              <w:spacing w:before="0" w:after="0" w:line="240" w:lineRule="auto"/>
              <w:jc w:val="center"/>
              <w:rPr>
                <w:sz w:val="20"/>
              </w:rPr>
            </w:pPr>
            <w:r w:rsidRPr="00CA7C58">
              <w:rPr>
                <w:sz w:val="20"/>
              </w:rPr>
              <w:t>9 (23.1)</w:t>
            </w:r>
          </w:p>
        </w:tc>
      </w:tr>
      <w:tr w:rsidR="0008128F" w:rsidRPr="00CA7C58" w14:paraId="35C3A0D7" w14:textId="77777777" w:rsidTr="00E33F83">
        <w:trPr>
          <w:trHeight w:val="278"/>
        </w:trPr>
        <w:tc>
          <w:tcPr>
            <w:tcW w:w="3145" w:type="dxa"/>
            <w:tcBorders>
              <w:top w:val="single" w:sz="4" w:space="0" w:color="auto"/>
            </w:tcBorders>
            <w:vAlign w:val="center"/>
          </w:tcPr>
          <w:p w14:paraId="44B4333E" w14:textId="77777777" w:rsidR="0008128F" w:rsidRPr="00CA7C58" w:rsidRDefault="0008128F" w:rsidP="00E33F83">
            <w:pPr>
              <w:pStyle w:val="C-BodyText"/>
              <w:keepNext/>
              <w:keepLines/>
              <w:spacing w:before="0" w:after="0" w:line="240" w:lineRule="auto"/>
              <w:ind w:left="240"/>
              <w:rPr>
                <w:sz w:val="20"/>
              </w:rPr>
            </w:pPr>
            <w:r w:rsidRPr="00CA7C58">
              <w:rPr>
                <w:sz w:val="20"/>
              </w:rPr>
              <w:t>≥100,000</w:t>
            </w:r>
          </w:p>
        </w:tc>
        <w:tc>
          <w:tcPr>
            <w:tcW w:w="1350" w:type="dxa"/>
            <w:vAlign w:val="center"/>
          </w:tcPr>
          <w:p w14:paraId="501EA12C" w14:textId="77777777" w:rsidR="0008128F" w:rsidRPr="00CA7C58" w:rsidRDefault="0008128F" w:rsidP="00E33F83">
            <w:pPr>
              <w:pStyle w:val="C-BodyText"/>
              <w:keepNext/>
              <w:keepLines/>
              <w:spacing w:before="0" w:after="0" w:line="240" w:lineRule="auto"/>
              <w:jc w:val="center"/>
              <w:rPr>
                <w:sz w:val="20"/>
              </w:rPr>
            </w:pPr>
            <w:r w:rsidRPr="00CA7C58">
              <w:rPr>
                <w:sz w:val="20"/>
              </w:rPr>
              <w:t>n (%)</w:t>
            </w:r>
          </w:p>
        </w:tc>
        <w:tc>
          <w:tcPr>
            <w:tcW w:w="1516" w:type="dxa"/>
            <w:vAlign w:val="center"/>
          </w:tcPr>
          <w:p w14:paraId="4219F20C" w14:textId="77777777" w:rsidR="0008128F" w:rsidRPr="00CA7C58" w:rsidRDefault="0008128F" w:rsidP="00E33F83">
            <w:pPr>
              <w:pStyle w:val="C-BodyText"/>
              <w:keepNext/>
              <w:keepLines/>
              <w:spacing w:before="0" w:after="0" w:line="240" w:lineRule="auto"/>
              <w:jc w:val="center"/>
              <w:rPr>
                <w:sz w:val="20"/>
              </w:rPr>
            </w:pPr>
            <w:r w:rsidRPr="00CA7C58">
              <w:rPr>
                <w:sz w:val="20"/>
              </w:rPr>
              <w:t>29 (70.7)</w:t>
            </w:r>
          </w:p>
        </w:tc>
        <w:tc>
          <w:tcPr>
            <w:tcW w:w="2264" w:type="dxa"/>
            <w:vAlign w:val="center"/>
          </w:tcPr>
          <w:p w14:paraId="786780C3" w14:textId="77777777" w:rsidR="0008128F" w:rsidRPr="00CA7C58" w:rsidRDefault="0008128F" w:rsidP="00E33F83">
            <w:pPr>
              <w:pStyle w:val="C-BodyText"/>
              <w:keepNext/>
              <w:keepLines/>
              <w:spacing w:before="0" w:after="0" w:line="240" w:lineRule="auto"/>
              <w:jc w:val="center"/>
              <w:rPr>
                <w:sz w:val="20"/>
              </w:rPr>
            </w:pPr>
            <w:r w:rsidRPr="00CA7C58">
              <w:rPr>
                <w:sz w:val="20"/>
              </w:rPr>
              <w:t>30 (76.9)</w:t>
            </w:r>
          </w:p>
        </w:tc>
      </w:tr>
    </w:tbl>
    <w:p w14:paraId="2CFE3671" w14:textId="77777777" w:rsidR="0008128F" w:rsidRPr="00CA7C58" w:rsidRDefault="0008128F" w:rsidP="00E54119">
      <w:pPr>
        <w:pStyle w:val="C-BodyText"/>
        <w:keepNext/>
        <w:keepLines/>
        <w:spacing w:before="0" w:after="0" w:line="240" w:lineRule="auto"/>
        <w:rPr>
          <w:szCs w:val="24"/>
        </w:rPr>
      </w:pPr>
    </w:p>
    <w:p w14:paraId="42F030F7" w14:textId="33454A46" w:rsidR="00634BE5" w:rsidRPr="00CA7C58" w:rsidRDefault="007F2819" w:rsidP="0018364D">
      <w:pPr>
        <w:pStyle w:val="C-BodyText"/>
        <w:spacing w:before="0" w:after="0" w:line="240" w:lineRule="auto"/>
        <w:jc w:val="both"/>
        <w:rPr>
          <w:b/>
          <w:bCs/>
          <w:szCs w:val="24"/>
        </w:rPr>
      </w:pPr>
      <w:r w:rsidRPr="00CA7C58">
        <w:rPr>
          <w:szCs w:val="24"/>
        </w:rPr>
        <w:t>EMPAVELI</w:t>
      </w:r>
      <w:r w:rsidR="00634BE5" w:rsidRPr="00CA7C58" w:rsidDel="002538BF">
        <w:rPr>
          <w:szCs w:val="24"/>
        </w:rPr>
        <w:t xml:space="preserve"> </w:t>
      </w:r>
      <w:r w:rsidR="00634BE5" w:rsidRPr="00CA7C58">
        <w:rPr>
          <w:szCs w:val="24"/>
        </w:rPr>
        <w:t xml:space="preserve">was superior to eculizumab for the primary endpoint of the </w:t>
      </w:r>
      <w:proofErr w:type="spellStart"/>
      <w:r w:rsidR="00634BE5" w:rsidRPr="00CA7C58">
        <w:rPr>
          <w:szCs w:val="24"/>
        </w:rPr>
        <w:t>h</w:t>
      </w:r>
      <w:r w:rsidR="009E35F2" w:rsidRPr="00CA7C58">
        <w:rPr>
          <w:szCs w:val="24"/>
        </w:rPr>
        <w:t>a</w:t>
      </w:r>
      <w:r w:rsidR="00634BE5" w:rsidRPr="00CA7C58">
        <w:rPr>
          <w:szCs w:val="24"/>
        </w:rPr>
        <w:t>emoglobin</w:t>
      </w:r>
      <w:proofErr w:type="spellEnd"/>
      <w:r w:rsidR="00634BE5" w:rsidRPr="00CA7C58">
        <w:rPr>
          <w:szCs w:val="24"/>
        </w:rPr>
        <w:t xml:space="preserve"> change from baseline (</w:t>
      </w:r>
      <w:r w:rsidR="00634BE5" w:rsidRPr="00CA7C58">
        <w:rPr>
          <w:i/>
          <w:iCs/>
          <w:szCs w:val="24"/>
        </w:rPr>
        <w:t>P</w:t>
      </w:r>
      <w:r w:rsidR="00634BE5" w:rsidRPr="00CA7C58">
        <w:rPr>
          <w:szCs w:val="24"/>
        </w:rPr>
        <w:t xml:space="preserve">&lt;0.0001). The adjusted mean change from baseline in Hb level was 2.4 g/dL in the group treated with </w:t>
      </w:r>
      <w:r w:rsidRPr="00CA7C58">
        <w:rPr>
          <w:szCs w:val="24"/>
        </w:rPr>
        <w:t>EMPAVELI</w:t>
      </w:r>
      <w:r w:rsidR="00634BE5" w:rsidRPr="00CA7C58">
        <w:rPr>
          <w:szCs w:val="24"/>
        </w:rPr>
        <w:t xml:space="preserve"> versus </w:t>
      </w:r>
      <w:r w:rsidR="00634BE5" w:rsidRPr="00CA7C58">
        <w:rPr>
          <w:szCs w:val="24"/>
        </w:rPr>
        <w:noBreakHyphen/>
        <w:t xml:space="preserve">1.5 g/dL in the eculizumab group, demonstrating an adjusted mean increase of 3.8 g/dL with </w:t>
      </w:r>
      <w:r w:rsidRPr="00CA7C58">
        <w:rPr>
          <w:szCs w:val="24"/>
        </w:rPr>
        <w:t>EMPAVELI</w:t>
      </w:r>
      <w:r w:rsidR="00634BE5" w:rsidRPr="00CA7C58">
        <w:rPr>
          <w:szCs w:val="24"/>
        </w:rPr>
        <w:t xml:space="preserve"> compared to eculizumab at Week 16 (Figure 1). Treatment differences between the </w:t>
      </w:r>
      <w:r w:rsidRPr="00CA7C58">
        <w:rPr>
          <w:szCs w:val="24"/>
        </w:rPr>
        <w:t>EMPAVELI</w:t>
      </w:r>
      <w:r w:rsidR="00634BE5" w:rsidRPr="00CA7C58">
        <w:rPr>
          <w:szCs w:val="24"/>
        </w:rPr>
        <w:t xml:space="preserve"> and eculizumab groups were evident as early as Week 2 and persisted throughout the 16</w:t>
      </w:r>
      <w:r w:rsidR="00634BE5" w:rsidRPr="00CA7C58">
        <w:rPr>
          <w:szCs w:val="24"/>
        </w:rPr>
        <w:noBreakHyphen/>
        <w:t>week RCP.</w:t>
      </w:r>
    </w:p>
    <w:p w14:paraId="04AEF760" w14:textId="6F4166F1" w:rsidR="00977FA6" w:rsidRPr="00CA7C58" w:rsidRDefault="00977FA6" w:rsidP="00977FA6">
      <w:pPr>
        <w:pStyle w:val="Caption"/>
        <w:spacing w:before="0" w:line="240" w:lineRule="auto"/>
        <w:jc w:val="both"/>
      </w:pPr>
      <w:bookmarkStart w:id="27" w:name="_Ref33086734"/>
      <w:r w:rsidRPr="00CA7C58">
        <w:lastRenderedPageBreak/>
        <w:t>Figur</w:t>
      </w:r>
      <w:bookmarkEnd w:id="27"/>
      <w:r w:rsidRPr="00CA7C58">
        <w:t xml:space="preserve">e 1. Adjusted Mean (± SE) Change from Baseline to Week 16 in </w:t>
      </w:r>
      <w:proofErr w:type="spellStart"/>
      <w:r w:rsidRPr="00CA7C58">
        <w:t>H</w:t>
      </w:r>
      <w:r w:rsidR="009C04EC" w:rsidRPr="00CA7C58">
        <w:t>a</w:t>
      </w:r>
      <w:r w:rsidRPr="00CA7C58">
        <w:t>emoglobin</w:t>
      </w:r>
      <w:proofErr w:type="spellEnd"/>
      <w:r w:rsidRPr="00CA7C58">
        <w:t xml:space="preserve"> (g/dL)</w:t>
      </w:r>
    </w:p>
    <w:p w14:paraId="2FE0AACD" w14:textId="54445188" w:rsidR="00CE66A0" w:rsidRPr="00CA7C58" w:rsidRDefault="00E97038" w:rsidP="006C4775">
      <w:pPr>
        <w:spacing w:before="120" w:after="120"/>
        <w:ind w:left="360" w:hanging="360"/>
        <w:rPr>
          <w:rFonts w:ascii="Times New Roman" w:hAnsi="Times New Roman" w:cs="Times New Roman"/>
        </w:rPr>
      </w:pPr>
      <w:r w:rsidRPr="00CA7C58">
        <w:rPr>
          <w:rFonts w:ascii="Times New Roman" w:hAnsi="Times New Roman" w:cs="Times New Roman"/>
          <w:noProof/>
        </w:rPr>
        <w:drawing>
          <wp:inline distT="0" distB="0" distL="0" distR="0" wp14:anchorId="5BF8C265" wp14:editId="14FDA8A7">
            <wp:extent cx="5943600" cy="2584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584450"/>
                    </a:xfrm>
                    <a:prstGeom prst="rect">
                      <a:avLst/>
                    </a:prstGeom>
                    <a:noFill/>
                    <a:ln>
                      <a:noFill/>
                    </a:ln>
                  </pic:spPr>
                </pic:pic>
              </a:graphicData>
            </a:graphic>
          </wp:inline>
        </w:drawing>
      </w:r>
    </w:p>
    <w:p w14:paraId="7A3CC3D9" w14:textId="77777777" w:rsidR="00CA7C58" w:rsidRPr="00CA7C58" w:rsidRDefault="00CA7C58" w:rsidP="00E54119">
      <w:pPr>
        <w:pStyle w:val="C-BodyText"/>
        <w:spacing w:before="0" w:after="0" w:line="240" w:lineRule="auto"/>
        <w:rPr>
          <w:szCs w:val="24"/>
        </w:rPr>
      </w:pPr>
    </w:p>
    <w:p w14:paraId="49FD3D07" w14:textId="6FB03D0E" w:rsidR="00CA7C58" w:rsidRPr="00CA7C58" w:rsidRDefault="00CA7C58" w:rsidP="00E54119">
      <w:pPr>
        <w:pStyle w:val="C-BodyText"/>
        <w:spacing w:before="0" w:after="0" w:line="240" w:lineRule="auto"/>
        <w:rPr>
          <w:i/>
          <w:iCs/>
          <w:szCs w:val="24"/>
        </w:rPr>
      </w:pPr>
    </w:p>
    <w:p w14:paraId="3621BDEB" w14:textId="3760F70D" w:rsidR="007C35A7" w:rsidRDefault="007C35A7" w:rsidP="0018364D">
      <w:pPr>
        <w:pStyle w:val="C-BodyText"/>
        <w:spacing w:before="0" w:after="0" w:line="240" w:lineRule="auto"/>
        <w:jc w:val="both"/>
        <w:rPr>
          <w:szCs w:val="24"/>
        </w:rPr>
      </w:pPr>
      <w:r w:rsidRPr="00CA7C58">
        <w:rPr>
          <w:szCs w:val="24"/>
        </w:rPr>
        <w:t>The adjusted means, treatment difference, confidence intervals, and statistical analyses performed for the key secondary endpoints are shown in Figure 2.</w:t>
      </w:r>
    </w:p>
    <w:p w14:paraId="1DF27F06" w14:textId="77777777" w:rsidR="00DD3A10" w:rsidRPr="00CA7C58" w:rsidRDefault="00DD3A10" w:rsidP="00E54119">
      <w:pPr>
        <w:pStyle w:val="C-BodyText"/>
        <w:spacing w:before="0" w:after="0" w:line="240" w:lineRule="auto"/>
        <w:rPr>
          <w:szCs w:val="24"/>
        </w:rPr>
      </w:pPr>
    </w:p>
    <w:p w14:paraId="1CDBF967" w14:textId="4EEC9FC3" w:rsidR="00A93B42" w:rsidRPr="00CA7C58" w:rsidRDefault="00A93B42" w:rsidP="00A93B42">
      <w:pPr>
        <w:pStyle w:val="Caption"/>
        <w:spacing w:before="0" w:line="240" w:lineRule="auto"/>
      </w:pPr>
      <w:bookmarkStart w:id="28" w:name="_Ref35585536"/>
      <w:r w:rsidRPr="00CA7C58">
        <w:t>Figure </w:t>
      </w:r>
      <w:bookmarkEnd w:id="28"/>
      <w:r w:rsidRPr="00CA7C58">
        <w:t>2</w:t>
      </w:r>
      <w:r w:rsidRPr="00CA7C58">
        <w:rPr>
          <w:noProof/>
        </w:rPr>
        <w:t>.</w:t>
      </w:r>
      <w:r w:rsidRPr="00CA7C58">
        <w:t xml:space="preserve"> Key Secondary Endpoints Analysis</w:t>
      </w:r>
    </w:p>
    <w:p w14:paraId="15F4C94F" w14:textId="57BCDA07" w:rsidR="00CE66A0" w:rsidRPr="00CA7C58" w:rsidRDefault="009C0708" w:rsidP="006C4775">
      <w:pPr>
        <w:spacing w:before="120" w:after="120"/>
        <w:ind w:left="360" w:hanging="360"/>
      </w:pPr>
      <w:r w:rsidRPr="00CA7C58">
        <w:rPr>
          <w:rFonts w:ascii="Arial" w:hAnsi="Arial" w:cs="Arial"/>
          <w:noProof/>
          <w:sz w:val="20"/>
          <w:szCs w:val="16"/>
        </w:rPr>
        <w:drawing>
          <wp:inline distT="0" distB="0" distL="0" distR="0" wp14:anchorId="03052AAB" wp14:editId="393A94DD">
            <wp:extent cx="5943600" cy="2717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717165"/>
                    </a:xfrm>
                    <a:prstGeom prst="rect">
                      <a:avLst/>
                    </a:prstGeom>
                  </pic:spPr>
                </pic:pic>
              </a:graphicData>
            </a:graphic>
          </wp:inline>
        </w:drawing>
      </w:r>
    </w:p>
    <w:p w14:paraId="272558A0" w14:textId="77777777" w:rsidR="00CA7C58" w:rsidRPr="00CA7C58" w:rsidRDefault="00CA7C58" w:rsidP="00E54119">
      <w:pPr>
        <w:pStyle w:val="C-BodyText"/>
        <w:spacing w:before="0" w:after="0" w:line="240" w:lineRule="auto"/>
        <w:rPr>
          <w:szCs w:val="24"/>
        </w:rPr>
      </w:pPr>
    </w:p>
    <w:p w14:paraId="6881C784" w14:textId="5EC5AB25" w:rsidR="00C25C12" w:rsidRDefault="00C25C12" w:rsidP="0018364D">
      <w:pPr>
        <w:pStyle w:val="C-BodyText"/>
        <w:spacing w:before="0" w:after="0" w:line="240" w:lineRule="auto"/>
        <w:jc w:val="both"/>
        <w:rPr>
          <w:szCs w:val="24"/>
        </w:rPr>
      </w:pPr>
      <w:bookmarkStart w:id="29" w:name="_Hlk47600361"/>
      <w:r w:rsidRPr="00CA7C58">
        <w:rPr>
          <w:szCs w:val="24"/>
        </w:rPr>
        <w:t xml:space="preserve">In patients treated with </w:t>
      </w:r>
      <w:r w:rsidR="007F2819" w:rsidRPr="00CA7C58">
        <w:rPr>
          <w:szCs w:val="24"/>
        </w:rPr>
        <w:t>EMPAVELI</w:t>
      </w:r>
      <w:r w:rsidRPr="00CA7C58">
        <w:rPr>
          <w:szCs w:val="24"/>
        </w:rPr>
        <w:t>, primary and key secondary efficacy analyses showed no notable differences based on sex, race, or age.</w:t>
      </w:r>
      <w:bookmarkEnd w:id="29"/>
    </w:p>
    <w:p w14:paraId="60438D0C" w14:textId="77777777" w:rsidR="00CA7C58" w:rsidRPr="00CA7C58" w:rsidRDefault="00CA7C58" w:rsidP="0018364D">
      <w:pPr>
        <w:pStyle w:val="C-BodyText"/>
        <w:spacing w:before="0" w:after="0" w:line="240" w:lineRule="auto"/>
        <w:jc w:val="both"/>
        <w:rPr>
          <w:szCs w:val="24"/>
        </w:rPr>
      </w:pPr>
    </w:p>
    <w:p w14:paraId="28E89316" w14:textId="17430476" w:rsidR="00CE66A0" w:rsidRPr="00CA7C58" w:rsidRDefault="00C25C12" w:rsidP="0018364D">
      <w:pPr>
        <w:autoSpaceDE w:val="0"/>
        <w:autoSpaceDN w:val="0"/>
        <w:adjustRightInd w:val="0"/>
        <w:jc w:val="both"/>
        <w:rPr>
          <w:rFonts w:ascii="Times New Roman" w:hAnsi="Times New Roman" w:cs="Times New Roman"/>
        </w:rPr>
      </w:pPr>
      <w:r w:rsidRPr="00CA7C58">
        <w:rPr>
          <w:rFonts w:ascii="Times New Roman" w:hAnsi="Times New Roman" w:cs="Times New Roman"/>
        </w:rPr>
        <w:lastRenderedPageBreak/>
        <w:t xml:space="preserve">Normalization of ARC was achieved in 78% of patients in the group treated with </w:t>
      </w:r>
      <w:r w:rsidR="007F2819" w:rsidRPr="00CA7C58">
        <w:rPr>
          <w:rFonts w:ascii="Times New Roman" w:hAnsi="Times New Roman" w:cs="Times New Roman"/>
        </w:rPr>
        <w:t>EMPAVELI</w:t>
      </w:r>
      <w:r w:rsidRPr="00CA7C58">
        <w:rPr>
          <w:rFonts w:ascii="Times New Roman" w:hAnsi="Times New Roman" w:cs="Times New Roman"/>
        </w:rPr>
        <w:t xml:space="preserve"> </w:t>
      </w:r>
      <w:r w:rsidR="00094C60">
        <w:rPr>
          <w:rFonts w:ascii="Times New Roman" w:hAnsi="Times New Roman" w:cs="Times New Roman"/>
        </w:rPr>
        <w:t>and</w:t>
      </w:r>
      <w:r w:rsidRPr="00CA7C58">
        <w:rPr>
          <w:rFonts w:ascii="Times New Roman" w:hAnsi="Times New Roman" w:cs="Times New Roman"/>
        </w:rPr>
        <w:t xml:space="preserve"> </w:t>
      </w:r>
      <w:r w:rsidR="008D7C2F">
        <w:rPr>
          <w:rFonts w:ascii="Times New Roman" w:hAnsi="Times New Roman" w:cs="Times New Roman"/>
        </w:rPr>
        <w:t xml:space="preserve">in </w:t>
      </w:r>
      <w:r w:rsidRPr="00CA7C58">
        <w:rPr>
          <w:rFonts w:ascii="Times New Roman" w:hAnsi="Times New Roman" w:cs="Times New Roman"/>
        </w:rPr>
        <w:t xml:space="preserve">3% in the eculizumab group. LDH normalization was achieved in 71% of patients in the group treated with </w:t>
      </w:r>
      <w:r w:rsidR="007F2819" w:rsidRPr="00CA7C58">
        <w:rPr>
          <w:rFonts w:ascii="Times New Roman" w:hAnsi="Times New Roman" w:cs="Times New Roman"/>
        </w:rPr>
        <w:t>EMPAVELI</w:t>
      </w:r>
      <w:r w:rsidRPr="00CA7C58">
        <w:rPr>
          <w:rFonts w:ascii="Times New Roman" w:hAnsi="Times New Roman" w:cs="Times New Roman"/>
        </w:rPr>
        <w:t xml:space="preserve"> </w:t>
      </w:r>
      <w:r w:rsidR="00094C60">
        <w:rPr>
          <w:rFonts w:ascii="Times New Roman" w:hAnsi="Times New Roman" w:cs="Times New Roman"/>
        </w:rPr>
        <w:t>and</w:t>
      </w:r>
      <w:r w:rsidR="008D7C2F">
        <w:rPr>
          <w:rFonts w:ascii="Times New Roman" w:hAnsi="Times New Roman" w:cs="Times New Roman"/>
        </w:rPr>
        <w:t xml:space="preserve"> in</w:t>
      </w:r>
      <w:r w:rsidRPr="00CA7C58">
        <w:rPr>
          <w:rFonts w:ascii="Times New Roman" w:hAnsi="Times New Roman" w:cs="Times New Roman"/>
        </w:rPr>
        <w:t xml:space="preserve"> 15% in the eculizumab group.</w:t>
      </w:r>
    </w:p>
    <w:p w14:paraId="5CDD5056" w14:textId="600FB8BA" w:rsidR="00E75328" w:rsidRDefault="00E75328" w:rsidP="00C44434">
      <w:pPr>
        <w:pStyle w:val="C-Heading4"/>
        <w:numPr>
          <w:ilvl w:val="0"/>
          <w:numId w:val="0"/>
        </w:numPr>
        <w:spacing w:before="0"/>
        <w:ind w:left="720" w:hanging="720"/>
        <w:rPr>
          <w:szCs w:val="24"/>
        </w:rPr>
      </w:pPr>
      <w:r w:rsidRPr="00CA7C58">
        <w:rPr>
          <w:szCs w:val="24"/>
        </w:rPr>
        <w:t>5.2</w:t>
      </w:r>
      <w:r w:rsidR="00D95BDC" w:rsidRPr="00CA7C58">
        <w:rPr>
          <w:szCs w:val="24"/>
        </w:rPr>
        <w:tab/>
      </w:r>
      <w:bookmarkStart w:id="30" w:name="_Hlk52978160"/>
      <w:r w:rsidRPr="00CA7C58">
        <w:rPr>
          <w:szCs w:val="24"/>
        </w:rPr>
        <w:t>PHARMACOKINETIC PROPERTIES</w:t>
      </w:r>
      <w:bookmarkEnd w:id="30"/>
    </w:p>
    <w:p w14:paraId="562EB3A7" w14:textId="77777777" w:rsidR="00CA7C58" w:rsidRPr="00CA7C58" w:rsidRDefault="00CA7C58" w:rsidP="00CA7C58">
      <w:pPr>
        <w:pStyle w:val="C-BodyText"/>
        <w:spacing w:before="0" w:after="0" w:line="240" w:lineRule="auto"/>
      </w:pPr>
    </w:p>
    <w:p w14:paraId="452DDEBC" w14:textId="77777777" w:rsidR="0082627E" w:rsidRPr="00CA7C58" w:rsidRDefault="0082627E" w:rsidP="00E54119">
      <w:pPr>
        <w:pStyle w:val="C-Heading4"/>
        <w:numPr>
          <w:ilvl w:val="0"/>
          <w:numId w:val="0"/>
        </w:numPr>
        <w:spacing w:before="0"/>
        <w:ind w:left="1080" w:hanging="1080"/>
        <w:rPr>
          <w:szCs w:val="24"/>
        </w:rPr>
      </w:pPr>
      <w:r w:rsidRPr="00CA7C58">
        <w:rPr>
          <w:szCs w:val="24"/>
        </w:rPr>
        <w:t>Absorption</w:t>
      </w:r>
    </w:p>
    <w:p w14:paraId="18EE58AF" w14:textId="7A745261" w:rsidR="00715B56" w:rsidRDefault="007F2819" w:rsidP="0018364D">
      <w:pPr>
        <w:pStyle w:val="C-BodyText"/>
        <w:spacing w:before="0" w:after="0" w:line="240" w:lineRule="auto"/>
        <w:jc w:val="both"/>
        <w:rPr>
          <w:szCs w:val="24"/>
        </w:rPr>
      </w:pPr>
      <w:bookmarkStart w:id="31" w:name="_Hlk47017024"/>
      <w:r w:rsidRPr="00CA7C58">
        <w:rPr>
          <w:szCs w:val="24"/>
        </w:rPr>
        <w:t>EMPAVELI</w:t>
      </w:r>
      <w:r w:rsidR="00715B56" w:rsidRPr="00CA7C58">
        <w:rPr>
          <w:szCs w:val="24"/>
        </w:rPr>
        <w:t xml:space="preserve"> is administered subcutaneously and is gradually absorbed into the systemic circulation with a median </w:t>
      </w:r>
      <w:proofErr w:type="spellStart"/>
      <w:r w:rsidR="00715B56" w:rsidRPr="00CA7C58">
        <w:rPr>
          <w:szCs w:val="24"/>
        </w:rPr>
        <w:t>T</w:t>
      </w:r>
      <w:r w:rsidR="00715B56" w:rsidRPr="00CA7C58">
        <w:rPr>
          <w:szCs w:val="24"/>
          <w:vertAlign w:val="subscript"/>
        </w:rPr>
        <w:t>max</w:t>
      </w:r>
      <w:proofErr w:type="spellEnd"/>
      <w:r w:rsidR="00715B56" w:rsidRPr="00CA7C58">
        <w:rPr>
          <w:szCs w:val="24"/>
        </w:rPr>
        <w:t xml:space="preserve"> between 108 and 144 hours (4.5 to 6.0 days). Steady</w:t>
      </w:r>
      <w:r w:rsidR="0098150E" w:rsidRPr="00CA7C58">
        <w:rPr>
          <w:szCs w:val="24"/>
        </w:rPr>
        <w:noBreakHyphen/>
      </w:r>
      <w:r w:rsidR="00715B56" w:rsidRPr="00CA7C58">
        <w:rPr>
          <w:szCs w:val="24"/>
        </w:rPr>
        <w:t>state serum concentrations following twice weekly dosing at 1</w:t>
      </w:r>
      <w:r w:rsidR="008560BD" w:rsidRPr="00CA7C58">
        <w:rPr>
          <w:szCs w:val="24"/>
        </w:rPr>
        <w:t>,</w:t>
      </w:r>
      <w:r w:rsidR="00715B56" w:rsidRPr="00CA7C58">
        <w:rPr>
          <w:szCs w:val="24"/>
        </w:rPr>
        <w:t>080</w:t>
      </w:r>
      <w:r w:rsidR="0098150E" w:rsidRPr="00CA7C58">
        <w:rPr>
          <w:szCs w:val="24"/>
        </w:rPr>
        <w:t> </w:t>
      </w:r>
      <w:r w:rsidR="00715B56" w:rsidRPr="00CA7C58">
        <w:rPr>
          <w:szCs w:val="24"/>
        </w:rPr>
        <w:t>mg in PNH patients were achieved approximately 4 to 6</w:t>
      </w:r>
      <w:r w:rsidR="0098150E" w:rsidRPr="00CA7C58">
        <w:rPr>
          <w:szCs w:val="24"/>
        </w:rPr>
        <w:t> </w:t>
      </w:r>
      <w:r w:rsidR="00715B56" w:rsidRPr="00CA7C58">
        <w:rPr>
          <w:szCs w:val="24"/>
        </w:rPr>
        <w:t>weeks following the first dose and mean (%CV) steady</w:t>
      </w:r>
      <w:r w:rsidR="0098150E" w:rsidRPr="00CA7C58">
        <w:rPr>
          <w:szCs w:val="24"/>
        </w:rPr>
        <w:noBreakHyphen/>
      </w:r>
      <w:r w:rsidR="00715B56" w:rsidRPr="00CA7C58">
        <w:rPr>
          <w:szCs w:val="24"/>
        </w:rPr>
        <w:t xml:space="preserve">state serum concentrations ranged between 655 </w:t>
      </w:r>
      <w:r w:rsidR="00385BA7" w:rsidRPr="00CA7C58">
        <w:rPr>
          <w:szCs w:val="24"/>
        </w:rPr>
        <w:t xml:space="preserve">mcg/mL </w:t>
      </w:r>
      <w:r w:rsidR="00715B56" w:rsidRPr="00CA7C58">
        <w:rPr>
          <w:szCs w:val="24"/>
        </w:rPr>
        <w:t xml:space="preserve">(18.6%) to 706 </w:t>
      </w:r>
      <w:r w:rsidR="00197789" w:rsidRPr="00CA7C58">
        <w:rPr>
          <w:szCs w:val="24"/>
        </w:rPr>
        <w:t xml:space="preserve">mcg/mL </w:t>
      </w:r>
      <w:r w:rsidR="00715B56" w:rsidRPr="00CA7C58">
        <w:rPr>
          <w:szCs w:val="24"/>
        </w:rPr>
        <w:t>(15.1%) in patients treated for 16</w:t>
      </w:r>
      <w:r w:rsidR="0098150E" w:rsidRPr="00CA7C58">
        <w:rPr>
          <w:szCs w:val="24"/>
        </w:rPr>
        <w:t> </w:t>
      </w:r>
      <w:r w:rsidR="00715B56" w:rsidRPr="00CA7C58">
        <w:rPr>
          <w:szCs w:val="24"/>
        </w:rPr>
        <w:t>weeks.</w:t>
      </w:r>
    </w:p>
    <w:p w14:paraId="49C57DB6" w14:textId="77777777" w:rsidR="00CA7C58" w:rsidRPr="00CA7C58" w:rsidRDefault="00CA7C58" w:rsidP="0018364D">
      <w:pPr>
        <w:pStyle w:val="C-BodyText"/>
        <w:spacing w:before="0" w:after="0" w:line="240" w:lineRule="auto"/>
        <w:jc w:val="both"/>
        <w:rPr>
          <w:szCs w:val="24"/>
        </w:rPr>
      </w:pPr>
    </w:p>
    <w:bookmarkEnd w:id="31"/>
    <w:p w14:paraId="0BC69B5B" w14:textId="34027A5E" w:rsidR="0082627E" w:rsidRPr="00CA7C58" w:rsidRDefault="0082627E" w:rsidP="0018364D">
      <w:pPr>
        <w:pStyle w:val="C-Heading4"/>
        <w:numPr>
          <w:ilvl w:val="0"/>
          <w:numId w:val="0"/>
        </w:numPr>
        <w:spacing w:before="0"/>
        <w:ind w:left="1080" w:hanging="1080"/>
        <w:jc w:val="both"/>
        <w:rPr>
          <w:szCs w:val="24"/>
        </w:rPr>
      </w:pPr>
      <w:r w:rsidRPr="00CA7C58">
        <w:rPr>
          <w:szCs w:val="24"/>
        </w:rPr>
        <w:t>Distribution</w:t>
      </w:r>
    </w:p>
    <w:p w14:paraId="2BD2AAC6" w14:textId="5F670A76" w:rsidR="00C31815" w:rsidRDefault="00C31815" w:rsidP="0018364D">
      <w:pPr>
        <w:pStyle w:val="C-BodyText"/>
        <w:spacing w:before="0" w:after="0" w:line="240" w:lineRule="auto"/>
        <w:jc w:val="both"/>
        <w:rPr>
          <w:szCs w:val="24"/>
        </w:rPr>
      </w:pPr>
      <w:bookmarkStart w:id="32" w:name="_Hlk30603711"/>
      <w:r w:rsidRPr="00CA7C58">
        <w:rPr>
          <w:szCs w:val="24"/>
        </w:rPr>
        <w:t xml:space="preserve">The mean (%CV) of central volume of distribution of </w:t>
      </w:r>
      <w:proofErr w:type="spellStart"/>
      <w:r w:rsidRPr="00CA7C58">
        <w:rPr>
          <w:szCs w:val="24"/>
        </w:rPr>
        <w:t>pegcetacoplan</w:t>
      </w:r>
      <w:proofErr w:type="spellEnd"/>
      <w:r w:rsidRPr="00CA7C58">
        <w:rPr>
          <w:szCs w:val="24"/>
        </w:rPr>
        <w:t xml:space="preserve"> is approximately 3.9 L (35%)</w:t>
      </w:r>
      <w:r w:rsidR="0098150E" w:rsidRPr="00CA7C58">
        <w:rPr>
          <w:szCs w:val="24"/>
        </w:rPr>
        <w:t xml:space="preserve"> </w:t>
      </w:r>
      <w:r w:rsidRPr="00CA7C58">
        <w:rPr>
          <w:szCs w:val="24"/>
        </w:rPr>
        <w:t>in patients with PNH.</w:t>
      </w:r>
    </w:p>
    <w:p w14:paraId="0F09495B" w14:textId="77777777" w:rsidR="00CA7C58" w:rsidRPr="00CA7C58" w:rsidRDefault="00CA7C58" w:rsidP="0018364D">
      <w:pPr>
        <w:pStyle w:val="C-BodyText"/>
        <w:spacing w:before="0" w:after="0" w:line="240" w:lineRule="auto"/>
        <w:jc w:val="both"/>
        <w:rPr>
          <w:szCs w:val="24"/>
        </w:rPr>
      </w:pPr>
    </w:p>
    <w:bookmarkEnd w:id="32"/>
    <w:p w14:paraId="5D42A95B" w14:textId="5AD1E35F" w:rsidR="0082627E" w:rsidRPr="00CA7C58" w:rsidRDefault="0082627E" w:rsidP="0018364D">
      <w:pPr>
        <w:pStyle w:val="C-Heading4"/>
        <w:numPr>
          <w:ilvl w:val="0"/>
          <w:numId w:val="0"/>
        </w:numPr>
        <w:spacing w:before="0"/>
        <w:ind w:left="1080" w:hanging="1080"/>
        <w:jc w:val="both"/>
        <w:rPr>
          <w:szCs w:val="24"/>
        </w:rPr>
      </w:pPr>
      <w:r w:rsidRPr="00CA7C58">
        <w:rPr>
          <w:szCs w:val="24"/>
        </w:rPr>
        <w:t>Metabolism</w:t>
      </w:r>
      <w:r w:rsidR="00073A14" w:rsidRPr="00CA7C58">
        <w:rPr>
          <w:szCs w:val="24"/>
        </w:rPr>
        <w:t>/Excretion</w:t>
      </w:r>
    </w:p>
    <w:p w14:paraId="7598E2B3" w14:textId="589654B0" w:rsidR="00640693" w:rsidRPr="00CA7C58" w:rsidRDefault="00640693" w:rsidP="0018364D">
      <w:pPr>
        <w:pStyle w:val="C-BodyText"/>
        <w:spacing w:before="0" w:after="0" w:line="240" w:lineRule="auto"/>
        <w:jc w:val="both"/>
        <w:rPr>
          <w:szCs w:val="24"/>
        </w:rPr>
      </w:pPr>
      <w:bookmarkStart w:id="33" w:name="_Hlk30603732"/>
      <w:r w:rsidRPr="00CA7C58">
        <w:rPr>
          <w:szCs w:val="24"/>
        </w:rPr>
        <w:t xml:space="preserve">Based on its PEGylated peptide structure, the metabolism of </w:t>
      </w:r>
      <w:proofErr w:type="spellStart"/>
      <w:r w:rsidRPr="00CA7C58">
        <w:rPr>
          <w:szCs w:val="24"/>
        </w:rPr>
        <w:t>pegcetacoplan</w:t>
      </w:r>
      <w:proofErr w:type="spellEnd"/>
      <w:r w:rsidRPr="00CA7C58">
        <w:rPr>
          <w:szCs w:val="24"/>
        </w:rPr>
        <w:t xml:space="preserve"> is expected to occur via catabolic pathways and be degraded into small peptides and amino acids. Results of a radiolabeled study in cynomolgus monkeys suggest the primary route of elimination is via urinary excretion.</w:t>
      </w:r>
    </w:p>
    <w:p w14:paraId="2DC1250C" w14:textId="77777777" w:rsidR="00640693" w:rsidRPr="00CA7C58" w:rsidRDefault="00640693" w:rsidP="0018364D">
      <w:pPr>
        <w:pStyle w:val="C-BodyText"/>
        <w:spacing w:before="0" w:after="0" w:line="240" w:lineRule="auto"/>
        <w:jc w:val="both"/>
        <w:rPr>
          <w:szCs w:val="24"/>
        </w:rPr>
      </w:pPr>
    </w:p>
    <w:p w14:paraId="053DF22E" w14:textId="61980FE7" w:rsidR="00640693" w:rsidRPr="00CA7C58" w:rsidRDefault="00640693" w:rsidP="0018364D">
      <w:pPr>
        <w:pStyle w:val="C-BodyText"/>
        <w:spacing w:before="0" w:after="0" w:line="240" w:lineRule="auto"/>
        <w:jc w:val="both"/>
        <w:rPr>
          <w:szCs w:val="24"/>
        </w:rPr>
      </w:pPr>
      <w:r w:rsidRPr="00CA7C58">
        <w:rPr>
          <w:szCs w:val="24"/>
        </w:rPr>
        <w:t xml:space="preserve">Following multiple subcutaneous dosing of </w:t>
      </w:r>
      <w:proofErr w:type="spellStart"/>
      <w:r w:rsidRPr="00CA7C58">
        <w:rPr>
          <w:szCs w:val="24"/>
        </w:rPr>
        <w:t>pegcetacoplan</w:t>
      </w:r>
      <w:proofErr w:type="spellEnd"/>
      <w:r w:rsidRPr="00CA7C58">
        <w:rPr>
          <w:szCs w:val="24"/>
        </w:rPr>
        <w:t>, the estimated mean (CV%) of clearance (CL) is 0.015 L/hour (28%) and median effective half</w:t>
      </w:r>
      <w:r w:rsidRPr="00CA7C58">
        <w:rPr>
          <w:szCs w:val="24"/>
        </w:rPr>
        <w:noBreakHyphen/>
        <w:t>life of elimination (t</w:t>
      </w:r>
      <w:r w:rsidRPr="00CA7C58">
        <w:rPr>
          <w:szCs w:val="24"/>
          <w:vertAlign w:val="subscript"/>
        </w:rPr>
        <w:t>1/2</w:t>
      </w:r>
      <w:r w:rsidRPr="00CA7C58">
        <w:rPr>
          <w:szCs w:val="24"/>
        </w:rPr>
        <w:t>) is 8.0</w:t>
      </w:r>
      <w:r w:rsidR="0098150E" w:rsidRPr="00CA7C58">
        <w:rPr>
          <w:szCs w:val="24"/>
        </w:rPr>
        <w:t> </w:t>
      </w:r>
      <w:r w:rsidRPr="00CA7C58">
        <w:rPr>
          <w:szCs w:val="24"/>
        </w:rPr>
        <w:t>days in patients with PNH.</w:t>
      </w:r>
    </w:p>
    <w:p w14:paraId="34E434EC" w14:textId="38C82C14" w:rsidR="002B0725" w:rsidRPr="00CA7C58" w:rsidRDefault="002B0725" w:rsidP="0018364D">
      <w:pPr>
        <w:pStyle w:val="C-BodyText"/>
        <w:spacing w:before="0" w:after="0" w:line="240" w:lineRule="auto"/>
        <w:jc w:val="both"/>
        <w:rPr>
          <w:szCs w:val="24"/>
        </w:rPr>
      </w:pPr>
    </w:p>
    <w:p w14:paraId="781ECAA6" w14:textId="77777777" w:rsidR="00A20742" w:rsidRPr="00CA7C58" w:rsidRDefault="00A20742" w:rsidP="0018364D">
      <w:pPr>
        <w:pStyle w:val="C-BodyText"/>
        <w:spacing w:before="0" w:after="0" w:line="240" w:lineRule="auto"/>
        <w:jc w:val="both"/>
        <w:rPr>
          <w:b/>
          <w:bCs/>
          <w:szCs w:val="24"/>
        </w:rPr>
      </w:pPr>
      <w:bookmarkStart w:id="34" w:name="_Hlk52978298"/>
      <w:bookmarkStart w:id="35" w:name="_Hlk50492943"/>
      <w:r w:rsidRPr="00CA7C58">
        <w:rPr>
          <w:b/>
          <w:bCs/>
          <w:szCs w:val="24"/>
        </w:rPr>
        <w:t>Linearity/Non-linearity</w:t>
      </w:r>
    </w:p>
    <w:bookmarkEnd w:id="34"/>
    <w:p w14:paraId="359972D8" w14:textId="3135D573" w:rsidR="00A20742" w:rsidRPr="00CA7C58" w:rsidRDefault="00B84DC8" w:rsidP="0018364D">
      <w:pPr>
        <w:pStyle w:val="C-BodyText"/>
        <w:spacing w:before="0" w:after="0" w:line="240" w:lineRule="auto"/>
        <w:jc w:val="both"/>
        <w:rPr>
          <w:szCs w:val="24"/>
        </w:rPr>
      </w:pPr>
      <w:r w:rsidRPr="00CA7C58">
        <w:rPr>
          <w:szCs w:val="24"/>
        </w:rPr>
        <w:t xml:space="preserve">Exposure of </w:t>
      </w:r>
      <w:proofErr w:type="spellStart"/>
      <w:r w:rsidRPr="00CA7C58">
        <w:rPr>
          <w:szCs w:val="24"/>
        </w:rPr>
        <w:t>pegcetacoplan</w:t>
      </w:r>
      <w:proofErr w:type="spellEnd"/>
      <w:r w:rsidRPr="00CA7C58">
        <w:rPr>
          <w:szCs w:val="24"/>
        </w:rPr>
        <w:t xml:space="preserve"> increases in a dose</w:t>
      </w:r>
      <w:r w:rsidRPr="00CA7C58">
        <w:rPr>
          <w:szCs w:val="24"/>
        </w:rPr>
        <w:noBreakHyphen/>
        <w:t>proportional manner from 45 to 1440 mg.</w:t>
      </w:r>
    </w:p>
    <w:bookmarkEnd w:id="33"/>
    <w:bookmarkEnd w:id="35"/>
    <w:p w14:paraId="71734E54" w14:textId="77777777" w:rsidR="0082627E" w:rsidRPr="00CA7C58" w:rsidRDefault="0082627E" w:rsidP="0018364D">
      <w:pPr>
        <w:pStyle w:val="C-BodyText"/>
        <w:spacing w:before="0" w:after="0" w:line="240" w:lineRule="auto"/>
        <w:jc w:val="both"/>
      </w:pPr>
    </w:p>
    <w:p w14:paraId="63704316" w14:textId="77777777" w:rsidR="005F480D" w:rsidRPr="00CA7C58" w:rsidRDefault="005F480D" w:rsidP="0018364D">
      <w:pPr>
        <w:pStyle w:val="C-Heading4"/>
        <w:numPr>
          <w:ilvl w:val="0"/>
          <w:numId w:val="0"/>
        </w:numPr>
        <w:spacing w:before="0"/>
        <w:ind w:left="1080" w:hanging="1080"/>
        <w:jc w:val="both"/>
        <w:rPr>
          <w:b w:val="0"/>
          <w:bCs/>
        </w:rPr>
      </w:pPr>
      <w:bookmarkStart w:id="36" w:name="_Toc49162374"/>
      <w:r w:rsidRPr="00CA7C58">
        <w:rPr>
          <w:szCs w:val="24"/>
        </w:rPr>
        <w:t>Special Populations</w:t>
      </w:r>
      <w:bookmarkEnd w:id="36"/>
    </w:p>
    <w:p w14:paraId="64CA9721" w14:textId="4D63BB01" w:rsidR="005F480D" w:rsidRDefault="005F480D" w:rsidP="0018364D">
      <w:pPr>
        <w:pStyle w:val="C-BodyText"/>
        <w:spacing w:before="0" w:after="0" w:line="240" w:lineRule="auto"/>
        <w:jc w:val="both"/>
        <w:rPr>
          <w:szCs w:val="24"/>
        </w:rPr>
      </w:pPr>
      <w:bookmarkStart w:id="37" w:name="_Hlk47017121"/>
      <w:r w:rsidRPr="00CA7C58">
        <w:rPr>
          <w:szCs w:val="24"/>
        </w:rPr>
        <w:t xml:space="preserve">No impact on the pharmacokinetics of </w:t>
      </w:r>
      <w:proofErr w:type="spellStart"/>
      <w:r w:rsidRPr="00CA7C58">
        <w:rPr>
          <w:szCs w:val="24"/>
        </w:rPr>
        <w:t>pegcetacoplan</w:t>
      </w:r>
      <w:proofErr w:type="spellEnd"/>
      <w:r w:rsidRPr="00CA7C58">
        <w:rPr>
          <w:szCs w:val="24"/>
        </w:rPr>
        <w:t xml:space="preserve"> was identified with age, sex, race, and hepatic function based on the results of population PK analysis.</w:t>
      </w:r>
    </w:p>
    <w:p w14:paraId="0609F846" w14:textId="77777777" w:rsidR="00CA7C58" w:rsidRPr="00CA7C58" w:rsidRDefault="00CA7C58" w:rsidP="0018364D">
      <w:pPr>
        <w:pStyle w:val="C-BodyText"/>
        <w:spacing w:before="0" w:after="0" w:line="240" w:lineRule="auto"/>
        <w:jc w:val="both"/>
        <w:rPr>
          <w:szCs w:val="24"/>
        </w:rPr>
      </w:pPr>
    </w:p>
    <w:p w14:paraId="416A9EA6" w14:textId="77777777" w:rsidR="00717632" w:rsidRPr="00CA7C58" w:rsidRDefault="00717632" w:rsidP="0018364D">
      <w:pPr>
        <w:pStyle w:val="C-BodyText"/>
        <w:spacing w:before="0" w:after="0" w:line="240" w:lineRule="auto"/>
        <w:jc w:val="both"/>
        <w:rPr>
          <w:i/>
          <w:iCs/>
          <w:szCs w:val="24"/>
          <w:u w:val="single"/>
        </w:rPr>
      </w:pPr>
      <w:bookmarkStart w:id="38" w:name="_Toc49162376"/>
      <w:bookmarkEnd w:id="37"/>
      <w:r w:rsidRPr="00CA7C58">
        <w:rPr>
          <w:i/>
          <w:iCs/>
          <w:szCs w:val="24"/>
          <w:u w:val="single"/>
        </w:rPr>
        <w:t>Elderly Population</w:t>
      </w:r>
    </w:p>
    <w:p w14:paraId="51A3C00D" w14:textId="41E637D3" w:rsidR="00717632" w:rsidRDefault="00717632" w:rsidP="0018364D">
      <w:pPr>
        <w:pStyle w:val="C-BodyText"/>
        <w:spacing w:before="0" w:after="0" w:line="240" w:lineRule="auto"/>
        <w:jc w:val="both"/>
        <w:rPr>
          <w:szCs w:val="24"/>
        </w:rPr>
      </w:pPr>
      <w:r w:rsidRPr="00CA7C58">
        <w:rPr>
          <w:szCs w:val="24"/>
        </w:rPr>
        <w:t xml:space="preserve">Although there </w:t>
      </w:r>
      <w:proofErr w:type="gramStart"/>
      <w:r w:rsidRPr="00CA7C58">
        <w:rPr>
          <w:szCs w:val="24"/>
        </w:rPr>
        <w:t>were</w:t>
      </w:r>
      <w:proofErr w:type="gramEnd"/>
      <w:r w:rsidRPr="00CA7C58">
        <w:rPr>
          <w:szCs w:val="24"/>
        </w:rPr>
        <w:t xml:space="preserve"> no apparent age</w:t>
      </w:r>
      <w:r w:rsidRPr="00CA7C58">
        <w:rPr>
          <w:szCs w:val="24"/>
        </w:rPr>
        <w:noBreakHyphen/>
        <w:t>related differences observed in these studies, the number of patients aged 65 years and over was not sufficient to determine whether they respond differently from younger patients</w:t>
      </w:r>
      <w:r w:rsidR="00C270B5" w:rsidRPr="00CA7C58">
        <w:rPr>
          <w:szCs w:val="24"/>
        </w:rPr>
        <w:t>.</w:t>
      </w:r>
    </w:p>
    <w:p w14:paraId="37F87704" w14:textId="77777777" w:rsidR="00CA7C58" w:rsidRPr="00CA7C58" w:rsidRDefault="00CA7C58" w:rsidP="0018364D">
      <w:pPr>
        <w:pStyle w:val="C-BodyText"/>
        <w:spacing w:before="0" w:after="0" w:line="240" w:lineRule="auto"/>
        <w:jc w:val="both"/>
        <w:rPr>
          <w:szCs w:val="24"/>
        </w:rPr>
      </w:pPr>
    </w:p>
    <w:p w14:paraId="64D90AEE" w14:textId="0EAE5947" w:rsidR="005F480D" w:rsidRPr="00CA7C58" w:rsidRDefault="005F480D" w:rsidP="0018364D">
      <w:pPr>
        <w:pStyle w:val="C-BodyText"/>
        <w:spacing w:before="0" w:after="0" w:line="240" w:lineRule="auto"/>
        <w:jc w:val="both"/>
        <w:rPr>
          <w:i/>
          <w:iCs/>
          <w:szCs w:val="24"/>
          <w:u w:val="single"/>
        </w:rPr>
      </w:pPr>
      <w:r w:rsidRPr="00CA7C58">
        <w:rPr>
          <w:i/>
          <w:iCs/>
          <w:szCs w:val="24"/>
          <w:u w:val="single"/>
        </w:rPr>
        <w:t>Renal Insufficiency</w:t>
      </w:r>
      <w:bookmarkEnd w:id="38"/>
    </w:p>
    <w:p w14:paraId="7585362F" w14:textId="16CF9C2E" w:rsidR="005F480D" w:rsidRPr="00CA7C58" w:rsidRDefault="005F480D" w:rsidP="0018364D">
      <w:pPr>
        <w:pStyle w:val="C-BodyText"/>
        <w:spacing w:before="0" w:after="0" w:line="240" w:lineRule="auto"/>
        <w:jc w:val="both"/>
        <w:rPr>
          <w:szCs w:val="24"/>
        </w:rPr>
      </w:pPr>
      <w:bookmarkStart w:id="39" w:name="_Hlk47017169"/>
      <w:r w:rsidRPr="00CA7C58">
        <w:rPr>
          <w:szCs w:val="24"/>
        </w:rPr>
        <w:t>In a study of 8 patients with severe renal impairment, defined as creatine clearance (</w:t>
      </w:r>
      <w:proofErr w:type="spellStart"/>
      <w:r w:rsidRPr="00CA7C58">
        <w:rPr>
          <w:szCs w:val="24"/>
        </w:rPr>
        <w:t>CrCl</w:t>
      </w:r>
      <w:proofErr w:type="spellEnd"/>
      <w:r w:rsidRPr="00CA7C58">
        <w:rPr>
          <w:szCs w:val="24"/>
        </w:rPr>
        <w:t xml:space="preserve">) less than 30 mL/min (with 4 patients with values less than 20 mL/min), renal impairment had no effect on the pharmacokinetics of </w:t>
      </w:r>
      <w:proofErr w:type="spellStart"/>
      <w:r w:rsidRPr="00CA7C58">
        <w:rPr>
          <w:szCs w:val="24"/>
        </w:rPr>
        <w:t>pegcetacoplan</w:t>
      </w:r>
      <w:proofErr w:type="spellEnd"/>
      <w:r w:rsidRPr="00CA7C58">
        <w:rPr>
          <w:szCs w:val="24"/>
        </w:rPr>
        <w:t xml:space="preserve"> (see </w:t>
      </w:r>
      <w:r w:rsidRPr="00CA7C58">
        <w:rPr>
          <w:i/>
          <w:iCs/>
          <w:szCs w:val="24"/>
        </w:rPr>
        <w:t>section 4.2</w:t>
      </w:r>
      <w:r w:rsidR="000E36C7" w:rsidRPr="00CA7C58">
        <w:rPr>
          <w:i/>
          <w:iCs/>
          <w:szCs w:val="24"/>
        </w:rPr>
        <w:t xml:space="preserve"> Dose and Method of Administration</w:t>
      </w:r>
      <w:r w:rsidRPr="00CA7C58">
        <w:rPr>
          <w:szCs w:val="24"/>
        </w:rPr>
        <w:t>).</w:t>
      </w:r>
    </w:p>
    <w:bookmarkEnd w:id="39"/>
    <w:p w14:paraId="0AE91529" w14:textId="4F9A45D1" w:rsidR="00F04CB5" w:rsidRDefault="00F04CB5" w:rsidP="00E54119">
      <w:pPr>
        <w:ind w:left="360" w:hanging="360"/>
        <w:rPr>
          <w:rFonts w:ascii="Times New Roman" w:hAnsi="Times New Roman" w:cs="Times New Roman"/>
        </w:rPr>
      </w:pPr>
    </w:p>
    <w:p w14:paraId="6C753B57" w14:textId="12D57773" w:rsidR="0018364D" w:rsidRDefault="0018364D" w:rsidP="00E54119">
      <w:pPr>
        <w:ind w:left="360" w:hanging="360"/>
        <w:rPr>
          <w:rFonts w:ascii="Times New Roman" w:hAnsi="Times New Roman" w:cs="Times New Roman"/>
        </w:rPr>
      </w:pPr>
    </w:p>
    <w:p w14:paraId="22543498" w14:textId="13727F71" w:rsidR="0018364D" w:rsidRDefault="0018364D" w:rsidP="00E54119">
      <w:pPr>
        <w:ind w:left="360" w:hanging="360"/>
        <w:rPr>
          <w:rFonts w:ascii="Times New Roman" w:hAnsi="Times New Roman" w:cs="Times New Roman"/>
        </w:rPr>
      </w:pPr>
    </w:p>
    <w:p w14:paraId="2A8FCBD2" w14:textId="698B12D9" w:rsidR="0018364D" w:rsidRDefault="0018364D" w:rsidP="00E54119">
      <w:pPr>
        <w:ind w:left="360" w:hanging="360"/>
        <w:rPr>
          <w:rFonts w:ascii="Times New Roman" w:hAnsi="Times New Roman" w:cs="Times New Roman"/>
        </w:rPr>
      </w:pPr>
    </w:p>
    <w:p w14:paraId="175F0DB0" w14:textId="77777777" w:rsidR="0018364D" w:rsidRPr="00CA7C58" w:rsidRDefault="0018364D" w:rsidP="00E54119">
      <w:pPr>
        <w:ind w:left="360" w:hanging="360"/>
        <w:rPr>
          <w:rFonts w:ascii="Times New Roman" w:hAnsi="Times New Roman" w:cs="Times New Roman"/>
        </w:rPr>
      </w:pPr>
    </w:p>
    <w:p w14:paraId="49F4F7E3" w14:textId="1B7FC32F" w:rsidR="00F93A8B" w:rsidRDefault="00F93A8B" w:rsidP="009B69FF">
      <w:pPr>
        <w:pStyle w:val="C-Heading4"/>
        <w:numPr>
          <w:ilvl w:val="0"/>
          <w:numId w:val="0"/>
        </w:numPr>
        <w:spacing w:before="120"/>
        <w:ind w:left="720" w:hanging="720"/>
        <w:rPr>
          <w:szCs w:val="24"/>
        </w:rPr>
      </w:pPr>
      <w:r w:rsidRPr="00CA7C58">
        <w:rPr>
          <w:szCs w:val="24"/>
        </w:rPr>
        <w:t>5.3</w:t>
      </w:r>
      <w:r w:rsidR="00D95BDC" w:rsidRPr="00CA7C58">
        <w:rPr>
          <w:szCs w:val="24"/>
        </w:rPr>
        <w:tab/>
      </w:r>
      <w:r w:rsidRPr="00CA7C58">
        <w:rPr>
          <w:szCs w:val="24"/>
        </w:rPr>
        <w:t>PRECLINICAL SAFETY DATA</w:t>
      </w:r>
    </w:p>
    <w:p w14:paraId="0F6FAEBB" w14:textId="77777777" w:rsidR="00D80BC8" w:rsidRPr="00D80BC8" w:rsidRDefault="00D80BC8" w:rsidP="00E54119">
      <w:pPr>
        <w:pStyle w:val="C-BodyText"/>
        <w:spacing w:before="0" w:after="0" w:line="240" w:lineRule="auto"/>
      </w:pPr>
    </w:p>
    <w:p w14:paraId="23E3E119" w14:textId="1D522BA7" w:rsidR="00F93A8B" w:rsidRPr="00CA7C58" w:rsidRDefault="00F93A8B" w:rsidP="00E54119">
      <w:pPr>
        <w:pStyle w:val="C-Heading4"/>
        <w:numPr>
          <w:ilvl w:val="0"/>
          <w:numId w:val="0"/>
        </w:numPr>
        <w:spacing w:before="0"/>
        <w:ind w:left="1080" w:hanging="1080"/>
        <w:rPr>
          <w:b w:val="0"/>
          <w:bCs/>
          <w:szCs w:val="24"/>
        </w:rPr>
      </w:pPr>
      <w:r w:rsidRPr="00CA7C58">
        <w:rPr>
          <w:szCs w:val="24"/>
        </w:rPr>
        <w:t>Genotoxicity</w:t>
      </w:r>
    </w:p>
    <w:p w14:paraId="0C527106" w14:textId="768BD125" w:rsidR="00F04CB5" w:rsidRDefault="00C85550" w:rsidP="0018364D">
      <w:pPr>
        <w:jc w:val="both"/>
        <w:rPr>
          <w:rFonts w:ascii="Times New Roman" w:hAnsi="Times New Roman" w:cs="Times New Roman"/>
        </w:rPr>
      </w:pPr>
      <w:proofErr w:type="spellStart"/>
      <w:r w:rsidRPr="00CA7C58">
        <w:rPr>
          <w:rFonts w:ascii="Times New Roman" w:hAnsi="Times New Roman" w:cs="Times New Roman"/>
        </w:rPr>
        <w:t>Pegcetacoplan</w:t>
      </w:r>
      <w:proofErr w:type="spellEnd"/>
      <w:r w:rsidRPr="00CA7C58">
        <w:rPr>
          <w:rFonts w:ascii="Times New Roman" w:hAnsi="Times New Roman" w:cs="Times New Roman"/>
        </w:rPr>
        <w:t xml:space="preserve"> was not mutagenic when tested in </w:t>
      </w:r>
      <w:r w:rsidRPr="00CA7C58">
        <w:rPr>
          <w:rFonts w:ascii="Times New Roman" w:hAnsi="Times New Roman" w:cs="Times New Roman"/>
          <w:i/>
          <w:iCs/>
        </w:rPr>
        <w:t>in vitro</w:t>
      </w:r>
      <w:r w:rsidRPr="00CA7C58">
        <w:rPr>
          <w:rFonts w:ascii="Times New Roman" w:hAnsi="Times New Roman" w:cs="Times New Roman"/>
        </w:rPr>
        <w:t xml:space="preserve"> bacterial reverse mutation (Ames) assays and was not </w:t>
      </w:r>
      <w:r w:rsidR="003A6193">
        <w:rPr>
          <w:rFonts w:ascii="Times New Roman" w:hAnsi="Times New Roman" w:cs="Times New Roman"/>
        </w:rPr>
        <w:t>clastogenic</w:t>
      </w:r>
      <w:r w:rsidR="003A6193" w:rsidRPr="00CA7C58">
        <w:rPr>
          <w:rFonts w:ascii="Times New Roman" w:hAnsi="Times New Roman" w:cs="Times New Roman"/>
        </w:rPr>
        <w:t xml:space="preserve"> </w:t>
      </w:r>
      <w:r w:rsidRPr="00CA7C58">
        <w:rPr>
          <w:rFonts w:ascii="Times New Roman" w:hAnsi="Times New Roman" w:cs="Times New Roman"/>
        </w:rPr>
        <w:t xml:space="preserve">in an </w:t>
      </w:r>
      <w:r w:rsidRPr="00CA7C58">
        <w:rPr>
          <w:rFonts w:ascii="Times New Roman" w:hAnsi="Times New Roman" w:cs="Times New Roman"/>
          <w:i/>
          <w:iCs/>
        </w:rPr>
        <w:t>in vitro</w:t>
      </w:r>
      <w:r w:rsidRPr="00CA7C58">
        <w:rPr>
          <w:rFonts w:ascii="Times New Roman" w:hAnsi="Times New Roman" w:cs="Times New Roman"/>
        </w:rPr>
        <w:t xml:space="preserve"> assay in human TK6 cells or in an</w:t>
      </w:r>
      <w:r w:rsidRPr="00CA7C58">
        <w:rPr>
          <w:rFonts w:ascii="Times New Roman" w:hAnsi="Times New Roman" w:cs="Times New Roman"/>
          <w:i/>
          <w:iCs/>
        </w:rPr>
        <w:t xml:space="preserve"> in vivo</w:t>
      </w:r>
      <w:r w:rsidRPr="00CA7C58">
        <w:rPr>
          <w:rFonts w:ascii="Times New Roman" w:hAnsi="Times New Roman" w:cs="Times New Roman"/>
        </w:rPr>
        <w:t xml:space="preserve"> micronucleus assay in mice.</w:t>
      </w:r>
    </w:p>
    <w:p w14:paraId="27FF25E1" w14:textId="77777777" w:rsidR="00D80BC8" w:rsidRPr="00CA7C58" w:rsidRDefault="00D80BC8" w:rsidP="0018364D">
      <w:pPr>
        <w:jc w:val="both"/>
        <w:rPr>
          <w:rFonts w:ascii="Times New Roman" w:hAnsi="Times New Roman" w:cs="Times New Roman"/>
        </w:rPr>
      </w:pPr>
    </w:p>
    <w:p w14:paraId="27F43ABF" w14:textId="51C6B929" w:rsidR="00F93A8B" w:rsidRPr="00CA7C58" w:rsidRDefault="00F93A8B" w:rsidP="0018364D">
      <w:pPr>
        <w:pStyle w:val="C-Heading4"/>
        <w:numPr>
          <w:ilvl w:val="0"/>
          <w:numId w:val="0"/>
        </w:numPr>
        <w:spacing w:before="0"/>
        <w:ind w:left="1080" w:hanging="1080"/>
        <w:jc w:val="both"/>
        <w:rPr>
          <w:szCs w:val="24"/>
        </w:rPr>
      </w:pPr>
      <w:r w:rsidRPr="00CA7C58">
        <w:rPr>
          <w:szCs w:val="24"/>
        </w:rPr>
        <w:t>Carcinogenicity</w:t>
      </w:r>
    </w:p>
    <w:p w14:paraId="5537F1BA" w14:textId="79E1E1AB" w:rsidR="00EB4C2A" w:rsidRDefault="00EB4C2A" w:rsidP="0018364D">
      <w:pPr>
        <w:jc w:val="both"/>
        <w:rPr>
          <w:rFonts w:ascii="Times New Roman" w:hAnsi="Times New Roman" w:cs="Times New Roman"/>
        </w:rPr>
      </w:pPr>
      <w:r w:rsidRPr="00CA7C58">
        <w:rPr>
          <w:rFonts w:ascii="Times New Roman" w:hAnsi="Times New Roman" w:cs="Times New Roman"/>
        </w:rPr>
        <w:t>Long</w:t>
      </w:r>
      <w:r w:rsidRPr="00CA7C58">
        <w:rPr>
          <w:rFonts w:ascii="Times New Roman" w:hAnsi="Times New Roman" w:cs="Times New Roman"/>
        </w:rPr>
        <w:noBreakHyphen/>
        <w:t xml:space="preserve">term animal carcinogenicity studies of </w:t>
      </w:r>
      <w:proofErr w:type="spellStart"/>
      <w:r w:rsidRPr="00CA7C58">
        <w:rPr>
          <w:rFonts w:ascii="Times New Roman" w:hAnsi="Times New Roman" w:cs="Times New Roman"/>
        </w:rPr>
        <w:t>pegcetacoplan</w:t>
      </w:r>
      <w:proofErr w:type="spellEnd"/>
      <w:r w:rsidRPr="00CA7C58">
        <w:rPr>
          <w:rFonts w:ascii="Times New Roman" w:hAnsi="Times New Roman" w:cs="Times New Roman"/>
        </w:rPr>
        <w:t xml:space="preserve"> have not been conducted.</w:t>
      </w:r>
    </w:p>
    <w:p w14:paraId="62288AEA" w14:textId="77777777" w:rsidR="00115E9F" w:rsidRPr="00CA7C58" w:rsidRDefault="00115E9F" w:rsidP="0018364D">
      <w:pPr>
        <w:jc w:val="both"/>
        <w:rPr>
          <w:rFonts w:ascii="Times New Roman" w:hAnsi="Times New Roman" w:cs="Times New Roman"/>
        </w:rPr>
      </w:pPr>
      <w:bookmarkStart w:id="40" w:name="_Hlk47533157"/>
    </w:p>
    <w:bookmarkEnd w:id="40"/>
    <w:p w14:paraId="1E119805" w14:textId="7E99EBD7" w:rsidR="0042356C" w:rsidRPr="00CA7C58" w:rsidRDefault="0042356C" w:rsidP="0018364D">
      <w:pPr>
        <w:pStyle w:val="C-Heading4"/>
        <w:numPr>
          <w:ilvl w:val="0"/>
          <w:numId w:val="0"/>
        </w:numPr>
        <w:spacing w:before="0"/>
        <w:ind w:left="720" w:hanging="720"/>
        <w:jc w:val="both"/>
        <w:rPr>
          <w:sz w:val="28"/>
          <w:szCs w:val="28"/>
        </w:rPr>
      </w:pPr>
      <w:r w:rsidRPr="00CA7C58">
        <w:rPr>
          <w:sz w:val="28"/>
          <w:szCs w:val="28"/>
        </w:rPr>
        <w:t>6</w:t>
      </w:r>
      <w:r w:rsidR="00651E48" w:rsidRPr="00CA7C58">
        <w:rPr>
          <w:sz w:val="28"/>
          <w:szCs w:val="28"/>
        </w:rPr>
        <w:tab/>
      </w:r>
      <w:r w:rsidRPr="00CA7C58">
        <w:rPr>
          <w:sz w:val="28"/>
          <w:szCs w:val="28"/>
        </w:rPr>
        <w:t>PHARMACEUTICAL PARTICULARS</w:t>
      </w:r>
    </w:p>
    <w:p w14:paraId="71F99009" w14:textId="77777777" w:rsidR="00C44434" w:rsidRPr="00CA7C58" w:rsidRDefault="00C44434" w:rsidP="0018364D">
      <w:pPr>
        <w:pStyle w:val="C-BodyText"/>
        <w:spacing w:before="0" w:after="0" w:line="240" w:lineRule="auto"/>
        <w:jc w:val="both"/>
      </w:pPr>
    </w:p>
    <w:p w14:paraId="2401A9A5" w14:textId="2922FE6D" w:rsidR="0042356C" w:rsidRDefault="0042356C" w:rsidP="0018364D">
      <w:pPr>
        <w:pStyle w:val="C-Heading4"/>
        <w:numPr>
          <w:ilvl w:val="0"/>
          <w:numId w:val="0"/>
        </w:numPr>
        <w:spacing w:before="0"/>
        <w:ind w:left="720" w:hanging="720"/>
        <w:jc w:val="both"/>
        <w:rPr>
          <w:szCs w:val="24"/>
        </w:rPr>
      </w:pPr>
      <w:r w:rsidRPr="00CA7C58">
        <w:rPr>
          <w:szCs w:val="24"/>
        </w:rPr>
        <w:t>6.1</w:t>
      </w:r>
      <w:r w:rsidR="00D95BDC" w:rsidRPr="00CA7C58">
        <w:rPr>
          <w:szCs w:val="24"/>
        </w:rPr>
        <w:tab/>
      </w:r>
      <w:r w:rsidRPr="00CA7C58">
        <w:rPr>
          <w:szCs w:val="24"/>
        </w:rPr>
        <w:t>LIST OF EXCIPIENTS</w:t>
      </w:r>
    </w:p>
    <w:p w14:paraId="3E8754B2" w14:textId="77777777" w:rsidR="00D80BC8" w:rsidRPr="00D80BC8" w:rsidRDefault="00D80BC8" w:rsidP="0018364D">
      <w:pPr>
        <w:pStyle w:val="C-BodyText"/>
        <w:spacing w:before="0" w:after="0" w:line="240" w:lineRule="auto"/>
        <w:jc w:val="both"/>
      </w:pPr>
    </w:p>
    <w:p w14:paraId="3A0A2342" w14:textId="7F7E05A3" w:rsidR="00473691" w:rsidRPr="00CA7C58" w:rsidRDefault="00473691" w:rsidP="0018364D">
      <w:pPr>
        <w:pStyle w:val="C-BodyText"/>
        <w:spacing w:before="0" w:after="0" w:line="240" w:lineRule="auto"/>
        <w:jc w:val="both"/>
        <w:rPr>
          <w:szCs w:val="24"/>
        </w:rPr>
      </w:pPr>
      <w:r w:rsidRPr="00CA7C58">
        <w:rPr>
          <w:szCs w:val="24"/>
        </w:rPr>
        <w:t>Sorbitol</w:t>
      </w:r>
    </w:p>
    <w:p w14:paraId="31F75AF7" w14:textId="77777777" w:rsidR="00473691" w:rsidRPr="00CA7C58" w:rsidRDefault="00473691" w:rsidP="0018364D">
      <w:pPr>
        <w:pStyle w:val="C-BodyText"/>
        <w:spacing w:before="0" w:after="0" w:line="240" w:lineRule="auto"/>
        <w:jc w:val="both"/>
        <w:rPr>
          <w:szCs w:val="24"/>
        </w:rPr>
      </w:pPr>
      <w:r w:rsidRPr="00CA7C58">
        <w:rPr>
          <w:szCs w:val="24"/>
        </w:rPr>
        <w:t>Glacial acetic acid</w:t>
      </w:r>
    </w:p>
    <w:p w14:paraId="4ECF9995" w14:textId="26456082" w:rsidR="00C40FFA" w:rsidRDefault="00473691" w:rsidP="0018364D">
      <w:pPr>
        <w:pStyle w:val="C-BodyText"/>
        <w:spacing w:before="0" w:after="0" w:line="240" w:lineRule="auto"/>
        <w:jc w:val="both"/>
        <w:rPr>
          <w:szCs w:val="24"/>
        </w:rPr>
      </w:pPr>
      <w:r w:rsidRPr="00CA7C58">
        <w:rPr>
          <w:szCs w:val="24"/>
        </w:rPr>
        <w:t>Sodium acetate trihydrate</w:t>
      </w:r>
    </w:p>
    <w:p w14:paraId="574426EC" w14:textId="3FA3B326" w:rsidR="005F235D" w:rsidRPr="006B06E0" w:rsidRDefault="005F235D" w:rsidP="0018364D">
      <w:pPr>
        <w:pStyle w:val="C-BodyText"/>
        <w:spacing w:before="0" w:after="0" w:line="240" w:lineRule="auto"/>
        <w:jc w:val="both"/>
        <w:rPr>
          <w:szCs w:val="24"/>
        </w:rPr>
      </w:pPr>
      <w:r w:rsidRPr="006B06E0">
        <w:rPr>
          <w:szCs w:val="24"/>
        </w:rPr>
        <w:t>Sodium Hydroxide</w:t>
      </w:r>
    </w:p>
    <w:p w14:paraId="306448FD" w14:textId="1DB2096A" w:rsidR="00A45085" w:rsidRPr="00CA7C58" w:rsidRDefault="00473691" w:rsidP="0018364D">
      <w:pPr>
        <w:autoSpaceDE w:val="0"/>
        <w:autoSpaceDN w:val="0"/>
        <w:adjustRightInd w:val="0"/>
        <w:jc w:val="both"/>
        <w:rPr>
          <w:rFonts w:ascii="Times New Roman" w:hAnsi="Times New Roman" w:cs="Times New Roman"/>
        </w:rPr>
      </w:pPr>
      <w:r w:rsidRPr="00CA7C58">
        <w:rPr>
          <w:rFonts w:ascii="Times New Roman" w:hAnsi="Times New Roman" w:cs="Times New Roman"/>
        </w:rPr>
        <w:t>Water for injection</w:t>
      </w:r>
      <w:r w:rsidR="007C786D" w:rsidRPr="00CA7C58">
        <w:rPr>
          <w:rFonts w:ascii="Times New Roman" w:hAnsi="Times New Roman" w:cs="Times New Roman"/>
        </w:rPr>
        <w:t>s</w:t>
      </w:r>
    </w:p>
    <w:p w14:paraId="3663BA95" w14:textId="77777777" w:rsidR="00234DDC" w:rsidRPr="00CA7C58" w:rsidRDefault="00234DDC" w:rsidP="0018364D">
      <w:pPr>
        <w:autoSpaceDE w:val="0"/>
        <w:autoSpaceDN w:val="0"/>
        <w:adjustRightInd w:val="0"/>
        <w:jc w:val="both"/>
        <w:rPr>
          <w:rFonts w:ascii="Times New Roman" w:hAnsi="Times New Roman" w:cs="Times New Roman"/>
        </w:rPr>
      </w:pPr>
    </w:p>
    <w:p w14:paraId="1A294764" w14:textId="2D6528B2" w:rsidR="0042356C" w:rsidRPr="00CA7C58" w:rsidRDefault="0042356C" w:rsidP="0018364D">
      <w:pPr>
        <w:pStyle w:val="C-Heading4"/>
        <w:numPr>
          <w:ilvl w:val="0"/>
          <w:numId w:val="0"/>
        </w:numPr>
        <w:spacing w:before="0"/>
        <w:ind w:left="720" w:hanging="720"/>
        <w:jc w:val="both"/>
        <w:rPr>
          <w:szCs w:val="24"/>
        </w:rPr>
      </w:pPr>
      <w:r w:rsidRPr="00CA7C58">
        <w:rPr>
          <w:szCs w:val="24"/>
        </w:rPr>
        <w:t>6.2</w:t>
      </w:r>
      <w:r w:rsidR="00D95BDC" w:rsidRPr="00CA7C58">
        <w:rPr>
          <w:szCs w:val="24"/>
        </w:rPr>
        <w:tab/>
      </w:r>
      <w:r w:rsidRPr="00CA7C58">
        <w:rPr>
          <w:szCs w:val="24"/>
        </w:rPr>
        <w:t>INCOMPATIBILITIES</w:t>
      </w:r>
    </w:p>
    <w:p w14:paraId="37574225" w14:textId="77777777" w:rsidR="00D80BC8" w:rsidRDefault="00D80BC8" w:rsidP="0018364D">
      <w:pPr>
        <w:pStyle w:val="C-BodyText"/>
        <w:spacing w:before="0" w:after="0" w:line="240" w:lineRule="auto"/>
        <w:jc w:val="both"/>
        <w:rPr>
          <w:noProof/>
        </w:rPr>
      </w:pPr>
    </w:p>
    <w:p w14:paraId="08358FF8" w14:textId="6927CFAE" w:rsidR="004D4413" w:rsidRPr="00CA7C58" w:rsidRDefault="004D4413" w:rsidP="0018364D">
      <w:pPr>
        <w:pStyle w:val="C-BodyText"/>
        <w:spacing w:before="0" w:after="0" w:line="240" w:lineRule="auto"/>
        <w:jc w:val="both"/>
        <w:rPr>
          <w:noProof/>
        </w:rPr>
      </w:pPr>
      <w:r w:rsidRPr="00CA7C58">
        <w:rPr>
          <w:noProof/>
        </w:rPr>
        <w:t>In the absence of compatibility studies, this medicinal product must not be mixed with other medicinal products.</w:t>
      </w:r>
    </w:p>
    <w:p w14:paraId="13A2FEA7" w14:textId="0CDB48A7" w:rsidR="00926083" w:rsidRPr="00CA7C58" w:rsidRDefault="00926083" w:rsidP="0018364D">
      <w:pPr>
        <w:ind w:left="360" w:hanging="360"/>
        <w:jc w:val="both"/>
        <w:rPr>
          <w:rFonts w:ascii="Times New Roman" w:hAnsi="Times New Roman" w:cs="Times New Roman"/>
        </w:rPr>
      </w:pPr>
    </w:p>
    <w:p w14:paraId="74E46297" w14:textId="1CD6F1A8" w:rsidR="00CF5785" w:rsidRPr="00CA7C58" w:rsidRDefault="00CF5785" w:rsidP="0018364D">
      <w:pPr>
        <w:pStyle w:val="C-Heading4"/>
        <w:numPr>
          <w:ilvl w:val="0"/>
          <w:numId w:val="0"/>
        </w:numPr>
        <w:spacing w:before="0"/>
        <w:ind w:left="720" w:hanging="720"/>
        <w:jc w:val="both"/>
        <w:rPr>
          <w:b w:val="0"/>
          <w:bCs/>
          <w:szCs w:val="24"/>
        </w:rPr>
      </w:pPr>
      <w:r w:rsidRPr="00CA7C58">
        <w:rPr>
          <w:szCs w:val="24"/>
        </w:rPr>
        <w:t>6.3</w:t>
      </w:r>
      <w:r w:rsidR="00D95BDC" w:rsidRPr="00CA7C58">
        <w:rPr>
          <w:szCs w:val="24"/>
        </w:rPr>
        <w:tab/>
      </w:r>
      <w:r w:rsidRPr="00CA7C58">
        <w:rPr>
          <w:szCs w:val="24"/>
        </w:rPr>
        <w:t>SHELF LIFE</w:t>
      </w:r>
    </w:p>
    <w:p w14:paraId="45BF8455" w14:textId="77777777" w:rsidR="00D80BC8" w:rsidRDefault="00D80BC8" w:rsidP="0018364D">
      <w:pPr>
        <w:autoSpaceDE w:val="0"/>
        <w:autoSpaceDN w:val="0"/>
        <w:adjustRightInd w:val="0"/>
        <w:jc w:val="both"/>
        <w:rPr>
          <w:rFonts w:ascii="Times New Roman" w:hAnsi="Times New Roman" w:cs="Times New Roman"/>
        </w:rPr>
      </w:pPr>
    </w:p>
    <w:p w14:paraId="13A2107F" w14:textId="2991498E" w:rsidR="006E57C0" w:rsidRPr="00CA7C58" w:rsidRDefault="006E57C0" w:rsidP="0018364D">
      <w:pPr>
        <w:autoSpaceDE w:val="0"/>
        <w:autoSpaceDN w:val="0"/>
        <w:adjustRightInd w:val="0"/>
        <w:jc w:val="both"/>
        <w:rPr>
          <w:rFonts w:ascii="Times New Roman" w:hAnsi="Times New Roman" w:cs="Times New Roman"/>
        </w:rPr>
      </w:pPr>
      <w:r w:rsidRPr="00CA7C58">
        <w:rPr>
          <w:rFonts w:ascii="Times New Roman" w:hAnsi="Times New Roman" w:cs="Times New Roman"/>
        </w:rPr>
        <w:t>In Australia, information on the shelf life can be found on the public summary of the Australian Register of Therapeutic Goods (ARTG). The expiry date can be found on the packaging.</w:t>
      </w:r>
    </w:p>
    <w:p w14:paraId="4B472E30" w14:textId="77777777" w:rsidR="00C05A91" w:rsidRPr="00CA7C58" w:rsidRDefault="00C05A91" w:rsidP="0018364D">
      <w:pPr>
        <w:ind w:left="360" w:hanging="360"/>
        <w:jc w:val="both"/>
        <w:rPr>
          <w:rFonts w:ascii="Times New Roman" w:hAnsi="Times New Roman" w:cs="Times New Roman"/>
        </w:rPr>
      </w:pPr>
    </w:p>
    <w:p w14:paraId="1651B60E" w14:textId="7D018E52" w:rsidR="004F19AB" w:rsidRPr="00CA7C58" w:rsidRDefault="00CF5785" w:rsidP="0018364D">
      <w:pPr>
        <w:pStyle w:val="C-Heading4"/>
        <w:numPr>
          <w:ilvl w:val="0"/>
          <w:numId w:val="0"/>
        </w:numPr>
        <w:spacing w:before="0"/>
        <w:ind w:left="720" w:hanging="720"/>
        <w:jc w:val="both"/>
        <w:rPr>
          <w:szCs w:val="24"/>
        </w:rPr>
      </w:pPr>
      <w:r w:rsidRPr="00CA7C58">
        <w:rPr>
          <w:szCs w:val="24"/>
        </w:rPr>
        <w:t>6.4</w:t>
      </w:r>
      <w:r w:rsidR="00D95BDC" w:rsidRPr="00CA7C58">
        <w:rPr>
          <w:szCs w:val="24"/>
        </w:rPr>
        <w:tab/>
      </w:r>
      <w:r w:rsidRPr="00CA7C58">
        <w:rPr>
          <w:szCs w:val="24"/>
        </w:rPr>
        <w:t>SPECIAL PRECAUTIONS FOR STORAGE</w:t>
      </w:r>
    </w:p>
    <w:p w14:paraId="64597D34" w14:textId="77777777" w:rsidR="00D80BC8" w:rsidRDefault="00D80BC8" w:rsidP="0018364D">
      <w:pPr>
        <w:jc w:val="both"/>
        <w:rPr>
          <w:rFonts w:ascii="Times New Roman" w:hAnsi="Times New Roman" w:cs="Times New Roman"/>
          <w:noProof/>
        </w:rPr>
      </w:pPr>
    </w:p>
    <w:p w14:paraId="4B1595EF" w14:textId="5F44901C" w:rsidR="003F2DDF" w:rsidRPr="00CA7C58" w:rsidRDefault="003F2DDF" w:rsidP="0018364D">
      <w:pPr>
        <w:jc w:val="both"/>
        <w:rPr>
          <w:rFonts w:ascii="Times New Roman" w:hAnsi="Times New Roman" w:cs="Times New Roman"/>
          <w:noProof/>
        </w:rPr>
      </w:pPr>
      <w:r w:rsidRPr="00CA7C58">
        <w:rPr>
          <w:rFonts w:ascii="Times New Roman" w:hAnsi="Times New Roman" w:cs="Times New Roman"/>
          <w:noProof/>
        </w:rPr>
        <w:t>Store a</w:t>
      </w:r>
      <w:r w:rsidR="00584436" w:rsidRPr="00CA7C58">
        <w:rPr>
          <w:rFonts w:ascii="Times New Roman" w:hAnsi="Times New Roman" w:cs="Times New Roman"/>
          <w:noProof/>
        </w:rPr>
        <w:t xml:space="preserve">t </w:t>
      </w:r>
      <w:r w:rsidRPr="00CA7C58">
        <w:rPr>
          <w:rFonts w:ascii="Times New Roman" w:hAnsi="Times New Roman" w:cs="Times New Roman"/>
          <w:noProof/>
        </w:rPr>
        <w:t>2°C</w:t>
      </w:r>
      <w:r w:rsidR="0098150E" w:rsidRPr="00CA7C58">
        <w:rPr>
          <w:rFonts w:ascii="Times New Roman" w:hAnsi="Times New Roman" w:cs="Times New Roman"/>
          <w:noProof/>
        </w:rPr>
        <w:t> </w:t>
      </w:r>
      <w:r w:rsidRPr="00CA7C58">
        <w:rPr>
          <w:rFonts w:ascii="Times New Roman" w:hAnsi="Times New Roman" w:cs="Times New Roman"/>
          <w:noProof/>
        </w:rPr>
        <w:t>–</w:t>
      </w:r>
      <w:r w:rsidR="0098150E" w:rsidRPr="00CA7C58">
        <w:rPr>
          <w:rFonts w:ascii="Times New Roman" w:hAnsi="Times New Roman" w:cs="Times New Roman"/>
          <w:noProof/>
        </w:rPr>
        <w:t> </w:t>
      </w:r>
      <w:r w:rsidRPr="00CA7C58">
        <w:rPr>
          <w:rFonts w:ascii="Times New Roman" w:hAnsi="Times New Roman" w:cs="Times New Roman"/>
          <w:noProof/>
        </w:rPr>
        <w:t>8°C</w:t>
      </w:r>
      <w:r w:rsidR="000B511C" w:rsidRPr="00CA7C58">
        <w:rPr>
          <w:rFonts w:ascii="Times New Roman" w:hAnsi="Times New Roman" w:cs="Times New Roman"/>
          <w:noProof/>
        </w:rPr>
        <w:t xml:space="preserve"> in a r</w:t>
      </w:r>
      <w:r w:rsidR="00584436" w:rsidRPr="00CA7C58">
        <w:rPr>
          <w:rFonts w:ascii="Times New Roman" w:hAnsi="Times New Roman" w:cs="Times New Roman"/>
          <w:noProof/>
        </w:rPr>
        <w:t>efrigerat</w:t>
      </w:r>
      <w:r w:rsidR="005A7921" w:rsidRPr="00CA7C58">
        <w:rPr>
          <w:rFonts w:ascii="Times New Roman" w:hAnsi="Times New Roman" w:cs="Times New Roman"/>
          <w:noProof/>
        </w:rPr>
        <w:t>o</w:t>
      </w:r>
      <w:r w:rsidR="000B511C" w:rsidRPr="00CA7C58">
        <w:rPr>
          <w:rFonts w:ascii="Times New Roman" w:hAnsi="Times New Roman" w:cs="Times New Roman"/>
          <w:noProof/>
        </w:rPr>
        <w:t>r</w:t>
      </w:r>
      <w:r w:rsidR="00584436" w:rsidRPr="00CA7C58">
        <w:rPr>
          <w:rFonts w:ascii="Times New Roman" w:hAnsi="Times New Roman" w:cs="Times New Roman"/>
          <w:noProof/>
        </w:rPr>
        <w:t>.</w:t>
      </w:r>
      <w:r w:rsidR="00EB28E6" w:rsidRPr="00CA7C58">
        <w:rPr>
          <w:rFonts w:ascii="Times New Roman" w:hAnsi="Times New Roman" w:cs="Times New Roman"/>
          <w:noProof/>
        </w:rPr>
        <w:t xml:space="preserve"> Do not freeze.</w:t>
      </w:r>
    </w:p>
    <w:p w14:paraId="1625BF74" w14:textId="58157385" w:rsidR="003F2DDF" w:rsidRPr="00CA7C58" w:rsidRDefault="003F2DDF" w:rsidP="0018364D">
      <w:pPr>
        <w:jc w:val="both"/>
        <w:rPr>
          <w:rFonts w:ascii="Times New Roman" w:hAnsi="Times New Roman" w:cs="Times New Roman"/>
          <w:noProof/>
        </w:rPr>
      </w:pPr>
      <w:r w:rsidRPr="00CA7C58">
        <w:rPr>
          <w:rFonts w:ascii="Times New Roman" w:hAnsi="Times New Roman" w:cs="Times New Roman"/>
          <w:noProof/>
        </w:rPr>
        <w:t xml:space="preserve">Keep </w:t>
      </w:r>
      <w:r w:rsidR="007F2819" w:rsidRPr="00CA7C58">
        <w:rPr>
          <w:rFonts w:ascii="Times New Roman" w:hAnsi="Times New Roman" w:cs="Times New Roman"/>
          <w:noProof/>
        </w:rPr>
        <w:t>EMPAVELI</w:t>
      </w:r>
      <w:r w:rsidR="00470F21" w:rsidRPr="00CA7C58">
        <w:rPr>
          <w:rFonts w:ascii="Times New Roman" w:hAnsi="Times New Roman" w:cs="Times New Roman"/>
          <w:noProof/>
        </w:rPr>
        <w:t xml:space="preserve"> </w:t>
      </w:r>
      <w:r w:rsidRPr="00CA7C58">
        <w:rPr>
          <w:rFonts w:ascii="Times New Roman" w:hAnsi="Times New Roman" w:cs="Times New Roman"/>
          <w:noProof/>
        </w:rPr>
        <w:t>in its original package to protect from light.</w:t>
      </w:r>
    </w:p>
    <w:p w14:paraId="5CE344DC" w14:textId="77777777" w:rsidR="00CF5785" w:rsidRPr="00CA7C58" w:rsidRDefault="00CF5785" w:rsidP="0018364D">
      <w:pPr>
        <w:autoSpaceDE w:val="0"/>
        <w:autoSpaceDN w:val="0"/>
        <w:adjustRightInd w:val="0"/>
        <w:jc w:val="both"/>
        <w:rPr>
          <w:rFonts w:ascii="Times New Roman" w:hAnsi="Times New Roman" w:cs="Times New Roman"/>
        </w:rPr>
      </w:pPr>
    </w:p>
    <w:p w14:paraId="1D9E5E1E" w14:textId="6B1DE0BF" w:rsidR="00CF5785" w:rsidRDefault="00CF5785" w:rsidP="0018364D">
      <w:pPr>
        <w:pStyle w:val="C-Heading4"/>
        <w:numPr>
          <w:ilvl w:val="0"/>
          <w:numId w:val="0"/>
        </w:numPr>
        <w:spacing w:before="0"/>
        <w:ind w:left="720" w:hanging="720"/>
        <w:jc w:val="both"/>
        <w:rPr>
          <w:szCs w:val="24"/>
        </w:rPr>
      </w:pPr>
      <w:r w:rsidRPr="00CA7C58">
        <w:rPr>
          <w:szCs w:val="24"/>
        </w:rPr>
        <w:t>6.5</w:t>
      </w:r>
      <w:r w:rsidR="00D95BDC" w:rsidRPr="00CA7C58">
        <w:rPr>
          <w:szCs w:val="24"/>
        </w:rPr>
        <w:tab/>
      </w:r>
      <w:bookmarkStart w:id="41" w:name="_Hlk53044811"/>
      <w:r w:rsidRPr="00CA7C58">
        <w:rPr>
          <w:szCs w:val="24"/>
        </w:rPr>
        <w:t>NATURE AND CONTENTS OF CONTAINER</w:t>
      </w:r>
      <w:bookmarkEnd w:id="41"/>
    </w:p>
    <w:p w14:paraId="7443E6DC" w14:textId="77777777" w:rsidR="00D80BC8" w:rsidRPr="00D80BC8" w:rsidRDefault="00D80BC8" w:rsidP="0018364D">
      <w:pPr>
        <w:pStyle w:val="C-BodyText"/>
        <w:spacing w:before="0" w:after="0" w:line="240" w:lineRule="auto"/>
        <w:jc w:val="both"/>
      </w:pPr>
    </w:p>
    <w:p w14:paraId="7EC73FAA" w14:textId="705D854B" w:rsidR="00D642E6" w:rsidRDefault="003733A6" w:rsidP="0018364D">
      <w:pPr>
        <w:jc w:val="both"/>
        <w:rPr>
          <w:rFonts w:ascii="Times New Roman" w:hAnsi="Times New Roman" w:cs="Times New Roman"/>
          <w:noProof/>
        </w:rPr>
      </w:pPr>
      <w:r w:rsidRPr="00D94C9C">
        <w:rPr>
          <w:rFonts w:ascii="Times New Roman" w:hAnsi="Times New Roman" w:cs="Times New Roman"/>
          <w:noProof/>
        </w:rPr>
        <w:t>S</w:t>
      </w:r>
      <w:r w:rsidR="00364E83" w:rsidRPr="00CA7C58">
        <w:rPr>
          <w:rFonts w:ascii="Times New Roman" w:hAnsi="Times New Roman" w:cs="Times New Roman"/>
          <w:noProof/>
        </w:rPr>
        <w:t>terile solution</w:t>
      </w:r>
      <w:r w:rsidR="00E46D70">
        <w:rPr>
          <w:rFonts w:ascii="Times New Roman" w:hAnsi="Times New Roman" w:cs="Times New Roman"/>
          <w:noProof/>
        </w:rPr>
        <w:t xml:space="preserve"> present</w:t>
      </w:r>
      <w:r w:rsidR="00364E83" w:rsidRPr="00CA7C58">
        <w:rPr>
          <w:rFonts w:ascii="Times New Roman" w:hAnsi="Times New Roman" w:cs="Times New Roman"/>
          <w:noProof/>
        </w:rPr>
        <w:t xml:space="preserve"> in a vial (Type</w:t>
      </w:r>
      <w:r w:rsidR="0098150E" w:rsidRPr="00CA7C58">
        <w:rPr>
          <w:rFonts w:ascii="Times New Roman" w:hAnsi="Times New Roman" w:cs="Times New Roman"/>
          <w:noProof/>
        </w:rPr>
        <w:t> </w:t>
      </w:r>
      <w:r w:rsidR="00364E83" w:rsidRPr="00CA7C58">
        <w:rPr>
          <w:rFonts w:ascii="Times New Roman" w:hAnsi="Times New Roman" w:cs="Times New Roman"/>
          <w:noProof/>
        </w:rPr>
        <w:t>I glass) with a stopper (cholorobutyl), and a seal (aluminium) with a flip</w:t>
      </w:r>
      <w:r w:rsidR="00CB3D1B">
        <w:rPr>
          <w:rFonts w:ascii="Times New Roman" w:hAnsi="Times New Roman" w:cs="Times New Roman"/>
          <w:noProof/>
        </w:rPr>
        <w:noBreakHyphen/>
      </w:r>
      <w:r w:rsidR="00364E83" w:rsidRPr="00CA7C58">
        <w:rPr>
          <w:rFonts w:ascii="Times New Roman" w:hAnsi="Times New Roman" w:cs="Times New Roman"/>
          <w:noProof/>
        </w:rPr>
        <w:t>off cap (polypropylene).</w:t>
      </w:r>
    </w:p>
    <w:p w14:paraId="513AD087" w14:textId="77777777" w:rsidR="00D642E6" w:rsidRDefault="00D642E6" w:rsidP="0018364D">
      <w:pPr>
        <w:jc w:val="both"/>
        <w:rPr>
          <w:rFonts w:ascii="Times New Roman" w:hAnsi="Times New Roman" w:cs="Times New Roman"/>
          <w:noProof/>
        </w:rPr>
      </w:pPr>
    </w:p>
    <w:p w14:paraId="19CE9803" w14:textId="3B233950" w:rsidR="00364E83" w:rsidRPr="00CA7C58" w:rsidRDefault="00D642E6" w:rsidP="0018364D">
      <w:pPr>
        <w:jc w:val="both"/>
        <w:rPr>
          <w:rFonts w:ascii="Times New Roman" w:hAnsi="Times New Roman" w:cs="Times New Roman"/>
          <w:noProof/>
        </w:rPr>
      </w:pPr>
      <w:r>
        <w:rPr>
          <w:rFonts w:ascii="Times New Roman" w:hAnsi="Times New Roman" w:cs="Times New Roman"/>
          <w:noProof/>
        </w:rPr>
        <w:lastRenderedPageBreak/>
        <w:t>Each 20</w:t>
      </w:r>
      <w:r w:rsidR="00CB3D1B">
        <w:rPr>
          <w:rFonts w:ascii="Times New Roman" w:hAnsi="Times New Roman" w:cs="Times New Roman"/>
          <w:noProof/>
        </w:rPr>
        <w:t> </w:t>
      </w:r>
      <w:r>
        <w:rPr>
          <w:rFonts w:ascii="Times New Roman" w:hAnsi="Times New Roman" w:cs="Times New Roman"/>
          <w:noProof/>
        </w:rPr>
        <w:t>mL vial contains 1.3</w:t>
      </w:r>
      <w:r w:rsidR="00A52B2B">
        <w:rPr>
          <w:rFonts w:ascii="Times New Roman" w:hAnsi="Times New Roman" w:cs="Times New Roman"/>
          <w:noProof/>
        </w:rPr>
        <w:t> </w:t>
      </w:r>
      <w:r>
        <w:rPr>
          <w:rFonts w:ascii="Times New Roman" w:hAnsi="Times New Roman" w:cs="Times New Roman"/>
          <w:noProof/>
        </w:rPr>
        <w:t>mL overfill.</w:t>
      </w:r>
    </w:p>
    <w:p w14:paraId="25AA6E87" w14:textId="5B826A31" w:rsidR="00364E83" w:rsidRPr="00CA7C58" w:rsidRDefault="00364E83" w:rsidP="0018364D">
      <w:pPr>
        <w:jc w:val="both"/>
        <w:rPr>
          <w:rFonts w:ascii="Times New Roman" w:hAnsi="Times New Roman" w:cs="Times New Roman"/>
          <w:noProof/>
        </w:rPr>
      </w:pPr>
    </w:p>
    <w:p w14:paraId="286417A0" w14:textId="1F8D9CA1" w:rsidR="00364E83" w:rsidRDefault="00364E83" w:rsidP="0018364D">
      <w:pPr>
        <w:jc w:val="both"/>
        <w:rPr>
          <w:rFonts w:ascii="Times New Roman" w:hAnsi="Times New Roman" w:cs="Times New Roman"/>
          <w:noProof/>
        </w:rPr>
      </w:pPr>
      <w:r w:rsidRPr="00CA7C58">
        <w:rPr>
          <w:rFonts w:ascii="Times New Roman" w:hAnsi="Times New Roman" w:cs="Times New Roman"/>
          <w:noProof/>
        </w:rPr>
        <w:t xml:space="preserve">Pack sizes of </w:t>
      </w:r>
      <w:r w:rsidR="0020600C" w:rsidRPr="00CA7C58">
        <w:rPr>
          <w:rFonts w:ascii="Times New Roman" w:hAnsi="Times New Roman" w:cs="Times New Roman"/>
          <w:noProof/>
        </w:rPr>
        <w:t>1</w:t>
      </w:r>
      <w:r w:rsidRPr="00CA7C58">
        <w:rPr>
          <w:rFonts w:ascii="Times New Roman" w:hAnsi="Times New Roman" w:cs="Times New Roman"/>
          <w:noProof/>
        </w:rPr>
        <w:t xml:space="preserve"> or 8</w:t>
      </w:r>
      <w:r w:rsidR="0098150E" w:rsidRPr="00CA7C58">
        <w:rPr>
          <w:rFonts w:ascii="Times New Roman" w:hAnsi="Times New Roman" w:cs="Times New Roman"/>
          <w:noProof/>
        </w:rPr>
        <w:t> </w:t>
      </w:r>
      <w:r w:rsidRPr="00CA7C58">
        <w:rPr>
          <w:rFonts w:ascii="Times New Roman" w:hAnsi="Times New Roman" w:cs="Times New Roman"/>
          <w:noProof/>
        </w:rPr>
        <w:t>vials.</w:t>
      </w:r>
      <w:r w:rsidR="00F941FE" w:rsidRPr="00CA7C58">
        <w:rPr>
          <w:rFonts w:ascii="Times New Roman" w:hAnsi="Times New Roman" w:cs="Times New Roman"/>
          <w:noProof/>
        </w:rPr>
        <w:t xml:space="preserve"> </w:t>
      </w:r>
      <w:r w:rsidRPr="00CA7C58">
        <w:rPr>
          <w:rFonts w:ascii="Times New Roman" w:hAnsi="Times New Roman" w:cs="Times New Roman"/>
          <w:noProof/>
        </w:rPr>
        <w:t>Not all pack sizes may be marketed.</w:t>
      </w:r>
    </w:p>
    <w:p w14:paraId="16BE8E47" w14:textId="2764FFB4" w:rsidR="000A0A31" w:rsidRDefault="000A0A31" w:rsidP="0018364D">
      <w:pPr>
        <w:jc w:val="both"/>
        <w:rPr>
          <w:rFonts w:ascii="Times New Roman" w:hAnsi="Times New Roman" w:cs="Times New Roman"/>
          <w:noProof/>
        </w:rPr>
      </w:pPr>
    </w:p>
    <w:p w14:paraId="68B261EC" w14:textId="77777777" w:rsidR="000A0A31" w:rsidRPr="00CA7C58" w:rsidRDefault="000A0A31" w:rsidP="0018364D">
      <w:pPr>
        <w:jc w:val="both"/>
        <w:rPr>
          <w:rFonts w:ascii="Times New Roman" w:hAnsi="Times New Roman" w:cs="Times New Roman"/>
          <w:noProof/>
        </w:rPr>
      </w:pPr>
    </w:p>
    <w:p w14:paraId="23EEF0F5" w14:textId="77777777" w:rsidR="00D95BDC" w:rsidRPr="00CA7C58" w:rsidRDefault="00D95BDC" w:rsidP="0018364D">
      <w:pPr>
        <w:autoSpaceDE w:val="0"/>
        <w:autoSpaceDN w:val="0"/>
        <w:adjustRightInd w:val="0"/>
        <w:jc w:val="both"/>
        <w:rPr>
          <w:rFonts w:ascii="Times New Roman" w:hAnsi="Times New Roman" w:cs="Times New Roman"/>
        </w:rPr>
      </w:pPr>
    </w:p>
    <w:p w14:paraId="78F3DC00" w14:textId="6BFC8047" w:rsidR="00FD1987" w:rsidRDefault="00FD1987" w:rsidP="00D80BC8">
      <w:pPr>
        <w:pStyle w:val="C-Heading4"/>
        <w:numPr>
          <w:ilvl w:val="0"/>
          <w:numId w:val="0"/>
        </w:numPr>
        <w:spacing w:before="0"/>
        <w:ind w:left="720" w:hanging="720"/>
        <w:rPr>
          <w:szCs w:val="24"/>
        </w:rPr>
      </w:pPr>
      <w:r w:rsidRPr="00CA7C58">
        <w:rPr>
          <w:szCs w:val="24"/>
        </w:rPr>
        <w:t>6.6</w:t>
      </w:r>
      <w:r w:rsidR="00D95BDC" w:rsidRPr="00CA7C58">
        <w:rPr>
          <w:szCs w:val="24"/>
        </w:rPr>
        <w:tab/>
      </w:r>
      <w:bookmarkStart w:id="42" w:name="_Hlk52977666"/>
      <w:r w:rsidRPr="00CA7C58">
        <w:rPr>
          <w:szCs w:val="24"/>
        </w:rPr>
        <w:t>SPECIAL PRECAUTIONS FOR DISPOSAL</w:t>
      </w:r>
      <w:bookmarkEnd w:id="42"/>
    </w:p>
    <w:p w14:paraId="50D21575" w14:textId="77777777" w:rsidR="00D80BC8" w:rsidRPr="00D80BC8" w:rsidRDefault="00D80BC8" w:rsidP="00D80BC8">
      <w:pPr>
        <w:pStyle w:val="C-BodyText"/>
        <w:spacing w:before="0" w:after="0" w:line="240" w:lineRule="auto"/>
      </w:pPr>
    </w:p>
    <w:p w14:paraId="33C412C4" w14:textId="452440AB" w:rsidR="00FD1987" w:rsidRPr="00CA7C58" w:rsidRDefault="00B35B6C" w:rsidP="000A0A31">
      <w:pPr>
        <w:autoSpaceDE w:val="0"/>
        <w:autoSpaceDN w:val="0"/>
        <w:adjustRightInd w:val="0"/>
        <w:jc w:val="both"/>
        <w:rPr>
          <w:rFonts w:ascii="Times New Roman" w:hAnsi="Times New Roman" w:cs="Times New Roman"/>
        </w:rPr>
      </w:pPr>
      <w:bookmarkStart w:id="43" w:name="_Hlk52977737"/>
      <w:r w:rsidRPr="00CA7C58">
        <w:rPr>
          <w:rFonts w:ascii="Times New Roman" w:hAnsi="Times New Roman" w:cs="Times New Roman"/>
        </w:rPr>
        <w:t>In Australia, any unused medicine or waste material should be disposed of in accordance with local requirements.</w:t>
      </w:r>
    </w:p>
    <w:bookmarkEnd w:id="43"/>
    <w:p w14:paraId="4ED1C8A9" w14:textId="610BD84E" w:rsidR="00327D45" w:rsidRPr="00CA7C58" w:rsidRDefault="00327D45" w:rsidP="000A0A31">
      <w:pPr>
        <w:autoSpaceDE w:val="0"/>
        <w:autoSpaceDN w:val="0"/>
        <w:adjustRightInd w:val="0"/>
        <w:jc w:val="both"/>
        <w:rPr>
          <w:rFonts w:ascii="Times New Roman" w:hAnsi="Times New Roman" w:cs="Times New Roman"/>
        </w:rPr>
      </w:pPr>
    </w:p>
    <w:p w14:paraId="291124B8" w14:textId="268E1879" w:rsidR="00327D45" w:rsidRDefault="00327D45" w:rsidP="000A0A31">
      <w:pPr>
        <w:pStyle w:val="C-Heading4"/>
        <w:numPr>
          <w:ilvl w:val="0"/>
          <w:numId w:val="0"/>
        </w:numPr>
        <w:spacing w:before="0"/>
        <w:ind w:left="720" w:hanging="720"/>
        <w:jc w:val="both"/>
        <w:rPr>
          <w:szCs w:val="24"/>
        </w:rPr>
      </w:pPr>
      <w:bookmarkStart w:id="44" w:name="_Hlk50537324"/>
      <w:r w:rsidRPr="00CA7C58">
        <w:rPr>
          <w:szCs w:val="24"/>
        </w:rPr>
        <w:t>6.7</w:t>
      </w:r>
      <w:r w:rsidR="00D95BDC" w:rsidRPr="00CA7C58">
        <w:rPr>
          <w:szCs w:val="24"/>
        </w:rPr>
        <w:tab/>
      </w:r>
      <w:bookmarkStart w:id="45" w:name="_Hlk52977580"/>
      <w:r w:rsidRPr="00CA7C58">
        <w:rPr>
          <w:szCs w:val="24"/>
        </w:rPr>
        <w:t>PHYSICOCHEMICAL PROPERTIES</w:t>
      </w:r>
      <w:bookmarkEnd w:id="44"/>
      <w:bookmarkEnd w:id="45"/>
    </w:p>
    <w:p w14:paraId="344DB42C" w14:textId="77777777" w:rsidR="00D80BC8" w:rsidRPr="00D80BC8" w:rsidRDefault="00D80BC8" w:rsidP="000A0A31">
      <w:pPr>
        <w:pStyle w:val="C-BodyText"/>
        <w:spacing w:before="0" w:after="0" w:line="240" w:lineRule="auto"/>
        <w:jc w:val="both"/>
      </w:pPr>
    </w:p>
    <w:p w14:paraId="7201AA87" w14:textId="0EBD1EFD" w:rsidR="004D2F9D" w:rsidRPr="00CA7C58" w:rsidRDefault="004D2F9D" w:rsidP="000A0A31">
      <w:pPr>
        <w:autoSpaceDE w:val="0"/>
        <w:autoSpaceDN w:val="0"/>
        <w:adjustRightInd w:val="0"/>
        <w:jc w:val="both"/>
        <w:rPr>
          <w:rFonts w:ascii="Times New Roman" w:hAnsi="Times New Roman" w:cs="Times New Roman"/>
        </w:rPr>
      </w:pPr>
      <w:proofErr w:type="spellStart"/>
      <w:r w:rsidRPr="00CA7C58">
        <w:rPr>
          <w:rFonts w:ascii="Times New Roman" w:hAnsi="Times New Roman" w:cs="Times New Roman"/>
        </w:rPr>
        <w:t>Pegcetacoplan</w:t>
      </w:r>
      <w:proofErr w:type="spellEnd"/>
      <w:r w:rsidRPr="00CA7C58">
        <w:rPr>
          <w:rFonts w:ascii="Times New Roman" w:hAnsi="Times New Roman" w:cs="Times New Roman"/>
        </w:rPr>
        <w:t xml:space="preserve">, the active ingredient in </w:t>
      </w:r>
      <w:r w:rsidR="007F2819" w:rsidRPr="00CA7C58">
        <w:rPr>
          <w:rFonts w:ascii="Times New Roman" w:hAnsi="Times New Roman" w:cs="Times New Roman"/>
        </w:rPr>
        <w:t>EMPAVELI</w:t>
      </w:r>
      <w:r w:rsidRPr="00CA7C58">
        <w:rPr>
          <w:rFonts w:ascii="Times New Roman" w:hAnsi="Times New Roman" w:cs="Times New Roman"/>
        </w:rPr>
        <w:t xml:space="preserve"> </w:t>
      </w:r>
      <w:r w:rsidR="001648EE" w:rsidRPr="00CA7C58">
        <w:rPr>
          <w:rFonts w:ascii="Times New Roman" w:hAnsi="Times New Roman" w:cs="Times New Roman"/>
        </w:rPr>
        <w:t xml:space="preserve">solution for subcutaneous infusion </w:t>
      </w:r>
      <w:r w:rsidRPr="00CA7C58">
        <w:rPr>
          <w:rFonts w:ascii="Times New Roman" w:hAnsi="Times New Roman" w:cs="Times New Roman"/>
        </w:rPr>
        <w:t>1,080</w:t>
      </w:r>
      <w:r w:rsidR="006B5A2C" w:rsidRPr="00CA7C58">
        <w:rPr>
          <w:rFonts w:ascii="Times New Roman" w:hAnsi="Times New Roman" w:cs="Times New Roman"/>
        </w:rPr>
        <w:t> </w:t>
      </w:r>
      <w:r w:rsidRPr="00CA7C58">
        <w:rPr>
          <w:rFonts w:ascii="Times New Roman" w:hAnsi="Times New Roman" w:cs="Times New Roman"/>
        </w:rPr>
        <w:t>mg/20</w:t>
      </w:r>
      <w:r w:rsidR="0098150E" w:rsidRPr="00CA7C58">
        <w:rPr>
          <w:rFonts w:ascii="Times New Roman" w:hAnsi="Times New Roman" w:cs="Times New Roman"/>
        </w:rPr>
        <w:t> </w:t>
      </w:r>
      <w:r w:rsidRPr="00CA7C58">
        <w:rPr>
          <w:rFonts w:ascii="Times New Roman" w:hAnsi="Times New Roman" w:cs="Times New Roman"/>
        </w:rPr>
        <w:t>mL</w:t>
      </w:r>
      <w:r w:rsidR="00F027BD" w:rsidRPr="00CA7C58">
        <w:rPr>
          <w:rFonts w:ascii="Times New Roman" w:hAnsi="Times New Roman" w:cs="Times New Roman"/>
        </w:rPr>
        <w:t>,</w:t>
      </w:r>
      <w:r w:rsidRPr="00CA7C58">
        <w:rPr>
          <w:rFonts w:ascii="Times New Roman" w:hAnsi="Times New Roman" w:cs="Times New Roman"/>
        </w:rPr>
        <w:t xml:space="preserve"> is a symmetrical molecule comprised of two identical </w:t>
      </w:r>
      <w:proofErr w:type="spellStart"/>
      <w:r w:rsidRPr="00CA7C58">
        <w:rPr>
          <w:rFonts w:ascii="Times New Roman" w:hAnsi="Times New Roman" w:cs="Times New Roman"/>
        </w:rPr>
        <w:t>pentadecapeptides</w:t>
      </w:r>
      <w:proofErr w:type="spellEnd"/>
      <w:r w:rsidRPr="00CA7C58">
        <w:rPr>
          <w:rFonts w:ascii="Times New Roman" w:hAnsi="Times New Roman" w:cs="Times New Roman"/>
        </w:rPr>
        <w:t xml:space="preserve"> covalently bound to </w:t>
      </w:r>
      <w:r w:rsidR="009F660D" w:rsidRPr="00CA7C58">
        <w:rPr>
          <w:rFonts w:ascii="Times New Roman" w:hAnsi="Times New Roman" w:cs="Times New Roman"/>
        </w:rPr>
        <w:t>both</w:t>
      </w:r>
      <w:r w:rsidRPr="00CA7C58">
        <w:rPr>
          <w:rFonts w:ascii="Times New Roman" w:hAnsi="Times New Roman" w:cs="Times New Roman"/>
        </w:rPr>
        <w:t xml:space="preserve"> ends of a linear polyethylene glycol (PEG) molecule</w:t>
      </w:r>
      <w:r w:rsidR="002C2CD8" w:rsidRPr="00CA7C58">
        <w:rPr>
          <w:rFonts w:ascii="Times New Roman" w:hAnsi="Times New Roman" w:cs="Times New Roman"/>
        </w:rPr>
        <w:t>.</w:t>
      </w:r>
      <w:r w:rsidR="00F027BD" w:rsidRPr="00CA7C58">
        <w:rPr>
          <w:rFonts w:ascii="Times New Roman" w:hAnsi="Times New Roman" w:cs="Times New Roman"/>
        </w:rPr>
        <w:t xml:space="preserve"> </w:t>
      </w:r>
      <w:bookmarkStart w:id="46" w:name="_Hlk52962408"/>
      <w:r w:rsidR="002C2CD8" w:rsidRPr="00CA7C58">
        <w:rPr>
          <w:rFonts w:ascii="Times New Roman" w:hAnsi="Times New Roman" w:cs="Times New Roman"/>
        </w:rPr>
        <w:t>The molecular</w:t>
      </w:r>
      <w:r w:rsidR="002C2CD8" w:rsidRPr="00CA7C58">
        <w:rPr>
          <w:rFonts w:ascii="Times New Roman" w:hAnsi="Times New Roman" w:cs="Times New Roman"/>
          <w:szCs w:val="22"/>
        </w:rPr>
        <w:t xml:space="preserve"> </w:t>
      </w:r>
      <w:r w:rsidR="002C2CD8" w:rsidRPr="00CA7C58">
        <w:rPr>
          <w:rFonts w:ascii="Times New Roman" w:hAnsi="Times New Roman" w:cs="Times New Roman"/>
        </w:rPr>
        <w:t xml:space="preserve">weight of </w:t>
      </w:r>
      <w:proofErr w:type="spellStart"/>
      <w:r w:rsidR="002C2CD8" w:rsidRPr="00CA7C58">
        <w:rPr>
          <w:rFonts w:ascii="Times New Roman" w:hAnsi="Times New Roman" w:cs="Times New Roman"/>
        </w:rPr>
        <w:t>pegcetacoplan</w:t>
      </w:r>
      <w:proofErr w:type="spellEnd"/>
      <w:r w:rsidR="002C2CD8" w:rsidRPr="00CA7C58">
        <w:rPr>
          <w:rFonts w:ascii="Times New Roman" w:hAnsi="Times New Roman" w:cs="Times New Roman"/>
        </w:rPr>
        <w:t xml:space="preserve"> is approximately 43.5</w:t>
      </w:r>
      <w:r w:rsidR="0098150E" w:rsidRPr="00CA7C58">
        <w:rPr>
          <w:rFonts w:ascii="Times New Roman" w:hAnsi="Times New Roman" w:cs="Times New Roman"/>
        </w:rPr>
        <w:t> </w:t>
      </w:r>
      <w:proofErr w:type="spellStart"/>
      <w:r w:rsidR="00385BA7" w:rsidRPr="00CA7C58">
        <w:rPr>
          <w:rFonts w:ascii="Times New Roman" w:hAnsi="Times New Roman" w:cs="Times New Roman"/>
        </w:rPr>
        <w:t>kiloDaltons</w:t>
      </w:r>
      <w:proofErr w:type="spellEnd"/>
      <w:r w:rsidR="00385BA7" w:rsidRPr="00CA7C58">
        <w:rPr>
          <w:rFonts w:ascii="Times New Roman" w:hAnsi="Times New Roman" w:cs="Times New Roman"/>
        </w:rPr>
        <w:t xml:space="preserve"> </w:t>
      </w:r>
      <w:r w:rsidR="0098150E" w:rsidRPr="00CA7C58">
        <w:rPr>
          <w:rFonts w:ascii="Times New Roman" w:hAnsi="Times New Roman" w:cs="Times New Roman"/>
        </w:rPr>
        <w:t>(</w:t>
      </w:r>
      <w:proofErr w:type="spellStart"/>
      <w:r w:rsidR="002C2CD8" w:rsidRPr="00CA7C58">
        <w:rPr>
          <w:rFonts w:ascii="Times New Roman" w:hAnsi="Times New Roman" w:cs="Times New Roman"/>
        </w:rPr>
        <w:t>kDa</w:t>
      </w:r>
      <w:proofErr w:type="spellEnd"/>
      <w:r w:rsidR="00AA2A47" w:rsidRPr="00CA7C58">
        <w:rPr>
          <w:rFonts w:ascii="Times New Roman" w:hAnsi="Times New Roman" w:cs="Times New Roman"/>
        </w:rPr>
        <w:t>)</w:t>
      </w:r>
      <w:r w:rsidR="002C2CD8" w:rsidRPr="00CA7C58">
        <w:rPr>
          <w:rFonts w:ascii="Times New Roman" w:hAnsi="Times New Roman" w:cs="Times New Roman"/>
        </w:rPr>
        <w:t xml:space="preserve">. </w:t>
      </w:r>
      <w:bookmarkEnd w:id="46"/>
      <w:r w:rsidRPr="00CA7C58">
        <w:rPr>
          <w:rFonts w:ascii="Times New Roman" w:hAnsi="Times New Roman" w:cs="Times New Roman"/>
        </w:rPr>
        <w:t>The peptide moieties bind to complement C3 and exert a broad inhibition of the complement cascade. The 40</w:t>
      </w:r>
      <w:r w:rsidR="0098150E" w:rsidRPr="00CA7C58">
        <w:rPr>
          <w:rFonts w:ascii="Times New Roman" w:hAnsi="Times New Roman" w:cs="Times New Roman"/>
        </w:rPr>
        <w:noBreakHyphen/>
      </w:r>
      <w:r w:rsidRPr="00CA7C58">
        <w:rPr>
          <w:rFonts w:ascii="Times New Roman" w:hAnsi="Times New Roman" w:cs="Times New Roman"/>
        </w:rPr>
        <w:t>kDa PEG moiety imparts improved solubility and longer residence time in the body after administration of the drug product.</w:t>
      </w:r>
      <w:r w:rsidR="009B0473" w:rsidRPr="00CA7C58">
        <w:rPr>
          <w:rFonts w:ascii="Times New Roman" w:hAnsi="Times New Roman" w:cs="Times New Roman"/>
        </w:rPr>
        <w:t xml:space="preserve"> </w:t>
      </w:r>
      <w:r w:rsidR="0005525C" w:rsidRPr="00CA7C58">
        <w:rPr>
          <w:rFonts w:ascii="Times New Roman" w:hAnsi="Times New Roman" w:cs="Times New Roman"/>
        </w:rPr>
        <w:t xml:space="preserve">The structure of </w:t>
      </w:r>
      <w:proofErr w:type="spellStart"/>
      <w:r w:rsidR="0005525C" w:rsidRPr="00CA7C58">
        <w:rPr>
          <w:rFonts w:ascii="Times New Roman" w:hAnsi="Times New Roman" w:cs="Times New Roman"/>
        </w:rPr>
        <w:t>pegcetacoplan</w:t>
      </w:r>
      <w:proofErr w:type="spellEnd"/>
      <w:r w:rsidR="0005525C" w:rsidRPr="00CA7C58">
        <w:rPr>
          <w:rFonts w:ascii="Times New Roman" w:hAnsi="Times New Roman" w:cs="Times New Roman"/>
        </w:rPr>
        <w:t xml:space="preserve"> is shown below.</w:t>
      </w:r>
    </w:p>
    <w:p w14:paraId="01485242" w14:textId="77777777" w:rsidR="00CC7A55" w:rsidRPr="00CA7C58" w:rsidRDefault="00CC7A55" w:rsidP="00FD2441">
      <w:pPr>
        <w:autoSpaceDE w:val="0"/>
        <w:autoSpaceDN w:val="0"/>
        <w:adjustRightInd w:val="0"/>
        <w:rPr>
          <w:rFonts w:ascii="Times New Roman" w:hAnsi="Times New Roman" w:cs="Times New Roman"/>
        </w:rPr>
      </w:pPr>
    </w:p>
    <w:p w14:paraId="069DE25C" w14:textId="1382A208" w:rsidR="004D2F9D" w:rsidRPr="00CA7C58" w:rsidRDefault="0005525C" w:rsidP="00327D45">
      <w:pPr>
        <w:autoSpaceDE w:val="0"/>
        <w:autoSpaceDN w:val="0"/>
        <w:adjustRightInd w:val="0"/>
        <w:rPr>
          <w:rFonts w:ascii="Times New Roman" w:hAnsi="Times New Roman" w:cs="Times New Roman"/>
        </w:rPr>
      </w:pPr>
      <w:r w:rsidRPr="00CA7C58">
        <w:rPr>
          <w:rFonts w:ascii="Times New Roman" w:hAnsi="Times New Roman" w:cs="Times New Roman"/>
          <w:noProof/>
        </w:rPr>
        <w:drawing>
          <wp:inline distT="0" distB="0" distL="0" distR="0" wp14:anchorId="158EBD76" wp14:editId="20072652">
            <wp:extent cx="5651500" cy="1441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1500" cy="1441450"/>
                    </a:xfrm>
                    <a:prstGeom prst="rect">
                      <a:avLst/>
                    </a:prstGeom>
                    <a:noFill/>
                    <a:ln>
                      <a:noFill/>
                    </a:ln>
                  </pic:spPr>
                </pic:pic>
              </a:graphicData>
            </a:graphic>
          </wp:inline>
        </w:drawing>
      </w:r>
    </w:p>
    <w:p w14:paraId="223D1E3F" w14:textId="25A88868" w:rsidR="00CE635C" w:rsidRPr="00CA7C58" w:rsidRDefault="00CE635C" w:rsidP="00D80BC8">
      <w:pPr>
        <w:autoSpaceDE w:val="0"/>
        <w:autoSpaceDN w:val="0"/>
        <w:adjustRightInd w:val="0"/>
        <w:rPr>
          <w:rFonts w:ascii="Times New Roman" w:hAnsi="Times New Roman" w:cs="Times New Roman"/>
        </w:rPr>
      </w:pPr>
    </w:p>
    <w:p w14:paraId="253D078C" w14:textId="17C5124C" w:rsidR="00AA2A47" w:rsidRPr="00CA7C58" w:rsidRDefault="00AA2A47" w:rsidP="00D80BC8">
      <w:pPr>
        <w:autoSpaceDE w:val="0"/>
        <w:autoSpaceDN w:val="0"/>
        <w:adjustRightInd w:val="0"/>
        <w:rPr>
          <w:rFonts w:ascii="Times New Roman" w:hAnsi="Times New Roman" w:cs="Times New Roman"/>
        </w:rPr>
      </w:pPr>
      <w:r w:rsidRPr="00CA7C58">
        <w:rPr>
          <w:rFonts w:ascii="Times New Roman" w:hAnsi="Times New Roman" w:cs="Times New Roman"/>
        </w:rPr>
        <w:t>The chemical name is poly(oxy-1,2-ethanediyl), α-hydro, ω-hydroxy-,15,15’-diester with N-acetyl-L-isoleucyl-L-cysteinyl-L-valyl-1-methyl-L-tryptophyl-L-glutaminyl-L-α-aspartyl-L-tryptophylglycyl-L-alanyl-L-histidyl-L-arginyl-L-cysteinyl-L-threonyl-2-[2-(2-</w:t>
      </w:r>
      <w:proofErr w:type="gramStart"/>
      <w:r w:rsidRPr="00CA7C58">
        <w:rPr>
          <w:rFonts w:ascii="Times New Roman" w:hAnsi="Times New Roman" w:cs="Times New Roman"/>
        </w:rPr>
        <w:t>aminoethoxy)ethoxy</w:t>
      </w:r>
      <w:proofErr w:type="gramEnd"/>
      <w:r w:rsidRPr="00CA7C58">
        <w:rPr>
          <w:rFonts w:ascii="Times New Roman" w:hAnsi="Times New Roman" w:cs="Times New Roman"/>
        </w:rPr>
        <w:t>]acetyl-N</w:t>
      </w:r>
      <w:r w:rsidRPr="002B1118">
        <w:rPr>
          <w:rFonts w:ascii="Times New Roman" w:hAnsi="Times New Roman" w:cs="Times New Roman"/>
          <w:vertAlign w:val="superscript"/>
        </w:rPr>
        <w:t>6</w:t>
      </w:r>
      <w:r w:rsidRPr="00CA7C58">
        <w:rPr>
          <w:rFonts w:ascii="Times New Roman" w:hAnsi="Times New Roman" w:cs="Times New Roman"/>
        </w:rPr>
        <w:t>-carboxy-L-lysinamide cyclic (2→12)-(disulfide).</w:t>
      </w:r>
    </w:p>
    <w:p w14:paraId="7E3EBBDF" w14:textId="77777777" w:rsidR="00AA2A47" w:rsidRPr="00CA7C58" w:rsidRDefault="00AA2A47" w:rsidP="00D80BC8">
      <w:pPr>
        <w:autoSpaceDE w:val="0"/>
        <w:autoSpaceDN w:val="0"/>
        <w:adjustRightInd w:val="0"/>
        <w:rPr>
          <w:rFonts w:ascii="Times New Roman" w:hAnsi="Times New Roman" w:cs="Times New Roman"/>
        </w:rPr>
      </w:pPr>
    </w:p>
    <w:p w14:paraId="174EA2E3" w14:textId="2610149E" w:rsidR="00AA2A47" w:rsidRPr="00CA7C58" w:rsidRDefault="00AA2A47" w:rsidP="00D80BC8">
      <w:pPr>
        <w:autoSpaceDE w:val="0"/>
        <w:autoSpaceDN w:val="0"/>
        <w:adjustRightInd w:val="0"/>
        <w:rPr>
          <w:rFonts w:ascii="Times New Roman" w:hAnsi="Times New Roman" w:cs="Times New Roman"/>
        </w:rPr>
      </w:pPr>
      <w:r w:rsidRPr="00CA7C58">
        <w:rPr>
          <w:rFonts w:ascii="Times New Roman" w:hAnsi="Times New Roman" w:cs="Times New Roman"/>
        </w:rPr>
        <w:t xml:space="preserve">The chemical formula is </w:t>
      </w:r>
      <w:r w:rsidRPr="00CB3D1B">
        <w:rPr>
          <w:rFonts w:ascii="Times New Roman" w:hAnsi="Times New Roman" w:cs="Times New Roman"/>
        </w:rPr>
        <w:t>C</w:t>
      </w:r>
      <w:r w:rsidRPr="00CB3D1B">
        <w:rPr>
          <w:rFonts w:ascii="Times New Roman" w:hAnsi="Times New Roman" w:cs="Times New Roman"/>
          <w:vertAlign w:val="subscript"/>
        </w:rPr>
        <w:t>170</w:t>
      </w:r>
      <w:r w:rsidRPr="00CB3D1B">
        <w:rPr>
          <w:rFonts w:ascii="Times New Roman" w:hAnsi="Times New Roman" w:cs="Times New Roman"/>
        </w:rPr>
        <w:t>H</w:t>
      </w:r>
      <w:r w:rsidRPr="00CB3D1B">
        <w:rPr>
          <w:rFonts w:ascii="Times New Roman" w:hAnsi="Times New Roman" w:cs="Times New Roman"/>
          <w:vertAlign w:val="subscript"/>
        </w:rPr>
        <w:t>248</w:t>
      </w:r>
      <w:r w:rsidRPr="00CB3D1B">
        <w:rPr>
          <w:rFonts w:ascii="Times New Roman" w:hAnsi="Times New Roman" w:cs="Times New Roman"/>
        </w:rPr>
        <w:t>N</w:t>
      </w:r>
      <w:r w:rsidRPr="00CB3D1B">
        <w:rPr>
          <w:rFonts w:ascii="Times New Roman" w:hAnsi="Times New Roman" w:cs="Times New Roman"/>
          <w:vertAlign w:val="subscript"/>
        </w:rPr>
        <w:t>50</w:t>
      </w:r>
      <w:r w:rsidRPr="00CB3D1B">
        <w:rPr>
          <w:rFonts w:ascii="Times New Roman" w:hAnsi="Times New Roman" w:cs="Times New Roman"/>
        </w:rPr>
        <w:t>O</w:t>
      </w:r>
      <w:r w:rsidRPr="00CB3D1B">
        <w:rPr>
          <w:rFonts w:ascii="Times New Roman" w:hAnsi="Times New Roman" w:cs="Times New Roman"/>
          <w:vertAlign w:val="subscript"/>
        </w:rPr>
        <w:t>47</w:t>
      </w:r>
      <w:r w:rsidRPr="00CB3D1B">
        <w:rPr>
          <w:rFonts w:ascii="Times New Roman" w:hAnsi="Times New Roman" w:cs="Times New Roman"/>
        </w:rPr>
        <w:t>S</w:t>
      </w:r>
      <w:r w:rsidRPr="00CB3D1B">
        <w:rPr>
          <w:rFonts w:ascii="Times New Roman" w:hAnsi="Times New Roman" w:cs="Times New Roman"/>
          <w:vertAlign w:val="subscript"/>
        </w:rPr>
        <w:t>4</w:t>
      </w:r>
      <w:r w:rsidR="005B60CB" w:rsidRPr="00CB3D1B">
        <w:rPr>
          <w:rFonts w:ascii="Times New Roman" w:hAnsi="Times New Roman" w:cs="Times New Roman"/>
        </w:rPr>
        <w:t>·</w:t>
      </w:r>
      <w:r w:rsidRPr="00CB3D1B">
        <w:rPr>
          <w:rFonts w:ascii="Times New Roman" w:hAnsi="Times New Roman" w:cs="Times New Roman"/>
        </w:rPr>
        <w:t>(C</w:t>
      </w:r>
      <w:r w:rsidRPr="00CB3D1B">
        <w:rPr>
          <w:rFonts w:ascii="Times New Roman" w:hAnsi="Times New Roman" w:cs="Times New Roman"/>
          <w:vertAlign w:val="subscript"/>
        </w:rPr>
        <w:t>2</w:t>
      </w:r>
      <w:r w:rsidRPr="00CB3D1B">
        <w:rPr>
          <w:rFonts w:ascii="Times New Roman" w:hAnsi="Times New Roman" w:cs="Times New Roman"/>
        </w:rPr>
        <w:t>H</w:t>
      </w:r>
      <w:r w:rsidRPr="00CB3D1B">
        <w:rPr>
          <w:rFonts w:ascii="Times New Roman" w:hAnsi="Times New Roman" w:cs="Times New Roman"/>
          <w:vertAlign w:val="subscript"/>
        </w:rPr>
        <w:t>4</w:t>
      </w:r>
      <w:proofErr w:type="gramStart"/>
      <w:r w:rsidR="005B60CB" w:rsidRPr="00737DAC">
        <w:rPr>
          <w:rFonts w:ascii="Times New Roman" w:hAnsi="Times New Roman" w:cs="Times New Roman"/>
        </w:rPr>
        <w:t>O</w:t>
      </w:r>
      <w:r w:rsidRPr="00CB3D1B">
        <w:rPr>
          <w:rFonts w:ascii="Times New Roman" w:hAnsi="Times New Roman" w:cs="Times New Roman"/>
        </w:rPr>
        <w:t>)</w:t>
      </w:r>
      <w:r w:rsidRPr="00CB3D1B">
        <w:rPr>
          <w:rFonts w:ascii="Times New Roman" w:hAnsi="Times New Roman" w:cs="Times New Roman"/>
          <w:vertAlign w:val="subscript"/>
        </w:rPr>
        <w:t>n</w:t>
      </w:r>
      <w:proofErr w:type="gramEnd"/>
      <w:r w:rsidRPr="00CB3D1B">
        <w:rPr>
          <w:rFonts w:ascii="Times New Roman" w:hAnsi="Times New Roman" w:cs="Times New Roman"/>
        </w:rPr>
        <w:t xml:space="preserve"> </w:t>
      </w:r>
      <w:proofErr w:type="spellStart"/>
      <w:r w:rsidRPr="00CB3D1B">
        <w:rPr>
          <w:rFonts w:ascii="Times New Roman" w:hAnsi="Times New Roman" w:cs="Times New Roman"/>
        </w:rPr>
        <w:t>n</w:t>
      </w:r>
      <w:proofErr w:type="spellEnd"/>
      <w:r w:rsidRPr="00CB3D1B">
        <w:rPr>
          <w:rFonts w:ascii="Times New Roman" w:hAnsi="Times New Roman" w:cs="Times New Roman"/>
        </w:rPr>
        <w:t xml:space="preserve"> = 800</w:t>
      </w:r>
      <w:r w:rsidR="005B60CB" w:rsidRPr="00CB3D1B">
        <w:rPr>
          <w:rFonts w:ascii="Times New Roman" w:hAnsi="Times New Roman" w:cs="Times New Roman"/>
        </w:rPr>
        <w:noBreakHyphen/>
      </w:r>
      <w:r w:rsidRPr="00CB3D1B">
        <w:rPr>
          <w:rFonts w:ascii="Times New Roman" w:hAnsi="Times New Roman" w:cs="Times New Roman"/>
        </w:rPr>
        <w:t>1100.</w:t>
      </w:r>
    </w:p>
    <w:p w14:paraId="6DACE096" w14:textId="77777777" w:rsidR="00AA2A47" w:rsidRPr="00CA7C58" w:rsidRDefault="00AA2A47" w:rsidP="00D80BC8">
      <w:pPr>
        <w:autoSpaceDE w:val="0"/>
        <w:autoSpaceDN w:val="0"/>
        <w:adjustRightInd w:val="0"/>
        <w:rPr>
          <w:rFonts w:ascii="Times New Roman" w:hAnsi="Times New Roman" w:cs="Times New Roman"/>
        </w:rPr>
      </w:pPr>
    </w:p>
    <w:p w14:paraId="6862421A" w14:textId="35F0FB45" w:rsidR="000C5DA6" w:rsidRPr="00CA7C58" w:rsidRDefault="00FB6902" w:rsidP="00D80BC8">
      <w:pPr>
        <w:autoSpaceDE w:val="0"/>
        <w:autoSpaceDN w:val="0"/>
        <w:adjustRightInd w:val="0"/>
        <w:rPr>
          <w:rFonts w:ascii="Times New Roman" w:hAnsi="Times New Roman" w:cs="Times New Roman"/>
          <w:b/>
          <w:bCs/>
        </w:rPr>
      </w:pPr>
      <w:r w:rsidRPr="00CA7C58">
        <w:rPr>
          <w:rFonts w:ascii="Times New Roman" w:hAnsi="Times New Roman" w:cs="Times New Roman"/>
          <w:b/>
          <w:bCs/>
        </w:rPr>
        <w:t xml:space="preserve">CAS registry number: </w:t>
      </w:r>
      <w:r w:rsidR="00E618C9" w:rsidRPr="00CA7C58">
        <w:rPr>
          <w:rFonts w:ascii="Times New Roman" w:hAnsi="Times New Roman" w:cs="Times New Roman"/>
        </w:rPr>
        <w:t>20191</w:t>
      </w:r>
      <w:r w:rsidR="00E932A5" w:rsidRPr="00CA7C58">
        <w:rPr>
          <w:rFonts w:ascii="Times New Roman" w:hAnsi="Times New Roman" w:cs="Times New Roman"/>
        </w:rPr>
        <w:t>71-69-6</w:t>
      </w:r>
    </w:p>
    <w:p w14:paraId="2E384B39" w14:textId="40AA8F04" w:rsidR="000C5DA6" w:rsidRPr="00D80BC8" w:rsidRDefault="000C5DA6" w:rsidP="00D80BC8">
      <w:pPr>
        <w:autoSpaceDE w:val="0"/>
        <w:autoSpaceDN w:val="0"/>
        <w:adjustRightInd w:val="0"/>
        <w:rPr>
          <w:rFonts w:ascii="Times New Roman" w:hAnsi="Times New Roman" w:cs="Times New Roman"/>
        </w:rPr>
      </w:pPr>
    </w:p>
    <w:p w14:paraId="61A29240" w14:textId="39FE7F9A" w:rsidR="000C5DA6" w:rsidRPr="00CA7C58" w:rsidRDefault="000C5DA6" w:rsidP="00C44434">
      <w:pPr>
        <w:pStyle w:val="C-Heading4"/>
        <w:numPr>
          <w:ilvl w:val="0"/>
          <w:numId w:val="0"/>
        </w:numPr>
        <w:spacing w:before="0"/>
        <w:ind w:left="720" w:hanging="720"/>
        <w:rPr>
          <w:sz w:val="28"/>
          <w:szCs w:val="28"/>
        </w:rPr>
      </w:pPr>
      <w:r w:rsidRPr="00CA7C58">
        <w:rPr>
          <w:sz w:val="28"/>
          <w:szCs w:val="28"/>
        </w:rPr>
        <w:t>7</w:t>
      </w:r>
      <w:r w:rsidR="00651E48" w:rsidRPr="00CA7C58">
        <w:rPr>
          <w:sz w:val="28"/>
          <w:szCs w:val="28"/>
        </w:rPr>
        <w:tab/>
      </w:r>
      <w:r w:rsidRPr="00CA7C58">
        <w:rPr>
          <w:sz w:val="28"/>
          <w:szCs w:val="28"/>
        </w:rPr>
        <w:t>MEDICINE SCHEDULE (POISONS STANDARD)</w:t>
      </w:r>
    </w:p>
    <w:p w14:paraId="34D18E46" w14:textId="771DA275" w:rsidR="000C5DA6" w:rsidRPr="00CA7C58" w:rsidRDefault="000C5DA6" w:rsidP="00D80BC8">
      <w:pPr>
        <w:autoSpaceDE w:val="0"/>
        <w:autoSpaceDN w:val="0"/>
        <w:adjustRightInd w:val="0"/>
        <w:rPr>
          <w:rFonts w:ascii="Times New Roman" w:hAnsi="Times New Roman" w:cs="Times New Roman"/>
        </w:rPr>
      </w:pPr>
    </w:p>
    <w:p w14:paraId="46EE6B66" w14:textId="18E67133" w:rsidR="000F61DC" w:rsidRPr="00CA7C58" w:rsidRDefault="000F61DC" w:rsidP="000C5DA6">
      <w:pPr>
        <w:autoSpaceDE w:val="0"/>
        <w:autoSpaceDN w:val="0"/>
        <w:adjustRightInd w:val="0"/>
        <w:rPr>
          <w:rFonts w:ascii="Times New Roman" w:hAnsi="Times New Roman" w:cs="Times New Roman"/>
        </w:rPr>
      </w:pPr>
      <w:r w:rsidRPr="00CA7C58">
        <w:rPr>
          <w:rFonts w:ascii="Times New Roman" w:hAnsi="Times New Roman" w:cs="Times New Roman"/>
        </w:rPr>
        <w:t xml:space="preserve">Schedule 4 </w:t>
      </w:r>
      <w:r w:rsidR="0000384B" w:rsidRPr="00CA7C58">
        <w:rPr>
          <w:rFonts w:ascii="Times New Roman" w:hAnsi="Times New Roman" w:cs="Times New Roman"/>
        </w:rPr>
        <w:t>–</w:t>
      </w:r>
      <w:r w:rsidRPr="00CA7C58">
        <w:rPr>
          <w:rFonts w:ascii="Times New Roman" w:hAnsi="Times New Roman" w:cs="Times New Roman"/>
        </w:rPr>
        <w:t xml:space="preserve"> Pre</w:t>
      </w:r>
      <w:r w:rsidR="0000384B" w:rsidRPr="00CA7C58">
        <w:rPr>
          <w:rFonts w:ascii="Times New Roman" w:hAnsi="Times New Roman" w:cs="Times New Roman"/>
        </w:rPr>
        <w:t>scription Only Medicine</w:t>
      </w:r>
    </w:p>
    <w:p w14:paraId="21AB1202" w14:textId="77777777" w:rsidR="000C5DA6" w:rsidRPr="00CA7C58" w:rsidRDefault="000C5DA6" w:rsidP="000C5DA6">
      <w:pPr>
        <w:autoSpaceDE w:val="0"/>
        <w:autoSpaceDN w:val="0"/>
        <w:adjustRightInd w:val="0"/>
        <w:rPr>
          <w:rFonts w:ascii="Times New Roman" w:hAnsi="Times New Roman" w:cs="Times New Roman"/>
        </w:rPr>
      </w:pPr>
    </w:p>
    <w:p w14:paraId="664BD1EB" w14:textId="7372071E" w:rsidR="000C5DA6" w:rsidRPr="00CA7C58" w:rsidRDefault="000C5DA6" w:rsidP="00C44434">
      <w:pPr>
        <w:pStyle w:val="C-Heading4"/>
        <w:numPr>
          <w:ilvl w:val="0"/>
          <w:numId w:val="0"/>
        </w:numPr>
        <w:spacing w:before="0"/>
        <w:ind w:left="720" w:hanging="720"/>
        <w:rPr>
          <w:sz w:val="28"/>
          <w:szCs w:val="28"/>
        </w:rPr>
      </w:pPr>
      <w:r w:rsidRPr="00CA7C58">
        <w:rPr>
          <w:sz w:val="28"/>
          <w:szCs w:val="28"/>
        </w:rPr>
        <w:lastRenderedPageBreak/>
        <w:t>8</w:t>
      </w:r>
      <w:r w:rsidR="00651E48" w:rsidRPr="00CA7C58">
        <w:rPr>
          <w:sz w:val="28"/>
          <w:szCs w:val="28"/>
        </w:rPr>
        <w:tab/>
      </w:r>
      <w:proofErr w:type="gramStart"/>
      <w:r w:rsidRPr="00CA7C58">
        <w:rPr>
          <w:sz w:val="28"/>
          <w:szCs w:val="28"/>
        </w:rPr>
        <w:t>SPONSOR</w:t>
      </w:r>
      <w:proofErr w:type="gramEnd"/>
    </w:p>
    <w:p w14:paraId="74F37C7D" w14:textId="77777777" w:rsidR="0000384B" w:rsidRPr="00CA7C58" w:rsidRDefault="0000384B" w:rsidP="00284888">
      <w:pPr>
        <w:pStyle w:val="CommentText"/>
        <w:rPr>
          <w:rFonts w:ascii="Times New Roman" w:hAnsi="Times New Roman" w:cs="Times New Roman"/>
          <w:sz w:val="24"/>
          <w:szCs w:val="24"/>
        </w:rPr>
      </w:pPr>
    </w:p>
    <w:p w14:paraId="14F745C8" w14:textId="77777777" w:rsidR="00CC4CB0" w:rsidRPr="0001788D" w:rsidRDefault="00CC4CB0" w:rsidP="00CC4CB0">
      <w:pPr>
        <w:pStyle w:val="CommentText"/>
        <w:rPr>
          <w:rFonts w:ascii="Times New Roman" w:hAnsi="Times New Roman" w:cs="Times New Roman"/>
          <w:sz w:val="24"/>
          <w:szCs w:val="24"/>
          <w:lang w:val="en-AU"/>
        </w:rPr>
      </w:pPr>
      <w:r w:rsidRPr="0001788D">
        <w:rPr>
          <w:rFonts w:ascii="Times New Roman" w:hAnsi="Times New Roman" w:cs="Times New Roman"/>
          <w:sz w:val="24"/>
          <w:szCs w:val="24"/>
          <w:lang w:val="en-AU"/>
        </w:rPr>
        <w:t xml:space="preserve">Swedish Orphan </w:t>
      </w:r>
      <w:proofErr w:type="spellStart"/>
      <w:r w:rsidRPr="0001788D">
        <w:rPr>
          <w:rFonts w:ascii="Times New Roman" w:hAnsi="Times New Roman" w:cs="Times New Roman"/>
          <w:sz w:val="24"/>
          <w:szCs w:val="24"/>
          <w:lang w:val="en-AU"/>
        </w:rPr>
        <w:t>Biovitrum</w:t>
      </w:r>
      <w:proofErr w:type="spellEnd"/>
      <w:r w:rsidRPr="0001788D">
        <w:rPr>
          <w:rFonts w:ascii="Times New Roman" w:hAnsi="Times New Roman" w:cs="Times New Roman"/>
          <w:sz w:val="24"/>
          <w:szCs w:val="24"/>
          <w:lang w:val="en-AU"/>
        </w:rPr>
        <w:t xml:space="preserve"> Pty Ltd</w:t>
      </w:r>
    </w:p>
    <w:p w14:paraId="6D3CC7FF" w14:textId="77777777" w:rsidR="00CC4CB0" w:rsidRPr="0001788D" w:rsidRDefault="00CC4CB0" w:rsidP="00CC4CB0">
      <w:pPr>
        <w:pStyle w:val="CommentText"/>
        <w:rPr>
          <w:rFonts w:ascii="Times New Roman" w:hAnsi="Times New Roman" w:cs="Times New Roman"/>
          <w:sz w:val="24"/>
          <w:szCs w:val="24"/>
          <w:lang w:val="en-AU"/>
        </w:rPr>
      </w:pPr>
      <w:r w:rsidRPr="0001788D">
        <w:rPr>
          <w:rFonts w:ascii="Times New Roman" w:hAnsi="Times New Roman" w:cs="Times New Roman"/>
          <w:sz w:val="24"/>
          <w:szCs w:val="24"/>
          <w:lang w:val="en-AU"/>
        </w:rPr>
        <w:t>Floor 22, 44 Market Street</w:t>
      </w:r>
    </w:p>
    <w:p w14:paraId="4FD16045" w14:textId="77777777" w:rsidR="00CC4CB0" w:rsidRPr="0001788D" w:rsidRDefault="00CC4CB0" w:rsidP="00CC4CB0">
      <w:pPr>
        <w:pStyle w:val="CommentText"/>
        <w:rPr>
          <w:rFonts w:ascii="Times New Roman" w:hAnsi="Times New Roman" w:cs="Times New Roman"/>
          <w:sz w:val="24"/>
          <w:szCs w:val="24"/>
          <w:lang w:val="en-AU"/>
        </w:rPr>
      </w:pPr>
      <w:r w:rsidRPr="0001788D">
        <w:rPr>
          <w:rFonts w:ascii="Times New Roman" w:hAnsi="Times New Roman" w:cs="Times New Roman"/>
          <w:sz w:val="24"/>
          <w:szCs w:val="24"/>
          <w:lang w:val="en-AU"/>
        </w:rPr>
        <w:t>Sydney NSW 2000</w:t>
      </w:r>
    </w:p>
    <w:p w14:paraId="0A88E633" w14:textId="254280AC" w:rsidR="00511D99" w:rsidRPr="0001788D" w:rsidRDefault="00CC4CB0" w:rsidP="00A220A1">
      <w:pPr>
        <w:pStyle w:val="CommentText"/>
        <w:spacing w:before="240"/>
        <w:rPr>
          <w:rFonts w:ascii="Times New Roman" w:hAnsi="Times New Roman" w:cs="Times New Roman"/>
          <w:lang w:val="en-AU"/>
        </w:rPr>
      </w:pPr>
      <w:r w:rsidRPr="0001788D">
        <w:rPr>
          <w:rFonts w:ascii="Times New Roman" w:hAnsi="Times New Roman" w:cs="Times New Roman"/>
          <w:sz w:val="24"/>
          <w:szCs w:val="24"/>
          <w:lang w:val="en-AU"/>
        </w:rPr>
        <w:t>https://au.sobi.com</w:t>
      </w:r>
    </w:p>
    <w:p w14:paraId="3E3BD083" w14:textId="77777777" w:rsidR="00284888" w:rsidRPr="0001788D" w:rsidRDefault="00284888" w:rsidP="00284888">
      <w:pPr>
        <w:pStyle w:val="CommentText"/>
        <w:rPr>
          <w:rFonts w:ascii="Times New Roman" w:hAnsi="Times New Roman" w:cs="Times New Roman"/>
          <w:sz w:val="24"/>
          <w:szCs w:val="24"/>
        </w:rPr>
      </w:pPr>
    </w:p>
    <w:p w14:paraId="17BAFF98" w14:textId="4F8436FA" w:rsidR="00284888" w:rsidRPr="00F1644F" w:rsidRDefault="00284888" w:rsidP="00284888">
      <w:pPr>
        <w:pStyle w:val="CommentText"/>
        <w:rPr>
          <w:rFonts w:ascii="Times New Roman" w:hAnsi="Times New Roman" w:cs="Times New Roman"/>
          <w:sz w:val="24"/>
          <w:szCs w:val="24"/>
        </w:rPr>
      </w:pPr>
      <w:r w:rsidRPr="00F1644F">
        <w:rPr>
          <w:rFonts w:ascii="Times New Roman" w:hAnsi="Times New Roman" w:cs="Times New Roman"/>
          <w:sz w:val="24"/>
          <w:szCs w:val="24"/>
        </w:rPr>
        <w:t xml:space="preserve">Medical enquiries: </w:t>
      </w:r>
      <w:r w:rsidR="00610B8D" w:rsidRPr="00F1644F">
        <w:rPr>
          <w:rFonts w:ascii="Times New Roman" w:eastAsia="Calibri" w:hAnsi="Times New Roman" w:cs="Times New Roman"/>
          <w:sz w:val="24"/>
          <w:szCs w:val="24"/>
        </w:rPr>
        <w:t>1800 570 605.</w:t>
      </w:r>
    </w:p>
    <w:p w14:paraId="1E484B9C" w14:textId="7887F15F" w:rsidR="000C5DA6" w:rsidRPr="00CA7C58" w:rsidRDefault="000C5DA6" w:rsidP="00C44434">
      <w:pPr>
        <w:pStyle w:val="C-Heading4"/>
        <w:numPr>
          <w:ilvl w:val="0"/>
          <w:numId w:val="0"/>
        </w:numPr>
        <w:spacing w:before="0"/>
        <w:ind w:left="720" w:hanging="720"/>
        <w:rPr>
          <w:sz w:val="28"/>
          <w:szCs w:val="28"/>
        </w:rPr>
      </w:pPr>
      <w:r w:rsidRPr="00CA7C58">
        <w:rPr>
          <w:sz w:val="28"/>
          <w:szCs w:val="28"/>
        </w:rPr>
        <w:t>9</w:t>
      </w:r>
      <w:r w:rsidR="00651E48" w:rsidRPr="00CA7C58">
        <w:rPr>
          <w:sz w:val="28"/>
          <w:szCs w:val="28"/>
        </w:rPr>
        <w:tab/>
      </w:r>
      <w:r w:rsidRPr="00CA7C58">
        <w:rPr>
          <w:sz w:val="28"/>
          <w:szCs w:val="28"/>
        </w:rPr>
        <w:t>DATE OF FIRST APPROVAL</w:t>
      </w:r>
    </w:p>
    <w:p w14:paraId="713E5CD2" w14:textId="3BFBB70E" w:rsidR="000C5DA6" w:rsidRPr="00D94C9C" w:rsidRDefault="000C5DA6" w:rsidP="000C5DA6">
      <w:pPr>
        <w:autoSpaceDE w:val="0"/>
        <w:autoSpaceDN w:val="0"/>
        <w:adjustRightInd w:val="0"/>
        <w:rPr>
          <w:rFonts w:ascii="Times New Roman" w:hAnsi="Times New Roman" w:cs="Times New Roman"/>
        </w:rPr>
      </w:pPr>
    </w:p>
    <w:p w14:paraId="42AA6070" w14:textId="07F26DA2" w:rsidR="0000384B" w:rsidRPr="00D94C9C" w:rsidRDefault="00B112B2" w:rsidP="000C5DA6">
      <w:pPr>
        <w:autoSpaceDE w:val="0"/>
        <w:autoSpaceDN w:val="0"/>
        <w:adjustRightInd w:val="0"/>
        <w:rPr>
          <w:rFonts w:ascii="Times New Roman" w:hAnsi="Times New Roman" w:cs="Times New Roman"/>
        </w:rPr>
      </w:pPr>
      <w:r w:rsidRPr="00D94C9C">
        <w:rPr>
          <w:rFonts w:ascii="Times New Roman" w:hAnsi="Times New Roman" w:cs="Times New Roman"/>
        </w:rPr>
        <w:t xml:space="preserve">3 </w:t>
      </w:r>
      <w:r w:rsidR="003D09E3" w:rsidRPr="00D94C9C">
        <w:rPr>
          <w:rFonts w:ascii="Times New Roman" w:hAnsi="Times New Roman" w:cs="Times New Roman"/>
        </w:rPr>
        <w:t>February 2022</w:t>
      </w:r>
    </w:p>
    <w:p w14:paraId="2F5C860D" w14:textId="77777777" w:rsidR="000C5DA6" w:rsidRPr="00CA7C58" w:rsidRDefault="000C5DA6" w:rsidP="000C5DA6">
      <w:pPr>
        <w:autoSpaceDE w:val="0"/>
        <w:autoSpaceDN w:val="0"/>
        <w:adjustRightInd w:val="0"/>
        <w:rPr>
          <w:rFonts w:ascii="Times New Roman" w:hAnsi="Times New Roman" w:cs="Times New Roman"/>
        </w:rPr>
      </w:pPr>
    </w:p>
    <w:p w14:paraId="007BE71E" w14:textId="1243C3DF" w:rsidR="000C5DA6" w:rsidRPr="00CA7C58" w:rsidRDefault="000C5DA6" w:rsidP="00C44434">
      <w:pPr>
        <w:pStyle w:val="C-Heading4"/>
        <w:numPr>
          <w:ilvl w:val="0"/>
          <w:numId w:val="0"/>
        </w:numPr>
        <w:spacing w:before="0"/>
        <w:ind w:left="720" w:hanging="720"/>
        <w:rPr>
          <w:b w:val="0"/>
          <w:bCs/>
          <w:sz w:val="28"/>
          <w:szCs w:val="28"/>
        </w:rPr>
      </w:pPr>
      <w:r w:rsidRPr="00CA7C58">
        <w:rPr>
          <w:bCs/>
          <w:sz w:val="28"/>
          <w:szCs w:val="28"/>
        </w:rPr>
        <w:t>10</w:t>
      </w:r>
      <w:r w:rsidR="00651E48" w:rsidRPr="00CA7C58">
        <w:rPr>
          <w:bCs/>
          <w:sz w:val="28"/>
          <w:szCs w:val="28"/>
        </w:rPr>
        <w:tab/>
      </w:r>
      <w:r w:rsidRPr="00CA7C58">
        <w:rPr>
          <w:bCs/>
          <w:sz w:val="28"/>
          <w:szCs w:val="28"/>
        </w:rPr>
        <w:t>DATE OF REVISION</w:t>
      </w:r>
    </w:p>
    <w:p w14:paraId="6A3D66F7" w14:textId="44536C24" w:rsidR="000C5DA6" w:rsidRPr="00CA7C58" w:rsidRDefault="000C5DA6" w:rsidP="000C5DA6">
      <w:pPr>
        <w:autoSpaceDE w:val="0"/>
        <w:autoSpaceDN w:val="0"/>
        <w:adjustRightInd w:val="0"/>
        <w:rPr>
          <w:rFonts w:ascii="Times New Roman" w:hAnsi="Times New Roman" w:cs="Times New Roman"/>
        </w:rPr>
      </w:pPr>
    </w:p>
    <w:p w14:paraId="026E7ABD" w14:textId="4235BA72" w:rsidR="000A0A31" w:rsidRPr="00977E42" w:rsidRDefault="00977E42" w:rsidP="000A0A31">
      <w:pPr>
        <w:autoSpaceDE w:val="0"/>
        <w:autoSpaceDN w:val="0"/>
        <w:adjustRightInd w:val="0"/>
        <w:rPr>
          <w:rFonts w:ascii="Times New Roman" w:hAnsi="Times New Roman" w:cs="Times New Roman"/>
        </w:rPr>
      </w:pPr>
      <w:r w:rsidRPr="00977E42">
        <w:rPr>
          <w:rFonts w:ascii="Times New Roman" w:hAnsi="Times New Roman" w:cs="Times New Roman"/>
        </w:rPr>
        <w:t>28 March 2022</w:t>
      </w:r>
    </w:p>
    <w:p w14:paraId="4F6880E9" w14:textId="6367469A" w:rsidR="00146F79" w:rsidRPr="000A0A31" w:rsidRDefault="00146F79" w:rsidP="000C5DA6">
      <w:pPr>
        <w:autoSpaceDE w:val="0"/>
        <w:autoSpaceDN w:val="0"/>
        <w:adjustRightInd w:val="0"/>
        <w:rPr>
          <w:rFonts w:ascii="Times New Roman" w:hAnsi="Times New Roman" w:cs="Times New Roman"/>
          <w:strike/>
          <w:color w:val="FF0000"/>
        </w:rPr>
      </w:pPr>
    </w:p>
    <w:p w14:paraId="47E01CFD" w14:textId="33E1C7AA" w:rsidR="008349D7" w:rsidRPr="00CA7C58" w:rsidRDefault="008349D7" w:rsidP="000C5DA6">
      <w:pPr>
        <w:autoSpaceDE w:val="0"/>
        <w:autoSpaceDN w:val="0"/>
        <w:adjustRightInd w:val="0"/>
        <w:rPr>
          <w:rFonts w:ascii="Times New Roman" w:hAnsi="Times New Roman" w:cs="Times New Roman"/>
        </w:rPr>
      </w:pPr>
    </w:p>
    <w:p w14:paraId="0318D010" w14:textId="63660275" w:rsidR="00305F6F" w:rsidRPr="00CA7C58" w:rsidRDefault="00305F6F" w:rsidP="00651E48">
      <w:pPr>
        <w:pStyle w:val="C-Heading4"/>
        <w:numPr>
          <w:ilvl w:val="0"/>
          <w:numId w:val="0"/>
        </w:numPr>
        <w:spacing w:before="120"/>
        <w:ind w:left="720" w:hanging="720"/>
        <w:rPr>
          <w:bCs/>
          <w:sz w:val="28"/>
          <w:szCs w:val="28"/>
        </w:rPr>
      </w:pPr>
      <w:r w:rsidRPr="00CA7C58">
        <w:rPr>
          <w:bCs/>
          <w:sz w:val="28"/>
          <w:szCs w:val="28"/>
        </w:rPr>
        <w:t>Summary table of changes</w:t>
      </w:r>
    </w:p>
    <w:tbl>
      <w:tblPr>
        <w:tblStyle w:val="TableGrid"/>
        <w:tblW w:w="0" w:type="auto"/>
        <w:tblLook w:val="04A0" w:firstRow="1" w:lastRow="0" w:firstColumn="1" w:lastColumn="0" w:noHBand="0" w:noVBand="1"/>
      </w:tblPr>
      <w:tblGrid>
        <w:gridCol w:w="2695"/>
        <w:gridCol w:w="6655"/>
      </w:tblGrid>
      <w:tr w:rsidR="00CA7C58" w:rsidRPr="00CA7C58" w14:paraId="19E82D88" w14:textId="77777777" w:rsidTr="00305F6F">
        <w:tc>
          <w:tcPr>
            <w:tcW w:w="2695" w:type="dxa"/>
          </w:tcPr>
          <w:p w14:paraId="286392B7" w14:textId="07B1A4E5" w:rsidR="00305F6F" w:rsidRPr="00CA7C58" w:rsidRDefault="00305F6F" w:rsidP="00305F6F">
            <w:pPr>
              <w:autoSpaceDE w:val="0"/>
              <w:autoSpaceDN w:val="0"/>
              <w:adjustRightInd w:val="0"/>
              <w:rPr>
                <w:rFonts w:ascii="Times New Roman" w:hAnsi="Times New Roman" w:cs="Times New Roman"/>
                <w:b/>
                <w:bCs/>
              </w:rPr>
            </w:pPr>
            <w:r w:rsidRPr="00CA7C58">
              <w:rPr>
                <w:rFonts w:ascii="Times New Roman" w:hAnsi="Times New Roman" w:cs="Times New Roman"/>
                <w:b/>
                <w:bCs/>
              </w:rPr>
              <w:t>Section changed</w:t>
            </w:r>
          </w:p>
        </w:tc>
        <w:tc>
          <w:tcPr>
            <w:tcW w:w="6655" w:type="dxa"/>
          </w:tcPr>
          <w:p w14:paraId="0F004F20" w14:textId="1C1F903C" w:rsidR="00305F6F" w:rsidRPr="00CA7C58" w:rsidRDefault="00305F6F" w:rsidP="00305F6F">
            <w:pPr>
              <w:autoSpaceDE w:val="0"/>
              <w:autoSpaceDN w:val="0"/>
              <w:adjustRightInd w:val="0"/>
              <w:rPr>
                <w:rFonts w:ascii="Times New Roman" w:hAnsi="Times New Roman" w:cs="Times New Roman"/>
                <w:b/>
                <w:bCs/>
              </w:rPr>
            </w:pPr>
            <w:r w:rsidRPr="00CA7C58">
              <w:rPr>
                <w:rFonts w:ascii="Times New Roman" w:hAnsi="Times New Roman" w:cs="Times New Roman"/>
                <w:b/>
                <w:bCs/>
              </w:rPr>
              <w:t>Summary of new information</w:t>
            </w:r>
          </w:p>
        </w:tc>
      </w:tr>
      <w:tr w:rsidR="00CA7C58" w:rsidRPr="00CA7C58" w14:paraId="791969BC" w14:textId="77777777" w:rsidTr="00305F6F">
        <w:tc>
          <w:tcPr>
            <w:tcW w:w="2695" w:type="dxa"/>
          </w:tcPr>
          <w:p w14:paraId="7B278901" w14:textId="2731DA00" w:rsidR="00305F6F" w:rsidRPr="00C044A0" w:rsidRDefault="00710591" w:rsidP="00C044A0">
            <w:pPr>
              <w:autoSpaceDE w:val="0"/>
              <w:autoSpaceDN w:val="0"/>
              <w:adjustRightInd w:val="0"/>
              <w:jc w:val="center"/>
              <w:rPr>
                <w:rFonts w:ascii="Times New Roman" w:hAnsi="Times New Roman" w:cs="Times New Roman"/>
              </w:rPr>
            </w:pPr>
            <w:r w:rsidRPr="00C044A0">
              <w:rPr>
                <w:rFonts w:ascii="Times New Roman" w:hAnsi="Times New Roman" w:cs="Times New Roman"/>
              </w:rPr>
              <w:t>8</w:t>
            </w:r>
          </w:p>
        </w:tc>
        <w:tc>
          <w:tcPr>
            <w:tcW w:w="6655" w:type="dxa"/>
          </w:tcPr>
          <w:p w14:paraId="36BFD9F5" w14:textId="7732EC2D" w:rsidR="00305F6F" w:rsidRPr="00A24ABC" w:rsidRDefault="00EE1229" w:rsidP="00305F6F">
            <w:pPr>
              <w:autoSpaceDE w:val="0"/>
              <w:autoSpaceDN w:val="0"/>
              <w:adjustRightInd w:val="0"/>
              <w:rPr>
                <w:rFonts w:ascii="Times New Roman" w:hAnsi="Times New Roman" w:cs="Times New Roman"/>
              </w:rPr>
            </w:pPr>
            <w:r w:rsidRPr="00A24ABC">
              <w:rPr>
                <w:rFonts w:ascii="Times New Roman" w:hAnsi="Times New Roman" w:cs="Times New Roman"/>
              </w:rPr>
              <w:t>Update to sponsor details</w:t>
            </w:r>
          </w:p>
        </w:tc>
      </w:tr>
      <w:tr w:rsidR="00CA7C58" w:rsidRPr="00CA7C58" w14:paraId="47CB031B" w14:textId="77777777" w:rsidTr="00305F6F">
        <w:tc>
          <w:tcPr>
            <w:tcW w:w="2695" w:type="dxa"/>
          </w:tcPr>
          <w:p w14:paraId="5EFA5A6A" w14:textId="5DDB8C8E" w:rsidR="00305F6F" w:rsidRPr="00D94C9C" w:rsidRDefault="00C044A0" w:rsidP="00C044A0">
            <w:pPr>
              <w:autoSpaceDE w:val="0"/>
              <w:autoSpaceDN w:val="0"/>
              <w:adjustRightInd w:val="0"/>
              <w:jc w:val="center"/>
              <w:rPr>
                <w:rFonts w:ascii="Times New Roman" w:hAnsi="Times New Roman" w:cs="Times New Roman"/>
              </w:rPr>
            </w:pPr>
            <w:r w:rsidRPr="00D94C9C">
              <w:rPr>
                <w:rFonts w:ascii="Times New Roman" w:hAnsi="Times New Roman" w:cs="Times New Roman"/>
              </w:rPr>
              <w:t>2</w:t>
            </w:r>
          </w:p>
        </w:tc>
        <w:tc>
          <w:tcPr>
            <w:tcW w:w="6655" w:type="dxa"/>
          </w:tcPr>
          <w:p w14:paraId="456B7DEF" w14:textId="7C02A92B" w:rsidR="00305F6F" w:rsidRPr="00D94C9C" w:rsidRDefault="001D494D" w:rsidP="00305F6F">
            <w:pPr>
              <w:autoSpaceDE w:val="0"/>
              <w:autoSpaceDN w:val="0"/>
              <w:adjustRightInd w:val="0"/>
              <w:rPr>
                <w:rFonts w:ascii="Times New Roman" w:hAnsi="Times New Roman" w:cs="Times New Roman"/>
              </w:rPr>
            </w:pPr>
            <w:r w:rsidRPr="00D94C9C">
              <w:rPr>
                <w:rFonts w:ascii="Times New Roman" w:hAnsi="Times New Roman" w:cs="Times New Roman"/>
              </w:rPr>
              <w:t xml:space="preserve">Revised </w:t>
            </w:r>
            <w:r w:rsidR="00DD14C2" w:rsidRPr="00D94C9C">
              <w:rPr>
                <w:rFonts w:ascii="Times New Roman" w:hAnsi="Times New Roman" w:cs="Times New Roman"/>
              </w:rPr>
              <w:t xml:space="preserve">composition representation </w:t>
            </w:r>
            <w:r w:rsidR="00606D3C" w:rsidRPr="00D94C9C">
              <w:rPr>
                <w:rFonts w:ascii="Times New Roman" w:hAnsi="Times New Roman" w:cs="Times New Roman"/>
              </w:rPr>
              <w:t>and r</w:t>
            </w:r>
            <w:r w:rsidRPr="00D94C9C">
              <w:rPr>
                <w:rFonts w:ascii="Times New Roman" w:hAnsi="Times New Roman" w:cs="Times New Roman"/>
              </w:rPr>
              <w:t xml:space="preserve">eference to </w:t>
            </w:r>
            <w:r w:rsidR="00606D3C" w:rsidRPr="00D94C9C">
              <w:rPr>
                <w:rFonts w:ascii="Times New Roman" w:hAnsi="Times New Roman" w:cs="Times New Roman"/>
              </w:rPr>
              <w:t>s</w:t>
            </w:r>
            <w:r w:rsidRPr="00D94C9C">
              <w:rPr>
                <w:rFonts w:ascii="Times New Roman" w:hAnsi="Times New Roman" w:cs="Times New Roman"/>
              </w:rPr>
              <w:t>orbitol deleted</w:t>
            </w:r>
          </w:p>
        </w:tc>
      </w:tr>
      <w:tr w:rsidR="00305F6F" w:rsidRPr="00CA7C58" w14:paraId="38BE311C" w14:textId="77777777" w:rsidTr="00305F6F">
        <w:tc>
          <w:tcPr>
            <w:tcW w:w="2695" w:type="dxa"/>
          </w:tcPr>
          <w:p w14:paraId="5242EF03" w14:textId="5A6FB8F8" w:rsidR="00305F6F" w:rsidRPr="00D94C9C" w:rsidRDefault="007A52F9" w:rsidP="00C044A0">
            <w:pPr>
              <w:autoSpaceDE w:val="0"/>
              <w:autoSpaceDN w:val="0"/>
              <w:adjustRightInd w:val="0"/>
              <w:jc w:val="center"/>
              <w:rPr>
                <w:rFonts w:ascii="Times New Roman" w:hAnsi="Times New Roman" w:cs="Times New Roman"/>
              </w:rPr>
            </w:pPr>
            <w:r w:rsidRPr="00D94C9C">
              <w:rPr>
                <w:rFonts w:ascii="Times New Roman" w:hAnsi="Times New Roman" w:cs="Times New Roman"/>
              </w:rPr>
              <w:t>3</w:t>
            </w:r>
          </w:p>
        </w:tc>
        <w:tc>
          <w:tcPr>
            <w:tcW w:w="6655" w:type="dxa"/>
          </w:tcPr>
          <w:p w14:paraId="6CD81583" w14:textId="1555DA4E" w:rsidR="00305F6F" w:rsidRPr="00D94C9C" w:rsidRDefault="00606D3C" w:rsidP="00305F6F">
            <w:pPr>
              <w:autoSpaceDE w:val="0"/>
              <w:autoSpaceDN w:val="0"/>
              <w:adjustRightInd w:val="0"/>
              <w:rPr>
                <w:rFonts w:ascii="Times New Roman" w:hAnsi="Times New Roman" w:cs="Times New Roman"/>
              </w:rPr>
            </w:pPr>
            <w:r w:rsidRPr="00D94C9C">
              <w:rPr>
                <w:rFonts w:ascii="Times New Roman" w:hAnsi="Times New Roman" w:cs="Times New Roman"/>
              </w:rPr>
              <w:t>Revised</w:t>
            </w:r>
            <w:r w:rsidR="001A34C5" w:rsidRPr="00D94C9C">
              <w:rPr>
                <w:rFonts w:ascii="Times New Roman" w:hAnsi="Times New Roman" w:cs="Times New Roman"/>
              </w:rPr>
              <w:t xml:space="preserve"> description of the product</w:t>
            </w:r>
          </w:p>
        </w:tc>
      </w:tr>
      <w:tr w:rsidR="007A52F9" w:rsidRPr="00CA7C58" w14:paraId="59AE9E6B" w14:textId="77777777" w:rsidTr="00305F6F">
        <w:tc>
          <w:tcPr>
            <w:tcW w:w="2695" w:type="dxa"/>
          </w:tcPr>
          <w:p w14:paraId="744EC066" w14:textId="38434A12" w:rsidR="007A52F9" w:rsidRPr="00D94C9C" w:rsidRDefault="007A52F9" w:rsidP="00C044A0">
            <w:pPr>
              <w:autoSpaceDE w:val="0"/>
              <w:autoSpaceDN w:val="0"/>
              <w:adjustRightInd w:val="0"/>
              <w:jc w:val="center"/>
              <w:rPr>
                <w:rFonts w:ascii="Times New Roman" w:hAnsi="Times New Roman" w:cs="Times New Roman"/>
              </w:rPr>
            </w:pPr>
            <w:r w:rsidRPr="00D94C9C">
              <w:rPr>
                <w:rFonts w:ascii="Times New Roman" w:hAnsi="Times New Roman" w:cs="Times New Roman"/>
              </w:rPr>
              <w:t>6.1</w:t>
            </w:r>
          </w:p>
        </w:tc>
        <w:tc>
          <w:tcPr>
            <w:tcW w:w="6655" w:type="dxa"/>
          </w:tcPr>
          <w:p w14:paraId="0C37F495" w14:textId="03680524" w:rsidR="007A52F9" w:rsidRPr="00D94C9C" w:rsidRDefault="001D494D" w:rsidP="00305F6F">
            <w:pPr>
              <w:autoSpaceDE w:val="0"/>
              <w:autoSpaceDN w:val="0"/>
              <w:adjustRightInd w:val="0"/>
              <w:rPr>
                <w:rFonts w:ascii="Times New Roman" w:hAnsi="Times New Roman" w:cs="Times New Roman"/>
              </w:rPr>
            </w:pPr>
            <w:r w:rsidRPr="00D94C9C">
              <w:rPr>
                <w:rFonts w:ascii="Times New Roman" w:hAnsi="Times New Roman" w:cs="Times New Roman"/>
                <w:lang w:val="en-AU"/>
              </w:rPr>
              <w:t>Added sodium hydroxide</w:t>
            </w:r>
          </w:p>
        </w:tc>
      </w:tr>
      <w:tr w:rsidR="007A52F9" w:rsidRPr="00CA7C58" w14:paraId="6700CCB0" w14:textId="77777777" w:rsidTr="00305F6F">
        <w:tc>
          <w:tcPr>
            <w:tcW w:w="2695" w:type="dxa"/>
          </w:tcPr>
          <w:p w14:paraId="66957F11" w14:textId="0BE9258F" w:rsidR="007A52F9" w:rsidRPr="00D94C9C" w:rsidRDefault="007A52F9" w:rsidP="00C044A0">
            <w:pPr>
              <w:autoSpaceDE w:val="0"/>
              <w:autoSpaceDN w:val="0"/>
              <w:adjustRightInd w:val="0"/>
              <w:jc w:val="center"/>
              <w:rPr>
                <w:rFonts w:ascii="Times New Roman" w:hAnsi="Times New Roman" w:cs="Times New Roman"/>
              </w:rPr>
            </w:pPr>
            <w:r w:rsidRPr="00D94C9C">
              <w:rPr>
                <w:rFonts w:ascii="Times New Roman" w:hAnsi="Times New Roman" w:cs="Times New Roman"/>
              </w:rPr>
              <w:t>6.5</w:t>
            </w:r>
          </w:p>
        </w:tc>
        <w:tc>
          <w:tcPr>
            <w:tcW w:w="6655" w:type="dxa"/>
          </w:tcPr>
          <w:p w14:paraId="10389D8C" w14:textId="50BC31DE" w:rsidR="007A52F9" w:rsidRPr="00D94C9C" w:rsidRDefault="00711AA0" w:rsidP="00305F6F">
            <w:pPr>
              <w:autoSpaceDE w:val="0"/>
              <w:autoSpaceDN w:val="0"/>
              <w:adjustRightInd w:val="0"/>
              <w:rPr>
                <w:rFonts w:ascii="Times New Roman" w:hAnsi="Times New Roman" w:cs="Times New Roman"/>
              </w:rPr>
            </w:pPr>
            <w:r w:rsidRPr="00D94C9C">
              <w:rPr>
                <w:rFonts w:ascii="Times New Roman" w:hAnsi="Times New Roman" w:cs="Times New Roman"/>
                <w:lang w:val="en-AU"/>
              </w:rPr>
              <w:t>Reference to “</w:t>
            </w:r>
            <w:r w:rsidRPr="00D94C9C">
              <w:rPr>
                <w:rFonts w:ascii="Times New Roman" w:hAnsi="Times New Roman" w:cs="Times New Roman"/>
              </w:rPr>
              <w:t>54 mg/mL” has been deleted</w:t>
            </w:r>
          </w:p>
        </w:tc>
      </w:tr>
      <w:tr w:rsidR="007A52F9" w:rsidRPr="00CA7C58" w14:paraId="5041C920" w14:textId="77777777" w:rsidTr="00305F6F">
        <w:tc>
          <w:tcPr>
            <w:tcW w:w="2695" w:type="dxa"/>
          </w:tcPr>
          <w:p w14:paraId="219DD012" w14:textId="06CDAA05" w:rsidR="007A52F9" w:rsidRPr="00D94C9C" w:rsidRDefault="007A52F9" w:rsidP="00C044A0">
            <w:pPr>
              <w:autoSpaceDE w:val="0"/>
              <w:autoSpaceDN w:val="0"/>
              <w:adjustRightInd w:val="0"/>
              <w:jc w:val="center"/>
              <w:rPr>
                <w:rFonts w:ascii="Times New Roman" w:hAnsi="Times New Roman" w:cs="Times New Roman"/>
              </w:rPr>
            </w:pPr>
            <w:r w:rsidRPr="00D94C9C">
              <w:rPr>
                <w:rFonts w:ascii="Times New Roman" w:hAnsi="Times New Roman" w:cs="Times New Roman"/>
              </w:rPr>
              <w:t>9</w:t>
            </w:r>
          </w:p>
        </w:tc>
        <w:tc>
          <w:tcPr>
            <w:tcW w:w="6655" w:type="dxa"/>
          </w:tcPr>
          <w:p w14:paraId="3E43F604" w14:textId="75AFB0CC" w:rsidR="007A52F9" w:rsidRPr="00D94C9C" w:rsidRDefault="00A24ABC" w:rsidP="00305F6F">
            <w:pPr>
              <w:autoSpaceDE w:val="0"/>
              <w:autoSpaceDN w:val="0"/>
              <w:adjustRightInd w:val="0"/>
              <w:rPr>
                <w:rFonts w:ascii="Times New Roman" w:hAnsi="Times New Roman" w:cs="Times New Roman"/>
              </w:rPr>
            </w:pPr>
            <w:r w:rsidRPr="00D94C9C">
              <w:rPr>
                <w:rFonts w:ascii="Times New Roman" w:hAnsi="Times New Roman" w:cs="Times New Roman"/>
              </w:rPr>
              <w:t xml:space="preserve">Date of first approval changed to 3 </w:t>
            </w:r>
            <w:r w:rsidR="00A339A8" w:rsidRPr="00D94C9C">
              <w:rPr>
                <w:rFonts w:ascii="Times New Roman" w:hAnsi="Times New Roman" w:cs="Times New Roman"/>
              </w:rPr>
              <w:t>F</w:t>
            </w:r>
            <w:r w:rsidRPr="00D94C9C">
              <w:rPr>
                <w:rFonts w:ascii="Times New Roman" w:hAnsi="Times New Roman" w:cs="Times New Roman"/>
              </w:rPr>
              <w:t>eb</w:t>
            </w:r>
            <w:r w:rsidR="00A339A8" w:rsidRPr="00D94C9C">
              <w:rPr>
                <w:rFonts w:ascii="Times New Roman" w:hAnsi="Times New Roman" w:cs="Times New Roman"/>
              </w:rPr>
              <w:t>ruary 2022</w:t>
            </w:r>
          </w:p>
        </w:tc>
      </w:tr>
    </w:tbl>
    <w:p w14:paraId="68307D43" w14:textId="7361F464" w:rsidR="00EA6494" w:rsidRPr="00CA7C58" w:rsidRDefault="00EA6494" w:rsidP="00E953DA">
      <w:pPr>
        <w:rPr>
          <w:rFonts w:ascii="Times New Roman" w:hAnsi="Times New Roman" w:cs="Times New Roman"/>
          <w:b/>
          <w:bCs/>
        </w:rPr>
      </w:pPr>
    </w:p>
    <w:sectPr w:rsidR="00EA6494" w:rsidRPr="00CA7C58" w:rsidSect="00565A85">
      <w:headerReference w:type="default" r:id="rId16"/>
      <w:footerReference w:type="default" r:id="rId17"/>
      <w:pgSz w:w="12240" w:h="15840"/>
      <w:pgMar w:top="1440" w:right="1440" w:bottom="1440" w:left="1440" w:header="720" w:footer="2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42040" w14:textId="77777777" w:rsidR="005532F0" w:rsidRDefault="005532F0" w:rsidP="008C27EA">
      <w:r>
        <w:separator/>
      </w:r>
    </w:p>
  </w:endnote>
  <w:endnote w:type="continuationSeparator" w:id="0">
    <w:p w14:paraId="79DDEE62" w14:textId="77777777" w:rsidR="005532F0" w:rsidRDefault="005532F0" w:rsidP="008C27EA">
      <w:r>
        <w:continuationSeparator/>
      </w:r>
    </w:p>
  </w:endnote>
  <w:endnote w:type="continuationNotice" w:id="1">
    <w:p w14:paraId="268F6B2C" w14:textId="77777777" w:rsidR="005532F0" w:rsidRDefault="00553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3435620"/>
      <w:docPartObj>
        <w:docPartGallery w:val="Page Numbers (Bottom of Page)"/>
        <w:docPartUnique/>
      </w:docPartObj>
    </w:sdtPr>
    <w:sdtEndPr>
      <w:rPr>
        <w:noProof/>
      </w:rPr>
    </w:sdtEndPr>
    <w:sdtContent>
      <w:p w14:paraId="26B51EED" w14:textId="227E92D1" w:rsidR="00565A85" w:rsidRDefault="00565A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31B1E8" w14:textId="1A74C974" w:rsidR="00565A85" w:rsidRPr="0044218A" w:rsidRDefault="00565A85" w:rsidP="00565A85">
    <w:pPr>
      <w:pStyle w:val="Footer"/>
      <w:rPr>
        <w:strike/>
        <w:sz w:val="22"/>
        <w:szCs w:val="22"/>
        <w:u w:val="single"/>
      </w:rPr>
    </w:pPr>
    <w:proofErr w:type="spellStart"/>
    <w:r w:rsidRPr="0044218A">
      <w:rPr>
        <w:sz w:val="22"/>
        <w:szCs w:val="22"/>
        <w:u w:val="single"/>
      </w:rPr>
      <w:t>Empaveli</w:t>
    </w:r>
    <w:proofErr w:type="spellEnd"/>
    <w:r w:rsidRPr="0044218A">
      <w:rPr>
        <w:sz w:val="22"/>
        <w:szCs w:val="22"/>
        <w:u w:val="single"/>
      </w:rPr>
      <w:t xml:space="preserve"> PI </w:t>
    </w:r>
    <w:r w:rsidR="0056231B" w:rsidRPr="0044218A">
      <w:rPr>
        <w:sz w:val="22"/>
        <w:szCs w:val="22"/>
        <w:u w:val="single"/>
      </w:rPr>
      <w:t>2</w:t>
    </w:r>
    <w:r w:rsidR="00977E42">
      <w:rPr>
        <w:sz w:val="22"/>
        <w:szCs w:val="22"/>
        <w:u w:val="single"/>
      </w:rPr>
      <w:t>8</w:t>
    </w:r>
    <w:r w:rsidR="0056231B" w:rsidRPr="0044218A">
      <w:rPr>
        <w:sz w:val="22"/>
        <w:szCs w:val="22"/>
        <w:u w:val="single"/>
      </w:rPr>
      <w:t>Mar</w:t>
    </w:r>
    <w:r w:rsidR="00582E9A" w:rsidRPr="0044218A">
      <w:rPr>
        <w:sz w:val="22"/>
        <w:szCs w:val="22"/>
        <w:u w:val="single"/>
      </w:rPr>
      <w:t>2022</w:t>
    </w:r>
  </w:p>
  <w:p w14:paraId="712502FA" w14:textId="77777777" w:rsidR="00565A85" w:rsidRDefault="0056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6D085" w14:textId="77777777" w:rsidR="005532F0" w:rsidRDefault="005532F0" w:rsidP="008C27EA">
      <w:r>
        <w:separator/>
      </w:r>
    </w:p>
  </w:footnote>
  <w:footnote w:type="continuationSeparator" w:id="0">
    <w:p w14:paraId="33967354" w14:textId="77777777" w:rsidR="005532F0" w:rsidRDefault="005532F0" w:rsidP="008C27EA">
      <w:r>
        <w:continuationSeparator/>
      </w:r>
    </w:p>
  </w:footnote>
  <w:footnote w:type="continuationNotice" w:id="1">
    <w:p w14:paraId="19A95F1F" w14:textId="77777777" w:rsidR="005532F0" w:rsidRDefault="00553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shd w:val="clear" w:color="auto" w:fill="E4F2E0"/>
      <w:tblLook w:val="04A0" w:firstRow="1" w:lastRow="0" w:firstColumn="1" w:lastColumn="0" w:noHBand="0" w:noVBand="1"/>
    </w:tblPr>
    <w:tblGrid>
      <w:gridCol w:w="9039"/>
    </w:tblGrid>
    <w:tr w:rsidR="00F97D39" w:rsidRPr="000B2145" w14:paraId="05610DD4" w14:textId="77777777" w:rsidTr="00F97D39">
      <w:trPr>
        <w:trHeight w:val="1012"/>
        <w:jc w:val="center"/>
      </w:trPr>
      <w:tc>
        <w:tcPr>
          <w:tcW w:w="9039" w:type="dxa"/>
          <w:shd w:val="clear" w:color="auto" w:fill="E4F2E0"/>
        </w:tcPr>
        <w:p w14:paraId="0B92E088" w14:textId="77777777" w:rsidR="00F97D39" w:rsidRPr="006C7F08" w:rsidRDefault="00F97D39" w:rsidP="00F97D39">
          <w:pPr>
            <w:pStyle w:val="Footer"/>
            <w:tabs>
              <w:tab w:val="center" w:pos="4513"/>
              <w:tab w:val="right" w:pos="9026"/>
            </w:tabs>
            <w:rPr>
              <w:b/>
              <w:sz w:val="18"/>
              <w:szCs w:val="18"/>
            </w:rPr>
          </w:pPr>
          <w:bookmarkStart w:id="47" w:name="_Hlk80611440"/>
          <w:r w:rsidRPr="000E4791">
            <w:rPr>
              <w:b/>
              <w:sz w:val="18"/>
              <w:szCs w:val="18"/>
            </w:rPr>
            <w:t>Attachment 1</w:t>
          </w:r>
          <w:r>
            <w:t xml:space="preserve"> </w:t>
          </w:r>
          <w:proofErr w:type="spellStart"/>
          <w:r w:rsidRPr="006C7F08">
            <w:rPr>
              <w:b/>
              <w:sz w:val="18"/>
              <w:szCs w:val="18"/>
            </w:rPr>
            <w:t>AusPAR</w:t>
          </w:r>
          <w:proofErr w:type="spellEnd"/>
          <w:r w:rsidRPr="006C7F08">
            <w:rPr>
              <w:b/>
              <w:sz w:val="18"/>
              <w:szCs w:val="18"/>
            </w:rPr>
            <w:t xml:space="preserve"> - </w:t>
          </w:r>
          <w:proofErr w:type="spellStart"/>
          <w:r w:rsidRPr="006C7F08">
            <w:rPr>
              <w:b/>
              <w:sz w:val="18"/>
              <w:szCs w:val="18"/>
            </w:rPr>
            <w:t>Empaveli</w:t>
          </w:r>
          <w:proofErr w:type="spellEnd"/>
          <w:r w:rsidRPr="006C7F08">
            <w:rPr>
              <w:b/>
              <w:sz w:val="18"/>
              <w:szCs w:val="18"/>
            </w:rPr>
            <w:t xml:space="preserve"> - </w:t>
          </w:r>
          <w:proofErr w:type="spellStart"/>
          <w:r w:rsidRPr="006C7F08">
            <w:rPr>
              <w:b/>
              <w:sz w:val="18"/>
              <w:szCs w:val="18"/>
            </w:rPr>
            <w:t>pegcetacoplan</w:t>
          </w:r>
          <w:proofErr w:type="spellEnd"/>
          <w:r w:rsidRPr="006C7F08">
            <w:rPr>
              <w:b/>
              <w:sz w:val="18"/>
              <w:szCs w:val="18"/>
            </w:rPr>
            <w:t xml:space="preserve"> - Apellis Australia Pty Ltd - PM-2020-05447-1-6</w:t>
          </w:r>
        </w:p>
        <w:p w14:paraId="1CBC7855" w14:textId="77777777" w:rsidR="00F97D39" w:rsidRPr="000E4791" w:rsidRDefault="00F97D39" w:rsidP="00F97D39">
          <w:pPr>
            <w:pStyle w:val="Footer"/>
            <w:rPr>
              <w:b/>
              <w:sz w:val="18"/>
              <w:szCs w:val="18"/>
            </w:rPr>
          </w:pPr>
          <w:r w:rsidRPr="006C7F08">
            <w:rPr>
              <w:b/>
              <w:sz w:val="18"/>
              <w:szCs w:val="18"/>
            </w:rPr>
            <w:t>Final 9 August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47"/>
  </w:tbl>
  <w:p w14:paraId="4171A88E" w14:textId="77777777" w:rsidR="00F97D39" w:rsidRDefault="00F97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6.5pt;height:13.5pt;visibility:visible" o:bullet="t">
        <v:imagedata r:id="rId1" o:title="BT_1000x858px"/>
      </v:shape>
    </w:pict>
  </w:numPicBullet>
  <w:abstractNum w:abstractNumId="0" w15:restartNumberingAfterBreak="0">
    <w:nsid w:val="E0F473C2"/>
    <w:multiLevelType w:val="hybridMultilevel"/>
    <w:tmpl w:val="0F8A6F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416EB"/>
    <w:multiLevelType w:val="hybridMultilevel"/>
    <w:tmpl w:val="05E4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A4C3A"/>
    <w:multiLevelType w:val="hybridMultilevel"/>
    <w:tmpl w:val="3362B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28A9"/>
    <w:multiLevelType w:val="multilevel"/>
    <w:tmpl w:val="0EAA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027BC"/>
    <w:multiLevelType w:val="hybridMultilevel"/>
    <w:tmpl w:val="1786BB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9519FB"/>
    <w:multiLevelType w:val="multilevel"/>
    <w:tmpl w:val="C9C2D5E0"/>
    <w:lvl w:ilvl="0">
      <w:start w:val="4"/>
      <w:numFmt w:val="decimal"/>
      <w:lvlText w:val="%1"/>
      <w:lvlJc w:val="left"/>
      <w:pPr>
        <w:ind w:left="640" w:hanging="6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9B28DC"/>
    <w:multiLevelType w:val="hybridMultilevel"/>
    <w:tmpl w:val="74E865DE"/>
    <w:lvl w:ilvl="0" w:tplc="12B4EF7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62594"/>
    <w:multiLevelType w:val="hybridMultilevel"/>
    <w:tmpl w:val="D65E7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26166"/>
    <w:multiLevelType w:val="hybridMultilevel"/>
    <w:tmpl w:val="A9E2E764"/>
    <w:lvl w:ilvl="0" w:tplc="814004D4">
      <w:start w:val="1"/>
      <w:numFmt w:val="bullet"/>
      <w:lvlText w:val=""/>
      <w:lvlPicBulletId w:val="0"/>
      <w:lvlJc w:val="left"/>
      <w:pPr>
        <w:tabs>
          <w:tab w:val="num" w:pos="720"/>
        </w:tabs>
        <w:ind w:left="720" w:hanging="360"/>
      </w:pPr>
      <w:rPr>
        <w:rFonts w:ascii="Symbol" w:hAnsi="Symbol" w:hint="default"/>
      </w:rPr>
    </w:lvl>
    <w:lvl w:ilvl="1" w:tplc="8E98EBC4" w:tentative="1">
      <w:start w:val="1"/>
      <w:numFmt w:val="bullet"/>
      <w:lvlText w:val=""/>
      <w:lvlJc w:val="left"/>
      <w:pPr>
        <w:tabs>
          <w:tab w:val="num" w:pos="1440"/>
        </w:tabs>
        <w:ind w:left="1440" w:hanging="360"/>
      </w:pPr>
      <w:rPr>
        <w:rFonts w:ascii="Symbol" w:hAnsi="Symbol" w:hint="default"/>
      </w:rPr>
    </w:lvl>
    <w:lvl w:ilvl="2" w:tplc="515ED558" w:tentative="1">
      <w:start w:val="1"/>
      <w:numFmt w:val="bullet"/>
      <w:lvlText w:val=""/>
      <w:lvlJc w:val="left"/>
      <w:pPr>
        <w:tabs>
          <w:tab w:val="num" w:pos="2160"/>
        </w:tabs>
        <w:ind w:left="2160" w:hanging="360"/>
      </w:pPr>
      <w:rPr>
        <w:rFonts w:ascii="Symbol" w:hAnsi="Symbol" w:hint="default"/>
      </w:rPr>
    </w:lvl>
    <w:lvl w:ilvl="3" w:tplc="0E067288" w:tentative="1">
      <w:start w:val="1"/>
      <w:numFmt w:val="bullet"/>
      <w:lvlText w:val=""/>
      <w:lvlJc w:val="left"/>
      <w:pPr>
        <w:tabs>
          <w:tab w:val="num" w:pos="2880"/>
        </w:tabs>
        <w:ind w:left="2880" w:hanging="360"/>
      </w:pPr>
      <w:rPr>
        <w:rFonts w:ascii="Symbol" w:hAnsi="Symbol" w:hint="default"/>
      </w:rPr>
    </w:lvl>
    <w:lvl w:ilvl="4" w:tplc="3F1C8FAA" w:tentative="1">
      <w:start w:val="1"/>
      <w:numFmt w:val="bullet"/>
      <w:lvlText w:val=""/>
      <w:lvlJc w:val="left"/>
      <w:pPr>
        <w:tabs>
          <w:tab w:val="num" w:pos="3600"/>
        </w:tabs>
        <w:ind w:left="3600" w:hanging="360"/>
      </w:pPr>
      <w:rPr>
        <w:rFonts w:ascii="Symbol" w:hAnsi="Symbol" w:hint="default"/>
      </w:rPr>
    </w:lvl>
    <w:lvl w:ilvl="5" w:tplc="141CE224" w:tentative="1">
      <w:start w:val="1"/>
      <w:numFmt w:val="bullet"/>
      <w:lvlText w:val=""/>
      <w:lvlJc w:val="left"/>
      <w:pPr>
        <w:tabs>
          <w:tab w:val="num" w:pos="4320"/>
        </w:tabs>
        <w:ind w:left="4320" w:hanging="360"/>
      </w:pPr>
      <w:rPr>
        <w:rFonts w:ascii="Symbol" w:hAnsi="Symbol" w:hint="default"/>
      </w:rPr>
    </w:lvl>
    <w:lvl w:ilvl="6" w:tplc="01BC04AC" w:tentative="1">
      <w:start w:val="1"/>
      <w:numFmt w:val="bullet"/>
      <w:lvlText w:val=""/>
      <w:lvlJc w:val="left"/>
      <w:pPr>
        <w:tabs>
          <w:tab w:val="num" w:pos="5040"/>
        </w:tabs>
        <w:ind w:left="5040" w:hanging="360"/>
      </w:pPr>
      <w:rPr>
        <w:rFonts w:ascii="Symbol" w:hAnsi="Symbol" w:hint="default"/>
      </w:rPr>
    </w:lvl>
    <w:lvl w:ilvl="7" w:tplc="8F60DA34" w:tentative="1">
      <w:start w:val="1"/>
      <w:numFmt w:val="bullet"/>
      <w:lvlText w:val=""/>
      <w:lvlJc w:val="left"/>
      <w:pPr>
        <w:tabs>
          <w:tab w:val="num" w:pos="5760"/>
        </w:tabs>
        <w:ind w:left="5760" w:hanging="360"/>
      </w:pPr>
      <w:rPr>
        <w:rFonts w:ascii="Symbol" w:hAnsi="Symbol" w:hint="default"/>
      </w:rPr>
    </w:lvl>
    <w:lvl w:ilvl="8" w:tplc="762620B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6C74745"/>
    <w:multiLevelType w:val="hybridMultilevel"/>
    <w:tmpl w:val="E35CF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4F2E6B"/>
    <w:multiLevelType w:val="hybridMultilevel"/>
    <w:tmpl w:val="95C40428"/>
    <w:lvl w:ilvl="0" w:tplc="3B22DA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B326F"/>
    <w:multiLevelType w:val="hybridMultilevel"/>
    <w:tmpl w:val="37041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32533"/>
    <w:multiLevelType w:val="hybridMultilevel"/>
    <w:tmpl w:val="C00644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C5E32"/>
    <w:multiLevelType w:val="hybridMultilevel"/>
    <w:tmpl w:val="E3C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1664E"/>
    <w:multiLevelType w:val="hybridMultilevel"/>
    <w:tmpl w:val="33E8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564DB"/>
    <w:multiLevelType w:val="hybridMultilevel"/>
    <w:tmpl w:val="CEA4F1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F4BBC"/>
    <w:multiLevelType w:val="hybridMultilevel"/>
    <w:tmpl w:val="4D869562"/>
    <w:lvl w:ilvl="0" w:tplc="C4A2049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8" w15:restartNumberingAfterBreak="0">
    <w:nsid w:val="41D12FDE"/>
    <w:multiLevelType w:val="hybridMultilevel"/>
    <w:tmpl w:val="35243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6BD7F5F"/>
    <w:multiLevelType w:val="hybridMultilevel"/>
    <w:tmpl w:val="D65E7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102B7"/>
    <w:multiLevelType w:val="hybridMultilevel"/>
    <w:tmpl w:val="D35AA70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B7BF9"/>
    <w:multiLevelType w:val="hybridMultilevel"/>
    <w:tmpl w:val="A6B04F9E"/>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D934160"/>
    <w:multiLevelType w:val="multilevel"/>
    <w:tmpl w:val="5DC48B64"/>
    <w:lvl w:ilvl="0">
      <w:start w:val="1"/>
      <w:numFmt w:val="decimal"/>
      <w:lvlText w:val="%1."/>
      <w:lvlJc w:val="left"/>
      <w:pPr>
        <w:tabs>
          <w:tab w:val="num" w:pos="864"/>
        </w:tabs>
        <w:ind w:left="864" w:hanging="576"/>
      </w:pPr>
      <w:rPr>
        <w:rFonts w:ascii="Helvetica" w:hAnsi="Helvetica" w:hint="default"/>
        <w:b/>
        <w:i w:val="0"/>
        <w:sz w:val="16"/>
        <w:szCs w:val="16"/>
      </w:rPr>
    </w:lvl>
    <w:lvl w:ilvl="1">
      <w:start w:val="1"/>
      <w:numFmt w:val="decimal"/>
      <w:lvlText w:val="%1.%2"/>
      <w:lvlJc w:val="left"/>
      <w:pPr>
        <w:tabs>
          <w:tab w:val="num" w:pos="360"/>
        </w:tabs>
        <w:ind w:left="360" w:hanging="360"/>
      </w:pPr>
      <w:rPr>
        <w:rFonts w:ascii="Helvetica" w:hAnsi="Helvetica" w:hint="default"/>
        <w:b/>
        <w:i w:val="0"/>
        <w:sz w:val="16"/>
        <w:szCs w:val="16"/>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3161"/>
        </w:tabs>
        <w:ind w:left="3161" w:hanging="720"/>
      </w:pPr>
      <w:rPr>
        <w:rFonts w:hint="default"/>
      </w:rPr>
    </w:lvl>
    <w:lvl w:ilvl="4">
      <w:start w:val="1"/>
      <w:numFmt w:val="decimal"/>
      <w:lvlText w:val="%1.%2.%3.%4.%5"/>
      <w:lvlJc w:val="left"/>
      <w:pPr>
        <w:tabs>
          <w:tab w:val="num" w:pos="4241"/>
        </w:tabs>
        <w:ind w:left="4241" w:hanging="1080"/>
      </w:pPr>
      <w:rPr>
        <w:rFonts w:hint="default"/>
      </w:rPr>
    </w:lvl>
    <w:lvl w:ilvl="5">
      <w:start w:val="1"/>
      <w:numFmt w:val="decimal"/>
      <w:lvlText w:val="%1.%2.%3.%4.%5.%6"/>
      <w:lvlJc w:val="left"/>
      <w:pPr>
        <w:tabs>
          <w:tab w:val="num" w:pos="4961"/>
        </w:tabs>
        <w:ind w:left="4961" w:hanging="1080"/>
      </w:pPr>
      <w:rPr>
        <w:rFonts w:hint="default"/>
      </w:rPr>
    </w:lvl>
    <w:lvl w:ilvl="6">
      <w:start w:val="1"/>
      <w:numFmt w:val="decimal"/>
      <w:lvlText w:val="%1.%2.%3.%4.%5.%6.%7"/>
      <w:lvlJc w:val="left"/>
      <w:pPr>
        <w:tabs>
          <w:tab w:val="num" w:pos="6041"/>
        </w:tabs>
        <w:ind w:left="6041" w:hanging="1440"/>
      </w:pPr>
      <w:rPr>
        <w:rFonts w:hint="default"/>
      </w:rPr>
    </w:lvl>
    <w:lvl w:ilvl="7">
      <w:start w:val="1"/>
      <w:numFmt w:val="decimal"/>
      <w:lvlText w:val="%1.%2.%3.%4.%5.%6.%7.%8"/>
      <w:lvlJc w:val="left"/>
      <w:pPr>
        <w:tabs>
          <w:tab w:val="num" w:pos="6761"/>
        </w:tabs>
        <w:ind w:left="6761" w:hanging="1440"/>
      </w:pPr>
      <w:rPr>
        <w:rFonts w:hint="default"/>
      </w:rPr>
    </w:lvl>
    <w:lvl w:ilvl="8">
      <w:start w:val="1"/>
      <w:numFmt w:val="decimal"/>
      <w:lvlText w:val="%1.%2.%3.%4.%5.%6.%7.%8.%9"/>
      <w:lvlJc w:val="left"/>
      <w:pPr>
        <w:tabs>
          <w:tab w:val="num" w:pos="7481"/>
        </w:tabs>
        <w:ind w:left="7481" w:hanging="1440"/>
      </w:pPr>
      <w:rPr>
        <w:rFonts w:hint="default"/>
      </w:rPr>
    </w:lvl>
  </w:abstractNum>
  <w:abstractNum w:abstractNumId="23" w15:restartNumberingAfterBreak="0">
    <w:nsid w:val="4FB05981"/>
    <w:multiLevelType w:val="hybridMultilevel"/>
    <w:tmpl w:val="D3A8523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373E0B"/>
    <w:multiLevelType w:val="hybridMultilevel"/>
    <w:tmpl w:val="D1F42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761A0"/>
    <w:multiLevelType w:val="hybridMultilevel"/>
    <w:tmpl w:val="E092DEF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05FD8"/>
    <w:multiLevelType w:val="hybridMultilevel"/>
    <w:tmpl w:val="718C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B2622"/>
    <w:multiLevelType w:val="hybridMultilevel"/>
    <w:tmpl w:val="650E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93BAE"/>
    <w:multiLevelType w:val="hybridMultilevel"/>
    <w:tmpl w:val="9B941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357C48"/>
    <w:multiLevelType w:val="hybridMultilevel"/>
    <w:tmpl w:val="58F88F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B50CCA"/>
    <w:multiLevelType w:val="hybridMultilevel"/>
    <w:tmpl w:val="BE1A9C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A0175"/>
    <w:multiLevelType w:val="hybridMultilevel"/>
    <w:tmpl w:val="B14ADE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239E8"/>
    <w:multiLevelType w:val="hybridMultilevel"/>
    <w:tmpl w:val="6BFADFA2"/>
    <w:lvl w:ilvl="0" w:tplc="537C274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864557"/>
    <w:multiLevelType w:val="hybridMultilevel"/>
    <w:tmpl w:val="A5541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AF384E"/>
    <w:multiLevelType w:val="hybridMultilevel"/>
    <w:tmpl w:val="72243D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23378C"/>
    <w:multiLevelType w:val="hybridMultilevel"/>
    <w:tmpl w:val="87AC3A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26"/>
  </w:num>
  <w:num w:numId="4">
    <w:abstractNumId w:val="28"/>
  </w:num>
  <w:num w:numId="5">
    <w:abstractNumId w:val="17"/>
  </w:num>
  <w:num w:numId="6">
    <w:abstractNumId w:val="3"/>
  </w:num>
  <w:num w:numId="7">
    <w:abstractNumId w:val="23"/>
  </w:num>
  <w:num w:numId="8">
    <w:abstractNumId w:val="35"/>
  </w:num>
  <w:num w:numId="9">
    <w:abstractNumId w:val="18"/>
  </w:num>
  <w:num w:numId="10">
    <w:abstractNumId w:val="7"/>
  </w:num>
  <w:num w:numId="11">
    <w:abstractNumId w:val="19"/>
  </w:num>
  <w:num w:numId="12">
    <w:abstractNumId w:val="13"/>
  </w:num>
  <w:num w:numId="13">
    <w:abstractNumId w:val="21"/>
  </w:num>
  <w:num w:numId="14">
    <w:abstractNumId w:val="12"/>
  </w:num>
  <w:num w:numId="15">
    <w:abstractNumId w:val="34"/>
  </w:num>
  <w:num w:numId="16">
    <w:abstractNumId w:val="4"/>
  </w:num>
  <w:num w:numId="17">
    <w:abstractNumId w:val="12"/>
    <w:lvlOverride w:ilvl="0">
      <w:lvl w:ilvl="0" w:tplc="0409000F">
        <w:start w:val="1"/>
        <w:numFmt w:val="decimal"/>
        <w:lvlText w:val="%1."/>
        <w:lvlJc w:val="left"/>
        <w:pPr>
          <w:ind w:left="720" w:hanging="360"/>
        </w:pPr>
        <w:rPr>
          <w:rFonts w:hint="default"/>
        </w:rPr>
      </w:lvl>
    </w:lvlOverride>
    <w:lvlOverride w:ilvl="1">
      <w:lvl w:ilvl="1" w:tplc="04090003" w:tentative="1">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18">
    <w:abstractNumId w:val="6"/>
  </w:num>
  <w:num w:numId="19">
    <w:abstractNumId w:val="30"/>
  </w:num>
  <w:num w:numId="20">
    <w:abstractNumId w:val="16"/>
  </w:num>
  <w:num w:numId="21">
    <w:abstractNumId w:val="25"/>
  </w:num>
  <w:num w:numId="22">
    <w:abstractNumId w:val="32"/>
  </w:num>
  <w:num w:numId="23">
    <w:abstractNumId w:val="10"/>
  </w:num>
  <w:num w:numId="24">
    <w:abstractNumId w:val="29"/>
  </w:num>
  <w:num w:numId="25">
    <w:abstractNumId w:val="20"/>
  </w:num>
  <w:num w:numId="26">
    <w:abstractNumId w:val="24"/>
  </w:num>
  <w:num w:numId="27">
    <w:abstractNumId w:val="15"/>
  </w:num>
  <w:num w:numId="28">
    <w:abstractNumId w:val="17"/>
  </w:num>
  <w:num w:numId="29">
    <w:abstractNumId w:val="17"/>
  </w:num>
  <w:num w:numId="30">
    <w:abstractNumId w:val="17"/>
  </w:num>
  <w:num w:numId="31">
    <w:abstractNumId w:val="5"/>
  </w:num>
  <w:num w:numId="32">
    <w:abstractNumId w:val="31"/>
  </w:num>
  <w:num w:numId="33">
    <w:abstractNumId w:val="11"/>
  </w:num>
  <w:num w:numId="34">
    <w:abstractNumId w:val="27"/>
  </w:num>
  <w:num w:numId="35">
    <w:abstractNumId w:val="22"/>
  </w:num>
  <w:num w:numId="36">
    <w:abstractNumId w:val="33"/>
  </w:num>
  <w:num w:numId="37">
    <w:abstractNumId w:val="17"/>
  </w:num>
  <w:num w:numId="38">
    <w:abstractNumId w:val="17"/>
  </w:num>
  <w:num w:numId="39">
    <w:abstractNumId w:val="14"/>
  </w:num>
  <w:num w:numId="40">
    <w:abstractNumId w:val="0"/>
  </w:num>
  <w:num w:numId="41">
    <w:abstractNumId w:val="1"/>
  </w:num>
  <w:num w:numId="4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D6"/>
    <w:rsid w:val="0000140E"/>
    <w:rsid w:val="00001689"/>
    <w:rsid w:val="0000183C"/>
    <w:rsid w:val="0000384B"/>
    <w:rsid w:val="00010521"/>
    <w:rsid w:val="00011428"/>
    <w:rsid w:val="00011B94"/>
    <w:rsid w:val="00015E21"/>
    <w:rsid w:val="00016A3F"/>
    <w:rsid w:val="00017298"/>
    <w:rsid w:val="0001788D"/>
    <w:rsid w:val="0001789E"/>
    <w:rsid w:val="000229E5"/>
    <w:rsid w:val="00031B34"/>
    <w:rsid w:val="00034A66"/>
    <w:rsid w:val="0003639D"/>
    <w:rsid w:val="00037637"/>
    <w:rsid w:val="0004562A"/>
    <w:rsid w:val="000528EA"/>
    <w:rsid w:val="0005525C"/>
    <w:rsid w:val="000554BA"/>
    <w:rsid w:val="000555F6"/>
    <w:rsid w:val="0005590A"/>
    <w:rsid w:val="00060838"/>
    <w:rsid w:val="000608B5"/>
    <w:rsid w:val="00061CCD"/>
    <w:rsid w:val="0006305C"/>
    <w:rsid w:val="00063743"/>
    <w:rsid w:val="00066FE6"/>
    <w:rsid w:val="00067154"/>
    <w:rsid w:val="00073A14"/>
    <w:rsid w:val="00076FF9"/>
    <w:rsid w:val="0008009C"/>
    <w:rsid w:val="00080C08"/>
    <w:rsid w:val="0008128F"/>
    <w:rsid w:val="00081F8A"/>
    <w:rsid w:val="000836E5"/>
    <w:rsid w:val="00083816"/>
    <w:rsid w:val="00083E38"/>
    <w:rsid w:val="000855FC"/>
    <w:rsid w:val="00087C93"/>
    <w:rsid w:val="000914E1"/>
    <w:rsid w:val="00092A11"/>
    <w:rsid w:val="00092FA6"/>
    <w:rsid w:val="00094530"/>
    <w:rsid w:val="0009454C"/>
    <w:rsid w:val="00094C60"/>
    <w:rsid w:val="00096674"/>
    <w:rsid w:val="00096AB0"/>
    <w:rsid w:val="00096DEF"/>
    <w:rsid w:val="000A07BC"/>
    <w:rsid w:val="000A0A31"/>
    <w:rsid w:val="000A22BB"/>
    <w:rsid w:val="000A3548"/>
    <w:rsid w:val="000A3AE8"/>
    <w:rsid w:val="000B0792"/>
    <w:rsid w:val="000B3BB8"/>
    <w:rsid w:val="000B4BEB"/>
    <w:rsid w:val="000B511C"/>
    <w:rsid w:val="000B609D"/>
    <w:rsid w:val="000B6BA9"/>
    <w:rsid w:val="000B7B21"/>
    <w:rsid w:val="000C2A61"/>
    <w:rsid w:val="000C3A58"/>
    <w:rsid w:val="000C3CE0"/>
    <w:rsid w:val="000C5DA6"/>
    <w:rsid w:val="000C6A43"/>
    <w:rsid w:val="000C76F7"/>
    <w:rsid w:val="000D0254"/>
    <w:rsid w:val="000D05E1"/>
    <w:rsid w:val="000D2AAC"/>
    <w:rsid w:val="000D30CE"/>
    <w:rsid w:val="000D370D"/>
    <w:rsid w:val="000D3DE7"/>
    <w:rsid w:val="000D5D98"/>
    <w:rsid w:val="000D6F2A"/>
    <w:rsid w:val="000E0947"/>
    <w:rsid w:val="000E1C1C"/>
    <w:rsid w:val="000E2AE6"/>
    <w:rsid w:val="000E36C7"/>
    <w:rsid w:val="000F61DC"/>
    <w:rsid w:val="000F65AE"/>
    <w:rsid w:val="00100BE1"/>
    <w:rsid w:val="001012C3"/>
    <w:rsid w:val="0010202D"/>
    <w:rsid w:val="00102031"/>
    <w:rsid w:val="001023FD"/>
    <w:rsid w:val="00105815"/>
    <w:rsid w:val="001067A4"/>
    <w:rsid w:val="0011296B"/>
    <w:rsid w:val="00114E29"/>
    <w:rsid w:val="001159B3"/>
    <w:rsid w:val="00115E9F"/>
    <w:rsid w:val="001219C0"/>
    <w:rsid w:val="00121B68"/>
    <w:rsid w:val="001239E4"/>
    <w:rsid w:val="00124B12"/>
    <w:rsid w:val="0012694B"/>
    <w:rsid w:val="001305F4"/>
    <w:rsid w:val="00130B73"/>
    <w:rsid w:val="001330FB"/>
    <w:rsid w:val="001331AA"/>
    <w:rsid w:val="001356A0"/>
    <w:rsid w:val="00140950"/>
    <w:rsid w:val="001412A1"/>
    <w:rsid w:val="00141E51"/>
    <w:rsid w:val="00142BA7"/>
    <w:rsid w:val="001439AA"/>
    <w:rsid w:val="0014689D"/>
    <w:rsid w:val="00146F79"/>
    <w:rsid w:val="001506AA"/>
    <w:rsid w:val="0015116D"/>
    <w:rsid w:val="001523BF"/>
    <w:rsid w:val="001543D7"/>
    <w:rsid w:val="00154A40"/>
    <w:rsid w:val="001550F4"/>
    <w:rsid w:val="001571D3"/>
    <w:rsid w:val="00161A56"/>
    <w:rsid w:val="001648EE"/>
    <w:rsid w:val="00165FA9"/>
    <w:rsid w:val="0017631E"/>
    <w:rsid w:val="00176682"/>
    <w:rsid w:val="0018364D"/>
    <w:rsid w:val="00183E18"/>
    <w:rsid w:val="00184DC0"/>
    <w:rsid w:val="0019270F"/>
    <w:rsid w:val="0019624A"/>
    <w:rsid w:val="00197789"/>
    <w:rsid w:val="001A025F"/>
    <w:rsid w:val="001A0C25"/>
    <w:rsid w:val="001A1399"/>
    <w:rsid w:val="001A3047"/>
    <w:rsid w:val="001A34C5"/>
    <w:rsid w:val="001A48C9"/>
    <w:rsid w:val="001A5F0E"/>
    <w:rsid w:val="001A7E94"/>
    <w:rsid w:val="001B009A"/>
    <w:rsid w:val="001B0302"/>
    <w:rsid w:val="001B610F"/>
    <w:rsid w:val="001B7790"/>
    <w:rsid w:val="001C4C46"/>
    <w:rsid w:val="001C4D01"/>
    <w:rsid w:val="001C5A9F"/>
    <w:rsid w:val="001C65DC"/>
    <w:rsid w:val="001D3198"/>
    <w:rsid w:val="001D494D"/>
    <w:rsid w:val="001D5390"/>
    <w:rsid w:val="001D6C2B"/>
    <w:rsid w:val="001D6D42"/>
    <w:rsid w:val="001E02E4"/>
    <w:rsid w:val="001E40C9"/>
    <w:rsid w:val="001E4CB4"/>
    <w:rsid w:val="001E6BBE"/>
    <w:rsid w:val="001F2E7A"/>
    <w:rsid w:val="001F4791"/>
    <w:rsid w:val="00200163"/>
    <w:rsid w:val="002023B4"/>
    <w:rsid w:val="002025A1"/>
    <w:rsid w:val="002026BA"/>
    <w:rsid w:val="0020600C"/>
    <w:rsid w:val="00215518"/>
    <w:rsid w:val="00216F1A"/>
    <w:rsid w:val="00217066"/>
    <w:rsid w:val="0022028E"/>
    <w:rsid w:val="00220C6D"/>
    <w:rsid w:val="00220E93"/>
    <w:rsid w:val="00221ACA"/>
    <w:rsid w:val="00221B4C"/>
    <w:rsid w:val="00223490"/>
    <w:rsid w:val="00225B73"/>
    <w:rsid w:val="00225BBF"/>
    <w:rsid w:val="00226114"/>
    <w:rsid w:val="00227DF1"/>
    <w:rsid w:val="00234DDC"/>
    <w:rsid w:val="00240764"/>
    <w:rsid w:val="002412A2"/>
    <w:rsid w:val="00241530"/>
    <w:rsid w:val="00242F65"/>
    <w:rsid w:val="00245184"/>
    <w:rsid w:val="0024522C"/>
    <w:rsid w:val="00247228"/>
    <w:rsid w:val="00255E00"/>
    <w:rsid w:val="00257FCE"/>
    <w:rsid w:val="002665D6"/>
    <w:rsid w:val="002673DC"/>
    <w:rsid w:val="002715BC"/>
    <w:rsid w:val="002717C1"/>
    <w:rsid w:val="00271DDA"/>
    <w:rsid w:val="00274034"/>
    <w:rsid w:val="00275D4E"/>
    <w:rsid w:val="00277802"/>
    <w:rsid w:val="00281099"/>
    <w:rsid w:val="00281A18"/>
    <w:rsid w:val="00284888"/>
    <w:rsid w:val="00287522"/>
    <w:rsid w:val="002911F8"/>
    <w:rsid w:val="00292488"/>
    <w:rsid w:val="00293E1E"/>
    <w:rsid w:val="002940BC"/>
    <w:rsid w:val="00294697"/>
    <w:rsid w:val="0029760F"/>
    <w:rsid w:val="002A0083"/>
    <w:rsid w:val="002A11B0"/>
    <w:rsid w:val="002A5EAB"/>
    <w:rsid w:val="002A643E"/>
    <w:rsid w:val="002A6BE1"/>
    <w:rsid w:val="002A6CE8"/>
    <w:rsid w:val="002A7ABD"/>
    <w:rsid w:val="002B0725"/>
    <w:rsid w:val="002B1118"/>
    <w:rsid w:val="002B1AAC"/>
    <w:rsid w:val="002B37AC"/>
    <w:rsid w:val="002B6AD2"/>
    <w:rsid w:val="002C02A0"/>
    <w:rsid w:val="002C09C1"/>
    <w:rsid w:val="002C13B1"/>
    <w:rsid w:val="002C2CD8"/>
    <w:rsid w:val="002C2DD2"/>
    <w:rsid w:val="002C3AA7"/>
    <w:rsid w:val="002C3C40"/>
    <w:rsid w:val="002D0E1A"/>
    <w:rsid w:val="002D2DBD"/>
    <w:rsid w:val="002D3C0D"/>
    <w:rsid w:val="002D57B4"/>
    <w:rsid w:val="002D63D5"/>
    <w:rsid w:val="002D75D5"/>
    <w:rsid w:val="002E0A85"/>
    <w:rsid w:val="002E2081"/>
    <w:rsid w:val="002E41B0"/>
    <w:rsid w:val="002E434D"/>
    <w:rsid w:val="002E50E9"/>
    <w:rsid w:val="002E718C"/>
    <w:rsid w:val="002E72B1"/>
    <w:rsid w:val="002E7DC6"/>
    <w:rsid w:val="002F24FA"/>
    <w:rsid w:val="002F33C3"/>
    <w:rsid w:val="002F54D1"/>
    <w:rsid w:val="002F7550"/>
    <w:rsid w:val="003020FF"/>
    <w:rsid w:val="00305F6F"/>
    <w:rsid w:val="003115AD"/>
    <w:rsid w:val="003130CF"/>
    <w:rsid w:val="00313D12"/>
    <w:rsid w:val="003164E1"/>
    <w:rsid w:val="00316EFD"/>
    <w:rsid w:val="003223D3"/>
    <w:rsid w:val="00322E43"/>
    <w:rsid w:val="003244F6"/>
    <w:rsid w:val="00325AC7"/>
    <w:rsid w:val="00326E68"/>
    <w:rsid w:val="00327950"/>
    <w:rsid w:val="00327D45"/>
    <w:rsid w:val="00333803"/>
    <w:rsid w:val="00334978"/>
    <w:rsid w:val="00335325"/>
    <w:rsid w:val="00335FA9"/>
    <w:rsid w:val="00336E90"/>
    <w:rsid w:val="00336F70"/>
    <w:rsid w:val="003375DA"/>
    <w:rsid w:val="00337DE3"/>
    <w:rsid w:val="00340D01"/>
    <w:rsid w:val="00340F03"/>
    <w:rsid w:val="003428C7"/>
    <w:rsid w:val="0034296B"/>
    <w:rsid w:val="00343302"/>
    <w:rsid w:val="0034333B"/>
    <w:rsid w:val="0035104D"/>
    <w:rsid w:val="00352F62"/>
    <w:rsid w:val="00355821"/>
    <w:rsid w:val="00361ABA"/>
    <w:rsid w:val="00362DE5"/>
    <w:rsid w:val="00363F61"/>
    <w:rsid w:val="0036486C"/>
    <w:rsid w:val="00364E83"/>
    <w:rsid w:val="00364F45"/>
    <w:rsid w:val="0037279A"/>
    <w:rsid w:val="003733A6"/>
    <w:rsid w:val="00375662"/>
    <w:rsid w:val="003760C1"/>
    <w:rsid w:val="003764D3"/>
    <w:rsid w:val="00377CAE"/>
    <w:rsid w:val="0038276C"/>
    <w:rsid w:val="00383471"/>
    <w:rsid w:val="00384068"/>
    <w:rsid w:val="003840B9"/>
    <w:rsid w:val="0038461A"/>
    <w:rsid w:val="00384BD7"/>
    <w:rsid w:val="00384D0F"/>
    <w:rsid w:val="00385BA7"/>
    <w:rsid w:val="00391794"/>
    <w:rsid w:val="00394147"/>
    <w:rsid w:val="003A002B"/>
    <w:rsid w:val="003A195D"/>
    <w:rsid w:val="003A1BAF"/>
    <w:rsid w:val="003A38DF"/>
    <w:rsid w:val="003A3F85"/>
    <w:rsid w:val="003A5311"/>
    <w:rsid w:val="003A5771"/>
    <w:rsid w:val="003A60FB"/>
    <w:rsid w:val="003A6193"/>
    <w:rsid w:val="003A64FE"/>
    <w:rsid w:val="003A7325"/>
    <w:rsid w:val="003B06BB"/>
    <w:rsid w:val="003B6C2F"/>
    <w:rsid w:val="003B7CAD"/>
    <w:rsid w:val="003C0A9D"/>
    <w:rsid w:val="003C4200"/>
    <w:rsid w:val="003C4857"/>
    <w:rsid w:val="003C57DC"/>
    <w:rsid w:val="003C5DD4"/>
    <w:rsid w:val="003D0607"/>
    <w:rsid w:val="003D09E3"/>
    <w:rsid w:val="003D0D38"/>
    <w:rsid w:val="003D3921"/>
    <w:rsid w:val="003D3CD1"/>
    <w:rsid w:val="003D522A"/>
    <w:rsid w:val="003D5E35"/>
    <w:rsid w:val="003E04C1"/>
    <w:rsid w:val="003E0A72"/>
    <w:rsid w:val="003E0D6C"/>
    <w:rsid w:val="003E161F"/>
    <w:rsid w:val="003E1CA9"/>
    <w:rsid w:val="003E239E"/>
    <w:rsid w:val="003E3232"/>
    <w:rsid w:val="003E6990"/>
    <w:rsid w:val="003E7113"/>
    <w:rsid w:val="003E7A24"/>
    <w:rsid w:val="003F2DDF"/>
    <w:rsid w:val="003F346B"/>
    <w:rsid w:val="003F5CC2"/>
    <w:rsid w:val="003F671B"/>
    <w:rsid w:val="003F6A20"/>
    <w:rsid w:val="00400245"/>
    <w:rsid w:val="00402FE8"/>
    <w:rsid w:val="0040485C"/>
    <w:rsid w:val="00404D68"/>
    <w:rsid w:val="00404F44"/>
    <w:rsid w:val="004053AF"/>
    <w:rsid w:val="004057CB"/>
    <w:rsid w:val="00407275"/>
    <w:rsid w:val="00407B92"/>
    <w:rsid w:val="004152D8"/>
    <w:rsid w:val="004207DF"/>
    <w:rsid w:val="00420C36"/>
    <w:rsid w:val="0042183E"/>
    <w:rsid w:val="0042356C"/>
    <w:rsid w:val="00426DD9"/>
    <w:rsid w:val="00427259"/>
    <w:rsid w:val="00431806"/>
    <w:rsid w:val="00432296"/>
    <w:rsid w:val="004329B7"/>
    <w:rsid w:val="00432D0F"/>
    <w:rsid w:val="00434D6B"/>
    <w:rsid w:val="00437C8D"/>
    <w:rsid w:val="0044218A"/>
    <w:rsid w:val="00442586"/>
    <w:rsid w:val="004432D1"/>
    <w:rsid w:val="004439EA"/>
    <w:rsid w:val="004455F0"/>
    <w:rsid w:val="00450374"/>
    <w:rsid w:val="00455BEF"/>
    <w:rsid w:val="00456159"/>
    <w:rsid w:val="00463403"/>
    <w:rsid w:val="004674AD"/>
    <w:rsid w:val="0047090C"/>
    <w:rsid w:val="00470F21"/>
    <w:rsid w:val="004710D8"/>
    <w:rsid w:val="00473691"/>
    <w:rsid w:val="004876EB"/>
    <w:rsid w:val="0049034C"/>
    <w:rsid w:val="0049257A"/>
    <w:rsid w:val="00492863"/>
    <w:rsid w:val="00493B07"/>
    <w:rsid w:val="004A242A"/>
    <w:rsid w:val="004A3500"/>
    <w:rsid w:val="004A358C"/>
    <w:rsid w:val="004A3D51"/>
    <w:rsid w:val="004A7EAE"/>
    <w:rsid w:val="004B3A8A"/>
    <w:rsid w:val="004B3D25"/>
    <w:rsid w:val="004B7266"/>
    <w:rsid w:val="004C13E4"/>
    <w:rsid w:val="004C3463"/>
    <w:rsid w:val="004C462F"/>
    <w:rsid w:val="004C67F4"/>
    <w:rsid w:val="004C710B"/>
    <w:rsid w:val="004C7156"/>
    <w:rsid w:val="004C7276"/>
    <w:rsid w:val="004C7501"/>
    <w:rsid w:val="004D2371"/>
    <w:rsid w:val="004D2735"/>
    <w:rsid w:val="004D2F9D"/>
    <w:rsid w:val="004D4413"/>
    <w:rsid w:val="004D458E"/>
    <w:rsid w:val="004D4EAB"/>
    <w:rsid w:val="004D51B4"/>
    <w:rsid w:val="004D5CE9"/>
    <w:rsid w:val="004D5D82"/>
    <w:rsid w:val="004D7193"/>
    <w:rsid w:val="004E0B73"/>
    <w:rsid w:val="004E24C6"/>
    <w:rsid w:val="004E2941"/>
    <w:rsid w:val="004E3A32"/>
    <w:rsid w:val="004E4B98"/>
    <w:rsid w:val="004E59FA"/>
    <w:rsid w:val="004E5A21"/>
    <w:rsid w:val="004E5C04"/>
    <w:rsid w:val="004F0B60"/>
    <w:rsid w:val="004F1780"/>
    <w:rsid w:val="004F19AB"/>
    <w:rsid w:val="004F30A5"/>
    <w:rsid w:val="004F493C"/>
    <w:rsid w:val="004F50CD"/>
    <w:rsid w:val="004F6201"/>
    <w:rsid w:val="004F75CC"/>
    <w:rsid w:val="005010B1"/>
    <w:rsid w:val="0050223E"/>
    <w:rsid w:val="00503203"/>
    <w:rsid w:val="00504EDD"/>
    <w:rsid w:val="0050688C"/>
    <w:rsid w:val="00511221"/>
    <w:rsid w:val="00511D99"/>
    <w:rsid w:val="0051434A"/>
    <w:rsid w:val="00514ACB"/>
    <w:rsid w:val="00514DB4"/>
    <w:rsid w:val="00514FC1"/>
    <w:rsid w:val="00516559"/>
    <w:rsid w:val="0051749C"/>
    <w:rsid w:val="00520961"/>
    <w:rsid w:val="00520DAB"/>
    <w:rsid w:val="00523406"/>
    <w:rsid w:val="0052745F"/>
    <w:rsid w:val="005313A4"/>
    <w:rsid w:val="00532090"/>
    <w:rsid w:val="005332A5"/>
    <w:rsid w:val="005346EB"/>
    <w:rsid w:val="005377BD"/>
    <w:rsid w:val="00545181"/>
    <w:rsid w:val="00550CF0"/>
    <w:rsid w:val="00551065"/>
    <w:rsid w:val="005511D6"/>
    <w:rsid w:val="00551265"/>
    <w:rsid w:val="005532F0"/>
    <w:rsid w:val="005542C1"/>
    <w:rsid w:val="00554476"/>
    <w:rsid w:val="00554634"/>
    <w:rsid w:val="005547FC"/>
    <w:rsid w:val="005568DE"/>
    <w:rsid w:val="00557C85"/>
    <w:rsid w:val="0056231B"/>
    <w:rsid w:val="00562393"/>
    <w:rsid w:val="00562906"/>
    <w:rsid w:val="00565A85"/>
    <w:rsid w:val="005667AE"/>
    <w:rsid w:val="00570C00"/>
    <w:rsid w:val="00571635"/>
    <w:rsid w:val="0057178F"/>
    <w:rsid w:val="00572291"/>
    <w:rsid w:val="005759AD"/>
    <w:rsid w:val="0057642D"/>
    <w:rsid w:val="00577793"/>
    <w:rsid w:val="00580D4C"/>
    <w:rsid w:val="00581CE7"/>
    <w:rsid w:val="00582BC2"/>
    <w:rsid w:val="00582E9A"/>
    <w:rsid w:val="00584436"/>
    <w:rsid w:val="005850E8"/>
    <w:rsid w:val="00586213"/>
    <w:rsid w:val="0058623D"/>
    <w:rsid w:val="0058751D"/>
    <w:rsid w:val="005944BB"/>
    <w:rsid w:val="005978EE"/>
    <w:rsid w:val="005A049B"/>
    <w:rsid w:val="005A135F"/>
    <w:rsid w:val="005A1C18"/>
    <w:rsid w:val="005A2AE9"/>
    <w:rsid w:val="005A3E08"/>
    <w:rsid w:val="005A40BF"/>
    <w:rsid w:val="005A7921"/>
    <w:rsid w:val="005B275E"/>
    <w:rsid w:val="005B354E"/>
    <w:rsid w:val="005B4B94"/>
    <w:rsid w:val="005B5944"/>
    <w:rsid w:val="005B6055"/>
    <w:rsid w:val="005B60CB"/>
    <w:rsid w:val="005C0F0C"/>
    <w:rsid w:val="005C3EA4"/>
    <w:rsid w:val="005C4D0C"/>
    <w:rsid w:val="005C504D"/>
    <w:rsid w:val="005C5D1B"/>
    <w:rsid w:val="005C6725"/>
    <w:rsid w:val="005C71D3"/>
    <w:rsid w:val="005D3841"/>
    <w:rsid w:val="005D3BE2"/>
    <w:rsid w:val="005D5D21"/>
    <w:rsid w:val="005D617D"/>
    <w:rsid w:val="005D66DD"/>
    <w:rsid w:val="005E29D4"/>
    <w:rsid w:val="005E2B7C"/>
    <w:rsid w:val="005E54F0"/>
    <w:rsid w:val="005E6C09"/>
    <w:rsid w:val="005E791D"/>
    <w:rsid w:val="005E7A42"/>
    <w:rsid w:val="005F1BE9"/>
    <w:rsid w:val="005F22F2"/>
    <w:rsid w:val="005F235D"/>
    <w:rsid w:val="005F2452"/>
    <w:rsid w:val="005F3DFB"/>
    <w:rsid w:val="005F480D"/>
    <w:rsid w:val="005F62B3"/>
    <w:rsid w:val="005F6E7C"/>
    <w:rsid w:val="006004CE"/>
    <w:rsid w:val="00600F3F"/>
    <w:rsid w:val="00602A20"/>
    <w:rsid w:val="00603CA1"/>
    <w:rsid w:val="006052DB"/>
    <w:rsid w:val="006069DF"/>
    <w:rsid w:val="00606D3C"/>
    <w:rsid w:val="00606D84"/>
    <w:rsid w:val="00607E27"/>
    <w:rsid w:val="00610B8D"/>
    <w:rsid w:val="00611C26"/>
    <w:rsid w:val="00611F0A"/>
    <w:rsid w:val="0061685A"/>
    <w:rsid w:val="00616ACD"/>
    <w:rsid w:val="006176AD"/>
    <w:rsid w:val="00617927"/>
    <w:rsid w:val="00620067"/>
    <w:rsid w:val="006234DD"/>
    <w:rsid w:val="00624279"/>
    <w:rsid w:val="00624E31"/>
    <w:rsid w:val="006250BF"/>
    <w:rsid w:val="00627033"/>
    <w:rsid w:val="006273CA"/>
    <w:rsid w:val="006273E0"/>
    <w:rsid w:val="00631632"/>
    <w:rsid w:val="00631721"/>
    <w:rsid w:val="0063294A"/>
    <w:rsid w:val="00632D22"/>
    <w:rsid w:val="00634BE5"/>
    <w:rsid w:val="006373AD"/>
    <w:rsid w:val="00640693"/>
    <w:rsid w:val="00644B1D"/>
    <w:rsid w:val="006451CC"/>
    <w:rsid w:val="00645344"/>
    <w:rsid w:val="00650078"/>
    <w:rsid w:val="00650DDF"/>
    <w:rsid w:val="00651E48"/>
    <w:rsid w:val="006523BF"/>
    <w:rsid w:val="00652B13"/>
    <w:rsid w:val="0065743D"/>
    <w:rsid w:val="00657D55"/>
    <w:rsid w:val="0066055D"/>
    <w:rsid w:val="006605E5"/>
    <w:rsid w:val="006618A4"/>
    <w:rsid w:val="006637AF"/>
    <w:rsid w:val="00667813"/>
    <w:rsid w:val="00672B9E"/>
    <w:rsid w:val="00673164"/>
    <w:rsid w:val="006733DC"/>
    <w:rsid w:val="0067561F"/>
    <w:rsid w:val="00676165"/>
    <w:rsid w:val="0068464F"/>
    <w:rsid w:val="00694818"/>
    <w:rsid w:val="006951C1"/>
    <w:rsid w:val="00696C9E"/>
    <w:rsid w:val="006A21F3"/>
    <w:rsid w:val="006A28F5"/>
    <w:rsid w:val="006A433E"/>
    <w:rsid w:val="006A47D1"/>
    <w:rsid w:val="006B06E0"/>
    <w:rsid w:val="006B0DD0"/>
    <w:rsid w:val="006B170E"/>
    <w:rsid w:val="006B4342"/>
    <w:rsid w:val="006B5A2C"/>
    <w:rsid w:val="006B69A3"/>
    <w:rsid w:val="006C03C5"/>
    <w:rsid w:val="006C4775"/>
    <w:rsid w:val="006C5146"/>
    <w:rsid w:val="006C5DE7"/>
    <w:rsid w:val="006D7DFD"/>
    <w:rsid w:val="006E3F84"/>
    <w:rsid w:val="006E57C0"/>
    <w:rsid w:val="006E6311"/>
    <w:rsid w:val="006E6B3A"/>
    <w:rsid w:val="006F1669"/>
    <w:rsid w:val="006F16D3"/>
    <w:rsid w:val="006F1AF5"/>
    <w:rsid w:val="006F2E01"/>
    <w:rsid w:val="006F324D"/>
    <w:rsid w:val="006F3D10"/>
    <w:rsid w:val="006F5595"/>
    <w:rsid w:val="00701294"/>
    <w:rsid w:val="00701917"/>
    <w:rsid w:val="007024FC"/>
    <w:rsid w:val="007028D9"/>
    <w:rsid w:val="00703333"/>
    <w:rsid w:val="007043A2"/>
    <w:rsid w:val="00705AB4"/>
    <w:rsid w:val="00710591"/>
    <w:rsid w:val="0071100B"/>
    <w:rsid w:val="00711869"/>
    <w:rsid w:val="00711AA0"/>
    <w:rsid w:val="00712A10"/>
    <w:rsid w:val="00713184"/>
    <w:rsid w:val="00713743"/>
    <w:rsid w:val="007138C1"/>
    <w:rsid w:val="0071515E"/>
    <w:rsid w:val="00715886"/>
    <w:rsid w:val="00715B56"/>
    <w:rsid w:val="00715EFE"/>
    <w:rsid w:val="00716437"/>
    <w:rsid w:val="00717632"/>
    <w:rsid w:val="00721E13"/>
    <w:rsid w:val="00722173"/>
    <w:rsid w:val="00723E42"/>
    <w:rsid w:val="0072482F"/>
    <w:rsid w:val="00725965"/>
    <w:rsid w:val="00725E5D"/>
    <w:rsid w:val="00727866"/>
    <w:rsid w:val="007304C9"/>
    <w:rsid w:val="007323CD"/>
    <w:rsid w:val="00733C80"/>
    <w:rsid w:val="0073463E"/>
    <w:rsid w:val="0073582B"/>
    <w:rsid w:val="00735922"/>
    <w:rsid w:val="00737DAC"/>
    <w:rsid w:val="00745AF8"/>
    <w:rsid w:val="00750E66"/>
    <w:rsid w:val="007512FA"/>
    <w:rsid w:val="0075198A"/>
    <w:rsid w:val="0075545B"/>
    <w:rsid w:val="007554FA"/>
    <w:rsid w:val="00755BB5"/>
    <w:rsid w:val="00756018"/>
    <w:rsid w:val="0075608D"/>
    <w:rsid w:val="00757289"/>
    <w:rsid w:val="00762888"/>
    <w:rsid w:val="00766AFA"/>
    <w:rsid w:val="00766C50"/>
    <w:rsid w:val="00771D6E"/>
    <w:rsid w:val="007723EF"/>
    <w:rsid w:val="0077294B"/>
    <w:rsid w:val="00774A5E"/>
    <w:rsid w:val="00781F78"/>
    <w:rsid w:val="00785E96"/>
    <w:rsid w:val="007874A7"/>
    <w:rsid w:val="007929BE"/>
    <w:rsid w:val="00794679"/>
    <w:rsid w:val="00794A38"/>
    <w:rsid w:val="007A0C5B"/>
    <w:rsid w:val="007A21DC"/>
    <w:rsid w:val="007A351D"/>
    <w:rsid w:val="007A41DB"/>
    <w:rsid w:val="007A52F9"/>
    <w:rsid w:val="007A6D7A"/>
    <w:rsid w:val="007A7C9F"/>
    <w:rsid w:val="007B13D6"/>
    <w:rsid w:val="007B1BC2"/>
    <w:rsid w:val="007B35BE"/>
    <w:rsid w:val="007B4AD3"/>
    <w:rsid w:val="007B4F25"/>
    <w:rsid w:val="007B4FC9"/>
    <w:rsid w:val="007B52B4"/>
    <w:rsid w:val="007B5751"/>
    <w:rsid w:val="007C2C06"/>
    <w:rsid w:val="007C35A7"/>
    <w:rsid w:val="007C559C"/>
    <w:rsid w:val="007C57BE"/>
    <w:rsid w:val="007C627C"/>
    <w:rsid w:val="007C695E"/>
    <w:rsid w:val="007C786D"/>
    <w:rsid w:val="007D091F"/>
    <w:rsid w:val="007D33A1"/>
    <w:rsid w:val="007D51FB"/>
    <w:rsid w:val="007D62B5"/>
    <w:rsid w:val="007E1786"/>
    <w:rsid w:val="007E1C9C"/>
    <w:rsid w:val="007E3AE5"/>
    <w:rsid w:val="007E4D4A"/>
    <w:rsid w:val="007E551B"/>
    <w:rsid w:val="007E7B00"/>
    <w:rsid w:val="007F2819"/>
    <w:rsid w:val="007F3574"/>
    <w:rsid w:val="007F4148"/>
    <w:rsid w:val="007F5062"/>
    <w:rsid w:val="007F577D"/>
    <w:rsid w:val="007F7757"/>
    <w:rsid w:val="008004B8"/>
    <w:rsid w:val="00800E62"/>
    <w:rsid w:val="008014AB"/>
    <w:rsid w:val="00804BAF"/>
    <w:rsid w:val="00805F61"/>
    <w:rsid w:val="008106BF"/>
    <w:rsid w:val="00811367"/>
    <w:rsid w:val="0081169B"/>
    <w:rsid w:val="008125D3"/>
    <w:rsid w:val="00812E8B"/>
    <w:rsid w:val="0081796E"/>
    <w:rsid w:val="0082291B"/>
    <w:rsid w:val="0082308A"/>
    <w:rsid w:val="00824F92"/>
    <w:rsid w:val="0082627E"/>
    <w:rsid w:val="00826A1F"/>
    <w:rsid w:val="00830203"/>
    <w:rsid w:val="008349D7"/>
    <w:rsid w:val="00841CF6"/>
    <w:rsid w:val="00843E6C"/>
    <w:rsid w:val="008440D8"/>
    <w:rsid w:val="008455E2"/>
    <w:rsid w:val="00850225"/>
    <w:rsid w:val="008515A5"/>
    <w:rsid w:val="00852C15"/>
    <w:rsid w:val="00853F94"/>
    <w:rsid w:val="008560BD"/>
    <w:rsid w:val="0086343F"/>
    <w:rsid w:val="008644D7"/>
    <w:rsid w:val="00870FFA"/>
    <w:rsid w:val="0087284B"/>
    <w:rsid w:val="00874421"/>
    <w:rsid w:val="00876DFA"/>
    <w:rsid w:val="00877964"/>
    <w:rsid w:val="00880461"/>
    <w:rsid w:val="00880DDF"/>
    <w:rsid w:val="00881341"/>
    <w:rsid w:val="00881508"/>
    <w:rsid w:val="00881945"/>
    <w:rsid w:val="00881A98"/>
    <w:rsid w:val="00882453"/>
    <w:rsid w:val="00883D45"/>
    <w:rsid w:val="00885AE8"/>
    <w:rsid w:val="00885EB8"/>
    <w:rsid w:val="00891685"/>
    <w:rsid w:val="00897D2B"/>
    <w:rsid w:val="008A0B34"/>
    <w:rsid w:val="008A2131"/>
    <w:rsid w:val="008A2802"/>
    <w:rsid w:val="008A653E"/>
    <w:rsid w:val="008A7DA5"/>
    <w:rsid w:val="008B2772"/>
    <w:rsid w:val="008B4677"/>
    <w:rsid w:val="008B5019"/>
    <w:rsid w:val="008B612F"/>
    <w:rsid w:val="008C0845"/>
    <w:rsid w:val="008C1A04"/>
    <w:rsid w:val="008C27EA"/>
    <w:rsid w:val="008C3E4B"/>
    <w:rsid w:val="008C409A"/>
    <w:rsid w:val="008C488F"/>
    <w:rsid w:val="008C4D61"/>
    <w:rsid w:val="008C6BFE"/>
    <w:rsid w:val="008C71E0"/>
    <w:rsid w:val="008D1006"/>
    <w:rsid w:val="008D2F0A"/>
    <w:rsid w:val="008D3903"/>
    <w:rsid w:val="008D6796"/>
    <w:rsid w:val="008D6C9A"/>
    <w:rsid w:val="008D75CC"/>
    <w:rsid w:val="008D7C2F"/>
    <w:rsid w:val="008E36E4"/>
    <w:rsid w:val="008E499E"/>
    <w:rsid w:val="008E5D32"/>
    <w:rsid w:val="008F0ACF"/>
    <w:rsid w:val="008F3267"/>
    <w:rsid w:val="008F3D0C"/>
    <w:rsid w:val="008F5ECB"/>
    <w:rsid w:val="009007B3"/>
    <w:rsid w:val="009026B4"/>
    <w:rsid w:val="00903C8B"/>
    <w:rsid w:val="0090655E"/>
    <w:rsid w:val="00906B58"/>
    <w:rsid w:val="009076C4"/>
    <w:rsid w:val="00907C5D"/>
    <w:rsid w:val="00912F59"/>
    <w:rsid w:val="00915291"/>
    <w:rsid w:val="0091551A"/>
    <w:rsid w:val="00916000"/>
    <w:rsid w:val="00920BDD"/>
    <w:rsid w:val="00921A10"/>
    <w:rsid w:val="009258D9"/>
    <w:rsid w:val="00926074"/>
    <w:rsid w:val="00926083"/>
    <w:rsid w:val="009304DF"/>
    <w:rsid w:val="00931772"/>
    <w:rsid w:val="00931C00"/>
    <w:rsid w:val="00934D9A"/>
    <w:rsid w:val="00941A56"/>
    <w:rsid w:val="0094442D"/>
    <w:rsid w:val="009476C9"/>
    <w:rsid w:val="0094778C"/>
    <w:rsid w:val="0095316D"/>
    <w:rsid w:val="009546B2"/>
    <w:rsid w:val="009546E6"/>
    <w:rsid w:val="0095659B"/>
    <w:rsid w:val="00960006"/>
    <w:rsid w:val="00960696"/>
    <w:rsid w:val="00960B14"/>
    <w:rsid w:val="00965060"/>
    <w:rsid w:val="00967301"/>
    <w:rsid w:val="00967BFF"/>
    <w:rsid w:val="00972C7B"/>
    <w:rsid w:val="0097338B"/>
    <w:rsid w:val="009743DF"/>
    <w:rsid w:val="00974573"/>
    <w:rsid w:val="00975B3A"/>
    <w:rsid w:val="0097652E"/>
    <w:rsid w:val="00977E42"/>
    <w:rsid w:val="00977FA6"/>
    <w:rsid w:val="0098150E"/>
    <w:rsid w:val="009828AE"/>
    <w:rsid w:val="00984566"/>
    <w:rsid w:val="009853D0"/>
    <w:rsid w:val="00986489"/>
    <w:rsid w:val="00987048"/>
    <w:rsid w:val="009902DE"/>
    <w:rsid w:val="0099374C"/>
    <w:rsid w:val="00994762"/>
    <w:rsid w:val="00996927"/>
    <w:rsid w:val="009A1C10"/>
    <w:rsid w:val="009A383C"/>
    <w:rsid w:val="009A3D89"/>
    <w:rsid w:val="009A4B61"/>
    <w:rsid w:val="009B0473"/>
    <w:rsid w:val="009B4661"/>
    <w:rsid w:val="009B6494"/>
    <w:rsid w:val="009B69FF"/>
    <w:rsid w:val="009C04EC"/>
    <w:rsid w:val="009C0708"/>
    <w:rsid w:val="009C1CB3"/>
    <w:rsid w:val="009C3CF7"/>
    <w:rsid w:val="009C5CAA"/>
    <w:rsid w:val="009C62C4"/>
    <w:rsid w:val="009C66A8"/>
    <w:rsid w:val="009C6D4B"/>
    <w:rsid w:val="009D268C"/>
    <w:rsid w:val="009D29E8"/>
    <w:rsid w:val="009D3E9B"/>
    <w:rsid w:val="009D5473"/>
    <w:rsid w:val="009D55A8"/>
    <w:rsid w:val="009D592F"/>
    <w:rsid w:val="009D62A8"/>
    <w:rsid w:val="009E2DDB"/>
    <w:rsid w:val="009E35F2"/>
    <w:rsid w:val="009E446E"/>
    <w:rsid w:val="009E5E29"/>
    <w:rsid w:val="009E61E7"/>
    <w:rsid w:val="009F1EED"/>
    <w:rsid w:val="009F2DA9"/>
    <w:rsid w:val="009F660D"/>
    <w:rsid w:val="009F7FFC"/>
    <w:rsid w:val="00A01614"/>
    <w:rsid w:val="00A01918"/>
    <w:rsid w:val="00A01A63"/>
    <w:rsid w:val="00A0314D"/>
    <w:rsid w:val="00A05442"/>
    <w:rsid w:val="00A15995"/>
    <w:rsid w:val="00A16DE0"/>
    <w:rsid w:val="00A20742"/>
    <w:rsid w:val="00A220A1"/>
    <w:rsid w:val="00A225A4"/>
    <w:rsid w:val="00A24ABC"/>
    <w:rsid w:val="00A253C4"/>
    <w:rsid w:val="00A25D68"/>
    <w:rsid w:val="00A2762C"/>
    <w:rsid w:val="00A339A8"/>
    <w:rsid w:val="00A33AAD"/>
    <w:rsid w:val="00A33C39"/>
    <w:rsid w:val="00A33CE1"/>
    <w:rsid w:val="00A34B83"/>
    <w:rsid w:val="00A3779E"/>
    <w:rsid w:val="00A4005E"/>
    <w:rsid w:val="00A42AA8"/>
    <w:rsid w:val="00A43FFC"/>
    <w:rsid w:val="00A44098"/>
    <w:rsid w:val="00A45085"/>
    <w:rsid w:val="00A4737C"/>
    <w:rsid w:val="00A5053B"/>
    <w:rsid w:val="00A507BB"/>
    <w:rsid w:val="00A52B2B"/>
    <w:rsid w:val="00A564D1"/>
    <w:rsid w:val="00A56EFA"/>
    <w:rsid w:val="00A61B5A"/>
    <w:rsid w:val="00A63B76"/>
    <w:rsid w:val="00A65B2C"/>
    <w:rsid w:val="00A70544"/>
    <w:rsid w:val="00A70B38"/>
    <w:rsid w:val="00A7324C"/>
    <w:rsid w:val="00A7407B"/>
    <w:rsid w:val="00A74F77"/>
    <w:rsid w:val="00A81549"/>
    <w:rsid w:val="00A831D0"/>
    <w:rsid w:val="00A840DB"/>
    <w:rsid w:val="00A87226"/>
    <w:rsid w:val="00A928AD"/>
    <w:rsid w:val="00A93B42"/>
    <w:rsid w:val="00A95D11"/>
    <w:rsid w:val="00A96CDF"/>
    <w:rsid w:val="00A96DD6"/>
    <w:rsid w:val="00AA053B"/>
    <w:rsid w:val="00AA10EC"/>
    <w:rsid w:val="00AA2A47"/>
    <w:rsid w:val="00AA3FD3"/>
    <w:rsid w:val="00AA551C"/>
    <w:rsid w:val="00AA73B3"/>
    <w:rsid w:val="00AA7D76"/>
    <w:rsid w:val="00AB03C7"/>
    <w:rsid w:val="00AB432A"/>
    <w:rsid w:val="00AB4D05"/>
    <w:rsid w:val="00AB6B50"/>
    <w:rsid w:val="00AC0879"/>
    <w:rsid w:val="00AC3997"/>
    <w:rsid w:val="00AC4FBF"/>
    <w:rsid w:val="00AC5EFD"/>
    <w:rsid w:val="00AC636F"/>
    <w:rsid w:val="00AD1A6D"/>
    <w:rsid w:val="00AD3B92"/>
    <w:rsid w:val="00AD7128"/>
    <w:rsid w:val="00AE3A2A"/>
    <w:rsid w:val="00AE43E1"/>
    <w:rsid w:val="00AF007F"/>
    <w:rsid w:val="00AF3141"/>
    <w:rsid w:val="00AF58BB"/>
    <w:rsid w:val="00B00C8B"/>
    <w:rsid w:val="00B01665"/>
    <w:rsid w:val="00B07C32"/>
    <w:rsid w:val="00B10947"/>
    <w:rsid w:val="00B10E79"/>
    <w:rsid w:val="00B112B2"/>
    <w:rsid w:val="00B11D6F"/>
    <w:rsid w:val="00B122AA"/>
    <w:rsid w:val="00B14509"/>
    <w:rsid w:val="00B16586"/>
    <w:rsid w:val="00B21DCC"/>
    <w:rsid w:val="00B253D3"/>
    <w:rsid w:val="00B260AF"/>
    <w:rsid w:val="00B313E8"/>
    <w:rsid w:val="00B3252C"/>
    <w:rsid w:val="00B35B6C"/>
    <w:rsid w:val="00B371B3"/>
    <w:rsid w:val="00B416A3"/>
    <w:rsid w:val="00B43E6E"/>
    <w:rsid w:val="00B44278"/>
    <w:rsid w:val="00B45746"/>
    <w:rsid w:val="00B45EDA"/>
    <w:rsid w:val="00B46797"/>
    <w:rsid w:val="00B47358"/>
    <w:rsid w:val="00B47555"/>
    <w:rsid w:val="00B47898"/>
    <w:rsid w:val="00B52E46"/>
    <w:rsid w:val="00B530FC"/>
    <w:rsid w:val="00B544CD"/>
    <w:rsid w:val="00B55779"/>
    <w:rsid w:val="00B56B18"/>
    <w:rsid w:val="00B56C54"/>
    <w:rsid w:val="00B57793"/>
    <w:rsid w:val="00B60B24"/>
    <w:rsid w:val="00B60F9D"/>
    <w:rsid w:val="00B63421"/>
    <w:rsid w:val="00B65AB7"/>
    <w:rsid w:val="00B74995"/>
    <w:rsid w:val="00B7575A"/>
    <w:rsid w:val="00B77E99"/>
    <w:rsid w:val="00B80C06"/>
    <w:rsid w:val="00B827DB"/>
    <w:rsid w:val="00B84C50"/>
    <w:rsid w:val="00B84DC8"/>
    <w:rsid w:val="00B8508E"/>
    <w:rsid w:val="00B86F6E"/>
    <w:rsid w:val="00B91DB4"/>
    <w:rsid w:val="00B965A4"/>
    <w:rsid w:val="00BA0365"/>
    <w:rsid w:val="00BA2BF7"/>
    <w:rsid w:val="00BA3AEB"/>
    <w:rsid w:val="00BA4D90"/>
    <w:rsid w:val="00BA55F0"/>
    <w:rsid w:val="00BA7993"/>
    <w:rsid w:val="00BB4CC5"/>
    <w:rsid w:val="00BC0985"/>
    <w:rsid w:val="00BC170A"/>
    <w:rsid w:val="00BC4568"/>
    <w:rsid w:val="00BC6B64"/>
    <w:rsid w:val="00BC6FF2"/>
    <w:rsid w:val="00BC7A0A"/>
    <w:rsid w:val="00BC7CCD"/>
    <w:rsid w:val="00BC7F67"/>
    <w:rsid w:val="00BD12E9"/>
    <w:rsid w:val="00BD374E"/>
    <w:rsid w:val="00BD49F7"/>
    <w:rsid w:val="00BD4F7C"/>
    <w:rsid w:val="00BD5580"/>
    <w:rsid w:val="00BD718F"/>
    <w:rsid w:val="00BD772F"/>
    <w:rsid w:val="00BD7D4C"/>
    <w:rsid w:val="00BE2E3D"/>
    <w:rsid w:val="00BE4FD0"/>
    <w:rsid w:val="00BE609F"/>
    <w:rsid w:val="00BE6DFE"/>
    <w:rsid w:val="00BF3275"/>
    <w:rsid w:val="00BF5C48"/>
    <w:rsid w:val="00BF5F3E"/>
    <w:rsid w:val="00C00AE0"/>
    <w:rsid w:val="00C01E15"/>
    <w:rsid w:val="00C044A0"/>
    <w:rsid w:val="00C04875"/>
    <w:rsid w:val="00C05A91"/>
    <w:rsid w:val="00C10F04"/>
    <w:rsid w:val="00C12D1E"/>
    <w:rsid w:val="00C145E7"/>
    <w:rsid w:val="00C242C3"/>
    <w:rsid w:val="00C24EFF"/>
    <w:rsid w:val="00C25AE2"/>
    <w:rsid w:val="00C25C12"/>
    <w:rsid w:val="00C25C6F"/>
    <w:rsid w:val="00C26AA8"/>
    <w:rsid w:val="00C26C44"/>
    <w:rsid w:val="00C270B5"/>
    <w:rsid w:val="00C30572"/>
    <w:rsid w:val="00C30A6F"/>
    <w:rsid w:val="00C31815"/>
    <w:rsid w:val="00C3358E"/>
    <w:rsid w:val="00C40FFA"/>
    <w:rsid w:val="00C41950"/>
    <w:rsid w:val="00C42549"/>
    <w:rsid w:val="00C44434"/>
    <w:rsid w:val="00C46B37"/>
    <w:rsid w:val="00C47A55"/>
    <w:rsid w:val="00C50C6F"/>
    <w:rsid w:val="00C51FB2"/>
    <w:rsid w:val="00C52A98"/>
    <w:rsid w:val="00C5565D"/>
    <w:rsid w:val="00C55F80"/>
    <w:rsid w:val="00C56834"/>
    <w:rsid w:val="00C57A79"/>
    <w:rsid w:val="00C61100"/>
    <w:rsid w:val="00C6388F"/>
    <w:rsid w:val="00C643EC"/>
    <w:rsid w:val="00C65C35"/>
    <w:rsid w:val="00C701A6"/>
    <w:rsid w:val="00C71FEC"/>
    <w:rsid w:val="00C720BC"/>
    <w:rsid w:val="00C74D74"/>
    <w:rsid w:val="00C77862"/>
    <w:rsid w:val="00C80C4D"/>
    <w:rsid w:val="00C81C5E"/>
    <w:rsid w:val="00C8294A"/>
    <w:rsid w:val="00C84182"/>
    <w:rsid w:val="00C8436E"/>
    <w:rsid w:val="00C8474E"/>
    <w:rsid w:val="00C85550"/>
    <w:rsid w:val="00C86C58"/>
    <w:rsid w:val="00C86C59"/>
    <w:rsid w:val="00C909A3"/>
    <w:rsid w:val="00C92381"/>
    <w:rsid w:val="00C95026"/>
    <w:rsid w:val="00C97B76"/>
    <w:rsid w:val="00CA1F2B"/>
    <w:rsid w:val="00CA4589"/>
    <w:rsid w:val="00CA4A84"/>
    <w:rsid w:val="00CA512A"/>
    <w:rsid w:val="00CA7C58"/>
    <w:rsid w:val="00CB1640"/>
    <w:rsid w:val="00CB3024"/>
    <w:rsid w:val="00CB3D1B"/>
    <w:rsid w:val="00CB5661"/>
    <w:rsid w:val="00CB5B92"/>
    <w:rsid w:val="00CB6404"/>
    <w:rsid w:val="00CC2391"/>
    <w:rsid w:val="00CC2856"/>
    <w:rsid w:val="00CC4CB0"/>
    <w:rsid w:val="00CC5643"/>
    <w:rsid w:val="00CC7640"/>
    <w:rsid w:val="00CC7A55"/>
    <w:rsid w:val="00CD0F71"/>
    <w:rsid w:val="00CD12EE"/>
    <w:rsid w:val="00CD26E0"/>
    <w:rsid w:val="00CD6398"/>
    <w:rsid w:val="00CD6D43"/>
    <w:rsid w:val="00CE01EF"/>
    <w:rsid w:val="00CE28EC"/>
    <w:rsid w:val="00CE3A00"/>
    <w:rsid w:val="00CE5969"/>
    <w:rsid w:val="00CE635C"/>
    <w:rsid w:val="00CE66A0"/>
    <w:rsid w:val="00CE6DD4"/>
    <w:rsid w:val="00CF2322"/>
    <w:rsid w:val="00CF3EE1"/>
    <w:rsid w:val="00CF56CA"/>
    <w:rsid w:val="00CF5785"/>
    <w:rsid w:val="00CF7E09"/>
    <w:rsid w:val="00D002C6"/>
    <w:rsid w:val="00D03B0B"/>
    <w:rsid w:val="00D06281"/>
    <w:rsid w:val="00D14FBD"/>
    <w:rsid w:val="00D158DA"/>
    <w:rsid w:val="00D15C47"/>
    <w:rsid w:val="00D179F2"/>
    <w:rsid w:val="00D2001C"/>
    <w:rsid w:val="00D2030C"/>
    <w:rsid w:val="00D20BB6"/>
    <w:rsid w:val="00D21883"/>
    <w:rsid w:val="00D21EBF"/>
    <w:rsid w:val="00D2385C"/>
    <w:rsid w:val="00D23DB6"/>
    <w:rsid w:val="00D3366B"/>
    <w:rsid w:val="00D3372A"/>
    <w:rsid w:val="00D34719"/>
    <w:rsid w:val="00D36E04"/>
    <w:rsid w:val="00D44838"/>
    <w:rsid w:val="00D44852"/>
    <w:rsid w:val="00D45127"/>
    <w:rsid w:val="00D54A84"/>
    <w:rsid w:val="00D54D78"/>
    <w:rsid w:val="00D553A8"/>
    <w:rsid w:val="00D55D6D"/>
    <w:rsid w:val="00D61924"/>
    <w:rsid w:val="00D642E6"/>
    <w:rsid w:val="00D65E90"/>
    <w:rsid w:val="00D73E9C"/>
    <w:rsid w:val="00D76A85"/>
    <w:rsid w:val="00D77454"/>
    <w:rsid w:val="00D7787C"/>
    <w:rsid w:val="00D80BC8"/>
    <w:rsid w:val="00D81A0F"/>
    <w:rsid w:val="00D81ADC"/>
    <w:rsid w:val="00D82275"/>
    <w:rsid w:val="00D822CC"/>
    <w:rsid w:val="00D86C1C"/>
    <w:rsid w:val="00D8710B"/>
    <w:rsid w:val="00D91311"/>
    <w:rsid w:val="00D91715"/>
    <w:rsid w:val="00D94C9C"/>
    <w:rsid w:val="00D95BDC"/>
    <w:rsid w:val="00D97A97"/>
    <w:rsid w:val="00DA429F"/>
    <w:rsid w:val="00DB3BF6"/>
    <w:rsid w:val="00DB524D"/>
    <w:rsid w:val="00DB5AF7"/>
    <w:rsid w:val="00DB6782"/>
    <w:rsid w:val="00DB783A"/>
    <w:rsid w:val="00DC1D60"/>
    <w:rsid w:val="00DC2275"/>
    <w:rsid w:val="00DC7271"/>
    <w:rsid w:val="00DD1196"/>
    <w:rsid w:val="00DD14C2"/>
    <w:rsid w:val="00DD3A10"/>
    <w:rsid w:val="00DD4C28"/>
    <w:rsid w:val="00DE1B13"/>
    <w:rsid w:val="00DE3D6D"/>
    <w:rsid w:val="00DE45D0"/>
    <w:rsid w:val="00DF0EB7"/>
    <w:rsid w:val="00DF1AC6"/>
    <w:rsid w:val="00DF2C06"/>
    <w:rsid w:val="00DF420A"/>
    <w:rsid w:val="00DF54F3"/>
    <w:rsid w:val="00E00C14"/>
    <w:rsid w:val="00E00D6B"/>
    <w:rsid w:val="00E02730"/>
    <w:rsid w:val="00E02DAD"/>
    <w:rsid w:val="00E03AD2"/>
    <w:rsid w:val="00E03CD6"/>
    <w:rsid w:val="00E043FB"/>
    <w:rsid w:val="00E059E4"/>
    <w:rsid w:val="00E068C3"/>
    <w:rsid w:val="00E10AB4"/>
    <w:rsid w:val="00E142E9"/>
    <w:rsid w:val="00E1431E"/>
    <w:rsid w:val="00E154DA"/>
    <w:rsid w:val="00E20063"/>
    <w:rsid w:val="00E204C4"/>
    <w:rsid w:val="00E23CF0"/>
    <w:rsid w:val="00E25E09"/>
    <w:rsid w:val="00E32331"/>
    <w:rsid w:val="00E3263F"/>
    <w:rsid w:val="00E33498"/>
    <w:rsid w:val="00E33F83"/>
    <w:rsid w:val="00E34A3D"/>
    <w:rsid w:val="00E3544B"/>
    <w:rsid w:val="00E355D3"/>
    <w:rsid w:val="00E37571"/>
    <w:rsid w:val="00E376EF"/>
    <w:rsid w:val="00E45CBE"/>
    <w:rsid w:val="00E46D70"/>
    <w:rsid w:val="00E470F1"/>
    <w:rsid w:val="00E477DF"/>
    <w:rsid w:val="00E52D40"/>
    <w:rsid w:val="00E54119"/>
    <w:rsid w:val="00E5538C"/>
    <w:rsid w:val="00E558E6"/>
    <w:rsid w:val="00E56265"/>
    <w:rsid w:val="00E607D2"/>
    <w:rsid w:val="00E61026"/>
    <w:rsid w:val="00E618C9"/>
    <w:rsid w:val="00E644F0"/>
    <w:rsid w:val="00E6499B"/>
    <w:rsid w:val="00E65FE1"/>
    <w:rsid w:val="00E66C45"/>
    <w:rsid w:val="00E674DE"/>
    <w:rsid w:val="00E72B17"/>
    <w:rsid w:val="00E75328"/>
    <w:rsid w:val="00E777DB"/>
    <w:rsid w:val="00E81B8F"/>
    <w:rsid w:val="00E83569"/>
    <w:rsid w:val="00E83A9C"/>
    <w:rsid w:val="00E8447B"/>
    <w:rsid w:val="00E90818"/>
    <w:rsid w:val="00E926FD"/>
    <w:rsid w:val="00E932A5"/>
    <w:rsid w:val="00E9330A"/>
    <w:rsid w:val="00E93BC4"/>
    <w:rsid w:val="00E953DA"/>
    <w:rsid w:val="00E95CE1"/>
    <w:rsid w:val="00E97038"/>
    <w:rsid w:val="00EA2292"/>
    <w:rsid w:val="00EA2962"/>
    <w:rsid w:val="00EA6494"/>
    <w:rsid w:val="00EB02F1"/>
    <w:rsid w:val="00EB28E6"/>
    <w:rsid w:val="00EB3AE6"/>
    <w:rsid w:val="00EB47B8"/>
    <w:rsid w:val="00EB4C2A"/>
    <w:rsid w:val="00EB5C12"/>
    <w:rsid w:val="00EB5C3E"/>
    <w:rsid w:val="00EC087A"/>
    <w:rsid w:val="00EC2DC1"/>
    <w:rsid w:val="00EC5C67"/>
    <w:rsid w:val="00ED4291"/>
    <w:rsid w:val="00ED4DB3"/>
    <w:rsid w:val="00EE11CB"/>
    <w:rsid w:val="00EE1229"/>
    <w:rsid w:val="00EE40E9"/>
    <w:rsid w:val="00EF6B77"/>
    <w:rsid w:val="00EF6BFB"/>
    <w:rsid w:val="00F0003C"/>
    <w:rsid w:val="00F01BE8"/>
    <w:rsid w:val="00F027BD"/>
    <w:rsid w:val="00F049A6"/>
    <w:rsid w:val="00F04CB5"/>
    <w:rsid w:val="00F06FF4"/>
    <w:rsid w:val="00F07E87"/>
    <w:rsid w:val="00F10661"/>
    <w:rsid w:val="00F1107D"/>
    <w:rsid w:val="00F113CA"/>
    <w:rsid w:val="00F152A4"/>
    <w:rsid w:val="00F1644F"/>
    <w:rsid w:val="00F2047C"/>
    <w:rsid w:val="00F20541"/>
    <w:rsid w:val="00F20A2F"/>
    <w:rsid w:val="00F21C7B"/>
    <w:rsid w:val="00F238F8"/>
    <w:rsid w:val="00F23AFA"/>
    <w:rsid w:val="00F26869"/>
    <w:rsid w:val="00F27212"/>
    <w:rsid w:val="00F31F9E"/>
    <w:rsid w:val="00F35931"/>
    <w:rsid w:val="00F37CF9"/>
    <w:rsid w:val="00F4155A"/>
    <w:rsid w:val="00F44390"/>
    <w:rsid w:val="00F459F3"/>
    <w:rsid w:val="00F5076A"/>
    <w:rsid w:val="00F51D76"/>
    <w:rsid w:val="00F52BA5"/>
    <w:rsid w:val="00F53925"/>
    <w:rsid w:val="00F5670D"/>
    <w:rsid w:val="00F624AE"/>
    <w:rsid w:val="00F6522F"/>
    <w:rsid w:val="00F65650"/>
    <w:rsid w:val="00F65BC2"/>
    <w:rsid w:val="00F67069"/>
    <w:rsid w:val="00F70CE7"/>
    <w:rsid w:val="00F72ADE"/>
    <w:rsid w:val="00F773D3"/>
    <w:rsid w:val="00F77F95"/>
    <w:rsid w:val="00F81F89"/>
    <w:rsid w:val="00F82032"/>
    <w:rsid w:val="00F84D07"/>
    <w:rsid w:val="00F8591A"/>
    <w:rsid w:val="00F86AEC"/>
    <w:rsid w:val="00F927C7"/>
    <w:rsid w:val="00F93A8B"/>
    <w:rsid w:val="00F941FE"/>
    <w:rsid w:val="00F95FF9"/>
    <w:rsid w:val="00F97793"/>
    <w:rsid w:val="00F97D39"/>
    <w:rsid w:val="00FA058D"/>
    <w:rsid w:val="00FA0C45"/>
    <w:rsid w:val="00FA1D68"/>
    <w:rsid w:val="00FA2E63"/>
    <w:rsid w:val="00FA7EA3"/>
    <w:rsid w:val="00FB232E"/>
    <w:rsid w:val="00FB263A"/>
    <w:rsid w:val="00FB5ED2"/>
    <w:rsid w:val="00FB6902"/>
    <w:rsid w:val="00FC39EB"/>
    <w:rsid w:val="00FC4AFD"/>
    <w:rsid w:val="00FC4EAE"/>
    <w:rsid w:val="00FC6368"/>
    <w:rsid w:val="00FD1987"/>
    <w:rsid w:val="00FD1C29"/>
    <w:rsid w:val="00FD2441"/>
    <w:rsid w:val="00FD7271"/>
    <w:rsid w:val="00FE0102"/>
    <w:rsid w:val="00FE1F85"/>
    <w:rsid w:val="00FE3973"/>
    <w:rsid w:val="00FE76A9"/>
    <w:rsid w:val="00FE798E"/>
    <w:rsid w:val="00FF146C"/>
    <w:rsid w:val="00FF3454"/>
    <w:rsid w:val="00FF37ED"/>
    <w:rsid w:val="00FF4FD5"/>
    <w:rsid w:val="00FF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1C0097D"/>
  <w15:chartTrackingRefBased/>
  <w15:docId w15:val="{D8AC82C2-DC7D-4275-86BB-21DAC4E1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qFormat/>
    <w:rsid w:val="00FF146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3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3D6"/>
    <w:rPr>
      <w:rFonts w:ascii="Segoe UI" w:hAnsi="Segoe UI" w:cs="Segoe UI"/>
      <w:sz w:val="18"/>
      <w:szCs w:val="18"/>
    </w:rPr>
  </w:style>
  <w:style w:type="character" w:styleId="CommentReference">
    <w:name w:val="annotation reference"/>
    <w:aliases w:val="-H18"/>
    <w:basedOn w:val="DefaultParagraphFont"/>
    <w:uiPriority w:val="99"/>
    <w:unhideWhenUsed/>
    <w:rsid w:val="00BE609F"/>
    <w:rPr>
      <w:sz w:val="16"/>
      <w:szCs w:val="16"/>
    </w:rPr>
  </w:style>
  <w:style w:type="paragraph" w:styleId="CommentText">
    <w:name w:val="annotation text"/>
    <w:basedOn w:val="Normal"/>
    <w:link w:val="CommentTextChar"/>
    <w:uiPriority w:val="99"/>
    <w:unhideWhenUsed/>
    <w:rsid w:val="00BE609F"/>
    <w:rPr>
      <w:sz w:val="20"/>
      <w:szCs w:val="20"/>
    </w:rPr>
  </w:style>
  <w:style w:type="character" w:customStyle="1" w:styleId="CommentTextChar">
    <w:name w:val="Comment Text Char"/>
    <w:basedOn w:val="DefaultParagraphFont"/>
    <w:link w:val="CommentText"/>
    <w:uiPriority w:val="99"/>
    <w:rsid w:val="00BE609F"/>
    <w:rPr>
      <w:sz w:val="20"/>
      <w:szCs w:val="20"/>
    </w:rPr>
  </w:style>
  <w:style w:type="paragraph" w:styleId="CommentSubject">
    <w:name w:val="annotation subject"/>
    <w:basedOn w:val="CommentText"/>
    <w:next w:val="CommentText"/>
    <w:link w:val="CommentSubjectChar"/>
    <w:uiPriority w:val="99"/>
    <w:semiHidden/>
    <w:unhideWhenUsed/>
    <w:rsid w:val="00BE609F"/>
    <w:rPr>
      <w:b/>
      <w:bCs/>
    </w:rPr>
  </w:style>
  <w:style w:type="character" w:customStyle="1" w:styleId="CommentSubjectChar">
    <w:name w:val="Comment Subject Char"/>
    <w:basedOn w:val="CommentTextChar"/>
    <w:link w:val="CommentSubject"/>
    <w:uiPriority w:val="99"/>
    <w:semiHidden/>
    <w:rsid w:val="00BE609F"/>
    <w:rPr>
      <w:b/>
      <w:bCs/>
      <w:sz w:val="20"/>
      <w:szCs w:val="20"/>
    </w:rPr>
  </w:style>
  <w:style w:type="character" w:styleId="Hyperlink">
    <w:name w:val="Hyperlink"/>
    <w:basedOn w:val="DefaultParagraphFont"/>
    <w:uiPriority w:val="99"/>
    <w:unhideWhenUsed/>
    <w:rsid w:val="002E50E9"/>
    <w:rPr>
      <w:color w:val="0563C1" w:themeColor="hyperlink"/>
      <w:u w:val="single"/>
    </w:rPr>
  </w:style>
  <w:style w:type="character" w:styleId="UnresolvedMention">
    <w:name w:val="Unresolved Mention"/>
    <w:basedOn w:val="DefaultParagraphFont"/>
    <w:uiPriority w:val="99"/>
    <w:unhideWhenUsed/>
    <w:rsid w:val="002E50E9"/>
    <w:rPr>
      <w:color w:val="605E5C"/>
      <w:shd w:val="clear" w:color="auto" w:fill="E1DFDD"/>
    </w:rPr>
  </w:style>
  <w:style w:type="paragraph" w:styleId="ListParagraph">
    <w:name w:val="List Paragraph"/>
    <w:basedOn w:val="Normal"/>
    <w:uiPriority w:val="34"/>
    <w:qFormat/>
    <w:rsid w:val="00766C50"/>
    <w:pPr>
      <w:ind w:left="720"/>
      <w:contextualSpacing/>
    </w:pPr>
  </w:style>
  <w:style w:type="table" w:styleId="TableGrid">
    <w:name w:val="Table Grid"/>
    <w:basedOn w:val="TableNormal"/>
    <w:uiPriority w:val="59"/>
    <w:rsid w:val="00305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437C8D"/>
    <w:pPr>
      <w:spacing w:before="120" w:after="120" w:line="280" w:lineRule="atLeast"/>
    </w:pPr>
    <w:rPr>
      <w:rFonts w:ascii="Times New Roman" w:eastAsia="Times New Roman" w:hAnsi="Times New Roman" w:cs="Times New Roman"/>
      <w:szCs w:val="20"/>
    </w:rPr>
  </w:style>
  <w:style w:type="character" w:customStyle="1" w:styleId="C-BodyTextChar">
    <w:name w:val="C-Body Text Char"/>
    <w:link w:val="C-BodyText"/>
    <w:rsid w:val="00437C8D"/>
    <w:rPr>
      <w:rFonts w:ascii="Times New Roman" w:eastAsia="Times New Roman" w:hAnsi="Times New Roman" w:cs="Times New Roman"/>
      <w:szCs w:val="20"/>
    </w:rPr>
  </w:style>
  <w:style w:type="paragraph" w:customStyle="1" w:styleId="C-Heading1">
    <w:name w:val="C-Heading 1"/>
    <w:next w:val="C-BodyText"/>
    <w:rsid w:val="008C27EA"/>
    <w:pPr>
      <w:keepNext/>
      <w:pageBreakBefore/>
      <w:numPr>
        <w:numId w:val="5"/>
      </w:numPr>
      <w:spacing w:before="480" w:after="120"/>
      <w:outlineLvl w:val="0"/>
    </w:pPr>
    <w:rPr>
      <w:rFonts w:ascii="Times New Roman" w:eastAsia="Times New Roman" w:hAnsi="Times New Roman" w:cs="Times New Roman"/>
      <w:b/>
      <w:caps/>
      <w:sz w:val="28"/>
      <w:szCs w:val="20"/>
    </w:rPr>
  </w:style>
  <w:style w:type="paragraph" w:customStyle="1" w:styleId="C-Heading2">
    <w:name w:val="C-Heading 2"/>
    <w:next w:val="C-BodyText"/>
    <w:link w:val="C-Heading2Char"/>
    <w:rsid w:val="008C27EA"/>
    <w:pPr>
      <w:keepNext/>
      <w:numPr>
        <w:ilvl w:val="1"/>
        <w:numId w:val="5"/>
      </w:numPr>
      <w:spacing w:before="240"/>
      <w:outlineLvl w:val="1"/>
    </w:pPr>
    <w:rPr>
      <w:rFonts w:ascii="Times New Roman" w:eastAsia="Times New Roman" w:hAnsi="Times New Roman" w:cs="Times New Roman"/>
      <w:b/>
      <w:sz w:val="28"/>
      <w:szCs w:val="20"/>
    </w:rPr>
  </w:style>
  <w:style w:type="paragraph" w:customStyle="1" w:styleId="C-Heading3">
    <w:name w:val="C-Heading 3"/>
    <w:next w:val="C-BodyText"/>
    <w:link w:val="C-Heading3Char"/>
    <w:rsid w:val="008C27EA"/>
    <w:pPr>
      <w:keepNext/>
      <w:numPr>
        <w:ilvl w:val="2"/>
        <w:numId w:val="5"/>
      </w:numPr>
      <w:spacing w:before="240"/>
      <w:outlineLvl w:val="2"/>
    </w:pPr>
    <w:rPr>
      <w:rFonts w:ascii="Times New Roman" w:eastAsia="Times New Roman" w:hAnsi="Times New Roman" w:cs="Times New Roman"/>
      <w:b/>
      <w:szCs w:val="20"/>
    </w:rPr>
  </w:style>
  <w:style w:type="paragraph" w:customStyle="1" w:styleId="C-Heading4">
    <w:name w:val="C-Heading 4"/>
    <w:next w:val="C-BodyText"/>
    <w:rsid w:val="008C27EA"/>
    <w:pPr>
      <w:keepNext/>
      <w:numPr>
        <w:ilvl w:val="3"/>
        <w:numId w:val="5"/>
      </w:numPr>
      <w:spacing w:before="240"/>
      <w:outlineLvl w:val="3"/>
    </w:pPr>
    <w:rPr>
      <w:rFonts w:ascii="Times New Roman" w:eastAsia="Times New Roman" w:hAnsi="Times New Roman" w:cs="Times New Roman"/>
      <w:b/>
      <w:szCs w:val="20"/>
    </w:rPr>
  </w:style>
  <w:style w:type="paragraph" w:customStyle="1" w:styleId="C-Heading5">
    <w:name w:val="C-Heading 5"/>
    <w:next w:val="C-BodyText"/>
    <w:rsid w:val="008C27EA"/>
    <w:pPr>
      <w:keepNext/>
      <w:numPr>
        <w:ilvl w:val="4"/>
        <w:numId w:val="5"/>
      </w:numPr>
      <w:tabs>
        <w:tab w:val="clear" w:pos="1080"/>
        <w:tab w:val="num" w:pos="360"/>
      </w:tabs>
      <w:spacing w:before="240"/>
      <w:ind w:left="0" w:firstLine="0"/>
      <w:outlineLvl w:val="4"/>
    </w:pPr>
    <w:rPr>
      <w:rFonts w:ascii="Times New Roman" w:eastAsia="Times New Roman" w:hAnsi="Times New Roman" w:cs="Times New Roman"/>
      <w:b/>
      <w:szCs w:val="20"/>
    </w:rPr>
  </w:style>
  <w:style w:type="paragraph" w:customStyle="1" w:styleId="C-Heading6">
    <w:name w:val="C-Heading 6"/>
    <w:next w:val="C-BodyText"/>
    <w:rsid w:val="008C27EA"/>
    <w:pPr>
      <w:keepNext/>
      <w:numPr>
        <w:ilvl w:val="5"/>
        <w:numId w:val="5"/>
      </w:numPr>
      <w:tabs>
        <w:tab w:val="clear" w:pos="1080"/>
        <w:tab w:val="num" w:pos="1224"/>
      </w:tabs>
      <w:spacing w:before="240"/>
      <w:ind w:left="1224" w:hanging="1224"/>
      <w:outlineLvl w:val="5"/>
    </w:pPr>
    <w:rPr>
      <w:rFonts w:ascii="Times New Roman" w:eastAsia="Times New Roman" w:hAnsi="Times New Roman" w:cs="Times New Roman"/>
      <w:b/>
      <w:szCs w:val="20"/>
    </w:rPr>
  </w:style>
  <w:style w:type="character" w:customStyle="1" w:styleId="C-Heading3Char">
    <w:name w:val="C-Heading 3 Char"/>
    <w:link w:val="C-Heading3"/>
    <w:rsid w:val="008C27EA"/>
    <w:rPr>
      <w:rFonts w:ascii="Times New Roman" w:eastAsia="Times New Roman" w:hAnsi="Times New Roman" w:cs="Times New Roman"/>
      <w:b/>
      <w:szCs w:val="20"/>
    </w:rPr>
  </w:style>
  <w:style w:type="paragraph" w:styleId="EndnoteText">
    <w:name w:val="endnote text"/>
    <w:basedOn w:val="Normal"/>
    <w:link w:val="EndnoteTextChar"/>
    <w:unhideWhenUsed/>
    <w:rsid w:val="008C27EA"/>
    <w:rPr>
      <w:rFonts w:ascii="Times New Roman" w:eastAsia="Times New Roman" w:hAnsi="Times New Roman" w:cs="Arial"/>
      <w:sz w:val="20"/>
      <w:szCs w:val="20"/>
    </w:rPr>
  </w:style>
  <w:style w:type="character" w:customStyle="1" w:styleId="EndnoteTextChar">
    <w:name w:val="Endnote Text Char"/>
    <w:basedOn w:val="DefaultParagraphFont"/>
    <w:link w:val="EndnoteText"/>
    <w:rsid w:val="008C27EA"/>
    <w:rPr>
      <w:rFonts w:ascii="Times New Roman" w:eastAsia="Times New Roman" w:hAnsi="Times New Roman" w:cs="Arial"/>
      <w:sz w:val="20"/>
      <w:szCs w:val="20"/>
    </w:rPr>
  </w:style>
  <w:style w:type="character" w:styleId="EndnoteReference">
    <w:name w:val="endnote reference"/>
    <w:basedOn w:val="DefaultParagraphFont"/>
    <w:semiHidden/>
    <w:unhideWhenUsed/>
    <w:rsid w:val="008C27EA"/>
    <w:rPr>
      <w:vertAlign w:val="superscript"/>
    </w:rPr>
  </w:style>
  <w:style w:type="character" w:customStyle="1" w:styleId="C-Heading2Char">
    <w:name w:val="C-Heading 2 Char"/>
    <w:link w:val="C-Heading2"/>
    <w:rsid w:val="0019624A"/>
    <w:rPr>
      <w:rFonts w:ascii="Times New Roman" w:eastAsia="Times New Roman" w:hAnsi="Times New Roman" w:cs="Times New Roman"/>
      <w:b/>
      <w:sz w:val="28"/>
      <w:szCs w:val="20"/>
    </w:rPr>
  </w:style>
  <w:style w:type="paragraph" w:customStyle="1" w:styleId="BodyText1">
    <w:name w:val="BodyText1"/>
    <w:basedOn w:val="Normal"/>
    <w:rsid w:val="001A1399"/>
    <w:pPr>
      <w:spacing w:before="4"/>
      <w:ind w:firstLine="317"/>
    </w:pPr>
    <w:rPr>
      <w:rFonts w:ascii="Helvetica" w:eastAsia="Times New Roman" w:hAnsi="Helvetica" w:cs="Times New Roman"/>
      <w:sz w:val="16"/>
    </w:rPr>
  </w:style>
  <w:style w:type="paragraph" w:styleId="Revision">
    <w:name w:val="Revision"/>
    <w:hidden/>
    <w:uiPriority w:val="99"/>
    <w:semiHidden/>
    <w:rsid w:val="001A1399"/>
  </w:style>
  <w:style w:type="paragraph" w:customStyle="1" w:styleId="BodyText2">
    <w:name w:val="BodyText2"/>
    <w:basedOn w:val="Normal"/>
    <w:rsid w:val="007F5062"/>
    <w:pPr>
      <w:spacing w:before="4"/>
      <w:ind w:firstLine="317"/>
    </w:pPr>
    <w:rPr>
      <w:rFonts w:ascii="Helvetica" w:eastAsia="Times New Roman" w:hAnsi="Helvetica" w:cs="Times New Roman"/>
      <w:sz w:val="16"/>
    </w:rPr>
  </w:style>
  <w:style w:type="character" w:customStyle="1" w:styleId="normaltextrun">
    <w:name w:val="normaltextrun"/>
    <w:basedOn w:val="DefaultParagraphFont"/>
    <w:rsid w:val="00B80C06"/>
  </w:style>
  <w:style w:type="paragraph" w:customStyle="1" w:styleId="Default">
    <w:name w:val="Default"/>
    <w:rsid w:val="003840B9"/>
    <w:pPr>
      <w:autoSpaceDE w:val="0"/>
      <w:autoSpaceDN w:val="0"/>
      <w:adjustRightInd w:val="0"/>
    </w:pPr>
    <w:rPr>
      <w:rFonts w:ascii="TimesNewRoman,Bold" w:eastAsia="Times New Roman" w:hAnsi="TimesNewRoman,Bold" w:cs="Times New Roman"/>
      <w:sz w:val="20"/>
      <w:szCs w:val="20"/>
    </w:rPr>
  </w:style>
  <w:style w:type="paragraph" w:styleId="Caption">
    <w:name w:val="caption"/>
    <w:next w:val="C-BodyText"/>
    <w:qFormat/>
    <w:rsid w:val="0008128F"/>
    <w:pPr>
      <w:keepNext/>
      <w:spacing w:before="120" w:after="120" w:line="280" w:lineRule="atLeast"/>
      <w:ind w:left="1440" w:hanging="1440"/>
    </w:pPr>
    <w:rPr>
      <w:rFonts w:ascii="Times New Roman" w:eastAsia="Times New Roman" w:hAnsi="Times New Roman" w:cs="Times New Roman"/>
      <w:b/>
      <w:bCs/>
    </w:rPr>
  </w:style>
  <w:style w:type="paragraph" w:customStyle="1" w:styleId="C-TableHeader">
    <w:name w:val="C-Table Header"/>
    <w:next w:val="Normal"/>
    <w:rsid w:val="00717632"/>
    <w:pPr>
      <w:keepNext/>
      <w:spacing w:before="60" w:after="60"/>
    </w:pPr>
    <w:rPr>
      <w:rFonts w:ascii="Times New Roman" w:eastAsia="Times New Roman" w:hAnsi="Times New Roman" w:cs="Times New Roman"/>
      <w:b/>
      <w:sz w:val="22"/>
      <w:szCs w:val="20"/>
    </w:rPr>
  </w:style>
  <w:style w:type="character" w:customStyle="1" w:styleId="Heading3Char">
    <w:name w:val="Heading 3 Char"/>
    <w:basedOn w:val="DefaultParagraphFont"/>
    <w:link w:val="Heading3"/>
    <w:uiPriority w:val="9"/>
    <w:rsid w:val="00FF146C"/>
    <w:rPr>
      <w:rFonts w:ascii="Times New Roman" w:eastAsia="Times New Roman" w:hAnsi="Times New Roman" w:cs="Times New Roman"/>
      <w:b/>
      <w:bCs/>
      <w:sz w:val="27"/>
      <w:szCs w:val="27"/>
    </w:rPr>
  </w:style>
  <w:style w:type="paragraph" w:styleId="NormalWeb">
    <w:name w:val="Normal (Web)"/>
    <w:basedOn w:val="Normal"/>
    <w:uiPriority w:val="99"/>
    <w:unhideWhenUsed/>
    <w:rsid w:val="00FF146C"/>
    <w:pPr>
      <w:spacing w:before="100" w:beforeAutospacing="1" w:after="100" w:afterAutospacing="1"/>
    </w:pPr>
    <w:rPr>
      <w:rFonts w:ascii="Times New Roman" w:eastAsia="Times New Roman" w:hAnsi="Times New Roman" w:cs="Times New Roman"/>
    </w:rPr>
  </w:style>
  <w:style w:type="paragraph" w:customStyle="1" w:styleId="C-Heading6non-numbered">
    <w:name w:val="C-Heading 6 (non-numbered)"/>
    <w:basedOn w:val="C-Heading6"/>
    <w:next w:val="C-BodyText"/>
    <w:rsid w:val="007323CD"/>
    <w:pPr>
      <w:numPr>
        <w:ilvl w:val="0"/>
        <w:numId w:val="0"/>
      </w:numPr>
      <w:tabs>
        <w:tab w:val="left" w:pos="1080"/>
      </w:tabs>
      <w:ind w:left="1080" w:hanging="1080"/>
    </w:pPr>
  </w:style>
  <w:style w:type="paragraph" w:styleId="TOC1">
    <w:name w:val="toc 1"/>
    <w:next w:val="C-BodyText"/>
    <w:rsid w:val="00B10947"/>
    <w:pPr>
      <w:tabs>
        <w:tab w:val="left" w:pos="1152"/>
        <w:tab w:val="right" w:leader="dot" w:pos="9360"/>
      </w:tabs>
      <w:spacing w:before="120"/>
      <w:ind w:left="1152" w:right="792" w:hanging="1152"/>
    </w:pPr>
    <w:rPr>
      <w:rFonts w:ascii="Times New Roman" w:eastAsia="Times New Roman" w:hAnsi="Times New Roman" w:cs="Arial"/>
      <w:caps/>
      <w:color w:val="0000FF"/>
    </w:rPr>
  </w:style>
  <w:style w:type="paragraph" w:styleId="Header">
    <w:name w:val="header"/>
    <w:basedOn w:val="Normal"/>
    <w:link w:val="HeaderChar"/>
    <w:uiPriority w:val="99"/>
    <w:unhideWhenUsed/>
    <w:rsid w:val="00F23AFA"/>
    <w:pPr>
      <w:tabs>
        <w:tab w:val="center" w:pos="4680"/>
        <w:tab w:val="right" w:pos="9360"/>
      </w:tabs>
    </w:pPr>
  </w:style>
  <w:style w:type="character" w:customStyle="1" w:styleId="HeaderChar">
    <w:name w:val="Header Char"/>
    <w:basedOn w:val="DefaultParagraphFont"/>
    <w:link w:val="Header"/>
    <w:uiPriority w:val="99"/>
    <w:rsid w:val="00F23AFA"/>
  </w:style>
  <w:style w:type="paragraph" w:styleId="Footer">
    <w:name w:val="footer"/>
    <w:basedOn w:val="Normal"/>
    <w:link w:val="FooterChar"/>
    <w:unhideWhenUsed/>
    <w:rsid w:val="00F23AFA"/>
    <w:pPr>
      <w:tabs>
        <w:tab w:val="center" w:pos="4680"/>
        <w:tab w:val="right" w:pos="9360"/>
      </w:tabs>
    </w:pPr>
  </w:style>
  <w:style w:type="character" w:customStyle="1" w:styleId="FooterChar">
    <w:name w:val="Footer Char"/>
    <w:basedOn w:val="DefaultParagraphFont"/>
    <w:link w:val="Footer"/>
    <w:rsid w:val="00F23AFA"/>
  </w:style>
  <w:style w:type="paragraph" w:styleId="TOC2">
    <w:name w:val="toc 2"/>
    <w:basedOn w:val="Normal"/>
    <w:next w:val="Normal"/>
    <w:autoRedefine/>
    <w:uiPriority w:val="39"/>
    <w:semiHidden/>
    <w:unhideWhenUsed/>
    <w:rsid w:val="00313D12"/>
    <w:pPr>
      <w:spacing w:after="100"/>
      <w:ind w:left="240"/>
    </w:pPr>
  </w:style>
  <w:style w:type="paragraph" w:customStyle="1" w:styleId="TableTextColHead">
    <w:name w:val="TableText Col Head"/>
    <w:next w:val="Normal"/>
    <w:rsid w:val="006069DF"/>
    <w:pPr>
      <w:jc w:val="center"/>
    </w:pPr>
    <w:rPr>
      <w:rFonts w:ascii="Times New Roman Bold" w:eastAsia="Times New Roman" w:hAnsi="Times New Roman Bold"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47296">
      <w:bodyDiv w:val="1"/>
      <w:marLeft w:val="0"/>
      <w:marRight w:val="0"/>
      <w:marTop w:val="0"/>
      <w:marBottom w:val="0"/>
      <w:divBdr>
        <w:top w:val="none" w:sz="0" w:space="0" w:color="auto"/>
        <w:left w:val="none" w:sz="0" w:space="0" w:color="auto"/>
        <w:bottom w:val="none" w:sz="0" w:space="0" w:color="auto"/>
        <w:right w:val="none" w:sz="0" w:space="0" w:color="auto"/>
      </w:divBdr>
    </w:div>
    <w:div w:id="253366422">
      <w:bodyDiv w:val="1"/>
      <w:marLeft w:val="0"/>
      <w:marRight w:val="0"/>
      <w:marTop w:val="0"/>
      <w:marBottom w:val="0"/>
      <w:divBdr>
        <w:top w:val="none" w:sz="0" w:space="0" w:color="auto"/>
        <w:left w:val="none" w:sz="0" w:space="0" w:color="auto"/>
        <w:bottom w:val="none" w:sz="0" w:space="0" w:color="auto"/>
        <w:right w:val="none" w:sz="0" w:space="0" w:color="auto"/>
      </w:divBdr>
    </w:div>
    <w:div w:id="264191907">
      <w:bodyDiv w:val="1"/>
      <w:marLeft w:val="0"/>
      <w:marRight w:val="0"/>
      <w:marTop w:val="0"/>
      <w:marBottom w:val="0"/>
      <w:divBdr>
        <w:top w:val="none" w:sz="0" w:space="0" w:color="auto"/>
        <w:left w:val="none" w:sz="0" w:space="0" w:color="auto"/>
        <w:bottom w:val="none" w:sz="0" w:space="0" w:color="auto"/>
        <w:right w:val="none" w:sz="0" w:space="0" w:color="auto"/>
      </w:divBdr>
    </w:div>
    <w:div w:id="662973545">
      <w:bodyDiv w:val="1"/>
      <w:marLeft w:val="0"/>
      <w:marRight w:val="0"/>
      <w:marTop w:val="0"/>
      <w:marBottom w:val="0"/>
      <w:divBdr>
        <w:top w:val="none" w:sz="0" w:space="0" w:color="auto"/>
        <w:left w:val="none" w:sz="0" w:space="0" w:color="auto"/>
        <w:bottom w:val="none" w:sz="0" w:space="0" w:color="auto"/>
        <w:right w:val="none" w:sz="0" w:space="0" w:color="auto"/>
      </w:divBdr>
    </w:div>
    <w:div w:id="678580630">
      <w:bodyDiv w:val="1"/>
      <w:marLeft w:val="0"/>
      <w:marRight w:val="0"/>
      <w:marTop w:val="0"/>
      <w:marBottom w:val="0"/>
      <w:divBdr>
        <w:top w:val="none" w:sz="0" w:space="0" w:color="auto"/>
        <w:left w:val="none" w:sz="0" w:space="0" w:color="auto"/>
        <w:bottom w:val="none" w:sz="0" w:space="0" w:color="auto"/>
        <w:right w:val="none" w:sz="0" w:space="0" w:color="auto"/>
      </w:divBdr>
      <w:divsChild>
        <w:div w:id="2140568739">
          <w:marLeft w:val="0"/>
          <w:marRight w:val="0"/>
          <w:marTop w:val="0"/>
          <w:marBottom w:val="0"/>
          <w:divBdr>
            <w:top w:val="none" w:sz="0" w:space="0" w:color="auto"/>
            <w:left w:val="none" w:sz="0" w:space="0" w:color="auto"/>
            <w:bottom w:val="none" w:sz="0" w:space="0" w:color="auto"/>
            <w:right w:val="none" w:sz="0" w:space="0" w:color="auto"/>
          </w:divBdr>
        </w:div>
      </w:divsChild>
    </w:div>
    <w:div w:id="1090737055">
      <w:bodyDiv w:val="1"/>
      <w:marLeft w:val="0"/>
      <w:marRight w:val="0"/>
      <w:marTop w:val="0"/>
      <w:marBottom w:val="0"/>
      <w:divBdr>
        <w:top w:val="none" w:sz="0" w:space="0" w:color="auto"/>
        <w:left w:val="none" w:sz="0" w:space="0" w:color="auto"/>
        <w:bottom w:val="none" w:sz="0" w:space="0" w:color="auto"/>
        <w:right w:val="none" w:sz="0" w:space="0" w:color="auto"/>
      </w:divBdr>
      <w:divsChild>
        <w:div w:id="1658848284">
          <w:marLeft w:val="0"/>
          <w:marRight w:val="0"/>
          <w:marTop w:val="0"/>
          <w:marBottom w:val="0"/>
          <w:divBdr>
            <w:top w:val="none" w:sz="0" w:space="0" w:color="auto"/>
            <w:left w:val="none" w:sz="0" w:space="0" w:color="auto"/>
            <w:bottom w:val="none" w:sz="0" w:space="0" w:color="auto"/>
            <w:right w:val="none" w:sz="0" w:space="0" w:color="auto"/>
          </w:divBdr>
        </w:div>
      </w:divsChild>
    </w:div>
    <w:div w:id="1247809515">
      <w:bodyDiv w:val="1"/>
      <w:marLeft w:val="0"/>
      <w:marRight w:val="0"/>
      <w:marTop w:val="0"/>
      <w:marBottom w:val="0"/>
      <w:divBdr>
        <w:top w:val="none" w:sz="0" w:space="0" w:color="auto"/>
        <w:left w:val="none" w:sz="0" w:space="0" w:color="auto"/>
        <w:bottom w:val="none" w:sz="0" w:space="0" w:color="auto"/>
        <w:right w:val="none" w:sz="0" w:space="0" w:color="auto"/>
      </w:divBdr>
    </w:div>
    <w:div w:id="1274626427">
      <w:bodyDiv w:val="1"/>
      <w:marLeft w:val="0"/>
      <w:marRight w:val="0"/>
      <w:marTop w:val="0"/>
      <w:marBottom w:val="0"/>
      <w:divBdr>
        <w:top w:val="none" w:sz="0" w:space="0" w:color="auto"/>
        <w:left w:val="none" w:sz="0" w:space="0" w:color="auto"/>
        <w:bottom w:val="none" w:sz="0" w:space="0" w:color="auto"/>
        <w:right w:val="none" w:sz="0" w:space="0" w:color="auto"/>
      </w:divBdr>
    </w:div>
    <w:div w:id="1409575523">
      <w:bodyDiv w:val="1"/>
      <w:marLeft w:val="0"/>
      <w:marRight w:val="0"/>
      <w:marTop w:val="0"/>
      <w:marBottom w:val="0"/>
      <w:divBdr>
        <w:top w:val="none" w:sz="0" w:space="0" w:color="auto"/>
        <w:left w:val="none" w:sz="0" w:space="0" w:color="auto"/>
        <w:bottom w:val="none" w:sz="0" w:space="0" w:color="auto"/>
        <w:right w:val="none" w:sz="0" w:space="0" w:color="auto"/>
      </w:divBdr>
    </w:div>
    <w:div w:id="1553735215">
      <w:bodyDiv w:val="1"/>
      <w:marLeft w:val="0"/>
      <w:marRight w:val="0"/>
      <w:marTop w:val="0"/>
      <w:marBottom w:val="0"/>
      <w:divBdr>
        <w:top w:val="none" w:sz="0" w:space="0" w:color="auto"/>
        <w:left w:val="none" w:sz="0" w:space="0" w:color="auto"/>
        <w:bottom w:val="none" w:sz="0" w:space="0" w:color="auto"/>
        <w:right w:val="none" w:sz="0" w:space="0" w:color="auto"/>
      </w:divBdr>
    </w:div>
    <w:div w:id="1683892194">
      <w:bodyDiv w:val="1"/>
      <w:marLeft w:val="0"/>
      <w:marRight w:val="0"/>
      <w:marTop w:val="0"/>
      <w:marBottom w:val="0"/>
      <w:divBdr>
        <w:top w:val="none" w:sz="0" w:space="0" w:color="auto"/>
        <w:left w:val="none" w:sz="0" w:space="0" w:color="auto"/>
        <w:bottom w:val="none" w:sz="0" w:space="0" w:color="auto"/>
        <w:right w:val="none" w:sz="0" w:space="0" w:color="auto"/>
      </w:divBdr>
    </w:div>
    <w:div w:id="1725443766">
      <w:bodyDiv w:val="1"/>
      <w:marLeft w:val="0"/>
      <w:marRight w:val="0"/>
      <w:marTop w:val="0"/>
      <w:marBottom w:val="0"/>
      <w:divBdr>
        <w:top w:val="none" w:sz="0" w:space="0" w:color="auto"/>
        <w:left w:val="none" w:sz="0" w:space="0" w:color="auto"/>
        <w:bottom w:val="none" w:sz="0" w:space="0" w:color="auto"/>
        <w:right w:val="none" w:sz="0" w:space="0" w:color="auto"/>
      </w:divBdr>
    </w:div>
    <w:div w:id="1727413086">
      <w:bodyDiv w:val="1"/>
      <w:marLeft w:val="0"/>
      <w:marRight w:val="0"/>
      <w:marTop w:val="0"/>
      <w:marBottom w:val="0"/>
      <w:divBdr>
        <w:top w:val="none" w:sz="0" w:space="0" w:color="auto"/>
        <w:left w:val="none" w:sz="0" w:space="0" w:color="auto"/>
        <w:bottom w:val="none" w:sz="0" w:space="0" w:color="auto"/>
        <w:right w:val="none" w:sz="0" w:space="0" w:color="auto"/>
      </w:divBdr>
    </w:div>
    <w:div w:id="1878465550">
      <w:bodyDiv w:val="1"/>
      <w:marLeft w:val="0"/>
      <w:marRight w:val="0"/>
      <w:marTop w:val="0"/>
      <w:marBottom w:val="0"/>
      <w:divBdr>
        <w:top w:val="none" w:sz="0" w:space="0" w:color="auto"/>
        <w:left w:val="none" w:sz="0" w:space="0" w:color="auto"/>
        <w:bottom w:val="none" w:sz="0" w:space="0" w:color="auto"/>
        <w:right w:val="none" w:sz="0" w:space="0" w:color="auto"/>
      </w:divBdr>
    </w:div>
    <w:div w:id="2084643719">
      <w:bodyDiv w:val="1"/>
      <w:marLeft w:val="0"/>
      <w:marRight w:val="0"/>
      <w:marTop w:val="0"/>
      <w:marBottom w:val="0"/>
      <w:divBdr>
        <w:top w:val="none" w:sz="0" w:space="0" w:color="auto"/>
        <w:left w:val="none" w:sz="0" w:space="0" w:color="auto"/>
        <w:bottom w:val="none" w:sz="0" w:space="0" w:color="auto"/>
        <w:right w:val="none" w:sz="0" w:space="0" w:color="auto"/>
      </w:divBdr>
    </w:div>
    <w:div w:id="210842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enPearce\AppData\Roaming\Microsoft\Templates\Autho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F16C52568E3A46A61916D910E9CE9B" ma:contentTypeVersion="48" ma:contentTypeDescription="Create a new document." ma:contentTypeScope="" ma:versionID="32df25a39cfd7b98e70e79f0b88226b5">
  <xsd:schema xmlns:xsd="http://www.w3.org/2001/XMLSchema" xmlns:xs="http://www.w3.org/2001/XMLSchema" xmlns:p="http://schemas.microsoft.com/office/2006/metadata/properties" xmlns:ns2="9633ec90-5129-4b6e-8464-6c0fb6e7bb7e" xmlns:ns3="ea3f1776-3712-492f-8c1e-934b1bad2143" targetNamespace="http://schemas.microsoft.com/office/2006/metadata/properties" ma:root="true" ma:fieldsID="a5825dd7927d9e2ef1389bf2a79cf725" ns2:_="" ns3:_="">
    <xsd:import namespace="9633ec90-5129-4b6e-8464-6c0fb6e7bb7e"/>
    <xsd:import namespace="ea3f1776-3712-492f-8c1e-934b1bad21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3ec90-5129-4b6e-8464-6c0fb6e7b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f1776-3712-492f-8c1e-934b1bad2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04CEB-0BD6-4DC9-A1C6-D5D7968332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B4845-E0C2-4D42-8D1D-A09FC0F3F487}">
  <ds:schemaRefs>
    <ds:schemaRef ds:uri="http://schemas.microsoft.com/sharepoint/v3/contenttype/forms"/>
  </ds:schemaRefs>
</ds:datastoreItem>
</file>

<file path=customXml/itemProps3.xml><?xml version="1.0" encoding="utf-8"?>
<ds:datastoreItem xmlns:ds="http://schemas.openxmlformats.org/officeDocument/2006/customXml" ds:itemID="{36F28A44-4ED2-4258-AC69-ECA9F7FB0272}">
  <ds:schemaRefs>
    <ds:schemaRef ds:uri="http://schemas.openxmlformats.org/officeDocument/2006/bibliography"/>
  </ds:schemaRefs>
</ds:datastoreItem>
</file>

<file path=customXml/itemProps4.xml><?xml version="1.0" encoding="utf-8"?>
<ds:datastoreItem xmlns:ds="http://schemas.openxmlformats.org/officeDocument/2006/customXml" ds:itemID="{C9173FF1-BDC5-4543-A220-53E916555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3ec90-5129-4b6e-8464-6c0fb6e7bb7e"/>
    <ds:schemaRef ds:uri="ea3f1776-3712-492f-8c1e-934b1bad2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Author.dotm</Template>
  <TotalTime>9</TotalTime>
  <Pages>16</Pages>
  <Words>4585</Words>
  <Characters>26137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Apellis Australia Pty Ltd</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Pegcetacoplan</dc:title>
  <dc:subject>prescription medicines</dc:subject>
  <dc:creator>Apellis Australia Pty Ltd</dc:creator>
  <cp:keywords/>
  <dc:description/>
  <cp:lastModifiedBy>KOLARIK-OREILLY, Kristy</cp:lastModifiedBy>
  <cp:revision>10</cp:revision>
  <dcterms:created xsi:type="dcterms:W3CDTF">2022-03-21T03:32:00Z</dcterms:created>
  <dcterms:modified xsi:type="dcterms:W3CDTF">2022-09-02T05:39:00Z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0x01010014F16C52568E3A46A61916D910E9CE9B</vt:lpwstr>
  </property>
  <property fmtid="{D5CDD505-2E9C-101B-9397-08002B2CF9AE}" pid="3" name="MSIP_Label_6ddddc05-6d75-4c89-ae8a-b8ab1a1994bc_Enabled">
    <vt:lpwstr>true</vt:lpwstr>
  </property>
  <property fmtid="{D5CDD505-2E9C-101B-9397-08002B2CF9AE}" pid="4" name="MSIP_Label_6ddddc05-6d75-4c89-ae8a-b8ab1a1994bc_SetDate">
    <vt:lpwstr>2022-02-08T23:51:58Z</vt:lpwstr>
  </property>
  <property fmtid="{D5CDD505-2E9C-101B-9397-08002B2CF9AE}" pid="5" name="MSIP_Label_6ddddc05-6d75-4c89-ae8a-b8ab1a1994bc_Method">
    <vt:lpwstr>Standard</vt:lpwstr>
  </property>
  <property fmtid="{D5CDD505-2E9C-101B-9397-08002B2CF9AE}" pid="6" name="MSIP_Label_6ddddc05-6d75-4c89-ae8a-b8ab1a1994bc_Name">
    <vt:lpwstr>without watermark</vt:lpwstr>
  </property>
  <property fmtid="{D5CDD505-2E9C-101B-9397-08002B2CF9AE}" pid="7" name="MSIP_Label_6ddddc05-6d75-4c89-ae8a-b8ab1a1994bc_SiteId">
    <vt:lpwstr>ff9ac3ce-3c41-41c3-b556-e1b32a662fed</vt:lpwstr>
  </property>
  <property fmtid="{D5CDD505-2E9C-101B-9397-08002B2CF9AE}" pid="8" name="MSIP_Label_6ddddc05-6d75-4c89-ae8a-b8ab1a1994bc_ActionId">
    <vt:lpwstr>0952e57a-4aad-4dee-995d-0ac2e87138ff</vt:lpwstr>
  </property>
  <property fmtid="{D5CDD505-2E9C-101B-9397-08002B2CF9AE}" pid="9" name="MSIP_Label_6ddddc05-6d75-4c89-ae8a-b8ab1a1994bc_ContentBits">
    <vt:lpwstr>0</vt:lpwstr>
  </property>
</Properties>
</file>