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B419F05" w14:textId="77777777" w:rsidTr="00BF1190">
        <w:trPr>
          <w:trHeight w:val="1863"/>
        </w:trPr>
        <w:tc>
          <w:tcPr>
            <w:tcW w:w="3652" w:type="dxa"/>
            <w:tcBorders>
              <w:top w:val="nil"/>
              <w:left w:val="nil"/>
              <w:bottom w:val="nil"/>
              <w:right w:val="nil"/>
            </w:tcBorders>
          </w:tcPr>
          <w:p w14:paraId="5F639B17" w14:textId="41C017F7" w:rsidR="008E7846" w:rsidRPr="00096AA7" w:rsidRDefault="00E95161" w:rsidP="00F931CE">
            <w:pPr>
              <w:pStyle w:val="Date"/>
              <w:framePr w:hSpace="0" w:wrap="auto" w:vAnchor="margin" w:hAnchor="text" w:yAlign="inline"/>
              <w:suppressOverlap w:val="0"/>
            </w:pPr>
            <w:r>
              <w:t>August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840698E" w14:textId="77777777" w:rsidTr="0032583B">
        <w:trPr>
          <w:trHeight w:val="868"/>
        </w:trPr>
        <w:tc>
          <w:tcPr>
            <w:tcW w:w="9079" w:type="dxa"/>
          </w:tcPr>
          <w:p w14:paraId="6F7E383D" w14:textId="4A70A980" w:rsidR="0032583B" w:rsidRPr="00A964D1" w:rsidRDefault="0032583B" w:rsidP="00F931CE">
            <w:pPr>
              <w:pStyle w:val="Title"/>
              <w:framePr w:hSpace="0" w:wrap="auto" w:vAnchor="margin" w:yAlign="inline"/>
            </w:pPr>
            <w:r w:rsidRPr="00A964D1">
              <w:t>Australian Public Assessment Report for</w:t>
            </w:r>
            <w:r w:rsidR="00AF2313">
              <w:t xml:space="preserve"> </w:t>
            </w:r>
            <w:r w:rsidR="00E95161" w:rsidRPr="00E95161">
              <w:t xml:space="preserve">Spikevax </w:t>
            </w:r>
            <w:r w:rsidR="00935A86">
              <w:t>B</w:t>
            </w:r>
            <w:r w:rsidR="00E95161" w:rsidRPr="00E95161">
              <w:t xml:space="preserve">ivalent </w:t>
            </w:r>
            <w:r w:rsidR="00935A86">
              <w:t>O</w:t>
            </w:r>
            <w:r w:rsidR="00E95161" w:rsidRPr="00E95161">
              <w:t>riginal</w:t>
            </w:r>
            <w:r w:rsidR="00E95161">
              <w:t>/</w:t>
            </w:r>
            <w:r w:rsidR="007D1954">
              <w:t>Omicron</w:t>
            </w:r>
          </w:p>
        </w:tc>
      </w:tr>
      <w:tr w:rsidR="0032583B" w:rsidRPr="00B64760" w14:paraId="37A00856" w14:textId="77777777" w:rsidTr="0032583B">
        <w:tc>
          <w:tcPr>
            <w:tcW w:w="9079" w:type="dxa"/>
          </w:tcPr>
          <w:p w14:paraId="3A1E4DEB" w14:textId="4CC7183F" w:rsidR="0032583B" w:rsidRPr="008E7846" w:rsidRDefault="00BB75D6" w:rsidP="00F931CE">
            <w:pPr>
              <w:pStyle w:val="Subtitle"/>
              <w:framePr w:hSpace="0" w:wrap="auto" w:vAnchor="margin" w:yAlign="inline"/>
            </w:pPr>
            <w:r>
              <w:t>Active ingredients</w:t>
            </w:r>
            <w:r w:rsidR="0032583B" w:rsidRPr="008E7846">
              <w:t xml:space="preserve">: </w:t>
            </w:r>
            <w:proofErr w:type="spellStart"/>
            <w:r w:rsidR="00E95161" w:rsidRPr="00E95161">
              <w:t>elasomeran</w:t>
            </w:r>
            <w:proofErr w:type="spellEnd"/>
            <w:r w:rsidR="00E95161" w:rsidRPr="00E95161">
              <w:t xml:space="preserve"> and </w:t>
            </w:r>
            <w:proofErr w:type="spellStart"/>
            <w:r w:rsidR="00E95161" w:rsidRPr="00E95161">
              <w:t>imelasomeran</w:t>
            </w:r>
            <w:proofErr w:type="spellEnd"/>
          </w:p>
        </w:tc>
      </w:tr>
      <w:tr w:rsidR="0032583B" w:rsidRPr="00B64760" w14:paraId="11701802" w14:textId="77777777" w:rsidTr="0032583B">
        <w:trPr>
          <w:trHeight w:val="486"/>
        </w:trPr>
        <w:tc>
          <w:tcPr>
            <w:tcW w:w="9079" w:type="dxa"/>
          </w:tcPr>
          <w:p w14:paraId="116CAE86" w14:textId="23249078" w:rsidR="0032583B" w:rsidRPr="008E7846" w:rsidRDefault="00460036" w:rsidP="009556D7">
            <w:pPr>
              <w:pStyle w:val="Subtitle"/>
              <w:framePr w:hSpace="0" w:wrap="auto" w:vAnchor="margin" w:yAlign="inline"/>
            </w:pPr>
            <w:r>
              <w:t xml:space="preserve">Sponsor: </w:t>
            </w:r>
            <w:r w:rsidR="00E95161" w:rsidRPr="00E95161">
              <w:t>Moderna Australia Pty Ltd</w:t>
            </w:r>
          </w:p>
        </w:tc>
      </w:tr>
    </w:tbl>
    <w:p w14:paraId="1455C997" w14:textId="77777777" w:rsidR="008E7846" w:rsidRPr="0085156D" w:rsidRDefault="008E7846" w:rsidP="0085156D">
      <w:r w:rsidRPr="0085156D">
        <w:br w:type="page"/>
      </w:r>
    </w:p>
    <w:p w14:paraId="3A23568F" w14:textId="77777777" w:rsidR="008E7846" w:rsidRPr="001F6CBA" w:rsidRDefault="008E7846" w:rsidP="008E7846">
      <w:pPr>
        <w:pStyle w:val="NonTOCHeading2"/>
      </w:pPr>
      <w:r w:rsidRPr="001F6CBA">
        <w:lastRenderedPageBreak/>
        <w:t>About the Therapeutic Goods Administration (TGA)</w:t>
      </w:r>
    </w:p>
    <w:p w14:paraId="78BC8855"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73C723A8"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39AFCAC2"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28024F84"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7BB14906" w14:textId="35C77484"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5B4B75B9" w14:textId="77777777" w:rsidR="008E7846" w:rsidRDefault="008E7846" w:rsidP="00875A6B">
      <w:pPr>
        <w:pStyle w:val="NonTOCHeading2"/>
      </w:pPr>
      <w:r>
        <w:t xml:space="preserve">About </w:t>
      </w:r>
      <w:proofErr w:type="spellStart"/>
      <w:r>
        <w:t>AusPARs</w:t>
      </w:r>
      <w:proofErr w:type="spellEnd"/>
    </w:p>
    <w:p w14:paraId="78F00E80" w14:textId="3FCDC6EB" w:rsidR="00AF2313" w:rsidRPr="003C6D1F" w:rsidRDefault="00AF2313" w:rsidP="00AF2313">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(AusPAR) guidance</w:t>
        </w:r>
      </w:hyperlink>
      <w:r>
        <w:t>.</w:t>
      </w:r>
    </w:p>
    <w:p w14:paraId="2C692B9A"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59BA8A63"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AusPAR is an important part of the transparency of the TGA’s decision-making process.</w:t>
      </w:r>
    </w:p>
    <w:p w14:paraId="645BD0D4" w14:textId="77777777" w:rsidR="00AF2313" w:rsidRPr="003C6D1F" w:rsidRDefault="00AF2313" w:rsidP="00AF2313">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31673F31" w14:textId="77777777" w:rsidR="00924482" w:rsidRPr="00DF1D7F" w:rsidRDefault="00924482" w:rsidP="00F54B65">
      <w:pPr>
        <w:pStyle w:val="LegalSubheading"/>
        <w:spacing w:before="3120"/>
      </w:pPr>
      <w:r w:rsidRPr="00DF1D7F">
        <w:t>Copyright</w:t>
      </w:r>
    </w:p>
    <w:p w14:paraId="60EFFD09" w14:textId="5454EC7A"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AF2313">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71CB31FC"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1B498A15" w14:textId="77777777" w:rsidR="0089635C" w:rsidRPr="0089635C" w:rsidRDefault="0089635C" w:rsidP="0010788A">
          <w:pPr>
            <w:pStyle w:val="Contents"/>
          </w:pPr>
          <w:r w:rsidRPr="0010788A">
            <w:t>Contents</w:t>
          </w:r>
        </w:p>
        <w:p w14:paraId="1980FB81" w14:textId="399B5DD8" w:rsidR="00D102F3"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12833617" w:history="1">
            <w:r w:rsidR="00D102F3" w:rsidRPr="00D9170A">
              <w:rPr>
                <w:rStyle w:val="Hyperlink"/>
                <w:noProof/>
              </w:rPr>
              <w:t>List of abbreviations</w:t>
            </w:r>
            <w:r w:rsidR="00D102F3">
              <w:rPr>
                <w:noProof/>
                <w:webHidden/>
              </w:rPr>
              <w:tab/>
            </w:r>
            <w:r w:rsidR="00D102F3">
              <w:rPr>
                <w:noProof/>
                <w:webHidden/>
              </w:rPr>
              <w:fldChar w:fldCharType="begin"/>
            </w:r>
            <w:r w:rsidR="00D102F3">
              <w:rPr>
                <w:noProof/>
                <w:webHidden/>
              </w:rPr>
              <w:instrText xml:space="preserve"> PAGEREF _Toc112833617 \h </w:instrText>
            </w:r>
            <w:r w:rsidR="00D102F3">
              <w:rPr>
                <w:noProof/>
                <w:webHidden/>
              </w:rPr>
            </w:r>
            <w:r w:rsidR="00D102F3">
              <w:rPr>
                <w:noProof/>
                <w:webHidden/>
              </w:rPr>
              <w:fldChar w:fldCharType="separate"/>
            </w:r>
            <w:r w:rsidR="00D102F3">
              <w:rPr>
                <w:noProof/>
                <w:webHidden/>
              </w:rPr>
              <w:t>4</w:t>
            </w:r>
            <w:r w:rsidR="00D102F3">
              <w:rPr>
                <w:noProof/>
                <w:webHidden/>
              </w:rPr>
              <w:fldChar w:fldCharType="end"/>
            </w:r>
          </w:hyperlink>
        </w:p>
        <w:p w14:paraId="043D3984" w14:textId="76AD60C8" w:rsidR="00D102F3" w:rsidRDefault="00F43EA9">
          <w:pPr>
            <w:pStyle w:val="TOC1"/>
            <w:rPr>
              <w:rFonts w:asciiTheme="minorHAnsi" w:eastAsiaTheme="minorEastAsia" w:hAnsiTheme="minorHAnsi" w:cstheme="minorBidi"/>
              <w:b w:val="0"/>
              <w:noProof/>
              <w:sz w:val="22"/>
              <w:lang w:eastAsia="en-AU"/>
            </w:rPr>
          </w:pPr>
          <w:hyperlink w:anchor="_Toc112833618" w:history="1">
            <w:r w:rsidR="00D102F3" w:rsidRPr="00D9170A">
              <w:rPr>
                <w:rStyle w:val="Hyperlink"/>
                <w:noProof/>
              </w:rPr>
              <w:t>Product submission</w:t>
            </w:r>
            <w:r w:rsidR="00D102F3">
              <w:rPr>
                <w:noProof/>
                <w:webHidden/>
              </w:rPr>
              <w:tab/>
            </w:r>
            <w:r w:rsidR="00D102F3">
              <w:rPr>
                <w:noProof/>
                <w:webHidden/>
              </w:rPr>
              <w:fldChar w:fldCharType="begin"/>
            </w:r>
            <w:r w:rsidR="00D102F3">
              <w:rPr>
                <w:noProof/>
                <w:webHidden/>
              </w:rPr>
              <w:instrText xml:space="preserve"> PAGEREF _Toc112833618 \h </w:instrText>
            </w:r>
            <w:r w:rsidR="00D102F3">
              <w:rPr>
                <w:noProof/>
                <w:webHidden/>
              </w:rPr>
            </w:r>
            <w:r w:rsidR="00D102F3">
              <w:rPr>
                <w:noProof/>
                <w:webHidden/>
              </w:rPr>
              <w:fldChar w:fldCharType="separate"/>
            </w:r>
            <w:r w:rsidR="00D102F3">
              <w:rPr>
                <w:noProof/>
                <w:webHidden/>
              </w:rPr>
              <w:t>6</w:t>
            </w:r>
            <w:r w:rsidR="00D102F3">
              <w:rPr>
                <w:noProof/>
                <w:webHidden/>
              </w:rPr>
              <w:fldChar w:fldCharType="end"/>
            </w:r>
          </w:hyperlink>
        </w:p>
        <w:p w14:paraId="3BD43287" w14:textId="1F9CF99F" w:rsidR="00D102F3" w:rsidRDefault="00F43EA9">
          <w:pPr>
            <w:pStyle w:val="TOC2"/>
            <w:rPr>
              <w:rFonts w:asciiTheme="minorHAnsi" w:eastAsiaTheme="minorEastAsia" w:hAnsiTheme="minorHAnsi" w:cstheme="minorBidi"/>
              <w:b w:val="0"/>
              <w:noProof/>
              <w:sz w:val="22"/>
              <w:lang w:eastAsia="en-AU"/>
            </w:rPr>
          </w:pPr>
          <w:hyperlink w:anchor="_Toc112833619" w:history="1">
            <w:r w:rsidR="00D102F3" w:rsidRPr="00D9170A">
              <w:rPr>
                <w:rStyle w:val="Hyperlink"/>
                <w:noProof/>
                <w:lang w:eastAsia="en-AU"/>
              </w:rPr>
              <w:t>Submission details</w:t>
            </w:r>
            <w:r w:rsidR="00D102F3">
              <w:rPr>
                <w:noProof/>
                <w:webHidden/>
              </w:rPr>
              <w:tab/>
            </w:r>
            <w:r w:rsidR="00D102F3">
              <w:rPr>
                <w:noProof/>
                <w:webHidden/>
              </w:rPr>
              <w:fldChar w:fldCharType="begin"/>
            </w:r>
            <w:r w:rsidR="00D102F3">
              <w:rPr>
                <w:noProof/>
                <w:webHidden/>
              </w:rPr>
              <w:instrText xml:space="preserve"> PAGEREF _Toc112833619 \h </w:instrText>
            </w:r>
            <w:r w:rsidR="00D102F3">
              <w:rPr>
                <w:noProof/>
                <w:webHidden/>
              </w:rPr>
            </w:r>
            <w:r w:rsidR="00D102F3">
              <w:rPr>
                <w:noProof/>
                <w:webHidden/>
              </w:rPr>
              <w:fldChar w:fldCharType="separate"/>
            </w:r>
            <w:r w:rsidR="00D102F3">
              <w:rPr>
                <w:noProof/>
                <w:webHidden/>
              </w:rPr>
              <w:t>6</w:t>
            </w:r>
            <w:r w:rsidR="00D102F3">
              <w:rPr>
                <w:noProof/>
                <w:webHidden/>
              </w:rPr>
              <w:fldChar w:fldCharType="end"/>
            </w:r>
          </w:hyperlink>
        </w:p>
        <w:p w14:paraId="56A33A03" w14:textId="04A1F51C" w:rsidR="00D102F3" w:rsidRDefault="00F43EA9">
          <w:pPr>
            <w:pStyle w:val="TOC2"/>
            <w:rPr>
              <w:rFonts w:asciiTheme="minorHAnsi" w:eastAsiaTheme="minorEastAsia" w:hAnsiTheme="minorHAnsi" w:cstheme="minorBidi"/>
              <w:b w:val="0"/>
              <w:noProof/>
              <w:sz w:val="22"/>
              <w:lang w:eastAsia="en-AU"/>
            </w:rPr>
          </w:pPr>
          <w:hyperlink w:anchor="_Toc112833620" w:history="1">
            <w:r w:rsidR="00D102F3" w:rsidRPr="00D9170A">
              <w:rPr>
                <w:rStyle w:val="Hyperlink"/>
                <w:noProof/>
              </w:rPr>
              <w:t>Product background</w:t>
            </w:r>
            <w:r w:rsidR="00D102F3">
              <w:rPr>
                <w:noProof/>
                <w:webHidden/>
              </w:rPr>
              <w:tab/>
            </w:r>
            <w:r w:rsidR="00D102F3">
              <w:rPr>
                <w:noProof/>
                <w:webHidden/>
              </w:rPr>
              <w:fldChar w:fldCharType="begin"/>
            </w:r>
            <w:r w:rsidR="00D102F3">
              <w:rPr>
                <w:noProof/>
                <w:webHidden/>
              </w:rPr>
              <w:instrText xml:space="preserve"> PAGEREF _Toc112833620 \h </w:instrText>
            </w:r>
            <w:r w:rsidR="00D102F3">
              <w:rPr>
                <w:noProof/>
                <w:webHidden/>
              </w:rPr>
            </w:r>
            <w:r w:rsidR="00D102F3">
              <w:rPr>
                <w:noProof/>
                <w:webHidden/>
              </w:rPr>
              <w:fldChar w:fldCharType="separate"/>
            </w:r>
            <w:r w:rsidR="00D102F3">
              <w:rPr>
                <w:noProof/>
                <w:webHidden/>
              </w:rPr>
              <w:t>7</w:t>
            </w:r>
            <w:r w:rsidR="00D102F3">
              <w:rPr>
                <w:noProof/>
                <w:webHidden/>
              </w:rPr>
              <w:fldChar w:fldCharType="end"/>
            </w:r>
          </w:hyperlink>
        </w:p>
        <w:p w14:paraId="4EF55E2E" w14:textId="408E04C2" w:rsidR="00D102F3" w:rsidRDefault="00F43EA9">
          <w:pPr>
            <w:pStyle w:val="TOC2"/>
            <w:rPr>
              <w:rFonts w:asciiTheme="minorHAnsi" w:eastAsiaTheme="minorEastAsia" w:hAnsiTheme="minorHAnsi" w:cstheme="minorBidi"/>
              <w:b w:val="0"/>
              <w:noProof/>
              <w:sz w:val="22"/>
              <w:lang w:eastAsia="en-AU"/>
            </w:rPr>
          </w:pPr>
          <w:hyperlink w:anchor="_Toc112833621" w:history="1">
            <w:r w:rsidR="00D102F3" w:rsidRPr="00D9170A">
              <w:rPr>
                <w:rStyle w:val="Hyperlink"/>
                <w:noProof/>
              </w:rPr>
              <w:t>Regulatory status</w:t>
            </w:r>
            <w:r w:rsidR="00D102F3">
              <w:rPr>
                <w:noProof/>
                <w:webHidden/>
              </w:rPr>
              <w:tab/>
            </w:r>
            <w:r w:rsidR="00D102F3">
              <w:rPr>
                <w:noProof/>
                <w:webHidden/>
              </w:rPr>
              <w:fldChar w:fldCharType="begin"/>
            </w:r>
            <w:r w:rsidR="00D102F3">
              <w:rPr>
                <w:noProof/>
                <w:webHidden/>
              </w:rPr>
              <w:instrText xml:space="preserve"> PAGEREF _Toc112833621 \h </w:instrText>
            </w:r>
            <w:r w:rsidR="00D102F3">
              <w:rPr>
                <w:noProof/>
                <w:webHidden/>
              </w:rPr>
            </w:r>
            <w:r w:rsidR="00D102F3">
              <w:rPr>
                <w:noProof/>
                <w:webHidden/>
              </w:rPr>
              <w:fldChar w:fldCharType="separate"/>
            </w:r>
            <w:r w:rsidR="00D102F3">
              <w:rPr>
                <w:noProof/>
                <w:webHidden/>
              </w:rPr>
              <w:t>11</w:t>
            </w:r>
            <w:r w:rsidR="00D102F3">
              <w:rPr>
                <w:noProof/>
                <w:webHidden/>
              </w:rPr>
              <w:fldChar w:fldCharType="end"/>
            </w:r>
          </w:hyperlink>
        </w:p>
        <w:p w14:paraId="362AE36D" w14:textId="32387EDD" w:rsidR="00D102F3" w:rsidRDefault="00F43EA9">
          <w:pPr>
            <w:pStyle w:val="TOC2"/>
            <w:rPr>
              <w:rFonts w:asciiTheme="minorHAnsi" w:eastAsiaTheme="minorEastAsia" w:hAnsiTheme="minorHAnsi" w:cstheme="minorBidi"/>
              <w:b w:val="0"/>
              <w:noProof/>
              <w:sz w:val="22"/>
              <w:lang w:eastAsia="en-AU"/>
            </w:rPr>
          </w:pPr>
          <w:hyperlink w:anchor="_Toc112833622" w:history="1">
            <w:r w:rsidR="00D102F3" w:rsidRPr="00D9170A">
              <w:rPr>
                <w:rStyle w:val="Hyperlink"/>
                <w:noProof/>
              </w:rPr>
              <w:t>Product Information</w:t>
            </w:r>
            <w:r w:rsidR="00D102F3">
              <w:rPr>
                <w:noProof/>
                <w:webHidden/>
              </w:rPr>
              <w:tab/>
            </w:r>
            <w:r w:rsidR="00D102F3">
              <w:rPr>
                <w:noProof/>
                <w:webHidden/>
              </w:rPr>
              <w:fldChar w:fldCharType="begin"/>
            </w:r>
            <w:r w:rsidR="00D102F3">
              <w:rPr>
                <w:noProof/>
                <w:webHidden/>
              </w:rPr>
              <w:instrText xml:space="preserve"> PAGEREF _Toc112833622 \h </w:instrText>
            </w:r>
            <w:r w:rsidR="00D102F3">
              <w:rPr>
                <w:noProof/>
                <w:webHidden/>
              </w:rPr>
            </w:r>
            <w:r w:rsidR="00D102F3">
              <w:rPr>
                <w:noProof/>
                <w:webHidden/>
              </w:rPr>
              <w:fldChar w:fldCharType="separate"/>
            </w:r>
            <w:r w:rsidR="00D102F3">
              <w:rPr>
                <w:noProof/>
                <w:webHidden/>
              </w:rPr>
              <w:t>12</w:t>
            </w:r>
            <w:r w:rsidR="00D102F3">
              <w:rPr>
                <w:noProof/>
                <w:webHidden/>
              </w:rPr>
              <w:fldChar w:fldCharType="end"/>
            </w:r>
          </w:hyperlink>
        </w:p>
        <w:p w14:paraId="2663A8D6" w14:textId="7176463A" w:rsidR="00D102F3" w:rsidRDefault="00F43EA9">
          <w:pPr>
            <w:pStyle w:val="TOC1"/>
            <w:rPr>
              <w:rFonts w:asciiTheme="minorHAnsi" w:eastAsiaTheme="minorEastAsia" w:hAnsiTheme="minorHAnsi" w:cstheme="minorBidi"/>
              <w:b w:val="0"/>
              <w:noProof/>
              <w:sz w:val="22"/>
              <w:lang w:eastAsia="en-AU"/>
            </w:rPr>
          </w:pPr>
          <w:hyperlink w:anchor="_Toc112833623" w:history="1">
            <w:r w:rsidR="00D102F3" w:rsidRPr="00D9170A">
              <w:rPr>
                <w:rStyle w:val="Hyperlink"/>
                <w:noProof/>
              </w:rPr>
              <w:t>Registration timeline</w:t>
            </w:r>
            <w:r w:rsidR="00D102F3">
              <w:rPr>
                <w:noProof/>
                <w:webHidden/>
              </w:rPr>
              <w:tab/>
            </w:r>
            <w:r w:rsidR="00D102F3">
              <w:rPr>
                <w:noProof/>
                <w:webHidden/>
              </w:rPr>
              <w:fldChar w:fldCharType="begin"/>
            </w:r>
            <w:r w:rsidR="00D102F3">
              <w:rPr>
                <w:noProof/>
                <w:webHidden/>
              </w:rPr>
              <w:instrText xml:space="preserve"> PAGEREF _Toc112833623 \h </w:instrText>
            </w:r>
            <w:r w:rsidR="00D102F3">
              <w:rPr>
                <w:noProof/>
                <w:webHidden/>
              </w:rPr>
            </w:r>
            <w:r w:rsidR="00D102F3">
              <w:rPr>
                <w:noProof/>
                <w:webHidden/>
              </w:rPr>
              <w:fldChar w:fldCharType="separate"/>
            </w:r>
            <w:r w:rsidR="00D102F3">
              <w:rPr>
                <w:noProof/>
                <w:webHidden/>
              </w:rPr>
              <w:t>12</w:t>
            </w:r>
            <w:r w:rsidR="00D102F3">
              <w:rPr>
                <w:noProof/>
                <w:webHidden/>
              </w:rPr>
              <w:fldChar w:fldCharType="end"/>
            </w:r>
          </w:hyperlink>
        </w:p>
        <w:p w14:paraId="5850E438" w14:textId="63BFE5E8" w:rsidR="00D102F3" w:rsidRDefault="00F43EA9">
          <w:pPr>
            <w:pStyle w:val="TOC1"/>
            <w:rPr>
              <w:rFonts w:asciiTheme="minorHAnsi" w:eastAsiaTheme="minorEastAsia" w:hAnsiTheme="minorHAnsi" w:cstheme="minorBidi"/>
              <w:b w:val="0"/>
              <w:noProof/>
              <w:sz w:val="22"/>
              <w:lang w:eastAsia="en-AU"/>
            </w:rPr>
          </w:pPr>
          <w:hyperlink w:anchor="_Toc112833624" w:history="1">
            <w:r w:rsidR="00D102F3" w:rsidRPr="00D9170A">
              <w:rPr>
                <w:rStyle w:val="Hyperlink"/>
                <w:noProof/>
              </w:rPr>
              <w:t>Submission overview and risk/benefit assessment</w:t>
            </w:r>
            <w:r w:rsidR="00D102F3">
              <w:rPr>
                <w:noProof/>
                <w:webHidden/>
              </w:rPr>
              <w:tab/>
            </w:r>
            <w:r w:rsidR="00D102F3">
              <w:rPr>
                <w:noProof/>
                <w:webHidden/>
              </w:rPr>
              <w:fldChar w:fldCharType="begin"/>
            </w:r>
            <w:r w:rsidR="00D102F3">
              <w:rPr>
                <w:noProof/>
                <w:webHidden/>
              </w:rPr>
              <w:instrText xml:space="preserve"> PAGEREF _Toc112833624 \h </w:instrText>
            </w:r>
            <w:r w:rsidR="00D102F3">
              <w:rPr>
                <w:noProof/>
                <w:webHidden/>
              </w:rPr>
            </w:r>
            <w:r w:rsidR="00D102F3">
              <w:rPr>
                <w:noProof/>
                <w:webHidden/>
              </w:rPr>
              <w:fldChar w:fldCharType="separate"/>
            </w:r>
            <w:r w:rsidR="00D102F3">
              <w:rPr>
                <w:noProof/>
                <w:webHidden/>
              </w:rPr>
              <w:t>13</w:t>
            </w:r>
            <w:r w:rsidR="00D102F3">
              <w:rPr>
                <w:noProof/>
                <w:webHidden/>
              </w:rPr>
              <w:fldChar w:fldCharType="end"/>
            </w:r>
          </w:hyperlink>
        </w:p>
        <w:p w14:paraId="32502750" w14:textId="69A24AAE" w:rsidR="00D102F3" w:rsidRDefault="00F43EA9">
          <w:pPr>
            <w:pStyle w:val="TOC2"/>
            <w:rPr>
              <w:rFonts w:asciiTheme="minorHAnsi" w:eastAsiaTheme="minorEastAsia" w:hAnsiTheme="minorHAnsi" w:cstheme="minorBidi"/>
              <w:b w:val="0"/>
              <w:noProof/>
              <w:sz w:val="22"/>
              <w:lang w:eastAsia="en-AU"/>
            </w:rPr>
          </w:pPr>
          <w:hyperlink w:anchor="_Toc112833625" w:history="1">
            <w:r w:rsidR="00D102F3" w:rsidRPr="00D9170A">
              <w:rPr>
                <w:rStyle w:val="Hyperlink"/>
                <w:noProof/>
              </w:rPr>
              <w:t>Quality</w:t>
            </w:r>
            <w:r w:rsidR="00D102F3">
              <w:rPr>
                <w:noProof/>
                <w:webHidden/>
              </w:rPr>
              <w:tab/>
            </w:r>
            <w:r w:rsidR="00D102F3">
              <w:rPr>
                <w:noProof/>
                <w:webHidden/>
              </w:rPr>
              <w:fldChar w:fldCharType="begin"/>
            </w:r>
            <w:r w:rsidR="00D102F3">
              <w:rPr>
                <w:noProof/>
                <w:webHidden/>
              </w:rPr>
              <w:instrText xml:space="preserve"> PAGEREF _Toc112833625 \h </w:instrText>
            </w:r>
            <w:r w:rsidR="00D102F3">
              <w:rPr>
                <w:noProof/>
                <w:webHidden/>
              </w:rPr>
            </w:r>
            <w:r w:rsidR="00D102F3">
              <w:rPr>
                <w:noProof/>
                <w:webHidden/>
              </w:rPr>
              <w:fldChar w:fldCharType="separate"/>
            </w:r>
            <w:r w:rsidR="00D102F3">
              <w:rPr>
                <w:noProof/>
                <w:webHidden/>
              </w:rPr>
              <w:t>14</w:t>
            </w:r>
            <w:r w:rsidR="00D102F3">
              <w:rPr>
                <w:noProof/>
                <w:webHidden/>
              </w:rPr>
              <w:fldChar w:fldCharType="end"/>
            </w:r>
          </w:hyperlink>
        </w:p>
        <w:p w14:paraId="48010247" w14:textId="457DFABD" w:rsidR="00D102F3" w:rsidRDefault="00F43EA9">
          <w:pPr>
            <w:pStyle w:val="TOC2"/>
            <w:rPr>
              <w:rFonts w:asciiTheme="minorHAnsi" w:eastAsiaTheme="minorEastAsia" w:hAnsiTheme="minorHAnsi" w:cstheme="minorBidi"/>
              <w:b w:val="0"/>
              <w:noProof/>
              <w:sz w:val="22"/>
              <w:lang w:eastAsia="en-AU"/>
            </w:rPr>
          </w:pPr>
          <w:hyperlink w:anchor="_Toc112833626" w:history="1">
            <w:r w:rsidR="00D102F3" w:rsidRPr="00D9170A">
              <w:rPr>
                <w:rStyle w:val="Hyperlink"/>
                <w:noProof/>
              </w:rPr>
              <w:t>Nonclinical</w:t>
            </w:r>
            <w:r w:rsidR="00D102F3">
              <w:rPr>
                <w:noProof/>
                <w:webHidden/>
              </w:rPr>
              <w:tab/>
            </w:r>
            <w:r w:rsidR="00D102F3">
              <w:rPr>
                <w:noProof/>
                <w:webHidden/>
              </w:rPr>
              <w:fldChar w:fldCharType="begin"/>
            </w:r>
            <w:r w:rsidR="00D102F3">
              <w:rPr>
                <w:noProof/>
                <w:webHidden/>
              </w:rPr>
              <w:instrText xml:space="preserve"> PAGEREF _Toc112833626 \h </w:instrText>
            </w:r>
            <w:r w:rsidR="00D102F3">
              <w:rPr>
                <w:noProof/>
                <w:webHidden/>
              </w:rPr>
            </w:r>
            <w:r w:rsidR="00D102F3">
              <w:rPr>
                <w:noProof/>
                <w:webHidden/>
              </w:rPr>
              <w:fldChar w:fldCharType="separate"/>
            </w:r>
            <w:r w:rsidR="00D102F3">
              <w:rPr>
                <w:noProof/>
                <w:webHidden/>
              </w:rPr>
              <w:t>14</w:t>
            </w:r>
            <w:r w:rsidR="00D102F3">
              <w:rPr>
                <w:noProof/>
                <w:webHidden/>
              </w:rPr>
              <w:fldChar w:fldCharType="end"/>
            </w:r>
          </w:hyperlink>
        </w:p>
        <w:p w14:paraId="69C12BF1" w14:textId="10868D78" w:rsidR="00D102F3" w:rsidRDefault="00F43EA9">
          <w:pPr>
            <w:pStyle w:val="TOC2"/>
            <w:rPr>
              <w:rFonts w:asciiTheme="minorHAnsi" w:eastAsiaTheme="minorEastAsia" w:hAnsiTheme="minorHAnsi" w:cstheme="minorBidi"/>
              <w:b w:val="0"/>
              <w:noProof/>
              <w:sz w:val="22"/>
              <w:lang w:eastAsia="en-AU"/>
            </w:rPr>
          </w:pPr>
          <w:hyperlink w:anchor="_Toc112833627" w:history="1">
            <w:r w:rsidR="00D102F3" w:rsidRPr="00D9170A">
              <w:rPr>
                <w:rStyle w:val="Hyperlink"/>
                <w:noProof/>
              </w:rPr>
              <w:t>Clinical</w:t>
            </w:r>
            <w:r w:rsidR="00D102F3">
              <w:rPr>
                <w:noProof/>
                <w:webHidden/>
              </w:rPr>
              <w:tab/>
            </w:r>
            <w:r w:rsidR="00D102F3">
              <w:rPr>
                <w:noProof/>
                <w:webHidden/>
              </w:rPr>
              <w:fldChar w:fldCharType="begin"/>
            </w:r>
            <w:r w:rsidR="00D102F3">
              <w:rPr>
                <w:noProof/>
                <w:webHidden/>
              </w:rPr>
              <w:instrText xml:space="preserve"> PAGEREF _Toc112833627 \h </w:instrText>
            </w:r>
            <w:r w:rsidR="00D102F3">
              <w:rPr>
                <w:noProof/>
                <w:webHidden/>
              </w:rPr>
            </w:r>
            <w:r w:rsidR="00D102F3">
              <w:rPr>
                <w:noProof/>
                <w:webHidden/>
              </w:rPr>
              <w:fldChar w:fldCharType="separate"/>
            </w:r>
            <w:r w:rsidR="00D102F3">
              <w:rPr>
                <w:noProof/>
                <w:webHidden/>
              </w:rPr>
              <w:t>15</w:t>
            </w:r>
            <w:r w:rsidR="00D102F3">
              <w:rPr>
                <w:noProof/>
                <w:webHidden/>
              </w:rPr>
              <w:fldChar w:fldCharType="end"/>
            </w:r>
          </w:hyperlink>
        </w:p>
        <w:p w14:paraId="32BFA7B3" w14:textId="57D64531" w:rsidR="00D102F3" w:rsidRDefault="00F43EA9">
          <w:pPr>
            <w:pStyle w:val="TOC2"/>
            <w:rPr>
              <w:rFonts w:asciiTheme="minorHAnsi" w:eastAsiaTheme="minorEastAsia" w:hAnsiTheme="minorHAnsi" w:cstheme="minorBidi"/>
              <w:b w:val="0"/>
              <w:noProof/>
              <w:sz w:val="22"/>
              <w:lang w:eastAsia="en-AU"/>
            </w:rPr>
          </w:pPr>
          <w:hyperlink w:anchor="_Toc112833628" w:history="1">
            <w:r w:rsidR="00D102F3" w:rsidRPr="00D9170A">
              <w:rPr>
                <w:rStyle w:val="Hyperlink"/>
                <w:noProof/>
                <w:lang w:eastAsia="en-AU"/>
              </w:rPr>
              <w:t>Risk management plan</w:t>
            </w:r>
            <w:r w:rsidR="00D102F3">
              <w:rPr>
                <w:noProof/>
                <w:webHidden/>
              </w:rPr>
              <w:tab/>
            </w:r>
            <w:r w:rsidR="00D102F3">
              <w:rPr>
                <w:noProof/>
                <w:webHidden/>
              </w:rPr>
              <w:fldChar w:fldCharType="begin"/>
            </w:r>
            <w:r w:rsidR="00D102F3">
              <w:rPr>
                <w:noProof/>
                <w:webHidden/>
              </w:rPr>
              <w:instrText xml:space="preserve"> PAGEREF _Toc112833628 \h </w:instrText>
            </w:r>
            <w:r w:rsidR="00D102F3">
              <w:rPr>
                <w:noProof/>
                <w:webHidden/>
              </w:rPr>
            </w:r>
            <w:r w:rsidR="00D102F3">
              <w:rPr>
                <w:noProof/>
                <w:webHidden/>
              </w:rPr>
              <w:fldChar w:fldCharType="separate"/>
            </w:r>
            <w:r w:rsidR="00D102F3">
              <w:rPr>
                <w:noProof/>
                <w:webHidden/>
              </w:rPr>
              <w:t>41</w:t>
            </w:r>
            <w:r w:rsidR="00D102F3">
              <w:rPr>
                <w:noProof/>
                <w:webHidden/>
              </w:rPr>
              <w:fldChar w:fldCharType="end"/>
            </w:r>
          </w:hyperlink>
        </w:p>
        <w:p w14:paraId="7D914E1F" w14:textId="3411148C" w:rsidR="00D102F3" w:rsidRDefault="00F43EA9">
          <w:pPr>
            <w:pStyle w:val="TOC2"/>
            <w:rPr>
              <w:rFonts w:asciiTheme="minorHAnsi" w:eastAsiaTheme="minorEastAsia" w:hAnsiTheme="minorHAnsi" w:cstheme="minorBidi"/>
              <w:b w:val="0"/>
              <w:noProof/>
              <w:sz w:val="22"/>
              <w:lang w:eastAsia="en-AU"/>
            </w:rPr>
          </w:pPr>
          <w:hyperlink w:anchor="_Toc112833629" w:history="1">
            <w:r w:rsidR="00D102F3" w:rsidRPr="00D9170A">
              <w:rPr>
                <w:rStyle w:val="Hyperlink"/>
                <w:noProof/>
              </w:rPr>
              <w:t>Risk-benefit analysis</w:t>
            </w:r>
            <w:r w:rsidR="00D102F3">
              <w:rPr>
                <w:noProof/>
                <w:webHidden/>
              </w:rPr>
              <w:tab/>
            </w:r>
            <w:r w:rsidR="00D102F3">
              <w:rPr>
                <w:noProof/>
                <w:webHidden/>
              </w:rPr>
              <w:fldChar w:fldCharType="begin"/>
            </w:r>
            <w:r w:rsidR="00D102F3">
              <w:rPr>
                <w:noProof/>
                <w:webHidden/>
              </w:rPr>
              <w:instrText xml:space="preserve"> PAGEREF _Toc112833629 \h </w:instrText>
            </w:r>
            <w:r w:rsidR="00D102F3">
              <w:rPr>
                <w:noProof/>
                <w:webHidden/>
              </w:rPr>
            </w:r>
            <w:r w:rsidR="00D102F3">
              <w:rPr>
                <w:noProof/>
                <w:webHidden/>
              </w:rPr>
              <w:fldChar w:fldCharType="separate"/>
            </w:r>
            <w:r w:rsidR="00D102F3">
              <w:rPr>
                <w:noProof/>
                <w:webHidden/>
              </w:rPr>
              <w:t>42</w:t>
            </w:r>
            <w:r w:rsidR="00D102F3">
              <w:rPr>
                <w:noProof/>
                <w:webHidden/>
              </w:rPr>
              <w:fldChar w:fldCharType="end"/>
            </w:r>
          </w:hyperlink>
        </w:p>
        <w:p w14:paraId="4A6F0222" w14:textId="342EE7AD" w:rsidR="00D102F3" w:rsidRDefault="00F43EA9">
          <w:pPr>
            <w:pStyle w:val="TOC1"/>
            <w:rPr>
              <w:rFonts w:asciiTheme="minorHAnsi" w:eastAsiaTheme="minorEastAsia" w:hAnsiTheme="minorHAnsi" w:cstheme="minorBidi"/>
              <w:b w:val="0"/>
              <w:noProof/>
              <w:sz w:val="22"/>
              <w:lang w:eastAsia="en-AU"/>
            </w:rPr>
          </w:pPr>
          <w:hyperlink w:anchor="_Toc112833630" w:history="1">
            <w:r w:rsidR="00D102F3" w:rsidRPr="00D9170A">
              <w:rPr>
                <w:rStyle w:val="Hyperlink"/>
                <w:noProof/>
              </w:rPr>
              <w:t>Outcome</w:t>
            </w:r>
            <w:r w:rsidR="00D102F3">
              <w:rPr>
                <w:noProof/>
                <w:webHidden/>
              </w:rPr>
              <w:tab/>
            </w:r>
            <w:r w:rsidR="00D102F3">
              <w:rPr>
                <w:noProof/>
                <w:webHidden/>
              </w:rPr>
              <w:fldChar w:fldCharType="begin"/>
            </w:r>
            <w:r w:rsidR="00D102F3">
              <w:rPr>
                <w:noProof/>
                <w:webHidden/>
              </w:rPr>
              <w:instrText xml:space="preserve"> PAGEREF _Toc112833630 \h </w:instrText>
            </w:r>
            <w:r w:rsidR="00D102F3">
              <w:rPr>
                <w:noProof/>
                <w:webHidden/>
              </w:rPr>
            </w:r>
            <w:r w:rsidR="00D102F3">
              <w:rPr>
                <w:noProof/>
                <w:webHidden/>
              </w:rPr>
              <w:fldChar w:fldCharType="separate"/>
            </w:r>
            <w:r w:rsidR="00D102F3">
              <w:rPr>
                <w:noProof/>
                <w:webHidden/>
              </w:rPr>
              <w:t>47</w:t>
            </w:r>
            <w:r w:rsidR="00D102F3">
              <w:rPr>
                <w:noProof/>
                <w:webHidden/>
              </w:rPr>
              <w:fldChar w:fldCharType="end"/>
            </w:r>
          </w:hyperlink>
        </w:p>
        <w:p w14:paraId="1FB1AA65" w14:textId="2B8045C5" w:rsidR="00D102F3" w:rsidRDefault="00F43EA9">
          <w:pPr>
            <w:pStyle w:val="TOC2"/>
            <w:rPr>
              <w:rFonts w:asciiTheme="minorHAnsi" w:eastAsiaTheme="minorEastAsia" w:hAnsiTheme="minorHAnsi" w:cstheme="minorBidi"/>
              <w:b w:val="0"/>
              <w:noProof/>
              <w:sz w:val="22"/>
              <w:lang w:eastAsia="en-AU"/>
            </w:rPr>
          </w:pPr>
          <w:hyperlink w:anchor="_Toc112833631" w:history="1">
            <w:r w:rsidR="00D102F3" w:rsidRPr="00D9170A">
              <w:rPr>
                <w:rStyle w:val="Hyperlink"/>
                <w:noProof/>
              </w:rPr>
              <w:t>Specific conditions of registration applying to these goods</w:t>
            </w:r>
            <w:r w:rsidR="00D102F3">
              <w:rPr>
                <w:noProof/>
                <w:webHidden/>
              </w:rPr>
              <w:tab/>
            </w:r>
            <w:r w:rsidR="00D102F3">
              <w:rPr>
                <w:noProof/>
                <w:webHidden/>
              </w:rPr>
              <w:fldChar w:fldCharType="begin"/>
            </w:r>
            <w:r w:rsidR="00D102F3">
              <w:rPr>
                <w:noProof/>
                <w:webHidden/>
              </w:rPr>
              <w:instrText xml:space="preserve"> PAGEREF _Toc112833631 \h </w:instrText>
            </w:r>
            <w:r w:rsidR="00D102F3">
              <w:rPr>
                <w:noProof/>
                <w:webHidden/>
              </w:rPr>
            </w:r>
            <w:r w:rsidR="00D102F3">
              <w:rPr>
                <w:noProof/>
                <w:webHidden/>
              </w:rPr>
              <w:fldChar w:fldCharType="separate"/>
            </w:r>
            <w:r w:rsidR="00D102F3">
              <w:rPr>
                <w:noProof/>
                <w:webHidden/>
              </w:rPr>
              <w:t>47</w:t>
            </w:r>
            <w:r w:rsidR="00D102F3">
              <w:rPr>
                <w:noProof/>
                <w:webHidden/>
              </w:rPr>
              <w:fldChar w:fldCharType="end"/>
            </w:r>
          </w:hyperlink>
        </w:p>
        <w:p w14:paraId="7DE2A893" w14:textId="21A8A0AD" w:rsidR="00D102F3" w:rsidRDefault="00F43EA9">
          <w:pPr>
            <w:pStyle w:val="TOC1"/>
            <w:rPr>
              <w:rFonts w:asciiTheme="minorHAnsi" w:eastAsiaTheme="minorEastAsia" w:hAnsiTheme="minorHAnsi" w:cstheme="minorBidi"/>
              <w:b w:val="0"/>
              <w:noProof/>
              <w:sz w:val="22"/>
              <w:lang w:eastAsia="en-AU"/>
            </w:rPr>
          </w:pPr>
          <w:hyperlink w:anchor="_Toc112833632" w:history="1">
            <w:r w:rsidR="00D102F3" w:rsidRPr="00D9170A">
              <w:rPr>
                <w:rStyle w:val="Hyperlink"/>
                <w:noProof/>
              </w:rPr>
              <w:t>Attachment 1. Product Information</w:t>
            </w:r>
            <w:r w:rsidR="00D102F3">
              <w:rPr>
                <w:noProof/>
                <w:webHidden/>
              </w:rPr>
              <w:tab/>
            </w:r>
            <w:r w:rsidR="00D102F3">
              <w:rPr>
                <w:noProof/>
                <w:webHidden/>
              </w:rPr>
              <w:fldChar w:fldCharType="begin"/>
            </w:r>
            <w:r w:rsidR="00D102F3">
              <w:rPr>
                <w:noProof/>
                <w:webHidden/>
              </w:rPr>
              <w:instrText xml:space="preserve"> PAGEREF _Toc112833632 \h </w:instrText>
            </w:r>
            <w:r w:rsidR="00D102F3">
              <w:rPr>
                <w:noProof/>
                <w:webHidden/>
              </w:rPr>
            </w:r>
            <w:r w:rsidR="00D102F3">
              <w:rPr>
                <w:noProof/>
                <w:webHidden/>
              </w:rPr>
              <w:fldChar w:fldCharType="separate"/>
            </w:r>
            <w:r w:rsidR="00D102F3">
              <w:rPr>
                <w:noProof/>
                <w:webHidden/>
              </w:rPr>
              <w:t>49</w:t>
            </w:r>
            <w:r w:rsidR="00D102F3">
              <w:rPr>
                <w:noProof/>
                <w:webHidden/>
              </w:rPr>
              <w:fldChar w:fldCharType="end"/>
            </w:r>
          </w:hyperlink>
        </w:p>
        <w:p w14:paraId="40015145" w14:textId="7B69FEF8" w:rsidR="003A7F6C" w:rsidRPr="00B811C6" w:rsidRDefault="00C525A2" w:rsidP="00EB36D6">
          <w:r>
            <w:fldChar w:fldCharType="end"/>
          </w:r>
        </w:p>
      </w:sdtContent>
    </w:sdt>
    <w:bookmarkStart w:id="2" w:name="_Toc314842482" w:displacedByCustomXml="prev"/>
    <w:p w14:paraId="0D9796F1" w14:textId="77777777" w:rsidR="00FD119B" w:rsidRDefault="00FD119B">
      <w:pPr>
        <w:spacing w:before="0" w:after="200" w:line="0" w:lineRule="auto"/>
      </w:pPr>
      <w:r>
        <w:br w:type="page"/>
      </w:r>
    </w:p>
    <w:p w14:paraId="1868E797" w14:textId="65C98635" w:rsidR="00833ED8" w:rsidRPr="00E95161" w:rsidRDefault="00AF2313" w:rsidP="00E95161">
      <w:pPr>
        <w:pStyle w:val="Heading2"/>
      </w:pPr>
      <w:bookmarkStart w:id="3" w:name="_Toc98931917"/>
      <w:bookmarkStart w:id="4" w:name="_Toc112833617"/>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C40CB7" w14:paraId="45A4CD38" w14:textId="77777777" w:rsidTr="00C40CB7">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74BD5E51" w14:textId="77777777" w:rsidR="00C40CB7" w:rsidRDefault="00C40CB7" w:rsidP="00C40CB7">
            <w:pPr>
              <w:rPr>
                <w:color w:val="FFFFFF"/>
              </w:rPr>
            </w:pPr>
            <w:r>
              <w:t>Abbreviation</w:t>
            </w:r>
          </w:p>
        </w:tc>
        <w:tc>
          <w:tcPr>
            <w:tcW w:w="3282" w:type="pct"/>
            <w:hideMark/>
          </w:tcPr>
          <w:p w14:paraId="1FD83CE4" w14:textId="77777777" w:rsidR="00C40CB7" w:rsidRDefault="00C40CB7" w:rsidP="00C40CB7">
            <w:r>
              <w:t>Meaning</w:t>
            </w:r>
          </w:p>
        </w:tc>
      </w:tr>
      <w:tr w:rsidR="00C40CB7" w14:paraId="5EA57D9C"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E61C7BE" w14:textId="77777777" w:rsidR="00C40CB7" w:rsidRDefault="00C40CB7" w:rsidP="00C40CB7">
            <w:r>
              <w:t>ACV</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8389B2A" w14:textId="77777777" w:rsidR="00C40CB7" w:rsidRDefault="00C40CB7" w:rsidP="00C40CB7">
            <w:r>
              <w:t>Advisory Committee on Vaccines</w:t>
            </w:r>
          </w:p>
        </w:tc>
      </w:tr>
      <w:tr w:rsidR="00C40CB7" w14:paraId="7192D1D6"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0DD0C455" w14:textId="77777777" w:rsidR="00C40CB7" w:rsidRDefault="00C40CB7" w:rsidP="00C40CB7">
            <w:pPr>
              <w:rPr>
                <w:color w:val="000000"/>
              </w:rPr>
            </w:pPr>
            <w:r>
              <w:rPr>
                <w:color w:val="000000"/>
              </w:rP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1D08B19F" w14:textId="2B3CAEF8" w:rsidR="00C40CB7" w:rsidRDefault="00C40CB7" w:rsidP="00C40CB7">
            <w:r>
              <w:t>Adverse event</w:t>
            </w:r>
          </w:p>
        </w:tc>
      </w:tr>
      <w:tr w:rsidR="00C40CB7" w14:paraId="249DC20C"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2888FDF9" w14:textId="77777777" w:rsidR="00C40CB7" w:rsidRDefault="00C40CB7" w:rsidP="00C40CB7">
            <w:pPr>
              <w:rPr>
                <w:color w:val="000000"/>
              </w:rPr>
            </w:pPr>
            <w:r>
              <w:rPr>
                <w:color w:val="000000"/>
              </w:rPr>
              <w:t>AESI</w:t>
            </w:r>
          </w:p>
        </w:tc>
        <w:tc>
          <w:tcPr>
            <w:tcW w:w="3987" w:type="pct"/>
            <w:gridSpan w:val="2"/>
            <w:tcBorders>
              <w:top w:val="single" w:sz="8" w:space="0" w:color="002C47"/>
              <w:left w:val="single" w:sz="8" w:space="0" w:color="002C47"/>
              <w:bottom w:val="single" w:sz="8" w:space="0" w:color="002C47"/>
              <w:right w:val="single" w:sz="8" w:space="0" w:color="002C47"/>
            </w:tcBorders>
          </w:tcPr>
          <w:p w14:paraId="2A83FD6B" w14:textId="77777777" w:rsidR="00C40CB7" w:rsidRDefault="00C40CB7" w:rsidP="00C40CB7">
            <w:r>
              <w:t>A</w:t>
            </w:r>
            <w:r w:rsidRPr="00141448">
              <w:t>dverse event of special interest</w:t>
            </w:r>
          </w:p>
        </w:tc>
      </w:tr>
      <w:tr w:rsidR="00C40CB7" w14:paraId="19F5FC00"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532A0779" w14:textId="77777777" w:rsidR="00C40CB7" w:rsidRDefault="00C40CB7" w:rsidP="00C40CB7">
            <w:pPr>
              <w:rPr>
                <w:color w:val="000000"/>
              </w:rPr>
            </w:pPr>
            <w:r>
              <w:rPr>
                <w:color w:val="000000"/>
              </w:rPr>
              <w:t>ANCOVA</w:t>
            </w:r>
          </w:p>
        </w:tc>
        <w:tc>
          <w:tcPr>
            <w:tcW w:w="3987" w:type="pct"/>
            <w:gridSpan w:val="2"/>
            <w:tcBorders>
              <w:top w:val="single" w:sz="8" w:space="0" w:color="002C47"/>
              <w:left w:val="single" w:sz="8" w:space="0" w:color="002C47"/>
              <w:bottom w:val="single" w:sz="8" w:space="0" w:color="002C47"/>
              <w:right w:val="single" w:sz="8" w:space="0" w:color="002C47"/>
            </w:tcBorders>
          </w:tcPr>
          <w:p w14:paraId="0E6D80E1" w14:textId="77777777" w:rsidR="00C40CB7" w:rsidRDefault="00C40CB7" w:rsidP="00C40CB7">
            <w:r>
              <w:t>A</w:t>
            </w:r>
            <w:r w:rsidRPr="00141448">
              <w:t>nalysis of covariance</w:t>
            </w:r>
          </w:p>
        </w:tc>
      </w:tr>
      <w:tr w:rsidR="00C40CB7" w14:paraId="4CD8F918"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CD151B0" w14:textId="77777777" w:rsidR="00C40CB7" w:rsidRDefault="00C40CB7" w:rsidP="00C40CB7">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5377D91" w14:textId="77777777" w:rsidR="00C40CB7" w:rsidRDefault="00C40CB7" w:rsidP="00C40CB7">
            <w:r>
              <w:t>Australian Register of Therapeutic Goods</w:t>
            </w:r>
          </w:p>
        </w:tc>
      </w:tr>
      <w:tr w:rsidR="00C40CB7" w14:paraId="3DAED337"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AD8EA41" w14:textId="77777777" w:rsidR="00C40CB7" w:rsidRDefault="00C40CB7" w:rsidP="00C40CB7">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E9FA5F7" w14:textId="77777777" w:rsidR="00C40CB7" w:rsidRDefault="00C40CB7" w:rsidP="00C40CB7">
            <w:r>
              <w:t>Australia specific annex</w:t>
            </w:r>
          </w:p>
        </w:tc>
      </w:tr>
      <w:tr w:rsidR="00C40CB7" w14:paraId="02CAC11A"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76E9C0B1" w14:textId="77777777" w:rsidR="00C40CB7" w:rsidRPr="00CC7D8B" w:rsidRDefault="00C40CB7" w:rsidP="00C40CB7">
            <w:r>
              <w:t>CDC</w:t>
            </w:r>
          </w:p>
        </w:tc>
        <w:tc>
          <w:tcPr>
            <w:tcW w:w="3987" w:type="pct"/>
            <w:gridSpan w:val="2"/>
            <w:tcBorders>
              <w:top w:val="single" w:sz="8" w:space="0" w:color="002C47"/>
              <w:left w:val="single" w:sz="8" w:space="0" w:color="002C47"/>
              <w:bottom w:val="single" w:sz="8" w:space="0" w:color="002C47"/>
              <w:right w:val="single" w:sz="8" w:space="0" w:color="002C47"/>
            </w:tcBorders>
          </w:tcPr>
          <w:p w14:paraId="00922CBB" w14:textId="32D8CC6A" w:rsidR="00C40CB7" w:rsidRDefault="00C40CB7" w:rsidP="00C40CB7">
            <w:proofErr w:type="spellStart"/>
            <w:r w:rsidRPr="00B20B14">
              <w:t>Center</w:t>
            </w:r>
            <w:r w:rsidR="00926B8E">
              <w:t>s</w:t>
            </w:r>
            <w:proofErr w:type="spellEnd"/>
            <w:r w:rsidRPr="00B20B14">
              <w:t xml:space="preserve"> </w:t>
            </w:r>
            <w:r w:rsidR="00926B8E">
              <w:t>for</w:t>
            </w:r>
            <w:r w:rsidRPr="00B20B14">
              <w:t xml:space="preserve"> Disease</w:t>
            </w:r>
            <w:r>
              <w:t xml:space="preserve"> </w:t>
            </w:r>
            <w:r w:rsidRPr="00B20B14">
              <w:t>Control and Prevention</w:t>
            </w:r>
            <w:r>
              <w:t xml:space="preserve"> (</w:t>
            </w:r>
            <w:r w:rsidRPr="00B20B14">
              <w:t>U</w:t>
            </w:r>
            <w:r>
              <w:t>nited</w:t>
            </w:r>
            <w:r w:rsidR="00926B8E">
              <w:t> </w:t>
            </w:r>
            <w:r w:rsidRPr="00B20B14">
              <w:t>S</w:t>
            </w:r>
            <w:r>
              <w:t>tates</w:t>
            </w:r>
            <w:r w:rsidR="00926B8E">
              <w:t> of </w:t>
            </w:r>
            <w:r>
              <w:t>America)</w:t>
            </w:r>
          </w:p>
        </w:tc>
      </w:tr>
      <w:tr w:rsidR="00C40CB7" w14:paraId="37A1D377"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375EBAA5" w14:textId="77777777" w:rsidR="00C40CB7" w:rsidRDefault="00C40CB7" w:rsidP="00C40CB7">
            <w:pPr>
              <w:rPr>
                <w:color w:val="000000"/>
              </w:rPr>
            </w:pPr>
            <w:r>
              <w:rPr>
                <w:color w:val="000000"/>
              </w:rPr>
              <w:t>CI</w:t>
            </w:r>
          </w:p>
        </w:tc>
        <w:tc>
          <w:tcPr>
            <w:tcW w:w="3987" w:type="pct"/>
            <w:gridSpan w:val="2"/>
            <w:tcBorders>
              <w:top w:val="single" w:sz="8" w:space="0" w:color="002C47"/>
              <w:left w:val="single" w:sz="8" w:space="0" w:color="002C47"/>
              <w:bottom w:val="single" w:sz="8" w:space="0" w:color="002C47"/>
              <w:right w:val="single" w:sz="8" w:space="0" w:color="002C47"/>
            </w:tcBorders>
          </w:tcPr>
          <w:p w14:paraId="482B13C2" w14:textId="77777777" w:rsidR="00C40CB7" w:rsidRDefault="00C40CB7" w:rsidP="00C40CB7">
            <w:r>
              <w:t>Confidence interval</w:t>
            </w:r>
          </w:p>
        </w:tc>
      </w:tr>
      <w:tr w:rsidR="00C40CB7" w14:paraId="57C94496"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563A5BD7" w14:textId="77777777" w:rsidR="00C40CB7" w:rsidRDefault="00C40CB7" w:rsidP="00C40CB7">
            <w:r>
              <w:t>COVID-19</w:t>
            </w:r>
          </w:p>
        </w:tc>
        <w:tc>
          <w:tcPr>
            <w:tcW w:w="3987" w:type="pct"/>
            <w:gridSpan w:val="2"/>
            <w:tcBorders>
              <w:top w:val="single" w:sz="8" w:space="0" w:color="002C47"/>
              <w:left w:val="single" w:sz="8" w:space="0" w:color="002C47"/>
              <w:bottom w:val="single" w:sz="8" w:space="0" w:color="002C47"/>
              <w:right w:val="single" w:sz="8" w:space="0" w:color="002C47"/>
            </w:tcBorders>
          </w:tcPr>
          <w:p w14:paraId="17E21841" w14:textId="77777777" w:rsidR="00C40CB7" w:rsidRDefault="00C40CB7" w:rsidP="00C40CB7">
            <w:r w:rsidRPr="00CC7D8B">
              <w:t>Coronavirus disease 2019</w:t>
            </w:r>
          </w:p>
        </w:tc>
      </w:tr>
      <w:tr w:rsidR="00C40CB7" w14:paraId="6190FB77"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F591990" w14:textId="77777777" w:rsidR="00C40CB7" w:rsidRDefault="00C40CB7" w:rsidP="00C40CB7">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83698CD" w14:textId="77777777" w:rsidR="00C40CB7" w:rsidRDefault="00C40CB7" w:rsidP="00C40CB7">
            <w:r>
              <w:t>Data lock point</w:t>
            </w:r>
          </w:p>
        </w:tc>
      </w:tr>
      <w:tr w:rsidR="00C40CB7" w14:paraId="3DD39E12"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120BDBFA" w14:textId="77777777" w:rsidR="00C40CB7" w:rsidRDefault="00C40CB7" w:rsidP="00C40CB7">
            <w:pPr>
              <w:rPr>
                <w:color w:val="000000"/>
              </w:rPr>
            </w:pPr>
            <w:r>
              <w:rPr>
                <w:color w:val="000000"/>
              </w:rP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6C02ADD4" w14:textId="2273CB0D" w:rsidR="00C40CB7" w:rsidRDefault="00C40CB7" w:rsidP="00C40CB7">
            <w:r>
              <w:t>European Medicine Agency</w:t>
            </w:r>
            <w:r w:rsidR="00926B8E">
              <w:t xml:space="preserve"> (European Union)</w:t>
            </w:r>
          </w:p>
        </w:tc>
      </w:tr>
      <w:tr w:rsidR="00C40CB7" w14:paraId="4EC0DC2E"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7A63DC59" w14:textId="77777777" w:rsidR="00C40CB7" w:rsidRPr="00CC7D8B" w:rsidRDefault="00C40CB7" w:rsidP="00C40CB7">
            <w:r>
              <w:t>EU</w:t>
            </w:r>
          </w:p>
        </w:tc>
        <w:tc>
          <w:tcPr>
            <w:tcW w:w="3987" w:type="pct"/>
            <w:gridSpan w:val="2"/>
            <w:tcBorders>
              <w:top w:val="single" w:sz="8" w:space="0" w:color="002C47"/>
              <w:left w:val="single" w:sz="8" w:space="0" w:color="002C47"/>
              <w:bottom w:val="single" w:sz="8" w:space="0" w:color="002C47"/>
              <w:right w:val="single" w:sz="8" w:space="0" w:color="002C47"/>
            </w:tcBorders>
          </w:tcPr>
          <w:p w14:paraId="64092AEE" w14:textId="77777777" w:rsidR="00C40CB7" w:rsidRDefault="00C40CB7" w:rsidP="00C40CB7">
            <w:r>
              <w:t>European Union</w:t>
            </w:r>
          </w:p>
        </w:tc>
      </w:tr>
      <w:tr w:rsidR="00C40CB7" w14:paraId="4B5FBE50"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57CBA3E1" w14:textId="77777777" w:rsidR="00C40CB7" w:rsidRDefault="00C40CB7" w:rsidP="00C40CB7">
            <w:pPr>
              <w:rPr>
                <w:color w:val="000000"/>
              </w:rPr>
            </w:pPr>
            <w:r>
              <w:rPr>
                <w:color w:val="000000"/>
              </w:rPr>
              <w:t>EUA</w:t>
            </w:r>
          </w:p>
        </w:tc>
        <w:tc>
          <w:tcPr>
            <w:tcW w:w="3987" w:type="pct"/>
            <w:gridSpan w:val="2"/>
            <w:tcBorders>
              <w:top w:val="single" w:sz="8" w:space="0" w:color="002C47"/>
              <w:left w:val="single" w:sz="8" w:space="0" w:color="002C47"/>
              <w:bottom w:val="single" w:sz="8" w:space="0" w:color="002C47"/>
              <w:right w:val="single" w:sz="8" w:space="0" w:color="002C47"/>
            </w:tcBorders>
          </w:tcPr>
          <w:p w14:paraId="3A5AE068" w14:textId="4AA5F31E" w:rsidR="00C40CB7" w:rsidRDefault="00C40CB7" w:rsidP="00C40CB7">
            <w:r>
              <w:t>Emergency Use Authorization (Food and Drug Administration, United States</w:t>
            </w:r>
            <w:r w:rsidR="00926B8E">
              <w:t xml:space="preserve"> of America</w:t>
            </w:r>
            <w:r>
              <w:t>)</w:t>
            </w:r>
          </w:p>
        </w:tc>
      </w:tr>
      <w:tr w:rsidR="00C40CB7" w14:paraId="437122DE"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3314D64F" w14:textId="77777777" w:rsidR="00C40CB7" w:rsidRDefault="00C40CB7" w:rsidP="00C40CB7">
            <w:pPr>
              <w:rPr>
                <w:color w:val="000000"/>
              </w:rPr>
            </w:pPr>
            <w:r>
              <w:rPr>
                <w:color w:val="000000"/>
              </w:rPr>
              <w:t>FDA</w:t>
            </w:r>
          </w:p>
        </w:tc>
        <w:tc>
          <w:tcPr>
            <w:tcW w:w="3987" w:type="pct"/>
            <w:gridSpan w:val="2"/>
            <w:tcBorders>
              <w:top w:val="single" w:sz="8" w:space="0" w:color="002C47"/>
              <w:left w:val="single" w:sz="8" w:space="0" w:color="002C47"/>
              <w:bottom w:val="single" w:sz="8" w:space="0" w:color="002C47"/>
              <w:right w:val="single" w:sz="8" w:space="0" w:color="002C47"/>
            </w:tcBorders>
          </w:tcPr>
          <w:p w14:paraId="416E66F9" w14:textId="77777777" w:rsidR="00C40CB7" w:rsidRDefault="00C40CB7" w:rsidP="00C40CB7">
            <w:r>
              <w:t>Food and Drug Administration (United States of America)</w:t>
            </w:r>
          </w:p>
        </w:tc>
      </w:tr>
      <w:tr w:rsidR="00C40CB7" w14:paraId="62C11B17"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66537244" w14:textId="77777777" w:rsidR="00C40CB7" w:rsidRDefault="00C40CB7" w:rsidP="00C40CB7">
            <w:pPr>
              <w:rPr>
                <w:color w:val="000000"/>
              </w:rPr>
            </w:pPr>
            <w:r>
              <w:rPr>
                <w:color w:val="000000"/>
              </w:rPr>
              <w:t>GLSM</w:t>
            </w:r>
          </w:p>
        </w:tc>
        <w:tc>
          <w:tcPr>
            <w:tcW w:w="3987" w:type="pct"/>
            <w:gridSpan w:val="2"/>
            <w:tcBorders>
              <w:top w:val="single" w:sz="8" w:space="0" w:color="002C47"/>
              <w:left w:val="single" w:sz="8" w:space="0" w:color="002C47"/>
              <w:bottom w:val="single" w:sz="8" w:space="0" w:color="002C47"/>
              <w:right w:val="single" w:sz="8" w:space="0" w:color="002C47"/>
            </w:tcBorders>
          </w:tcPr>
          <w:p w14:paraId="2A538FD1" w14:textId="77777777" w:rsidR="00C40CB7" w:rsidRDefault="00C40CB7" w:rsidP="00C40CB7">
            <w:r>
              <w:t>G</w:t>
            </w:r>
            <w:r w:rsidRPr="00141448">
              <w:t>eometric least squares mean</w:t>
            </w:r>
          </w:p>
        </w:tc>
      </w:tr>
      <w:tr w:rsidR="00C40CB7" w14:paraId="0DEC9B7F"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25393D37" w14:textId="77777777" w:rsidR="00C40CB7" w:rsidRDefault="00C40CB7" w:rsidP="00C40CB7">
            <w:pPr>
              <w:rPr>
                <w:color w:val="000000"/>
              </w:rPr>
            </w:pPr>
            <w:r>
              <w:rPr>
                <w:color w:val="000000"/>
              </w:rPr>
              <w:t>GMFR</w:t>
            </w:r>
          </w:p>
        </w:tc>
        <w:tc>
          <w:tcPr>
            <w:tcW w:w="3987" w:type="pct"/>
            <w:gridSpan w:val="2"/>
            <w:tcBorders>
              <w:top w:val="single" w:sz="8" w:space="0" w:color="002C47"/>
              <w:left w:val="single" w:sz="8" w:space="0" w:color="002C47"/>
              <w:bottom w:val="single" w:sz="8" w:space="0" w:color="002C47"/>
              <w:right w:val="single" w:sz="8" w:space="0" w:color="002C47"/>
            </w:tcBorders>
          </w:tcPr>
          <w:p w14:paraId="1FEE2420" w14:textId="77777777" w:rsidR="00C40CB7" w:rsidRDefault="00C40CB7" w:rsidP="00C40CB7">
            <w:r>
              <w:t>Geometric mean fold rise</w:t>
            </w:r>
          </w:p>
        </w:tc>
      </w:tr>
      <w:tr w:rsidR="00C40CB7" w14:paraId="568981D1"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49160FA2" w14:textId="77777777" w:rsidR="00C40CB7" w:rsidRDefault="00C40CB7" w:rsidP="00C40CB7">
            <w:pPr>
              <w:rPr>
                <w:color w:val="000000"/>
              </w:rPr>
            </w:pPr>
            <w:r>
              <w:rPr>
                <w:color w:val="000000"/>
              </w:rPr>
              <w:t>GMR</w:t>
            </w:r>
          </w:p>
        </w:tc>
        <w:tc>
          <w:tcPr>
            <w:tcW w:w="3987" w:type="pct"/>
            <w:gridSpan w:val="2"/>
            <w:tcBorders>
              <w:top w:val="single" w:sz="8" w:space="0" w:color="002C47"/>
              <w:left w:val="single" w:sz="8" w:space="0" w:color="002C47"/>
              <w:bottom w:val="single" w:sz="8" w:space="0" w:color="002C47"/>
              <w:right w:val="single" w:sz="8" w:space="0" w:color="002C47"/>
            </w:tcBorders>
          </w:tcPr>
          <w:p w14:paraId="6E62920A" w14:textId="77777777" w:rsidR="00C40CB7" w:rsidRDefault="00C40CB7" w:rsidP="00C40CB7">
            <w:r>
              <w:t>G</w:t>
            </w:r>
            <w:r w:rsidRPr="009A6899">
              <w:t>eometric mean ratio</w:t>
            </w:r>
          </w:p>
        </w:tc>
      </w:tr>
      <w:tr w:rsidR="00C40CB7" w14:paraId="3D08973C"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74461640" w14:textId="77777777" w:rsidR="00C40CB7" w:rsidRDefault="00C40CB7" w:rsidP="00C40CB7">
            <w:pPr>
              <w:rPr>
                <w:color w:val="000000"/>
              </w:rPr>
            </w:pPr>
            <w:r>
              <w:rPr>
                <w:color w:val="000000"/>
              </w:rPr>
              <w:t>GMT</w:t>
            </w:r>
          </w:p>
        </w:tc>
        <w:tc>
          <w:tcPr>
            <w:tcW w:w="3987" w:type="pct"/>
            <w:gridSpan w:val="2"/>
            <w:tcBorders>
              <w:top w:val="single" w:sz="8" w:space="0" w:color="002C47"/>
              <w:left w:val="single" w:sz="8" w:space="0" w:color="002C47"/>
              <w:bottom w:val="single" w:sz="8" w:space="0" w:color="002C47"/>
              <w:right w:val="single" w:sz="8" w:space="0" w:color="002C47"/>
            </w:tcBorders>
          </w:tcPr>
          <w:p w14:paraId="3FD08199" w14:textId="77777777" w:rsidR="00C40CB7" w:rsidRDefault="00C40CB7" w:rsidP="00C40CB7">
            <w:r>
              <w:t>G</w:t>
            </w:r>
            <w:r w:rsidRPr="00141448">
              <w:t>eometric mean titr</w:t>
            </w:r>
            <w:r>
              <w:t>es</w:t>
            </w:r>
          </w:p>
        </w:tc>
      </w:tr>
      <w:tr w:rsidR="00C40CB7" w14:paraId="1859AE06"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0D9EABAC" w14:textId="77777777" w:rsidR="00C40CB7" w:rsidRDefault="00C40CB7" w:rsidP="00C40CB7">
            <w:pPr>
              <w:rPr>
                <w:color w:val="000000"/>
              </w:rPr>
            </w:pPr>
            <w:r>
              <w:rPr>
                <w:color w:val="000000"/>
              </w:rPr>
              <w:t>HIV</w:t>
            </w:r>
          </w:p>
        </w:tc>
        <w:tc>
          <w:tcPr>
            <w:tcW w:w="3987" w:type="pct"/>
            <w:gridSpan w:val="2"/>
            <w:tcBorders>
              <w:top w:val="single" w:sz="8" w:space="0" w:color="002C47"/>
              <w:left w:val="single" w:sz="8" w:space="0" w:color="002C47"/>
              <w:bottom w:val="single" w:sz="8" w:space="0" w:color="002C47"/>
              <w:right w:val="single" w:sz="8" w:space="0" w:color="002C47"/>
            </w:tcBorders>
          </w:tcPr>
          <w:p w14:paraId="1B2C94EB" w14:textId="77777777" w:rsidR="00C40CB7" w:rsidRDefault="00C40CB7" w:rsidP="00C40CB7">
            <w:r>
              <w:t>Human immunodeficiency virus</w:t>
            </w:r>
          </w:p>
        </w:tc>
      </w:tr>
      <w:tr w:rsidR="00C40CB7" w14:paraId="051ABB9D"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4375EDED" w14:textId="77777777" w:rsidR="00C40CB7" w:rsidRDefault="00C40CB7" w:rsidP="00C40CB7">
            <w:pPr>
              <w:rPr>
                <w:color w:val="000000"/>
              </w:rPr>
            </w:pPr>
            <w:r>
              <w:rPr>
                <w:color w:val="000000"/>
              </w:rPr>
              <w:t>ID</w:t>
            </w:r>
            <w:r w:rsidRPr="005D0A96">
              <w:rPr>
                <w:color w:val="000000"/>
                <w:vertAlign w:val="subscript"/>
              </w:rPr>
              <w:t>50</w:t>
            </w:r>
          </w:p>
        </w:tc>
        <w:tc>
          <w:tcPr>
            <w:tcW w:w="3987" w:type="pct"/>
            <w:gridSpan w:val="2"/>
            <w:tcBorders>
              <w:top w:val="single" w:sz="8" w:space="0" w:color="002C47"/>
              <w:left w:val="single" w:sz="8" w:space="0" w:color="002C47"/>
              <w:bottom w:val="single" w:sz="8" w:space="0" w:color="002C47"/>
              <w:right w:val="single" w:sz="8" w:space="0" w:color="002C47"/>
            </w:tcBorders>
          </w:tcPr>
          <w:p w14:paraId="1E357D75" w14:textId="77777777" w:rsidR="00C40CB7" w:rsidRDefault="00C40CB7" w:rsidP="00C40CB7">
            <w:r>
              <w:t>50% inhibitory dilution</w:t>
            </w:r>
          </w:p>
        </w:tc>
      </w:tr>
      <w:tr w:rsidR="00C40CB7" w14:paraId="637E29D0"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6D9C1BCC" w14:textId="77777777" w:rsidR="00C40CB7" w:rsidRDefault="00C40CB7" w:rsidP="00C40CB7">
            <w:pPr>
              <w:rPr>
                <w:color w:val="000000"/>
              </w:rPr>
            </w:pPr>
            <w:r>
              <w:rPr>
                <w:color w:val="000000"/>
              </w:rPr>
              <w:t>LLOQ</w:t>
            </w:r>
          </w:p>
        </w:tc>
        <w:tc>
          <w:tcPr>
            <w:tcW w:w="3987" w:type="pct"/>
            <w:gridSpan w:val="2"/>
            <w:tcBorders>
              <w:top w:val="single" w:sz="8" w:space="0" w:color="002C47"/>
              <w:left w:val="single" w:sz="8" w:space="0" w:color="002C47"/>
              <w:bottom w:val="single" w:sz="8" w:space="0" w:color="002C47"/>
              <w:right w:val="single" w:sz="8" w:space="0" w:color="002C47"/>
            </w:tcBorders>
          </w:tcPr>
          <w:p w14:paraId="18E34FEE" w14:textId="521117D7" w:rsidR="00C40CB7" w:rsidRDefault="00C40CB7" w:rsidP="00C40CB7">
            <w:r>
              <w:t>Lower limit of quantification</w:t>
            </w:r>
          </w:p>
        </w:tc>
      </w:tr>
      <w:tr w:rsidR="00C40CB7" w14:paraId="41A713AE"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7A16EDEC" w14:textId="77777777" w:rsidR="00C40CB7" w:rsidRDefault="00C40CB7" w:rsidP="00C40CB7">
            <w:pPr>
              <w:rPr>
                <w:color w:val="000000"/>
              </w:rPr>
            </w:pPr>
            <w:r>
              <w:rPr>
                <w:color w:val="000000"/>
              </w:rPr>
              <w:t>MAAE</w:t>
            </w:r>
          </w:p>
        </w:tc>
        <w:tc>
          <w:tcPr>
            <w:tcW w:w="3987" w:type="pct"/>
            <w:gridSpan w:val="2"/>
            <w:tcBorders>
              <w:top w:val="single" w:sz="8" w:space="0" w:color="002C47"/>
              <w:left w:val="single" w:sz="8" w:space="0" w:color="002C47"/>
              <w:bottom w:val="single" w:sz="8" w:space="0" w:color="002C47"/>
              <w:right w:val="single" w:sz="8" w:space="0" w:color="002C47"/>
            </w:tcBorders>
          </w:tcPr>
          <w:p w14:paraId="5CB25D03" w14:textId="74CC7256" w:rsidR="00C40CB7" w:rsidRDefault="00C40CB7" w:rsidP="00C40CB7">
            <w:proofErr w:type="gramStart"/>
            <w:r>
              <w:t>M</w:t>
            </w:r>
            <w:r w:rsidRPr="00141448">
              <w:t>edically</w:t>
            </w:r>
            <w:r w:rsidR="00C6359C">
              <w:t>-</w:t>
            </w:r>
            <w:r>
              <w:t>a</w:t>
            </w:r>
            <w:r w:rsidRPr="00141448">
              <w:t>ttended</w:t>
            </w:r>
            <w:proofErr w:type="gramEnd"/>
            <w:r w:rsidRPr="00141448">
              <w:t xml:space="preserve"> </w:t>
            </w:r>
            <w:r>
              <w:t>a</w:t>
            </w:r>
            <w:r w:rsidRPr="00141448">
              <w:t xml:space="preserve">dverse </w:t>
            </w:r>
            <w:r>
              <w:t>e</w:t>
            </w:r>
            <w:r w:rsidRPr="00141448">
              <w:t>vent</w:t>
            </w:r>
          </w:p>
        </w:tc>
      </w:tr>
      <w:tr w:rsidR="00926B8E" w14:paraId="55751A8E"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050D8204" w14:textId="51906F14" w:rsidR="00926B8E" w:rsidRDefault="00926B8E" w:rsidP="00C40CB7">
            <w:pPr>
              <w:rPr>
                <w:color w:val="000000"/>
              </w:rPr>
            </w:pPr>
            <w:r>
              <w:rPr>
                <w:color w:val="000000"/>
              </w:rPr>
              <w:t>MedDRA</w:t>
            </w:r>
          </w:p>
        </w:tc>
        <w:tc>
          <w:tcPr>
            <w:tcW w:w="3987" w:type="pct"/>
            <w:gridSpan w:val="2"/>
            <w:tcBorders>
              <w:top w:val="single" w:sz="8" w:space="0" w:color="002C47"/>
              <w:left w:val="single" w:sz="8" w:space="0" w:color="002C47"/>
              <w:bottom w:val="single" w:sz="8" w:space="0" w:color="002C47"/>
              <w:right w:val="single" w:sz="8" w:space="0" w:color="002C47"/>
            </w:tcBorders>
          </w:tcPr>
          <w:p w14:paraId="72417D69" w14:textId="50F152AD" w:rsidR="00926B8E" w:rsidRDefault="00926B8E" w:rsidP="00C40CB7">
            <w:r>
              <w:t>Medical Dictionary for Regulatory Activities</w:t>
            </w:r>
          </w:p>
        </w:tc>
      </w:tr>
      <w:tr w:rsidR="00C40CB7" w14:paraId="7FCB3329"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41AAE103" w14:textId="77777777" w:rsidR="00C40CB7" w:rsidRDefault="00C40CB7" w:rsidP="00C40CB7">
            <w:pPr>
              <w:rPr>
                <w:color w:val="000000"/>
              </w:rPr>
            </w:pPr>
            <w:proofErr w:type="spellStart"/>
            <w:r>
              <w:rPr>
                <w:color w:val="000000"/>
              </w:rPr>
              <w:t>NAb</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53871205" w14:textId="4226C025" w:rsidR="00C40CB7" w:rsidRDefault="00C40CB7">
            <w:r>
              <w:t xml:space="preserve">Neutralising </w:t>
            </w:r>
            <w:r w:rsidR="00926B8E">
              <w:t>antibody</w:t>
            </w:r>
          </w:p>
        </w:tc>
      </w:tr>
      <w:tr w:rsidR="00C40CB7" w14:paraId="772FE7B9"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3176BAEF" w14:textId="77777777" w:rsidR="00C40CB7" w:rsidRDefault="00C40CB7" w:rsidP="00C40CB7">
            <w:pPr>
              <w:rPr>
                <w:color w:val="000000"/>
              </w:rPr>
            </w:pPr>
            <w:r>
              <w:rPr>
                <w:color w:val="000000"/>
              </w:rPr>
              <w:lastRenderedPageBreak/>
              <w:t>NHP</w:t>
            </w:r>
          </w:p>
        </w:tc>
        <w:tc>
          <w:tcPr>
            <w:tcW w:w="3987" w:type="pct"/>
            <w:gridSpan w:val="2"/>
            <w:tcBorders>
              <w:top w:val="single" w:sz="8" w:space="0" w:color="002C47"/>
              <w:left w:val="single" w:sz="8" w:space="0" w:color="002C47"/>
              <w:bottom w:val="single" w:sz="8" w:space="0" w:color="002C47"/>
              <w:right w:val="single" w:sz="8" w:space="0" w:color="002C47"/>
            </w:tcBorders>
          </w:tcPr>
          <w:p w14:paraId="32EE3339" w14:textId="624B4846" w:rsidR="00C40CB7" w:rsidRDefault="00C40CB7" w:rsidP="00C40CB7">
            <w:r>
              <w:t>Non-human primate</w:t>
            </w:r>
          </w:p>
        </w:tc>
      </w:tr>
      <w:tr w:rsidR="00C40CB7" w14:paraId="26551ADE"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03D99221" w14:textId="77777777" w:rsidR="00C40CB7" w:rsidRDefault="00C40CB7" w:rsidP="00C40CB7">
            <w:pPr>
              <w:rPr>
                <w:color w:val="000000"/>
              </w:rPr>
            </w:pPr>
            <w:r>
              <w:rPr>
                <w:color w:val="000000"/>
              </w:rP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4CC7C172" w14:textId="77777777" w:rsidR="00C40CB7" w:rsidRDefault="00C40CB7" w:rsidP="00C40CB7">
            <w:r>
              <w:t>Product Information</w:t>
            </w:r>
          </w:p>
        </w:tc>
      </w:tr>
      <w:tr w:rsidR="00C40CB7" w14:paraId="301D5869"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29F47211" w14:textId="77777777" w:rsidR="00C40CB7" w:rsidRDefault="00C40CB7" w:rsidP="00C40CB7">
            <w:pPr>
              <w:rPr>
                <w:color w:val="000000"/>
              </w:rPr>
            </w:pPr>
            <w:r>
              <w:rPr>
                <w:color w:val="000000"/>
              </w:rPr>
              <w:t>PPSI</w:t>
            </w:r>
          </w:p>
        </w:tc>
        <w:tc>
          <w:tcPr>
            <w:tcW w:w="3987" w:type="pct"/>
            <w:gridSpan w:val="2"/>
            <w:tcBorders>
              <w:top w:val="single" w:sz="8" w:space="0" w:color="002C47"/>
              <w:left w:val="single" w:sz="8" w:space="0" w:color="002C47"/>
              <w:bottom w:val="single" w:sz="8" w:space="0" w:color="002C47"/>
              <w:right w:val="single" w:sz="8" w:space="0" w:color="002C47"/>
            </w:tcBorders>
          </w:tcPr>
          <w:p w14:paraId="21C8D197" w14:textId="77777777" w:rsidR="00C40CB7" w:rsidRDefault="00C40CB7" w:rsidP="00C40CB7">
            <w:r>
              <w:t>Per-protocol set for immunogenicity</w:t>
            </w:r>
          </w:p>
        </w:tc>
      </w:tr>
      <w:tr w:rsidR="00C40CB7" w14:paraId="6EA968C9"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70D583B7" w14:textId="77777777" w:rsidR="00C40CB7" w:rsidRDefault="00C40CB7" w:rsidP="00C40CB7">
            <w:pPr>
              <w:rPr>
                <w:color w:val="000000"/>
              </w:rPr>
            </w:pPr>
            <w:r>
              <w:rPr>
                <w:color w:val="000000"/>
              </w:rPr>
              <w:t>PPSI-Neg</w:t>
            </w:r>
          </w:p>
        </w:tc>
        <w:tc>
          <w:tcPr>
            <w:tcW w:w="3987" w:type="pct"/>
            <w:gridSpan w:val="2"/>
            <w:tcBorders>
              <w:top w:val="single" w:sz="8" w:space="0" w:color="002C47"/>
              <w:left w:val="single" w:sz="8" w:space="0" w:color="002C47"/>
              <w:bottom w:val="single" w:sz="8" w:space="0" w:color="002C47"/>
              <w:right w:val="single" w:sz="8" w:space="0" w:color="002C47"/>
            </w:tcBorders>
          </w:tcPr>
          <w:p w14:paraId="4A2AFFF0" w14:textId="77777777" w:rsidR="00C40CB7" w:rsidRDefault="00C40CB7" w:rsidP="00C40CB7">
            <w:r>
              <w:t>Per-protocol set for immunogenicity-SARS-CoV-2 negative at Baseline</w:t>
            </w:r>
          </w:p>
        </w:tc>
      </w:tr>
      <w:tr w:rsidR="00C40CB7" w14:paraId="692FF965"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7425D59C" w14:textId="77777777" w:rsidR="00C40CB7" w:rsidRDefault="00C40CB7" w:rsidP="00C40CB7">
            <w:pPr>
              <w:rPr>
                <w:color w:val="000000"/>
              </w:rPr>
            </w:pPr>
            <w:r>
              <w:rPr>
                <w:color w:val="000000"/>
              </w:rPr>
              <w:t>PPSI-Pos</w:t>
            </w:r>
          </w:p>
        </w:tc>
        <w:tc>
          <w:tcPr>
            <w:tcW w:w="3987" w:type="pct"/>
            <w:gridSpan w:val="2"/>
            <w:tcBorders>
              <w:top w:val="single" w:sz="8" w:space="0" w:color="002C47"/>
              <w:left w:val="single" w:sz="8" w:space="0" w:color="002C47"/>
              <w:bottom w:val="single" w:sz="8" w:space="0" w:color="002C47"/>
              <w:right w:val="single" w:sz="8" w:space="0" w:color="002C47"/>
            </w:tcBorders>
          </w:tcPr>
          <w:p w14:paraId="6A80C5C5" w14:textId="77777777" w:rsidR="00C40CB7" w:rsidRDefault="00C40CB7" w:rsidP="00C40CB7">
            <w:r>
              <w:t>Per-protocol set for immunogenicity-SARS-CoV-2 positive at Baseline</w:t>
            </w:r>
          </w:p>
        </w:tc>
      </w:tr>
      <w:tr w:rsidR="00C40CB7" w14:paraId="696BC609"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707F87EE" w14:textId="77777777" w:rsidR="00C40CB7" w:rsidRDefault="00C40CB7" w:rsidP="00C40CB7">
            <w:pPr>
              <w:rPr>
                <w:color w:val="000000"/>
              </w:rPr>
            </w:pPr>
            <w:r>
              <w:rPr>
                <w:color w:val="000000"/>
              </w:rPr>
              <w:t>PT</w:t>
            </w:r>
          </w:p>
        </w:tc>
        <w:tc>
          <w:tcPr>
            <w:tcW w:w="3987" w:type="pct"/>
            <w:gridSpan w:val="2"/>
            <w:tcBorders>
              <w:top w:val="single" w:sz="8" w:space="0" w:color="002C47"/>
              <w:left w:val="single" w:sz="8" w:space="0" w:color="002C47"/>
              <w:bottom w:val="single" w:sz="8" w:space="0" w:color="002C47"/>
              <w:right w:val="single" w:sz="8" w:space="0" w:color="002C47"/>
            </w:tcBorders>
          </w:tcPr>
          <w:p w14:paraId="678EB968" w14:textId="77777777" w:rsidR="00C40CB7" w:rsidRDefault="00C40CB7" w:rsidP="00C40CB7">
            <w:r>
              <w:t>Preferred Term</w:t>
            </w:r>
          </w:p>
        </w:tc>
      </w:tr>
      <w:tr w:rsidR="00C40CB7" w14:paraId="5FE46523"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6993FC1" w14:textId="77777777" w:rsidR="00C40CB7" w:rsidRDefault="00C40CB7" w:rsidP="00C40CB7">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02FABF4" w14:textId="77777777" w:rsidR="00C40CB7" w:rsidRDefault="00C40CB7" w:rsidP="00C40CB7">
            <w:r>
              <w:t>Risk management plan</w:t>
            </w:r>
          </w:p>
        </w:tc>
      </w:tr>
      <w:tr w:rsidR="00C40CB7" w14:paraId="15D910AA"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5808E414" w14:textId="77777777" w:rsidR="00C40CB7" w:rsidRPr="00CC7D8B" w:rsidRDefault="00C40CB7" w:rsidP="00C40CB7">
            <w:r>
              <w:t>RNA</w:t>
            </w:r>
          </w:p>
        </w:tc>
        <w:tc>
          <w:tcPr>
            <w:tcW w:w="3987" w:type="pct"/>
            <w:gridSpan w:val="2"/>
            <w:tcBorders>
              <w:top w:val="single" w:sz="8" w:space="0" w:color="002C47"/>
              <w:left w:val="single" w:sz="8" w:space="0" w:color="002C47"/>
              <w:bottom w:val="single" w:sz="8" w:space="0" w:color="002C47"/>
              <w:right w:val="single" w:sz="8" w:space="0" w:color="002C47"/>
            </w:tcBorders>
          </w:tcPr>
          <w:p w14:paraId="6822B079" w14:textId="77777777" w:rsidR="00C40CB7" w:rsidRDefault="00C40CB7" w:rsidP="00C40CB7">
            <w:r>
              <w:t>Ribonucleic acid</w:t>
            </w:r>
          </w:p>
        </w:tc>
      </w:tr>
      <w:tr w:rsidR="00C40CB7" w14:paraId="7B6F5A58"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43610327" w14:textId="77777777" w:rsidR="00C40CB7" w:rsidRDefault="00C40CB7" w:rsidP="00C40CB7">
            <w:pPr>
              <w:rPr>
                <w:color w:val="000000"/>
              </w:rPr>
            </w:pPr>
            <w:r>
              <w:rPr>
                <w:color w:val="000000"/>
              </w:rPr>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7BC2CE40" w14:textId="77777777" w:rsidR="00C40CB7" w:rsidRDefault="00C40CB7" w:rsidP="00C40CB7">
            <w:r>
              <w:t>Serious adverse event</w:t>
            </w:r>
          </w:p>
        </w:tc>
      </w:tr>
      <w:tr w:rsidR="00C40CB7" w14:paraId="2A77FB1C"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79E9CDCA" w14:textId="77777777" w:rsidR="00C40CB7" w:rsidRDefault="00C40CB7" w:rsidP="00C40CB7">
            <w:pPr>
              <w:rPr>
                <w:color w:val="000000"/>
              </w:rPr>
            </w:pPr>
            <w:r w:rsidRPr="00CC7D8B">
              <w:t>SARS-CoV-2</w:t>
            </w:r>
          </w:p>
        </w:tc>
        <w:tc>
          <w:tcPr>
            <w:tcW w:w="3987" w:type="pct"/>
            <w:gridSpan w:val="2"/>
            <w:tcBorders>
              <w:top w:val="single" w:sz="8" w:space="0" w:color="002C47"/>
              <w:left w:val="single" w:sz="8" w:space="0" w:color="002C47"/>
              <w:bottom w:val="single" w:sz="8" w:space="0" w:color="002C47"/>
              <w:right w:val="single" w:sz="8" w:space="0" w:color="002C47"/>
            </w:tcBorders>
          </w:tcPr>
          <w:p w14:paraId="1988A6E9" w14:textId="77777777" w:rsidR="00C40CB7" w:rsidRDefault="00C40CB7" w:rsidP="00C40CB7">
            <w:pPr>
              <w:rPr>
                <w:color w:val="000000"/>
              </w:rPr>
            </w:pPr>
            <w:r>
              <w:t>S</w:t>
            </w:r>
            <w:r w:rsidRPr="00CC7D8B">
              <w:t xml:space="preserve">evere acute respiratory syndrome </w:t>
            </w:r>
            <w:proofErr w:type="gramStart"/>
            <w:r w:rsidRPr="00CC7D8B">
              <w:t>coronavirus-2</w:t>
            </w:r>
            <w:proofErr w:type="gramEnd"/>
          </w:p>
        </w:tc>
      </w:tr>
      <w:tr w:rsidR="00C40CB7" w14:paraId="0028B8C3"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57E91911" w14:textId="77777777" w:rsidR="00C40CB7" w:rsidRDefault="00C40CB7" w:rsidP="00C40CB7">
            <w:pPr>
              <w:rPr>
                <w:color w:val="000000"/>
              </w:rPr>
            </w:pPr>
            <w:r>
              <w:rPr>
                <w:color w:val="000000"/>
              </w:rPr>
              <w:t>SMQ</w:t>
            </w:r>
          </w:p>
        </w:tc>
        <w:tc>
          <w:tcPr>
            <w:tcW w:w="3987" w:type="pct"/>
            <w:gridSpan w:val="2"/>
            <w:tcBorders>
              <w:top w:val="single" w:sz="8" w:space="0" w:color="002C47"/>
              <w:left w:val="single" w:sz="8" w:space="0" w:color="002C47"/>
              <w:bottom w:val="single" w:sz="8" w:space="0" w:color="002C47"/>
              <w:right w:val="single" w:sz="8" w:space="0" w:color="002C47"/>
            </w:tcBorders>
          </w:tcPr>
          <w:p w14:paraId="24738E59" w14:textId="63A629C6" w:rsidR="00C40CB7" w:rsidRDefault="00C40CB7" w:rsidP="00C40CB7">
            <w:r>
              <w:t xml:space="preserve">Standardised MedDRA </w:t>
            </w:r>
            <w:r w:rsidR="00926B8E">
              <w:t>Q</w:t>
            </w:r>
            <w:r>
              <w:t>ueries</w:t>
            </w:r>
          </w:p>
        </w:tc>
      </w:tr>
      <w:tr w:rsidR="00C40CB7" w14:paraId="49B3748D"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3544CECE" w14:textId="77777777" w:rsidR="00C40CB7" w:rsidRDefault="00C40CB7" w:rsidP="00C40CB7">
            <w:pPr>
              <w:rPr>
                <w:color w:val="000000"/>
              </w:rPr>
            </w:pPr>
            <w:r>
              <w:rPr>
                <w:color w:val="000000"/>
              </w:rPr>
              <w:t>SOC</w:t>
            </w:r>
          </w:p>
        </w:tc>
        <w:tc>
          <w:tcPr>
            <w:tcW w:w="3987" w:type="pct"/>
            <w:gridSpan w:val="2"/>
            <w:tcBorders>
              <w:top w:val="single" w:sz="8" w:space="0" w:color="002C47"/>
              <w:left w:val="single" w:sz="8" w:space="0" w:color="002C47"/>
              <w:bottom w:val="single" w:sz="8" w:space="0" w:color="002C47"/>
              <w:right w:val="single" w:sz="8" w:space="0" w:color="002C47"/>
            </w:tcBorders>
          </w:tcPr>
          <w:p w14:paraId="2BBE96FF" w14:textId="77777777" w:rsidR="00C40CB7" w:rsidRDefault="00C40CB7" w:rsidP="00C40CB7">
            <w:r>
              <w:t>System Organ Class</w:t>
            </w:r>
          </w:p>
        </w:tc>
      </w:tr>
      <w:tr w:rsidR="00C40CB7" w14:paraId="3F67EDD3"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048B1CBE" w14:textId="77777777" w:rsidR="00C40CB7" w:rsidRDefault="00C40CB7" w:rsidP="00C40CB7">
            <w:pPr>
              <w:rPr>
                <w:color w:val="000000"/>
              </w:rPr>
            </w:pPr>
            <w:r>
              <w:rPr>
                <w:color w:val="000000"/>
              </w:rPr>
              <w:t>SRR</w:t>
            </w:r>
          </w:p>
        </w:tc>
        <w:tc>
          <w:tcPr>
            <w:tcW w:w="3987" w:type="pct"/>
            <w:gridSpan w:val="2"/>
            <w:tcBorders>
              <w:top w:val="single" w:sz="8" w:space="0" w:color="002C47"/>
              <w:left w:val="single" w:sz="8" w:space="0" w:color="002C47"/>
              <w:bottom w:val="single" w:sz="8" w:space="0" w:color="002C47"/>
              <w:right w:val="single" w:sz="8" w:space="0" w:color="002C47"/>
            </w:tcBorders>
          </w:tcPr>
          <w:p w14:paraId="67DA5E7E" w14:textId="789D8511" w:rsidR="00C40CB7" w:rsidRDefault="00C40CB7" w:rsidP="00C40CB7">
            <w:proofErr w:type="spellStart"/>
            <w:r>
              <w:t>S</w:t>
            </w:r>
            <w:r w:rsidRPr="0022452E">
              <w:t>eroresponse</w:t>
            </w:r>
            <w:proofErr w:type="spellEnd"/>
            <w:r w:rsidRPr="0022452E">
              <w:t xml:space="preserve"> rate</w:t>
            </w:r>
          </w:p>
        </w:tc>
      </w:tr>
      <w:tr w:rsidR="00C40CB7" w14:paraId="25755CB8"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111BA0A1" w14:textId="77777777" w:rsidR="00C40CB7" w:rsidRDefault="00C40CB7" w:rsidP="00C40CB7">
            <w:pPr>
              <w:rPr>
                <w:color w:val="000000"/>
              </w:rPr>
            </w:pPr>
            <w:r>
              <w:rPr>
                <w:color w:val="000000"/>
              </w:rPr>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6BEE0652" w14:textId="4E06CBD8" w:rsidR="00C40CB7" w:rsidRDefault="00C40CB7" w:rsidP="00C40CB7">
            <w:r>
              <w:t>T</w:t>
            </w:r>
            <w:r w:rsidRPr="003B4352">
              <w:t>reatment</w:t>
            </w:r>
            <w:r w:rsidR="00926B8E">
              <w:t>-</w:t>
            </w:r>
            <w:r>
              <w:t>e</w:t>
            </w:r>
            <w:r w:rsidRPr="003B4352">
              <w:t xml:space="preserve">mergent </w:t>
            </w:r>
            <w:r>
              <w:t>a</w:t>
            </w:r>
            <w:r w:rsidRPr="003B4352">
              <w:t xml:space="preserve">dverse </w:t>
            </w:r>
            <w:r>
              <w:t>e</w:t>
            </w:r>
            <w:r w:rsidRPr="003B4352">
              <w:t>vent</w:t>
            </w:r>
          </w:p>
        </w:tc>
      </w:tr>
      <w:tr w:rsidR="00C40CB7" w14:paraId="635563A5"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272CC19" w14:textId="77777777" w:rsidR="00C40CB7" w:rsidRDefault="00C40CB7" w:rsidP="00C40CB7">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90C98F9" w14:textId="77777777" w:rsidR="00C40CB7" w:rsidRDefault="00C40CB7" w:rsidP="00C40CB7">
            <w:r>
              <w:t>Therapeutic Goods Administration</w:t>
            </w:r>
          </w:p>
        </w:tc>
      </w:tr>
      <w:tr w:rsidR="00C40CB7" w14:paraId="4BA52ABC"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5DDC8CF4" w14:textId="77777777" w:rsidR="00C40CB7" w:rsidRPr="00CC7D8B" w:rsidRDefault="00C40CB7" w:rsidP="00C40CB7">
            <w:r>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71184893" w14:textId="77777777" w:rsidR="00C40CB7" w:rsidRDefault="00C40CB7" w:rsidP="00C40CB7">
            <w:r>
              <w:t>United States (of America)</w:t>
            </w:r>
          </w:p>
        </w:tc>
      </w:tr>
      <w:tr w:rsidR="00C40CB7" w14:paraId="6485B83A"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1A65478A" w14:textId="77777777" w:rsidR="00C40CB7" w:rsidRPr="00CC7D8B" w:rsidRDefault="00C40CB7" w:rsidP="00C40CB7">
            <w:r>
              <w:t>VOC</w:t>
            </w:r>
          </w:p>
        </w:tc>
        <w:tc>
          <w:tcPr>
            <w:tcW w:w="3987" w:type="pct"/>
            <w:gridSpan w:val="2"/>
            <w:tcBorders>
              <w:top w:val="single" w:sz="8" w:space="0" w:color="002C47"/>
              <w:left w:val="single" w:sz="8" w:space="0" w:color="002C47"/>
              <w:bottom w:val="single" w:sz="8" w:space="0" w:color="002C47"/>
              <w:right w:val="single" w:sz="8" w:space="0" w:color="002C47"/>
            </w:tcBorders>
          </w:tcPr>
          <w:p w14:paraId="3A76396C" w14:textId="77777777" w:rsidR="00C40CB7" w:rsidRDefault="00C40CB7" w:rsidP="00C40CB7">
            <w:r>
              <w:t>V</w:t>
            </w:r>
            <w:r w:rsidRPr="006F576C">
              <w:t xml:space="preserve">ariant of </w:t>
            </w:r>
            <w:r>
              <w:t>c</w:t>
            </w:r>
            <w:r w:rsidRPr="006F576C">
              <w:t>oncern</w:t>
            </w:r>
          </w:p>
        </w:tc>
      </w:tr>
      <w:tr w:rsidR="00C40CB7" w14:paraId="55B15A3B"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78F97AA9" w14:textId="77777777" w:rsidR="00C40CB7" w:rsidRPr="00CC7D8B" w:rsidRDefault="00C40CB7" w:rsidP="00C40CB7">
            <w:r>
              <w:t>VOI</w:t>
            </w:r>
          </w:p>
        </w:tc>
        <w:tc>
          <w:tcPr>
            <w:tcW w:w="3987" w:type="pct"/>
            <w:gridSpan w:val="2"/>
            <w:tcBorders>
              <w:top w:val="single" w:sz="8" w:space="0" w:color="002C47"/>
              <w:left w:val="single" w:sz="8" w:space="0" w:color="002C47"/>
              <w:bottom w:val="single" w:sz="8" w:space="0" w:color="002C47"/>
              <w:right w:val="single" w:sz="8" w:space="0" w:color="002C47"/>
            </w:tcBorders>
          </w:tcPr>
          <w:p w14:paraId="15E38D53" w14:textId="77777777" w:rsidR="00C40CB7" w:rsidRDefault="00C40CB7" w:rsidP="00C40CB7">
            <w:r>
              <w:t>V</w:t>
            </w:r>
            <w:r w:rsidRPr="006F576C">
              <w:t xml:space="preserve">ariant of </w:t>
            </w:r>
            <w:r>
              <w:t>i</w:t>
            </w:r>
            <w:r w:rsidRPr="006F576C">
              <w:t>nterest</w:t>
            </w:r>
          </w:p>
        </w:tc>
      </w:tr>
      <w:tr w:rsidR="00C40CB7" w14:paraId="0E2ACC42" w14:textId="77777777" w:rsidTr="00C40CB7">
        <w:trPr>
          <w:cantSplit/>
        </w:trPr>
        <w:tc>
          <w:tcPr>
            <w:tcW w:w="1013" w:type="pct"/>
            <w:tcBorders>
              <w:top w:val="single" w:sz="8" w:space="0" w:color="002C47"/>
              <w:left w:val="single" w:sz="8" w:space="0" w:color="002C47"/>
              <w:bottom w:val="single" w:sz="8" w:space="0" w:color="002C47"/>
              <w:right w:val="single" w:sz="8" w:space="0" w:color="002C47"/>
            </w:tcBorders>
          </w:tcPr>
          <w:p w14:paraId="0FDF624D" w14:textId="77777777" w:rsidR="00C40CB7" w:rsidRPr="00CC7D8B" w:rsidRDefault="00C40CB7" w:rsidP="00C40CB7">
            <w:r>
              <w:t>WHO</w:t>
            </w:r>
          </w:p>
        </w:tc>
        <w:tc>
          <w:tcPr>
            <w:tcW w:w="3987" w:type="pct"/>
            <w:gridSpan w:val="2"/>
            <w:tcBorders>
              <w:top w:val="single" w:sz="8" w:space="0" w:color="002C47"/>
              <w:left w:val="single" w:sz="8" w:space="0" w:color="002C47"/>
              <w:bottom w:val="single" w:sz="8" w:space="0" w:color="002C47"/>
              <w:right w:val="single" w:sz="8" w:space="0" w:color="002C47"/>
            </w:tcBorders>
          </w:tcPr>
          <w:p w14:paraId="07CAE7C9" w14:textId="77777777" w:rsidR="00C40CB7" w:rsidRDefault="00C40CB7" w:rsidP="00C40CB7">
            <w:r>
              <w:t>World Health Organization</w:t>
            </w:r>
          </w:p>
        </w:tc>
      </w:tr>
    </w:tbl>
    <w:p w14:paraId="4B48A3EE"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763ED29" w14:textId="77777777" w:rsidR="008E7846" w:rsidRDefault="009F2673" w:rsidP="008E7846">
      <w:pPr>
        <w:pStyle w:val="Heading2"/>
      </w:pPr>
      <w:bookmarkStart w:id="5" w:name="_Toc112833618"/>
      <w:r>
        <w:lastRenderedPageBreak/>
        <w:t>Pr</w:t>
      </w:r>
      <w:r w:rsidR="008E7846">
        <w:t>oduct submission</w:t>
      </w:r>
      <w:bookmarkEnd w:id="0"/>
      <w:bookmarkEnd w:id="2"/>
      <w:bookmarkEnd w:id="5"/>
    </w:p>
    <w:p w14:paraId="7CAC70E0" w14:textId="77777777" w:rsidR="008E7846" w:rsidRDefault="008E7846" w:rsidP="009E5A87">
      <w:pPr>
        <w:pStyle w:val="Heading3"/>
        <w:rPr>
          <w:lang w:eastAsia="en-AU"/>
        </w:rPr>
      </w:pPr>
      <w:bookmarkStart w:id="6" w:name="_Toc247691502"/>
      <w:bookmarkStart w:id="7" w:name="_Toc314842483"/>
      <w:bookmarkStart w:id="8" w:name="_Toc112833619"/>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3D1E62" w14:paraId="1B29FF85" w14:textId="77777777" w:rsidTr="00FF6731">
        <w:tc>
          <w:tcPr>
            <w:tcW w:w="1577" w:type="pct"/>
          </w:tcPr>
          <w:p w14:paraId="7E733596" w14:textId="77777777" w:rsidR="009F2673" w:rsidRPr="003D1E62" w:rsidRDefault="009F2673" w:rsidP="009E5A87">
            <w:pPr>
              <w:rPr>
                <w:i/>
              </w:rPr>
            </w:pPr>
            <w:r>
              <w:rPr>
                <w:i/>
              </w:rPr>
              <w:t>Type of s</w:t>
            </w:r>
            <w:r w:rsidRPr="003D1E62">
              <w:rPr>
                <w:i/>
              </w:rPr>
              <w:t>ubmission</w:t>
            </w:r>
            <w:r>
              <w:rPr>
                <w:i/>
              </w:rPr>
              <w:t>:</w:t>
            </w:r>
          </w:p>
        </w:tc>
        <w:tc>
          <w:tcPr>
            <w:tcW w:w="3423" w:type="pct"/>
          </w:tcPr>
          <w:p w14:paraId="24DBB135" w14:textId="23AB6478" w:rsidR="009F2673" w:rsidRPr="003D1E62" w:rsidRDefault="009F2673" w:rsidP="009E5A87">
            <w:r w:rsidRPr="003D1E62">
              <w:t xml:space="preserve">New </w:t>
            </w:r>
            <w:r w:rsidR="00E95161">
              <w:t>biological</w:t>
            </w:r>
            <w:r w:rsidRPr="003D1E62">
              <w:t xml:space="preserve"> </w:t>
            </w:r>
            <w:r>
              <w:t>e</w:t>
            </w:r>
            <w:r w:rsidRPr="003D1E62">
              <w:t>ntity</w:t>
            </w:r>
          </w:p>
        </w:tc>
      </w:tr>
      <w:tr w:rsidR="009F2673" w:rsidRPr="003D1E62" w14:paraId="02D3B191" w14:textId="77777777" w:rsidTr="00FF6731">
        <w:tc>
          <w:tcPr>
            <w:tcW w:w="1577" w:type="pct"/>
          </w:tcPr>
          <w:p w14:paraId="353C4CCF" w14:textId="387EEAE2" w:rsidR="009F2673" w:rsidRPr="003D1E62" w:rsidRDefault="009F2673" w:rsidP="009E5A87">
            <w:pPr>
              <w:rPr>
                <w:i/>
              </w:rPr>
            </w:pPr>
            <w:r w:rsidRPr="00460036">
              <w:rPr>
                <w:i/>
              </w:rPr>
              <w:t>Product name:</w:t>
            </w:r>
          </w:p>
        </w:tc>
        <w:tc>
          <w:tcPr>
            <w:tcW w:w="3423" w:type="pct"/>
          </w:tcPr>
          <w:p w14:paraId="655B8394" w14:textId="6C491E3C" w:rsidR="009F2673" w:rsidRPr="003D1E62" w:rsidRDefault="00E95161" w:rsidP="009E5A87">
            <w:r w:rsidRPr="00E95161">
              <w:t xml:space="preserve">Spikevax </w:t>
            </w:r>
            <w:r w:rsidR="00E43913">
              <w:t>B</w:t>
            </w:r>
            <w:r w:rsidRPr="00E95161">
              <w:t xml:space="preserve">ivalent </w:t>
            </w:r>
            <w:r w:rsidR="00E43913">
              <w:t>O</w:t>
            </w:r>
            <w:r w:rsidRPr="00E95161">
              <w:t>riginal</w:t>
            </w:r>
            <w:r w:rsidR="007D1954">
              <w:t>/Omicron</w:t>
            </w:r>
          </w:p>
        </w:tc>
      </w:tr>
      <w:tr w:rsidR="009F2673" w:rsidRPr="003D1E62" w14:paraId="7864C6ED" w14:textId="77777777" w:rsidTr="00FF6731">
        <w:tc>
          <w:tcPr>
            <w:tcW w:w="1577" w:type="pct"/>
          </w:tcPr>
          <w:p w14:paraId="0E4FB144" w14:textId="0C318174" w:rsidR="009F2673" w:rsidRPr="003D1E62" w:rsidRDefault="009F2673" w:rsidP="009E5A87">
            <w:pPr>
              <w:rPr>
                <w:i/>
              </w:rPr>
            </w:pPr>
            <w:r w:rsidRPr="00460036">
              <w:rPr>
                <w:i/>
              </w:rPr>
              <w:t>Active ingredients:</w:t>
            </w:r>
          </w:p>
        </w:tc>
        <w:tc>
          <w:tcPr>
            <w:tcW w:w="3423" w:type="pct"/>
          </w:tcPr>
          <w:p w14:paraId="225029EA" w14:textId="679F2A90" w:rsidR="009F2673" w:rsidRPr="003D1E62" w:rsidRDefault="00E95161" w:rsidP="009E5A87">
            <w:proofErr w:type="spellStart"/>
            <w:r>
              <w:t>E</w:t>
            </w:r>
            <w:r w:rsidRPr="00E95161">
              <w:t>lasomeran</w:t>
            </w:r>
            <w:proofErr w:type="spellEnd"/>
            <w:r w:rsidRPr="00E95161">
              <w:t xml:space="preserve"> and </w:t>
            </w:r>
            <w:proofErr w:type="spellStart"/>
            <w:r w:rsidRPr="00E95161">
              <w:t>imelasomeran</w:t>
            </w:r>
            <w:proofErr w:type="spellEnd"/>
          </w:p>
        </w:tc>
      </w:tr>
      <w:tr w:rsidR="009F2673" w:rsidRPr="003D1E62" w14:paraId="65EB6A94" w14:textId="77777777" w:rsidTr="00FF6731">
        <w:tc>
          <w:tcPr>
            <w:tcW w:w="1577" w:type="pct"/>
          </w:tcPr>
          <w:p w14:paraId="4D3078E5" w14:textId="77777777" w:rsidR="009F2673" w:rsidRPr="009F2673" w:rsidRDefault="009F2673" w:rsidP="009E5A87">
            <w:pPr>
              <w:rPr>
                <w:i/>
              </w:rPr>
            </w:pPr>
            <w:r w:rsidRPr="003D1E62">
              <w:rPr>
                <w:i/>
              </w:rPr>
              <w:t>Decision</w:t>
            </w:r>
            <w:r w:rsidRPr="009F2673">
              <w:rPr>
                <w:i/>
              </w:rPr>
              <w:t>:</w:t>
            </w:r>
          </w:p>
        </w:tc>
        <w:tc>
          <w:tcPr>
            <w:tcW w:w="3423" w:type="pct"/>
          </w:tcPr>
          <w:p w14:paraId="579ABA56" w14:textId="0974A502" w:rsidR="009F2673" w:rsidRPr="003D1E62" w:rsidRDefault="00D114FE" w:rsidP="009E5A87">
            <w:r w:rsidRPr="00460036">
              <w:t>Approved for provisional registration</w:t>
            </w:r>
          </w:p>
        </w:tc>
      </w:tr>
      <w:tr w:rsidR="009F2673" w:rsidRPr="003D1E62" w14:paraId="0E44296E" w14:textId="77777777" w:rsidTr="00FF6731">
        <w:tc>
          <w:tcPr>
            <w:tcW w:w="1577" w:type="pct"/>
          </w:tcPr>
          <w:p w14:paraId="13649AD7"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1594F33D" w14:textId="470C18C4" w:rsidR="009F2673" w:rsidRPr="003D1E62" w:rsidRDefault="00D114FE" w:rsidP="009E5A87">
            <w:r>
              <w:t>29 August 2022</w:t>
            </w:r>
          </w:p>
        </w:tc>
      </w:tr>
      <w:tr w:rsidR="009F2673" w:rsidRPr="003D1E62" w14:paraId="14B749FC" w14:textId="77777777" w:rsidTr="00FF6731">
        <w:tc>
          <w:tcPr>
            <w:tcW w:w="1577" w:type="pct"/>
          </w:tcPr>
          <w:p w14:paraId="67F61243" w14:textId="77777777" w:rsidR="009F2673" w:rsidRPr="00441C3F" w:rsidRDefault="009F2673" w:rsidP="009E5A87">
            <w:pPr>
              <w:rPr>
                <w:i/>
              </w:rPr>
            </w:pPr>
            <w:r w:rsidRPr="00441C3F">
              <w:rPr>
                <w:i/>
              </w:rPr>
              <w:t>Date of entry onto ARTG</w:t>
            </w:r>
            <w:r>
              <w:rPr>
                <w:i/>
              </w:rPr>
              <w:t>:</w:t>
            </w:r>
          </w:p>
        </w:tc>
        <w:tc>
          <w:tcPr>
            <w:tcW w:w="3423" w:type="pct"/>
          </w:tcPr>
          <w:p w14:paraId="6627821C" w14:textId="3A9D6C37" w:rsidR="009F2673" w:rsidRPr="009F2673" w:rsidRDefault="00D102F3" w:rsidP="009E5A87">
            <w:r>
              <w:t>30 August 2022</w:t>
            </w:r>
          </w:p>
        </w:tc>
      </w:tr>
      <w:tr w:rsidR="009F2673" w:rsidRPr="003D1E62" w14:paraId="73B98C67" w14:textId="77777777" w:rsidTr="00FF6731">
        <w:tc>
          <w:tcPr>
            <w:tcW w:w="1577" w:type="pct"/>
          </w:tcPr>
          <w:p w14:paraId="569E0BE8" w14:textId="2B8D47FA" w:rsidR="009F2673" w:rsidRPr="00441C3F" w:rsidRDefault="009F2673" w:rsidP="009E5A87">
            <w:pPr>
              <w:rPr>
                <w:i/>
              </w:rPr>
            </w:pPr>
            <w:r>
              <w:rPr>
                <w:i/>
              </w:rPr>
              <w:t>ARTG number:</w:t>
            </w:r>
          </w:p>
        </w:tc>
        <w:tc>
          <w:tcPr>
            <w:tcW w:w="3423" w:type="pct"/>
          </w:tcPr>
          <w:p w14:paraId="083BA870" w14:textId="74392749" w:rsidR="009F2673" w:rsidRPr="00D114FE" w:rsidRDefault="00D114FE" w:rsidP="009E5A87">
            <w:r>
              <w:t>389513</w:t>
            </w:r>
          </w:p>
        </w:tc>
      </w:tr>
      <w:tr w:rsidR="009F2673" w:rsidRPr="003D1E62" w14:paraId="159C751F" w14:textId="77777777" w:rsidTr="00FF6731">
        <w:tc>
          <w:tcPr>
            <w:tcW w:w="1577" w:type="pct"/>
          </w:tcPr>
          <w:p w14:paraId="304C42B5" w14:textId="5D28C8F0"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0BCA0171" w14:textId="77777777" w:rsidR="009F2673" w:rsidRDefault="00D114FE" w:rsidP="009E5A87">
            <w:r>
              <w:t>Yes</w:t>
            </w:r>
          </w:p>
          <w:p w14:paraId="57ACA756" w14:textId="5FA5FD0D" w:rsidR="00D114FE" w:rsidRPr="00487162" w:rsidRDefault="00D114FE" w:rsidP="009E5A87">
            <w:r>
              <w:t>As a provisionally registered product, this medicine will remain in the Black Triangle Scheme for the duration of its provisional registration</w:t>
            </w:r>
          </w:p>
        </w:tc>
      </w:tr>
      <w:tr w:rsidR="009F2673" w:rsidRPr="003D1E62" w14:paraId="76B92F4A" w14:textId="77777777" w:rsidTr="00FF6731">
        <w:tc>
          <w:tcPr>
            <w:tcW w:w="1577" w:type="pct"/>
          </w:tcPr>
          <w:p w14:paraId="2E45E8CD"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6CB63460" w14:textId="77777777" w:rsidR="00E95161" w:rsidRPr="00CC7D8B" w:rsidRDefault="00E95161" w:rsidP="00E95161">
            <w:r w:rsidRPr="00CC7D8B">
              <w:t>Moderna Australia Pty Ltd</w:t>
            </w:r>
          </w:p>
          <w:p w14:paraId="2504456E" w14:textId="77777777" w:rsidR="00E95161" w:rsidRPr="00CC7D8B" w:rsidRDefault="00E95161" w:rsidP="00E95161">
            <w:r w:rsidRPr="00CC7D8B">
              <w:t>Level 6, 60 Martin Place</w:t>
            </w:r>
          </w:p>
          <w:p w14:paraId="4B00BF56" w14:textId="3156AC80" w:rsidR="009F2673" w:rsidRDefault="00E95161" w:rsidP="00E95161">
            <w:r w:rsidRPr="00CC7D8B">
              <w:t>Sydney</w:t>
            </w:r>
            <w:r w:rsidR="00C6359C">
              <w:t>,</w:t>
            </w:r>
            <w:r w:rsidRPr="00CC7D8B">
              <w:t xml:space="preserve"> NSW, 2000</w:t>
            </w:r>
          </w:p>
        </w:tc>
      </w:tr>
      <w:tr w:rsidR="009F2673" w:rsidRPr="003D1E62" w14:paraId="53B0BD0B" w14:textId="77777777" w:rsidTr="00FF6731">
        <w:tc>
          <w:tcPr>
            <w:tcW w:w="1577" w:type="pct"/>
          </w:tcPr>
          <w:p w14:paraId="39581D0C" w14:textId="2D30C871" w:rsidR="009F2673" w:rsidRPr="00487162" w:rsidRDefault="009F2673" w:rsidP="009E5A87">
            <w:pPr>
              <w:rPr>
                <w:i/>
              </w:rPr>
            </w:pPr>
            <w:r>
              <w:rPr>
                <w:i/>
              </w:rPr>
              <w:t>Dose form:</w:t>
            </w:r>
          </w:p>
        </w:tc>
        <w:tc>
          <w:tcPr>
            <w:tcW w:w="3423" w:type="pct"/>
          </w:tcPr>
          <w:p w14:paraId="045F363F" w14:textId="5AD58805" w:rsidR="009F2673" w:rsidRDefault="00E95161" w:rsidP="009E5A87">
            <w:r w:rsidRPr="00CC7D8B">
              <w:t>Suspension for injection</w:t>
            </w:r>
          </w:p>
        </w:tc>
      </w:tr>
      <w:tr w:rsidR="009F2673" w:rsidRPr="003D1E62" w14:paraId="34F67105" w14:textId="77777777" w:rsidTr="00FF6731">
        <w:tc>
          <w:tcPr>
            <w:tcW w:w="1577" w:type="pct"/>
          </w:tcPr>
          <w:p w14:paraId="3E5124A4" w14:textId="4E7EFD42" w:rsidR="009F2673" w:rsidRPr="00487162" w:rsidRDefault="009F2673" w:rsidP="009E5A87">
            <w:pPr>
              <w:rPr>
                <w:i/>
              </w:rPr>
            </w:pPr>
            <w:r w:rsidRPr="00487162">
              <w:rPr>
                <w:i/>
              </w:rPr>
              <w:t>Strength:</w:t>
            </w:r>
          </w:p>
        </w:tc>
        <w:tc>
          <w:tcPr>
            <w:tcW w:w="3423" w:type="pct"/>
          </w:tcPr>
          <w:p w14:paraId="49F772A8" w14:textId="54EB617A" w:rsidR="009F2673" w:rsidRDefault="00E95161" w:rsidP="009E5A87">
            <w:r w:rsidRPr="00E95161">
              <w:t>0.1 mg/mL</w:t>
            </w:r>
          </w:p>
        </w:tc>
      </w:tr>
      <w:tr w:rsidR="009F2673" w:rsidRPr="003D1E62" w14:paraId="6991486F" w14:textId="77777777" w:rsidTr="00FF6731">
        <w:tc>
          <w:tcPr>
            <w:tcW w:w="1577" w:type="pct"/>
          </w:tcPr>
          <w:p w14:paraId="6D5AAC6C" w14:textId="272A4C7C" w:rsidR="009F2673" w:rsidRPr="00487162" w:rsidRDefault="009F2673" w:rsidP="009E5A87">
            <w:pPr>
              <w:rPr>
                <w:i/>
              </w:rPr>
            </w:pPr>
            <w:r w:rsidRPr="00487162">
              <w:rPr>
                <w:i/>
              </w:rPr>
              <w:t>Container:</w:t>
            </w:r>
          </w:p>
        </w:tc>
        <w:tc>
          <w:tcPr>
            <w:tcW w:w="3423" w:type="pct"/>
          </w:tcPr>
          <w:p w14:paraId="4A95A2BF" w14:textId="579D31D6" w:rsidR="009F2673" w:rsidRDefault="00E95161" w:rsidP="009E5A87">
            <w:r>
              <w:t>Multidose vial</w:t>
            </w:r>
            <w:r w:rsidR="00C6359C">
              <w:t>s</w:t>
            </w:r>
          </w:p>
        </w:tc>
      </w:tr>
      <w:tr w:rsidR="009F2673" w:rsidRPr="003D1E62" w14:paraId="64EA0E88" w14:textId="77777777" w:rsidTr="00FF6731">
        <w:tc>
          <w:tcPr>
            <w:tcW w:w="1577" w:type="pct"/>
          </w:tcPr>
          <w:p w14:paraId="0594BC5E" w14:textId="2E61038F" w:rsidR="009F2673" w:rsidRPr="00487162" w:rsidRDefault="009F2673" w:rsidP="009E5A87">
            <w:pPr>
              <w:rPr>
                <w:i/>
              </w:rPr>
            </w:pPr>
            <w:r w:rsidRPr="00487162">
              <w:rPr>
                <w:i/>
              </w:rPr>
              <w:t>Pack size:</w:t>
            </w:r>
          </w:p>
        </w:tc>
        <w:tc>
          <w:tcPr>
            <w:tcW w:w="3423" w:type="pct"/>
          </w:tcPr>
          <w:p w14:paraId="1632110D" w14:textId="619E70CE" w:rsidR="00E95161" w:rsidRDefault="00E95161" w:rsidP="00E95161">
            <w:r>
              <w:t>10 x 5 mL multidose vials (0.1 mg/mL)</w:t>
            </w:r>
          </w:p>
          <w:p w14:paraId="360B2729" w14:textId="19C4D347" w:rsidR="009F2673" w:rsidRDefault="00E95161" w:rsidP="00E95161">
            <w:r>
              <w:t>10 x 2.5 mL multidose vials (0.1 mg/mL)</w:t>
            </w:r>
          </w:p>
        </w:tc>
      </w:tr>
      <w:tr w:rsidR="009F2673" w:rsidRPr="003D1E62" w14:paraId="481932AC" w14:textId="77777777" w:rsidTr="00FF6731">
        <w:tc>
          <w:tcPr>
            <w:tcW w:w="1577" w:type="pct"/>
          </w:tcPr>
          <w:p w14:paraId="023C71EB"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0872A7C0" w14:textId="5D60854D" w:rsidR="00435A1C" w:rsidRPr="00435A1C" w:rsidRDefault="00435A1C" w:rsidP="00435A1C">
            <w:pPr>
              <w:rPr>
                <w:i/>
                <w:iCs/>
              </w:rPr>
            </w:pPr>
            <w:proofErr w:type="spellStart"/>
            <w:r w:rsidRPr="00435A1C">
              <w:rPr>
                <w:i/>
                <w:iCs/>
              </w:rPr>
              <w:t>Spikevax</w:t>
            </w:r>
            <w:proofErr w:type="spellEnd"/>
            <w:r w:rsidRPr="00435A1C">
              <w:rPr>
                <w:i/>
                <w:iCs/>
              </w:rPr>
              <w:t xml:space="preserve"> Bivalent Original/Omicron (</w:t>
            </w:r>
            <w:proofErr w:type="spellStart"/>
            <w:r w:rsidRPr="00435A1C">
              <w:rPr>
                <w:i/>
                <w:iCs/>
              </w:rPr>
              <w:t>elasomeran</w:t>
            </w:r>
            <w:proofErr w:type="spellEnd"/>
            <w:r w:rsidRPr="00435A1C">
              <w:rPr>
                <w:i/>
                <w:iCs/>
              </w:rPr>
              <w:t>/</w:t>
            </w:r>
            <w:proofErr w:type="spellStart"/>
            <w:r w:rsidRPr="00435A1C">
              <w:rPr>
                <w:i/>
                <w:iCs/>
              </w:rPr>
              <w:t>imelasomeran</w:t>
            </w:r>
            <w:proofErr w:type="spellEnd"/>
            <w:r w:rsidRPr="00435A1C">
              <w:rPr>
                <w:i/>
                <w:iCs/>
              </w:rPr>
              <w:t>) COVID-19 Vaccine has provisional approval for the indication below:</w:t>
            </w:r>
          </w:p>
          <w:p w14:paraId="319A35D6" w14:textId="77777777" w:rsidR="00435A1C" w:rsidRPr="00435A1C" w:rsidRDefault="00435A1C" w:rsidP="00435A1C">
            <w:pPr>
              <w:rPr>
                <w:i/>
                <w:iCs/>
              </w:rPr>
            </w:pPr>
            <w:r w:rsidRPr="00435A1C">
              <w:rPr>
                <w:i/>
                <w:iCs/>
              </w:rPr>
              <w:t>As a booster dose for active immunisation to prevent coronavirus disease 2019 (COVID-19) caused by SARS-CoV-2 in individuals 18 years of age and older.</w:t>
            </w:r>
          </w:p>
          <w:p w14:paraId="0410185B" w14:textId="77777777" w:rsidR="00435A1C" w:rsidRPr="00435A1C" w:rsidRDefault="00435A1C" w:rsidP="00435A1C">
            <w:pPr>
              <w:rPr>
                <w:i/>
                <w:iCs/>
              </w:rPr>
            </w:pPr>
            <w:r w:rsidRPr="00435A1C">
              <w:rPr>
                <w:i/>
                <w:iCs/>
              </w:rPr>
              <w:t>The use of this vaccine should be in accordance with official recommendations.</w:t>
            </w:r>
          </w:p>
          <w:p w14:paraId="63EAF72C" w14:textId="788304B7" w:rsidR="009F2673" w:rsidRPr="00487162" w:rsidRDefault="00435A1C" w:rsidP="00435A1C">
            <w:r w:rsidRPr="00435A1C">
              <w:rPr>
                <w:i/>
                <w:iCs/>
              </w:rPr>
              <w:t xml:space="preserve">The decision has been made </w:t>
            </w:r>
            <w:proofErr w:type="gramStart"/>
            <w:r w:rsidRPr="00435A1C">
              <w:rPr>
                <w:i/>
                <w:iCs/>
              </w:rPr>
              <w:t>on the basis of</w:t>
            </w:r>
            <w:proofErr w:type="gramEnd"/>
            <w:r w:rsidRPr="00435A1C">
              <w:rPr>
                <w:i/>
                <w:iCs/>
              </w:rPr>
              <w:t xml:space="preserve"> immunogenicity and short-term safety data. Continued approval depends on the evidence of </w:t>
            </w:r>
            <w:proofErr w:type="gramStart"/>
            <w:r w:rsidRPr="00435A1C">
              <w:rPr>
                <w:i/>
                <w:iCs/>
              </w:rPr>
              <w:t>longer term</w:t>
            </w:r>
            <w:proofErr w:type="gramEnd"/>
            <w:r w:rsidRPr="00435A1C">
              <w:rPr>
                <w:i/>
                <w:iCs/>
              </w:rPr>
              <w:t xml:space="preserve"> benefits and safety from ongoing clinical trials and post-market assessment.</w:t>
            </w:r>
          </w:p>
        </w:tc>
      </w:tr>
      <w:tr w:rsidR="009F2673" w:rsidRPr="003D1E62" w14:paraId="7F4A5FF8" w14:textId="77777777" w:rsidTr="00FF6731">
        <w:tc>
          <w:tcPr>
            <w:tcW w:w="1577" w:type="pct"/>
          </w:tcPr>
          <w:p w14:paraId="09B9B93E" w14:textId="2EA89C14" w:rsidR="009F2673" w:rsidRPr="00487162" w:rsidRDefault="009F2673" w:rsidP="009E5A87">
            <w:pPr>
              <w:rPr>
                <w:i/>
              </w:rPr>
            </w:pPr>
            <w:r w:rsidRPr="00487162">
              <w:rPr>
                <w:i/>
              </w:rPr>
              <w:t>Route of administration:</w:t>
            </w:r>
          </w:p>
        </w:tc>
        <w:tc>
          <w:tcPr>
            <w:tcW w:w="3423" w:type="pct"/>
          </w:tcPr>
          <w:p w14:paraId="35044150" w14:textId="6FC7019A" w:rsidR="009F2673" w:rsidRPr="00487162" w:rsidRDefault="00E95161" w:rsidP="009E5A87">
            <w:r>
              <w:t>Intramuscularly</w:t>
            </w:r>
          </w:p>
        </w:tc>
      </w:tr>
      <w:tr w:rsidR="009F2673" w:rsidRPr="003D1E62" w14:paraId="35FF1723" w14:textId="77777777" w:rsidTr="00FF6731">
        <w:tc>
          <w:tcPr>
            <w:tcW w:w="1577" w:type="pct"/>
          </w:tcPr>
          <w:p w14:paraId="635098FD" w14:textId="77777777" w:rsidR="009F2673" w:rsidRPr="00487162" w:rsidRDefault="009F2673" w:rsidP="009E5A87">
            <w:pPr>
              <w:rPr>
                <w:i/>
              </w:rPr>
            </w:pPr>
            <w:r w:rsidRPr="00487162">
              <w:rPr>
                <w:i/>
              </w:rPr>
              <w:lastRenderedPageBreak/>
              <w:t>Dosage:</w:t>
            </w:r>
          </w:p>
        </w:tc>
        <w:tc>
          <w:tcPr>
            <w:tcW w:w="3423" w:type="pct"/>
          </w:tcPr>
          <w:p w14:paraId="2C68BC46" w14:textId="77777777" w:rsidR="004B6DA6" w:rsidRDefault="004B6DA6" w:rsidP="004B6DA6">
            <w:pPr>
              <w:rPr>
                <w:i/>
                <w:iCs/>
              </w:rPr>
            </w:pPr>
            <w:r>
              <w:rPr>
                <w:i/>
                <w:iCs/>
              </w:rPr>
              <w:t>Individuals 18 years of age and</w:t>
            </w:r>
            <w:r w:rsidRPr="009326F0">
              <w:rPr>
                <w:i/>
                <w:iCs/>
              </w:rPr>
              <w:t xml:space="preserve"> older</w:t>
            </w:r>
          </w:p>
          <w:p w14:paraId="70146A28" w14:textId="444D41FD" w:rsidR="004B6DA6" w:rsidRDefault="004B6DA6" w:rsidP="004B6DA6">
            <w:r>
              <w:t xml:space="preserve">Spikevax </w:t>
            </w:r>
            <w:r w:rsidR="006E0AF7">
              <w:t>B</w:t>
            </w:r>
            <w:r>
              <w:t xml:space="preserve">ivalent </w:t>
            </w:r>
            <w:r w:rsidR="006E0AF7">
              <w:t>O</w:t>
            </w:r>
            <w:r>
              <w:t>riginal/</w:t>
            </w:r>
            <w:r w:rsidR="00992875">
              <w:t>O</w:t>
            </w:r>
            <w:r>
              <w:t>micron</w:t>
            </w:r>
            <w:r w:rsidR="00A67C77">
              <w:t xml:space="preserve"> </w:t>
            </w:r>
            <w:r>
              <w:t>may be given at least 3</w:t>
            </w:r>
            <w:r w:rsidR="00C6359C">
              <w:t> </w:t>
            </w:r>
            <w:r>
              <w:t>months following a primary series and/or previous booster dose with Spikevax (original) or another authorised/approved COVID-19 vaccine</w:t>
            </w:r>
            <w:r w:rsidR="006E0AF7" w:rsidRPr="006E0AF7">
              <w:t>, in accordance with official recommendations</w:t>
            </w:r>
            <w:r>
              <w:t>.</w:t>
            </w:r>
          </w:p>
          <w:p w14:paraId="74E5AE1A" w14:textId="5C1499D9" w:rsidR="004B6DA6" w:rsidRDefault="004B6DA6" w:rsidP="004B6DA6">
            <w:r>
              <w:t xml:space="preserve">Each 0.5 mL dose of Spikevax </w:t>
            </w:r>
            <w:r w:rsidR="00A67C77">
              <w:t>B</w:t>
            </w:r>
            <w:r>
              <w:t xml:space="preserve">ivalent </w:t>
            </w:r>
            <w:r w:rsidR="00A67C77">
              <w:t>O</w:t>
            </w:r>
            <w:r>
              <w:t>riginal/</w:t>
            </w:r>
            <w:r w:rsidR="00992875">
              <w:t>O</w:t>
            </w:r>
            <w:r>
              <w:t xml:space="preserve">micron 0.1 mg/mL </w:t>
            </w:r>
            <w:r w:rsidRPr="004B6DA6">
              <w:t xml:space="preserve">contains 25 </w:t>
            </w:r>
            <w:r>
              <w:t>µg</w:t>
            </w:r>
            <w:r w:rsidRPr="004B6DA6">
              <w:t xml:space="preserve"> of elasomeran and 25 </w:t>
            </w:r>
            <w:r>
              <w:t>µg</w:t>
            </w:r>
            <w:r w:rsidRPr="004B6DA6">
              <w:t xml:space="preserve"> of </w:t>
            </w:r>
            <w:proofErr w:type="spellStart"/>
            <w:r w:rsidRPr="004B6DA6">
              <w:t>imelasomeran</w:t>
            </w:r>
            <w:proofErr w:type="spellEnd"/>
            <w:r>
              <w:t xml:space="preserve"> </w:t>
            </w:r>
            <w:r w:rsidRPr="004B6DA6">
              <w:t>embedded in lipid nanoparticles.</w:t>
            </w:r>
          </w:p>
          <w:p w14:paraId="6B47A12C" w14:textId="0DD8EB8A" w:rsidR="009F2673" w:rsidRPr="00487162" w:rsidRDefault="009F2673" w:rsidP="00E95161">
            <w:r w:rsidRPr="00460036">
              <w:t>For further information regarding dosage, refer to the Product Information.</w:t>
            </w:r>
          </w:p>
        </w:tc>
      </w:tr>
      <w:tr w:rsidR="009F2673" w:rsidRPr="003D1E62" w14:paraId="655F5AB3" w14:textId="77777777" w:rsidTr="00FF6731">
        <w:tc>
          <w:tcPr>
            <w:tcW w:w="1577" w:type="pct"/>
          </w:tcPr>
          <w:p w14:paraId="162760D3" w14:textId="77777777" w:rsidR="009F2673" w:rsidRPr="00487162" w:rsidRDefault="009F2673" w:rsidP="009E5A87">
            <w:pPr>
              <w:rPr>
                <w:i/>
              </w:rPr>
            </w:pPr>
            <w:r w:rsidRPr="00460036">
              <w:rPr>
                <w:i/>
              </w:rPr>
              <w:t>Pregnancy category</w:t>
            </w:r>
            <w:r>
              <w:rPr>
                <w:i/>
              </w:rPr>
              <w:t>:</w:t>
            </w:r>
          </w:p>
        </w:tc>
        <w:tc>
          <w:tcPr>
            <w:tcW w:w="3423" w:type="pct"/>
          </w:tcPr>
          <w:p w14:paraId="4D55FDE7" w14:textId="77777777" w:rsidR="004B6DA6" w:rsidRPr="00CC7D8B" w:rsidRDefault="004B6DA6" w:rsidP="004B6DA6">
            <w:r w:rsidRPr="00CC7D8B">
              <w:t>B1</w:t>
            </w:r>
          </w:p>
          <w:p w14:paraId="76FA7728" w14:textId="77777777" w:rsidR="004B6DA6" w:rsidRPr="00CC7D8B" w:rsidRDefault="004B6DA6" w:rsidP="004B6DA6">
            <w:r w:rsidRPr="00CC7D8B">
              <w:t xml:space="preserve">Drugs which have been taken by only a limited number of pregnant women and women of childbearing age, without an increase in the frequency of malformation or other direct or indirect harmful effects on the human </w:t>
            </w:r>
            <w:proofErr w:type="spellStart"/>
            <w:r w:rsidRPr="00CC7D8B">
              <w:t>fetus</w:t>
            </w:r>
            <w:proofErr w:type="spellEnd"/>
            <w:r w:rsidRPr="00CC7D8B">
              <w:t xml:space="preserve"> having been observed.</w:t>
            </w:r>
          </w:p>
          <w:p w14:paraId="01BA3D7C" w14:textId="77777777" w:rsidR="004B6DA6" w:rsidRPr="00CC7D8B" w:rsidRDefault="004B6DA6" w:rsidP="004B6DA6">
            <w:r w:rsidRPr="00CC7D8B">
              <w:t>Studies in animals have not shown evidence of an increased occurrence of fetal damage.</w:t>
            </w:r>
          </w:p>
          <w:p w14:paraId="2BAB4ABF" w14:textId="558D2A2B" w:rsidR="009F2673" w:rsidRPr="00487162" w:rsidRDefault="009F2673" w:rsidP="009E5A87">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62772A6" w14:textId="77777777" w:rsidR="008E7846" w:rsidRDefault="008E7846" w:rsidP="008E7846">
      <w:pPr>
        <w:pStyle w:val="Heading3"/>
      </w:pPr>
      <w:bookmarkStart w:id="9" w:name="_Toc247691503"/>
      <w:bookmarkStart w:id="10" w:name="_Toc314842484"/>
      <w:bookmarkStart w:id="11" w:name="_Toc112833620"/>
      <w:r>
        <w:t>Product background</w:t>
      </w:r>
      <w:bookmarkEnd w:id="9"/>
      <w:bookmarkEnd w:id="10"/>
      <w:bookmarkEnd w:id="11"/>
    </w:p>
    <w:p w14:paraId="02661A2F" w14:textId="70503E55" w:rsidR="009F2673" w:rsidRPr="000A4A42" w:rsidRDefault="009F2673" w:rsidP="009F2673">
      <w:r w:rsidRPr="000A4A42">
        <w:t xml:space="preserve">This AusPAR describes the </w:t>
      </w:r>
      <w:r w:rsidR="001E359E">
        <w:t>submission</w:t>
      </w:r>
      <w:r w:rsidRPr="000A4A42">
        <w:t xml:space="preserve"> by </w:t>
      </w:r>
      <w:r w:rsidR="004B6DA6" w:rsidRPr="00CC7D8B">
        <w:t>Moderna Australia Pty Ltd (the sponsor) to register</w:t>
      </w:r>
      <w:r w:rsidRPr="000A4A42">
        <w:t xml:space="preserve"> </w:t>
      </w:r>
      <w:r w:rsidR="004B6DA6" w:rsidRPr="00E95161">
        <w:t xml:space="preserve">Spikevax </w:t>
      </w:r>
      <w:r w:rsidR="00915687">
        <w:t>B</w:t>
      </w:r>
      <w:r w:rsidR="004B6DA6" w:rsidRPr="00E95161">
        <w:t xml:space="preserve">ivalent </w:t>
      </w:r>
      <w:r w:rsidR="00915687">
        <w:t>O</w:t>
      </w:r>
      <w:r w:rsidR="004B6DA6" w:rsidRPr="00E95161">
        <w:t>riginal</w:t>
      </w:r>
      <w:r w:rsidR="004B6DA6">
        <w:t>/</w:t>
      </w:r>
      <w:r w:rsidR="00992875">
        <w:t>O</w:t>
      </w:r>
      <w:r w:rsidR="004B6DA6" w:rsidRPr="00E95161">
        <w:t>micron</w:t>
      </w:r>
      <w:r w:rsidR="00A67C77">
        <w:t xml:space="preserve"> </w:t>
      </w:r>
      <w:r w:rsidR="004B6DA6">
        <w:t>(</w:t>
      </w:r>
      <w:proofErr w:type="spellStart"/>
      <w:r w:rsidR="004B6DA6" w:rsidRPr="00E95161">
        <w:t>elasomeran</w:t>
      </w:r>
      <w:proofErr w:type="spellEnd"/>
      <w:r w:rsidR="004B6DA6" w:rsidRPr="00E95161">
        <w:t xml:space="preserve"> and </w:t>
      </w:r>
      <w:proofErr w:type="spellStart"/>
      <w:r w:rsidR="004B6DA6" w:rsidRPr="00E95161">
        <w:t>imelasomeran</w:t>
      </w:r>
      <w:proofErr w:type="spellEnd"/>
      <w:r w:rsidRPr="000A4A42">
        <w:t>)</w:t>
      </w:r>
      <w:r w:rsidR="004B6DA6">
        <w:t xml:space="preserve"> </w:t>
      </w:r>
      <w:r w:rsidR="004B6DA6" w:rsidRPr="00E95161">
        <w:t>0.1 mg/mL</w:t>
      </w:r>
      <w:r w:rsidRPr="000A4A42">
        <w:t xml:space="preserve">, </w:t>
      </w:r>
      <w:r w:rsidR="004B6DA6">
        <w:t>s</w:t>
      </w:r>
      <w:r w:rsidR="004B6DA6" w:rsidRPr="004B6DA6">
        <w:t>uspension for injection</w:t>
      </w:r>
      <w:r w:rsidRPr="000A4A42">
        <w:t xml:space="preserve"> for the following proposed indication:</w:t>
      </w:r>
    </w:p>
    <w:p w14:paraId="409D521B" w14:textId="3EE891B5" w:rsidR="004B6DA6" w:rsidRDefault="00B31097" w:rsidP="004B6DA6">
      <w:pPr>
        <w:ind w:left="720"/>
        <w:rPr>
          <w:i/>
          <w:iCs/>
        </w:rPr>
      </w:pPr>
      <w:r w:rsidRPr="00B31097">
        <w:rPr>
          <w:i/>
          <w:iCs/>
        </w:rPr>
        <w:t xml:space="preserve">As a booster dose for </w:t>
      </w:r>
      <w:r>
        <w:rPr>
          <w:i/>
          <w:iCs/>
        </w:rPr>
        <w:t>a</w:t>
      </w:r>
      <w:r w:rsidR="004B6DA6" w:rsidRPr="004B6DA6">
        <w:rPr>
          <w:i/>
          <w:iCs/>
        </w:rPr>
        <w:t>ctive immunisation to prevent coronavirus disease 2019 (COVID-19) caused by SARS-CoV-2 in individuals 18 years of age and older.</w:t>
      </w:r>
    </w:p>
    <w:p w14:paraId="7B2AA77D" w14:textId="13E6ED67" w:rsidR="00C6359C" w:rsidRPr="00C6359C" w:rsidRDefault="00C6359C" w:rsidP="00D102F3">
      <w:r>
        <w:t xml:space="preserve">Each 0.5 mL dose of </w:t>
      </w:r>
      <w:r w:rsidR="002678F2">
        <w:t>the proposed vaccine (</w:t>
      </w:r>
      <w:r>
        <w:t>Spikeva</w:t>
      </w:r>
      <w:r w:rsidR="002678F2">
        <w:t>x Bivalent Original/Omicron)</w:t>
      </w:r>
      <w:r>
        <w:t xml:space="preserve"> </w:t>
      </w:r>
      <w:r w:rsidRPr="004B6DA6">
        <w:t xml:space="preserve">contains 25 </w:t>
      </w:r>
      <w:r>
        <w:t>µg</w:t>
      </w:r>
      <w:r w:rsidRPr="004B6DA6">
        <w:t xml:space="preserve"> of elasomeran and 25 </w:t>
      </w:r>
      <w:r>
        <w:t>µg</w:t>
      </w:r>
      <w:r w:rsidRPr="004B6DA6">
        <w:t xml:space="preserve"> of </w:t>
      </w:r>
      <w:proofErr w:type="spellStart"/>
      <w:r w:rsidRPr="004B6DA6">
        <w:t>imelasomeran</w:t>
      </w:r>
      <w:proofErr w:type="spellEnd"/>
      <w:r>
        <w:t xml:space="preserve"> </w:t>
      </w:r>
      <w:r w:rsidR="002678F2">
        <w:t xml:space="preserve">(the active ingredients in this bivalent vaccine) </w:t>
      </w:r>
      <w:r w:rsidRPr="004B6DA6">
        <w:t>embedded in lipid nanoparticles.</w:t>
      </w:r>
    </w:p>
    <w:p w14:paraId="5E3AE04B" w14:textId="0EDA5E68" w:rsidR="00F32110" w:rsidRDefault="00F32110" w:rsidP="007257BC">
      <w:bookmarkStart w:id="12" w:name="_Toc314842485"/>
      <w:bookmarkStart w:id="13" w:name="_Toc247691504"/>
      <w:r w:rsidRPr="00F86A72">
        <w:t xml:space="preserve">The </w:t>
      </w:r>
      <w:r w:rsidR="00893260">
        <w:t>s</w:t>
      </w:r>
      <w:r w:rsidR="00893260" w:rsidRPr="00CC7D8B">
        <w:t xml:space="preserve">evere acute respiratory syndrome coronavirus-2 (SARS-CoV-2) </w:t>
      </w:r>
      <w:r w:rsidRPr="00F86A72">
        <w:t xml:space="preserve">virus is an enveloped, positive-sense, single-stranded </w:t>
      </w:r>
      <w:r w:rsidR="00893260">
        <w:t>ribonucleic acid</w:t>
      </w:r>
      <w:r w:rsidR="00893260" w:rsidRPr="00F86A72">
        <w:t xml:space="preserve"> </w:t>
      </w:r>
      <w:r w:rsidR="00893260">
        <w:t>(</w:t>
      </w:r>
      <w:r w:rsidRPr="00F86A72">
        <w:t>RNA</w:t>
      </w:r>
      <w:r w:rsidR="00893260">
        <w:t>)</w:t>
      </w:r>
      <w:r w:rsidRPr="00F86A72">
        <w:t xml:space="preserve"> </w:t>
      </w:r>
      <w:proofErr w:type="spellStart"/>
      <w:r w:rsidRPr="00F86A72">
        <w:t>betacoronavirus</w:t>
      </w:r>
      <w:proofErr w:type="spellEnd"/>
      <w:r w:rsidR="006E6BF2">
        <w:t xml:space="preserve"> responsible for COVID-19 (coronavirus disease 2019)</w:t>
      </w:r>
      <w:r w:rsidRPr="00F86A72">
        <w:t xml:space="preserve">. Since its emergence, the SARS-CoV-2 virus has </w:t>
      </w:r>
      <w:r w:rsidRPr="00F86A72">
        <w:lastRenderedPageBreak/>
        <w:t xml:space="preserve">spread rapidly around the globe. It was officially declared a pandemic by </w:t>
      </w:r>
      <w:r w:rsidR="00893260">
        <w:t>World Health Organization (WHO)</w:t>
      </w:r>
      <w:r w:rsidRPr="00F86A72">
        <w:t xml:space="preserve"> on 11 March 2020.</w:t>
      </w:r>
      <w:r w:rsidR="00893260">
        <w:rPr>
          <w:rStyle w:val="FootnoteReference"/>
        </w:rPr>
        <w:footnoteReference w:id="1"/>
      </w:r>
      <w:r w:rsidR="00893260" w:rsidRPr="00893260">
        <w:rPr>
          <w:vertAlign w:val="superscript"/>
        </w:rPr>
        <w:t>,</w:t>
      </w:r>
      <w:r w:rsidR="00893260">
        <w:rPr>
          <w:rStyle w:val="FootnoteReference"/>
        </w:rPr>
        <w:footnoteReference w:id="2"/>
      </w:r>
    </w:p>
    <w:p w14:paraId="13BB809B" w14:textId="2AE4DCED" w:rsidR="00F32110" w:rsidRDefault="00F32110" w:rsidP="007257BC">
      <w:r w:rsidRPr="00B20B14">
        <w:t>In November of 2021, the Omicron variant (B.1.1.529; BA.1) emerged as the most antigenically</w:t>
      </w:r>
      <w:r>
        <w:t xml:space="preserve"> </w:t>
      </w:r>
      <w:r w:rsidRPr="00B20B14">
        <w:t xml:space="preserve">divergent variant to date with </w:t>
      </w:r>
      <w:r w:rsidR="002678F2">
        <w:t>more than</w:t>
      </w:r>
      <w:r w:rsidRPr="00B20B14">
        <w:t xml:space="preserve"> 30 mutations in the spike protein</w:t>
      </w:r>
      <w:r w:rsidR="008D0D82">
        <w:t xml:space="preserve"> compared to the original or ‘wild-type’ strain</w:t>
      </w:r>
      <w:r w:rsidR="004836D2">
        <w:t xml:space="preserve"> of SARS-CoV-2</w:t>
      </w:r>
      <w:r w:rsidRPr="00B20B14">
        <w:t>.</w:t>
      </w:r>
      <w:r w:rsidR="00893260">
        <w:rPr>
          <w:rStyle w:val="FootnoteReference"/>
        </w:rPr>
        <w:footnoteReference w:id="3"/>
      </w:r>
      <w:r w:rsidRPr="00B20B14">
        <w:t xml:space="preserve"> </w:t>
      </w:r>
      <w:r w:rsidR="006E6BF2">
        <w:t xml:space="preserve">The </w:t>
      </w:r>
      <w:r w:rsidRPr="00B20B14">
        <w:t>Omicron</w:t>
      </w:r>
      <w:r>
        <w:t xml:space="preserve"> </w:t>
      </w:r>
      <w:r w:rsidR="006E6BF2">
        <w:t xml:space="preserve">variant </w:t>
      </w:r>
      <w:r w:rsidRPr="00B20B14">
        <w:t>shares antibody escape site mutations with the Beta variant and it also exhibits transmissibility</w:t>
      </w:r>
      <w:r>
        <w:t xml:space="preserve"> </w:t>
      </w:r>
      <w:r w:rsidRPr="00B20B14">
        <w:t>advantages.</w:t>
      </w:r>
      <w:r w:rsidR="00893260">
        <w:rPr>
          <w:rStyle w:val="FootnoteReference"/>
        </w:rPr>
        <w:footnoteReference w:id="4"/>
      </w:r>
      <w:r w:rsidR="00893260" w:rsidRPr="00CD4F2F">
        <w:rPr>
          <w:vertAlign w:val="superscript"/>
        </w:rPr>
        <w:t>,</w:t>
      </w:r>
      <w:r w:rsidR="00893260">
        <w:rPr>
          <w:rStyle w:val="FootnoteReference"/>
        </w:rPr>
        <w:footnoteReference w:id="5"/>
      </w:r>
      <w:r w:rsidR="00893260" w:rsidRPr="00CD4F2F">
        <w:rPr>
          <w:vertAlign w:val="superscript"/>
        </w:rPr>
        <w:t>,</w:t>
      </w:r>
      <w:r w:rsidR="00893260">
        <w:rPr>
          <w:rStyle w:val="FootnoteReference"/>
        </w:rPr>
        <w:footnoteReference w:id="6"/>
      </w:r>
      <w:r w:rsidRPr="00B20B14">
        <w:t xml:space="preserve"> Soon after its</w:t>
      </w:r>
      <w:r>
        <w:t xml:space="preserve"> </w:t>
      </w:r>
      <w:r w:rsidRPr="00B20B14">
        <w:t>emergence</w:t>
      </w:r>
      <w:r w:rsidR="006E6BF2">
        <w:t xml:space="preserve"> the</w:t>
      </w:r>
      <w:r w:rsidRPr="00B20B14">
        <w:t xml:space="preserve"> Omicron </w:t>
      </w:r>
      <w:r w:rsidR="006E6BF2">
        <w:t xml:space="preserve">variant </w:t>
      </w:r>
      <w:r w:rsidRPr="00B20B14">
        <w:t>rapidly became dominant worldwide.</w:t>
      </w:r>
      <w:r w:rsidR="00F81244">
        <w:rPr>
          <w:rStyle w:val="FootnoteReference"/>
        </w:rPr>
        <w:footnoteReference w:id="7"/>
      </w:r>
      <w:r w:rsidR="00F81244" w:rsidRPr="00CD4F2F">
        <w:rPr>
          <w:vertAlign w:val="superscript"/>
        </w:rPr>
        <w:t>,</w:t>
      </w:r>
      <w:r w:rsidR="00F81244">
        <w:rPr>
          <w:rStyle w:val="FootnoteReference"/>
        </w:rPr>
        <w:footnoteReference w:id="8"/>
      </w:r>
      <w:r w:rsidRPr="00B20B14">
        <w:t xml:space="preserve"> The emergence of the Omicron variant resulted in the highest ever COVID-19</w:t>
      </w:r>
      <w:r>
        <w:t xml:space="preserve"> </w:t>
      </w:r>
      <w:r w:rsidRPr="00B20B14">
        <w:t>incidence rates globally, even in countries with high vaccination coverage.</w:t>
      </w:r>
      <w:r w:rsidR="006E6BF2">
        <w:t xml:space="preserve"> </w:t>
      </w:r>
      <w:r w:rsidRPr="00B20B14">
        <w:t>With the emergence of the</w:t>
      </w:r>
      <w:r>
        <w:t xml:space="preserve"> </w:t>
      </w:r>
      <w:r w:rsidRPr="00B20B14">
        <w:t>Omicron variant, seven-day moving averages for cases eclipsed that of previous waves with</w:t>
      </w:r>
      <w:r>
        <w:t xml:space="preserve"> </w:t>
      </w:r>
      <w:r w:rsidRPr="00B20B14">
        <w:t xml:space="preserve">peaks observed </w:t>
      </w:r>
      <w:proofErr w:type="gramStart"/>
      <w:r w:rsidRPr="00B20B14">
        <w:t>in excess of</w:t>
      </w:r>
      <w:proofErr w:type="gramEnd"/>
      <w:r w:rsidRPr="00B20B14">
        <w:t xml:space="preserve"> 807,000 with peaks in seven-day hospitali</w:t>
      </w:r>
      <w:r w:rsidR="00CD4F2F">
        <w:t>s</w:t>
      </w:r>
      <w:r w:rsidRPr="00B20B14">
        <w:t>ation observed in excess</w:t>
      </w:r>
      <w:r>
        <w:t xml:space="preserve"> </w:t>
      </w:r>
      <w:r w:rsidRPr="00B20B14">
        <w:t>of 159,000. Deaths during the Omicron wave exceeded those observed during Delta with</w:t>
      </w:r>
      <w:r>
        <w:t xml:space="preserve"> </w:t>
      </w:r>
      <w:r w:rsidRPr="00B20B14">
        <w:t>seven-day moving averages peaking above 2,500.</w:t>
      </w:r>
      <w:r w:rsidR="001E6685">
        <w:rPr>
          <w:rStyle w:val="FootnoteReference"/>
        </w:rPr>
        <w:footnoteReference w:id="9"/>
      </w:r>
    </w:p>
    <w:p w14:paraId="1B41683E" w14:textId="0702EEF0" w:rsidR="00F32110" w:rsidRDefault="00F32110" w:rsidP="007257BC">
      <w:r w:rsidRPr="00B20B14">
        <w:t>The Omicron variant has become the epidemiologically dominant variant in multiple countries in</w:t>
      </w:r>
      <w:r>
        <w:t xml:space="preserve"> </w:t>
      </w:r>
      <w:r w:rsidRPr="00B20B14">
        <w:t>2022 and Omicron subvariants with additional spike protein mutations (BA.2, BA.2.12.1, BA.4</w:t>
      </w:r>
      <w:r w:rsidR="0082715A">
        <w:t>, and</w:t>
      </w:r>
      <w:r>
        <w:t xml:space="preserve"> </w:t>
      </w:r>
      <w:r w:rsidRPr="00B20B14">
        <w:t>BA.5) have been associated with ongoing waves of infection, following the initial wave of</w:t>
      </w:r>
      <w:r>
        <w:t xml:space="preserve"> </w:t>
      </w:r>
      <w:r w:rsidRPr="00B20B14">
        <w:t xml:space="preserve">Omicron (BA.1). According to the NOWCAST report from the </w:t>
      </w:r>
      <w:proofErr w:type="spellStart"/>
      <w:r w:rsidRPr="00B20B14">
        <w:t>Center</w:t>
      </w:r>
      <w:r w:rsidR="00A20C8D">
        <w:t>s</w:t>
      </w:r>
      <w:proofErr w:type="spellEnd"/>
      <w:r w:rsidRPr="00B20B14">
        <w:t xml:space="preserve"> f</w:t>
      </w:r>
      <w:r w:rsidR="00A20C8D">
        <w:t>or</w:t>
      </w:r>
      <w:r w:rsidRPr="00B20B14">
        <w:t xml:space="preserve"> Disease</w:t>
      </w:r>
      <w:r>
        <w:t xml:space="preserve"> </w:t>
      </w:r>
      <w:r w:rsidRPr="00B20B14">
        <w:t>Control and Prevention</w:t>
      </w:r>
      <w:r w:rsidR="00992875">
        <w:t xml:space="preserve"> (CDC)</w:t>
      </w:r>
      <w:r w:rsidRPr="00B20B14">
        <w:t xml:space="preserve"> </w:t>
      </w:r>
      <w:r w:rsidR="00A20C8D">
        <w:t>(</w:t>
      </w:r>
      <w:r w:rsidR="00C46EB8">
        <w:t xml:space="preserve">part of the </w:t>
      </w:r>
      <w:r w:rsidRPr="00B20B14">
        <w:t>U</w:t>
      </w:r>
      <w:r w:rsidR="00CD4F2F">
        <w:t xml:space="preserve">nited </w:t>
      </w:r>
      <w:r w:rsidRPr="00B20B14">
        <w:t>S</w:t>
      </w:r>
      <w:r w:rsidR="00CD4F2F">
        <w:t>tates</w:t>
      </w:r>
      <w:r w:rsidR="00A20C8D">
        <w:t xml:space="preserve"> </w:t>
      </w:r>
      <w:r w:rsidR="00C46EB8">
        <w:t>(US) Food and Drug Administration)</w:t>
      </w:r>
      <w:r w:rsidR="00A20C8D">
        <w:t>)</w:t>
      </w:r>
      <w:r w:rsidRPr="00B20B14">
        <w:t xml:space="preserve"> </w:t>
      </w:r>
      <w:r w:rsidR="00CD4F2F">
        <w:t xml:space="preserve">reporting period from </w:t>
      </w:r>
      <w:r w:rsidRPr="00B20B14">
        <w:t>29 May 2022</w:t>
      </w:r>
      <w:r w:rsidR="00CD4F2F">
        <w:t xml:space="preserve"> </w:t>
      </w:r>
      <w:r w:rsidR="00CD4F2F">
        <w:rPr>
          <w:rFonts w:hint="eastAsia"/>
        </w:rPr>
        <w:t>t</w:t>
      </w:r>
      <w:r w:rsidR="00CD4F2F">
        <w:t>o</w:t>
      </w:r>
      <w:r w:rsidRPr="00B20B14">
        <w:t xml:space="preserve"> 4 June 2022</w:t>
      </w:r>
      <w:r w:rsidR="00CD4F2F">
        <w:t>,</w:t>
      </w:r>
      <w:r w:rsidRPr="00B20B14">
        <w:t xml:space="preserve"> the </w:t>
      </w:r>
      <w:r w:rsidR="00CD4F2F">
        <w:t xml:space="preserve">Omicron </w:t>
      </w:r>
      <w:r w:rsidRPr="00B20B14">
        <w:t>BA.2, BA.2.12.1, BA.4, and</w:t>
      </w:r>
      <w:r>
        <w:t xml:space="preserve"> </w:t>
      </w:r>
      <w:r w:rsidRPr="00B20B14">
        <w:t>BA.5 subvariants comprised approximately 24.8%, 62.2%, 5.4%, and 7.6%, respectively, of the</w:t>
      </w:r>
      <w:r>
        <w:t xml:space="preserve"> </w:t>
      </w:r>
      <w:r w:rsidRPr="00B20B14">
        <w:t>SARS-CoV-2 sequences analy</w:t>
      </w:r>
      <w:r>
        <w:t>s</w:t>
      </w:r>
      <w:r w:rsidRPr="00B20B14">
        <w:t>ed.</w:t>
      </w:r>
      <w:r w:rsidR="00CD4F2F">
        <w:rPr>
          <w:rStyle w:val="FootnoteReference"/>
        </w:rPr>
        <w:footnoteReference w:id="10"/>
      </w:r>
    </w:p>
    <w:p w14:paraId="3748D343" w14:textId="706B5C57" w:rsidR="00F32110" w:rsidRDefault="00F32110" w:rsidP="007257BC">
      <w:r w:rsidRPr="007257BC">
        <w:t>In Australia, the</w:t>
      </w:r>
      <w:r w:rsidRPr="006F576C">
        <w:t xml:space="preserve"> Omicron variant was first identified in November 2021 and quickly spread throughout the country </w:t>
      </w:r>
      <w:r w:rsidR="004836D2">
        <w:t>by</w:t>
      </w:r>
      <w:r w:rsidR="004836D2" w:rsidRPr="006F576C">
        <w:t xml:space="preserve"> </w:t>
      </w:r>
      <w:r w:rsidRPr="006F576C">
        <w:t>the end of 2021. This led to the</w:t>
      </w:r>
      <w:r>
        <w:t xml:space="preserve"> </w:t>
      </w:r>
      <w:r w:rsidRPr="006F576C">
        <w:t>fourth wave and has continued into the first half of 2022</w:t>
      </w:r>
      <w:r>
        <w:t xml:space="preserve"> </w:t>
      </w:r>
      <w:r>
        <w:rPr>
          <w:rStyle w:val="FootnoteReference"/>
        </w:rPr>
        <w:footnoteReference w:id="11"/>
      </w:r>
      <w:r w:rsidRPr="006F576C">
        <w:t>.</w:t>
      </w:r>
      <w:r w:rsidRPr="006F576C">
        <w:rPr>
          <w:rFonts w:ascii="Times New Roman" w:eastAsiaTheme="minorHAnsi" w:hAnsi="Times New Roman"/>
          <w:color w:val="000000"/>
        </w:rPr>
        <w:t xml:space="preserve"> </w:t>
      </w:r>
      <w:r w:rsidRPr="006F576C">
        <w:t xml:space="preserve">In January 2022, the Communicable Diseases Genomics Network </w:t>
      </w:r>
      <w:r w:rsidR="00992875">
        <w:t>v</w:t>
      </w:r>
      <w:r w:rsidRPr="006F576C">
        <w:t xml:space="preserve">ariant of </w:t>
      </w:r>
      <w:r w:rsidR="00992875">
        <w:t>c</w:t>
      </w:r>
      <w:r w:rsidRPr="006F576C">
        <w:t>oncern (VOC)</w:t>
      </w:r>
      <w:r>
        <w:t xml:space="preserve"> </w:t>
      </w:r>
      <w:r w:rsidRPr="006F576C">
        <w:t>Taskforce demoted previously designated VOCs (Alpha (B.1.1.7); Beta (B.1.351) and Gamma (P.1)) to</w:t>
      </w:r>
      <w:r>
        <w:t xml:space="preserve"> </w:t>
      </w:r>
      <w:r w:rsidR="00992875">
        <w:t>v</w:t>
      </w:r>
      <w:r w:rsidRPr="006F576C">
        <w:t xml:space="preserve">ariant of </w:t>
      </w:r>
      <w:r w:rsidR="00992875">
        <w:t>i</w:t>
      </w:r>
      <w:r w:rsidRPr="006F576C">
        <w:t xml:space="preserve">nterest (VOI) due to sustained absence of cases in Australia. Similarly, </w:t>
      </w:r>
      <w:r w:rsidR="004836D2">
        <w:t xml:space="preserve">the </w:t>
      </w:r>
      <w:r w:rsidRPr="006F576C">
        <w:t xml:space="preserve">Delta </w:t>
      </w:r>
      <w:r w:rsidR="004836D2">
        <w:t>variant (</w:t>
      </w:r>
      <w:r w:rsidRPr="006F576C">
        <w:t>B.1.617.2</w:t>
      </w:r>
      <w:r w:rsidR="004836D2">
        <w:t>)</w:t>
      </w:r>
      <w:r w:rsidRPr="006F576C">
        <w:t xml:space="preserve"> was</w:t>
      </w:r>
      <w:r>
        <w:t xml:space="preserve"> </w:t>
      </w:r>
      <w:r w:rsidRPr="006F576C">
        <w:t>demoted from VOC to VOI, again due to sustained absence of cases in Australia. As of June</w:t>
      </w:r>
      <w:r w:rsidR="004836D2">
        <w:t> </w:t>
      </w:r>
      <w:r w:rsidRPr="006F576C">
        <w:t xml:space="preserve">2022, </w:t>
      </w:r>
      <w:r w:rsidR="00A20C8D">
        <w:t xml:space="preserve">the </w:t>
      </w:r>
      <w:r w:rsidRPr="006F576C">
        <w:t>VOC</w:t>
      </w:r>
      <w:r w:rsidR="00A20C8D">
        <w:t xml:space="preserve"> </w:t>
      </w:r>
      <w:r w:rsidRPr="006F576C">
        <w:t xml:space="preserve">reported in Australia is the B.1.1.529 (Omicron) lineage along with </w:t>
      </w:r>
      <w:r w:rsidR="00A20C8D">
        <w:t>its</w:t>
      </w:r>
      <w:r w:rsidR="00A20C8D" w:rsidRPr="006F576C">
        <w:t xml:space="preserve"> </w:t>
      </w:r>
      <w:r w:rsidRPr="006F576C">
        <w:t>BA. sub-lineages. There have been</w:t>
      </w:r>
      <w:r>
        <w:t xml:space="preserve"> </w:t>
      </w:r>
      <w:r w:rsidRPr="006F576C">
        <w:t xml:space="preserve">five major sub-lineages defined under </w:t>
      </w:r>
      <w:r w:rsidR="00350F51">
        <w:t xml:space="preserve">the </w:t>
      </w:r>
      <w:r w:rsidRPr="006F576C">
        <w:t>B.1.1.529</w:t>
      </w:r>
      <w:r w:rsidR="00350F51">
        <w:t xml:space="preserve"> (Omicron) variant</w:t>
      </w:r>
      <w:r w:rsidRPr="006F576C">
        <w:t xml:space="preserve">: BA.1, BA.2, BA.3, BA.4 and BA.5; and </w:t>
      </w:r>
      <w:proofErr w:type="gramStart"/>
      <w:r w:rsidRPr="006F576C">
        <w:t>a large number</w:t>
      </w:r>
      <w:r>
        <w:t xml:space="preserve"> </w:t>
      </w:r>
      <w:r w:rsidRPr="006F576C">
        <w:t>of</w:t>
      </w:r>
      <w:proofErr w:type="gramEnd"/>
      <w:r w:rsidRPr="006F576C">
        <w:t xml:space="preserve"> sub-lineages </w:t>
      </w:r>
      <w:r w:rsidRPr="006F576C">
        <w:lastRenderedPageBreak/>
        <w:t>under these are all designated Omicron</w:t>
      </w:r>
      <w:r w:rsidR="005262C7">
        <w:t>.</w:t>
      </w:r>
      <w:r>
        <w:rPr>
          <w:rStyle w:val="FootnoteReference"/>
        </w:rPr>
        <w:footnoteReference w:id="12"/>
      </w:r>
      <w:r w:rsidRPr="006F576C">
        <w:rPr>
          <w:rFonts w:ascii="Times New Roman" w:eastAsiaTheme="minorHAnsi" w:hAnsi="Times New Roman"/>
          <w:color w:val="000000"/>
        </w:rPr>
        <w:t xml:space="preserve"> </w:t>
      </w:r>
      <w:r w:rsidRPr="006F576C">
        <w:t xml:space="preserve">As of </w:t>
      </w:r>
      <w:r w:rsidR="00326656">
        <w:t>19</w:t>
      </w:r>
      <w:r w:rsidRPr="006F576C">
        <w:t xml:space="preserve"> </w:t>
      </w:r>
      <w:r w:rsidR="00326656">
        <w:t>August</w:t>
      </w:r>
      <w:r w:rsidRPr="006F576C">
        <w:t xml:space="preserve"> 2022, </w:t>
      </w:r>
      <w:r w:rsidR="00326656">
        <w:t xml:space="preserve">there </w:t>
      </w:r>
      <w:r w:rsidR="005262C7">
        <w:t xml:space="preserve">were </w:t>
      </w:r>
      <w:r w:rsidR="00326656">
        <w:t>approximately 9.87 million</w:t>
      </w:r>
      <w:r w:rsidRPr="006F576C">
        <w:t xml:space="preserve"> total</w:t>
      </w:r>
      <w:r>
        <w:t xml:space="preserve"> </w:t>
      </w:r>
      <w:r w:rsidRPr="006F576C">
        <w:t xml:space="preserve">confirmed cases </w:t>
      </w:r>
      <w:r w:rsidR="005262C7">
        <w:t xml:space="preserve">recorded </w:t>
      </w:r>
      <w:r w:rsidRPr="006F576C">
        <w:t xml:space="preserve">and </w:t>
      </w:r>
      <w:r w:rsidR="00326656">
        <w:t>13,000</w:t>
      </w:r>
      <w:r w:rsidRPr="006F576C">
        <w:t xml:space="preserve"> total deaths registered in Australia</w:t>
      </w:r>
      <w:r w:rsidR="00326656">
        <w:t>.</w:t>
      </w:r>
      <w:r>
        <w:rPr>
          <w:rStyle w:val="FootnoteReference"/>
        </w:rPr>
        <w:footnoteReference w:id="13"/>
      </w:r>
    </w:p>
    <w:p w14:paraId="7FDD88C7" w14:textId="0EEB99FC" w:rsidR="00F32110" w:rsidRDefault="00F32110" w:rsidP="007257BC">
      <w:r w:rsidRPr="0071376A">
        <w:t xml:space="preserve">The </w:t>
      </w:r>
      <w:r>
        <w:t xml:space="preserve">sponsor claims that </w:t>
      </w:r>
      <w:r w:rsidR="005262C7">
        <w:t xml:space="preserve">the </w:t>
      </w:r>
      <w:r w:rsidRPr="0071376A">
        <w:t>morbidity and mortality associated with COVID-19 that is being caused by antigenically</w:t>
      </w:r>
      <w:r>
        <w:t xml:space="preserve"> </w:t>
      </w:r>
      <w:r w:rsidRPr="0071376A">
        <w:t xml:space="preserve">divergent variants such as </w:t>
      </w:r>
      <w:r w:rsidR="005262C7">
        <w:t xml:space="preserve">the </w:t>
      </w:r>
      <w:r w:rsidRPr="0071376A">
        <w:t>Omicron</w:t>
      </w:r>
      <w:r w:rsidR="005262C7">
        <w:t xml:space="preserve"> variant</w:t>
      </w:r>
      <w:r w:rsidRPr="0071376A">
        <w:t xml:space="preserve"> </w:t>
      </w:r>
      <w:r w:rsidR="005262C7">
        <w:t>combined with</w:t>
      </w:r>
      <w:r w:rsidRPr="0071376A">
        <w:t xml:space="preserve"> decreasing </w:t>
      </w:r>
      <w:r w:rsidR="005262C7">
        <w:t>Spikevax (elasomeran/</w:t>
      </w:r>
      <w:r w:rsidRPr="0071376A">
        <w:t>mRNA</w:t>
      </w:r>
      <w:r w:rsidR="003B1825">
        <w:noBreakHyphen/>
      </w:r>
      <w:r w:rsidRPr="0071376A">
        <w:t>1273</w:t>
      </w:r>
      <w:r w:rsidR="005262C7">
        <w:t>)</w:t>
      </w:r>
      <w:r w:rsidRPr="0071376A">
        <w:t xml:space="preserve"> booster vaccine</w:t>
      </w:r>
      <w:r>
        <w:t xml:space="preserve"> </w:t>
      </w:r>
      <w:r w:rsidRPr="0071376A">
        <w:t>effectiveness against Omicron</w:t>
      </w:r>
      <w:r w:rsidR="005262C7">
        <w:t>, and this</w:t>
      </w:r>
      <w:r w:rsidRPr="0071376A">
        <w:t xml:space="preserve"> create</w:t>
      </w:r>
      <w:r w:rsidR="005262C7">
        <w:t>s</w:t>
      </w:r>
      <w:r w:rsidRPr="0071376A">
        <w:t xml:space="preserve"> the need to develop a booster </w:t>
      </w:r>
      <w:r w:rsidR="005262C7">
        <w:t xml:space="preserve">vaccine </w:t>
      </w:r>
      <w:r w:rsidRPr="0071376A">
        <w:t>with enhanced</w:t>
      </w:r>
      <w:r>
        <w:t xml:space="preserve"> </w:t>
      </w:r>
      <w:r w:rsidRPr="0071376A">
        <w:t>immunogenicity. An enhanced immune response is likely to confer improved protection against</w:t>
      </w:r>
      <w:r>
        <w:t xml:space="preserve"> </w:t>
      </w:r>
      <w:r w:rsidRPr="0071376A">
        <w:t>COVID-19</w:t>
      </w:r>
      <w:r w:rsidR="005262C7">
        <w:t xml:space="preserve"> and </w:t>
      </w:r>
      <w:r w:rsidRPr="0071376A">
        <w:t>help decrease the burden on hospitals and healthcare systems</w:t>
      </w:r>
      <w:r w:rsidR="005262C7">
        <w:t xml:space="preserve"> thereby helping </w:t>
      </w:r>
      <w:r w:rsidRPr="0071376A">
        <w:t>contain this</w:t>
      </w:r>
      <w:r>
        <w:t xml:space="preserve"> </w:t>
      </w:r>
      <w:r w:rsidRPr="0071376A">
        <w:t>dynamic pandemic</w:t>
      </w:r>
      <w:r w:rsidR="005262C7">
        <w:t>.</w:t>
      </w:r>
      <w:r w:rsidR="003B1825">
        <w:rPr>
          <w:rStyle w:val="FootnoteReference"/>
        </w:rPr>
        <w:footnoteReference w:id="14"/>
      </w:r>
      <w:r w:rsidR="003B1825" w:rsidRPr="003B1825">
        <w:rPr>
          <w:vertAlign w:val="superscript"/>
        </w:rPr>
        <w:t>,</w:t>
      </w:r>
      <w:r w:rsidR="003B1825">
        <w:rPr>
          <w:rStyle w:val="FootnoteReference"/>
        </w:rPr>
        <w:footnoteReference w:id="15"/>
      </w:r>
      <w:r w:rsidRPr="0071376A">
        <w:t xml:space="preserve"> Soon after the emergence of</w:t>
      </w:r>
      <w:r>
        <w:t xml:space="preserve"> </w:t>
      </w:r>
      <w:r w:rsidR="005262C7">
        <w:t xml:space="preserve">the </w:t>
      </w:r>
      <w:r w:rsidRPr="0071376A">
        <w:t>Omicron</w:t>
      </w:r>
      <w:r w:rsidR="005262C7">
        <w:t xml:space="preserve"> variant</w:t>
      </w:r>
      <w:r w:rsidRPr="0071376A">
        <w:t xml:space="preserve">, the </w:t>
      </w:r>
      <w:r w:rsidR="003B1825">
        <w:t>s</w:t>
      </w:r>
      <w:r w:rsidRPr="0071376A">
        <w:t xml:space="preserve">ponsor evaluated the Omicron-containing bivalent vaccine candidate </w:t>
      </w:r>
      <w:r w:rsidR="005262C7">
        <w:t>‘</w:t>
      </w:r>
      <w:r w:rsidRPr="0071376A">
        <w:t>mRNA</w:t>
      </w:r>
      <w:r>
        <w:t xml:space="preserve"> </w:t>
      </w:r>
      <w:r w:rsidRPr="0071376A">
        <w:t>1273.214</w:t>
      </w:r>
      <w:r w:rsidR="005262C7">
        <w:t>’</w:t>
      </w:r>
      <w:r w:rsidR="003B1825">
        <w:t xml:space="preserve">, </w:t>
      </w:r>
      <w:r w:rsidR="005262C7">
        <w:t xml:space="preserve">in the form of </w:t>
      </w:r>
      <w:r w:rsidRPr="0071376A">
        <w:t>50</w:t>
      </w:r>
      <w:r w:rsidR="003B1825">
        <w:t xml:space="preserve"> µ</w:t>
      </w:r>
      <w:r w:rsidRPr="0071376A">
        <w:t xml:space="preserve">g given as a second booster dose, and the </w:t>
      </w:r>
      <w:r w:rsidR="003B1825">
        <w:t>s</w:t>
      </w:r>
      <w:r w:rsidRPr="0071376A">
        <w:t>ponsor is seeking authori</w:t>
      </w:r>
      <w:r>
        <w:t>s</w:t>
      </w:r>
      <w:r w:rsidRPr="0071376A">
        <w:t>ation of the</w:t>
      </w:r>
      <w:r>
        <w:t xml:space="preserve"> </w:t>
      </w:r>
      <w:r w:rsidRPr="0071376A">
        <w:t>Omicron containing bivalent booster vaccine</w:t>
      </w:r>
      <w:r>
        <w:t>.</w:t>
      </w:r>
    </w:p>
    <w:p w14:paraId="2FD7E4BE" w14:textId="77777777" w:rsidR="005262C7" w:rsidRDefault="003B1825" w:rsidP="007257BC">
      <w:r>
        <w:t xml:space="preserve">The </w:t>
      </w:r>
      <w:r w:rsidR="005262C7">
        <w:t>World Health Organization (</w:t>
      </w:r>
      <w:r w:rsidR="00F32110" w:rsidRPr="00537A9F">
        <w:t>WHO</w:t>
      </w:r>
      <w:r w:rsidR="005262C7">
        <w:t>)</w:t>
      </w:r>
      <w:r w:rsidR="00F32110" w:rsidRPr="00537A9F">
        <w:t xml:space="preserve"> states:</w:t>
      </w:r>
    </w:p>
    <w:p w14:paraId="70D53985" w14:textId="7F7F0FEA" w:rsidR="00F32110" w:rsidRPr="00350F51" w:rsidRDefault="00F32110" w:rsidP="00D102F3">
      <w:pPr>
        <w:ind w:left="720"/>
      </w:pPr>
      <w:r w:rsidRPr="00350F51">
        <w:rPr>
          <w:iCs/>
        </w:rPr>
        <w:t>‘</w:t>
      </w:r>
      <w:r w:rsidRPr="00D102F3">
        <w:t xml:space="preserve">Available data … indicate that the inclusion of Omicron, as the most antigenically distinct SARS-CoV-2 Variant of Concern, in an updated vaccine composition may be beneficial if administered as a booster dose to those who have already received a COVID-19 vaccination primary </w:t>
      </w:r>
      <w:proofErr w:type="gramStart"/>
      <w:r w:rsidRPr="00D102F3">
        <w:t>series’</w:t>
      </w:r>
      <w:proofErr w:type="gramEnd"/>
      <w:r w:rsidRPr="00D102F3">
        <w:t xml:space="preserve">. In addition, the International Coalition of Medicines Regulatory Authorities (ICMRA) states: ‘With the increasing circulation of Omicron-descendent lineages, bivalent vaccines incorporating an Omicron descendent lineage and ancestral (index) virus would be preferred for adapted versions of vaccines already in use, as they may provide an improved level of cross-neutralization against previous VOCs as well as current Omicron and possibly future Omicron </w:t>
      </w:r>
      <w:proofErr w:type="spellStart"/>
      <w:r w:rsidRPr="00D102F3">
        <w:t>sublineages</w:t>
      </w:r>
      <w:proofErr w:type="spellEnd"/>
      <w:r w:rsidRPr="00D102F3">
        <w:t xml:space="preserve"> in the Northern hemisphere winter season of 2022</w:t>
      </w:r>
      <w:r w:rsidRPr="00350F51">
        <w:rPr>
          <w:iCs/>
        </w:rPr>
        <w:t>’</w:t>
      </w:r>
      <w:r w:rsidRPr="00350F51">
        <w:t>.</w:t>
      </w:r>
      <w:r w:rsidR="004E7447" w:rsidRPr="00350F51">
        <w:rPr>
          <w:rStyle w:val="FootnoteReference"/>
        </w:rPr>
        <w:footnoteReference w:id="16"/>
      </w:r>
      <w:r w:rsidR="004E7447" w:rsidRPr="00350F51">
        <w:t>,</w:t>
      </w:r>
      <w:r w:rsidR="004E7447" w:rsidRPr="00350F51">
        <w:rPr>
          <w:rStyle w:val="FootnoteReference"/>
        </w:rPr>
        <w:footnoteReference w:id="17"/>
      </w:r>
    </w:p>
    <w:p w14:paraId="3F0C8DA4" w14:textId="3B9C2CDD" w:rsidR="00F32110" w:rsidRDefault="00F32110" w:rsidP="00F32110">
      <w:pPr>
        <w:pStyle w:val="Heading4"/>
      </w:pPr>
      <w:r>
        <w:t xml:space="preserve">Current </w:t>
      </w:r>
      <w:r w:rsidR="00DB3BB1">
        <w:t>vaccine</w:t>
      </w:r>
      <w:r>
        <w:t xml:space="preserve"> options</w:t>
      </w:r>
    </w:p>
    <w:p w14:paraId="22596469" w14:textId="6025E5A1" w:rsidR="00191998" w:rsidRPr="00DB3BB1" w:rsidRDefault="00191998" w:rsidP="00191998">
      <w:pPr>
        <w:rPr>
          <w:vertAlign w:val="superscript"/>
        </w:rPr>
      </w:pPr>
      <w:r w:rsidRPr="000349EF">
        <w:t xml:space="preserve">There are currently </w:t>
      </w:r>
      <w:r>
        <w:t xml:space="preserve">five </w:t>
      </w:r>
      <w:r w:rsidRPr="000349EF">
        <w:t>vaccines on the Australian Register of Therapeutic Goods (ARTG), and all are approved under the provisional pathway:</w:t>
      </w:r>
      <w:bookmarkStart w:id="14" w:name="_Ref91015597"/>
      <w:r w:rsidR="00DB3BB1" w:rsidRPr="00DB3BB1">
        <w:rPr>
          <w:vertAlign w:val="superscript"/>
        </w:rPr>
        <w:t xml:space="preserve"> </w:t>
      </w:r>
      <w:r w:rsidR="00DB3BB1" w:rsidRPr="00A16EDE">
        <w:rPr>
          <w:vertAlign w:val="superscript"/>
        </w:rPr>
        <w:footnoteReference w:id="18"/>
      </w:r>
      <w:r w:rsidR="00DB3BB1">
        <w:rPr>
          <w:vertAlign w:val="superscript"/>
        </w:rPr>
        <w:t>,</w:t>
      </w:r>
      <w:bookmarkStart w:id="15" w:name="_Ref112070030"/>
      <w:r w:rsidRPr="000349EF">
        <w:rPr>
          <w:rStyle w:val="FootnoteReference"/>
        </w:rPr>
        <w:footnoteReference w:id="19"/>
      </w:r>
      <w:bookmarkEnd w:id="14"/>
      <w:bookmarkEnd w:id="15"/>
      <w:r w:rsidR="00DB3BB1">
        <w:t>,</w:t>
      </w:r>
    </w:p>
    <w:p w14:paraId="5A6DC485" w14:textId="393CEE0D" w:rsidR="00191998" w:rsidRPr="000349EF" w:rsidRDefault="00191998" w:rsidP="00191998">
      <w:pPr>
        <w:pStyle w:val="ListBullet2"/>
        <w:numPr>
          <w:ilvl w:val="1"/>
          <w:numId w:val="3"/>
        </w:numPr>
      </w:pPr>
      <w:r w:rsidRPr="000349EF">
        <w:lastRenderedPageBreak/>
        <w:t>Comirnaty (tozinameran</w:t>
      </w:r>
      <w:r w:rsidR="005262C7">
        <w:t>, previously known at BNT162b2 (mRNA)</w:t>
      </w:r>
      <w:r w:rsidRPr="000349EF">
        <w:t>)</w:t>
      </w:r>
      <w:r>
        <w:t>;</w:t>
      </w:r>
      <w:r w:rsidRPr="000349EF">
        <w:rPr>
          <w:rStyle w:val="FootnoteReference"/>
        </w:rPr>
        <w:footnoteReference w:id="20"/>
      </w:r>
      <w:r w:rsidRPr="000349EF">
        <w:t xml:space="preserve"> </w:t>
      </w:r>
      <w:r>
        <w:t xml:space="preserve">also </w:t>
      </w:r>
      <w:r w:rsidR="005262C7">
        <w:t xml:space="preserve">commonly </w:t>
      </w:r>
      <w:r>
        <w:t xml:space="preserve">known as </w:t>
      </w:r>
      <w:r w:rsidRPr="000349EF">
        <w:t>the Pfizer/BioNTech</w:t>
      </w:r>
      <w:r>
        <w:t xml:space="preserve"> </w:t>
      </w:r>
      <w:r w:rsidRPr="000349EF">
        <w:t>(mRNA) vaccine</w:t>
      </w:r>
      <w:r w:rsidR="005262C7">
        <w:t xml:space="preserve"> is</w:t>
      </w:r>
      <w:r w:rsidRPr="000349EF">
        <w:t xml:space="preserve"> provisionally approved for active immunisation to prevent COVID-19 caused by SARS-CoV-2, in individuals 5 years of age and older.</w:t>
      </w:r>
      <w:bookmarkStart w:id="16" w:name="_Ref90999008"/>
      <w:r w:rsidRPr="000349EF">
        <w:rPr>
          <w:rStyle w:val="FootnoteReference"/>
        </w:rPr>
        <w:footnoteReference w:id="21"/>
      </w:r>
      <w:bookmarkEnd w:id="16"/>
      <w:r w:rsidRPr="000349EF">
        <w:rPr>
          <w:vertAlign w:val="superscript"/>
        </w:rPr>
        <w:t>,</w:t>
      </w:r>
      <w:r w:rsidRPr="000349EF">
        <w:rPr>
          <w:rStyle w:val="FootnoteReference"/>
        </w:rPr>
        <w:footnoteReference w:id="22"/>
      </w:r>
      <w:r w:rsidRPr="000349EF">
        <w:rPr>
          <w:vertAlign w:val="superscript"/>
        </w:rPr>
        <w:t>,</w:t>
      </w:r>
      <w:r w:rsidRPr="000349EF">
        <w:rPr>
          <w:rStyle w:val="FootnoteReference"/>
        </w:rPr>
        <w:footnoteReference w:id="23"/>
      </w:r>
      <w:r w:rsidRPr="000349EF">
        <w:rPr>
          <w:vertAlign w:val="superscript"/>
        </w:rPr>
        <w:t>,</w:t>
      </w:r>
      <w:r w:rsidRPr="000349EF">
        <w:rPr>
          <w:rStyle w:val="FootnoteReference"/>
        </w:rPr>
        <w:footnoteReference w:id="24"/>
      </w:r>
    </w:p>
    <w:p w14:paraId="4018FAE2" w14:textId="46A6A5FA" w:rsidR="00191998" w:rsidRPr="000349EF" w:rsidRDefault="00191998" w:rsidP="00191998">
      <w:pPr>
        <w:pStyle w:val="ListBullet2"/>
        <w:numPr>
          <w:ilvl w:val="1"/>
          <w:numId w:val="3"/>
        </w:numPr>
      </w:pPr>
      <w:r w:rsidRPr="000349EF">
        <w:t xml:space="preserve">COVID-19 Vaccine AstraZeneca (ChAdOx1-S), an adenoviral vectored vaccine, </w:t>
      </w:r>
      <w:r w:rsidR="001A19F5">
        <w:t xml:space="preserve">is </w:t>
      </w:r>
      <w:r w:rsidRPr="000349EF">
        <w:t>provisionally approved for active immunisation to prevent COVID-19 caused by SARS-CoV-2, in individuals 18 years of age and older.</w:t>
      </w:r>
      <w:r w:rsidRPr="000349EF">
        <w:rPr>
          <w:rStyle w:val="FootnoteReference"/>
        </w:rPr>
        <w:footnoteReference w:id="25"/>
      </w:r>
      <w:r w:rsidRPr="000349EF">
        <w:rPr>
          <w:vertAlign w:val="superscript"/>
        </w:rPr>
        <w:t>,</w:t>
      </w:r>
      <w:r w:rsidRPr="000349EF">
        <w:rPr>
          <w:rStyle w:val="FootnoteReference"/>
        </w:rPr>
        <w:footnoteReference w:id="26"/>
      </w:r>
    </w:p>
    <w:p w14:paraId="195D7E68" w14:textId="31D2B72C" w:rsidR="00191998" w:rsidRPr="000349EF" w:rsidRDefault="00191998" w:rsidP="00191998">
      <w:pPr>
        <w:pStyle w:val="ListBullet2"/>
        <w:numPr>
          <w:ilvl w:val="1"/>
          <w:numId w:val="3"/>
        </w:numPr>
      </w:pPr>
      <w:r w:rsidRPr="000349EF">
        <w:t>COVID-19 Vaccine Janssen (Ad26.COV</w:t>
      </w:r>
      <w:proofErr w:type="gramStart"/>
      <w:r w:rsidRPr="000349EF">
        <w:t>2.S</w:t>
      </w:r>
      <w:proofErr w:type="gramEnd"/>
      <w:r w:rsidRPr="000349EF">
        <w:t xml:space="preserve">), an adenoviral vectored vaccine, </w:t>
      </w:r>
      <w:r w:rsidR="001A19F5">
        <w:t xml:space="preserve">is </w:t>
      </w:r>
      <w:r w:rsidRPr="000349EF">
        <w:t>provisionally approved for active immunisation to prevent COVID-19 caused by SARS-CoV-2, in individuals 18 years of age and older.</w:t>
      </w:r>
      <w:r w:rsidRPr="000349EF">
        <w:rPr>
          <w:rStyle w:val="FootnoteReference"/>
        </w:rPr>
        <w:footnoteReference w:id="27"/>
      </w:r>
      <w:r w:rsidRPr="000349EF">
        <w:rPr>
          <w:vertAlign w:val="superscript"/>
        </w:rPr>
        <w:t>,</w:t>
      </w:r>
      <w:r w:rsidRPr="000349EF">
        <w:rPr>
          <w:rStyle w:val="FootnoteReference"/>
        </w:rPr>
        <w:footnoteReference w:id="28"/>
      </w:r>
    </w:p>
    <w:p w14:paraId="32C70824" w14:textId="71853200" w:rsidR="00191998" w:rsidRPr="00A646B0" w:rsidRDefault="00191998" w:rsidP="00191998">
      <w:pPr>
        <w:pStyle w:val="ListBullet2"/>
        <w:numPr>
          <w:ilvl w:val="1"/>
          <w:numId w:val="3"/>
        </w:numPr>
      </w:pPr>
      <w:r w:rsidRPr="000349EF">
        <w:t xml:space="preserve">Spikevax (elasomeran) COVID-19 vaccine, </w:t>
      </w:r>
      <w:r>
        <w:t xml:space="preserve">also known as </w:t>
      </w:r>
      <w:r w:rsidRPr="000349EF">
        <w:t xml:space="preserve">the Moderna </w:t>
      </w:r>
      <w:r>
        <w:t>(</w:t>
      </w:r>
      <w:r w:rsidRPr="000349EF">
        <w:t>mRNA</w:t>
      </w:r>
      <w:r>
        <w:t>)</w:t>
      </w:r>
      <w:r w:rsidRPr="000349EF">
        <w:t xml:space="preserve"> vaccine</w:t>
      </w:r>
      <w:r w:rsidR="001A19F5">
        <w:t xml:space="preserve">, is </w:t>
      </w:r>
      <w:r w:rsidRPr="000349EF">
        <w:t xml:space="preserve">provisionally approved for active immunisation to prevent COVID-19 caused by SARS-CoV-2, in individuals </w:t>
      </w:r>
      <w:r>
        <w:t>6</w:t>
      </w:r>
      <w:r w:rsidRPr="000349EF">
        <w:t xml:space="preserve"> </w:t>
      </w:r>
      <w:r>
        <w:t>months</w:t>
      </w:r>
      <w:r w:rsidRPr="000349EF">
        <w:t xml:space="preserve"> of age and older.</w:t>
      </w:r>
      <w:bookmarkStart w:id="17" w:name="_Ref112227487"/>
      <w:r w:rsidRPr="000349EF">
        <w:rPr>
          <w:rStyle w:val="FootnoteReference"/>
        </w:rPr>
        <w:footnoteReference w:id="29"/>
      </w:r>
      <w:bookmarkEnd w:id="17"/>
      <w:r w:rsidRPr="000349EF">
        <w:rPr>
          <w:vertAlign w:val="superscript"/>
        </w:rPr>
        <w:t>,</w:t>
      </w:r>
      <w:bookmarkStart w:id="18" w:name="_Ref112227490"/>
      <w:r w:rsidRPr="000349EF">
        <w:rPr>
          <w:rStyle w:val="FootnoteReference"/>
        </w:rPr>
        <w:footnoteReference w:id="30"/>
      </w:r>
      <w:bookmarkEnd w:id="18"/>
      <w:r w:rsidRPr="000349EF">
        <w:rPr>
          <w:vertAlign w:val="superscript"/>
        </w:rPr>
        <w:t>,</w:t>
      </w:r>
      <w:bookmarkStart w:id="19" w:name="_Ref112227498"/>
      <w:r w:rsidRPr="000349EF">
        <w:rPr>
          <w:rStyle w:val="FootnoteReference"/>
        </w:rPr>
        <w:footnoteReference w:id="31"/>
      </w:r>
      <w:bookmarkEnd w:id="19"/>
      <w:r>
        <w:rPr>
          <w:vertAlign w:val="superscript"/>
        </w:rPr>
        <w:t>,</w:t>
      </w:r>
      <w:bookmarkStart w:id="20" w:name="_Ref112227501"/>
      <w:r>
        <w:rPr>
          <w:rStyle w:val="FootnoteReference"/>
        </w:rPr>
        <w:footnoteReference w:id="32"/>
      </w:r>
      <w:bookmarkEnd w:id="20"/>
      <w:r>
        <w:rPr>
          <w:vertAlign w:val="superscript"/>
        </w:rPr>
        <w:t>,</w:t>
      </w:r>
      <w:bookmarkStart w:id="21" w:name="_Ref112227504"/>
      <w:r>
        <w:rPr>
          <w:rStyle w:val="FootnoteReference"/>
        </w:rPr>
        <w:footnoteReference w:id="33"/>
      </w:r>
      <w:bookmarkEnd w:id="21"/>
    </w:p>
    <w:p w14:paraId="6EEAAAFA" w14:textId="14EB24A5" w:rsidR="00DB3BB1" w:rsidRPr="00A16EDE" w:rsidRDefault="00191998" w:rsidP="00DB3BB1">
      <w:pPr>
        <w:pStyle w:val="ListBullet2"/>
        <w:numPr>
          <w:ilvl w:val="1"/>
          <w:numId w:val="3"/>
        </w:numPr>
      </w:pPr>
      <w:r w:rsidRPr="00A646B0">
        <w:t>Nuvaxovid (</w:t>
      </w:r>
      <w:r w:rsidRPr="001031B5">
        <w:t>SARS-CoV-2 recombinant spike</w:t>
      </w:r>
      <w:r>
        <w:t xml:space="preserve"> protein</w:t>
      </w:r>
      <w:r w:rsidRPr="001031B5">
        <w:t xml:space="preserve"> with Matrix-M adjuvant</w:t>
      </w:r>
      <w:r w:rsidRPr="00A646B0">
        <w:t>)</w:t>
      </w:r>
      <w:r>
        <w:t xml:space="preserve"> </w:t>
      </w:r>
      <w:r w:rsidRPr="00A646B0">
        <w:t>COVID-19 vaccine</w:t>
      </w:r>
      <w:r>
        <w:t xml:space="preserve">, also known as the </w:t>
      </w:r>
      <w:r w:rsidRPr="00A646B0">
        <w:t>Novavax</w:t>
      </w:r>
      <w:r>
        <w:t xml:space="preserve"> </w:t>
      </w:r>
      <w:r w:rsidRPr="001031B5">
        <w:t>recombinant spike protein vaccine</w:t>
      </w:r>
      <w:r>
        <w:t xml:space="preserve">, </w:t>
      </w:r>
      <w:r w:rsidR="001A19F5">
        <w:t xml:space="preserve">is </w:t>
      </w:r>
      <w:r>
        <w:t>provisionally approved for a</w:t>
      </w:r>
      <w:r w:rsidRPr="00A646B0">
        <w:t>ctive immunisation to prevent COVID-19 caused by SARS-CoV-2 in individuals 1</w:t>
      </w:r>
      <w:r>
        <w:t>2</w:t>
      </w:r>
      <w:r w:rsidRPr="00A646B0">
        <w:t xml:space="preserve"> years of age and older</w:t>
      </w:r>
      <w:r>
        <w:t>.</w:t>
      </w:r>
      <w:r w:rsidRPr="001031B5">
        <w:rPr>
          <w:rStyle w:val="FootnoteReference"/>
        </w:rPr>
        <w:footnoteReference w:id="34"/>
      </w:r>
      <w:r w:rsidRPr="001031B5">
        <w:rPr>
          <w:vertAlign w:val="superscript"/>
        </w:rPr>
        <w:t>,</w:t>
      </w:r>
      <w:r w:rsidRPr="001031B5">
        <w:rPr>
          <w:rStyle w:val="FootnoteReference"/>
        </w:rPr>
        <w:footnoteReference w:id="35"/>
      </w:r>
      <w:r>
        <w:rPr>
          <w:vertAlign w:val="superscript"/>
        </w:rPr>
        <w:t>,</w:t>
      </w:r>
      <w:r>
        <w:rPr>
          <w:rStyle w:val="FootnoteReference"/>
        </w:rPr>
        <w:footnoteReference w:id="36"/>
      </w:r>
    </w:p>
    <w:p w14:paraId="79A46842" w14:textId="4717E678" w:rsidR="008E7846" w:rsidRPr="003F31A2" w:rsidRDefault="00386150" w:rsidP="008E7846">
      <w:pPr>
        <w:pStyle w:val="Heading3"/>
      </w:pPr>
      <w:bookmarkStart w:id="22" w:name="_Toc112833621"/>
      <w:r>
        <w:lastRenderedPageBreak/>
        <w:t>Regulatory s</w:t>
      </w:r>
      <w:r w:rsidR="008E7846">
        <w:t>tatus</w:t>
      </w:r>
      <w:bookmarkEnd w:id="12"/>
      <w:bookmarkEnd w:id="13"/>
      <w:bookmarkEnd w:id="22"/>
    </w:p>
    <w:p w14:paraId="683D0286" w14:textId="2DB3AB72" w:rsidR="001A19F5" w:rsidRDefault="005A555D" w:rsidP="00332715">
      <w:bookmarkStart w:id="23" w:name="_Toc247691505"/>
      <w:bookmarkStart w:id="24" w:name="_Toc314842486"/>
      <w:r>
        <w:t xml:space="preserve">This product </w:t>
      </w:r>
      <w:r w:rsidR="00332715">
        <w:t>is considered a new biological entity for Australian regulatory purposes</w:t>
      </w:r>
      <w:r>
        <w:t>.</w:t>
      </w:r>
    </w:p>
    <w:p w14:paraId="248AEF61" w14:textId="72A8C937" w:rsidR="001A19F5" w:rsidRPr="00D552AF" w:rsidRDefault="00D552AF">
      <w:r>
        <w:t xml:space="preserve">Spikevax </w:t>
      </w:r>
      <w:r w:rsidR="003E1504">
        <w:t>Bivalent Original/Omicron</w:t>
      </w:r>
      <w:r>
        <w:t xml:space="preserve"> is formulated with equal amounts of </w:t>
      </w:r>
      <w:proofErr w:type="spellStart"/>
      <w:r>
        <w:t>elasomeran</w:t>
      </w:r>
      <w:proofErr w:type="spellEnd"/>
      <w:r>
        <w:t xml:space="preserve"> and </w:t>
      </w:r>
      <w:proofErr w:type="spellStart"/>
      <w:r>
        <w:t>imelasomeran</w:t>
      </w:r>
      <w:proofErr w:type="spellEnd"/>
      <w:r>
        <w:t>. Elasomeran</w:t>
      </w:r>
      <w:r w:rsidR="00B02436">
        <w:t>,</w:t>
      </w:r>
      <w:r>
        <w:t xml:space="preserve"> as a single biological entity</w:t>
      </w:r>
      <w:r w:rsidR="00B02436">
        <w:t>,</w:t>
      </w:r>
      <w:r>
        <w:t xml:space="preserve"> has had provisionally registration since August 2021 in the form of the sponsor’s monovalent </w:t>
      </w:r>
      <w:proofErr w:type="spellStart"/>
      <w:r>
        <w:t>Spikevax</w:t>
      </w:r>
      <w:proofErr w:type="spellEnd"/>
      <w:r>
        <w:t xml:space="preserve"> COVID-19</w:t>
      </w:r>
      <w:r w:rsidR="003E1504">
        <w:t xml:space="preserve"> </w:t>
      </w:r>
      <w:r>
        <w:t>vaccine.</w:t>
      </w:r>
      <w:r w:rsidRPr="00AD2D13">
        <w:rPr>
          <w:vertAlign w:val="superscript"/>
        </w:rPr>
        <w:fldChar w:fldCharType="begin"/>
      </w:r>
      <w:r w:rsidRPr="00AD2D13">
        <w:rPr>
          <w:vertAlign w:val="superscript"/>
        </w:rPr>
        <w:instrText xml:space="preserve"> NOTEREF _Ref112227487 \h </w:instrText>
      </w:r>
      <w:r>
        <w:rPr>
          <w:vertAlign w:val="superscript"/>
        </w:rPr>
        <w:instrText xml:space="preserve"> \* MERGEFORMAT </w:instrText>
      </w:r>
      <w:r w:rsidRPr="00AD2D13">
        <w:rPr>
          <w:vertAlign w:val="superscript"/>
        </w:rPr>
      </w:r>
      <w:r w:rsidRPr="00AD2D13">
        <w:rPr>
          <w:vertAlign w:val="superscript"/>
        </w:rPr>
        <w:fldChar w:fldCharType="separate"/>
      </w:r>
      <w:r w:rsidR="00D102F3">
        <w:rPr>
          <w:vertAlign w:val="superscript"/>
        </w:rPr>
        <w:t>29</w:t>
      </w:r>
      <w:r w:rsidRPr="00AD2D13">
        <w:rPr>
          <w:vertAlign w:val="superscript"/>
        </w:rPr>
        <w:fldChar w:fldCharType="end"/>
      </w:r>
      <w:r w:rsidRPr="00AD2D13">
        <w:rPr>
          <w:vertAlign w:val="superscript"/>
        </w:rPr>
        <w:t>,</w:t>
      </w:r>
      <w:r w:rsidRPr="00AD2D13">
        <w:rPr>
          <w:vertAlign w:val="superscript"/>
        </w:rPr>
        <w:fldChar w:fldCharType="begin"/>
      </w:r>
      <w:r w:rsidRPr="00AD2D13">
        <w:rPr>
          <w:vertAlign w:val="superscript"/>
        </w:rPr>
        <w:instrText xml:space="preserve"> NOTEREF _Ref112227490 \h </w:instrText>
      </w:r>
      <w:r>
        <w:rPr>
          <w:vertAlign w:val="superscript"/>
        </w:rPr>
        <w:instrText xml:space="preserve"> \* MERGEFORMAT </w:instrText>
      </w:r>
      <w:r w:rsidRPr="00AD2D13">
        <w:rPr>
          <w:vertAlign w:val="superscript"/>
        </w:rPr>
      </w:r>
      <w:r w:rsidRPr="00AD2D13">
        <w:rPr>
          <w:vertAlign w:val="superscript"/>
        </w:rPr>
        <w:fldChar w:fldCharType="separate"/>
      </w:r>
      <w:r w:rsidR="00D102F3">
        <w:rPr>
          <w:vertAlign w:val="superscript"/>
        </w:rPr>
        <w:t>30</w:t>
      </w:r>
      <w:r w:rsidRPr="00AD2D13">
        <w:rPr>
          <w:vertAlign w:val="superscript"/>
        </w:rPr>
        <w:fldChar w:fldCharType="end"/>
      </w:r>
      <w:r w:rsidRPr="00AD2D13">
        <w:rPr>
          <w:vertAlign w:val="superscript"/>
        </w:rPr>
        <w:t>,</w:t>
      </w:r>
      <w:r w:rsidRPr="00AD2D13">
        <w:rPr>
          <w:vertAlign w:val="superscript"/>
        </w:rPr>
        <w:fldChar w:fldCharType="begin"/>
      </w:r>
      <w:r w:rsidRPr="00AD2D13">
        <w:rPr>
          <w:vertAlign w:val="superscript"/>
        </w:rPr>
        <w:instrText xml:space="preserve"> NOTEREF _Ref112227498 \h </w:instrText>
      </w:r>
      <w:r>
        <w:rPr>
          <w:vertAlign w:val="superscript"/>
        </w:rPr>
        <w:instrText xml:space="preserve"> \* MERGEFORMAT </w:instrText>
      </w:r>
      <w:r w:rsidRPr="00AD2D13">
        <w:rPr>
          <w:vertAlign w:val="superscript"/>
        </w:rPr>
      </w:r>
      <w:r w:rsidRPr="00AD2D13">
        <w:rPr>
          <w:vertAlign w:val="superscript"/>
        </w:rPr>
        <w:fldChar w:fldCharType="separate"/>
      </w:r>
      <w:r w:rsidR="00D102F3">
        <w:rPr>
          <w:vertAlign w:val="superscript"/>
        </w:rPr>
        <w:t>31</w:t>
      </w:r>
      <w:r w:rsidRPr="00AD2D13">
        <w:rPr>
          <w:vertAlign w:val="superscript"/>
        </w:rPr>
        <w:fldChar w:fldCharType="end"/>
      </w:r>
      <w:r w:rsidRPr="00AD2D13">
        <w:rPr>
          <w:vertAlign w:val="superscript"/>
        </w:rPr>
        <w:t>,</w:t>
      </w:r>
      <w:r w:rsidRPr="00AD2D13">
        <w:rPr>
          <w:vertAlign w:val="superscript"/>
        </w:rPr>
        <w:fldChar w:fldCharType="begin"/>
      </w:r>
      <w:r w:rsidRPr="00AD2D13">
        <w:rPr>
          <w:vertAlign w:val="superscript"/>
        </w:rPr>
        <w:instrText xml:space="preserve"> NOTEREF _Ref112227501 \h </w:instrText>
      </w:r>
      <w:r>
        <w:rPr>
          <w:vertAlign w:val="superscript"/>
        </w:rPr>
        <w:instrText xml:space="preserve"> \* MERGEFORMAT </w:instrText>
      </w:r>
      <w:r w:rsidRPr="00AD2D13">
        <w:rPr>
          <w:vertAlign w:val="superscript"/>
        </w:rPr>
      </w:r>
      <w:r w:rsidRPr="00AD2D13">
        <w:rPr>
          <w:vertAlign w:val="superscript"/>
        </w:rPr>
        <w:fldChar w:fldCharType="separate"/>
      </w:r>
      <w:r w:rsidR="00D102F3">
        <w:rPr>
          <w:vertAlign w:val="superscript"/>
        </w:rPr>
        <w:t>32</w:t>
      </w:r>
      <w:r w:rsidRPr="00AD2D13">
        <w:rPr>
          <w:vertAlign w:val="superscript"/>
        </w:rPr>
        <w:fldChar w:fldCharType="end"/>
      </w:r>
      <w:r w:rsidRPr="00AD2D13">
        <w:rPr>
          <w:vertAlign w:val="superscript"/>
        </w:rPr>
        <w:t>,</w:t>
      </w:r>
      <w:r w:rsidRPr="00AD2D13">
        <w:rPr>
          <w:vertAlign w:val="superscript"/>
        </w:rPr>
        <w:fldChar w:fldCharType="begin"/>
      </w:r>
      <w:r w:rsidRPr="00AD2D13">
        <w:rPr>
          <w:vertAlign w:val="superscript"/>
        </w:rPr>
        <w:instrText xml:space="preserve"> NOTEREF _Ref112227504 \h </w:instrText>
      </w:r>
      <w:r>
        <w:rPr>
          <w:vertAlign w:val="superscript"/>
        </w:rPr>
        <w:instrText xml:space="preserve"> \* MERGEFORMAT </w:instrText>
      </w:r>
      <w:r w:rsidRPr="00AD2D13">
        <w:rPr>
          <w:vertAlign w:val="superscript"/>
        </w:rPr>
      </w:r>
      <w:r w:rsidRPr="00AD2D13">
        <w:rPr>
          <w:vertAlign w:val="superscript"/>
        </w:rPr>
        <w:fldChar w:fldCharType="separate"/>
      </w:r>
      <w:r w:rsidR="00D102F3">
        <w:rPr>
          <w:vertAlign w:val="superscript"/>
        </w:rPr>
        <w:t>33</w:t>
      </w:r>
      <w:r w:rsidRPr="00AD2D13">
        <w:rPr>
          <w:vertAlign w:val="superscript"/>
        </w:rPr>
        <w:fldChar w:fldCharType="end"/>
      </w:r>
      <w:r>
        <w:rPr>
          <w:vertAlign w:val="superscript"/>
        </w:rPr>
        <w:t xml:space="preserve"> </w:t>
      </w:r>
      <w:proofErr w:type="spellStart"/>
      <w:r>
        <w:t>Imelasomeran</w:t>
      </w:r>
      <w:proofErr w:type="spellEnd"/>
      <w:r>
        <w:t xml:space="preserve"> is a new biological entity with no </w:t>
      </w:r>
      <w:r w:rsidR="00B02436">
        <w:t xml:space="preserve">regulatory history or </w:t>
      </w:r>
      <w:r w:rsidR="00350F51">
        <w:t xml:space="preserve">history of </w:t>
      </w:r>
      <w:r w:rsidR="00B02436">
        <w:t>use in</w:t>
      </w:r>
      <w:r>
        <w:t xml:space="preserve"> Australia.</w:t>
      </w:r>
    </w:p>
    <w:p w14:paraId="5987EC89" w14:textId="1261F42C" w:rsidR="00332715" w:rsidRDefault="00332715" w:rsidP="00332715">
      <w:bookmarkStart w:id="25" w:name="_Hlk112748424"/>
      <w:r>
        <w:t xml:space="preserve">At the time the TGA considered this </w:t>
      </w:r>
      <w:r w:rsidR="00BB0B78">
        <w:t>submission</w:t>
      </w:r>
      <w:r>
        <w:t xml:space="preserve">, a similar </w:t>
      </w:r>
      <w:r w:rsidR="00BB0B78">
        <w:t>submission</w:t>
      </w:r>
      <w:r>
        <w:t xml:space="preserve"> had been approved in </w:t>
      </w:r>
      <w:r w:rsidR="00D552AF">
        <w:t>the United Kingdom</w:t>
      </w:r>
      <w:r>
        <w:t xml:space="preserve"> on </w:t>
      </w:r>
      <w:r w:rsidR="00C272D4">
        <w:t>15 August 2022</w:t>
      </w:r>
      <w:r>
        <w:t xml:space="preserve">. A similar </w:t>
      </w:r>
      <w:r w:rsidR="00BB0B78">
        <w:t>submission</w:t>
      </w:r>
      <w:r>
        <w:t xml:space="preserve"> was under consideration in </w:t>
      </w:r>
      <w:r w:rsidR="00C272D4">
        <w:t xml:space="preserve">Canada, European Union (EU), Switzerland, </w:t>
      </w:r>
      <w:proofErr w:type="gramStart"/>
      <w:r w:rsidR="00C272D4">
        <w:t>Singapore</w:t>
      </w:r>
      <w:proofErr w:type="gramEnd"/>
      <w:r w:rsidR="00C272D4">
        <w:t xml:space="preserve"> and Japan.</w:t>
      </w:r>
      <w:r w:rsidR="009D752F">
        <w:t xml:space="preserve"> </w:t>
      </w:r>
      <w:r w:rsidR="009D752F" w:rsidRPr="009D752F">
        <w:t xml:space="preserve">Furthermore, a similar, yet slightly different </w:t>
      </w:r>
      <w:r w:rsidR="00350F51">
        <w:t>O</w:t>
      </w:r>
      <w:r w:rsidR="009D752F" w:rsidRPr="009D752F">
        <w:t>micron bivalent vaccine is under consideration in the United States of America (USA).</w:t>
      </w:r>
      <w:r w:rsidR="00D40B1F">
        <w:rPr>
          <w:rStyle w:val="FootnoteReference"/>
        </w:rPr>
        <w:footnoteReference w:id="37"/>
      </w:r>
    </w:p>
    <w:bookmarkEnd w:id="25"/>
    <w:p w14:paraId="2450F354" w14:textId="77777777" w:rsidR="00332715" w:rsidRDefault="0072292E" w:rsidP="00332715">
      <w:r>
        <w:t xml:space="preserve">The following table </w:t>
      </w:r>
      <w:r w:rsidR="00332715">
        <w:t xml:space="preserve">summarises these </w:t>
      </w:r>
      <w:r w:rsidR="00BB0B78">
        <w:t>submissions</w:t>
      </w:r>
      <w:r w:rsidR="00332715">
        <w:t xml:space="preserve"> and provides the indications where approved.</w:t>
      </w:r>
    </w:p>
    <w:p w14:paraId="50939D94" w14:textId="5255F825" w:rsidR="00324E45" w:rsidRPr="00F0146F" w:rsidRDefault="00324E45" w:rsidP="00324E45">
      <w:pPr>
        <w:pStyle w:val="TableTitle"/>
      </w:pPr>
      <w:bookmarkStart w:id="27" w:name="_Ref99705479"/>
      <w:r>
        <w:t xml:space="preserve">Table </w:t>
      </w:r>
      <w:r w:rsidR="00F43EA9">
        <w:fldChar w:fldCharType="begin"/>
      </w:r>
      <w:r w:rsidR="00F43EA9">
        <w:instrText xml:space="preserve"> SEQ Table \* ARABIC </w:instrText>
      </w:r>
      <w:r w:rsidR="00F43EA9">
        <w:fldChar w:fldCharType="separate"/>
      </w:r>
      <w:r w:rsidR="00D102F3">
        <w:rPr>
          <w:noProof/>
        </w:rPr>
        <w:t>1</w:t>
      </w:r>
      <w:r w:rsidR="00F43EA9">
        <w:rPr>
          <w:noProof/>
        </w:rPr>
        <w:fldChar w:fldCharType="end"/>
      </w:r>
      <w:bookmarkEnd w:id="27"/>
      <w:r>
        <w:t>: International regulatory status</w:t>
      </w:r>
    </w:p>
    <w:tbl>
      <w:tblPr>
        <w:tblStyle w:val="TableTGAblue"/>
        <w:tblW w:w="0" w:type="auto"/>
        <w:tblLook w:val="04A0" w:firstRow="1" w:lastRow="0" w:firstColumn="1" w:lastColumn="0" w:noHBand="0" w:noVBand="1"/>
      </w:tblPr>
      <w:tblGrid>
        <w:gridCol w:w="2108"/>
        <w:gridCol w:w="2095"/>
        <w:gridCol w:w="2127"/>
        <w:gridCol w:w="2164"/>
      </w:tblGrid>
      <w:tr w:rsidR="00006FAB" w14:paraId="6233A06F" w14:textId="77777777" w:rsidTr="00CF5DAD">
        <w:trPr>
          <w:cnfStyle w:val="100000000000" w:firstRow="1" w:lastRow="0" w:firstColumn="0" w:lastColumn="0" w:oddVBand="0" w:evenVBand="0" w:oddHBand="0" w:evenHBand="0" w:firstRowFirstColumn="0" w:firstRowLastColumn="0" w:lastRowFirstColumn="0" w:lastRowLastColumn="0"/>
        </w:trPr>
        <w:tc>
          <w:tcPr>
            <w:tcW w:w="2180" w:type="dxa"/>
            <w:tcBorders>
              <w:top w:val="single" w:sz="4" w:space="0" w:color="auto"/>
              <w:left w:val="single" w:sz="4" w:space="0" w:color="auto"/>
              <w:bottom w:val="single" w:sz="4" w:space="0" w:color="auto"/>
              <w:right w:val="single" w:sz="4" w:space="0" w:color="auto"/>
            </w:tcBorders>
          </w:tcPr>
          <w:p w14:paraId="4A111C38" w14:textId="77777777" w:rsidR="00006FAB" w:rsidRDefault="00006FAB" w:rsidP="00006FAB">
            <w:pPr>
              <w:ind w:left="0" w:right="0"/>
            </w:pPr>
            <w:r>
              <w:t>Region</w:t>
            </w:r>
          </w:p>
        </w:tc>
        <w:tc>
          <w:tcPr>
            <w:tcW w:w="2180" w:type="dxa"/>
            <w:tcBorders>
              <w:top w:val="single" w:sz="4" w:space="0" w:color="auto"/>
              <w:left w:val="single" w:sz="4" w:space="0" w:color="auto"/>
              <w:bottom w:val="single" w:sz="4" w:space="0" w:color="auto"/>
              <w:right w:val="single" w:sz="4" w:space="0" w:color="auto"/>
            </w:tcBorders>
          </w:tcPr>
          <w:p w14:paraId="0D7467F0" w14:textId="77777777" w:rsidR="00006FAB" w:rsidRDefault="00006FAB" w:rsidP="00006FAB">
            <w:pPr>
              <w:ind w:left="0" w:right="0"/>
            </w:pPr>
            <w:r>
              <w:t>Submission date</w:t>
            </w:r>
          </w:p>
        </w:tc>
        <w:tc>
          <w:tcPr>
            <w:tcW w:w="2180" w:type="dxa"/>
            <w:tcBorders>
              <w:top w:val="single" w:sz="4" w:space="0" w:color="auto"/>
              <w:left w:val="single" w:sz="4" w:space="0" w:color="auto"/>
              <w:bottom w:val="single" w:sz="4" w:space="0" w:color="auto"/>
              <w:right w:val="single" w:sz="4" w:space="0" w:color="auto"/>
            </w:tcBorders>
          </w:tcPr>
          <w:p w14:paraId="45C422A0" w14:textId="77777777" w:rsidR="00006FAB" w:rsidRDefault="00006FAB" w:rsidP="00006FAB">
            <w:pPr>
              <w:ind w:left="0" w:right="0"/>
            </w:pPr>
            <w:r>
              <w:t>Status</w:t>
            </w:r>
          </w:p>
        </w:tc>
        <w:tc>
          <w:tcPr>
            <w:tcW w:w="2180" w:type="dxa"/>
            <w:tcBorders>
              <w:top w:val="single" w:sz="4" w:space="0" w:color="auto"/>
              <w:left w:val="single" w:sz="4" w:space="0" w:color="auto"/>
              <w:bottom w:val="single" w:sz="4" w:space="0" w:color="auto"/>
              <w:right w:val="single" w:sz="4" w:space="0" w:color="auto"/>
            </w:tcBorders>
          </w:tcPr>
          <w:p w14:paraId="1071360F" w14:textId="77777777" w:rsidR="00006FAB" w:rsidRDefault="00006FAB" w:rsidP="00006FAB">
            <w:pPr>
              <w:ind w:left="0" w:right="0"/>
            </w:pPr>
            <w:r>
              <w:t>Approved indications</w:t>
            </w:r>
          </w:p>
        </w:tc>
      </w:tr>
      <w:tr w:rsidR="00006FAB" w14:paraId="5E5025EB" w14:textId="77777777" w:rsidTr="00CF5DAD">
        <w:tc>
          <w:tcPr>
            <w:tcW w:w="2180" w:type="dxa"/>
            <w:tcBorders>
              <w:top w:val="single" w:sz="4" w:space="0" w:color="auto"/>
            </w:tcBorders>
          </w:tcPr>
          <w:p w14:paraId="719EAAFF" w14:textId="13203317" w:rsidR="00006FAB" w:rsidRDefault="00C272D4" w:rsidP="00006FAB">
            <w:pPr>
              <w:ind w:left="0" w:right="0"/>
            </w:pPr>
            <w:r>
              <w:t>United States of America</w:t>
            </w:r>
          </w:p>
        </w:tc>
        <w:tc>
          <w:tcPr>
            <w:tcW w:w="2180" w:type="dxa"/>
            <w:tcBorders>
              <w:top w:val="single" w:sz="4" w:space="0" w:color="auto"/>
            </w:tcBorders>
          </w:tcPr>
          <w:p w14:paraId="6F12EF52" w14:textId="52D3EF35" w:rsidR="00006FAB" w:rsidRDefault="009D752F" w:rsidP="00006FAB">
            <w:pPr>
              <w:ind w:left="0" w:right="0"/>
            </w:pPr>
            <w:r>
              <w:t>24 August</w:t>
            </w:r>
            <w:r w:rsidR="00C272D4">
              <w:t xml:space="preserve"> 2022</w:t>
            </w:r>
          </w:p>
        </w:tc>
        <w:tc>
          <w:tcPr>
            <w:tcW w:w="2180" w:type="dxa"/>
            <w:tcBorders>
              <w:top w:val="single" w:sz="4" w:space="0" w:color="auto"/>
            </w:tcBorders>
          </w:tcPr>
          <w:p w14:paraId="44741234" w14:textId="2A99A4B9" w:rsidR="00006FAB" w:rsidRDefault="00C272D4" w:rsidP="00006FAB">
            <w:pPr>
              <w:ind w:left="0" w:right="0"/>
            </w:pPr>
            <w:r w:rsidRPr="00006FAB">
              <w:t>Under consideration</w:t>
            </w:r>
          </w:p>
        </w:tc>
        <w:tc>
          <w:tcPr>
            <w:tcW w:w="2180" w:type="dxa"/>
            <w:tcBorders>
              <w:top w:val="single" w:sz="4" w:space="0" w:color="auto"/>
            </w:tcBorders>
          </w:tcPr>
          <w:p w14:paraId="33EB20A5" w14:textId="4213BCC5" w:rsidR="00006FAB" w:rsidRDefault="00C272D4" w:rsidP="00006FAB">
            <w:pPr>
              <w:ind w:left="0" w:right="0"/>
            </w:pPr>
            <w:r w:rsidRPr="00006FAB">
              <w:t>Under consideration</w:t>
            </w:r>
          </w:p>
        </w:tc>
      </w:tr>
      <w:tr w:rsidR="00006FAB" w14:paraId="3BAF4B58" w14:textId="77777777" w:rsidTr="00006FAB">
        <w:tc>
          <w:tcPr>
            <w:tcW w:w="2180" w:type="dxa"/>
          </w:tcPr>
          <w:p w14:paraId="43CB8941" w14:textId="513C1627" w:rsidR="00006FAB" w:rsidRDefault="00C272D4" w:rsidP="00006FAB">
            <w:pPr>
              <w:ind w:left="0" w:right="0"/>
            </w:pPr>
            <w:r>
              <w:t>Canada</w:t>
            </w:r>
          </w:p>
        </w:tc>
        <w:tc>
          <w:tcPr>
            <w:tcW w:w="2180" w:type="dxa"/>
          </w:tcPr>
          <w:p w14:paraId="725D5721" w14:textId="62354456" w:rsidR="00006FAB" w:rsidRDefault="00C272D4" w:rsidP="00006FAB">
            <w:pPr>
              <w:ind w:left="0" w:right="0"/>
            </w:pPr>
            <w:r>
              <w:t>30 June 2022</w:t>
            </w:r>
          </w:p>
        </w:tc>
        <w:tc>
          <w:tcPr>
            <w:tcW w:w="2180" w:type="dxa"/>
          </w:tcPr>
          <w:p w14:paraId="01E48900" w14:textId="77777777" w:rsidR="00006FAB" w:rsidRDefault="00006FAB" w:rsidP="00006FAB">
            <w:pPr>
              <w:ind w:left="0" w:right="0"/>
            </w:pPr>
            <w:r w:rsidRPr="00006FAB">
              <w:t>Under consideration</w:t>
            </w:r>
          </w:p>
        </w:tc>
        <w:tc>
          <w:tcPr>
            <w:tcW w:w="2180" w:type="dxa"/>
          </w:tcPr>
          <w:p w14:paraId="376869CA" w14:textId="77777777" w:rsidR="00006FAB" w:rsidRDefault="00006FAB" w:rsidP="00006FAB">
            <w:pPr>
              <w:ind w:left="0" w:right="0"/>
            </w:pPr>
            <w:r w:rsidRPr="00006FAB">
              <w:t>Under consideration</w:t>
            </w:r>
          </w:p>
        </w:tc>
      </w:tr>
      <w:tr w:rsidR="00C272D4" w14:paraId="0674BF8A" w14:textId="77777777" w:rsidTr="00006FAB">
        <w:tc>
          <w:tcPr>
            <w:tcW w:w="2180" w:type="dxa"/>
          </w:tcPr>
          <w:p w14:paraId="70FBA94E" w14:textId="1AECEB6D" w:rsidR="00C272D4" w:rsidRDefault="00C272D4" w:rsidP="00C272D4">
            <w:pPr>
              <w:ind w:left="0"/>
            </w:pPr>
            <w:r>
              <w:t>European Union</w:t>
            </w:r>
          </w:p>
        </w:tc>
        <w:tc>
          <w:tcPr>
            <w:tcW w:w="2180" w:type="dxa"/>
          </w:tcPr>
          <w:p w14:paraId="019B0E6D" w14:textId="2D2400BF" w:rsidR="00C272D4" w:rsidRDefault="00C272D4" w:rsidP="00C272D4">
            <w:pPr>
              <w:ind w:left="0"/>
            </w:pPr>
            <w:r>
              <w:t>16 June 2022</w:t>
            </w:r>
          </w:p>
        </w:tc>
        <w:tc>
          <w:tcPr>
            <w:tcW w:w="2180" w:type="dxa"/>
          </w:tcPr>
          <w:p w14:paraId="34850D17" w14:textId="059BF631" w:rsidR="00C272D4" w:rsidRPr="00006FAB" w:rsidRDefault="00C272D4" w:rsidP="00C272D4">
            <w:pPr>
              <w:ind w:left="0"/>
            </w:pPr>
            <w:r w:rsidRPr="00006FAB">
              <w:t>Under consideration</w:t>
            </w:r>
          </w:p>
        </w:tc>
        <w:tc>
          <w:tcPr>
            <w:tcW w:w="2180" w:type="dxa"/>
          </w:tcPr>
          <w:p w14:paraId="6F540C9C" w14:textId="03D21F7B" w:rsidR="00C272D4" w:rsidRPr="00006FAB" w:rsidRDefault="00C272D4" w:rsidP="00C272D4">
            <w:pPr>
              <w:ind w:left="0"/>
            </w:pPr>
            <w:r w:rsidRPr="00006FAB">
              <w:t>Under consideration</w:t>
            </w:r>
          </w:p>
        </w:tc>
      </w:tr>
      <w:tr w:rsidR="00C272D4" w14:paraId="34F9CE05" w14:textId="77777777" w:rsidTr="00006FAB">
        <w:tc>
          <w:tcPr>
            <w:tcW w:w="2180" w:type="dxa"/>
          </w:tcPr>
          <w:p w14:paraId="119149C6" w14:textId="02B805AD" w:rsidR="00C272D4" w:rsidRDefault="00B02436" w:rsidP="00C272D4">
            <w:pPr>
              <w:ind w:left="0"/>
            </w:pPr>
            <w:r>
              <w:t>United Kingdom</w:t>
            </w:r>
          </w:p>
        </w:tc>
        <w:tc>
          <w:tcPr>
            <w:tcW w:w="2180" w:type="dxa"/>
          </w:tcPr>
          <w:p w14:paraId="0DC7EEE6" w14:textId="5ECFD323" w:rsidR="00C272D4" w:rsidRDefault="00C272D4" w:rsidP="00C272D4">
            <w:pPr>
              <w:ind w:left="0"/>
            </w:pPr>
            <w:r>
              <w:t>21 June 2022</w:t>
            </w:r>
          </w:p>
        </w:tc>
        <w:tc>
          <w:tcPr>
            <w:tcW w:w="2180" w:type="dxa"/>
          </w:tcPr>
          <w:p w14:paraId="4A24A959" w14:textId="52E0E7D2" w:rsidR="00C272D4" w:rsidRPr="00006FAB" w:rsidRDefault="00C272D4" w:rsidP="00C272D4">
            <w:pPr>
              <w:ind w:left="0"/>
            </w:pPr>
            <w:r>
              <w:t>Approved on 15</w:t>
            </w:r>
            <w:r w:rsidR="00350F51">
              <w:t> </w:t>
            </w:r>
            <w:r>
              <w:t>August 2022</w:t>
            </w:r>
          </w:p>
        </w:tc>
        <w:tc>
          <w:tcPr>
            <w:tcW w:w="2180" w:type="dxa"/>
          </w:tcPr>
          <w:p w14:paraId="08D8B7A4" w14:textId="335328DE" w:rsidR="001E2289" w:rsidRPr="001E2289" w:rsidRDefault="001E2289" w:rsidP="001E2289">
            <w:pPr>
              <w:ind w:left="0"/>
              <w:rPr>
                <w:i/>
                <w:iCs/>
              </w:rPr>
            </w:pPr>
            <w:r w:rsidRPr="001E2289">
              <w:rPr>
                <w:i/>
                <w:iCs/>
              </w:rPr>
              <w:t xml:space="preserve">Spikevax </w:t>
            </w:r>
            <w:r w:rsidR="001F436C">
              <w:rPr>
                <w:i/>
                <w:iCs/>
              </w:rPr>
              <w:t>B</w:t>
            </w:r>
            <w:r w:rsidRPr="001E2289">
              <w:rPr>
                <w:i/>
                <w:iCs/>
              </w:rPr>
              <w:t xml:space="preserve">ivalent </w:t>
            </w:r>
            <w:r w:rsidR="001F436C">
              <w:rPr>
                <w:i/>
                <w:iCs/>
              </w:rPr>
              <w:t>O</w:t>
            </w:r>
            <w:r w:rsidR="007F21AA">
              <w:rPr>
                <w:i/>
                <w:iCs/>
              </w:rPr>
              <w:t xml:space="preserve">riginal/Omicron </w:t>
            </w:r>
            <w:r w:rsidRPr="001E2289">
              <w:rPr>
                <w:i/>
                <w:iCs/>
              </w:rPr>
              <w:t>is indicated as a booster dose for active immunisation to prevent COVID-19 caused by SARS-CoV-2 in individuals 18 years of age and older.</w:t>
            </w:r>
          </w:p>
          <w:p w14:paraId="7B819338" w14:textId="7D09B77C" w:rsidR="00C272D4" w:rsidRPr="00006FAB" w:rsidRDefault="001E2289" w:rsidP="001E2289">
            <w:pPr>
              <w:ind w:left="0"/>
            </w:pPr>
            <w:r w:rsidRPr="001E2289">
              <w:rPr>
                <w:i/>
                <w:iCs/>
              </w:rPr>
              <w:t>The use of this vaccine should be in accordance with official recommendations</w:t>
            </w:r>
          </w:p>
        </w:tc>
      </w:tr>
      <w:tr w:rsidR="00C272D4" w14:paraId="6E728579" w14:textId="77777777" w:rsidTr="00006FAB">
        <w:tc>
          <w:tcPr>
            <w:tcW w:w="2180" w:type="dxa"/>
          </w:tcPr>
          <w:p w14:paraId="68B019D0" w14:textId="0494E33E" w:rsidR="00C272D4" w:rsidRDefault="00C272D4" w:rsidP="00C272D4">
            <w:pPr>
              <w:ind w:left="0"/>
            </w:pPr>
            <w:r>
              <w:lastRenderedPageBreak/>
              <w:t>Switzerland</w:t>
            </w:r>
          </w:p>
        </w:tc>
        <w:tc>
          <w:tcPr>
            <w:tcW w:w="2180" w:type="dxa"/>
          </w:tcPr>
          <w:p w14:paraId="46DB372D" w14:textId="5506FF38" w:rsidR="00C272D4" w:rsidRDefault="00C272D4" w:rsidP="00C272D4">
            <w:pPr>
              <w:ind w:left="0"/>
            </w:pPr>
            <w:r>
              <w:t>22 June 2022</w:t>
            </w:r>
          </w:p>
        </w:tc>
        <w:tc>
          <w:tcPr>
            <w:tcW w:w="2180" w:type="dxa"/>
          </w:tcPr>
          <w:p w14:paraId="62E0816D" w14:textId="045BC182" w:rsidR="00C272D4" w:rsidRPr="00006FAB" w:rsidRDefault="00C272D4" w:rsidP="00C272D4">
            <w:pPr>
              <w:ind w:left="0"/>
            </w:pPr>
            <w:r w:rsidRPr="00006FAB">
              <w:t>Under consideration</w:t>
            </w:r>
          </w:p>
        </w:tc>
        <w:tc>
          <w:tcPr>
            <w:tcW w:w="2180" w:type="dxa"/>
          </w:tcPr>
          <w:p w14:paraId="59D228C2" w14:textId="4F1B3CCA" w:rsidR="00C272D4" w:rsidRPr="00006FAB" w:rsidRDefault="00C272D4" w:rsidP="00C272D4">
            <w:pPr>
              <w:ind w:left="0"/>
            </w:pPr>
            <w:r w:rsidRPr="00006FAB">
              <w:t>Under consideration</w:t>
            </w:r>
          </w:p>
        </w:tc>
      </w:tr>
      <w:tr w:rsidR="00C272D4" w14:paraId="538412AC" w14:textId="77777777" w:rsidTr="00006FAB">
        <w:tc>
          <w:tcPr>
            <w:tcW w:w="2180" w:type="dxa"/>
          </w:tcPr>
          <w:p w14:paraId="51EF221E" w14:textId="4C0C81A5" w:rsidR="00C272D4" w:rsidRDefault="00C272D4" w:rsidP="00C272D4">
            <w:pPr>
              <w:ind w:left="0"/>
            </w:pPr>
            <w:r>
              <w:t>Singapore</w:t>
            </w:r>
          </w:p>
        </w:tc>
        <w:tc>
          <w:tcPr>
            <w:tcW w:w="2180" w:type="dxa"/>
          </w:tcPr>
          <w:p w14:paraId="5DFCA76C" w14:textId="2E976A1C" w:rsidR="00C272D4" w:rsidRDefault="00C272D4" w:rsidP="00C272D4">
            <w:pPr>
              <w:ind w:left="0"/>
            </w:pPr>
            <w:r>
              <w:t>22 July 2022</w:t>
            </w:r>
          </w:p>
        </w:tc>
        <w:tc>
          <w:tcPr>
            <w:tcW w:w="2180" w:type="dxa"/>
          </w:tcPr>
          <w:p w14:paraId="40AFC1DC" w14:textId="62F803CC" w:rsidR="00C272D4" w:rsidRPr="00006FAB" w:rsidRDefault="00C272D4" w:rsidP="00C272D4">
            <w:pPr>
              <w:ind w:left="0"/>
            </w:pPr>
            <w:r w:rsidRPr="00006FAB">
              <w:t>Under consideration</w:t>
            </w:r>
          </w:p>
        </w:tc>
        <w:tc>
          <w:tcPr>
            <w:tcW w:w="2180" w:type="dxa"/>
          </w:tcPr>
          <w:p w14:paraId="31ACF6C8" w14:textId="5FB690F5" w:rsidR="00C272D4" w:rsidRPr="00006FAB" w:rsidRDefault="00C272D4" w:rsidP="00C272D4">
            <w:pPr>
              <w:ind w:left="0"/>
            </w:pPr>
            <w:r w:rsidRPr="00006FAB">
              <w:t>Under consideration</w:t>
            </w:r>
          </w:p>
        </w:tc>
      </w:tr>
      <w:tr w:rsidR="00C272D4" w14:paraId="0A0DAE04" w14:textId="77777777" w:rsidTr="00006FAB">
        <w:tc>
          <w:tcPr>
            <w:tcW w:w="2180" w:type="dxa"/>
          </w:tcPr>
          <w:p w14:paraId="27A6F0F6" w14:textId="0815B5F7" w:rsidR="00C272D4" w:rsidRDefault="00C272D4" w:rsidP="00C272D4">
            <w:pPr>
              <w:ind w:left="0"/>
            </w:pPr>
            <w:r>
              <w:t>Japan</w:t>
            </w:r>
          </w:p>
        </w:tc>
        <w:tc>
          <w:tcPr>
            <w:tcW w:w="2180" w:type="dxa"/>
          </w:tcPr>
          <w:p w14:paraId="4A76C616" w14:textId="34A52071" w:rsidR="00C272D4" w:rsidRDefault="00C272D4" w:rsidP="00C272D4">
            <w:pPr>
              <w:ind w:left="0"/>
            </w:pPr>
            <w:r>
              <w:t>10 August 2022</w:t>
            </w:r>
          </w:p>
        </w:tc>
        <w:tc>
          <w:tcPr>
            <w:tcW w:w="2180" w:type="dxa"/>
          </w:tcPr>
          <w:p w14:paraId="499A2716" w14:textId="79E3FDC3" w:rsidR="00C272D4" w:rsidRPr="00006FAB" w:rsidRDefault="00C272D4" w:rsidP="00C272D4">
            <w:pPr>
              <w:ind w:left="0"/>
            </w:pPr>
            <w:r w:rsidRPr="00006FAB">
              <w:t>Under consideration</w:t>
            </w:r>
          </w:p>
        </w:tc>
        <w:tc>
          <w:tcPr>
            <w:tcW w:w="2180" w:type="dxa"/>
          </w:tcPr>
          <w:p w14:paraId="39DA62D1" w14:textId="3A8B1E39" w:rsidR="00C272D4" w:rsidRPr="00006FAB" w:rsidRDefault="00C272D4" w:rsidP="00C272D4">
            <w:pPr>
              <w:ind w:left="0"/>
            </w:pPr>
            <w:r w:rsidRPr="00006FAB">
              <w:t>Under consideration</w:t>
            </w:r>
          </w:p>
        </w:tc>
      </w:tr>
    </w:tbl>
    <w:p w14:paraId="4EEA3B18" w14:textId="77777777" w:rsidR="008E7846" w:rsidRDefault="008E7846" w:rsidP="00940A89">
      <w:pPr>
        <w:pStyle w:val="Heading3"/>
      </w:pPr>
      <w:bookmarkStart w:id="28" w:name="_Toc112833622"/>
      <w:r>
        <w:t>Product Information</w:t>
      </w:r>
      <w:bookmarkEnd w:id="23"/>
      <w:bookmarkEnd w:id="24"/>
      <w:bookmarkEnd w:id="28"/>
    </w:p>
    <w:p w14:paraId="0AE9F68B" w14:textId="471D7E41" w:rsidR="00332715" w:rsidRDefault="00332715" w:rsidP="00332715">
      <w:bookmarkStart w:id="29" w:name="_Toc504480011"/>
      <w:bookmarkStart w:id="30" w:name="_Toc247691506"/>
      <w:bookmarkStart w:id="31" w:name="_Toc314842487"/>
      <w:r>
        <w:t xml:space="preserve">The Product Information (PI) approved with the submission which is described in this AusPAR can be found as Attachment 1. For the most recent PI, please refer to the TGA </w:t>
      </w:r>
      <w:hyperlink r:id="rId15" w:history="1">
        <w:r>
          <w:rPr>
            <w:rStyle w:val="Hyperlink"/>
          </w:rPr>
          <w:t>PI/CMI search facility</w:t>
        </w:r>
        <w:r w:rsidRPr="009556D7">
          <w:rPr>
            <w:rStyle w:val="Hyperlink"/>
            <w:color w:val="auto"/>
            <w:u w:val="none"/>
          </w:rPr>
          <w:t>.</w:t>
        </w:r>
      </w:hyperlink>
    </w:p>
    <w:p w14:paraId="44B20A89" w14:textId="77777777" w:rsidR="00500337" w:rsidRDefault="00500337" w:rsidP="00500337">
      <w:pPr>
        <w:pStyle w:val="Heading2"/>
      </w:pPr>
      <w:bookmarkStart w:id="32" w:name="_Toc112833623"/>
      <w:r>
        <w:t>Registration timeline</w:t>
      </w:r>
      <w:bookmarkEnd w:id="29"/>
      <w:bookmarkEnd w:id="32"/>
    </w:p>
    <w:p w14:paraId="7D4B142A" w14:textId="6BC572FB" w:rsidR="0074163C" w:rsidRPr="00C93EC1" w:rsidRDefault="006719E5" w:rsidP="0074163C">
      <w:r w:rsidRPr="00C93EC1">
        <w:t>Data</w:t>
      </w:r>
      <w:r>
        <w:t xml:space="preserve"> were</w:t>
      </w:r>
      <w:r w:rsidRPr="00C93EC1">
        <w:t xml:space="preserve"> provided as a rolling submission. Under normal circumstances, </w:t>
      </w:r>
      <w:r w:rsidR="00B02436">
        <w:t xml:space="preserve">the </w:t>
      </w:r>
      <w:r w:rsidRPr="00C93EC1">
        <w:t>TGA's assessment (for both provisional</w:t>
      </w:r>
      <w:r w:rsidR="00992875">
        <w:t>;</w:t>
      </w:r>
      <w:r w:rsidR="00992875" w:rsidRPr="00992875">
        <w:rPr>
          <w:vertAlign w:val="superscript"/>
        </w:rPr>
        <w:fldChar w:fldCharType="begin"/>
      </w:r>
      <w:r w:rsidR="00992875" w:rsidRPr="00992875">
        <w:rPr>
          <w:vertAlign w:val="superscript"/>
        </w:rPr>
        <w:instrText xml:space="preserve"> NOTEREF _Ref112070030 \h </w:instrText>
      </w:r>
      <w:r w:rsidR="00992875">
        <w:rPr>
          <w:vertAlign w:val="superscript"/>
        </w:rPr>
        <w:instrText xml:space="preserve"> \* MERGEFORMAT </w:instrText>
      </w:r>
      <w:r w:rsidR="00992875" w:rsidRPr="00992875">
        <w:rPr>
          <w:vertAlign w:val="superscript"/>
        </w:rPr>
      </w:r>
      <w:r w:rsidR="00992875" w:rsidRPr="00992875">
        <w:rPr>
          <w:vertAlign w:val="superscript"/>
        </w:rPr>
        <w:fldChar w:fldCharType="separate"/>
      </w:r>
      <w:r w:rsidR="00D102F3">
        <w:rPr>
          <w:vertAlign w:val="superscript"/>
        </w:rPr>
        <w:t>19</w:t>
      </w:r>
      <w:r w:rsidR="00992875" w:rsidRPr="00992875">
        <w:rPr>
          <w:vertAlign w:val="superscript"/>
        </w:rPr>
        <w:fldChar w:fldCharType="end"/>
      </w:r>
      <w:r w:rsidRPr="00C93EC1">
        <w:t xml:space="preserve"> and general registration) begins once all information to support registration is available. As part of the Department of Health's response to the pandemic, the TGA has agreed to accept rolling data for COVID-19 vaccines and treatments, to enable early evaluation of data as it </w:t>
      </w:r>
      <w:r>
        <w:t>be</w:t>
      </w:r>
      <w:r w:rsidRPr="00C93EC1">
        <w:t xml:space="preserve">comes </w:t>
      </w:r>
      <w:r>
        <w:t>available</w:t>
      </w:r>
      <w:r w:rsidRPr="00C93EC1">
        <w:t>.</w:t>
      </w:r>
      <w:r>
        <w:t xml:space="preserve"> </w:t>
      </w:r>
      <w:r w:rsidR="0074163C" w:rsidRPr="00C93EC1">
        <w:t xml:space="preserve">The following table captures the key steps and dates for this </w:t>
      </w:r>
      <w:r w:rsidR="00804D99">
        <w:t>submission</w:t>
      </w:r>
      <w:r w:rsidR="0074163C" w:rsidRPr="00C93EC1">
        <w:t>.</w:t>
      </w:r>
    </w:p>
    <w:p w14:paraId="7AD3FA39" w14:textId="383AF02D" w:rsidR="0074163C" w:rsidRPr="00C93EC1" w:rsidRDefault="0074163C" w:rsidP="006719E5">
      <w:pPr>
        <w:pStyle w:val="TableTitle"/>
      </w:pPr>
      <w:r>
        <w:t xml:space="preserve">Table </w:t>
      </w:r>
      <w:r w:rsidR="00F43EA9">
        <w:fldChar w:fldCharType="begin"/>
      </w:r>
      <w:r w:rsidR="00F43EA9">
        <w:instrText xml:space="preserve"> SEQ Table \* ARABIC </w:instrText>
      </w:r>
      <w:r w:rsidR="00F43EA9">
        <w:fldChar w:fldCharType="separate"/>
      </w:r>
      <w:r w:rsidR="00D102F3">
        <w:rPr>
          <w:noProof/>
        </w:rPr>
        <w:t>2</w:t>
      </w:r>
      <w:r w:rsidR="00F43EA9">
        <w:rPr>
          <w:noProof/>
        </w:rPr>
        <w:fldChar w:fldCharType="end"/>
      </w:r>
      <w:r>
        <w:t>:</w:t>
      </w:r>
      <w:r w:rsidRPr="006A58A8">
        <w:t xml:space="preserve"> Timeline for Submission PM-20</w:t>
      </w:r>
      <w:r>
        <w:t>2</w:t>
      </w:r>
      <w:r w:rsidR="006719E5">
        <w:t>2</w:t>
      </w:r>
      <w:r w:rsidRPr="006A58A8">
        <w:t>-</w:t>
      </w:r>
      <w:r w:rsidR="006719E5">
        <w:t>02203-</w:t>
      </w:r>
      <w:r w:rsidRPr="006A58A8">
        <w:t>1-</w:t>
      </w:r>
      <w:r w:rsidR="006719E5">
        <w:t>2</w:t>
      </w:r>
    </w:p>
    <w:tbl>
      <w:tblPr>
        <w:tblStyle w:val="TableTGAblue"/>
        <w:tblW w:w="0" w:type="auto"/>
        <w:tblLook w:val="04A0" w:firstRow="1" w:lastRow="0" w:firstColumn="1" w:lastColumn="0" w:noHBand="0" w:noVBand="1"/>
      </w:tblPr>
      <w:tblGrid>
        <w:gridCol w:w="6374"/>
        <w:gridCol w:w="2120"/>
      </w:tblGrid>
      <w:tr w:rsidR="0074163C" w:rsidRPr="00F43EA9" w14:paraId="551BC1C0" w14:textId="77777777" w:rsidTr="00F43EA9">
        <w:trPr>
          <w:cnfStyle w:val="100000000000" w:firstRow="1" w:lastRow="0" w:firstColumn="0" w:lastColumn="0" w:oddVBand="0" w:evenVBand="0" w:oddHBand="0" w:evenHBand="0" w:firstRowFirstColumn="0" w:firstRowLastColumn="0" w:lastRowFirstColumn="0" w:lastRowLastColumn="0"/>
        </w:trPr>
        <w:tc>
          <w:tcPr>
            <w:tcW w:w="6374" w:type="dxa"/>
            <w:tcBorders>
              <w:top w:val="single" w:sz="4" w:space="0" w:color="auto"/>
              <w:left w:val="single" w:sz="4" w:space="0" w:color="auto"/>
              <w:bottom w:val="single" w:sz="4" w:space="0" w:color="auto"/>
              <w:right w:val="single" w:sz="4" w:space="0" w:color="auto"/>
            </w:tcBorders>
          </w:tcPr>
          <w:p w14:paraId="31336467" w14:textId="77777777" w:rsidR="0074163C" w:rsidRPr="00F43EA9" w:rsidRDefault="0074163C" w:rsidP="009E5A87">
            <w:pPr>
              <w:rPr>
                <w:sz w:val="20"/>
                <w:szCs w:val="20"/>
              </w:rPr>
            </w:pPr>
            <w:r w:rsidRPr="00F43EA9">
              <w:rPr>
                <w:sz w:val="20"/>
                <w:szCs w:val="20"/>
              </w:rPr>
              <w:t>Description</w:t>
            </w:r>
          </w:p>
        </w:tc>
        <w:tc>
          <w:tcPr>
            <w:tcW w:w="2120" w:type="dxa"/>
            <w:tcBorders>
              <w:top w:val="single" w:sz="4" w:space="0" w:color="auto"/>
              <w:left w:val="single" w:sz="4" w:space="0" w:color="auto"/>
              <w:bottom w:val="single" w:sz="4" w:space="0" w:color="auto"/>
              <w:right w:val="single" w:sz="4" w:space="0" w:color="auto"/>
            </w:tcBorders>
          </w:tcPr>
          <w:p w14:paraId="1B9F9B76" w14:textId="77777777" w:rsidR="0074163C" w:rsidRPr="00F43EA9" w:rsidRDefault="0074163C" w:rsidP="009E5A87">
            <w:pPr>
              <w:rPr>
                <w:sz w:val="20"/>
                <w:szCs w:val="20"/>
              </w:rPr>
            </w:pPr>
            <w:r w:rsidRPr="00F43EA9">
              <w:rPr>
                <w:sz w:val="20"/>
                <w:szCs w:val="20"/>
              </w:rPr>
              <w:t>Date</w:t>
            </w:r>
          </w:p>
        </w:tc>
      </w:tr>
      <w:tr w:rsidR="0074163C" w:rsidRPr="00F43EA9" w14:paraId="40150EBA" w14:textId="77777777" w:rsidTr="00F43EA9">
        <w:tc>
          <w:tcPr>
            <w:tcW w:w="6374" w:type="dxa"/>
            <w:tcBorders>
              <w:top w:val="single" w:sz="4" w:space="0" w:color="auto"/>
            </w:tcBorders>
          </w:tcPr>
          <w:p w14:paraId="24E4D252" w14:textId="393B1F55" w:rsidR="0074163C" w:rsidRPr="00F43EA9" w:rsidRDefault="0074163C" w:rsidP="009E5A87">
            <w:pPr>
              <w:pStyle w:val="Instructions"/>
              <w:rPr>
                <w:iCs/>
                <w:color w:val="auto"/>
                <w:sz w:val="20"/>
                <w:szCs w:val="20"/>
              </w:rPr>
            </w:pPr>
            <w:r w:rsidRPr="00F43EA9">
              <w:rPr>
                <w:i w:val="0"/>
                <w:iCs/>
                <w:color w:val="auto"/>
                <w:sz w:val="20"/>
                <w:szCs w:val="20"/>
              </w:rPr>
              <w:t>Determination (Provisional)</w:t>
            </w:r>
          </w:p>
        </w:tc>
        <w:tc>
          <w:tcPr>
            <w:tcW w:w="2120" w:type="dxa"/>
            <w:tcBorders>
              <w:top w:val="single" w:sz="4" w:space="0" w:color="auto"/>
            </w:tcBorders>
          </w:tcPr>
          <w:p w14:paraId="79655905" w14:textId="7A85B8B8" w:rsidR="0074163C" w:rsidRPr="00F43EA9" w:rsidRDefault="001E2289" w:rsidP="009E5A87">
            <w:pPr>
              <w:rPr>
                <w:sz w:val="20"/>
                <w:szCs w:val="20"/>
              </w:rPr>
            </w:pPr>
            <w:r w:rsidRPr="00F43EA9">
              <w:rPr>
                <w:sz w:val="20"/>
                <w:szCs w:val="20"/>
              </w:rPr>
              <w:t>27 April 2022</w:t>
            </w:r>
          </w:p>
        </w:tc>
      </w:tr>
      <w:tr w:rsidR="0074163C" w:rsidRPr="00F43EA9" w14:paraId="775DA58E" w14:textId="77777777" w:rsidTr="00F43EA9">
        <w:tc>
          <w:tcPr>
            <w:tcW w:w="6374" w:type="dxa"/>
          </w:tcPr>
          <w:p w14:paraId="02E2BD6E" w14:textId="77777777" w:rsidR="0074163C" w:rsidRPr="00F43EA9" w:rsidRDefault="0074163C" w:rsidP="009E5A87">
            <w:pPr>
              <w:rPr>
                <w:sz w:val="20"/>
                <w:szCs w:val="20"/>
              </w:rPr>
            </w:pPr>
            <w:r w:rsidRPr="00F43EA9">
              <w:rPr>
                <w:sz w:val="20"/>
                <w:szCs w:val="20"/>
              </w:rPr>
              <w:t>Submission dossier accepted and first round evaluation commenced</w:t>
            </w:r>
          </w:p>
        </w:tc>
        <w:tc>
          <w:tcPr>
            <w:tcW w:w="2120" w:type="dxa"/>
          </w:tcPr>
          <w:p w14:paraId="4F89DFDB" w14:textId="0EE1D3CE" w:rsidR="0074163C" w:rsidRPr="00F43EA9" w:rsidRDefault="00435A1C" w:rsidP="009E5A87">
            <w:pPr>
              <w:rPr>
                <w:color w:val="auto"/>
                <w:sz w:val="20"/>
                <w:szCs w:val="20"/>
              </w:rPr>
            </w:pPr>
            <w:r w:rsidRPr="00F43EA9">
              <w:rPr>
                <w:color w:val="auto"/>
                <w:sz w:val="20"/>
                <w:szCs w:val="20"/>
              </w:rPr>
              <w:t>22 June 2022</w:t>
            </w:r>
          </w:p>
        </w:tc>
      </w:tr>
      <w:tr w:rsidR="0074163C" w:rsidRPr="00F43EA9" w14:paraId="1A9A37F9" w14:textId="77777777" w:rsidTr="00F43EA9">
        <w:tc>
          <w:tcPr>
            <w:tcW w:w="6374" w:type="dxa"/>
          </w:tcPr>
          <w:p w14:paraId="5EA536FD" w14:textId="77777777" w:rsidR="0074163C" w:rsidRPr="00F43EA9" w:rsidRDefault="0074163C" w:rsidP="009E5A87">
            <w:pPr>
              <w:rPr>
                <w:sz w:val="20"/>
                <w:szCs w:val="20"/>
              </w:rPr>
            </w:pPr>
            <w:r w:rsidRPr="00F43EA9">
              <w:rPr>
                <w:sz w:val="20"/>
                <w:szCs w:val="20"/>
              </w:rPr>
              <w:t>Evaluation completed</w:t>
            </w:r>
          </w:p>
        </w:tc>
        <w:tc>
          <w:tcPr>
            <w:tcW w:w="2120" w:type="dxa"/>
          </w:tcPr>
          <w:p w14:paraId="033B723D" w14:textId="046B8168" w:rsidR="0074163C" w:rsidRPr="00F43EA9" w:rsidRDefault="00435A1C" w:rsidP="009E5A87">
            <w:pPr>
              <w:rPr>
                <w:color w:val="auto"/>
                <w:sz w:val="20"/>
                <w:szCs w:val="20"/>
              </w:rPr>
            </w:pPr>
            <w:r w:rsidRPr="00F43EA9">
              <w:rPr>
                <w:color w:val="auto"/>
                <w:sz w:val="20"/>
                <w:szCs w:val="20"/>
              </w:rPr>
              <w:t>16 August 2022</w:t>
            </w:r>
          </w:p>
        </w:tc>
      </w:tr>
      <w:tr w:rsidR="0074163C" w:rsidRPr="00F43EA9" w14:paraId="75CEE9EC" w14:textId="77777777" w:rsidTr="00F43EA9">
        <w:tc>
          <w:tcPr>
            <w:tcW w:w="6374" w:type="dxa"/>
          </w:tcPr>
          <w:p w14:paraId="29620C93" w14:textId="3A389B04" w:rsidR="0074163C" w:rsidRPr="00F43EA9" w:rsidRDefault="0074163C" w:rsidP="009E5A87">
            <w:pPr>
              <w:rPr>
                <w:sz w:val="20"/>
                <w:szCs w:val="20"/>
              </w:rPr>
            </w:pPr>
            <w:r w:rsidRPr="00F43EA9">
              <w:rPr>
                <w:sz w:val="20"/>
                <w:szCs w:val="20"/>
              </w:rPr>
              <w:t xml:space="preserve">Delegate’s Overall benefit-risk </w:t>
            </w:r>
            <w:r w:rsidRPr="00F43EA9">
              <w:rPr>
                <w:color w:val="auto"/>
                <w:sz w:val="20"/>
                <w:szCs w:val="20"/>
              </w:rPr>
              <w:t>assessment and request for Advisory Committee advice</w:t>
            </w:r>
          </w:p>
        </w:tc>
        <w:tc>
          <w:tcPr>
            <w:tcW w:w="2120" w:type="dxa"/>
          </w:tcPr>
          <w:p w14:paraId="318927F7" w14:textId="59EAB2ED" w:rsidR="0074163C" w:rsidRPr="00F43EA9" w:rsidRDefault="006719E5" w:rsidP="009E5A87">
            <w:pPr>
              <w:rPr>
                <w:sz w:val="20"/>
                <w:szCs w:val="20"/>
              </w:rPr>
            </w:pPr>
            <w:r w:rsidRPr="00F43EA9">
              <w:rPr>
                <w:sz w:val="20"/>
                <w:szCs w:val="20"/>
              </w:rPr>
              <w:t>18 August 2022</w:t>
            </w:r>
          </w:p>
        </w:tc>
      </w:tr>
      <w:tr w:rsidR="0074163C" w:rsidRPr="00F43EA9" w14:paraId="05573365" w14:textId="77777777" w:rsidTr="00F43EA9">
        <w:tc>
          <w:tcPr>
            <w:tcW w:w="6374" w:type="dxa"/>
          </w:tcPr>
          <w:p w14:paraId="1DF0EF9C" w14:textId="77777777" w:rsidR="0074163C" w:rsidRPr="00F43EA9" w:rsidRDefault="0074163C" w:rsidP="009E5A87">
            <w:pPr>
              <w:rPr>
                <w:sz w:val="20"/>
                <w:szCs w:val="20"/>
              </w:rPr>
            </w:pPr>
            <w:r w:rsidRPr="00F43EA9">
              <w:rPr>
                <w:sz w:val="20"/>
                <w:szCs w:val="20"/>
              </w:rPr>
              <w:t>Sponsor’s pre-Advisory Committee response</w:t>
            </w:r>
          </w:p>
        </w:tc>
        <w:tc>
          <w:tcPr>
            <w:tcW w:w="2120" w:type="dxa"/>
          </w:tcPr>
          <w:p w14:paraId="3F24E44D" w14:textId="411BAE6F" w:rsidR="0074163C" w:rsidRPr="00F43EA9" w:rsidRDefault="006719E5" w:rsidP="009E5A87">
            <w:pPr>
              <w:rPr>
                <w:sz w:val="20"/>
                <w:szCs w:val="20"/>
              </w:rPr>
            </w:pPr>
            <w:r w:rsidRPr="00F43EA9">
              <w:rPr>
                <w:sz w:val="20"/>
                <w:szCs w:val="20"/>
              </w:rPr>
              <w:t>19 August 2022</w:t>
            </w:r>
          </w:p>
        </w:tc>
      </w:tr>
      <w:tr w:rsidR="0074163C" w:rsidRPr="00F43EA9" w14:paraId="125556DA" w14:textId="77777777" w:rsidTr="00F43EA9">
        <w:tc>
          <w:tcPr>
            <w:tcW w:w="6374" w:type="dxa"/>
          </w:tcPr>
          <w:p w14:paraId="7D5B5FDC" w14:textId="77777777" w:rsidR="0074163C" w:rsidRPr="00F43EA9" w:rsidRDefault="0074163C" w:rsidP="009E5A87">
            <w:pPr>
              <w:rPr>
                <w:sz w:val="20"/>
                <w:szCs w:val="20"/>
              </w:rPr>
            </w:pPr>
            <w:r w:rsidRPr="00F43EA9">
              <w:rPr>
                <w:sz w:val="20"/>
                <w:szCs w:val="20"/>
              </w:rPr>
              <w:t>Advisory Committee meeting</w:t>
            </w:r>
          </w:p>
        </w:tc>
        <w:tc>
          <w:tcPr>
            <w:tcW w:w="2120" w:type="dxa"/>
          </w:tcPr>
          <w:p w14:paraId="357987A3" w14:textId="65B7DAF3" w:rsidR="0074163C" w:rsidRPr="00F43EA9" w:rsidRDefault="006719E5" w:rsidP="009E5A87">
            <w:pPr>
              <w:rPr>
                <w:sz w:val="20"/>
                <w:szCs w:val="20"/>
              </w:rPr>
            </w:pPr>
            <w:r w:rsidRPr="00F43EA9">
              <w:rPr>
                <w:sz w:val="20"/>
                <w:szCs w:val="20"/>
              </w:rPr>
              <w:t>24 August 2022</w:t>
            </w:r>
          </w:p>
        </w:tc>
      </w:tr>
      <w:tr w:rsidR="0074163C" w:rsidRPr="00F43EA9" w14:paraId="7690D2EC" w14:textId="77777777" w:rsidTr="00F43EA9">
        <w:tc>
          <w:tcPr>
            <w:tcW w:w="6374" w:type="dxa"/>
          </w:tcPr>
          <w:p w14:paraId="6EF1AC7A" w14:textId="77777777" w:rsidR="0074163C" w:rsidRPr="00F43EA9" w:rsidRDefault="0074163C" w:rsidP="009E5A87">
            <w:pPr>
              <w:rPr>
                <w:sz w:val="20"/>
                <w:szCs w:val="20"/>
              </w:rPr>
            </w:pPr>
            <w:r w:rsidRPr="00F43EA9">
              <w:rPr>
                <w:sz w:val="20"/>
                <w:szCs w:val="20"/>
              </w:rPr>
              <w:t>Registration decision (Outcome)</w:t>
            </w:r>
          </w:p>
        </w:tc>
        <w:tc>
          <w:tcPr>
            <w:tcW w:w="2120" w:type="dxa"/>
          </w:tcPr>
          <w:p w14:paraId="4872C8DE" w14:textId="414D5E14" w:rsidR="0074163C" w:rsidRPr="00F43EA9" w:rsidRDefault="00435A1C" w:rsidP="009E5A87">
            <w:pPr>
              <w:rPr>
                <w:color w:val="auto"/>
                <w:sz w:val="20"/>
                <w:szCs w:val="20"/>
              </w:rPr>
            </w:pPr>
            <w:r w:rsidRPr="00F43EA9">
              <w:rPr>
                <w:color w:val="auto"/>
                <w:sz w:val="20"/>
                <w:szCs w:val="20"/>
              </w:rPr>
              <w:t>29 August 2022</w:t>
            </w:r>
          </w:p>
        </w:tc>
      </w:tr>
      <w:tr w:rsidR="0074163C" w:rsidRPr="00F43EA9" w14:paraId="5A95C5B3" w14:textId="77777777" w:rsidTr="00F43EA9">
        <w:tc>
          <w:tcPr>
            <w:tcW w:w="6374" w:type="dxa"/>
          </w:tcPr>
          <w:p w14:paraId="2CF8A59E" w14:textId="77777777" w:rsidR="0074163C" w:rsidRPr="00F43EA9" w:rsidRDefault="0074163C" w:rsidP="009E5A87">
            <w:pPr>
              <w:rPr>
                <w:sz w:val="20"/>
                <w:szCs w:val="20"/>
              </w:rPr>
            </w:pPr>
            <w:r w:rsidRPr="00F43EA9">
              <w:rPr>
                <w:sz w:val="20"/>
                <w:szCs w:val="20"/>
              </w:rPr>
              <w:t>Completion of administrative activities and registration on the ARTG</w:t>
            </w:r>
          </w:p>
        </w:tc>
        <w:tc>
          <w:tcPr>
            <w:tcW w:w="2120" w:type="dxa"/>
          </w:tcPr>
          <w:p w14:paraId="59F657DE" w14:textId="38C8DECC" w:rsidR="0074163C" w:rsidRPr="00F43EA9" w:rsidRDefault="00D102F3" w:rsidP="009E5A87">
            <w:pPr>
              <w:rPr>
                <w:color w:val="auto"/>
                <w:sz w:val="20"/>
                <w:szCs w:val="20"/>
              </w:rPr>
            </w:pPr>
            <w:r w:rsidRPr="00F43EA9">
              <w:rPr>
                <w:color w:val="auto"/>
                <w:sz w:val="20"/>
                <w:szCs w:val="20"/>
              </w:rPr>
              <w:t>30 August 2022</w:t>
            </w:r>
          </w:p>
        </w:tc>
      </w:tr>
      <w:tr w:rsidR="0074163C" w:rsidRPr="00F43EA9" w14:paraId="6BA19417" w14:textId="77777777" w:rsidTr="00F43EA9">
        <w:tc>
          <w:tcPr>
            <w:tcW w:w="6374" w:type="dxa"/>
          </w:tcPr>
          <w:p w14:paraId="3ECE4D01" w14:textId="77777777" w:rsidR="0074163C" w:rsidRPr="00F43EA9" w:rsidRDefault="0074163C" w:rsidP="009E5A87">
            <w:pPr>
              <w:rPr>
                <w:sz w:val="20"/>
                <w:szCs w:val="20"/>
              </w:rPr>
            </w:pPr>
            <w:r w:rsidRPr="00F43EA9">
              <w:rPr>
                <w:sz w:val="20"/>
                <w:szCs w:val="20"/>
              </w:rPr>
              <w:t>Number of working days from submission dossier acceptance to registration decision*</w:t>
            </w:r>
          </w:p>
        </w:tc>
        <w:tc>
          <w:tcPr>
            <w:tcW w:w="2120" w:type="dxa"/>
          </w:tcPr>
          <w:p w14:paraId="0B6CE533" w14:textId="24F23103" w:rsidR="0074163C" w:rsidRPr="00F43EA9" w:rsidRDefault="00435A1C" w:rsidP="009E5A87">
            <w:pPr>
              <w:rPr>
                <w:color w:val="auto"/>
                <w:sz w:val="20"/>
                <w:szCs w:val="20"/>
              </w:rPr>
            </w:pPr>
            <w:r w:rsidRPr="00F43EA9">
              <w:rPr>
                <w:color w:val="auto"/>
                <w:sz w:val="20"/>
                <w:szCs w:val="20"/>
              </w:rPr>
              <w:t>49</w:t>
            </w:r>
          </w:p>
        </w:tc>
      </w:tr>
    </w:tbl>
    <w:p w14:paraId="30BB29E5"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174313A1" w14:textId="77777777" w:rsidR="008E7846" w:rsidRPr="00792A32" w:rsidRDefault="00006FAB" w:rsidP="008E7846">
      <w:pPr>
        <w:pStyle w:val="Heading2"/>
      </w:pPr>
      <w:bookmarkStart w:id="33" w:name="_Toc196046504"/>
      <w:bookmarkStart w:id="34" w:name="_Toc247691527"/>
      <w:bookmarkStart w:id="35" w:name="_Toc314842510"/>
      <w:bookmarkStart w:id="36" w:name="_Toc112833624"/>
      <w:bookmarkStart w:id="37" w:name="_Toc163441390"/>
      <w:bookmarkEnd w:id="1"/>
      <w:bookmarkEnd w:id="30"/>
      <w:bookmarkEnd w:id="31"/>
      <w:r w:rsidRPr="00006FAB">
        <w:lastRenderedPageBreak/>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3"/>
      <w:bookmarkEnd w:id="34"/>
      <w:bookmarkEnd w:id="35"/>
      <w:bookmarkEnd w:id="36"/>
    </w:p>
    <w:p w14:paraId="0354CE60" w14:textId="77777777" w:rsidR="005A79F5" w:rsidRDefault="005A79F5" w:rsidP="006719E5">
      <w:bookmarkStart w:id="38" w:name="_Toc247691528"/>
      <w:bookmarkStart w:id="39" w:name="_Toc314842511"/>
      <w:r w:rsidRPr="005A79F5">
        <w:t>A summary of the TGA’s assessment for this submission is provided below</w:t>
      </w:r>
      <w:r>
        <w:t>.</w:t>
      </w:r>
    </w:p>
    <w:p w14:paraId="47D7909F" w14:textId="2854557B" w:rsidR="0074163C" w:rsidRDefault="006719E5" w:rsidP="006719E5">
      <w:r>
        <w:t xml:space="preserve">The Delegate referred to the following </w:t>
      </w:r>
      <w:r w:rsidR="0074163C">
        <w:t xml:space="preserve">guidelines </w:t>
      </w:r>
      <w:r>
        <w:t xml:space="preserve">and </w:t>
      </w:r>
      <w:r w:rsidR="0074163C">
        <w:t>guidance documents</w:t>
      </w:r>
      <w:r w:rsidR="00350F51">
        <w:t xml:space="preserve"> as being applicable to this submission</w:t>
      </w:r>
      <w:r>
        <w:t>:</w:t>
      </w:r>
    </w:p>
    <w:p w14:paraId="613C0C29" w14:textId="2BC0B810" w:rsidR="006719E5" w:rsidRPr="003D23BA" w:rsidRDefault="006719E5" w:rsidP="006719E5">
      <w:pPr>
        <w:pStyle w:val="ListBullet"/>
      </w:pPr>
      <w:r w:rsidRPr="003D23BA">
        <w:t xml:space="preserve">TGA </w:t>
      </w:r>
      <w:r w:rsidR="005C0BB1">
        <w:t>g</w:t>
      </w:r>
      <w:r w:rsidRPr="003D23BA">
        <w:t xml:space="preserve">uidance 8: </w:t>
      </w:r>
      <w:r w:rsidRPr="006719E5">
        <w:t>Product information</w:t>
      </w:r>
      <w:r w:rsidRPr="003D23BA">
        <w:t>.</w:t>
      </w:r>
      <w:r>
        <w:rPr>
          <w:rStyle w:val="FootnoteReference"/>
        </w:rPr>
        <w:footnoteReference w:id="38"/>
      </w:r>
    </w:p>
    <w:p w14:paraId="57AB6C91" w14:textId="4487706B" w:rsidR="006719E5" w:rsidRPr="003D23BA" w:rsidRDefault="006719E5" w:rsidP="006719E5">
      <w:pPr>
        <w:pStyle w:val="ListBullet"/>
      </w:pPr>
      <w:r w:rsidRPr="003D23BA">
        <w:t>TGA guidance</w:t>
      </w:r>
      <w:r>
        <w:t xml:space="preserve"> on f</w:t>
      </w:r>
      <w:r w:rsidRPr="006719E5">
        <w:t>orm for providing product information</w:t>
      </w:r>
      <w:r w:rsidRPr="003D23BA">
        <w:t>.</w:t>
      </w:r>
      <w:r>
        <w:rPr>
          <w:rStyle w:val="FootnoteReference"/>
        </w:rPr>
        <w:footnoteReference w:id="39"/>
      </w:r>
    </w:p>
    <w:p w14:paraId="11160877" w14:textId="06018251" w:rsidR="006719E5" w:rsidRPr="003D23BA" w:rsidRDefault="006719E5" w:rsidP="005C0BB1">
      <w:pPr>
        <w:pStyle w:val="ListBullet"/>
      </w:pPr>
      <w:r w:rsidRPr="003D23BA">
        <w:t>ACCESS Consortium</w:t>
      </w:r>
      <w:r w:rsidR="005C0BB1">
        <w:t xml:space="preserve"> </w:t>
      </w:r>
      <w:r w:rsidRPr="005C0BB1">
        <w:t>statement on COVID-19 vaccines evidence</w:t>
      </w:r>
      <w:r w:rsidR="005C0BB1">
        <w:t>.</w:t>
      </w:r>
      <w:r w:rsidR="005C0BB1">
        <w:rPr>
          <w:rStyle w:val="FootnoteReference"/>
        </w:rPr>
        <w:footnoteReference w:id="40"/>
      </w:r>
    </w:p>
    <w:p w14:paraId="154F7189" w14:textId="1F778D35" w:rsidR="006719E5" w:rsidRPr="003D23BA" w:rsidRDefault="006719E5" w:rsidP="006719E5">
      <w:pPr>
        <w:pStyle w:val="ListBullet"/>
      </w:pPr>
      <w:r w:rsidRPr="003D23BA">
        <w:t>A</w:t>
      </w:r>
      <w:r w:rsidR="005C0BB1">
        <w:t>CCESS</w:t>
      </w:r>
      <w:r w:rsidRPr="003D23BA">
        <w:t xml:space="preserve"> Consortium: </w:t>
      </w:r>
      <w:r w:rsidRPr="005C0BB1">
        <w:t xml:space="preserve">Alignment with ICMRA consensus on </w:t>
      </w:r>
      <w:proofErr w:type="spellStart"/>
      <w:r w:rsidRPr="005C0BB1">
        <w:t>immunobridging</w:t>
      </w:r>
      <w:proofErr w:type="spellEnd"/>
      <w:r w:rsidRPr="005C0BB1">
        <w:t xml:space="preserve"> for authorising new COVID-19 vaccines</w:t>
      </w:r>
      <w:r w:rsidR="005C0BB1">
        <w:t>.</w:t>
      </w:r>
      <w:r w:rsidR="005C0BB1">
        <w:rPr>
          <w:rStyle w:val="FootnoteReference"/>
        </w:rPr>
        <w:footnoteReference w:id="41"/>
      </w:r>
    </w:p>
    <w:p w14:paraId="23C34001" w14:textId="1A94FE2B" w:rsidR="006719E5" w:rsidRPr="003D23BA" w:rsidRDefault="000176EC" w:rsidP="006719E5">
      <w:pPr>
        <w:pStyle w:val="ListBullet"/>
      </w:pPr>
      <w:r>
        <w:t>European Medicine Agency (EMA) Committee for medicinal product for human use (CHMP): Guidelines on clinical evaluation of new vaccine</w:t>
      </w:r>
      <w:r w:rsidR="006719E5" w:rsidRPr="003D23BA">
        <w:t>.</w:t>
      </w:r>
      <w:r>
        <w:rPr>
          <w:rStyle w:val="FootnoteReference"/>
        </w:rPr>
        <w:footnoteReference w:id="42"/>
      </w:r>
    </w:p>
    <w:p w14:paraId="563E495D" w14:textId="3BEB8D72" w:rsidR="006719E5" w:rsidRPr="003D23BA" w:rsidRDefault="006719E5" w:rsidP="006719E5">
      <w:pPr>
        <w:pStyle w:val="ListBullet"/>
      </w:pPr>
      <w:r w:rsidRPr="003D23BA">
        <w:t>EMA</w:t>
      </w:r>
      <w:r w:rsidR="000176EC">
        <w:t xml:space="preserve"> consideration on COVID-19 vaccine </w:t>
      </w:r>
      <w:r w:rsidR="00475D2A">
        <w:t>approval.</w:t>
      </w:r>
      <w:r w:rsidR="000176EC">
        <w:rPr>
          <w:rStyle w:val="FootnoteReference"/>
        </w:rPr>
        <w:footnoteReference w:id="43"/>
      </w:r>
    </w:p>
    <w:p w14:paraId="2E916687" w14:textId="5FA33EB5" w:rsidR="006719E5" w:rsidRPr="003D23BA" w:rsidRDefault="00475D2A" w:rsidP="006719E5">
      <w:pPr>
        <w:pStyle w:val="ListBullet"/>
      </w:pPr>
      <w:r>
        <w:t>Food Drug Administration (</w:t>
      </w:r>
      <w:r w:rsidR="006719E5" w:rsidRPr="003D23BA">
        <w:t>FDA</w:t>
      </w:r>
      <w:r>
        <w:t>) United States (US), Guidance for industry: Development and licensure of vaccines to prevent COVID-19.</w:t>
      </w:r>
      <w:r>
        <w:rPr>
          <w:rStyle w:val="FootnoteReference"/>
        </w:rPr>
        <w:footnoteReference w:id="44"/>
      </w:r>
    </w:p>
    <w:p w14:paraId="1B17188B" w14:textId="44DC08F5" w:rsidR="006719E5" w:rsidRPr="003D23BA" w:rsidRDefault="00B02436" w:rsidP="006719E5">
      <w:pPr>
        <w:pStyle w:val="ListBullet"/>
      </w:pPr>
      <w:r>
        <w:t xml:space="preserve">US </w:t>
      </w:r>
      <w:r w:rsidR="006719E5" w:rsidRPr="003D23BA">
        <w:t>FDA</w:t>
      </w:r>
      <w:r w:rsidR="00475D2A">
        <w:t xml:space="preserve">, Guidance for industry: Emergency </w:t>
      </w:r>
      <w:r w:rsidR="00741008">
        <w:t>U</w:t>
      </w:r>
      <w:r w:rsidR="00475D2A">
        <w:t xml:space="preserve">se </w:t>
      </w:r>
      <w:r w:rsidR="00741008">
        <w:t>A</w:t>
      </w:r>
      <w:r w:rsidR="00475D2A">
        <w:t>uthorization for vaccine to prevent COVID-19.</w:t>
      </w:r>
      <w:r w:rsidR="00475D2A">
        <w:rPr>
          <w:rStyle w:val="FootnoteReference"/>
        </w:rPr>
        <w:footnoteReference w:id="45"/>
      </w:r>
    </w:p>
    <w:p w14:paraId="60155B9E" w14:textId="485083A2" w:rsidR="006719E5" w:rsidRDefault="00B02436" w:rsidP="006719E5">
      <w:pPr>
        <w:pStyle w:val="ListBullet"/>
      </w:pPr>
      <w:r>
        <w:t xml:space="preserve">US </w:t>
      </w:r>
      <w:r w:rsidR="00475D2A">
        <w:t>FDA, Guidance for industry. COVID-19: Developing Drugs and Biological Products for Treatment or Prevention.</w:t>
      </w:r>
      <w:r w:rsidR="00475D2A">
        <w:rPr>
          <w:rStyle w:val="FootnoteReference"/>
        </w:rPr>
        <w:footnoteReference w:id="46"/>
      </w:r>
    </w:p>
    <w:p w14:paraId="796FA413" w14:textId="0FF4ACC8" w:rsidR="006719E5" w:rsidRPr="006719E5" w:rsidRDefault="006719E5" w:rsidP="006719E5">
      <w:pPr>
        <w:pStyle w:val="ListBullet"/>
      </w:pPr>
      <w:r>
        <w:rPr>
          <w:lang w:eastAsia="ja-JP"/>
        </w:rPr>
        <w:t>WHO</w:t>
      </w:r>
      <w:r w:rsidR="00475D2A">
        <w:rPr>
          <w:lang w:eastAsia="ja-JP"/>
        </w:rPr>
        <w:t xml:space="preserve">; Design of vaccine efficacy trials to be used during public health emergencies – points of consideration and key </w:t>
      </w:r>
      <w:proofErr w:type="gramStart"/>
      <w:r w:rsidR="00475D2A">
        <w:rPr>
          <w:lang w:eastAsia="ja-JP"/>
        </w:rPr>
        <w:t>principles.</w:t>
      </w:r>
      <w:proofErr w:type="gramEnd"/>
      <w:r w:rsidR="00475D2A">
        <w:rPr>
          <w:rStyle w:val="FootnoteReference"/>
          <w:lang w:eastAsia="ja-JP"/>
        </w:rPr>
        <w:footnoteReference w:id="47"/>
      </w:r>
    </w:p>
    <w:p w14:paraId="33D3F61C" w14:textId="77777777" w:rsidR="008E7846" w:rsidRDefault="008E7846" w:rsidP="008E7846">
      <w:pPr>
        <w:pStyle w:val="Heading3"/>
      </w:pPr>
      <w:bookmarkStart w:id="40" w:name="_Toc112833625"/>
      <w:r>
        <w:t>Quality</w:t>
      </w:r>
      <w:bookmarkEnd w:id="38"/>
      <w:bookmarkEnd w:id="39"/>
      <w:bookmarkEnd w:id="40"/>
    </w:p>
    <w:p w14:paraId="439BB822" w14:textId="0D18177F" w:rsidR="009D752F" w:rsidRDefault="00350F51" w:rsidP="009D752F">
      <w:bookmarkStart w:id="41" w:name="_Toc314842512"/>
      <w:r>
        <w:t xml:space="preserve">The </w:t>
      </w:r>
      <w:r w:rsidR="00D73133" w:rsidRPr="00D73133">
        <w:t xml:space="preserve">Spikevax </w:t>
      </w:r>
      <w:r w:rsidR="00A67C77">
        <w:t>B</w:t>
      </w:r>
      <w:r w:rsidR="00D73133" w:rsidRPr="00D73133">
        <w:t xml:space="preserve">ivalent </w:t>
      </w:r>
      <w:r w:rsidR="00A67C77">
        <w:t>O</w:t>
      </w:r>
      <w:r w:rsidR="007F21AA">
        <w:t xml:space="preserve">riginal/Omicron </w:t>
      </w:r>
      <w:r>
        <w:t xml:space="preserve">vaccine </w:t>
      </w:r>
      <w:r w:rsidR="00D73133" w:rsidRPr="00D73133">
        <w:t>(</w:t>
      </w:r>
      <w:r>
        <w:t xml:space="preserve">drug development code: </w:t>
      </w:r>
      <w:r w:rsidR="00D73133" w:rsidRPr="00D73133">
        <w:t>mRNA</w:t>
      </w:r>
      <w:r>
        <w:t> </w:t>
      </w:r>
      <w:r w:rsidR="00D73133" w:rsidRPr="00D73133">
        <w:t xml:space="preserve">1273.214) comprises of </w:t>
      </w:r>
      <w:r w:rsidR="0041532D">
        <w:t>two</w:t>
      </w:r>
      <w:r w:rsidR="00D73133" w:rsidRPr="00D73133">
        <w:t xml:space="preserve"> specific nucleoside</w:t>
      </w:r>
      <w:r w:rsidR="00E865BF">
        <w:t xml:space="preserve"> </w:t>
      </w:r>
      <w:r w:rsidR="00D73133" w:rsidRPr="00D73133">
        <w:t>modified mRNA</w:t>
      </w:r>
      <w:r w:rsidR="00B02436">
        <w:t xml:space="preserve"> sequences</w:t>
      </w:r>
      <w:r w:rsidR="00D73133" w:rsidRPr="00D73133">
        <w:t xml:space="preserve"> that </w:t>
      </w:r>
      <w:r w:rsidR="00B02436">
        <w:t xml:space="preserve">each </w:t>
      </w:r>
      <w:r w:rsidR="00D73133" w:rsidRPr="00D73133">
        <w:t>encode</w:t>
      </w:r>
      <w:r w:rsidR="00B02436">
        <w:t xml:space="preserve"> for</w:t>
      </w:r>
      <w:r w:rsidR="00D73133" w:rsidRPr="00D73133">
        <w:t xml:space="preserve"> the viral spike protein of </w:t>
      </w:r>
      <w:r w:rsidR="004F7421">
        <w:t xml:space="preserve">two </w:t>
      </w:r>
      <w:r w:rsidR="00D73133" w:rsidRPr="00D73133">
        <w:t>SARS</w:t>
      </w:r>
      <w:r w:rsidR="0041532D">
        <w:noBreakHyphen/>
      </w:r>
      <w:r w:rsidR="00D73133" w:rsidRPr="00D73133">
        <w:t>CoV</w:t>
      </w:r>
      <w:r w:rsidR="0041532D">
        <w:noBreakHyphen/>
      </w:r>
      <w:r w:rsidR="00D73133" w:rsidRPr="00D73133">
        <w:t>2</w:t>
      </w:r>
      <w:r w:rsidR="004F7421">
        <w:t xml:space="preserve"> variants</w:t>
      </w:r>
      <w:r w:rsidR="00D73133">
        <w:t xml:space="preserve">. </w:t>
      </w:r>
      <w:r w:rsidR="00D73133" w:rsidRPr="00D73133">
        <w:t>The mRNA is embedded in lipid nanoparticles</w:t>
      </w:r>
      <w:r w:rsidR="0041532D">
        <w:t>.</w:t>
      </w:r>
    </w:p>
    <w:p w14:paraId="2FAE6D95" w14:textId="704A1F60" w:rsidR="00D73133" w:rsidRPr="00D73133" w:rsidRDefault="00D73133" w:rsidP="009D752F">
      <w:pPr>
        <w:pStyle w:val="ListBullet"/>
      </w:pPr>
      <w:r w:rsidRPr="00D73133">
        <w:lastRenderedPageBreak/>
        <w:t>Elasomeran (</w:t>
      </w:r>
      <w:r w:rsidR="00350F51">
        <w:t xml:space="preserve">drug development code: </w:t>
      </w:r>
      <w:r w:rsidRPr="00D73133">
        <w:t xml:space="preserve">mRNA-1273) </w:t>
      </w:r>
      <w:r>
        <w:t>c</w:t>
      </w:r>
      <w:r w:rsidRPr="00D73133">
        <w:t xml:space="preserve">ontains </w:t>
      </w:r>
      <w:r>
        <w:t>the</w:t>
      </w:r>
      <w:r w:rsidRPr="00D73133">
        <w:t xml:space="preserve"> mRNA encoding for the </w:t>
      </w:r>
      <w:r>
        <w:t xml:space="preserve">spike protein of </w:t>
      </w:r>
      <w:r w:rsidRPr="00D73133">
        <w:t>SARS</w:t>
      </w:r>
      <w:r w:rsidR="0041532D">
        <w:noBreakHyphen/>
      </w:r>
      <w:r w:rsidRPr="00D73133">
        <w:t>CoV</w:t>
      </w:r>
      <w:r w:rsidR="0041532D">
        <w:noBreakHyphen/>
      </w:r>
      <w:r w:rsidRPr="00D73133">
        <w:t>2</w:t>
      </w:r>
      <w:r>
        <w:t xml:space="preserve"> </w:t>
      </w:r>
      <w:r w:rsidRPr="00D73133">
        <w:t xml:space="preserve">of </w:t>
      </w:r>
      <w:r>
        <w:t xml:space="preserve">the </w:t>
      </w:r>
      <w:r w:rsidR="00266C33">
        <w:t>ancestral</w:t>
      </w:r>
      <w:r>
        <w:t xml:space="preserve"> </w:t>
      </w:r>
      <w:proofErr w:type="gramStart"/>
      <w:r>
        <w:t>strain</w:t>
      </w:r>
      <w:r w:rsidRPr="00D73133">
        <w:t>;</w:t>
      </w:r>
      <w:proofErr w:type="gramEnd"/>
    </w:p>
    <w:p w14:paraId="51AEC35F" w14:textId="66A2A793" w:rsidR="00D73133" w:rsidRPr="00D73133" w:rsidRDefault="00D73133" w:rsidP="00D73133">
      <w:pPr>
        <w:pStyle w:val="ListBullet"/>
      </w:pPr>
      <w:proofErr w:type="spellStart"/>
      <w:r w:rsidRPr="00D73133">
        <w:t>Imelasomeran</w:t>
      </w:r>
      <w:proofErr w:type="spellEnd"/>
      <w:r w:rsidRPr="00D73133">
        <w:t xml:space="preserve"> (</w:t>
      </w:r>
      <w:r w:rsidR="00350F51">
        <w:t xml:space="preserve">drug development code: </w:t>
      </w:r>
      <w:r w:rsidRPr="00D73133">
        <w:t xml:space="preserve">mRNA-1273.529) </w:t>
      </w:r>
      <w:r>
        <w:t>c</w:t>
      </w:r>
      <w:r w:rsidRPr="00D73133">
        <w:t xml:space="preserve">ontains </w:t>
      </w:r>
      <w:r>
        <w:t>the</w:t>
      </w:r>
      <w:r w:rsidRPr="00D73133">
        <w:t xml:space="preserve"> mRNA that encodes for </w:t>
      </w:r>
      <w:r>
        <w:t>the spike protein of the</w:t>
      </w:r>
      <w:r w:rsidRPr="00D73133">
        <w:t xml:space="preserve"> SARS-CoV-2 B.1.1.529 (Omicron) variant.</w:t>
      </w:r>
    </w:p>
    <w:p w14:paraId="1284CF00" w14:textId="236186B1" w:rsidR="00D73133" w:rsidRPr="00D73133" w:rsidRDefault="00D73133" w:rsidP="00D73133">
      <w:r w:rsidRPr="00D73133">
        <w:t xml:space="preserve">Spikevax </w:t>
      </w:r>
      <w:r w:rsidR="00A67C77">
        <w:t>B</w:t>
      </w:r>
      <w:r w:rsidRPr="00D73133">
        <w:t xml:space="preserve">ivalent </w:t>
      </w:r>
      <w:r w:rsidR="00A67C77">
        <w:t>O</w:t>
      </w:r>
      <w:r w:rsidR="007F21AA">
        <w:t xml:space="preserve">riginal/Omicron </w:t>
      </w:r>
      <w:r w:rsidRPr="00D73133">
        <w:t xml:space="preserve">is preservative-free and supplied frozen at -50°C to </w:t>
      </w:r>
      <w:r w:rsidR="00350F51">
        <w:noBreakHyphen/>
      </w:r>
      <w:r w:rsidRPr="00D73133">
        <w:t>15°C as a ready to use solution and once thawed the vaccine should not be re-frozen, with the following pack presentations:</w:t>
      </w:r>
    </w:p>
    <w:p w14:paraId="0C05E548" w14:textId="331D7505" w:rsidR="00D73133" w:rsidRPr="00D73133" w:rsidRDefault="00D73133" w:rsidP="00AD2D13">
      <w:pPr>
        <w:pStyle w:val="ListBullet"/>
      </w:pPr>
      <w:r w:rsidRPr="00D73133">
        <w:t xml:space="preserve">10 </w:t>
      </w:r>
      <w:r>
        <w:t>x</w:t>
      </w:r>
      <w:r w:rsidRPr="00D73133">
        <w:t xml:space="preserve"> 2.5 mL multi-dose vials (0.1 mg/mL strength</w:t>
      </w:r>
      <w:proofErr w:type="gramStart"/>
      <w:r w:rsidRPr="00D73133">
        <w:t>);</w:t>
      </w:r>
      <w:proofErr w:type="gramEnd"/>
    </w:p>
    <w:p w14:paraId="1A0DB011" w14:textId="0C1F042E" w:rsidR="00D73133" w:rsidRDefault="00D73133" w:rsidP="00AD2D13">
      <w:pPr>
        <w:pStyle w:val="ListBullet"/>
      </w:pPr>
      <w:r w:rsidRPr="00D73133">
        <w:t xml:space="preserve">10 </w:t>
      </w:r>
      <w:r>
        <w:t>x</w:t>
      </w:r>
      <w:r w:rsidRPr="00D73133">
        <w:t xml:space="preserve"> 5 mL multi-dose vials (0.1 mg/mL strength).</w:t>
      </w:r>
    </w:p>
    <w:p w14:paraId="68FD0E56" w14:textId="439F4CD3" w:rsidR="00D73133" w:rsidRPr="00D73133" w:rsidRDefault="00D73133" w:rsidP="00D73133">
      <w:r w:rsidRPr="00D73133">
        <w:t xml:space="preserve">There are no significant issues identified from the </w:t>
      </w:r>
      <w:r>
        <w:t>q</w:t>
      </w:r>
      <w:r w:rsidRPr="00D73133">
        <w:t xml:space="preserve">uality </w:t>
      </w:r>
      <w:r>
        <w:t>e</w:t>
      </w:r>
      <w:r w:rsidRPr="00D73133">
        <w:t xml:space="preserve">valuation of the submitted data that would indicate the product should not be provisionally registered </w:t>
      </w:r>
      <w:proofErr w:type="gramStart"/>
      <w:r w:rsidRPr="00D73133">
        <w:t>on the basis of</w:t>
      </w:r>
      <w:proofErr w:type="gramEnd"/>
      <w:r w:rsidRPr="00D73133">
        <w:t xml:space="preserve"> quality, or safety-related issues arising from the quality of the product. The manufacturing quality information submitted by the </w:t>
      </w:r>
      <w:r w:rsidR="005C0F1D">
        <w:t>s</w:t>
      </w:r>
      <w:r w:rsidRPr="00D73133">
        <w:t xml:space="preserve">ponsor support the provisional registration of Spikevax </w:t>
      </w:r>
      <w:r w:rsidR="00A67C77">
        <w:t>B</w:t>
      </w:r>
      <w:r w:rsidRPr="00D73133">
        <w:t xml:space="preserve">ivalent </w:t>
      </w:r>
      <w:r w:rsidR="00A67C77">
        <w:t>O</w:t>
      </w:r>
      <w:r w:rsidR="007F21AA">
        <w:t>riginal/Omicron</w:t>
      </w:r>
      <w:r w:rsidRPr="00D73133">
        <w:t>.</w:t>
      </w:r>
    </w:p>
    <w:p w14:paraId="14DB2E87" w14:textId="433F021F" w:rsidR="008E7846" w:rsidRDefault="008E7846" w:rsidP="008E7846">
      <w:pPr>
        <w:pStyle w:val="Heading3"/>
      </w:pPr>
      <w:bookmarkStart w:id="42" w:name="_Toc112833626"/>
      <w:r>
        <w:t>Nonclinical</w:t>
      </w:r>
      <w:bookmarkEnd w:id="41"/>
      <w:bookmarkEnd w:id="42"/>
    </w:p>
    <w:p w14:paraId="3DEB2882" w14:textId="6B6FA4D2" w:rsidR="005C0F1D" w:rsidRDefault="005C0F1D" w:rsidP="005C0F1D">
      <w:r>
        <w:t xml:space="preserve">Immunogenicity of </w:t>
      </w:r>
      <w:proofErr w:type="spellStart"/>
      <w:r>
        <w:t>elasomeran</w:t>
      </w:r>
      <w:proofErr w:type="spellEnd"/>
      <w:r>
        <w:t xml:space="preserve"> (mRNA-1273), </w:t>
      </w:r>
      <w:proofErr w:type="spellStart"/>
      <w:r>
        <w:t>imelasomeran</w:t>
      </w:r>
      <w:proofErr w:type="spellEnd"/>
      <w:r>
        <w:t xml:space="preserve"> (mRNA-1273.529) and </w:t>
      </w:r>
      <w:proofErr w:type="spellStart"/>
      <w:r>
        <w:t>elasomeran</w:t>
      </w:r>
      <w:proofErr w:type="spellEnd"/>
      <w:r>
        <w:t xml:space="preserve"> </w:t>
      </w:r>
      <w:r w:rsidR="004F7421">
        <w:t>and</w:t>
      </w:r>
      <w:r>
        <w:t xml:space="preserve"> </w:t>
      </w:r>
      <w:proofErr w:type="spellStart"/>
      <w:r>
        <w:t>imelasomeran</w:t>
      </w:r>
      <w:proofErr w:type="spellEnd"/>
      <w:r>
        <w:t xml:space="preserve"> combined (mRNA-1273.214) were determined in appropriate animal models. Protection studies were limited to primary immunisation with the monovalent </w:t>
      </w:r>
      <w:r w:rsidR="00094305">
        <w:t>(elasomeran) vaccine,</w:t>
      </w:r>
      <w:r w:rsidR="004F7421">
        <w:t xml:space="preserve"> </w:t>
      </w:r>
      <w:r>
        <w:t xml:space="preserve">and boosting with either </w:t>
      </w:r>
      <w:r w:rsidR="00094305">
        <w:t xml:space="preserve">the </w:t>
      </w:r>
      <w:r>
        <w:t xml:space="preserve">monovalent </w:t>
      </w:r>
      <w:proofErr w:type="spellStart"/>
      <w:r w:rsidR="00094305">
        <w:t>elasomeran</w:t>
      </w:r>
      <w:proofErr w:type="spellEnd"/>
      <w:r w:rsidR="004F7421">
        <w:t xml:space="preserve">, </w:t>
      </w:r>
      <w:r w:rsidR="00094305">
        <w:t xml:space="preserve">or </w:t>
      </w:r>
      <w:proofErr w:type="spellStart"/>
      <w:r w:rsidR="004F7421">
        <w:t>imelasomeran</w:t>
      </w:r>
      <w:proofErr w:type="spellEnd"/>
      <w:r w:rsidR="00094305">
        <w:t xml:space="preserve"> vaccine;</w:t>
      </w:r>
      <w:r>
        <w:t xml:space="preserve"> or the bivalent </w:t>
      </w:r>
      <w:proofErr w:type="spellStart"/>
      <w:r w:rsidR="004F7421">
        <w:t>elasomeran</w:t>
      </w:r>
      <w:proofErr w:type="spellEnd"/>
      <w:r w:rsidR="004F7421">
        <w:t xml:space="preserve"> and </w:t>
      </w:r>
      <w:proofErr w:type="spellStart"/>
      <w:r w:rsidR="004F7421">
        <w:t>imelasomeran</w:t>
      </w:r>
      <w:proofErr w:type="spellEnd"/>
      <w:r w:rsidR="00094305">
        <w:t xml:space="preserve"> vaccine</w:t>
      </w:r>
      <w:r>
        <w:t xml:space="preserve">. The bivalent vaccine was not assessed in protection studies. SM-102 (a lipid component of lipid nanoparticles) metabolism was studied </w:t>
      </w:r>
      <w:r w:rsidRPr="005C0F1D">
        <w:rPr>
          <w:i/>
          <w:iCs/>
        </w:rPr>
        <w:t>in vitro</w:t>
      </w:r>
      <w:r>
        <w:t xml:space="preserve"> and in rats, but the rat study report is incomplete, and more information is requested from sponsor. The pivotal repeat dose toxicity study with </w:t>
      </w:r>
      <w:r w:rsidR="00F97393">
        <w:t xml:space="preserve">elasomeran </w:t>
      </w:r>
      <w:r>
        <w:t>was conducted according to Good Laboratory Practice</w:t>
      </w:r>
      <w:r w:rsidR="004F7421">
        <w:t>s (GLP)</w:t>
      </w:r>
      <w:r>
        <w:t>.</w:t>
      </w:r>
    </w:p>
    <w:p w14:paraId="017DE204" w14:textId="4406F0D7" w:rsidR="005C0F1D" w:rsidRDefault="005C0F1D" w:rsidP="005C0F1D">
      <w:r>
        <w:t xml:space="preserve">Nonclinical studies included immunogenicity of </w:t>
      </w:r>
      <w:r w:rsidR="004F7421">
        <w:t xml:space="preserve">elasomeran </w:t>
      </w:r>
      <w:r>
        <w:t xml:space="preserve">and </w:t>
      </w:r>
      <w:r w:rsidR="0041532D">
        <w:t>O</w:t>
      </w:r>
      <w:r>
        <w:t>micron-matched vaccines (</w:t>
      </w:r>
      <w:proofErr w:type="spellStart"/>
      <w:r w:rsidR="00F97393">
        <w:t>imelasomeran</w:t>
      </w:r>
      <w:proofErr w:type="spellEnd"/>
      <w:r>
        <w:t xml:space="preserve">, or </w:t>
      </w:r>
      <w:r w:rsidR="00F97393">
        <w:t>the bivalent vaccine combination</w:t>
      </w:r>
      <w:r>
        <w:t xml:space="preserve">) after primary immunisation (two doses) in mice, and immunogenicity and protection of booster doses with </w:t>
      </w:r>
      <w:proofErr w:type="spellStart"/>
      <w:r w:rsidR="004F7421">
        <w:t>elasomeran</w:t>
      </w:r>
      <w:proofErr w:type="spellEnd"/>
      <w:r>
        <w:t xml:space="preserve">, </w:t>
      </w:r>
      <w:proofErr w:type="spellStart"/>
      <w:r w:rsidR="00F97393">
        <w:t>imelasomeran</w:t>
      </w:r>
      <w:proofErr w:type="spellEnd"/>
      <w:r>
        <w:t xml:space="preserve">, or </w:t>
      </w:r>
      <w:proofErr w:type="spellStart"/>
      <w:r w:rsidR="00F97393">
        <w:t>elasomeran</w:t>
      </w:r>
      <w:proofErr w:type="spellEnd"/>
      <w:r w:rsidR="00F97393">
        <w:t xml:space="preserve"> and </w:t>
      </w:r>
      <w:proofErr w:type="spellStart"/>
      <w:r w:rsidR="00F97393">
        <w:t>imelasomeran</w:t>
      </w:r>
      <w:proofErr w:type="spellEnd"/>
      <w:r>
        <w:t xml:space="preserve"> after primary immunisation with </w:t>
      </w:r>
      <w:r w:rsidR="004F7421">
        <w:t xml:space="preserve">elasomeran </w:t>
      </w:r>
      <w:r>
        <w:t xml:space="preserve">in mice and non-human primates (NHPs). The mouse and NHP studies indicated that the bivalent </w:t>
      </w:r>
      <w:r w:rsidR="00F97393">
        <w:t>combination</w:t>
      </w:r>
      <w:r>
        <w:t xml:space="preserve"> and </w:t>
      </w:r>
      <w:proofErr w:type="spellStart"/>
      <w:r w:rsidR="00F97393">
        <w:t>imelasomeran</w:t>
      </w:r>
      <w:proofErr w:type="spellEnd"/>
      <w:r w:rsidR="00F97393">
        <w:t xml:space="preserve"> </w:t>
      </w:r>
      <w:r>
        <w:t>as primary series vaccination induces neutralising antibodies (</w:t>
      </w:r>
      <w:proofErr w:type="spellStart"/>
      <w:r>
        <w:t>N</w:t>
      </w:r>
      <w:r w:rsidR="004F7421">
        <w:t>A</w:t>
      </w:r>
      <w:r>
        <w:t>b</w:t>
      </w:r>
      <w:r w:rsidR="004F7421">
        <w:t>s</w:t>
      </w:r>
      <w:proofErr w:type="spellEnd"/>
      <w:r>
        <w:t xml:space="preserve">) against </w:t>
      </w:r>
      <w:r w:rsidR="0041532D">
        <w:t>O</w:t>
      </w:r>
      <w:r>
        <w:t xml:space="preserve">micron </w:t>
      </w:r>
      <w:r w:rsidR="00350F51">
        <w:t>sub</w:t>
      </w:r>
      <w:r>
        <w:t xml:space="preserve">variants (BA.1 and BA.2), but induces low </w:t>
      </w:r>
      <w:proofErr w:type="spellStart"/>
      <w:r>
        <w:t>N</w:t>
      </w:r>
      <w:r w:rsidR="00F97393">
        <w:t>A</w:t>
      </w:r>
      <w:r>
        <w:t>b</w:t>
      </w:r>
      <w:proofErr w:type="spellEnd"/>
      <w:r w:rsidR="004F7421">
        <w:t xml:space="preserve"> levels</w:t>
      </w:r>
      <w:r>
        <w:t xml:space="preserve"> against the ancestral, </w:t>
      </w:r>
      <w:r w:rsidR="00F97393">
        <w:t>B</w:t>
      </w:r>
      <w:r>
        <w:t xml:space="preserve">eta and </w:t>
      </w:r>
      <w:r w:rsidR="00F97393">
        <w:t>D</w:t>
      </w:r>
      <w:r>
        <w:t>elta variants. However, boosting with the bivalent vaccine</w:t>
      </w:r>
      <w:r w:rsidR="00F97393">
        <w:t xml:space="preserve"> combination</w:t>
      </w:r>
      <w:r>
        <w:t xml:space="preserve"> (after primary vaccination with </w:t>
      </w:r>
      <w:r w:rsidR="00F97393">
        <w:t>elasomeran</w:t>
      </w:r>
      <w:r>
        <w:t xml:space="preserve">) demonstrated greater cross-variant neutralisation and cross-reactive B-cells in the draining lymph nodes against the ancestral (with D614G mutation) and </w:t>
      </w:r>
      <w:r w:rsidR="0041532D">
        <w:t>O</w:t>
      </w:r>
      <w:r>
        <w:t xml:space="preserve">micron BA.1 and BA.2 </w:t>
      </w:r>
      <w:r w:rsidR="006515E9">
        <w:t>(sub)</w:t>
      </w:r>
      <w:r>
        <w:t>variants.</w:t>
      </w:r>
    </w:p>
    <w:p w14:paraId="55545E50" w14:textId="09039C6E" w:rsidR="005C0F1D" w:rsidRDefault="005C0F1D" w:rsidP="005C0F1D">
      <w:r>
        <w:t xml:space="preserve">Protection by an </w:t>
      </w:r>
      <w:proofErr w:type="spellStart"/>
      <w:r w:rsidR="00F97393">
        <w:t>imelasomeran</w:t>
      </w:r>
      <w:proofErr w:type="spellEnd"/>
      <w:r w:rsidR="00F97393">
        <w:t xml:space="preserve"> </w:t>
      </w:r>
      <w:r>
        <w:t xml:space="preserve">booster dose against </w:t>
      </w:r>
      <w:r w:rsidR="006515E9">
        <w:t xml:space="preserve">the </w:t>
      </w:r>
      <w:r w:rsidR="0041532D">
        <w:t>O</w:t>
      </w:r>
      <w:r>
        <w:t xml:space="preserve">micron BA.1 </w:t>
      </w:r>
      <w:r w:rsidR="006515E9">
        <w:t xml:space="preserve">subvariant </w:t>
      </w:r>
      <w:r>
        <w:t>was demonstrated in mice and NHP</w:t>
      </w:r>
      <w:r w:rsidR="006515E9">
        <w:t>s</w:t>
      </w:r>
      <w:r>
        <w:t xml:space="preserve"> (no protection data for the bivalent vaccine). A booster dose of </w:t>
      </w:r>
      <w:proofErr w:type="spellStart"/>
      <w:r w:rsidR="00F97393">
        <w:t>imelasomeran</w:t>
      </w:r>
      <w:proofErr w:type="spellEnd"/>
      <w:r w:rsidR="00F97393">
        <w:t xml:space="preserve"> </w:t>
      </w:r>
      <w:r>
        <w:t xml:space="preserve">after primary immunisation with </w:t>
      </w:r>
      <w:r w:rsidR="00F97393">
        <w:t xml:space="preserve">elasomeran </w:t>
      </w:r>
      <w:r>
        <w:t xml:space="preserve">reduced viral loads in upper and lower respiratory tracts, pro-inflammatory </w:t>
      </w:r>
      <w:proofErr w:type="gramStart"/>
      <w:r>
        <w:t>cytokines</w:t>
      </w:r>
      <w:proofErr w:type="gramEnd"/>
      <w:r>
        <w:t xml:space="preserve"> and lung pathology. There are no protection data for the bivalent vaccine. There are no nonclinical data on immune responses to </w:t>
      </w:r>
      <w:r w:rsidR="0041532D">
        <w:t>O</w:t>
      </w:r>
      <w:r>
        <w:t>micron variants of most concern (</w:t>
      </w:r>
      <w:r w:rsidR="006515E9">
        <w:t xml:space="preserve">subvariants </w:t>
      </w:r>
      <w:r>
        <w:t>BA.4 and BA.5) or long</w:t>
      </w:r>
      <w:r w:rsidR="006515E9">
        <w:noBreakHyphen/>
      </w:r>
      <w:r>
        <w:t>term protection against these variants.</w:t>
      </w:r>
    </w:p>
    <w:p w14:paraId="20B2F902" w14:textId="56A76730" w:rsidR="005C0F1D" w:rsidRDefault="005C0F1D" w:rsidP="005C0F1D">
      <w:r>
        <w:t xml:space="preserve">The SM-102 (a component of lipid nanoparticles) was metabolised in rats by ester hydrolysis and β-oxidation and the metabolites were excreted via both the renal and hepatic routes, with </w:t>
      </w:r>
      <w:r w:rsidR="00F97393">
        <w:t xml:space="preserve">the </w:t>
      </w:r>
      <w:r>
        <w:t>M3 (hydrolysis and β-oxidation</w:t>
      </w:r>
      <w:r w:rsidR="00F97393">
        <w:t>)</w:t>
      </w:r>
      <w:r>
        <w:t xml:space="preserve"> metabolite as the predominant metabolite in bile and </w:t>
      </w:r>
      <w:r w:rsidR="00F97393">
        <w:t xml:space="preserve">the </w:t>
      </w:r>
      <w:r>
        <w:t>M1 (hydrolysis and N-dealkylation</w:t>
      </w:r>
      <w:r w:rsidR="00F97393">
        <w:t>)</w:t>
      </w:r>
      <w:r>
        <w:t xml:space="preserve"> metabolite and M3</w:t>
      </w:r>
      <w:r w:rsidR="00F97393">
        <w:t xml:space="preserve"> </w:t>
      </w:r>
      <w:r w:rsidR="00F97393">
        <w:lastRenderedPageBreak/>
        <w:t>metabolite as</w:t>
      </w:r>
      <w:r>
        <w:t xml:space="preserve"> the main metabolites in urine. Unchanged SM-102 was excreted in bile, but not urine. Similar but fewer metabolites were formed </w:t>
      </w:r>
      <w:r w:rsidRPr="005C0F1D">
        <w:rPr>
          <w:i/>
          <w:iCs/>
        </w:rPr>
        <w:t>in vitro</w:t>
      </w:r>
      <w:r>
        <w:t xml:space="preserve"> in rat, </w:t>
      </w:r>
      <w:proofErr w:type="gramStart"/>
      <w:r>
        <w:t>monkey</w:t>
      </w:r>
      <w:proofErr w:type="gramEnd"/>
      <w:r>
        <w:t xml:space="preserve"> and human hepatocytes. The rat study report is </w:t>
      </w:r>
      <w:proofErr w:type="gramStart"/>
      <w:r>
        <w:t>incomplete</w:t>
      </w:r>
      <w:proofErr w:type="gramEnd"/>
      <w:r>
        <w:t xml:space="preserve"> and more information is requested from </w:t>
      </w:r>
      <w:r w:rsidR="00F97393">
        <w:t xml:space="preserve">the </w:t>
      </w:r>
      <w:r>
        <w:t>sponsor.</w:t>
      </w:r>
    </w:p>
    <w:p w14:paraId="75D6F324" w14:textId="1355CAC1" w:rsidR="005C0F1D" w:rsidRDefault="005C0F1D" w:rsidP="005C0F1D">
      <w:r>
        <w:t xml:space="preserve">In the repeat dose toxicity study in rats, treatment related findings were common to those observed with other surrogate mRNA-lipid nanoparticles vaccines developed using the same platform and notably can largely be attributed to the lipid nanoparticles of the vaccine and immune response. Treatment related findings mainly included: injection site inflammation (oedema, erythema); enlargement and some perturbations of haematology, </w:t>
      </w:r>
      <w:proofErr w:type="gramStart"/>
      <w:r>
        <w:t>coagulation</w:t>
      </w:r>
      <w:proofErr w:type="gramEnd"/>
      <w:r>
        <w:t xml:space="preserve"> and clinical chemistry parameters. The effects were either partially or fully reversible after two weeks of recovery.</w:t>
      </w:r>
    </w:p>
    <w:p w14:paraId="2E85E833" w14:textId="6A94DC42" w:rsidR="005C0F1D" w:rsidRDefault="005C0F1D" w:rsidP="005C0F1D">
      <w:r>
        <w:t xml:space="preserve">The primary pharmacology studies indicated that the Spikevax </w:t>
      </w:r>
      <w:r w:rsidR="00A67C77">
        <w:t>B</w:t>
      </w:r>
      <w:r>
        <w:t xml:space="preserve">ivalent </w:t>
      </w:r>
      <w:r w:rsidR="00A67C77">
        <w:t>O</w:t>
      </w:r>
      <w:r w:rsidR="007F21AA">
        <w:t xml:space="preserve">riginal/Omicron </w:t>
      </w:r>
      <w:r>
        <w:t>as a booster induces greater cross-variant immunity against the ancestral (</w:t>
      </w:r>
      <w:r w:rsidR="0041532D">
        <w:t>with</w:t>
      </w:r>
      <w:r>
        <w:t xml:space="preserve"> D614G</w:t>
      </w:r>
      <w:r w:rsidR="006515E9">
        <w:t xml:space="preserve"> mutation</w:t>
      </w:r>
      <w:r>
        <w:t xml:space="preserve">) and </w:t>
      </w:r>
      <w:r w:rsidR="0041532D">
        <w:t>O</w:t>
      </w:r>
      <w:r>
        <w:t xml:space="preserve">micron (BA.1, and BA.2) </w:t>
      </w:r>
      <w:r w:rsidR="006515E9">
        <w:t>sub</w:t>
      </w:r>
      <w:r>
        <w:t xml:space="preserve">variants, and a booster dose of the </w:t>
      </w:r>
      <w:r w:rsidR="0041532D">
        <w:t>O</w:t>
      </w:r>
      <w:r>
        <w:t>micron</w:t>
      </w:r>
      <w:r w:rsidR="006515E9">
        <w:t>-</w:t>
      </w:r>
      <w:proofErr w:type="spellStart"/>
      <w:r w:rsidR="006515E9">
        <w:t>targetting</w:t>
      </w:r>
      <w:r>
        <w:t>mRNA</w:t>
      </w:r>
      <w:proofErr w:type="spellEnd"/>
      <w:r>
        <w:t xml:space="preserve"> vaccine </w:t>
      </w:r>
      <w:r w:rsidR="00257019">
        <w:t>(</w:t>
      </w:r>
      <w:proofErr w:type="spellStart"/>
      <w:r w:rsidR="00257019">
        <w:t>imelasomeran</w:t>
      </w:r>
      <w:proofErr w:type="spellEnd"/>
      <w:r w:rsidR="00257019">
        <w:t xml:space="preserve">) </w:t>
      </w:r>
      <w:r>
        <w:t>conferred protection against infection by the ancestral (</w:t>
      </w:r>
      <w:r w:rsidR="0041532D">
        <w:t>with</w:t>
      </w:r>
      <w:r>
        <w:t xml:space="preserve"> D614G) and </w:t>
      </w:r>
      <w:r w:rsidR="0041532D">
        <w:t>O</w:t>
      </w:r>
      <w:r>
        <w:t xml:space="preserve">micron BA.1 </w:t>
      </w:r>
      <w:r w:rsidR="006515E9">
        <w:t>sub</w:t>
      </w:r>
      <w:r>
        <w:t xml:space="preserve">variant. There are no nonclinical data on immune responses to </w:t>
      </w:r>
      <w:r w:rsidR="007D1954">
        <w:t xml:space="preserve">Omicron </w:t>
      </w:r>
      <w:r>
        <w:t>variants of most concern (</w:t>
      </w:r>
      <w:r w:rsidR="0041532D">
        <w:t xml:space="preserve">Omicron </w:t>
      </w:r>
      <w:r w:rsidR="006515E9">
        <w:t xml:space="preserve">subvariants </w:t>
      </w:r>
      <w:r>
        <w:t xml:space="preserve">BA.4 and BA.5) or </w:t>
      </w:r>
      <w:r w:rsidR="00F97393">
        <w:t>long</w:t>
      </w:r>
      <w:r w:rsidR="00F97393">
        <w:noBreakHyphen/>
        <w:t>term</w:t>
      </w:r>
      <w:r>
        <w:t xml:space="preserve"> protection against these </w:t>
      </w:r>
      <w:r w:rsidR="006515E9">
        <w:t>sub</w:t>
      </w:r>
      <w:r>
        <w:t xml:space="preserve">variants. There are no protection data from the Spikevax </w:t>
      </w:r>
      <w:r w:rsidR="00A67C77">
        <w:t>B</w:t>
      </w:r>
      <w:r>
        <w:t xml:space="preserve">ivalent </w:t>
      </w:r>
      <w:r w:rsidR="00A67C77">
        <w:t>O</w:t>
      </w:r>
      <w:r w:rsidR="007F21AA">
        <w:t xml:space="preserve">riginal/Omicron </w:t>
      </w:r>
      <w:r w:rsidR="006515E9">
        <w:t xml:space="preserve">vaccine </w:t>
      </w:r>
      <w:r>
        <w:t xml:space="preserve">for </w:t>
      </w:r>
      <w:r w:rsidR="006515E9">
        <w:t xml:space="preserve">the </w:t>
      </w:r>
      <w:r w:rsidR="0041532D">
        <w:t>O</w:t>
      </w:r>
      <w:r>
        <w:t xml:space="preserve">micron BA.4 and BA.5 </w:t>
      </w:r>
      <w:r w:rsidR="006515E9">
        <w:t>sub</w:t>
      </w:r>
      <w:r>
        <w:t>variants.</w:t>
      </w:r>
    </w:p>
    <w:p w14:paraId="6229BB0D" w14:textId="104D149D" w:rsidR="005C0F1D" w:rsidRDefault="005C0F1D" w:rsidP="005C0F1D">
      <w:r>
        <w:t>A repeat dose toxicity study with the prototype</w:t>
      </w:r>
      <w:r w:rsidR="00094305">
        <w:t xml:space="preserve"> </w:t>
      </w:r>
      <w:proofErr w:type="spellStart"/>
      <w:r w:rsidR="00094305">
        <w:t>elasomeran</w:t>
      </w:r>
      <w:proofErr w:type="spellEnd"/>
      <w:r w:rsidR="00094305">
        <w:t xml:space="preserve"> </w:t>
      </w:r>
      <w:r>
        <w:t>vaccine</w:t>
      </w:r>
      <w:r w:rsidR="006515E9">
        <w:t xml:space="preserve"> (</w:t>
      </w:r>
      <w:proofErr w:type="spellStart"/>
      <w:r w:rsidR="006515E9">
        <w:t>Spikevax</w:t>
      </w:r>
      <w:proofErr w:type="spellEnd"/>
      <w:r w:rsidR="006515E9">
        <w:t xml:space="preserve"> (monovalent))</w:t>
      </w:r>
      <w:r>
        <w:t xml:space="preserve"> in rats raised no safety issues. Findings were consistent with immune stimulation and inflammation responses.</w:t>
      </w:r>
    </w:p>
    <w:p w14:paraId="7476D88C" w14:textId="7B4FE325" w:rsidR="005C0F1D" w:rsidRPr="0074163C" w:rsidRDefault="005C0F1D" w:rsidP="005C0F1D">
      <w:r>
        <w:t>There are no nonclinical objections to the provisional registration of the vaccine provided adequate immunogenicity is demonstrated in human studies.</w:t>
      </w:r>
    </w:p>
    <w:p w14:paraId="33E3BEB2" w14:textId="77777777" w:rsidR="008E7846" w:rsidRDefault="008E7846" w:rsidP="008E7846">
      <w:pPr>
        <w:pStyle w:val="Heading3"/>
      </w:pPr>
      <w:bookmarkStart w:id="43" w:name="_Toc247691530"/>
      <w:bookmarkStart w:id="44" w:name="_Toc314842513"/>
      <w:bookmarkStart w:id="45" w:name="_Toc112833627"/>
      <w:r>
        <w:t>Clinical</w:t>
      </w:r>
      <w:bookmarkEnd w:id="43"/>
      <w:bookmarkEnd w:id="44"/>
      <w:bookmarkEnd w:id="45"/>
    </w:p>
    <w:p w14:paraId="4F5C78FD" w14:textId="77777777" w:rsidR="005C0F1D" w:rsidRDefault="005C0F1D" w:rsidP="005C0F1D">
      <w:pPr>
        <w:pStyle w:val="Heading4"/>
      </w:pPr>
      <w:r>
        <w:t>Pharmacology</w:t>
      </w:r>
    </w:p>
    <w:p w14:paraId="299A6112" w14:textId="770EC631" w:rsidR="005C0F1D" w:rsidRDefault="005C0F1D" w:rsidP="005C0F1D">
      <w:r>
        <w:t xml:space="preserve">The sponsor is using its </w:t>
      </w:r>
      <w:r w:rsidR="00094305">
        <w:t>mRNA-based</w:t>
      </w:r>
      <w:r>
        <w:t xml:space="preserve"> platform</w:t>
      </w:r>
      <w:r w:rsidR="00094305">
        <w:t>, used to</w:t>
      </w:r>
      <w:r>
        <w:t xml:space="preserve"> develop mRNA-1273 </w:t>
      </w:r>
      <w:r w:rsidR="00094305">
        <w:t xml:space="preserve">(elasomeran) and produce </w:t>
      </w:r>
      <w:r>
        <w:t xml:space="preserve">and modified, bivalent, </w:t>
      </w:r>
      <w:r w:rsidR="00266C33">
        <w:t xml:space="preserve">lipid nanoparticles </w:t>
      </w:r>
      <w:r>
        <w:t>encapsulated, mRNA</w:t>
      </w:r>
      <w:r w:rsidR="00094305">
        <w:t>-</w:t>
      </w:r>
      <w:r>
        <w:t xml:space="preserve">based </w:t>
      </w:r>
      <w:r w:rsidR="00094305">
        <w:t xml:space="preserve">COVID-19 </w:t>
      </w:r>
      <w:r>
        <w:t xml:space="preserve">vaccines against SARS-CoV-2. In response to emerging SARS-CoV-2 variants and in accordance with the recommendations and guidance by global regulatory agencies, the </w:t>
      </w:r>
      <w:r w:rsidR="00266C33">
        <w:t>s</w:t>
      </w:r>
      <w:r>
        <w:t xml:space="preserve">ponsor developed modified, bivalent mRNA booster vaccine candidates (50 </w:t>
      </w:r>
      <w:proofErr w:type="spellStart"/>
      <w:r>
        <w:t>μg</w:t>
      </w:r>
      <w:proofErr w:type="spellEnd"/>
      <w:r>
        <w:t xml:space="preserve"> dose level) that retain the ancestral SARS-CoV-2 spike sequence (25 </w:t>
      </w:r>
      <w:proofErr w:type="spellStart"/>
      <w:r>
        <w:t>μg</w:t>
      </w:r>
      <w:proofErr w:type="spellEnd"/>
      <w:r w:rsidR="00257019">
        <w:t xml:space="preserve"> </w:t>
      </w:r>
      <w:proofErr w:type="spellStart"/>
      <w:r w:rsidR="00257019">
        <w:t>elasomeran</w:t>
      </w:r>
      <w:proofErr w:type="spellEnd"/>
      <w:r>
        <w:t xml:space="preserve">) and include the spike sequence of an antigenically divergent variant (25 </w:t>
      </w:r>
      <w:proofErr w:type="spellStart"/>
      <w:r>
        <w:t>μg</w:t>
      </w:r>
      <w:proofErr w:type="spellEnd"/>
      <w:r w:rsidR="00257019">
        <w:t xml:space="preserve"> </w:t>
      </w:r>
      <w:proofErr w:type="spellStart"/>
      <w:r w:rsidR="00257019">
        <w:t>imelasomeran</w:t>
      </w:r>
      <w:proofErr w:type="spellEnd"/>
      <w:r>
        <w:t xml:space="preserve">). After the emergence of </w:t>
      </w:r>
      <w:r w:rsidR="006515E9">
        <w:t xml:space="preserve">the </w:t>
      </w:r>
      <w:r w:rsidR="00094305">
        <w:t>O</w:t>
      </w:r>
      <w:r>
        <w:t>micron</w:t>
      </w:r>
      <w:r w:rsidR="006515E9">
        <w:t xml:space="preserve"> variant</w:t>
      </w:r>
      <w:r>
        <w:t xml:space="preserve">, the </w:t>
      </w:r>
      <w:r w:rsidR="00266C33">
        <w:t>s</w:t>
      </w:r>
      <w:r>
        <w:t xml:space="preserve">ponsor evaluated (a second booster dose of) </w:t>
      </w:r>
      <w:r w:rsidR="00AC61AA">
        <w:t>O</w:t>
      </w:r>
      <w:r>
        <w:t>micron BA.1</w:t>
      </w:r>
      <w:r w:rsidR="00266C33">
        <w:t xml:space="preserve"> </w:t>
      </w:r>
      <w:r w:rsidR="006515E9">
        <w:t xml:space="preserve">targeted </w:t>
      </w:r>
      <w:r>
        <w:t xml:space="preserve">bivalent vaccine </w:t>
      </w:r>
      <w:r w:rsidR="00266C33">
        <w:t xml:space="preserve">at </w:t>
      </w:r>
      <w:r>
        <w:t xml:space="preserve">50 </w:t>
      </w:r>
      <w:proofErr w:type="spellStart"/>
      <w:r>
        <w:t>μg</w:t>
      </w:r>
      <w:proofErr w:type="spellEnd"/>
      <w:r>
        <w:t xml:space="preserve"> which contains 25 </w:t>
      </w:r>
      <w:proofErr w:type="spellStart"/>
      <w:r>
        <w:t>μg</w:t>
      </w:r>
      <w:proofErr w:type="spellEnd"/>
      <w:r>
        <w:t xml:space="preserve"> of </w:t>
      </w:r>
      <w:proofErr w:type="spellStart"/>
      <w:r w:rsidR="00257019">
        <w:t>elasomeran</w:t>
      </w:r>
      <w:proofErr w:type="spellEnd"/>
      <w:r>
        <w:t xml:space="preserve"> and 25 </w:t>
      </w:r>
      <w:proofErr w:type="spellStart"/>
      <w:r>
        <w:t>μg</w:t>
      </w:r>
      <w:proofErr w:type="spellEnd"/>
      <w:r>
        <w:t xml:space="preserve"> of the </w:t>
      </w:r>
      <w:r w:rsidR="007D1954">
        <w:t xml:space="preserve">Omicron </w:t>
      </w:r>
      <w:r>
        <w:t>spike mRNA sequence</w:t>
      </w:r>
      <w:r w:rsidR="00257019">
        <w:t xml:space="preserve">, </w:t>
      </w:r>
      <w:proofErr w:type="spellStart"/>
      <w:r w:rsidR="00257019">
        <w:t>imelasomeran</w:t>
      </w:r>
      <w:proofErr w:type="spellEnd"/>
      <w:r>
        <w:t>. The product contains equal amount of two</w:t>
      </w:r>
      <w:r w:rsidR="00257019">
        <w:t xml:space="preserve"> </w:t>
      </w:r>
      <w:r>
        <w:t>mRNA-1273</w:t>
      </w:r>
      <w:r w:rsidR="00257019">
        <w:t xml:space="preserve"> sequences</w:t>
      </w:r>
      <w:r>
        <w:t>: CX</w:t>
      </w:r>
      <w:r w:rsidR="00AC61AA">
        <w:noBreakHyphen/>
      </w:r>
      <w:r>
        <w:t>024414 and CX</w:t>
      </w:r>
      <w:r w:rsidR="00AC61AA">
        <w:noBreakHyphen/>
      </w:r>
      <w:r>
        <w:t>031302. CX</w:t>
      </w:r>
      <w:r w:rsidR="00AC61AA">
        <w:noBreakHyphen/>
      </w:r>
      <w:r>
        <w:t xml:space="preserve">024414 encodes for the </w:t>
      </w:r>
      <w:r w:rsidR="00266C33">
        <w:t>spike protein for SARS-CoV-2 ancestral strain</w:t>
      </w:r>
      <w:r>
        <w:t>, while CX</w:t>
      </w:r>
      <w:r w:rsidR="00AC61AA">
        <w:noBreakHyphen/>
      </w:r>
      <w:r>
        <w:t xml:space="preserve">031302 encodes for the </w:t>
      </w:r>
      <w:r w:rsidR="00266C33">
        <w:t>spike protein</w:t>
      </w:r>
      <w:r>
        <w:t xml:space="preserve"> </w:t>
      </w:r>
      <w:r w:rsidR="00266C33">
        <w:t>for</w:t>
      </w:r>
      <w:r>
        <w:t xml:space="preserve"> SARS-CoV-2 </w:t>
      </w:r>
      <w:r w:rsidR="007D1954">
        <w:t xml:space="preserve">Omicron </w:t>
      </w:r>
      <w:r>
        <w:t xml:space="preserve">(B.1.1.529) variant. This was evaluated as a second booster dose of </w:t>
      </w:r>
      <w:proofErr w:type="spellStart"/>
      <w:r w:rsidR="00257019">
        <w:t>elasomeran</w:t>
      </w:r>
      <w:proofErr w:type="spellEnd"/>
      <w:r w:rsidR="00257019">
        <w:t xml:space="preserve"> </w:t>
      </w:r>
      <w:r w:rsidR="006515E9">
        <w:t>plus</w:t>
      </w:r>
      <w:r w:rsidR="00257019">
        <w:t xml:space="preserve"> </w:t>
      </w:r>
      <w:proofErr w:type="spellStart"/>
      <w:r w:rsidR="00257019">
        <w:t>imelasomeran</w:t>
      </w:r>
      <w:proofErr w:type="spellEnd"/>
      <w:r w:rsidR="00257019">
        <w:t xml:space="preserve"> </w:t>
      </w:r>
      <w:r w:rsidR="00266C33">
        <w:t xml:space="preserve">at </w:t>
      </w:r>
      <w:r>
        <w:t>50</w:t>
      </w:r>
      <w:r w:rsidR="00AC61AA">
        <w:t> </w:t>
      </w:r>
      <w:proofErr w:type="spellStart"/>
      <w:r>
        <w:t>μg</w:t>
      </w:r>
      <w:proofErr w:type="spellEnd"/>
      <w:r>
        <w:t xml:space="preserve"> compared to a second booster dose of </w:t>
      </w:r>
      <w:proofErr w:type="spellStart"/>
      <w:r w:rsidR="00257019">
        <w:t>elasomeran</w:t>
      </w:r>
      <w:proofErr w:type="spellEnd"/>
      <w:r w:rsidR="00257019">
        <w:t xml:space="preserve"> </w:t>
      </w:r>
      <w:r w:rsidR="00266C33">
        <w:t xml:space="preserve">at </w:t>
      </w:r>
      <w:r>
        <w:t xml:space="preserve">50 </w:t>
      </w:r>
      <w:proofErr w:type="spellStart"/>
      <w:r>
        <w:t>μg</w:t>
      </w:r>
      <w:proofErr w:type="spellEnd"/>
      <w:r>
        <w:t>.</w:t>
      </w:r>
    </w:p>
    <w:p w14:paraId="228ABD3E" w14:textId="1F6E80B9" w:rsidR="005C0F1D" w:rsidRDefault="005C0F1D" w:rsidP="005C0F1D">
      <w:r>
        <w:t xml:space="preserve">After delivery, both </w:t>
      </w:r>
      <w:r w:rsidR="006515E9">
        <w:t xml:space="preserve">vaccine </w:t>
      </w:r>
      <w:r>
        <w:t>mRNAs are delivered to cells in the body where the two distinct spike protomers, each of which represents one of the three components of the spike trimer, are expressed. After expression these spike protomers assemble into the spike trimer and both homotrimers as well heterotrimers</w:t>
      </w:r>
      <w:r w:rsidR="00266C33">
        <w:t xml:space="preserve"> are formed</w:t>
      </w:r>
      <w:r>
        <w:t xml:space="preserve"> (mixed protomers from the </w:t>
      </w:r>
      <w:r w:rsidR="00266C33">
        <w:t>ancestral strain</w:t>
      </w:r>
      <w:r>
        <w:t xml:space="preserve"> spike and the </w:t>
      </w:r>
      <w:r w:rsidR="00266C33">
        <w:t>v</w:t>
      </w:r>
      <w:r>
        <w:t>ariant spike).</w:t>
      </w:r>
    </w:p>
    <w:p w14:paraId="438AD44A" w14:textId="123D3CB5" w:rsidR="005C0F1D" w:rsidRDefault="005C0F1D" w:rsidP="005C0F1D">
      <w:r>
        <w:lastRenderedPageBreak/>
        <w:t xml:space="preserve">The inclusion of both the original and the variant spikes in the vaccine are intended to broaden immunity as significantly as possible. To that end, inclusion of the </w:t>
      </w:r>
      <w:r w:rsidR="00266C33">
        <w:t>ancestral strain</w:t>
      </w:r>
      <w:r>
        <w:t xml:space="preserve"> spike allows reactivation and boosting of memory immune cell populations, increasing immunity that was previously present. In addition, inclusion of the variant spike, which has novel functional epitopes present primarily on the </w:t>
      </w:r>
      <w:r w:rsidR="00266C33" w:rsidRPr="00266C33">
        <w:t>receptor binding domain</w:t>
      </w:r>
      <w:r>
        <w:t xml:space="preserve"> and the </w:t>
      </w:r>
      <w:r w:rsidR="00266C33" w:rsidRPr="00AD2D13">
        <w:rPr>
          <w:i/>
        </w:rPr>
        <w:t>N</w:t>
      </w:r>
      <w:r w:rsidR="00266C33">
        <w:noBreakHyphen/>
      </w:r>
      <w:r w:rsidR="00266C33" w:rsidRPr="00266C33">
        <w:t>terminal domain</w:t>
      </w:r>
      <w:r>
        <w:t>, allows new naïve immune populations to be engaged and new memory responses to be elicited. This likely broadens immunity not only to the spike antigens delivered but likely also against a broader diversity of spike proteins.</w:t>
      </w:r>
    </w:p>
    <w:p w14:paraId="49F89E29" w14:textId="5B59D002" w:rsidR="00266C33" w:rsidRDefault="00266C33" w:rsidP="00266C33">
      <w:pPr>
        <w:pStyle w:val="Heading4"/>
      </w:pPr>
      <w:r>
        <w:t>Immunogenicity/</w:t>
      </w:r>
      <w:r w:rsidR="00257019">
        <w:t>e</w:t>
      </w:r>
      <w:r>
        <w:t>fficacy</w:t>
      </w:r>
    </w:p>
    <w:p w14:paraId="61D86BED" w14:textId="77777777" w:rsidR="00266C33" w:rsidRDefault="00266C33" w:rsidP="00266C33">
      <w:r>
        <w:t>The following studies were included in the dossier to present information on immunogenicity:</w:t>
      </w:r>
    </w:p>
    <w:p w14:paraId="46B1458E" w14:textId="627A57A2" w:rsidR="00266C33" w:rsidRDefault="00266C33" w:rsidP="00AD2D13">
      <w:pPr>
        <w:pStyle w:val="ListBullet"/>
      </w:pPr>
      <w:r>
        <w:t>Study mRNA-1273-P205 is an ongoing open label Phase II/III study with multiple, sequentially enrolled cohorts to evaluate the immunogenicity and safety of variant-modified booster candidate vaccines.</w:t>
      </w:r>
    </w:p>
    <w:p w14:paraId="61AC26BC" w14:textId="1F8DD211" w:rsidR="00266C33" w:rsidRDefault="00266C33" w:rsidP="00266C33">
      <w:pPr>
        <w:pStyle w:val="ListBullet"/>
      </w:pPr>
      <w:r>
        <w:t xml:space="preserve">Study mRNA-1273-P205 Part G evaluated the safety, reactogenicity, and immunogenicity of 50 </w:t>
      </w:r>
      <w:proofErr w:type="spellStart"/>
      <w:r>
        <w:t>μg</w:t>
      </w:r>
      <w:proofErr w:type="spellEnd"/>
      <w:r>
        <w:t xml:space="preserve"> of mRNA 1273.214 </w:t>
      </w:r>
      <w:r w:rsidR="00257019">
        <w:t>(</w:t>
      </w:r>
      <w:proofErr w:type="spellStart"/>
      <w:r w:rsidR="00257019">
        <w:t>elasomeran</w:t>
      </w:r>
      <w:proofErr w:type="spellEnd"/>
      <w:r w:rsidR="00257019">
        <w:t xml:space="preserve"> plus </w:t>
      </w:r>
      <w:proofErr w:type="spellStart"/>
      <w:r w:rsidR="00257019">
        <w:t>imelasomeran</w:t>
      </w:r>
      <w:proofErr w:type="spellEnd"/>
      <w:r w:rsidR="00257019">
        <w:t xml:space="preserve">) </w:t>
      </w:r>
      <w:r>
        <w:t xml:space="preserve">when administered as a second booster dose in adults who previously received 2 doses of 100 </w:t>
      </w:r>
      <w:proofErr w:type="spellStart"/>
      <w:r>
        <w:t>μg</w:t>
      </w:r>
      <w:proofErr w:type="spellEnd"/>
      <w:r>
        <w:t xml:space="preserve"> mRNA-1273 </w:t>
      </w:r>
      <w:r w:rsidR="00257019">
        <w:t>(</w:t>
      </w:r>
      <w:proofErr w:type="spellStart"/>
      <w:r w:rsidR="00257019">
        <w:t>elasomeran</w:t>
      </w:r>
      <w:proofErr w:type="spellEnd"/>
      <w:r w:rsidR="00257019">
        <w:t xml:space="preserve">) </w:t>
      </w:r>
      <w:r>
        <w:t>as a primary series and a single booster dose of 50</w:t>
      </w:r>
      <w:r w:rsidR="00257019">
        <w:t> </w:t>
      </w:r>
      <w:proofErr w:type="spellStart"/>
      <w:r>
        <w:t>μg</w:t>
      </w:r>
      <w:proofErr w:type="spellEnd"/>
      <w:r>
        <w:t xml:space="preserve"> mRNA-1273</w:t>
      </w:r>
      <w:r w:rsidR="00257019">
        <w:t xml:space="preserve"> (</w:t>
      </w:r>
      <w:proofErr w:type="spellStart"/>
      <w:r w:rsidR="00257019">
        <w:t>elasomeran</w:t>
      </w:r>
      <w:proofErr w:type="spellEnd"/>
      <w:r w:rsidR="00257019">
        <w:t>)</w:t>
      </w:r>
      <w:r>
        <w:t>.</w:t>
      </w:r>
    </w:p>
    <w:p w14:paraId="2456F39C" w14:textId="53F5948C" w:rsidR="00266C33" w:rsidRDefault="00266C33" w:rsidP="00266C33">
      <w:pPr>
        <w:pStyle w:val="ListBullet"/>
      </w:pPr>
      <w:r>
        <w:t xml:space="preserve">Study mRNA-1273-P205 Part F evaluated the safety, reactogenicity, and immunogenicity of 50 </w:t>
      </w:r>
      <w:proofErr w:type="spellStart"/>
      <w:r>
        <w:t>μg</w:t>
      </w:r>
      <w:proofErr w:type="spellEnd"/>
      <w:r>
        <w:t xml:space="preserve"> of mRNA 1273</w:t>
      </w:r>
      <w:r w:rsidR="00257019">
        <w:t xml:space="preserve"> (elasomeran)</w:t>
      </w:r>
      <w:r>
        <w:t xml:space="preserve"> when administered as a second booster dose in adults who previously received 2 doses of 100 </w:t>
      </w:r>
      <w:proofErr w:type="spellStart"/>
      <w:r>
        <w:t>μg</w:t>
      </w:r>
      <w:proofErr w:type="spellEnd"/>
      <w:r>
        <w:t xml:space="preserve"> mRNA-1273 </w:t>
      </w:r>
      <w:r w:rsidR="00610F3A">
        <w:t>(</w:t>
      </w:r>
      <w:proofErr w:type="spellStart"/>
      <w:r w:rsidR="00610F3A">
        <w:t>elasomeran</w:t>
      </w:r>
      <w:proofErr w:type="spellEnd"/>
      <w:r w:rsidR="00610F3A">
        <w:t xml:space="preserve">) </w:t>
      </w:r>
      <w:r>
        <w:t xml:space="preserve">as a primary series and a single booster dose of 50 </w:t>
      </w:r>
      <w:proofErr w:type="spellStart"/>
      <w:r>
        <w:t>μg</w:t>
      </w:r>
      <w:proofErr w:type="spellEnd"/>
      <w:r>
        <w:t xml:space="preserve"> mRNA-1273</w:t>
      </w:r>
      <w:r w:rsidR="00610F3A">
        <w:t xml:space="preserve"> (</w:t>
      </w:r>
      <w:proofErr w:type="spellStart"/>
      <w:r w:rsidR="00610F3A">
        <w:t>elasomeran</w:t>
      </w:r>
      <w:proofErr w:type="spellEnd"/>
      <w:r w:rsidR="00610F3A">
        <w:t>)</w:t>
      </w:r>
      <w:r>
        <w:t>.</w:t>
      </w:r>
    </w:p>
    <w:p w14:paraId="524E944A" w14:textId="3D142518" w:rsidR="00266C33" w:rsidRDefault="00AC61AA" w:rsidP="00266C33">
      <w:r>
        <w:t xml:space="preserve">The </w:t>
      </w:r>
      <w:r w:rsidR="00610F3A">
        <w:t xml:space="preserve">Part F (cohort 2) of Study </w:t>
      </w:r>
      <w:r w:rsidR="00266C33">
        <w:t xml:space="preserve">mRNA-1273-P205 serves as the within-study, non-contemporaneous comparator group for </w:t>
      </w:r>
      <w:r w:rsidR="00610F3A">
        <w:t xml:space="preserve">Part G of Study </w:t>
      </w:r>
      <w:r w:rsidR="00266C33">
        <w:t>mRNA-1273-P</w:t>
      </w:r>
      <w:r w:rsidR="00D973C6">
        <w:t>2</w:t>
      </w:r>
      <w:r w:rsidR="00266C33">
        <w:t xml:space="preserve">05 in the comparison between the two booster vaccines, </w:t>
      </w:r>
      <w:r w:rsidR="00610F3A">
        <w:t>the bivalent vaccine (</w:t>
      </w:r>
      <w:proofErr w:type="spellStart"/>
      <w:r w:rsidR="00610F3A">
        <w:t>elasomeran</w:t>
      </w:r>
      <w:proofErr w:type="spellEnd"/>
      <w:r w:rsidR="00610F3A">
        <w:t xml:space="preserve"> and </w:t>
      </w:r>
      <w:proofErr w:type="spellStart"/>
      <w:r w:rsidR="00610F3A">
        <w:t>imelasomeran</w:t>
      </w:r>
      <w:proofErr w:type="spellEnd"/>
      <w:r w:rsidR="00610F3A">
        <w:t xml:space="preserve">) </w:t>
      </w:r>
      <w:r w:rsidR="00266C33">
        <w:t xml:space="preserve">and </w:t>
      </w:r>
      <w:r w:rsidR="00610F3A">
        <w:t>the monovalent vaccine (elasomeran)</w:t>
      </w:r>
      <w:r w:rsidR="00266C33">
        <w:t>, when administered as second booster doses. The bivalent vaccine safety and immunogenicity data are summarised as the primary data in this submission.</w:t>
      </w:r>
    </w:p>
    <w:p w14:paraId="1BC12B93" w14:textId="22CA9CCD" w:rsidR="00266C33" w:rsidRPr="00CE1D7D" w:rsidRDefault="00266C33" w:rsidP="00266C33">
      <w:pPr>
        <w:rPr>
          <w:iCs/>
        </w:rPr>
      </w:pPr>
      <w:r>
        <w:rPr>
          <w:iCs/>
        </w:rPr>
        <w:t>T</w:t>
      </w:r>
      <w:r w:rsidRPr="00C315D3">
        <w:rPr>
          <w:iCs/>
        </w:rPr>
        <w:t xml:space="preserve">he immunogenicity results </w:t>
      </w:r>
      <w:r w:rsidR="00CF3EC3">
        <w:rPr>
          <w:iCs/>
        </w:rPr>
        <w:t xml:space="preserve">of a related but different bivalent vaccine (a </w:t>
      </w:r>
      <w:r w:rsidR="004B2085">
        <w:rPr>
          <w:iCs/>
        </w:rPr>
        <w:t xml:space="preserve">Beta-variant </w:t>
      </w:r>
      <w:r w:rsidR="00CF3EC3">
        <w:rPr>
          <w:iCs/>
        </w:rPr>
        <w:t xml:space="preserve">(as opposed to Omicron) </w:t>
      </w:r>
      <w:r w:rsidRPr="00C315D3">
        <w:rPr>
          <w:iCs/>
        </w:rPr>
        <w:t xml:space="preserve">containing bivalent booster vaccine </w:t>
      </w:r>
      <w:r w:rsidR="00CF70FC">
        <w:rPr>
          <w:iCs/>
        </w:rPr>
        <w:t>(</w:t>
      </w:r>
      <w:r w:rsidR="006515E9">
        <w:rPr>
          <w:iCs/>
        </w:rPr>
        <w:t xml:space="preserve">vaccine development code: </w:t>
      </w:r>
      <w:r w:rsidRPr="00C315D3">
        <w:rPr>
          <w:iCs/>
        </w:rPr>
        <w:t>mRNA</w:t>
      </w:r>
      <w:r w:rsidR="00A62246">
        <w:rPr>
          <w:iCs/>
        </w:rPr>
        <w:noBreakHyphen/>
      </w:r>
      <w:r w:rsidRPr="00C315D3">
        <w:rPr>
          <w:iCs/>
        </w:rPr>
        <w:t>1273.211</w:t>
      </w:r>
      <w:r w:rsidR="00CF70FC">
        <w:rPr>
          <w:iCs/>
        </w:rPr>
        <w:t>)</w:t>
      </w:r>
      <w:r w:rsidR="00CF3EC3">
        <w:rPr>
          <w:iCs/>
        </w:rPr>
        <w:t>)</w:t>
      </w:r>
      <w:r w:rsidR="00CF70FC">
        <w:rPr>
          <w:iCs/>
        </w:rPr>
        <w:t xml:space="preserve"> </w:t>
      </w:r>
      <w:r w:rsidR="00A62246">
        <w:rPr>
          <w:iCs/>
        </w:rPr>
        <w:t xml:space="preserve">at </w:t>
      </w:r>
      <w:r w:rsidRPr="00C315D3">
        <w:rPr>
          <w:iCs/>
        </w:rPr>
        <w:t xml:space="preserve">50 </w:t>
      </w:r>
      <w:proofErr w:type="spellStart"/>
      <w:r w:rsidRPr="00C315D3">
        <w:rPr>
          <w:iCs/>
        </w:rPr>
        <w:t>μg</w:t>
      </w:r>
      <w:proofErr w:type="spellEnd"/>
      <w:r w:rsidRPr="00C315D3">
        <w:rPr>
          <w:iCs/>
        </w:rPr>
        <w:t xml:space="preserve"> were presented in the clinical overview as supportive information</w:t>
      </w:r>
      <w:r>
        <w:rPr>
          <w:iCs/>
        </w:rPr>
        <w:t xml:space="preserve">. </w:t>
      </w:r>
      <w:r w:rsidRPr="00C315D3">
        <w:rPr>
          <w:iCs/>
        </w:rPr>
        <w:t>Study P205 Part A and Study P201 Part B are for an assessment of mRNA</w:t>
      </w:r>
      <w:r w:rsidR="00A62246">
        <w:rPr>
          <w:iCs/>
        </w:rPr>
        <w:noBreakHyphen/>
      </w:r>
      <w:r w:rsidRPr="00C315D3">
        <w:rPr>
          <w:iCs/>
        </w:rPr>
        <w:t>1273.211 against mRNA-1273</w:t>
      </w:r>
      <w:r w:rsidR="00CF70FC">
        <w:rPr>
          <w:iCs/>
        </w:rPr>
        <w:t xml:space="preserve"> (elasomeran)</w:t>
      </w:r>
      <w:r w:rsidR="00A62246">
        <w:rPr>
          <w:iCs/>
        </w:rPr>
        <w:t>.</w:t>
      </w:r>
    </w:p>
    <w:p w14:paraId="29F449D5" w14:textId="5C639ACE" w:rsidR="00266C33" w:rsidRDefault="00A62246" w:rsidP="00F43EA9">
      <w:pPr>
        <w:pStyle w:val="TableTitle"/>
        <w:pageBreakBefore/>
      </w:pPr>
      <w:bookmarkStart w:id="46" w:name="_Ref111815555"/>
      <w:r w:rsidRPr="00A62246">
        <w:lastRenderedPageBreak/>
        <w:t xml:space="preserve">Table </w:t>
      </w:r>
      <w:r w:rsidR="00F43EA9">
        <w:fldChar w:fldCharType="begin"/>
      </w:r>
      <w:r w:rsidR="00F43EA9">
        <w:instrText xml:space="preserve"> SEQ Table \* ARABIC </w:instrText>
      </w:r>
      <w:r w:rsidR="00F43EA9">
        <w:fldChar w:fldCharType="separate"/>
      </w:r>
      <w:r w:rsidR="00D102F3">
        <w:rPr>
          <w:noProof/>
        </w:rPr>
        <w:t>3</w:t>
      </w:r>
      <w:r w:rsidR="00F43EA9">
        <w:rPr>
          <w:noProof/>
        </w:rPr>
        <w:fldChar w:fldCharType="end"/>
      </w:r>
      <w:bookmarkEnd w:id="46"/>
      <w:r>
        <w:t>: Overview of bioassays for the assessment of clinical endpoints</w:t>
      </w:r>
    </w:p>
    <w:p w14:paraId="71AFB1AA" w14:textId="45CBA282" w:rsidR="00A62246" w:rsidRDefault="00A62246" w:rsidP="00A62246">
      <w:r>
        <w:rPr>
          <w:noProof/>
          <w:lang w:val="en-GB" w:eastAsia="en-GB"/>
        </w:rPr>
        <w:drawing>
          <wp:inline distT="0" distB="0" distL="0" distR="0" wp14:anchorId="52EF68FA" wp14:editId="046CFCC8">
            <wp:extent cx="5109475" cy="1112293"/>
            <wp:effectExtent l="0" t="0" r="0" b="0"/>
            <wp:docPr id="1" name="Picture 1" descr="Overview of bioassays for the assessment of clinical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verview of bioassays for the assessment of clinical endpoints"/>
                    <pic:cNvPicPr/>
                  </pic:nvPicPr>
                  <pic:blipFill rotWithShape="1">
                    <a:blip r:embed="rId16"/>
                    <a:srcRect b="50336"/>
                    <a:stretch/>
                  </pic:blipFill>
                  <pic:spPr bwMode="auto">
                    <a:xfrm>
                      <a:off x="0" y="0"/>
                      <a:ext cx="5155874" cy="1122394"/>
                    </a:xfrm>
                    <a:prstGeom prst="rect">
                      <a:avLst/>
                    </a:prstGeom>
                    <a:ln>
                      <a:noFill/>
                    </a:ln>
                    <a:extLst>
                      <a:ext uri="{53640926-AAD7-44D8-BBD7-CCE9431645EC}">
                        <a14:shadowObscured xmlns:a14="http://schemas.microsoft.com/office/drawing/2010/main"/>
                      </a:ext>
                    </a:extLst>
                  </pic:spPr>
                </pic:pic>
              </a:graphicData>
            </a:graphic>
          </wp:inline>
        </w:drawing>
      </w:r>
    </w:p>
    <w:p w14:paraId="30262494" w14:textId="6D3AF575" w:rsidR="00A62246" w:rsidRDefault="00A62246" w:rsidP="009365D2">
      <w:pPr>
        <w:pStyle w:val="TableDescription"/>
      </w:pPr>
      <w:r>
        <w:t xml:space="preserve">Abbreviations: MSD = Meso Scale Discovery; </w:t>
      </w:r>
      <w:proofErr w:type="spellStart"/>
      <w:r>
        <w:t>PsV</w:t>
      </w:r>
      <w:proofErr w:type="spellEnd"/>
      <w:r>
        <w:t xml:space="preserve"> = </w:t>
      </w:r>
      <w:proofErr w:type="spellStart"/>
      <w:r>
        <w:t>pseudotyped</w:t>
      </w:r>
      <w:proofErr w:type="spellEnd"/>
      <w:r>
        <w:t xml:space="preserve"> virus; </w:t>
      </w:r>
      <w:proofErr w:type="spellStart"/>
      <w:r>
        <w:t>PsVNA</w:t>
      </w:r>
      <w:proofErr w:type="spellEnd"/>
      <w:r>
        <w:t xml:space="preserve"> = </w:t>
      </w:r>
      <w:proofErr w:type="spellStart"/>
      <w:r>
        <w:t>pseudotyped</w:t>
      </w:r>
      <w:proofErr w:type="spellEnd"/>
      <w:r>
        <w:t xml:space="preserve"> virus neutralising antibodies; PPD = Pharmaceutical Product Development, Inc; SAR-Co</w:t>
      </w:r>
      <w:r w:rsidR="009365D2">
        <w:t>V-2 = severe acute respiratory syndrome coronavirus that causes COVID-19.</w:t>
      </w:r>
    </w:p>
    <w:p w14:paraId="09E76F69" w14:textId="108F3CC0" w:rsidR="009365D2" w:rsidRDefault="009365D2" w:rsidP="009365D2">
      <w:pPr>
        <w:pStyle w:val="TableDescription"/>
      </w:pPr>
      <w:proofErr w:type="spellStart"/>
      <w:r>
        <w:t>a</w:t>
      </w:r>
      <w:proofErr w:type="spellEnd"/>
      <w:r>
        <w:t xml:space="preserve"> The Omicron assay has been validated and the validation report has been submitted to </w:t>
      </w:r>
      <w:proofErr w:type="spellStart"/>
      <w:r>
        <w:t>Cent</w:t>
      </w:r>
      <w:r w:rsidR="00CF70FC">
        <w:t>er</w:t>
      </w:r>
      <w:proofErr w:type="spellEnd"/>
      <w:r>
        <w:t xml:space="preserve"> for Biological Evaluation and Research</w:t>
      </w:r>
      <w:r w:rsidR="00CF70FC">
        <w:t xml:space="preserve"> (US Food and Drug Administration)</w:t>
      </w:r>
      <w:r>
        <w:t xml:space="preserve">. Given that the </w:t>
      </w:r>
      <w:proofErr w:type="spellStart"/>
      <w:r w:rsidR="00BA6CD3">
        <w:t>seroresponse</w:t>
      </w:r>
      <w:proofErr w:type="spellEnd"/>
      <w:r w:rsidR="00BA6CD3">
        <w:t xml:space="preserve"> rate (</w:t>
      </w:r>
      <w:r>
        <w:t>SRR</w:t>
      </w:r>
      <w:r w:rsidR="00BA6CD3">
        <w:t>)</w:t>
      </w:r>
      <w:r>
        <w:t xml:space="preserve"> definition depends on the assay lower limits of quantification (LLOQ), and that the Delta assay is currently fit for purpose pending final validation, the SRR for Delta is not discussed in this report.</w:t>
      </w:r>
    </w:p>
    <w:p w14:paraId="37ED60B1" w14:textId="0E78FC5F" w:rsidR="009365D2" w:rsidRDefault="009365D2" w:rsidP="009365D2">
      <w:pPr>
        <w:pStyle w:val="TableDescription"/>
      </w:pPr>
      <w:r>
        <w:t xml:space="preserve">b These samples were run using </w:t>
      </w:r>
      <w:proofErr w:type="spellStart"/>
      <w:r>
        <w:t>PsVNA</w:t>
      </w:r>
      <w:proofErr w:type="spellEnd"/>
      <w:r>
        <w:t xml:space="preserve"> for ancestral SARS-CoV-2 as well as Beta, </w:t>
      </w:r>
      <w:proofErr w:type="gramStart"/>
      <w:r>
        <w:t>Delta</w:t>
      </w:r>
      <w:proofErr w:type="gramEnd"/>
      <w:r>
        <w:t xml:space="preserve"> and Omicron variants.</w:t>
      </w:r>
    </w:p>
    <w:p w14:paraId="235C8209" w14:textId="2F315032" w:rsidR="009365D2" w:rsidRDefault="009365D2" w:rsidP="009365D2">
      <w:pPr>
        <w:pStyle w:val="TableDescription"/>
      </w:pPr>
      <w:r>
        <w:t xml:space="preserve">c </w:t>
      </w:r>
      <w:r w:rsidR="00AC61AA">
        <w:t xml:space="preserve">Study </w:t>
      </w:r>
      <w:r>
        <w:t xml:space="preserve">P301 Part A </w:t>
      </w:r>
      <w:proofErr w:type="spellStart"/>
      <w:r>
        <w:t>PdVNA</w:t>
      </w:r>
      <w:proofErr w:type="spellEnd"/>
      <w:r>
        <w:t xml:space="preserve"> against Delta only available at Day 57.</w:t>
      </w:r>
    </w:p>
    <w:p w14:paraId="5958D710" w14:textId="678FF4D6" w:rsidR="009365D2" w:rsidRDefault="009365D2" w:rsidP="009365D2">
      <w:pPr>
        <w:pStyle w:val="TableDescription"/>
      </w:pPr>
      <w:r>
        <w:t xml:space="preserve">d MSD VAC 123 assay simultaneously measures ancestral SARS-CoV-2 as well as Alpha, Beta, Gamma, </w:t>
      </w:r>
      <w:proofErr w:type="gramStart"/>
      <w:r>
        <w:t>Delta</w:t>
      </w:r>
      <w:proofErr w:type="gramEnd"/>
      <w:r>
        <w:t xml:space="preserve"> and Omicron variants.</w:t>
      </w:r>
    </w:p>
    <w:p w14:paraId="3A72E30B" w14:textId="44E1C7F8" w:rsidR="009365D2" w:rsidRDefault="009365D2" w:rsidP="009365D2">
      <w:r>
        <w:t>The Omicron BA.4 and BA.5 sub-lineages were chosen for the development of a research</w:t>
      </w:r>
      <w:r w:rsidR="00AC61AA">
        <w:t xml:space="preserve"> </w:t>
      </w:r>
      <w:r>
        <w:t xml:space="preserve">grade </w:t>
      </w:r>
      <w:proofErr w:type="spellStart"/>
      <w:r>
        <w:t>pseudovirus</w:t>
      </w:r>
      <w:proofErr w:type="spellEnd"/>
      <w:r>
        <w:t xml:space="preserve"> neutrali</w:t>
      </w:r>
      <w:r w:rsidR="00AC61AA">
        <w:t>s</w:t>
      </w:r>
      <w:r>
        <w:t>ation assay (undergoing validation process) using a spike</w:t>
      </w:r>
      <w:r w:rsidR="00AC61AA">
        <w:t xml:space="preserve"> </w:t>
      </w:r>
      <w:proofErr w:type="spellStart"/>
      <w:r>
        <w:t>pseudotyped</w:t>
      </w:r>
      <w:proofErr w:type="spellEnd"/>
      <w:r>
        <w:t xml:space="preserve"> virus designated </w:t>
      </w:r>
      <w:r w:rsidR="00AC61AA">
        <w:t xml:space="preserve">Omicron </w:t>
      </w:r>
      <w:r>
        <w:t>BA.4/BA.5 given that the BA.4 and BA.5 sub</w:t>
      </w:r>
      <w:r w:rsidR="00BA6CD3">
        <w:noBreakHyphen/>
      </w:r>
      <w:r>
        <w:t>lineages have an identical spike sequence (</w:t>
      </w:r>
      <w:r>
        <w:fldChar w:fldCharType="begin"/>
      </w:r>
      <w:r>
        <w:instrText xml:space="preserve"> REF _Ref111815555 \h </w:instrText>
      </w:r>
      <w:r>
        <w:fldChar w:fldCharType="separate"/>
      </w:r>
      <w:r w:rsidR="00D102F3" w:rsidRPr="00A62246">
        <w:t xml:space="preserve">Table </w:t>
      </w:r>
      <w:r w:rsidR="00D102F3">
        <w:rPr>
          <w:noProof/>
        </w:rPr>
        <w:t>3</w:t>
      </w:r>
      <w:r>
        <w:fldChar w:fldCharType="end"/>
      </w:r>
      <w:r>
        <w:t xml:space="preserve">). The assay was performed in a manner consistent with the BA.1 </w:t>
      </w:r>
      <w:proofErr w:type="spellStart"/>
      <w:r>
        <w:t>pseudovirus</w:t>
      </w:r>
      <w:proofErr w:type="spellEnd"/>
      <w:r>
        <w:t xml:space="preserve"> neutrali</w:t>
      </w:r>
      <w:r w:rsidR="00AC61AA">
        <w:t>s</w:t>
      </w:r>
      <w:r>
        <w:t>ation assay. However, range, dilutional linearity, precision and limits of quantification have yet to be determined.</w:t>
      </w:r>
    </w:p>
    <w:p w14:paraId="18B09C52" w14:textId="4FDEACB3" w:rsidR="009365D2" w:rsidRDefault="009365D2" w:rsidP="009365D2">
      <w:r>
        <w:t>The major inclusion criteria were:</w:t>
      </w:r>
    </w:p>
    <w:p w14:paraId="02513D28" w14:textId="11C177B4" w:rsidR="009365D2" w:rsidRDefault="009365D2" w:rsidP="009365D2">
      <w:pPr>
        <w:pStyle w:val="ListBullet"/>
      </w:pPr>
      <w:r>
        <w:t xml:space="preserve">Male or female of at least 18 years of age. Females had to be of nonchildbearing potential, </w:t>
      </w:r>
      <w:r w:rsidR="008D0470">
        <w:t xml:space="preserve">allowing </w:t>
      </w:r>
      <w:r>
        <w:t>inclu</w:t>
      </w:r>
      <w:r w:rsidR="008D0470">
        <w:t>sion of those</w:t>
      </w:r>
      <w:r>
        <w:t xml:space="preserve"> us</w:t>
      </w:r>
      <w:r w:rsidR="008D0470">
        <w:t>ing</w:t>
      </w:r>
      <w:r>
        <w:t xml:space="preserve"> of </w:t>
      </w:r>
      <w:r w:rsidR="008D0470">
        <w:t xml:space="preserve">hormonal </w:t>
      </w:r>
      <w:r>
        <w:t xml:space="preserve">contraceptives such as </w:t>
      </w:r>
      <w:r w:rsidRPr="009365D2">
        <w:t>oral contraceptive pills</w:t>
      </w:r>
      <w:r>
        <w:t>.</w:t>
      </w:r>
    </w:p>
    <w:p w14:paraId="01A3CC07" w14:textId="27E7C289" w:rsidR="009365D2" w:rsidRDefault="009365D2" w:rsidP="009365D2">
      <w:pPr>
        <w:pStyle w:val="ListBullet"/>
      </w:pPr>
      <w:r>
        <w:t xml:space="preserve">Received a two dose primary series of </w:t>
      </w:r>
      <w:proofErr w:type="spellStart"/>
      <w:r>
        <w:t>Spikevax</w:t>
      </w:r>
      <w:proofErr w:type="spellEnd"/>
      <w:r>
        <w:t xml:space="preserve"> (</w:t>
      </w:r>
      <w:proofErr w:type="spellStart"/>
      <w:r w:rsidR="00BA6CD3">
        <w:t>elasomeran</w:t>
      </w:r>
      <w:proofErr w:type="spellEnd"/>
      <w:r>
        <w:t xml:space="preserve">) followed by a 50 </w:t>
      </w:r>
      <w:proofErr w:type="spellStart"/>
      <w:r>
        <w:t>μg</w:t>
      </w:r>
      <w:proofErr w:type="spellEnd"/>
      <w:r>
        <w:t xml:space="preserve"> booster dose of </w:t>
      </w:r>
      <w:proofErr w:type="spellStart"/>
      <w:r>
        <w:t>Spikevax</w:t>
      </w:r>
      <w:proofErr w:type="spellEnd"/>
      <w:r>
        <w:t xml:space="preserve"> in at least three months prior to enrolment.</w:t>
      </w:r>
    </w:p>
    <w:p w14:paraId="03D6C745" w14:textId="77777777" w:rsidR="009365D2" w:rsidRDefault="009365D2" w:rsidP="009365D2">
      <w:r>
        <w:t>The major exclusion criteria were:</w:t>
      </w:r>
    </w:p>
    <w:p w14:paraId="61A7584F" w14:textId="238E42E0" w:rsidR="009365D2" w:rsidRDefault="009365D2" w:rsidP="009365D2">
      <w:pPr>
        <w:pStyle w:val="ListBullet"/>
      </w:pPr>
      <w:r>
        <w:t>Significant exposure to someone with SARS-CoV-2 infection or COVID-19 fourteen</w:t>
      </w:r>
      <w:r w:rsidR="00BA6CD3">
        <w:t> </w:t>
      </w:r>
      <w:r>
        <w:t>days prior to the screening visit.</w:t>
      </w:r>
    </w:p>
    <w:p w14:paraId="6BF3A8E4" w14:textId="011ECC07" w:rsidR="009365D2" w:rsidRDefault="008D0470" w:rsidP="009365D2">
      <w:pPr>
        <w:pStyle w:val="ListBullet"/>
      </w:pPr>
      <w:r>
        <w:t xml:space="preserve">A </w:t>
      </w:r>
      <w:r w:rsidR="009365D2">
        <w:t>known history of SARS-CoV-2 infection within three months prior to enrolment.</w:t>
      </w:r>
    </w:p>
    <w:p w14:paraId="7DA32F35" w14:textId="1585DC3F" w:rsidR="009365D2" w:rsidRDefault="008D0470" w:rsidP="009365D2">
      <w:pPr>
        <w:pStyle w:val="ListBullet"/>
      </w:pPr>
      <w:r>
        <w:t>Being</w:t>
      </w:r>
      <w:r w:rsidR="009365D2">
        <w:t xml:space="preserve"> acutely ill or febrile (temperature ≥</w:t>
      </w:r>
      <w:r w:rsidR="001F436C">
        <w:t> </w:t>
      </w:r>
      <w:r w:rsidR="009365D2">
        <w:t>38°C) less than 72 hours prior to or at the screening visit or Day 1.</w:t>
      </w:r>
    </w:p>
    <w:p w14:paraId="7856F22C" w14:textId="4B5F1D1A" w:rsidR="009365D2" w:rsidRDefault="009365D2" w:rsidP="009365D2">
      <w:pPr>
        <w:pStyle w:val="ListBullet"/>
      </w:pPr>
      <w:r>
        <w:t>Currently ha</w:t>
      </w:r>
      <w:r w:rsidR="008D0470">
        <w:t>ving</w:t>
      </w:r>
      <w:r>
        <w:t xml:space="preserve"> symptomatic acute or unstable chronic disease requiring medical or surgical care.</w:t>
      </w:r>
    </w:p>
    <w:p w14:paraId="3A956DCF" w14:textId="1AEC46FA" w:rsidR="009365D2" w:rsidRDefault="009365D2" w:rsidP="009365D2">
      <w:pPr>
        <w:pStyle w:val="ListBullet"/>
      </w:pPr>
      <w:r>
        <w:t>Ha</w:t>
      </w:r>
      <w:r w:rsidR="008D0470">
        <w:t>ving</w:t>
      </w:r>
      <w:r>
        <w:t xml:space="preserve"> a current or previous diagnosis of immunocompromising condition to include human immunodeficiency virus (HIV), or immune mediated disease requiring immunosuppressive treatment, or other immunosuppressive condition.</w:t>
      </w:r>
    </w:p>
    <w:p w14:paraId="11A2605D" w14:textId="6826E87A" w:rsidR="009365D2" w:rsidRDefault="00D102F3" w:rsidP="009365D2">
      <w:pPr>
        <w:pStyle w:val="ListBullet"/>
      </w:pPr>
      <w:r>
        <w:t>Receiving</w:t>
      </w:r>
      <w:r w:rsidR="009365D2">
        <w:t xml:space="preserve"> systemic immunosuppressants or immune-modifying drugs for &gt;</w:t>
      </w:r>
      <w:r w:rsidR="008D0470">
        <w:t> </w:t>
      </w:r>
      <w:r w:rsidR="009365D2">
        <w:t>14</w:t>
      </w:r>
      <w:r w:rsidR="008D0470">
        <w:t> </w:t>
      </w:r>
      <w:r w:rsidR="009365D2">
        <w:t>days in total within six months prior to screening (for corticosteroids ≥ 10 mg/day of prednisone equivalent) or is anticipating the need for immunosuppressive treatment at any time during participation in the study.</w:t>
      </w:r>
    </w:p>
    <w:p w14:paraId="1D57922D" w14:textId="37B16D9B" w:rsidR="009365D2" w:rsidRDefault="009365D2" w:rsidP="009365D2">
      <w:pPr>
        <w:pStyle w:val="ListBullet"/>
      </w:pPr>
      <w:r>
        <w:lastRenderedPageBreak/>
        <w:t>Ha</w:t>
      </w:r>
      <w:r w:rsidR="008D0470">
        <w:t>ving</w:t>
      </w:r>
      <w:r>
        <w:t xml:space="preserve"> a documented history of myocarditis or pericarditis within two months prior to screening visit (Day 0).</w:t>
      </w:r>
    </w:p>
    <w:p w14:paraId="2C944232" w14:textId="5DBF3309" w:rsidR="009365D2" w:rsidRDefault="009365D2" w:rsidP="009365D2">
      <w:pPr>
        <w:pStyle w:val="ListBullet"/>
      </w:pPr>
      <w:r>
        <w:t>Ha</w:t>
      </w:r>
      <w:r w:rsidR="008D0470">
        <w:t>ving</w:t>
      </w:r>
      <w:r>
        <w:t xml:space="preserve"> received or plan</w:t>
      </w:r>
      <w:r w:rsidR="008D0470">
        <w:t>ned</w:t>
      </w:r>
      <w:r>
        <w:t xml:space="preserve"> to receive any licensed vaccine ≤ 28 days prior to the injection (Day 1) or a licensed vaccine within 28 days before or after the study injection, </w:t>
      </w:r>
      <w:proofErr w:type="gramStart"/>
      <w:r>
        <w:t>with the exception of</w:t>
      </w:r>
      <w:proofErr w:type="gramEnd"/>
      <w:r>
        <w:t xml:space="preserve"> influenza vaccines, which may be given 14 days before or after receipt of a study vaccine.</w:t>
      </w:r>
    </w:p>
    <w:p w14:paraId="37E11B2D" w14:textId="0CC90C10" w:rsidR="009365D2" w:rsidRDefault="009365D2" w:rsidP="009365D2">
      <w:pPr>
        <w:pStyle w:val="Heading5"/>
      </w:pPr>
      <w:r>
        <w:t>Statistical Methods</w:t>
      </w:r>
    </w:p>
    <w:p w14:paraId="17E06E2C" w14:textId="55D2996D" w:rsidR="0022452E" w:rsidRPr="0022452E" w:rsidRDefault="0022452E" w:rsidP="0022452E">
      <w:pPr>
        <w:pStyle w:val="Heading6"/>
      </w:pPr>
      <w:r>
        <w:t>Efficacy</w:t>
      </w:r>
    </w:p>
    <w:p w14:paraId="51DC5427" w14:textId="0BB33E03" w:rsidR="009365D2" w:rsidRDefault="009365D2" w:rsidP="009365D2">
      <w:r>
        <w:t xml:space="preserve">As for the comparison between </w:t>
      </w:r>
      <w:r w:rsidR="009A6899">
        <w:t xml:space="preserve">Study </w:t>
      </w:r>
      <w:r>
        <w:t xml:space="preserve">P205 Part G and </w:t>
      </w:r>
      <w:r w:rsidR="009A6899">
        <w:t xml:space="preserve">Study </w:t>
      </w:r>
      <w:r>
        <w:t xml:space="preserve">P205 Part F, pre-specified primary and key secondary immunogenicity objectives were to demonstrate the following 28 days after the </w:t>
      </w:r>
      <w:r w:rsidR="00BA6CD3">
        <w:t>bivalent vaccine combination</w:t>
      </w:r>
      <w:r>
        <w:t xml:space="preserve"> </w:t>
      </w:r>
      <w:r w:rsidR="009A6899">
        <w:t xml:space="preserve">at </w:t>
      </w:r>
      <w:r>
        <w:t xml:space="preserve">50 </w:t>
      </w:r>
      <w:proofErr w:type="spellStart"/>
      <w:r>
        <w:t>μg</w:t>
      </w:r>
      <w:proofErr w:type="spellEnd"/>
      <w:r>
        <w:t xml:space="preserve"> second booster dose (</w:t>
      </w:r>
      <w:r w:rsidR="009A6899">
        <w:t xml:space="preserve">Study </w:t>
      </w:r>
      <w:r>
        <w:t xml:space="preserve">P205 Part G) compared with </w:t>
      </w:r>
      <w:r w:rsidR="00BA6CD3">
        <w:t>monovalent vaccine (</w:t>
      </w:r>
      <w:proofErr w:type="spellStart"/>
      <w:r w:rsidR="00BA6CD3">
        <w:t>elasomeran</w:t>
      </w:r>
      <w:proofErr w:type="spellEnd"/>
      <w:r w:rsidR="00BA6CD3">
        <w:t>)</w:t>
      </w:r>
      <w:r>
        <w:t xml:space="preserve"> </w:t>
      </w:r>
      <w:r w:rsidR="009A6899">
        <w:t xml:space="preserve">at </w:t>
      </w:r>
      <w:r>
        <w:t xml:space="preserve">50 </w:t>
      </w:r>
      <w:proofErr w:type="spellStart"/>
      <w:r>
        <w:t>μg</w:t>
      </w:r>
      <w:proofErr w:type="spellEnd"/>
      <w:r>
        <w:t xml:space="preserve"> second booster dose (</w:t>
      </w:r>
      <w:r w:rsidR="009A6899">
        <w:t xml:space="preserve">Study </w:t>
      </w:r>
      <w:r>
        <w:t>P205 Part F):</w:t>
      </w:r>
    </w:p>
    <w:p w14:paraId="0C954EF6" w14:textId="172BBECD" w:rsidR="009365D2" w:rsidRDefault="009365D2" w:rsidP="009A6899">
      <w:pPr>
        <w:pStyle w:val="ListBullet"/>
      </w:pPr>
      <w:r>
        <w:t>Non-inferior neutralising antibody responses against the ancestral SARS-CoV-2 with D614G</w:t>
      </w:r>
      <w:r w:rsidR="009A6899">
        <w:t xml:space="preserve"> mutation</w:t>
      </w:r>
      <w:r>
        <w:t>.</w:t>
      </w:r>
    </w:p>
    <w:p w14:paraId="5702F155" w14:textId="6D49EC3B" w:rsidR="009365D2" w:rsidRDefault="009365D2" w:rsidP="009A6899">
      <w:pPr>
        <w:pStyle w:val="ListBullet"/>
      </w:pPr>
      <w:r>
        <w:t xml:space="preserve">Superior neutralising antibody responses against </w:t>
      </w:r>
      <w:r w:rsidR="005D61E6">
        <w:t xml:space="preserve">the </w:t>
      </w:r>
      <w:r>
        <w:t>Omicron</w:t>
      </w:r>
      <w:r w:rsidR="005D61E6">
        <w:t xml:space="preserve"> variant</w:t>
      </w:r>
      <w:r>
        <w:t>.</w:t>
      </w:r>
    </w:p>
    <w:p w14:paraId="26F12C09" w14:textId="3E0E846B" w:rsidR="009365D2" w:rsidRDefault="009365D2" w:rsidP="009365D2">
      <w:r>
        <w:t xml:space="preserve">For the pre-specified primary objectives there were </w:t>
      </w:r>
      <w:r w:rsidR="0022452E">
        <w:t>four</w:t>
      </w:r>
      <w:r>
        <w:t xml:space="preserve"> corresponding clinical endpoints:</w:t>
      </w:r>
    </w:p>
    <w:p w14:paraId="0D332D2A" w14:textId="7E33459F" w:rsidR="009365D2" w:rsidRDefault="0022452E" w:rsidP="009A6899">
      <w:pPr>
        <w:pStyle w:val="ListBullet"/>
      </w:pPr>
      <w:r>
        <w:t>n</w:t>
      </w:r>
      <w:r w:rsidR="009365D2">
        <w:t xml:space="preserve">on-inferiority of the antibody response of the second booster dose of 50 </w:t>
      </w:r>
      <w:proofErr w:type="spellStart"/>
      <w:r w:rsidR="009365D2">
        <w:t>μ</w:t>
      </w:r>
      <w:r>
        <w:t>g</w:t>
      </w:r>
      <w:proofErr w:type="spellEnd"/>
      <w:r w:rsidR="009365D2">
        <w:t xml:space="preserve"> </w:t>
      </w:r>
      <w:r w:rsidR="00BA6CD3">
        <w:t>bivalent vaccine (</w:t>
      </w:r>
      <w:proofErr w:type="spellStart"/>
      <w:r w:rsidR="00BA6CD3">
        <w:t>elasomeran</w:t>
      </w:r>
      <w:proofErr w:type="spellEnd"/>
      <w:r w:rsidR="00BA6CD3">
        <w:t xml:space="preserve"> + </w:t>
      </w:r>
      <w:proofErr w:type="spellStart"/>
      <w:r w:rsidR="00BA6CD3">
        <w:t>imelasomeran</w:t>
      </w:r>
      <w:proofErr w:type="spellEnd"/>
      <w:r w:rsidR="00BA6CD3">
        <w:t>)</w:t>
      </w:r>
      <w:r w:rsidR="009365D2">
        <w:t xml:space="preserve"> compared with the second booster dose of 50</w:t>
      </w:r>
      <w:r w:rsidR="00BA6CD3">
        <w:t> </w:t>
      </w:r>
      <w:proofErr w:type="spellStart"/>
      <w:r w:rsidR="009365D2">
        <w:t>μg</w:t>
      </w:r>
      <w:proofErr w:type="spellEnd"/>
      <w:r w:rsidR="009365D2">
        <w:t xml:space="preserve"> mRNA-1273 based on the </w:t>
      </w:r>
      <w:r w:rsidR="009A6899" w:rsidRPr="009A6899">
        <w:t xml:space="preserve">geometric mean ratio </w:t>
      </w:r>
      <w:r w:rsidR="009A6899">
        <w:t>(</w:t>
      </w:r>
      <w:r w:rsidR="009365D2">
        <w:t>GMR</w:t>
      </w:r>
      <w:r w:rsidR="009A6899">
        <w:t>)</w:t>
      </w:r>
      <w:r w:rsidR="009365D2">
        <w:t xml:space="preserve"> against </w:t>
      </w:r>
      <w:r w:rsidR="005D61E6">
        <w:t xml:space="preserve">the </w:t>
      </w:r>
      <w:r w:rsidR="009365D2">
        <w:t>Omicron</w:t>
      </w:r>
      <w:r w:rsidR="005D61E6">
        <w:t xml:space="preserve"> </w:t>
      </w:r>
      <w:proofErr w:type="gramStart"/>
      <w:r w:rsidR="005D61E6">
        <w:t>variant</w:t>
      </w:r>
      <w:r w:rsidR="009365D2">
        <w:t>;</w:t>
      </w:r>
      <w:proofErr w:type="gramEnd"/>
    </w:p>
    <w:p w14:paraId="7F585A34" w14:textId="7F1443D2" w:rsidR="009365D2" w:rsidRDefault="0022452E" w:rsidP="009A6899">
      <w:pPr>
        <w:pStyle w:val="ListBullet"/>
      </w:pPr>
      <w:r>
        <w:t>n</w:t>
      </w:r>
      <w:r w:rsidR="009365D2">
        <w:t>on-inferiority of the antibody response of the second dose of 50</w:t>
      </w:r>
      <w:r w:rsidR="009A6899">
        <w:t xml:space="preserve"> </w:t>
      </w:r>
      <w:proofErr w:type="spellStart"/>
      <w:r w:rsidR="009365D2">
        <w:t>μg</w:t>
      </w:r>
      <w:proofErr w:type="spellEnd"/>
      <w:r w:rsidR="009365D2">
        <w:t xml:space="preserve"> </w:t>
      </w:r>
      <w:r w:rsidR="00BA6CD3">
        <w:t>bivalent vaccine (</w:t>
      </w:r>
      <w:proofErr w:type="spellStart"/>
      <w:r w:rsidR="00BA6CD3">
        <w:t>elasomeran</w:t>
      </w:r>
      <w:proofErr w:type="spellEnd"/>
      <w:r w:rsidR="00BA6CD3">
        <w:t xml:space="preserve"> + </w:t>
      </w:r>
      <w:proofErr w:type="spellStart"/>
      <w:r w:rsidR="00BA6CD3">
        <w:t>imelasomeran</w:t>
      </w:r>
      <w:proofErr w:type="spellEnd"/>
      <w:r w:rsidR="00BA6CD3">
        <w:t xml:space="preserve">) </w:t>
      </w:r>
      <w:r w:rsidR="009365D2">
        <w:t>compared to the second booster dose of 50</w:t>
      </w:r>
      <w:r w:rsidR="009A6899">
        <w:t xml:space="preserve"> </w:t>
      </w:r>
      <w:proofErr w:type="spellStart"/>
      <w:r w:rsidR="009365D2">
        <w:t>μg</w:t>
      </w:r>
      <w:proofErr w:type="spellEnd"/>
      <w:r w:rsidR="009365D2">
        <w:t xml:space="preserve"> </w:t>
      </w:r>
      <w:r w:rsidR="00BA6CD3">
        <w:t>monovalent vaccine (</w:t>
      </w:r>
      <w:proofErr w:type="spellStart"/>
      <w:r w:rsidR="00BA6CD3">
        <w:t>elasomeran</w:t>
      </w:r>
      <w:proofErr w:type="spellEnd"/>
      <w:r w:rsidR="00BA6CD3">
        <w:t>)</w:t>
      </w:r>
      <w:r w:rsidR="009365D2">
        <w:t xml:space="preserve"> against </w:t>
      </w:r>
      <w:r w:rsidR="005D61E6">
        <w:t xml:space="preserve">the </w:t>
      </w:r>
      <w:r w:rsidR="009365D2">
        <w:t xml:space="preserve">Omicron </w:t>
      </w:r>
      <w:r w:rsidR="005D61E6">
        <w:t xml:space="preserve">variant </w:t>
      </w:r>
      <w:r w:rsidR="009365D2">
        <w:t xml:space="preserve">based on the difference in </w:t>
      </w:r>
      <w:proofErr w:type="spellStart"/>
      <w:r w:rsidRPr="0022452E">
        <w:t>seroresponse</w:t>
      </w:r>
      <w:proofErr w:type="spellEnd"/>
      <w:r w:rsidRPr="0022452E">
        <w:t xml:space="preserve"> rates </w:t>
      </w:r>
      <w:r>
        <w:t>(</w:t>
      </w:r>
      <w:r w:rsidR="009365D2">
        <w:t>SRR</w:t>
      </w:r>
      <w:proofErr w:type="gramStart"/>
      <w:r>
        <w:t>)</w:t>
      </w:r>
      <w:r w:rsidR="009365D2">
        <w:t>;</w:t>
      </w:r>
      <w:proofErr w:type="gramEnd"/>
    </w:p>
    <w:p w14:paraId="7B8974B3" w14:textId="53662E8B" w:rsidR="009365D2" w:rsidRDefault="0022452E" w:rsidP="009A6899">
      <w:pPr>
        <w:pStyle w:val="ListBullet"/>
      </w:pPr>
      <w:r>
        <w:t>n</w:t>
      </w:r>
      <w:r w:rsidR="009365D2">
        <w:t xml:space="preserve">on-inferiority of the antibody response of the second booster dose of 50μg </w:t>
      </w:r>
      <w:r w:rsidR="00BA6CD3">
        <w:t>bivalent vaccine (</w:t>
      </w:r>
      <w:proofErr w:type="spellStart"/>
      <w:r w:rsidR="00BA6CD3">
        <w:t>elasomeran</w:t>
      </w:r>
      <w:proofErr w:type="spellEnd"/>
      <w:r w:rsidR="00BA6CD3">
        <w:t xml:space="preserve"> + </w:t>
      </w:r>
      <w:proofErr w:type="spellStart"/>
      <w:r w:rsidR="00BA6CD3">
        <w:t>imelasomeran</w:t>
      </w:r>
      <w:proofErr w:type="spellEnd"/>
      <w:r w:rsidR="00BA6CD3">
        <w:t xml:space="preserve">) </w:t>
      </w:r>
      <w:r w:rsidR="009365D2">
        <w:t>compared to the second booster dose of 50</w:t>
      </w:r>
      <w:r>
        <w:t xml:space="preserve"> </w:t>
      </w:r>
      <w:proofErr w:type="spellStart"/>
      <w:r w:rsidR="009365D2">
        <w:t>μg</w:t>
      </w:r>
      <w:proofErr w:type="spellEnd"/>
      <w:r w:rsidR="009365D2">
        <w:t xml:space="preserve"> </w:t>
      </w:r>
      <w:r w:rsidR="00BA6CD3">
        <w:t>monovalent vaccine (</w:t>
      </w:r>
      <w:proofErr w:type="spellStart"/>
      <w:r w:rsidR="00BA6CD3">
        <w:t>elasomeran</w:t>
      </w:r>
      <w:proofErr w:type="spellEnd"/>
      <w:r w:rsidR="00BA6CD3">
        <w:t>)</w:t>
      </w:r>
      <w:r w:rsidR="009365D2">
        <w:t xml:space="preserve"> based on GMR against the ancestral SARS-CoV-2</w:t>
      </w:r>
      <w:r w:rsidR="005D61E6">
        <w:t xml:space="preserve"> strain</w:t>
      </w:r>
      <w:r w:rsidR="009365D2">
        <w:t>; and</w:t>
      </w:r>
    </w:p>
    <w:p w14:paraId="634EE1F3" w14:textId="0B15BFBB" w:rsidR="009365D2" w:rsidRDefault="0022452E" w:rsidP="009A6899">
      <w:pPr>
        <w:pStyle w:val="ListBullet"/>
      </w:pPr>
      <w:r>
        <w:t>s</w:t>
      </w:r>
      <w:r w:rsidR="009365D2">
        <w:t>uperiority of the antibody response of the second booster dose of 50</w:t>
      </w:r>
      <w:r>
        <w:t xml:space="preserve"> </w:t>
      </w:r>
      <w:proofErr w:type="spellStart"/>
      <w:r w:rsidR="009365D2">
        <w:t>μg</w:t>
      </w:r>
      <w:proofErr w:type="spellEnd"/>
      <w:r w:rsidR="009365D2">
        <w:t xml:space="preserve"> </w:t>
      </w:r>
      <w:r w:rsidR="00BA6CD3">
        <w:t>bivalent vaccine (</w:t>
      </w:r>
      <w:proofErr w:type="spellStart"/>
      <w:r w:rsidR="00BA6CD3">
        <w:t>elasomeran</w:t>
      </w:r>
      <w:proofErr w:type="spellEnd"/>
      <w:r w:rsidR="00BA6CD3">
        <w:t xml:space="preserve"> + </w:t>
      </w:r>
      <w:proofErr w:type="spellStart"/>
      <w:r w:rsidR="00BA6CD3">
        <w:t>imelasomeran</w:t>
      </w:r>
      <w:proofErr w:type="spellEnd"/>
      <w:r w:rsidR="00BA6CD3">
        <w:t xml:space="preserve">) </w:t>
      </w:r>
      <w:r w:rsidR="009365D2">
        <w:t>compared to the second booster dose of 50</w:t>
      </w:r>
      <w:r>
        <w:t xml:space="preserve"> </w:t>
      </w:r>
      <w:proofErr w:type="spellStart"/>
      <w:r w:rsidR="009365D2">
        <w:t>μg</w:t>
      </w:r>
      <w:proofErr w:type="spellEnd"/>
      <w:r w:rsidR="009365D2">
        <w:t xml:space="preserve"> </w:t>
      </w:r>
      <w:r w:rsidR="00BA6CD3">
        <w:t>monovalent vaccine (</w:t>
      </w:r>
      <w:proofErr w:type="spellStart"/>
      <w:r w:rsidR="00BA6CD3">
        <w:t>elasomeran</w:t>
      </w:r>
      <w:proofErr w:type="spellEnd"/>
      <w:r w:rsidR="00BA6CD3">
        <w:t xml:space="preserve">) </w:t>
      </w:r>
      <w:r w:rsidR="009365D2">
        <w:t xml:space="preserve">based on the GMR against </w:t>
      </w:r>
      <w:r w:rsidR="00BA6CD3">
        <w:t>the</w:t>
      </w:r>
      <w:r w:rsidR="005D61E6">
        <w:t xml:space="preserve"> </w:t>
      </w:r>
      <w:r w:rsidR="009365D2">
        <w:t>Omicron</w:t>
      </w:r>
      <w:r w:rsidR="00BA6CD3">
        <w:t xml:space="preserve"> variant</w:t>
      </w:r>
      <w:r w:rsidR="009365D2">
        <w:t>.</w:t>
      </w:r>
    </w:p>
    <w:p w14:paraId="4669768A" w14:textId="1364CA66" w:rsidR="009365D2" w:rsidRDefault="0022452E" w:rsidP="0022452E">
      <w:pPr>
        <w:pStyle w:val="FigureTitle"/>
      </w:pPr>
      <w:bookmarkStart w:id="47" w:name="_Ref111817482"/>
      <w:r w:rsidRPr="0022452E">
        <w:t xml:space="preserve">Figure </w:t>
      </w:r>
      <w:r w:rsidR="00F43EA9">
        <w:fldChar w:fldCharType="begin"/>
      </w:r>
      <w:r w:rsidR="00F43EA9">
        <w:instrText xml:space="preserve"> SEQ Figure \* ARABIC </w:instrText>
      </w:r>
      <w:r w:rsidR="00F43EA9">
        <w:fldChar w:fldCharType="separate"/>
      </w:r>
      <w:r w:rsidR="00D102F3">
        <w:rPr>
          <w:noProof/>
        </w:rPr>
        <w:t>1</w:t>
      </w:r>
      <w:r w:rsidR="00F43EA9">
        <w:rPr>
          <w:noProof/>
        </w:rPr>
        <w:fldChar w:fldCharType="end"/>
      </w:r>
      <w:bookmarkEnd w:id="47"/>
      <w:r>
        <w:t>: Study P205 Part G Statistical hypotheses testing strategy</w:t>
      </w:r>
    </w:p>
    <w:p w14:paraId="3428842B" w14:textId="1A2FA647" w:rsidR="0022452E" w:rsidRDefault="0022452E" w:rsidP="0022452E">
      <w:r>
        <w:rPr>
          <w:noProof/>
          <w:lang w:val="en-GB" w:eastAsia="en-GB"/>
        </w:rPr>
        <w:drawing>
          <wp:inline distT="0" distB="0" distL="0" distR="0" wp14:anchorId="79D30ACF" wp14:editId="570E8268">
            <wp:extent cx="4336415" cy="1360627"/>
            <wp:effectExtent l="0" t="0" r="6985" b="0"/>
            <wp:docPr id="7" name="Picture 7" descr="Study P205 Part G Statistical hypotheses test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P205 Part G Statistical hypotheses testing strategy"/>
                    <pic:cNvPicPr/>
                  </pic:nvPicPr>
                  <pic:blipFill rotWithShape="1">
                    <a:blip r:embed="rId17"/>
                    <a:srcRect b="17325"/>
                    <a:stretch/>
                  </pic:blipFill>
                  <pic:spPr bwMode="auto">
                    <a:xfrm>
                      <a:off x="0" y="0"/>
                      <a:ext cx="4425784" cy="1388668"/>
                    </a:xfrm>
                    <a:prstGeom prst="rect">
                      <a:avLst/>
                    </a:prstGeom>
                    <a:ln>
                      <a:noFill/>
                    </a:ln>
                    <a:extLst>
                      <a:ext uri="{53640926-AAD7-44D8-BBD7-CCE9431645EC}">
                        <a14:shadowObscured xmlns:a14="http://schemas.microsoft.com/office/drawing/2010/main"/>
                      </a:ext>
                    </a:extLst>
                  </pic:spPr>
                </pic:pic>
              </a:graphicData>
            </a:graphic>
          </wp:inline>
        </w:drawing>
      </w:r>
    </w:p>
    <w:p w14:paraId="310AB288" w14:textId="0B54CCFB" w:rsidR="0022452E" w:rsidRDefault="0022452E" w:rsidP="0022452E">
      <w:pPr>
        <w:pStyle w:val="FigureDescription"/>
      </w:pPr>
      <w:r>
        <w:t xml:space="preserve">Abbreviation: GMR = </w:t>
      </w:r>
      <w:r w:rsidRPr="009A6899">
        <w:t>geometric mean ratio</w:t>
      </w:r>
      <w:r>
        <w:t xml:space="preserve">; SRR= </w:t>
      </w:r>
      <w:proofErr w:type="spellStart"/>
      <w:r w:rsidRPr="0022452E">
        <w:t>seroresponse</w:t>
      </w:r>
      <w:proofErr w:type="spellEnd"/>
      <w:r w:rsidRPr="0022452E">
        <w:t xml:space="preserve"> rate</w:t>
      </w:r>
      <w:r>
        <w:t>.</w:t>
      </w:r>
    </w:p>
    <w:p w14:paraId="50E1F537" w14:textId="02303CCC" w:rsidR="0022452E" w:rsidRDefault="0022452E" w:rsidP="0022452E">
      <w:r>
        <w:t xml:space="preserve">There was also a pre-specified key secondary, non-inferiority objective of the antibody response of the second booster dose of 50 </w:t>
      </w:r>
      <w:proofErr w:type="spellStart"/>
      <w:r>
        <w:t>μg</w:t>
      </w:r>
      <w:proofErr w:type="spellEnd"/>
      <w:r>
        <w:t xml:space="preserve"> </w:t>
      </w:r>
      <w:r w:rsidR="00BA6CD3">
        <w:t>bivalent vaccine (</w:t>
      </w:r>
      <w:proofErr w:type="spellStart"/>
      <w:r w:rsidR="00BA6CD3">
        <w:t>elasomeran</w:t>
      </w:r>
      <w:proofErr w:type="spellEnd"/>
      <w:r w:rsidR="00BA6CD3">
        <w:t xml:space="preserve"> + </w:t>
      </w:r>
      <w:proofErr w:type="spellStart"/>
      <w:r w:rsidR="00BA6CD3">
        <w:t>imelasomeran</w:t>
      </w:r>
      <w:proofErr w:type="spellEnd"/>
      <w:r w:rsidR="00BA6CD3">
        <w:t xml:space="preserve">) </w:t>
      </w:r>
      <w:r>
        <w:t xml:space="preserve">compared to the second booster dose of 50 </w:t>
      </w:r>
      <w:proofErr w:type="spellStart"/>
      <w:r>
        <w:t>μg</w:t>
      </w:r>
      <w:proofErr w:type="spellEnd"/>
      <w:r>
        <w:t xml:space="preserve"> of </w:t>
      </w:r>
      <w:proofErr w:type="spellStart"/>
      <w:r w:rsidR="00BA6CD3">
        <w:t>elasomeran</w:t>
      </w:r>
      <w:proofErr w:type="spellEnd"/>
      <w:r w:rsidR="00BA6CD3">
        <w:t xml:space="preserve"> </w:t>
      </w:r>
      <w:r>
        <w:t>against the ancestral SARS-CoV-2 with D614G mutation based on the difference in SRR, to be tested if all primary endpoints were met.</w:t>
      </w:r>
    </w:p>
    <w:p w14:paraId="07891693" w14:textId="6A06EAAC" w:rsidR="0022452E" w:rsidRDefault="0022452E" w:rsidP="0022452E">
      <w:r>
        <w:lastRenderedPageBreak/>
        <w:t>The immunogenicity endpoints are tested 28 days after the booster dose (Day 29) and 90 days after the booster dose (Day 91) with an alpha of 0.025 (</w:t>
      </w:r>
      <w:r w:rsidR="00B369D8">
        <w:t xml:space="preserve">two </w:t>
      </w:r>
      <w:r>
        <w:t>sided) respectively at each one of the two time points (</w:t>
      </w:r>
      <w:r>
        <w:fldChar w:fldCharType="begin"/>
      </w:r>
      <w:r>
        <w:instrText xml:space="preserve"> REF _Ref111817482 \h </w:instrText>
      </w:r>
      <w:r>
        <w:fldChar w:fldCharType="separate"/>
      </w:r>
      <w:r w:rsidR="00D102F3" w:rsidRPr="0022452E">
        <w:t xml:space="preserve">Figure </w:t>
      </w:r>
      <w:r w:rsidR="00D102F3">
        <w:rPr>
          <w:noProof/>
        </w:rPr>
        <w:t>1</w:t>
      </w:r>
      <w:r>
        <w:fldChar w:fldCharType="end"/>
      </w:r>
      <w:r>
        <w:t xml:space="preserve">). Non-inferiority is considered met when the lower bound of the 97.5% </w:t>
      </w:r>
      <w:r w:rsidR="00141448">
        <w:t>confidence interval (</w:t>
      </w:r>
      <w:r>
        <w:t>CI</w:t>
      </w:r>
      <w:r w:rsidR="00141448">
        <w:t>)</w:t>
      </w:r>
      <w:r>
        <w:t xml:space="preserve"> of GMR is ≥ 0.67 and of SRR difference is &gt; -10%. Superiority is considered met when the lower bound of the 97.5% CI of GMR is &gt; 1 and for the difference in SRR &gt; 0.</w:t>
      </w:r>
    </w:p>
    <w:p w14:paraId="3133C5D8" w14:textId="3082B861" w:rsidR="0022452E" w:rsidRDefault="0022452E" w:rsidP="0022452E">
      <w:r>
        <w:t xml:space="preserve">If non-inferiority is demonstrated for both </w:t>
      </w:r>
      <w:r w:rsidR="005D61E6">
        <w:t xml:space="preserve">the </w:t>
      </w:r>
      <w:r>
        <w:t xml:space="preserve">Omicron </w:t>
      </w:r>
      <w:r w:rsidR="005D61E6">
        <w:t xml:space="preserve">variant </w:t>
      </w:r>
      <w:r>
        <w:t xml:space="preserve">(based on GMR and SRR) and </w:t>
      </w:r>
      <w:r w:rsidR="005D61E6">
        <w:t xml:space="preserve">the </w:t>
      </w:r>
      <w:r>
        <w:t xml:space="preserve">ancestral SARS-CoV-2 </w:t>
      </w:r>
      <w:r w:rsidR="005D61E6">
        <w:t xml:space="preserve">strain </w:t>
      </w:r>
      <w:r>
        <w:t xml:space="preserve">with D614G </w:t>
      </w:r>
      <w:r w:rsidR="00141448">
        <w:t xml:space="preserve">mutation </w:t>
      </w:r>
      <w:r>
        <w:t>(based on GMR), the lower bound of 97.5% CI of GMR is compared to 1, and if greater than 1, then superiority against Omicron is demonstrated.</w:t>
      </w:r>
    </w:p>
    <w:p w14:paraId="2A39AB0A" w14:textId="00AB9D7F" w:rsidR="0022452E" w:rsidRDefault="0022452E" w:rsidP="0022452E">
      <w:r>
        <w:t xml:space="preserve">Superiority of the </w:t>
      </w:r>
      <w:r w:rsidR="00BA6CD3">
        <w:t>bivalent vaccine (</w:t>
      </w:r>
      <w:proofErr w:type="spellStart"/>
      <w:r w:rsidR="00BA6CD3">
        <w:t>elasomeran</w:t>
      </w:r>
      <w:proofErr w:type="spellEnd"/>
      <w:r w:rsidR="00BA6CD3">
        <w:t xml:space="preserve"> + </w:t>
      </w:r>
      <w:proofErr w:type="spellStart"/>
      <w:r w:rsidR="00BA6CD3">
        <w:t>imelasomeran</w:t>
      </w:r>
      <w:proofErr w:type="spellEnd"/>
      <w:r w:rsidR="00BA6CD3">
        <w:t xml:space="preserve">) </w:t>
      </w:r>
      <w:r>
        <w:t>antibody response against</w:t>
      </w:r>
      <w:r w:rsidR="00BA6CD3">
        <w:t xml:space="preserve"> the</w:t>
      </w:r>
      <w:r>
        <w:t xml:space="preserve"> Omicron</w:t>
      </w:r>
      <w:r w:rsidR="00BA6CD3">
        <w:t xml:space="preserve"> variant</w:t>
      </w:r>
      <w:r>
        <w:t xml:space="preserve">, compared to </w:t>
      </w:r>
      <w:r w:rsidR="00BA6CD3">
        <w:t>monovalent vaccine (elasomeran)</w:t>
      </w:r>
      <w:r>
        <w:t xml:space="preserve">, is considered as demonstrated if superiority based on GMR is met at Days 29 or 91. The alpha was split with 2.5% assigned to </w:t>
      </w:r>
      <w:r w:rsidR="00141448">
        <w:t>D</w:t>
      </w:r>
      <w:r>
        <w:t xml:space="preserve">ay 29 and 2.5% assigned to </w:t>
      </w:r>
      <w:r w:rsidR="00141448">
        <w:t>D</w:t>
      </w:r>
      <w:r>
        <w:t xml:space="preserve">ay 91. The Day 29 interim analysis results are presented herein. The methods of analysis are </w:t>
      </w:r>
      <w:r w:rsidR="00141448">
        <w:t xml:space="preserve">considered </w:t>
      </w:r>
      <w:r>
        <w:t>acceptable.</w:t>
      </w:r>
    </w:p>
    <w:p w14:paraId="0163619F" w14:textId="3CA74D50" w:rsidR="0022452E" w:rsidRDefault="0022452E" w:rsidP="0022452E">
      <w:r>
        <w:t xml:space="preserve">An </w:t>
      </w:r>
      <w:r w:rsidR="00141448">
        <w:t>a</w:t>
      </w:r>
      <w:r w:rsidR="00141448" w:rsidRPr="00141448">
        <w:t xml:space="preserve">nalysis of covariance </w:t>
      </w:r>
      <w:r w:rsidR="00141448">
        <w:t>(</w:t>
      </w:r>
      <w:r>
        <w:t>ANCOVA</w:t>
      </w:r>
      <w:r w:rsidR="00141448">
        <w:t>)</w:t>
      </w:r>
      <w:r>
        <w:t xml:space="preserve"> model was performed to assess the difference in antibody responses between </w:t>
      </w:r>
      <w:r w:rsidR="00BA6CD3">
        <w:t>bivalent vaccine (</w:t>
      </w:r>
      <w:proofErr w:type="spellStart"/>
      <w:r w:rsidR="00BA6CD3">
        <w:t>elasomeran</w:t>
      </w:r>
      <w:proofErr w:type="spellEnd"/>
      <w:r w:rsidR="00BA6CD3">
        <w:t xml:space="preserve"> + </w:t>
      </w:r>
      <w:proofErr w:type="spellStart"/>
      <w:r w:rsidR="00BA6CD3">
        <w:t>imelasomeran</w:t>
      </w:r>
      <w:proofErr w:type="spellEnd"/>
      <w:r w:rsidR="00BA6CD3">
        <w:t xml:space="preserve">) </w:t>
      </w:r>
      <w:r>
        <w:t xml:space="preserve">and </w:t>
      </w:r>
      <w:r w:rsidR="00BA6CD3">
        <w:t>monovalent vaccine (elasomeran)</w:t>
      </w:r>
      <w:r>
        <w:t xml:space="preserve"> groups, with antibody titres post-booster as a dependent variable, and a group variable (</w:t>
      </w:r>
      <w:r w:rsidR="00BA6CD3">
        <w:t>bivalent vaccine (</w:t>
      </w:r>
      <w:proofErr w:type="spellStart"/>
      <w:r w:rsidR="00BA6CD3">
        <w:t>elasomeran</w:t>
      </w:r>
      <w:proofErr w:type="spellEnd"/>
      <w:r w:rsidR="00BA6CD3">
        <w:t xml:space="preserve"> + </w:t>
      </w:r>
      <w:proofErr w:type="spellStart"/>
      <w:r w:rsidR="00BA6CD3">
        <w:t>imelasomeran</w:t>
      </w:r>
      <w:proofErr w:type="spellEnd"/>
      <w:r w:rsidR="00BA6CD3">
        <w:t xml:space="preserve">) </w:t>
      </w:r>
      <w:r>
        <w:t xml:space="preserve">and </w:t>
      </w:r>
      <w:r w:rsidR="00BA6CD3">
        <w:t>monovalent vaccine (elasomeran)</w:t>
      </w:r>
      <w:r>
        <w:t>) as the fixed effect, adjusting for age groups (&lt;</w:t>
      </w:r>
      <w:r w:rsidR="00141448">
        <w:t> </w:t>
      </w:r>
      <w:r>
        <w:t>65, ≥</w:t>
      </w:r>
      <w:r w:rsidR="00141448">
        <w:t> </w:t>
      </w:r>
      <w:r>
        <w:t>65 years) and pre</w:t>
      </w:r>
      <w:r w:rsidR="00141448">
        <w:noBreakHyphen/>
      </w:r>
      <w:r>
        <w:t>booster antibody titres.</w:t>
      </w:r>
    </w:p>
    <w:p w14:paraId="5CA4D312" w14:textId="48EC047A" w:rsidR="0022452E" w:rsidRDefault="0022452E" w:rsidP="0022452E">
      <w:r>
        <w:t xml:space="preserve">The </w:t>
      </w:r>
      <w:r w:rsidR="00141448" w:rsidRPr="00141448">
        <w:t>geometric mean titr</w:t>
      </w:r>
      <w:r w:rsidR="006F53B3">
        <w:t>e</w:t>
      </w:r>
      <w:r w:rsidR="00141448">
        <w:t>s (</w:t>
      </w:r>
      <w:r>
        <w:t>GMT</w:t>
      </w:r>
      <w:r w:rsidR="00141448">
        <w:t>)</w:t>
      </w:r>
      <w:r>
        <w:t xml:space="preserve"> (95% CI) estimated by the </w:t>
      </w:r>
      <w:r w:rsidR="00141448" w:rsidRPr="00141448">
        <w:t>geometric least squares mean</w:t>
      </w:r>
      <w:r w:rsidR="00B369D8">
        <w:t xml:space="preserve"> </w:t>
      </w:r>
      <w:r w:rsidR="00141448">
        <w:t>(GLSM)</w:t>
      </w:r>
      <w:r>
        <w:t xml:space="preserve"> from the model for each group and the GMR (</w:t>
      </w:r>
      <w:r w:rsidR="00BA6CD3">
        <w:t>bivalent vaccine (</w:t>
      </w:r>
      <w:proofErr w:type="spellStart"/>
      <w:r w:rsidR="00BA6CD3">
        <w:t>elasomeran</w:t>
      </w:r>
      <w:proofErr w:type="spellEnd"/>
      <w:r w:rsidR="00BA6CD3">
        <w:t xml:space="preserve"> + </w:t>
      </w:r>
      <w:proofErr w:type="spellStart"/>
      <w:r w:rsidR="00BA6CD3">
        <w:t>imelasomeran</w:t>
      </w:r>
      <w:proofErr w:type="spellEnd"/>
      <w:r w:rsidR="00BA6CD3">
        <w:t xml:space="preserve">) </w:t>
      </w:r>
      <w:r>
        <w:t xml:space="preserve">compared with </w:t>
      </w:r>
      <w:r w:rsidR="00BA6CD3">
        <w:t>monovalent vaccine (elasomeran)</w:t>
      </w:r>
      <w:r>
        <w:t xml:space="preserve">) estimated by the ratio of GLSM from the model (97.5% CIs) are provided. The 97.5% CI for GMR was used to assess the between group difference in antibody responses. The number and percentage of participants who achieved </w:t>
      </w:r>
      <w:proofErr w:type="spellStart"/>
      <w:r>
        <w:t>seroresponse</w:t>
      </w:r>
      <w:proofErr w:type="spellEnd"/>
      <w:r>
        <w:t xml:space="preserve"> is summari</w:t>
      </w:r>
      <w:r w:rsidR="00141448">
        <w:t>s</w:t>
      </w:r>
      <w:r>
        <w:t xml:space="preserve">ed with 95% CI calculated using the Clopper-Pearson method. The differences of SRR between </w:t>
      </w:r>
      <w:r w:rsidR="00BA6CD3">
        <w:t>bivalent vaccine (</w:t>
      </w:r>
      <w:proofErr w:type="spellStart"/>
      <w:r w:rsidR="00BA6CD3">
        <w:t>elasomeran</w:t>
      </w:r>
      <w:proofErr w:type="spellEnd"/>
      <w:r w:rsidR="00BA6CD3">
        <w:t xml:space="preserve"> + </w:t>
      </w:r>
      <w:proofErr w:type="spellStart"/>
      <w:r w:rsidR="00BA6CD3">
        <w:t>imelasomeran</w:t>
      </w:r>
      <w:proofErr w:type="spellEnd"/>
      <w:r w:rsidR="00BA6CD3">
        <w:t xml:space="preserve">) </w:t>
      </w:r>
      <w:r>
        <w:t xml:space="preserve">and </w:t>
      </w:r>
      <w:r w:rsidR="00BA6CD3">
        <w:t xml:space="preserve">monovalent vaccine (elasomeran) </w:t>
      </w:r>
      <w:r>
        <w:t>are calculated with 97.5% CI based on stratified Miettinen-</w:t>
      </w:r>
      <w:proofErr w:type="spellStart"/>
      <w:r>
        <w:t>Nurminen</w:t>
      </w:r>
      <w:proofErr w:type="spellEnd"/>
      <w:r>
        <w:t xml:space="preserve"> method.</w:t>
      </w:r>
    </w:p>
    <w:p w14:paraId="3A42503A" w14:textId="434680CC" w:rsidR="0022452E" w:rsidRDefault="0022452E" w:rsidP="0022452E">
      <w:proofErr w:type="spellStart"/>
      <w:r>
        <w:t>Seroresponse</w:t>
      </w:r>
      <w:proofErr w:type="spellEnd"/>
      <w:r>
        <w:t xml:space="preserve"> is defined as a change from below the </w:t>
      </w:r>
      <w:r w:rsidR="00B369D8">
        <w:t>assay lower limits of quantification (</w:t>
      </w:r>
      <w:r>
        <w:t>LLOQ</w:t>
      </w:r>
      <w:r w:rsidR="00B369D8">
        <w:t>)</w:t>
      </w:r>
      <w:r>
        <w:t xml:space="preserve"> to equal or above 4 </w:t>
      </w:r>
      <w:r w:rsidR="00141448">
        <w:t>times the</w:t>
      </w:r>
      <w:r>
        <w:t xml:space="preserve"> LLOQ for those whose pre-</w:t>
      </w:r>
      <w:r w:rsidR="00141448">
        <w:t>D</w:t>
      </w:r>
      <w:r>
        <w:t xml:space="preserve">ose 1 baseline is </w:t>
      </w:r>
      <w:r w:rsidR="00141448">
        <w:t xml:space="preserve">less than </w:t>
      </w:r>
      <w:r>
        <w:t>LLOQ, or at least a 4-fold rise if pre</w:t>
      </w:r>
      <w:r w:rsidR="00141448">
        <w:noBreakHyphen/>
        <w:t>D</w:t>
      </w:r>
      <w:r>
        <w:t xml:space="preserve">ose 1 baseline is equal to or above the LLOQ. For participants without pre-Dose 1 antibody titre information, </w:t>
      </w:r>
      <w:proofErr w:type="spellStart"/>
      <w:r>
        <w:t>seroresponse</w:t>
      </w:r>
      <w:proofErr w:type="spellEnd"/>
      <w:r>
        <w:t xml:space="preserve"> is defined as </w:t>
      </w:r>
      <w:r w:rsidR="00141448">
        <w:t>equal to or greater than</w:t>
      </w:r>
      <w:r>
        <w:t xml:space="preserve"> 4 </w:t>
      </w:r>
      <w:r w:rsidR="00141448">
        <w:t>times the</w:t>
      </w:r>
      <w:r>
        <w:t xml:space="preserve"> LLOQ for those with negative SARS-CoV-2 status at pre-</w:t>
      </w:r>
      <w:r w:rsidR="00141448">
        <w:t>D</w:t>
      </w:r>
      <w:r>
        <w:t xml:space="preserve">ose 1 of the primary series (for these participants antibody titres are deemed </w:t>
      </w:r>
      <w:r w:rsidR="00141448">
        <w:t xml:space="preserve">less than </w:t>
      </w:r>
      <w:r>
        <w:t>LLOQ at pre-</w:t>
      </w:r>
      <w:r w:rsidR="00141448">
        <w:t>D</w:t>
      </w:r>
      <w:r>
        <w:t>ose 1 of the primary series).</w:t>
      </w:r>
    </w:p>
    <w:p w14:paraId="1D0C9B96" w14:textId="0E721A14" w:rsidR="0022452E" w:rsidRDefault="0022452E" w:rsidP="0022452E">
      <w:r>
        <w:t>A supportive analysis was also performed using the per-protocol set for immunogenicity</w:t>
      </w:r>
      <w:r w:rsidR="00B369D8">
        <w:t xml:space="preserve"> (PPSI)</w:t>
      </w:r>
      <w:r>
        <w:t xml:space="preserve"> (</w:t>
      </w:r>
      <w:r w:rsidR="005D61E6">
        <w:t xml:space="preserve">the population of </w:t>
      </w:r>
      <w:r>
        <w:t>participants with and without evidence of prior SARS-CoV-2 infection at pre-booster), also referred to as the supportive analysis set, using an ANCOVA model to assess the antibody responses, with antibody titres at Day 29 post-booster as the dependent variable and vaccine group variable as the fixed effect, adjusting for age groups (&lt;</w:t>
      </w:r>
      <w:r w:rsidR="00141448">
        <w:t> </w:t>
      </w:r>
      <w:r>
        <w:t>65, ≥</w:t>
      </w:r>
      <w:r w:rsidR="00BA6CD3">
        <w:t> </w:t>
      </w:r>
      <w:r>
        <w:t>65</w:t>
      </w:r>
      <w:r w:rsidR="00BA6CD3">
        <w:t> </w:t>
      </w:r>
      <w:r>
        <w:t xml:space="preserve">years), pre-booster SARS-CoV-2 infection status, and pre-booster titres. The SRR difference between </w:t>
      </w:r>
      <w:r w:rsidR="00BA6CD3">
        <w:t>bivalent vaccine (</w:t>
      </w:r>
      <w:proofErr w:type="spellStart"/>
      <w:r w:rsidR="00BA6CD3">
        <w:t>elasomeran</w:t>
      </w:r>
      <w:proofErr w:type="spellEnd"/>
      <w:r w:rsidR="00BA6CD3">
        <w:t xml:space="preserve"> + </w:t>
      </w:r>
      <w:proofErr w:type="spellStart"/>
      <w:r w:rsidR="00BA6CD3">
        <w:t>imelasomeran</w:t>
      </w:r>
      <w:proofErr w:type="spellEnd"/>
      <w:r w:rsidR="00BA6CD3">
        <w:t xml:space="preserve">) </w:t>
      </w:r>
      <w:r>
        <w:t xml:space="preserve">and </w:t>
      </w:r>
      <w:r w:rsidR="00BA6CD3">
        <w:t xml:space="preserve">monovalent vaccine (elasomeran) </w:t>
      </w:r>
      <w:r>
        <w:t xml:space="preserve">was calculated with 97.5% CI based on stratified Miettinen- </w:t>
      </w:r>
      <w:proofErr w:type="spellStart"/>
      <w:r>
        <w:t>Nurminen</w:t>
      </w:r>
      <w:proofErr w:type="spellEnd"/>
      <w:r>
        <w:t xml:space="preserve"> method adjusted for the pre-booster SARS-CoV-2 infection status and age group.</w:t>
      </w:r>
    </w:p>
    <w:p w14:paraId="4F487F9E" w14:textId="7122287C" w:rsidR="0022452E" w:rsidRDefault="0022452E" w:rsidP="0022452E">
      <w:r>
        <w:t>A pre-planned subgroup analysis for the SARS-CoV-2 infection positive pre-booster participants was performed using an ANCOVA model to assess for neutrali</w:t>
      </w:r>
      <w:r w:rsidR="00141448">
        <w:t>s</w:t>
      </w:r>
      <w:r>
        <w:t xml:space="preserve">ing antibody differences between the </w:t>
      </w:r>
      <w:r w:rsidR="00FD17EA">
        <w:t>bivalent vaccine (</w:t>
      </w:r>
      <w:proofErr w:type="spellStart"/>
      <w:r w:rsidR="00FD17EA">
        <w:t>elasomeran</w:t>
      </w:r>
      <w:proofErr w:type="spellEnd"/>
      <w:r w:rsidR="00FD17EA">
        <w:t xml:space="preserve"> + </w:t>
      </w:r>
      <w:proofErr w:type="spellStart"/>
      <w:r w:rsidR="00FD17EA">
        <w:t>imelasomeran</w:t>
      </w:r>
      <w:proofErr w:type="spellEnd"/>
      <w:r w:rsidR="00FD17EA">
        <w:t xml:space="preserve">) </w:t>
      </w:r>
      <w:r>
        <w:t xml:space="preserve">and </w:t>
      </w:r>
      <w:r w:rsidR="00FD17EA">
        <w:t xml:space="preserve">monovalent vaccine (elasomeran) </w:t>
      </w:r>
      <w:r>
        <w:t xml:space="preserve">groups based on GMRs with 95% CIs for the ancestral SARS-CoV-2 </w:t>
      </w:r>
      <w:r w:rsidR="005D61E6">
        <w:lastRenderedPageBreak/>
        <w:t xml:space="preserve">strain </w:t>
      </w:r>
      <w:r>
        <w:t>with D614G</w:t>
      </w:r>
      <w:r w:rsidR="00141448">
        <w:t xml:space="preserve"> mutation</w:t>
      </w:r>
      <w:r>
        <w:t xml:space="preserve"> and </w:t>
      </w:r>
      <w:r w:rsidR="005D61E6">
        <w:t xml:space="preserve">the </w:t>
      </w:r>
      <w:r>
        <w:t>Omicron</w:t>
      </w:r>
      <w:r w:rsidR="005D61E6">
        <w:t xml:space="preserve"> variant</w:t>
      </w:r>
      <w:r>
        <w:t>. Lastly, a sensitivity analysis was performed excluding the participants with evidence of SARS</w:t>
      </w:r>
      <w:r w:rsidR="00141448">
        <w:noBreakHyphen/>
      </w:r>
      <w:r>
        <w:t>CoV</w:t>
      </w:r>
      <w:r w:rsidR="00141448">
        <w:noBreakHyphen/>
      </w:r>
      <w:r>
        <w:t xml:space="preserve">2-infection after the booster dose. All analyses were conducted using </w:t>
      </w:r>
      <w:r w:rsidR="00141448">
        <w:t>s</w:t>
      </w:r>
      <w:r w:rsidR="00141448" w:rsidRPr="00141448">
        <w:t xml:space="preserve">tatistical </w:t>
      </w:r>
      <w:r w:rsidR="00141448">
        <w:t>a</w:t>
      </w:r>
      <w:r w:rsidR="00141448" w:rsidRPr="00141448">
        <w:t xml:space="preserve">nalysis </w:t>
      </w:r>
      <w:r w:rsidR="00141448">
        <w:t>s</w:t>
      </w:r>
      <w:r w:rsidR="00141448" w:rsidRPr="00141448">
        <w:t>ystem</w:t>
      </w:r>
      <w:r>
        <w:t xml:space="preserve"> </w:t>
      </w:r>
      <w:r w:rsidR="00141448">
        <w:t>v</w:t>
      </w:r>
      <w:r>
        <w:t>ersion 9.4 or higher.</w:t>
      </w:r>
    </w:p>
    <w:p w14:paraId="3BC4D4F6" w14:textId="6073D137" w:rsidR="00141448" w:rsidRDefault="00141448" w:rsidP="00141448">
      <w:pPr>
        <w:pStyle w:val="Heading6"/>
      </w:pPr>
      <w:r>
        <w:t>Safety</w:t>
      </w:r>
    </w:p>
    <w:p w14:paraId="092AB717" w14:textId="5C692C25" w:rsidR="00141448" w:rsidRDefault="00141448" w:rsidP="00141448">
      <w:r>
        <w:t xml:space="preserve">Safety and reactogenicity was assessed by clinical review of all relevant parameters including solicited adverse reactions (local and systemic), unsolicited treatment-emergent adverse events (AEs), treatment-related </w:t>
      </w:r>
      <w:r w:rsidR="00FD17EA">
        <w:t>adverse events</w:t>
      </w:r>
      <w:r>
        <w:t xml:space="preserve">, severe </w:t>
      </w:r>
      <w:r w:rsidR="00FD17EA">
        <w:t>adverse events</w:t>
      </w:r>
      <w:r>
        <w:t>,</w:t>
      </w:r>
      <w:r w:rsidR="00FD17EA">
        <w:t xml:space="preserve"> and</w:t>
      </w:r>
      <w:r w:rsidR="00E865BF">
        <w:t xml:space="preserve"> </w:t>
      </w:r>
      <w:r>
        <w:t xml:space="preserve">serious adverse events (SAEs), </w:t>
      </w:r>
      <w:proofErr w:type="gramStart"/>
      <w:r>
        <w:t>m</w:t>
      </w:r>
      <w:r w:rsidRPr="00141448">
        <w:t>edically</w:t>
      </w:r>
      <w:r w:rsidR="005D61E6">
        <w:t>-</w:t>
      </w:r>
      <w:r>
        <w:t>a</w:t>
      </w:r>
      <w:r w:rsidRPr="00141448">
        <w:t>ttended</w:t>
      </w:r>
      <w:proofErr w:type="gramEnd"/>
      <w:r w:rsidRPr="00141448">
        <w:t xml:space="preserve"> </w:t>
      </w:r>
      <w:r>
        <w:t>a</w:t>
      </w:r>
      <w:r w:rsidRPr="00141448">
        <w:t xml:space="preserve">dverse </w:t>
      </w:r>
      <w:r>
        <w:t>e</w:t>
      </w:r>
      <w:r w:rsidRPr="00141448">
        <w:t xml:space="preserve">vents </w:t>
      </w:r>
      <w:r>
        <w:t>(MAAEs), a</w:t>
      </w:r>
      <w:r w:rsidRPr="00141448">
        <w:t>dverse event</w:t>
      </w:r>
      <w:r w:rsidR="00FD17EA">
        <w:t>s</w:t>
      </w:r>
      <w:r w:rsidRPr="00141448">
        <w:t xml:space="preserve"> of special interest </w:t>
      </w:r>
      <w:r>
        <w:t>(AESI),</w:t>
      </w:r>
      <w:r w:rsidR="00FD17EA">
        <w:t xml:space="preserve"> and</w:t>
      </w:r>
      <w:r>
        <w:t xml:space="preserve"> </w:t>
      </w:r>
      <w:r w:rsidR="00FD17EA">
        <w:t xml:space="preserve">adverse events </w:t>
      </w:r>
      <w:r>
        <w:t>leading to withdrawal from study participation.</w:t>
      </w:r>
    </w:p>
    <w:p w14:paraId="23AF1F24" w14:textId="49CF5EA8" w:rsidR="00141448" w:rsidRDefault="00141448" w:rsidP="00141448">
      <w:r>
        <w:t>Safety analyses was based on the safety set, except that the solicited safety set was used for analyses of solicited adverse reaction</w:t>
      </w:r>
      <w:r w:rsidR="00B369D8">
        <w:t xml:space="preserve">. </w:t>
      </w:r>
      <w:r>
        <w:t xml:space="preserve">The numbers and percentages of participants with any solicited local and systemic adverse reactions occurring within </w:t>
      </w:r>
      <w:r w:rsidR="00B160E6">
        <w:t>seven</w:t>
      </w:r>
      <w:r>
        <w:t xml:space="preserve"> days post</w:t>
      </w:r>
      <w:r w:rsidR="00073AB4">
        <w:noBreakHyphen/>
      </w:r>
      <w:r>
        <w:t>boost</w:t>
      </w:r>
      <w:r w:rsidR="00073AB4">
        <w:t>er</w:t>
      </w:r>
      <w:r>
        <w:t xml:space="preserve"> were provided. Unsolicited AEs, SAEs, severe AEs, MAAEs, AESIs and AEs leading to study discontinuation were also summarised.</w:t>
      </w:r>
    </w:p>
    <w:p w14:paraId="5D57C42C" w14:textId="45644D70" w:rsidR="00204E3C" w:rsidRDefault="007B467C" w:rsidP="00392F29">
      <w:pPr>
        <w:pStyle w:val="Heading4"/>
      </w:pPr>
      <w:r>
        <w:t>Clinical</w:t>
      </w:r>
    </w:p>
    <w:p w14:paraId="4464C52A" w14:textId="36322E52" w:rsidR="005C5A50" w:rsidRDefault="005C5A50" w:rsidP="005C5A50">
      <w:pPr>
        <w:pStyle w:val="TableTitle"/>
      </w:pPr>
      <w:bookmarkStart w:id="48" w:name="_Ref111818488"/>
      <w:r w:rsidRPr="005C5A50">
        <w:t xml:space="preserve">Table </w:t>
      </w:r>
      <w:r w:rsidR="00F43EA9">
        <w:fldChar w:fldCharType="begin"/>
      </w:r>
      <w:r w:rsidR="00F43EA9">
        <w:instrText xml:space="preserve"> SEQ Table \* ARABIC </w:instrText>
      </w:r>
      <w:r w:rsidR="00F43EA9">
        <w:fldChar w:fldCharType="separate"/>
      </w:r>
      <w:r w:rsidR="00D102F3">
        <w:rPr>
          <w:noProof/>
        </w:rPr>
        <w:t>4</w:t>
      </w:r>
      <w:r w:rsidR="00F43EA9">
        <w:rPr>
          <w:noProof/>
        </w:rPr>
        <w:fldChar w:fldCharType="end"/>
      </w:r>
      <w:bookmarkEnd w:id="48"/>
      <w:r>
        <w:t xml:space="preserve">: Study </w:t>
      </w:r>
      <w:r w:rsidRPr="005C5A50">
        <w:t>P205 Part</w:t>
      </w:r>
      <w:r w:rsidR="00FB4160">
        <w:t>s</w:t>
      </w:r>
      <w:r w:rsidRPr="005C5A50">
        <w:t xml:space="preserve"> G </w:t>
      </w:r>
      <w:r w:rsidR="00FB4160">
        <w:t xml:space="preserve">and </w:t>
      </w:r>
      <w:r w:rsidRPr="005C5A50">
        <w:t>F</w:t>
      </w:r>
      <w:r w:rsidR="00FB4160">
        <w:t>;</w:t>
      </w:r>
      <w:r>
        <w:t xml:space="preserve"> </w:t>
      </w:r>
      <w:r w:rsidRPr="005C5A50">
        <w:t xml:space="preserve">Participant </w:t>
      </w:r>
      <w:r>
        <w:t>d</w:t>
      </w:r>
      <w:r w:rsidRPr="005C5A50">
        <w:t xml:space="preserve">isposition </w:t>
      </w:r>
      <w:r>
        <w:t>for second b</w:t>
      </w:r>
      <w:r w:rsidRPr="005C5A50">
        <w:t xml:space="preserve">ooster </w:t>
      </w:r>
      <w:r>
        <w:t>d</w:t>
      </w:r>
      <w:r w:rsidRPr="005C5A50">
        <w:t>ose</w:t>
      </w:r>
      <w:r>
        <w:t xml:space="preserve"> (full analysis set)</w:t>
      </w:r>
    </w:p>
    <w:p w14:paraId="4DF5E11B" w14:textId="224FB345" w:rsidR="005C5A50" w:rsidRDefault="005C5A50" w:rsidP="005C5A50">
      <w:r>
        <w:rPr>
          <w:noProof/>
          <w:lang w:val="en-GB" w:eastAsia="en-GB"/>
        </w:rPr>
        <w:drawing>
          <wp:inline distT="0" distB="0" distL="0" distR="0" wp14:anchorId="15D59B3C" wp14:editId="2936546B">
            <wp:extent cx="5296204" cy="1805940"/>
            <wp:effectExtent l="0" t="0" r="0" b="3810"/>
            <wp:docPr id="8" name="Picture 8" descr="Study P205 Part G and Study P205 Part F Participant disposition for second booster dos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P205 Part G and Study P205 Part F Participant disposition for second booster dose (full analysis set)"/>
                    <pic:cNvPicPr/>
                  </pic:nvPicPr>
                  <pic:blipFill rotWithShape="1">
                    <a:blip r:embed="rId18"/>
                    <a:srcRect t="3801" r="1864" b="17986"/>
                    <a:stretch/>
                  </pic:blipFill>
                  <pic:spPr bwMode="auto">
                    <a:xfrm>
                      <a:off x="0" y="0"/>
                      <a:ext cx="5299389" cy="1807026"/>
                    </a:xfrm>
                    <a:prstGeom prst="rect">
                      <a:avLst/>
                    </a:prstGeom>
                    <a:ln>
                      <a:noFill/>
                    </a:ln>
                    <a:extLst>
                      <a:ext uri="{53640926-AAD7-44D8-BBD7-CCE9431645EC}">
                        <a14:shadowObscured xmlns:a14="http://schemas.microsoft.com/office/drawing/2010/main"/>
                      </a:ext>
                    </a:extLst>
                  </pic:spPr>
                </pic:pic>
              </a:graphicData>
            </a:graphic>
          </wp:inline>
        </w:drawing>
      </w:r>
    </w:p>
    <w:p w14:paraId="7E2DF95D" w14:textId="7FA3D186" w:rsidR="00FB4160" w:rsidRDefault="00FB4160" w:rsidP="005C5A50">
      <w:pPr>
        <w:pStyle w:val="TableDescription"/>
      </w:pPr>
      <w:r>
        <w:t>Part G cohort: mRNA-1273-214, bivalent vaccine (</w:t>
      </w:r>
      <w:proofErr w:type="spellStart"/>
      <w:r>
        <w:t>elasomeran</w:t>
      </w:r>
      <w:proofErr w:type="spellEnd"/>
      <w:r>
        <w:t xml:space="preserve"> + </w:t>
      </w:r>
      <w:proofErr w:type="spellStart"/>
      <w:r>
        <w:t>imelasomeran</w:t>
      </w:r>
      <w:proofErr w:type="spellEnd"/>
      <w:r>
        <w:t>).</w:t>
      </w:r>
    </w:p>
    <w:p w14:paraId="4AA9FC7D" w14:textId="1051C116" w:rsidR="00FB4160" w:rsidRDefault="00FB4160" w:rsidP="005C5A50">
      <w:pPr>
        <w:pStyle w:val="TableDescription"/>
      </w:pPr>
      <w:r>
        <w:t xml:space="preserve">Part </w:t>
      </w:r>
      <w:proofErr w:type="spellStart"/>
      <w:r>
        <w:t>F</w:t>
      </w:r>
      <w:proofErr w:type="spellEnd"/>
      <w:r>
        <w:t xml:space="preserve"> cohort: mRNA-1273, monovalent vaccine (elasomeran).</w:t>
      </w:r>
    </w:p>
    <w:p w14:paraId="669D1583" w14:textId="56B87A05" w:rsidR="005C5A50" w:rsidRDefault="005C5A50" w:rsidP="005C5A50">
      <w:pPr>
        <w:pStyle w:val="TableDescription"/>
      </w:pPr>
      <w:r>
        <w:t>Percentages are based on the number of participants in the full analysis set</w:t>
      </w:r>
    </w:p>
    <w:p w14:paraId="375A3668" w14:textId="3FEBA805" w:rsidR="005C5A50" w:rsidRPr="007B467C" w:rsidRDefault="005C5A50" w:rsidP="005C5A50">
      <w:pPr>
        <w:pStyle w:val="TableDescription"/>
      </w:pPr>
      <w:r>
        <w:t>a Study completion is defined as a participant who completed 12 months of follow up after the injection.</w:t>
      </w:r>
    </w:p>
    <w:p w14:paraId="6425EB84" w14:textId="2AA15A0B" w:rsidR="005C5A50" w:rsidRDefault="005C5A50" w:rsidP="005C5A50">
      <w:r>
        <w:t>In the Study P205 Part G booster dose group, 437 participants received the booster dose. Of these, 197 participants (45.1%) enrolled from Study mRNA-1273</w:t>
      </w:r>
      <w:r w:rsidR="00B160E6">
        <w:t>-</w:t>
      </w:r>
      <w:r>
        <w:t xml:space="preserve">P301 where they had received the primary series and the first booster dose of </w:t>
      </w:r>
      <w:r w:rsidR="00FB4160">
        <w:t>monovalent vaccine (elasomeran)</w:t>
      </w:r>
      <w:r>
        <w:t xml:space="preserve"> and 240 of the 437 participants (54.9%) had received the primary series and the first booster dose under </w:t>
      </w:r>
      <w:proofErr w:type="gramStart"/>
      <w:r w:rsidR="00FB4160">
        <w:t>a</w:t>
      </w:r>
      <w:proofErr w:type="gramEnd"/>
      <w:r w:rsidR="00FB4160">
        <w:t xml:space="preserve"> </w:t>
      </w:r>
      <w:r>
        <w:t xml:space="preserve">FDA Emergency Use Authorization (EUA) in the </w:t>
      </w:r>
      <w:r w:rsidR="00073AB4">
        <w:t>USA</w:t>
      </w:r>
      <w:r>
        <w:t xml:space="preserve">. The median follow-up time from </w:t>
      </w:r>
      <w:r w:rsidR="00FB4160">
        <w:t>bivalent vaccine (</w:t>
      </w:r>
      <w:proofErr w:type="spellStart"/>
      <w:r w:rsidR="00FB4160">
        <w:t>elasomeran</w:t>
      </w:r>
      <w:proofErr w:type="spellEnd"/>
      <w:r w:rsidR="00FB4160">
        <w:t xml:space="preserve"> + </w:t>
      </w:r>
      <w:proofErr w:type="spellStart"/>
      <w:r w:rsidR="00FB4160">
        <w:t>imelasomeran</w:t>
      </w:r>
      <w:proofErr w:type="spellEnd"/>
      <w:r w:rsidR="00FB4160">
        <w:t>)</w:t>
      </w:r>
      <w:r>
        <w:t xml:space="preserve"> at 50</w:t>
      </w:r>
      <w:r w:rsidR="00073AB4">
        <w:t> </w:t>
      </w:r>
      <w:proofErr w:type="spellStart"/>
      <w:r>
        <w:t>μg</w:t>
      </w:r>
      <w:proofErr w:type="spellEnd"/>
      <w:r>
        <w:t xml:space="preserve"> booster dose injection was 43 days (range 22 to 51 days). Of the 437 participants who received the </w:t>
      </w:r>
      <w:r w:rsidR="00FB4160">
        <w:t>bivalent vaccine (</w:t>
      </w:r>
      <w:proofErr w:type="spellStart"/>
      <w:r w:rsidR="00FB4160">
        <w:t>elasomeran</w:t>
      </w:r>
      <w:proofErr w:type="spellEnd"/>
      <w:r w:rsidR="00FB4160">
        <w:t xml:space="preserve"> + </w:t>
      </w:r>
      <w:proofErr w:type="spellStart"/>
      <w:r w:rsidR="00FB4160">
        <w:t>imelasomeran</w:t>
      </w:r>
      <w:proofErr w:type="spellEnd"/>
      <w:r w:rsidR="00FB4160">
        <w:t xml:space="preserve">) </w:t>
      </w:r>
      <w:r>
        <w:t xml:space="preserve">at 50 </w:t>
      </w:r>
      <w:proofErr w:type="spellStart"/>
      <w:r>
        <w:t>μg</w:t>
      </w:r>
      <w:proofErr w:type="spellEnd"/>
      <w:r>
        <w:t xml:space="preserve"> booster dose, </w:t>
      </w:r>
      <w:r w:rsidR="00073AB4">
        <w:t>two </w:t>
      </w:r>
      <w:r>
        <w:t>participants discontinued from the study (withdrawal of consent by participant) (</w:t>
      </w:r>
      <w:r w:rsidR="00FB4160">
        <w:t xml:space="preserve">see </w:t>
      </w:r>
      <w:r>
        <w:fldChar w:fldCharType="begin"/>
      </w:r>
      <w:r>
        <w:instrText xml:space="preserve"> REF _Ref111818488 \h </w:instrText>
      </w:r>
      <w:r>
        <w:fldChar w:fldCharType="separate"/>
      </w:r>
      <w:r w:rsidR="00D102F3" w:rsidRPr="005C5A50">
        <w:t xml:space="preserve">Table </w:t>
      </w:r>
      <w:r w:rsidR="00D102F3">
        <w:rPr>
          <w:noProof/>
        </w:rPr>
        <w:t>4</w:t>
      </w:r>
      <w:r>
        <w:fldChar w:fldCharType="end"/>
      </w:r>
      <w:r w:rsidR="00FB4160">
        <w:t>, above</w:t>
      </w:r>
      <w:r>
        <w:t>).</w:t>
      </w:r>
    </w:p>
    <w:p w14:paraId="4E99A57A" w14:textId="37B6CC55" w:rsidR="005C5A50" w:rsidRDefault="005C5A50" w:rsidP="005C5A50">
      <w:r>
        <w:t xml:space="preserve">In the Study P205 Part F-cohort 2 booster dose group, 377 participants received the booster dose. Of these, 264 participants (70%) enrolled from Study mRNA-1273-P301 where they had received the primary series and the first booster dose of </w:t>
      </w:r>
      <w:r w:rsidR="00FB4160">
        <w:t xml:space="preserve">monovalent vaccine (elasomeran) </w:t>
      </w:r>
      <w:r>
        <w:t xml:space="preserve">and 113 of the 377 participants (30%) had received the primary series and the first booster dose under the EUA in the United States. The median </w:t>
      </w:r>
      <w:proofErr w:type="gramStart"/>
      <w:r>
        <w:t>follow</w:t>
      </w:r>
      <w:proofErr w:type="gramEnd"/>
      <w:r w:rsidR="00B160E6">
        <w:t xml:space="preserve"> </w:t>
      </w:r>
      <w:r>
        <w:t xml:space="preserve">up </w:t>
      </w:r>
      <w:r>
        <w:lastRenderedPageBreak/>
        <w:t xml:space="preserve">time from </w:t>
      </w:r>
      <w:r w:rsidR="00FB4160">
        <w:t>monovalent vaccine (</w:t>
      </w:r>
      <w:proofErr w:type="spellStart"/>
      <w:r w:rsidR="00FB4160">
        <w:t>elasomeran</w:t>
      </w:r>
      <w:proofErr w:type="spellEnd"/>
      <w:r w:rsidR="00FB4160">
        <w:t xml:space="preserve">) </w:t>
      </w:r>
      <w:r>
        <w:t xml:space="preserve">at 50 </w:t>
      </w:r>
      <w:proofErr w:type="spellStart"/>
      <w:r>
        <w:t>μg</w:t>
      </w:r>
      <w:proofErr w:type="spellEnd"/>
      <w:r>
        <w:t xml:space="preserve"> booster injection was 57 days (range 51 to 66 days). Of the 377 participants who received the </w:t>
      </w:r>
      <w:r w:rsidR="00FB4160">
        <w:t>monovalent vaccine (</w:t>
      </w:r>
      <w:proofErr w:type="spellStart"/>
      <w:r w:rsidR="00FB4160">
        <w:t>elasomeran</w:t>
      </w:r>
      <w:proofErr w:type="spellEnd"/>
      <w:r w:rsidR="00FB4160">
        <w:t xml:space="preserve">) </w:t>
      </w:r>
      <w:r>
        <w:t xml:space="preserve">at 50 </w:t>
      </w:r>
      <w:proofErr w:type="spellStart"/>
      <w:r>
        <w:t>μg</w:t>
      </w:r>
      <w:proofErr w:type="spellEnd"/>
      <w:r>
        <w:t xml:space="preserve"> booster dose, all participants were still on study by the data cut</w:t>
      </w:r>
      <w:r w:rsidR="00FB4160">
        <w:t>-</w:t>
      </w:r>
      <w:r>
        <w:t>off date of 27</w:t>
      </w:r>
      <w:r w:rsidR="00FB4160">
        <w:t> </w:t>
      </w:r>
      <w:r>
        <w:t>Apr</w:t>
      </w:r>
      <w:r w:rsidR="00B160E6">
        <w:t>il</w:t>
      </w:r>
      <w:r>
        <w:t xml:space="preserve"> 2022 (</w:t>
      </w:r>
      <w:r w:rsidR="00FB4160">
        <w:t xml:space="preserve">see </w:t>
      </w:r>
      <w:r>
        <w:fldChar w:fldCharType="begin"/>
      </w:r>
      <w:r>
        <w:instrText xml:space="preserve"> REF _Ref111818488 \h </w:instrText>
      </w:r>
      <w:r>
        <w:fldChar w:fldCharType="separate"/>
      </w:r>
      <w:r w:rsidR="00D102F3" w:rsidRPr="005C5A50">
        <w:t xml:space="preserve">Table </w:t>
      </w:r>
      <w:r w:rsidR="00D102F3">
        <w:rPr>
          <w:noProof/>
        </w:rPr>
        <w:t>4</w:t>
      </w:r>
      <w:r>
        <w:fldChar w:fldCharType="end"/>
      </w:r>
      <w:r w:rsidR="00FB4160">
        <w:t>, above</w:t>
      </w:r>
      <w:r>
        <w:t>).</w:t>
      </w:r>
    </w:p>
    <w:p w14:paraId="5D3E0439" w14:textId="57F3337A" w:rsidR="005C5A50" w:rsidRDefault="005C5A50" w:rsidP="00C916A9">
      <w:pPr>
        <w:pStyle w:val="TableTitle"/>
      </w:pPr>
      <w:r w:rsidRPr="00204E3C">
        <w:t xml:space="preserve">Table </w:t>
      </w:r>
      <w:r w:rsidR="00F43EA9">
        <w:fldChar w:fldCharType="begin"/>
      </w:r>
      <w:r w:rsidR="00F43EA9">
        <w:instrText xml:space="preserve"> SEQ Table \* ARABIC </w:instrText>
      </w:r>
      <w:r w:rsidR="00F43EA9">
        <w:fldChar w:fldCharType="separate"/>
      </w:r>
      <w:r w:rsidR="00D102F3">
        <w:rPr>
          <w:noProof/>
        </w:rPr>
        <w:t>5</w:t>
      </w:r>
      <w:r w:rsidR="00F43EA9">
        <w:rPr>
          <w:noProof/>
        </w:rPr>
        <w:fldChar w:fldCharType="end"/>
      </w:r>
      <w:r>
        <w:t xml:space="preserve">: </w:t>
      </w:r>
      <w:r w:rsidR="00204E3C">
        <w:t xml:space="preserve">Study </w:t>
      </w:r>
      <w:r w:rsidR="00204E3C" w:rsidRPr="005C5A50">
        <w:t>P205 Part</w:t>
      </w:r>
      <w:r w:rsidR="00FB4160">
        <w:t>s</w:t>
      </w:r>
      <w:r w:rsidR="00204E3C" w:rsidRPr="005C5A50">
        <w:t xml:space="preserve"> G and </w:t>
      </w:r>
      <w:r w:rsidR="00FB4160">
        <w:t xml:space="preserve">F; </w:t>
      </w:r>
      <w:r w:rsidRPr="005C5A50">
        <w:t xml:space="preserve">Number of </w:t>
      </w:r>
      <w:r>
        <w:t>p</w:t>
      </w:r>
      <w:r w:rsidRPr="005C5A50">
        <w:t xml:space="preserve">articipants in </w:t>
      </w:r>
      <w:r>
        <w:t>e</w:t>
      </w:r>
      <w:r w:rsidRPr="005C5A50">
        <w:t xml:space="preserve">ach </w:t>
      </w:r>
      <w:r>
        <w:t>a</w:t>
      </w:r>
      <w:r w:rsidRPr="005C5A50">
        <w:t xml:space="preserve">nalysis </w:t>
      </w:r>
      <w:r>
        <w:t>s</w:t>
      </w:r>
      <w:r w:rsidRPr="005C5A50">
        <w:t>et</w:t>
      </w:r>
      <w:r>
        <w:t xml:space="preserve"> for second b</w:t>
      </w:r>
      <w:r w:rsidRPr="005C5A50">
        <w:t xml:space="preserve">ooster </w:t>
      </w:r>
      <w:r>
        <w:t>d</w:t>
      </w:r>
      <w:r w:rsidRPr="005C5A50">
        <w:t>ose (</w:t>
      </w:r>
      <w:r w:rsidR="00204E3C">
        <w:t>a</w:t>
      </w:r>
      <w:r w:rsidRPr="005C5A50">
        <w:t xml:space="preserve">ll </w:t>
      </w:r>
      <w:r w:rsidR="00204E3C">
        <w:t>e</w:t>
      </w:r>
      <w:r w:rsidRPr="005C5A50">
        <w:t xml:space="preserve">nrolled </w:t>
      </w:r>
      <w:r w:rsidR="00204E3C">
        <w:t>s</w:t>
      </w:r>
      <w:r w:rsidRPr="005C5A50">
        <w:t>et)</w:t>
      </w:r>
    </w:p>
    <w:p w14:paraId="380D5606" w14:textId="601E9957" w:rsidR="00204E3C" w:rsidRDefault="00204E3C" w:rsidP="00F43EA9">
      <w:r>
        <w:rPr>
          <w:noProof/>
          <w:lang w:val="en-GB" w:eastAsia="en-GB"/>
        </w:rPr>
        <w:drawing>
          <wp:inline distT="0" distB="0" distL="0" distR="0" wp14:anchorId="53D5BC43" wp14:editId="1895B1C0">
            <wp:extent cx="5399384" cy="1821485"/>
            <wp:effectExtent l="0" t="0" r="0" b="7620"/>
            <wp:docPr id="9" name="Picture 9" descr="Study P205 Part G and Study P205 Part F Number of participants in each analysis set for second booster dose: mRNA-1273.214, mRNA-1273 (all enroll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P205 Part G and Study P205 Part F Number of participants in each analysis set for second booster dose: mRNA-1273.214, mRNA-1273 (all enrolled set)"/>
                    <pic:cNvPicPr/>
                  </pic:nvPicPr>
                  <pic:blipFill rotWithShape="1">
                    <a:blip r:embed="rId19"/>
                    <a:srcRect b="26013"/>
                    <a:stretch/>
                  </pic:blipFill>
                  <pic:spPr bwMode="auto">
                    <a:xfrm>
                      <a:off x="0" y="0"/>
                      <a:ext cx="5400040" cy="1821706"/>
                    </a:xfrm>
                    <a:prstGeom prst="rect">
                      <a:avLst/>
                    </a:prstGeom>
                    <a:ln>
                      <a:noFill/>
                    </a:ln>
                    <a:extLst>
                      <a:ext uri="{53640926-AAD7-44D8-BBD7-CCE9431645EC}">
                        <a14:shadowObscured xmlns:a14="http://schemas.microsoft.com/office/drawing/2010/main"/>
                      </a:ext>
                    </a:extLst>
                  </pic:spPr>
                </pic:pic>
              </a:graphicData>
            </a:graphic>
          </wp:inline>
        </w:drawing>
      </w:r>
    </w:p>
    <w:p w14:paraId="10ED76E0" w14:textId="057EC03B" w:rsidR="00204E3C" w:rsidRDefault="00204E3C" w:rsidP="00AD2D13">
      <w:pPr>
        <w:pStyle w:val="TableDescription"/>
        <w:keepNext/>
      </w:pPr>
      <w:r>
        <w:t xml:space="preserve">Abbreviation: SARS-CoV-2 = severe </w:t>
      </w:r>
      <w:proofErr w:type="spellStart"/>
      <w:r>
        <w:t>acurte</w:t>
      </w:r>
      <w:proofErr w:type="spellEnd"/>
      <w:r>
        <w:t xml:space="preserve"> respiratory syndrome coronavirus-2</w:t>
      </w:r>
    </w:p>
    <w:p w14:paraId="759CD287" w14:textId="77777777" w:rsidR="00FB4160" w:rsidRDefault="00FB4160" w:rsidP="00FB4160">
      <w:pPr>
        <w:pStyle w:val="TableDescription"/>
      </w:pPr>
      <w:r>
        <w:t>Part G cohort: mRNA-1273-214, bivalent vaccine (</w:t>
      </w:r>
      <w:proofErr w:type="spellStart"/>
      <w:r>
        <w:t>elasomeran</w:t>
      </w:r>
      <w:proofErr w:type="spellEnd"/>
      <w:r>
        <w:t xml:space="preserve"> + </w:t>
      </w:r>
      <w:proofErr w:type="spellStart"/>
      <w:r>
        <w:t>imelasomeran</w:t>
      </w:r>
      <w:proofErr w:type="spellEnd"/>
      <w:r>
        <w:t>).</w:t>
      </w:r>
    </w:p>
    <w:p w14:paraId="6AA14BE2" w14:textId="16D4FD92" w:rsidR="00FB4160" w:rsidRDefault="00FB4160" w:rsidP="00C916A9">
      <w:pPr>
        <w:pStyle w:val="TableDescription"/>
      </w:pPr>
      <w:r>
        <w:t xml:space="preserve">Part </w:t>
      </w:r>
      <w:proofErr w:type="spellStart"/>
      <w:r>
        <w:t>F</w:t>
      </w:r>
      <w:proofErr w:type="spellEnd"/>
      <w:r>
        <w:t xml:space="preserve"> cohort: mRNA-1273, monovalent vaccine (elasomeran).</w:t>
      </w:r>
    </w:p>
    <w:p w14:paraId="552B04E1" w14:textId="00BE3818" w:rsidR="00204E3C" w:rsidRDefault="00204E3C" w:rsidP="00204E3C">
      <w:pPr>
        <w:pStyle w:val="TableDescription"/>
      </w:pPr>
      <w:r>
        <w:t>a Numbers are based on planned treatment group and percentages are based on the number of participants enrolled.</w:t>
      </w:r>
    </w:p>
    <w:p w14:paraId="1C7AA6F8" w14:textId="52F2071F" w:rsidR="00204E3C" w:rsidRDefault="00204E3C" w:rsidP="00204E3C">
      <w:pPr>
        <w:pStyle w:val="TableDescription"/>
      </w:pPr>
      <w:r>
        <w:t>b Numbers are based on planned treatment group and percentages are based on the number of safety participants.</w:t>
      </w:r>
    </w:p>
    <w:p w14:paraId="2A080203" w14:textId="7BD79B34" w:rsidR="00204E3C" w:rsidRDefault="00204E3C" w:rsidP="00204E3C">
      <w:pPr>
        <w:pStyle w:val="TableTitle"/>
      </w:pPr>
      <w:bookmarkStart w:id="49" w:name="_Ref111819469"/>
      <w:r w:rsidRPr="00204E3C">
        <w:lastRenderedPageBreak/>
        <w:t xml:space="preserve">Table </w:t>
      </w:r>
      <w:r w:rsidR="00F43EA9">
        <w:fldChar w:fldCharType="begin"/>
      </w:r>
      <w:r w:rsidR="00F43EA9">
        <w:instrText xml:space="preserve"> SEQ Table \* ARABIC </w:instrText>
      </w:r>
      <w:r w:rsidR="00F43EA9">
        <w:fldChar w:fldCharType="separate"/>
      </w:r>
      <w:r w:rsidR="00D102F3">
        <w:rPr>
          <w:noProof/>
        </w:rPr>
        <w:t>6</w:t>
      </w:r>
      <w:r w:rsidR="00F43EA9">
        <w:rPr>
          <w:noProof/>
        </w:rPr>
        <w:fldChar w:fldCharType="end"/>
      </w:r>
      <w:bookmarkEnd w:id="49"/>
      <w:r>
        <w:t xml:space="preserve">: Study </w:t>
      </w:r>
      <w:r w:rsidRPr="005C5A50">
        <w:t>P205 Part</w:t>
      </w:r>
      <w:r w:rsidR="00FB4160">
        <w:t>s</w:t>
      </w:r>
      <w:r w:rsidRPr="005C5A50">
        <w:t xml:space="preserve"> G </w:t>
      </w:r>
      <w:r w:rsidR="00FB4160">
        <w:t xml:space="preserve">and </w:t>
      </w:r>
      <w:r w:rsidRPr="005C5A50">
        <w:t>F</w:t>
      </w:r>
      <w:r w:rsidR="00FB4160">
        <w:t>;</w:t>
      </w:r>
      <w:r>
        <w:t xml:space="preserve"> </w:t>
      </w:r>
      <w:r w:rsidRPr="00204E3C">
        <w:t xml:space="preserve">Participant </w:t>
      </w:r>
      <w:r>
        <w:t>d</w:t>
      </w:r>
      <w:r w:rsidRPr="00204E3C">
        <w:t xml:space="preserve">emographics and </w:t>
      </w:r>
      <w:r>
        <w:t>b</w:t>
      </w:r>
      <w:r w:rsidRPr="00204E3C">
        <w:t xml:space="preserve">aseline </w:t>
      </w:r>
      <w:r>
        <w:t>c</w:t>
      </w:r>
      <w:r w:rsidRPr="00204E3C">
        <w:t xml:space="preserve">haracteristics </w:t>
      </w:r>
      <w:r>
        <w:t>for second</w:t>
      </w:r>
      <w:r w:rsidRPr="00204E3C">
        <w:t xml:space="preserve"> </w:t>
      </w:r>
      <w:r>
        <w:t>b</w:t>
      </w:r>
      <w:r w:rsidRPr="00204E3C">
        <w:t xml:space="preserve">ooster </w:t>
      </w:r>
      <w:r>
        <w:t>d</w:t>
      </w:r>
      <w:r w:rsidRPr="00204E3C">
        <w:t>ose (</w:t>
      </w:r>
      <w:r>
        <w:t>s</w:t>
      </w:r>
      <w:r w:rsidRPr="00204E3C">
        <w:t xml:space="preserve">afety </w:t>
      </w:r>
      <w:r>
        <w:t>s</w:t>
      </w:r>
      <w:r w:rsidRPr="00204E3C">
        <w:t>et)</w:t>
      </w:r>
    </w:p>
    <w:p w14:paraId="6DE5DB3C" w14:textId="15AE6689" w:rsidR="00204E3C" w:rsidRDefault="00204E3C" w:rsidP="00204E3C">
      <w:r w:rsidRPr="00204E3C">
        <w:rPr>
          <w:noProof/>
          <w:lang w:val="en-GB" w:eastAsia="en-GB"/>
        </w:rPr>
        <w:drawing>
          <wp:inline distT="0" distB="0" distL="0" distR="0" wp14:anchorId="1DE9BDF7" wp14:editId="260D001E">
            <wp:extent cx="5310835" cy="6611448"/>
            <wp:effectExtent l="0" t="0" r="4445" b="0"/>
            <wp:docPr id="2" name="Picture 2" descr="Study P205 Part G and Study P205 Part F Participant demographics and baseline characteristics for second booster do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P205 Part G and Study P205 Part F Participant demographics and baseline characteristics for second booster dose (safety set)"/>
                    <pic:cNvPicPr/>
                  </pic:nvPicPr>
                  <pic:blipFill>
                    <a:blip r:embed="rId20"/>
                    <a:stretch>
                      <a:fillRect/>
                    </a:stretch>
                  </pic:blipFill>
                  <pic:spPr>
                    <a:xfrm>
                      <a:off x="0" y="0"/>
                      <a:ext cx="5323222" cy="6626868"/>
                    </a:xfrm>
                    <a:prstGeom prst="rect">
                      <a:avLst/>
                    </a:prstGeom>
                  </pic:spPr>
                </pic:pic>
              </a:graphicData>
            </a:graphic>
          </wp:inline>
        </w:drawing>
      </w:r>
    </w:p>
    <w:p w14:paraId="1F347B28" w14:textId="6AA7693A" w:rsidR="00204E3C" w:rsidRDefault="00204E3C" w:rsidP="00204E3C">
      <w:pPr>
        <w:pStyle w:val="TableDescription"/>
      </w:pPr>
      <w:r>
        <w:t>Abbreviations: COVID-19 = coronavirus disease 2019; max = maximum; min = minimum; RT-PCR = reverse transcription polymerase chain reactions; SARS-CoV-2 =severe acute respiratory syndrome coronavirus 2; SD = standard deviation.</w:t>
      </w:r>
    </w:p>
    <w:p w14:paraId="1D88996A" w14:textId="77777777" w:rsidR="00821542" w:rsidRDefault="00821542" w:rsidP="00821542">
      <w:pPr>
        <w:pStyle w:val="TableDescription"/>
      </w:pPr>
      <w:r>
        <w:t>Part G cohort: mRNA-1273-214, bivalent vaccine (</w:t>
      </w:r>
      <w:proofErr w:type="spellStart"/>
      <w:r>
        <w:t>elasomeran</w:t>
      </w:r>
      <w:proofErr w:type="spellEnd"/>
      <w:r>
        <w:t xml:space="preserve"> + </w:t>
      </w:r>
      <w:proofErr w:type="spellStart"/>
      <w:r>
        <w:t>imelasomeran</w:t>
      </w:r>
      <w:proofErr w:type="spellEnd"/>
      <w:r>
        <w:t>).</w:t>
      </w:r>
    </w:p>
    <w:p w14:paraId="337CBCA6" w14:textId="79E51905" w:rsidR="00821542" w:rsidRDefault="00821542" w:rsidP="00204E3C">
      <w:pPr>
        <w:pStyle w:val="TableDescription"/>
      </w:pPr>
      <w:r>
        <w:t xml:space="preserve">Part </w:t>
      </w:r>
      <w:proofErr w:type="spellStart"/>
      <w:r>
        <w:t>F</w:t>
      </w:r>
      <w:proofErr w:type="spellEnd"/>
      <w:r>
        <w:t xml:space="preserve"> cohort: mRNA-1273, monovalent vaccine (elasomeran).</w:t>
      </w:r>
    </w:p>
    <w:p w14:paraId="1BF07652" w14:textId="7A230BA6" w:rsidR="00204E3C" w:rsidRDefault="00204E3C" w:rsidP="00204E3C">
      <w:pPr>
        <w:pStyle w:val="TableDescription"/>
      </w:pPr>
      <w:r>
        <w:t>Percentages are based on the number of participants in the safety set.</w:t>
      </w:r>
    </w:p>
    <w:p w14:paraId="2D82C8E1" w14:textId="5EA0609F" w:rsidR="00204E3C" w:rsidRDefault="00204E3C" w:rsidP="00204E3C">
      <w:pPr>
        <w:pStyle w:val="TableDescription"/>
      </w:pPr>
      <w:r>
        <w:t xml:space="preserve">a Per-booster/baseline SARS-CoV-2 status: positive if there is immunologic or virologic evidence of prior COVID-19, defined as positive RT-PCR test or positive </w:t>
      </w:r>
      <w:proofErr w:type="spellStart"/>
      <w:r>
        <w:t>Elecsys</w:t>
      </w:r>
      <w:proofErr w:type="spellEnd"/>
      <w:r>
        <w:t xml:space="preserve"> result at Day 1. Negative is defined as negative RT-PCR test and negative </w:t>
      </w:r>
      <w:proofErr w:type="spellStart"/>
      <w:r>
        <w:t>Elecsys</w:t>
      </w:r>
      <w:proofErr w:type="spellEnd"/>
      <w:r>
        <w:t xml:space="preserve"> results at Day 1.</w:t>
      </w:r>
    </w:p>
    <w:p w14:paraId="49A79F35" w14:textId="576DDA1D" w:rsidR="00204E3C" w:rsidRDefault="00204E3C" w:rsidP="00204E3C">
      <w:r w:rsidRPr="00204E3C">
        <w:lastRenderedPageBreak/>
        <w:t xml:space="preserve">Overall, demographic and baseline characteristics were similar between the </w:t>
      </w:r>
      <w:r w:rsidR="00821542">
        <w:t>bivalent vaccine (</w:t>
      </w:r>
      <w:proofErr w:type="spellStart"/>
      <w:r w:rsidR="00821542">
        <w:t>elasomeran</w:t>
      </w:r>
      <w:proofErr w:type="spellEnd"/>
      <w:r w:rsidR="00821542">
        <w:t xml:space="preserve"> + </w:t>
      </w:r>
      <w:proofErr w:type="spellStart"/>
      <w:r w:rsidR="00821542">
        <w:t>imelasomeran</w:t>
      </w:r>
      <w:proofErr w:type="spellEnd"/>
      <w:r w:rsidR="00821542">
        <w:t>)</w:t>
      </w:r>
      <w:r w:rsidRPr="00204E3C">
        <w:t xml:space="preserve"> </w:t>
      </w:r>
      <w:r>
        <w:t xml:space="preserve">at </w:t>
      </w:r>
      <w:r w:rsidRPr="00204E3C">
        <w:t xml:space="preserve">50 </w:t>
      </w:r>
      <w:proofErr w:type="spellStart"/>
      <w:r w:rsidRPr="00204E3C">
        <w:t>μg</w:t>
      </w:r>
      <w:proofErr w:type="spellEnd"/>
      <w:r w:rsidRPr="00204E3C">
        <w:t xml:space="preserve"> and </w:t>
      </w:r>
      <w:r w:rsidR="00821542">
        <w:t>monovalent vaccine (</w:t>
      </w:r>
      <w:proofErr w:type="spellStart"/>
      <w:r w:rsidR="00821542">
        <w:t>elasomeran</w:t>
      </w:r>
      <w:proofErr w:type="spellEnd"/>
      <w:r w:rsidR="00821542">
        <w:t xml:space="preserve">) </w:t>
      </w:r>
      <w:r>
        <w:t xml:space="preserve">at </w:t>
      </w:r>
      <w:r w:rsidRPr="00204E3C">
        <w:t xml:space="preserve">50 </w:t>
      </w:r>
      <w:proofErr w:type="spellStart"/>
      <w:r w:rsidRPr="00204E3C">
        <w:t>μg</w:t>
      </w:r>
      <w:proofErr w:type="spellEnd"/>
      <w:r w:rsidRPr="00204E3C">
        <w:t xml:space="preserve"> groups</w:t>
      </w:r>
      <w:r>
        <w:t xml:space="preserve"> (</w:t>
      </w:r>
      <w:r w:rsidR="00821542">
        <w:t xml:space="preserve">see </w:t>
      </w:r>
      <w:r>
        <w:fldChar w:fldCharType="begin"/>
      </w:r>
      <w:r>
        <w:instrText xml:space="preserve"> REF _Ref111819469 \h </w:instrText>
      </w:r>
      <w:r>
        <w:fldChar w:fldCharType="separate"/>
      </w:r>
      <w:r w:rsidR="00D102F3" w:rsidRPr="00204E3C">
        <w:t xml:space="preserve">Table </w:t>
      </w:r>
      <w:r w:rsidR="00D102F3">
        <w:rPr>
          <w:noProof/>
        </w:rPr>
        <w:t>6</w:t>
      </w:r>
      <w:r>
        <w:fldChar w:fldCharType="end"/>
      </w:r>
      <w:r w:rsidR="00821542">
        <w:t>, above</w:t>
      </w:r>
      <w:r>
        <w:t>)</w:t>
      </w:r>
      <w:r w:rsidRPr="00204E3C">
        <w:t>.</w:t>
      </w:r>
    </w:p>
    <w:p w14:paraId="4C294FCD" w14:textId="3FACE92A" w:rsidR="00204E3C" w:rsidRDefault="00204E3C" w:rsidP="00392F29">
      <w:pPr>
        <w:pStyle w:val="Heading5"/>
      </w:pPr>
      <w:r w:rsidRPr="00204E3C">
        <w:t>Immunogenicity</w:t>
      </w:r>
    </w:p>
    <w:p w14:paraId="6779B677" w14:textId="67F9AD70" w:rsidR="00204E3C" w:rsidRDefault="00204E3C" w:rsidP="00204E3C">
      <w:pPr>
        <w:pStyle w:val="TableTitle"/>
      </w:pPr>
      <w:r w:rsidRPr="00204E3C">
        <w:t xml:space="preserve">Table </w:t>
      </w:r>
      <w:r w:rsidR="00F43EA9">
        <w:fldChar w:fldCharType="begin"/>
      </w:r>
      <w:r w:rsidR="00F43EA9">
        <w:instrText xml:space="preserve"> SEQ Table \* ARABIC </w:instrText>
      </w:r>
      <w:r w:rsidR="00F43EA9">
        <w:fldChar w:fldCharType="separate"/>
      </w:r>
      <w:r w:rsidR="00D102F3">
        <w:rPr>
          <w:noProof/>
        </w:rPr>
        <w:t>7</w:t>
      </w:r>
      <w:r w:rsidR="00F43EA9">
        <w:rPr>
          <w:noProof/>
        </w:rPr>
        <w:fldChar w:fldCharType="end"/>
      </w:r>
      <w:r>
        <w:t xml:space="preserve">: </w:t>
      </w:r>
      <w:r w:rsidR="00821542">
        <w:t xml:space="preserve">Study </w:t>
      </w:r>
      <w:r w:rsidR="00821542" w:rsidRPr="005C5A50">
        <w:t>P205 Part</w:t>
      </w:r>
      <w:r w:rsidR="00821542">
        <w:t>s</w:t>
      </w:r>
      <w:r w:rsidR="00821542" w:rsidRPr="005C5A50">
        <w:t xml:space="preserve"> G </w:t>
      </w:r>
      <w:r w:rsidR="00821542">
        <w:t xml:space="preserve">and </w:t>
      </w:r>
      <w:r w:rsidR="00821542" w:rsidRPr="005C5A50">
        <w:t>F</w:t>
      </w:r>
      <w:r w:rsidR="00821542">
        <w:t xml:space="preserve">; </w:t>
      </w:r>
      <w:r w:rsidRPr="00204E3C">
        <w:t>Ancestral SARS-CoV-2 (</w:t>
      </w:r>
      <w:r w:rsidR="00B160E6">
        <w:t xml:space="preserve">with </w:t>
      </w:r>
      <w:r w:rsidRPr="00204E3C">
        <w:t xml:space="preserve">D614G) and Omicron </w:t>
      </w:r>
      <w:r>
        <w:t>n</w:t>
      </w:r>
      <w:r w:rsidRPr="00204E3C">
        <w:t>eutrali</w:t>
      </w:r>
      <w:r>
        <w:t>s</w:t>
      </w:r>
      <w:r w:rsidRPr="00204E3C">
        <w:t xml:space="preserve">ing </w:t>
      </w:r>
      <w:r>
        <w:t>a</w:t>
      </w:r>
      <w:r w:rsidRPr="00204E3C">
        <w:t xml:space="preserve">ntibody </w:t>
      </w:r>
      <w:r w:rsidR="006F53B3">
        <w:t>titre</w:t>
      </w:r>
      <w:r w:rsidRPr="00204E3C">
        <w:t>s (ID</w:t>
      </w:r>
      <w:r w:rsidRPr="00204E3C">
        <w:rPr>
          <w:vertAlign w:val="subscript"/>
        </w:rPr>
        <w:t>50</w:t>
      </w:r>
      <w:r w:rsidRPr="00204E3C">
        <w:t xml:space="preserve">) </w:t>
      </w:r>
      <w:r>
        <w:t xml:space="preserve">at </w:t>
      </w:r>
      <w:r w:rsidRPr="00204E3C">
        <w:t xml:space="preserve">50 </w:t>
      </w:r>
      <w:proofErr w:type="spellStart"/>
      <w:r w:rsidRPr="00204E3C">
        <w:t>μg</w:t>
      </w:r>
      <w:proofErr w:type="spellEnd"/>
      <w:r w:rsidRPr="00204E3C">
        <w:t xml:space="preserve"> </w:t>
      </w:r>
      <w:r>
        <w:t>a</w:t>
      </w:r>
      <w:r w:rsidRPr="00204E3C">
        <w:t xml:space="preserve">dministered as </w:t>
      </w:r>
      <w:r>
        <w:t>s</w:t>
      </w:r>
      <w:r w:rsidRPr="00204E3C">
        <w:t xml:space="preserve">econd </w:t>
      </w:r>
      <w:r>
        <w:t>b</w:t>
      </w:r>
      <w:r w:rsidRPr="00204E3C">
        <w:t xml:space="preserve">ooster </w:t>
      </w:r>
      <w:r>
        <w:t>d</w:t>
      </w:r>
      <w:r w:rsidRPr="00204E3C">
        <w:t xml:space="preserve">oses - </w:t>
      </w:r>
      <w:bookmarkStart w:id="50" w:name="_Hlk111882812"/>
      <w:r>
        <w:t>p</w:t>
      </w:r>
      <w:r w:rsidRPr="00204E3C">
        <w:t>er-</w:t>
      </w:r>
      <w:r>
        <w:t>p</w:t>
      </w:r>
      <w:r w:rsidRPr="00204E3C">
        <w:t xml:space="preserve">rotocol </w:t>
      </w:r>
      <w:r>
        <w:t>i</w:t>
      </w:r>
      <w:r w:rsidRPr="00204E3C">
        <w:t xml:space="preserve">mmunogenicity </w:t>
      </w:r>
      <w:r w:rsidR="00821542">
        <w:t>(</w:t>
      </w:r>
      <w:r w:rsidRPr="00204E3C">
        <w:t xml:space="preserve">SARS-CoV-2 </w:t>
      </w:r>
      <w:r>
        <w:t>n</w:t>
      </w:r>
      <w:r w:rsidRPr="00204E3C">
        <w:t xml:space="preserve">egative </w:t>
      </w:r>
      <w:r>
        <w:t>s</w:t>
      </w:r>
      <w:r w:rsidRPr="00204E3C">
        <w:t>et</w:t>
      </w:r>
      <w:bookmarkEnd w:id="50"/>
      <w:r w:rsidRPr="00204E3C">
        <w:t xml:space="preserve"> (</w:t>
      </w:r>
      <w:r>
        <w:t>p</w:t>
      </w:r>
      <w:r w:rsidRPr="00204E3C">
        <w:t xml:space="preserve">rimary </w:t>
      </w:r>
      <w:r>
        <w:t>a</w:t>
      </w:r>
      <w:r w:rsidRPr="00204E3C">
        <w:t>nalysis)</w:t>
      </w:r>
      <w:r w:rsidR="00821542">
        <w:t>)</w:t>
      </w:r>
    </w:p>
    <w:p w14:paraId="6E56FC52" w14:textId="77EBC828" w:rsidR="00977F53" w:rsidRDefault="00204E3C" w:rsidP="00F43EA9">
      <w:r>
        <w:rPr>
          <w:noProof/>
          <w:lang w:val="en-GB" w:eastAsia="en-GB"/>
        </w:rPr>
        <w:drawing>
          <wp:inline distT="0" distB="0" distL="0" distR="0" wp14:anchorId="7B7D89B0" wp14:editId="7CE7CBAF">
            <wp:extent cx="5400020" cy="3307742"/>
            <wp:effectExtent l="0" t="0" r="0" b="6985"/>
            <wp:docPr id="13" name="Picture 13" descr="Ancestral SARS-CoV-2 (D614G) and Omicron neutralising antibody titres (ID50) mRNA-1273.214 at 50 μg and mRNA-1273 at 50 μg administered as second booster doses - per-protocol immunogenicity – SARS-CoV-2 negative set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cestral SARS-CoV-2 (D614G) and Omicron neutralising antibody titres (ID50) mRNA-1273.214 at 50 μg and mRNA-1273 at 50 μg administered as second booster doses - per-protocol immunogenicity – SARS-CoV-2 negative set (primary analysis)"/>
                    <pic:cNvPicPr/>
                  </pic:nvPicPr>
                  <pic:blipFill rotWithShape="1">
                    <a:blip r:embed="rId21"/>
                    <a:srcRect b="45614"/>
                    <a:stretch/>
                  </pic:blipFill>
                  <pic:spPr bwMode="auto">
                    <a:xfrm>
                      <a:off x="0" y="0"/>
                      <a:ext cx="5400040" cy="3307754"/>
                    </a:xfrm>
                    <a:prstGeom prst="rect">
                      <a:avLst/>
                    </a:prstGeom>
                    <a:ln>
                      <a:noFill/>
                    </a:ln>
                    <a:extLst>
                      <a:ext uri="{53640926-AAD7-44D8-BBD7-CCE9431645EC}">
                        <a14:shadowObscured xmlns:a14="http://schemas.microsoft.com/office/drawing/2010/main"/>
                      </a:ext>
                    </a:extLst>
                  </pic:spPr>
                </pic:pic>
              </a:graphicData>
            </a:graphic>
          </wp:inline>
        </w:drawing>
      </w:r>
    </w:p>
    <w:p w14:paraId="42E4C450" w14:textId="255109E5" w:rsidR="00977F53" w:rsidRDefault="00977F53" w:rsidP="00977F53">
      <w:pPr>
        <w:pStyle w:val="TableDescription"/>
      </w:pPr>
      <w:r>
        <w:t>Abbreviations: CI = confidence interval; GLSM = geometric least squares mean; GMFR = geometric mean fold rise; GMR = geometric mean ratio; GMT = geometric mean titr</w:t>
      </w:r>
      <w:r w:rsidR="006F53B3">
        <w:t>e</w:t>
      </w:r>
      <w:r>
        <w:t>; ID</w:t>
      </w:r>
      <w:r w:rsidRPr="00977F53">
        <w:rPr>
          <w:vertAlign w:val="subscript"/>
        </w:rPr>
        <w:t>50</w:t>
      </w:r>
      <w:r>
        <w:t xml:space="preserve"> = 50% inhibitory dilution; LLOQ = lower limit of quantification; </w:t>
      </w:r>
      <w:proofErr w:type="spellStart"/>
      <w:r>
        <w:t>nAb</w:t>
      </w:r>
      <w:proofErr w:type="spellEnd"/>
      <w:r>
        <w:t xml:space="preserve"> = neutralising antibodies; </w:t>
      </w:r>
      <w:proofErr w:type="spellStart"/>
      <w:r>
        <w:t>PsVNA</w:t>
      </w:r>
      <w:proofErr w:type="spellEnd"/>
      <w:r>
        <w:t xml:space="preserve"> = </w:t>
      </w:r>
      <w:proofErr w:type="spellStart"/>
      <w:r>
        <w:t>pseudotyped</w:t>
      </w:r>
      <w:proofErr w:type="spellEnd"/>
      <w:r>
        <w:t xml:space="preserve"> virus neutralisation assay; SARS-CoV-2 = severe acute respiratory syndrome 2.</w:t>
      </w:r>
    </w:p>
    <w:p w14:paraId="3692BAAE" w14:textId="77777777" w:rsidR="00821542" w:rsidRDefault="00821542" w:rsidP="00821542">
      <w:pPr>
        <w:pStyle w:val="TableDescription"/>
      </w:pPr>
      <w:r>
        <w:t>Part G cohort: mRNA-1273-214, bivalent vaccine (</w:t>
      </w:r>
      <w:proofErr w:type="spellStart"/>
      <w:r>
        <w:t>elasomeran</w:t>
      </w:r>
      <w:proofErr w:type="spellEnd"/>
      <w:r>
        <w:t xml:space="preserve"> + </w:t>
      </w:r>
      <w:proofErr w:type="spellStart"/>
      <w:r>
        <w:t>imelasomeran</w:t>
      </w:r>
      <w:proofErr w:type="spellEnd"/>
      <w:r>
        <w:t>).</w:t>
      </w:r>
    </w:p>
    <w:p w14:paraId="30F558F4" w14:textId="2A1343A1" w:rsidR="00821542" w:rsidRDefault="00821542" w:rsidP="00977F53">
      <w:pPr>
        <w:pStyle w:val="TableDescription"/>
      </w:pPr>
      <w:r>
        <w:t xml:space="preserve">Part </w:t>
      </w:r>
      <w:proofErr w:type="spellStart"/>
      <w:r>
        <w:t>F</w:t>
      </w:r>
      <w:proofErr w:type="spellEnd"/>
      <w:r>
        <w:t xml:space="preserve"> cohort: mRNA-1273, monovalent vaccine (elasomeran).</w:t>
      </w:r>
    </w:p>
    <w:p w14:paraId="0F29D090" w14:textId="350EA6FF" w:rsidR="00977F53" w:rsidRDefault="00977F53" w:rsidP="00977F53">
      <w:pPr>
        <w:pStyle w:val="TableDescription"/>
      </w:pPr>
      <w:r>
        <w:t>n = number of participants with non-missing data at the corresponding timepoint.</w:t>
      </w:r>
    </w:p>
    <w:p w14:paraId="0E294335" w14:textId="63C53FA5" w:rsidR="00977F53" w:rsidRDefault="00977F53" w:rsidP="00977F53">
      <w:pPr>
        <w:pStyle w:val="TableDescription"/>
      </w:pPr>
      <w:r>
        <w:t>N1 = number of participants with non-missing data at pre-vaccination baseline and the corresponding timepoint.</w:t>
      </w:r>
    </w:p>
    <w:p w14:paraId="21278E29" w14:textId="1F4F702F" w:rsidR="00977F53" w:rsidRDefault="00977F53" w:rsidP="00977F53">
      <w:pPr>
        <w:pStyle w:val="TableDescription"/>
      </w:pPr>
      <w:r>
        <w:t>a 95% CI is calculated based on the t-distribution of the log transformed values o</w:t>
      </w:r>
      <w:r w:rsidR="0075737D">
        <w:t>r</w:t>
      </w:r>
      <w:r>
        <w:t xml:space="preserve"> the difference in the log-transformed values for GM value and GM fold-rise, respectively, then back transformed to the original scale for presentation.</w:t>
      </w:r>
    </w:p>
    <w:p w14:paraId="611E9E0B" w14:textId="55EC2D8C" w:rsidR="00977F53" w:rsidRDefault="00977F53" w:rsidP="00977F53">
      <w:pPr>
        <w:pStyle w:val="TableDescription"/>
      </w:pPr>
      <w:r>
        <w:t xml:space="preserve">b Based on ANCOVA modelling; the model includes adjustment for treatment group, pre-booster antibody </w:t>
      </w:r>
      <w:r w:rsidR="006F53B3">
        <w:t>titre</w:t>
      </w:r>
      <w:r>
        <w:t>s, and age group.</w:t>
      </w:r>
    </w:p>
    <w:p w14:paraId="45CE45B3" w14:textId="13DAA3E6" w:rsidR="00977F53" w:rsidRDefault="00977F53" w:rsidP="00977F53">
      <w:pPr>
        <w:pStyle w:val="TableDescription"/>
      </w:pPr>
      <w:r>
        <w:t xml:space="preserve">c </w:t>
      </w:r>
      <w:proofErr w:type="spellStart"/>
      <w:r>
        <w:t>Seroresponse</w:t>
      </w:r>
      <w:proofErr w:type="spellEnd"/>
      <w:r>
        <w:t xml:space="preserve"> at participant level is defined as a change from below</w:t>
      </w:r>
      <w:r w:rsidR="00402560">
        <w:t xml:space="preserve"> the LLOQ to equal or above 4 times LLOQ if the participant’s baseline is below the LLOQ, or at least a 4-fold rise if the baseline is equal to or above the LLOQ. For participants without pre-Dose 1 antibodies </w:t>
      </w:r>
      <w:r w:rsidR="006F53B3">
        <w:t>titre</w:t>
      </w:r>
      <w:r w:rsidR="00402560">
        <w:t xml:space="preserve"> information, </w:t>
      </w:r>
      <w:proofErr w:type="spellStart"/>
      <w:r w:rsidR="00402560">
        <w:t>seroresponse</w:t>
      </w:r>
      <w:proofErr w:type="spellEnd"/>
      <w:r w:rsidR="00402560">
        <w:t xml:space="preserve"> is defined as ≥ 4 times LLOQ for participants with negative SARS-CoV-2 status at their pre-Dose 1 of the primary series, and these </w:t>
      </w:r>
      <w:r w:rsidR="006F53B3">
        <w:t>titre</w:t>
      </w:r>
      <w:r w:rsidR="00402560">
        <w:t>s are imputed as &lt; LLOQ at pre-Dose 1 of primary series. For participants without SARS-CoV-2 status information</w:t>
      </w:r>
      <w:r w:rsidR="00EA3C04">
        <w:t xml:space="preserve"> at pre-Dose 1 of primary series, their pre-booster SARS-CoV-2 status is used to impute their SARS-CoV-2 status at their pre-dose 1 of primary series.</w:t>
      </w:r>
    </w:p>
    <w:p w14:paraId="4CF5F7AD" w14:textId="004A6DED" w:rsidR="00EA3C04" w:rsidRDefault="00EA3C04" w:rsidP="00977F53">
      <w:pPr>
        <w:pStyle w:val="TableDescription"/>
      </w:pPr>
      <w:r>
        <w:t>d 95% CI is calculated using the Clopper-Pearson method.</w:t>
      </w:r>
    </w:p>
    <w:p w14:paraId="4267BA8B" w14:textId="3E606902" w:rsidR="00EA3C04" w:rsidRDefault="00EA3C04" w:rsidP="00977F53">
      <w:pPr>
        <w:pStyle w:val="TableDescription"/>
      </w:pPr>
      <w:r>
        <w:t>e 97.5% CI was calculated by stratified Miettinen-</w:t>
      </w:r>
      <w:proofErr w:type="spellStart"/>
      <w:r>
        <w:t>Nurminen</w:t>
      </w:r>
      <w:proofErr w:type="spellEnd"/>
      <w:r>
        <w:t xml:space="preserve"> method adjusted by age group. The SRR difference is a calculated common risk difference using inverse-variance stratum weights and the </w:t>
      </w:r>
      <w:r>
        <w:lastRenderedPageBreak/>
        <w:t>middles point of Miettinen-</w:t>
      </w:r>
      <w:proofErr w:type="spellStart"/>
      <w:r>
        <w:t>Nurminen</w:t>
      </w:r>
      <w:proofErr w:type="spellEnd"/>
      <w:r>
        <w:t xml:space="preserve"> confidence limits of each one of the stratum </w:t>
      </w:r>
      <w:proofErr w:type="gramStart"/>
      <w:r>
        <w:t>risk</w:t>
      </w:r>
      <w:proofErr w:type="gramEnd"/>
      <w:r>
        <w:t xml:space="preserve"> differences. The stratified Miettinen-</w:t>
      </w:r>
      <w:proofErr w:type="spellStart"/>
      <w:r>
        <w:t>Nurminen</w:t>
      </w:r>
      <w:proofErr w:type="spellEnd"/>
      <w:r>
        <w:t xml:space="preserve"> estimate of the CI cannot be calculated when the </w:t>
      </w:r>
      <w:proofErr w:type="spellStart"/>
      <w:r>
        <w:t>seroresponse</w:t>
      </w:r>
      <w:proofErr w:type="spellEnd"/>
      <w:r>
        <w:t xml:space="preserve"> rate in both groups are 100% absolute difference is reported.</w:t>
      </w:r>
    </w:p>
    <w:p w14:paraId="74B3E2BF" w14:textId="5CE9FF41" w:rsidR="00204E3C" w:rsidRPr="00E17ABC" w:rsidRDefault="00204E3C" w:rsidP="00204E3C">
      <w:r w:rsidRPr="00E17ABC">
        <w:t xml:space="preserve">The primary immunogenicity objective of </w:t>
      </w:r>
      <w:r w:rsidR="00EA3C04">
        <w:t xml:space="preserve">Study </w:t>
      </w:r>
      <w:r w:rsidRPr="00E17ABC">
        <w:t xml:space="preserve">P205 Part G was to compare the immunogenicity of </w:t>
      </w:r>
      <w:r w:rsidR="00821542">
        <w:t>bivalent vaccine (</w:t>
      </w:r>
      <w:proofErr w:type="spellStart"/>
      <w:r w:rsidR="00821542">
        <w:t>elasomeran</w:t>
      </w:r>
      <w:proofErr w:type="spellEnd"/>
      <w:r w:rsidR="00821542">
        <w:t xml:space="preserve"> + </w:t>
      </w:r>
      <w:proofErr w:type="spellStart"/>
      <w:r w:rsidR="00821542">
        <w:t>imelasomeran</w:t>
      </w:r>
      <w:proofErr w:type="spellEnd"/>
      <w:r w:rsidR="00821542">
        <w:t xml:space="preserve">) </w:t>
      </w:r>
      <w:r w:rsidRPr="00E17ABC">
        <w:t xml:space="preserve">50 </w:t>
      </w:r>
      <w:proofErr w:type="spellStart"/>
      <w:r w:rsidRPr="00E17ABC">
        <w:t>μg</w:t>
      </w:r>
      <w:proofErr w:type="spellEnd"/>
      <w:r w:rsidRPr="00E17ABC">
        <w:t xml:space="preserve"> when administered as a second booster dose to the immunogenicity of </w:t>
      </w:r>
      <w:r w:rsidR="00821542">
        <w:t>monovalent vaccine (</w:t>
      </w:r>
      <w:proofErr w:type="spellStart"/>
      <w:r w:rsidR="00821542">
        <w:t>elasomeran</w:t>
      </w:r>
      <w:proofErr w:type="spellEnd"/>
      <w:r w:rsidR="00821542">
        <w:t xml:space="preserve">) </w:t>
      </w:r>
      <w:r w:rsidRPr="00E17ABC">
        <w:t xml:space="preserve">50 </w:t>
      </w:r>
      <w:proofErr w:type="spellStart"/>
      <w:r w:rsidRPr="00E17ABC">
        <w:t>μg</w:t>
      </w:r>
      <w:proofErr w:type="spellEnd"/>
      <w:r w:rsidRPr="00E17ABC">
        <w:t xml:space="preserve"> as a second booster in </w:t>
      </w:r>
      <w:r w:rsidR="00EA3C04">
        <w:t xml:space="preserve">Study </w:t>
      </w:r>
      <w:r w:rsidRPr="00E17ABC">
        <w:t>P205 Part F</w:t>
      </w:r>
      <w:r>
        <w:t>2</w:t>
      </w:r>
      <w:r w:rsidRPr="00E17ABC">
        <w:t xml:space="preserve">. In both parts, the second booster was given to adults who previously received </w:t>
      </w:r>
      <w:r w:rsidR="00EA3C04">
        <w:t>three</w:t>
      </w:r>
      <w:r w:rsidRPr="00E17ABC">
        <w:t xml:space="preserve"> doses of </w:t>
      </w:r>
      <w:r w:rsidR="00821542">
        <w:t xml:space="preserve">monovalent vaccine (elasomeran) </w:t>
      </w:r>
      <w:r w:rsidR="00B160E6">
        <w:t>(two</w:t>
      </w:r>
      <w:r w:rsidR="00EA3C04">
        <w:t xml:space="preserve"> </w:t>
      </w:r>
      <w:r w:rsidRPr="00E17ABC">
        <w:t xml:space="preserve">dose primary </w:t>
      </w:r>
      <w:r w:rsidR="00821542">
        <w:t>monovalent vaccine (</w:t>
      </w:r>
      <w:proofErr w:type="spellStart"/>
      <w:r w:rsidR="00821542">
        <w:t>elasomeran</w:t>
      </w:r>
      <w:proofErr w:type="spellEnd"/>
      <w:r w:rsidR="00821542">
        <w:t xml:space="preserve">) </w:t>
      </w:r>
      <w:r w:rsidRPr="00E17ABC">
        <w:t xml:space="preserve">100 </w:t>
      </w:r>
      <w:proofErr w:type="spellStart"/>
      <w:r w:rsidRPr="00E17ABC">
        <w:t>μg</w:t>
      </w:r>
      <w:proofErr w:type="spellEnd"/>
      <w:r w:rsidRPr="00E17ABC">
        <w:t xml:space="preserve"> vaccine series and a booster dose of 50</w:t>
      </w:r>
      <w:r w:rsidR="00EA3C04">
        <w:t> </w:t>
      </w:r>
      <w:proofErr w:type="spellStart"/>
      <w:r w:rsidRPr="00E17ABC">
        <w:t>μg</w:t>
      </w:r>
      <w:proofErr w:type="spellEnd"/>
      <w:r w:rsidRPr="00E17ABC">
        <w:t xml:space="preserve"> </w:t>
      </w:r>
      <w:proofErr w:type="spellStart"/>
      <w:r w:rsidR="00821542">
        <w:t>elasomeran</w:t>
      </w:r>
      <w:proofErr w:type="spellEnd"/>
      <w:r w:rsidRPr="00E17ABC">
        <w:t>).</w:t>
      </w:r>
    </w:p>
    <w:p w14:paraId="340EA955" w14:textId="5B8662A2" w:rsidR="00204E3C" w:rsidRPr="00E17ABC" w:rsidRDefault="00204E3C" w:rsidP="00204E3C">
      <w:r w:rsidRPr="00E17ABC">
        <w:t>In the primary analysis set (</w:t>
      </w:r>
      <w:r w:rsidR="00EA3C04" w:rsidRPr="00EA3C04">
        <w:t>per-protocol immunogenicity</w:t>
      </w:r>
      <w:r w:rsidR="00EA3C04">
        <w:t xml:space="preserve">, </w:t>
      </w:r>
      <w:r w:rsidR="00EA3C04" w:rsidRPr="00EA3C04">
        <w:t>SARS-CoV-2 negative set</w:t>
      </w:r>
      <w:r w:rsidR="00B160E6">
        <w:t xml:space="preserve"> </w:t>
      </w:r>
      <w:r w:rsidR="00821542">
        <w:t>(</w:t>
      </w:r>
      <w:r w:rsidR="00B160E6">
        <w:t>PPSI</w:t>
      </w:r>
      <w:r w:rsidR="00821542">
        <w:noBreakHyphen/>
      </w:r>
      <w:r w:rsidR="00B160E6">
        <w:t>Neg</w:t>
      </w:r>
      <w:r w:rsidR="00821542">
        <w:t xml:space="preserve"> set</w:t>
      </w:r>
      <w:r w:rsidRPr="00E17ABC">
        <w:t>), the observed GMT (95% CI) for neutralising antibody against Omicron at pre</w:t>
      </w:r>
      <w:r w:rsidR="00B160E6">
        <w:noBreakHyphen/>
      </w:r>
      <w:r w:rsidRPr="00E17ABC">
        <w:t xml:space="preserve">booster in </w:t>
      </w:r>
      <w:r w:rsidR="00EA3C04">
        <w:t xml:space="preserve">Study </w:t>
      </w:r>
      <w:r w:rsidRPr="00E17ABC">
        <w:t xml:space="preserve">P205 Part G were 298.1 (258.8, 343.5) and increased to 2372.4 (2070.6, 2718.2) at 28 days after the booster dose with </w:t>
      </w:r>
      <w:r w:rsidR="00821542">
        <w:t>bivalent vaccine (</w:t>
      </w:r>
      <w:proofErr w:type="spellStart"/>
      <w:r w:rsidR="00821542">
        <w:t>elasomeran</w:t>
      </w:r>
      <w:proofErr w:type="spellEnd"/>
      <w:r w:rsidR="00821542">
        <w:t xml:space="preserve"> + </w:t>
      </w:r>
      <w:proofErr w:type="spellStart"/>
      <w:r w:rsidR="00821542">
        <w:t>imelasomeran</w:t>
      </w:r>
      <w:proofErr w:type="spellEnd"/>
      <w:r w:rsidR="00821542">
        <w:t>)</w:t>
      </w:r>
      <w:r w:rsidRPr="00E17ABC">
        <w:t xml:space="preserve">; the </w:t>
      </w:r>
      <w:r w:rsidR="00B160E6">
        <w:t>geometric mean fold rise</w:t>
      </w:r>
      <w:r w:rsidR="00B160E6" w:rsidRPr="00E17ABC">
        <w:t xml:space="preserve"> </w:t>
      </w:r>
      <w:r w:rsidR="00B160E6">
        <w:t>(</w:t>
      </w:r>
      <w:r w:rsidRPr="00E17ABC">
        <w:t>GMFR</w:t>
      </w:r>
      <w:r w:rsidR="00B160E6">
        <w:t>)</w:t>
      </w:r>
      <w:r w:rsidRPr="00E17ABC">
        <w:t xml:space="preserve"> (95% CI) for the GMTs at 28 days after the booster compared to pre-booster was 8 (7.2, 8.8). In comparison, the GMTs (95% CIs) at pre-booster in </w:t>
      </w:r>
      <w:r w:rsidR="00EA3C04">
        <w:t xml:space="preserve">Study </w:t>
      </w:r>
      <w:r w:rsidRPr="00E17ABC">
        <w:t xml:space="preserve">P205 Part F were 332 (282, 390.9) and increased to 1473.5 (1270.8, 1708.4) at 28 days after the booster dose with </w:t>
      </w:r>
      <w:r w:rsidR="00821542">
        <w:t>monovalent vaccine (elasomeran)</w:t>
      </w:r>
      <w:r w:rsidRPr="00E17ABC">
        <w:t>; the GMFR (95% CI) was 4.4 (4, 5).</w:t>
      </w:r>
    </w:p>
    <w:p w14:paraId="3182E3BE" w14:textId="6B7A4D7F" w:rsidR="00204E3C" w:rsidRDefault="00204E3C" w:rsidP="00204E3C">
      <w:r w:rsidRPr="00E17ABC">
        <w:t xml:space="preserve">The observed GMT (95% CI) against ancestral pre-booster were 1266.7 (1120.2, 1432.5) and increased to 5977.3 (5321.9, 6713.3) at 28 days after the booster dose for </w:t>
      </w:r>
      <w:r w:rsidR="00821542">
        <w:t>bivalent vaccine (</w:t>
      </w:r>
      <w:proofErr w:type="spellStart"/>
      <w:r w:rsidR="00821542">
        <w:t>elasomeran</w:t>
      </w:r>
      <w:proofErr w:type="spellEnd"/>
      <w:r w:rsidR="00821542">
        <w:t xml:space="preserve"> + </w:t>
      </w:r>
      <w:proofErr w:type="spellStart"/>
      <w:r w:rsidR="00821542">
        <w:t>imelasomeran</w:t>
      </w:r>
      <w:proofErr w:type="spellEnd"/>
      <w:r w:rsidR="00821542">
        <w:t xml:space="preserve">) </w:t>
      </w:r>
      <w:r w:rsidRPr="00E17ABC">
        <w:t xml:space="preserve">and GMFR (95% CI) for the GMTs at 28 days after the booster compared to pre-booster was 4.7 (4.4, 5.1). In comparison, the GMT (95% CIs) at pre-booster was 1521 (1352.8, 1710.2) compared to 5649.3 (5056.8, 6311.2) in the </w:t>
      </w:r>
      <w:r w:rsidR="00821542">
        <w:t xml:space="preserve">monovalent vaccine (elasomeran) </w:t>
      </w:r>
      <w:r w:rsidRPr="00E17ABC">
        <w:t>group at 28 days after the booster dose and GMFR (95% CI) was 3.7 (3.4, 4).</w:t>
      </w:r>
    </w:p>
    <w:p w14:paraId="0567BCE7" w14:textId="4FD69BF3" w:rsidR="00204E3C" w:rsidRPr="00E17ABC" w:rsidRDefault="00204E3C" w:rsidP="00204E3C">
      <w:r w:rsidRPr="002E0CE1">
        <w:t>The estimated/neutrali</w:t>
      </w:r>
      <w:r w:rsidR="00EA3C04">
        <w:t>s</w:t>
      </w:r>
      <w:r w:rsidRPr="002E0CE1">
        <w:t>ing antibody GMTs (95% CI) against</w:t>
      </w:r>
      <w:r w:rsidR="00073AB4">
        <w:t xml:space="preserve"> the</w:t>
      </w:r>
      <w:r w:rsidRPr="002E0CE1">
        <w:t xml:space="preserve"> Omicron</w:t>
      </w:r>
      <w:r w:rsidR="00073AB4">
        <w:t xml:space="preserve"> variant</w:t>
      </w:r>
      <w:r w:rsidRPr="002E0CE1">
        <w:t xml:space="preserve"> were 2479.9 (2264.5, 2715.8) and 1421.2 (1283.0, 1574.4) 28 days following the </w:t>
      </w:r>
      <w:r w:rsidR="00073AB4">
        <w:t>bivalent vaccine (</w:t>
      </w:r>
      <w:proofErr w:type="spellStart"/>
      <w:r w:rsidR="00073AB4">
        <w:t>elasomeran</w:t>
      </w:r>
      <w:proofErr w:type="spellEnd"/>
      <w:r w:rsidR="00073AB4">
        <w:t xml:space="preserve"> + </w:t>
      </w:r>
      <w:proofErr w:type="spellStart"/>
      <w:r w:rsidR="00073AB4">
        <w:t>imelasomeran</w:t>
      </w:r>
      <w:proofErr w:type="spellEnd"/>
      <w:r w:rsidR="00073AB4">
        <w:t>)</w:t>
      </w:r>
      <w:r w:rsidRPr="002E0CE1">
        <w:t xml:space="preserve"> and </w:t>
      </w:r>
      <w:r w:rsidR="00821542">
        <w:t xml:space="preserve">monovalent vaccine (elasomeran) </w:t>
      </w:r>
      <w:r w:rsidRPr="002E0CE1">
        <w:t>booster doses, respectively, and the GMR (97.5% CI) was 1.75 (1.49, 2.04) met the pre-specified superiority criterion (lower bound of CI &gt;</w:t>
      </w:r>
      <w:r w:rsidR="00EA3C04">
        <w:t> </w:t>
      </w:r>
      <w:r w:rsidRPr="002E0CE1">
        <w:t>1). Therefore, all primary immunogenicity endpoints were met based on the pre-specified testing sequence.</w:t>
      </w:r>
    </w:p>
    <w:p w14:paraId="77C6AB54" w14:textId="10C43A29" w:rsidR="00204E3C" w:rsidRDefault="00204E3C" w:rsidP="00204E3C">
      <w:r w:rsidRPr="0092685E">
        <w:t>The</w:t>
      </w:r>
      <w:r>
        <w:t xml:space="preserve"> </w:t>
      </w:r>
      <w:r w:rsidRPr="0092685E">
        <w:t xml:space="preserve">Omicron </w:t>
      </w:r>
      <w:r w:rsidR="00073AB4">
        <w:t xml:space="preserve">variant </w:t>
      </w:r>
      <w:r w:rsidRPr="0092685E">
        <w:t>SRRs (95% CI) were 100% (98.9, 100) and 99.2% (97.2, 99.9), 28</w:t>
      </w:r>
      <w:r w:rsidR="00073AB4">
        <w:t> </w:t>
      </w:r>
      <w:r w:rsidRPr="0092685E">
        <w:t>days after the</w:t>
      </w:r>
      <w:r>
        <w:t xml:space="preserve"> </w:t>
      </w:r>
      <w:r w:rsidR="00821542">
        <w:t>bivalent vaccine (</w:t>
      </w:r>
      <w:proofErr w:type="spellStart"/>
      <w:r w:rsidR="00821542">
        <w:t>elasomeran</w:t>
      </w:r>
      <w:proofErr w:type="spellEnd"/>
      <w:r w:rsidR="00821542">
        <w:t xml:space="preserve"> + </w:t>
      </w:r>
      <w:proofErr w:type="spellStart"/>
      <w:r w:rsidR="00821542">
        <w:t>imelasomeran</w:t>
      </w:r>
      <w:proofErr w:type="spellEnd"/>
      <w:r w:rsidR="00821542">
        <w:t xml:space="preserve">) </w:t>
      </w:r>
      <w:r w:rsidRPr="0092685E">
        <w:t xml:space="preserve">and </w:t>
      </w:r>
      <w:r w:rsidR="00821542">
        <w:t xml:space="preserve">monovalent vaccine (elasomeran) </w:t>
      </w:r>
      <w:r w:rsidRPr="0092685E">
        <w:t>booster doses, respectively, and the SRR difference (97.5%</w:t>
      </w:r>
      <w:r>
        <w:t xml:space="preserve"> </w:t>
      </w:r>
      <w:r w:rsidRPr="0092685E">
        <w:t>CI) was 1.5% (</w:t>
      </w:r>
      <w:r w:rsidR="00073AB4">
        <w:noBreakHyphen/>
      </w:r>
      <w:r w:rsidRPr="0092685E">
        <w:t>1.1, 4) meeting the non-inferiority criterion (lower bound of CI &gt;</w:t>
      </w:r>
      <w:r w:rsidR="00EA3C04">
        <w:t xml:space="preserve"> </w:t>
      </w:r>
      <w:r w:rsidR="00EA3C04">
        <w:noBreakHyphen/>
      </w:r>
      <w:r w:rsidRPr="0092685E">
        <w:t>10%).</w:t>
      </w:r>
    </w:p>
    <w:p w14:paraId="1BA7A550" w14:textId="3A1DE11E" w:rsidR="00204E3C" w:rsidRDefault="00204E3C" w:rsidP="00204E3C">
      <w:r w:rsidRPr="002E0CE1">
        <w:t>In the primary analysis set (</w:t>
      </w:r>
      <w:r w:rsidR="00B160E6">
        <w:t>PPSI-Neg</w:t>
      </w:r>
      <w:r w:rsidRPr="002E0CE1">
        <w:t>), estimated neutrali</w:t>
      </w:r>
      <w:r w:rsidR="00EA3C04">
        <w:t>s</w:t>
      </w:r>
      <w:r w:rsidRPr="002E0CE1">
        <w:t xml:space="preserve">ing antibody GMTs (95% CI) against </w:t>
      </w:r>
      <w:r w:rsidR="00073AB4">
        <w:t xml:space="preserve">the </w:t>
      </w:r>
      <w:r w:rsidRPr="002E0CE1">
        <w:t xml:space="preserve">ancestral SARS-CoV-2 </w:t>
      </w:r>
      <w:r w:rsidR="00073AB4">
        <w:t xml:space="preserve">strain </w:t>
      </w:r>
      <w:r w:rsidRPr="002E0CE1">
        <w:t>(</w:t>
      </w:r>
      <w:r w:rsidR="00073AB4">
        <w:t xml:space="preserve">with </w:t>
      </w:r>
      <w:r w:rsidRPr="002E0CE1">
        <w:t>D614G</w:t>
      </w:r>
      <w:r w:rsidR="00073AB4">
        <w:t xml:space="preserve"> mutation</w:t>
      </w:r>
      <w:r w:rsidRPr="002E0CE1">
        <w:t xml:space="preserve">) adjusted for pre-booster titre and age group were 6422.3 (5990.1, 6885.7) and 5286.6 (4887.1, 5718.9) 28 days after the </w:t>
      </w:r>
      <w:r w:rsidR="00FE11BF">
        <w:t>bivalent vaccine (</w:t>
      </w:r>
      <w:proofErr w:type="spellStart"/>
      <w:r w:rsidR="00FE11BF">
        <w:t>elasomeran</w:t>
      </w:r>
      <w:proofErr w:type="spellEnd"/>
      <w:r w:rsidR="00FE11BF">
        <w:t xml:space="preserve"> + </w:t>
      </w:r>
      <w:proofErr w:type="spellStart"/>
      <w:r w:rsidR="00FE11BF">
        <w:t>imelasomeran</w:t>
      </w:r>
      <w:proofErr w:type="spellEnd"/>
      <w:r w:rsidR="00FE11BF">
        <w:t xml:space="preserve">), </w:t>
      </w:r>
      <w:r w:rsidRPr="002E0CE1">
        <w:t xml:space="preserve">and </w:t>
      </w:r>
      <w:r w:rsidR="00FE11BF">
        <w:t xml:space="preserve">monovalent vaccine (elasomeran) </w:t>
      </w:r>
      <w:r w:rsidRPr="002E0CE1">
        <w:t xml:space="preserve">booster doses, respectively, and the GMR (97.5% CI) was 1.22 (1.08, 1.37), meeting the pre-specified criterion for non-inferiority (lower bound of CI </w:t>
      </w:r>
      <w:r w:rsidR="00EA3C04">
        <w:t>≥</w:t>
      </w:r>
      <w:r w:rsidR="00EA3C04">
        <w:rPr>
          <w:rFonts w:hint="eastAsia"/>
        </w:rPr>
        <w:t> </w:t>
      </w:r>
      <w:r w:rsidRPr="002E0CE1">
        <w:t xml:space="preserve">0.67). </w:t>
      </w:r>
    </w:p>
    <w:p w14:paraId="097DA1D7" w14:textId="22D13D65" w:rsidR="00204E3C" w:rsidRDefault="00204E3C" w:rsidP="00204E3C">
      <w:r w:rsidRPr="002E1775">
        <w:t xml:space="preserve">In the over 65 years subgroup of the </w:t>
      </w:r>
      <w:r w:rsidR="00EA3C04" w:rsidRPr="00EA3C04">
        <w:t>per-protocol immunogenicity</w:t>
      </w:r>
      <w:r w:rsidR="00EA3C04">
        <w:t xml:space="preserve">, </w:t>
      </w:r>
      <w:r w:rsidR="00EA3C04" w:rsidRPr="00EA3C04">
        <w:t>SARS-CoV-2 negative set</w:t>
      </w:r>
      <w:r w:rsidRPr="002E1775">
        <w:t xml:space="preserve">, GMT ratios against </w:t>
      </w:r>
      <w:r w:rsidR="00EA3C04">
        <w:t>O</w:t>
      </w:r>
      <w:r w:rsidRPr="002E1775">
        <w:t xml:space="preserve">micron BA.1 </w:t>
      </w:r>
      <w:r w:rsidR="00FE11BF">
        <w:t xml:space="preserve">sub-variant </w:t>
      </w:r>
      <w:r w:rsidRPr="002E1775">
        <w:t>and ancestral virus were in line with the primary analysis set</w:t>
      </w:r>
      <w:r w:rsidR="00EA3C04">
        <w:t>.</w:t>
      </w:r>
    </w:p>
    <w:p w14:paraId="33B67C4A" w14:textId="7F0BD2E3" w:rsidR="00204E3C" w:rsidRDefault="00204E3C" w:rsidP="00204E3C">
      <w:r w:rsidRPr="000B4B70">
        <w:t xml:space="preserve">The SRR (95% CI) against the ancestral SARS-CoV-2 </w:t>
      </w:r>
      <w:r w:rsidR="00073AB4">
        <w:t xml:space="preserve">strain </w:t>
      </w:r>
      <w:r w:rsidRPr="000B4B70">
        <w:t>(</w:t>
      </w:r>
      <w:r w:rsidR="00B160E6">
        <w:t xml:space="preserve">with </w:t>
      </w:r>
      <w:r w:rsidRPr="000B4B70">
        <w:t>D614G</w:t>
      </w:r>
      <w:r w:rsidR="00073AB4">
        <w:t xml:space="preserve"> mutation</w:t>
      </w:r>
      <w:r w:rsidRPr="000B4B70">
        <w:t>) was 100% (98.9, 100 and 98.6,</w:t>
      </w:r>
      <w:r>
        <w:t xml:space="preserve"> </w:t>
      </w:r>
      <w:r w:rsidRPr="000B4B70">
        <w:t xml:space="preserve">100) 28 days after the </w:t>
      </w:r>
      <w:r w:rsidR="00FE11BF">
        <w:t>bivalent vaccine (</w:t>
      </w:r>
      <w:proofErr w:type="spellStart"/>
      <w:r w:rsidR="00FE11BF">
        <w:t>elasomeran</w:t>
      </w:r>
      <w:proofErr w:type="spellEnd"/>
      <w:r w:rsidR="00FE11BF">
        <w:t xml:space="preserve"> + </w:t>
      </w:r>
      <w:proofErr w:type="spellStart"/>
      <w:r w:rsidR="00FE11BF">
        <w:t>imelasomeran</w:t>
      </w:r>
      <w:proofErr w:type="spellEnd"/>
      <w:r w:rsidR="00FE11BF">
        <w:t xml:space="preserve">) </w:t>
      </w:r>
      <w:r w:rsidRPr="000B4B70">
        <w:t xml:space="preserve">and </w:t>
      </w:r>
      <w:r w:rsidR="00FE11BF">
        <w:t xml:space="preserve">monovalent vaccine (elasomeran) </w:t>
      </w:r>
      <w:r w:rsidRPr="000B4B70">
        <w:t>booster doses, respectively, with an</w:t>
      </w:r>
      <w:r>
        <w:t xml:space="preserve"> </w:t>
      </w:r>
      <w:r w:rsidRPr="000B4B70">
        <w:t xml:space="preserve">SRR difference of </w:t>
      </w:r>
      <w:r w:rsidR="00EA3C04">
        <w:t>zero</w:t>
      </w:r>
      <w:r w:rsidRPr="000B4B70">
        <w:t>. Therefore, the key secondary immunogenicity objective was also met</w:t>
      </w:r>
      <w:r>
        <w:t>.</w:t>
      </w:r>
    </w:p>
    <w:p w14:paraId="7ACAEBC9" w14:textId="77777777" w:rsidR="00204E3C" w:rsidRDefault="00204E3C" w:rsidP="00204E3C">
      <w:r w:rsidRPr="006A151E">
        <w:lastRenderedPageBreak/>
        <w:t>A sensitivity analysis</w:t>
      </w:r>
      <w:r w:rsidRPr="000C7B68">
        <w:t xml:space="preserve"> which excluded participants who had SARS-CoV-2 infection after the</w:t>
      </w:r>
      <w:r>
        <w:t xml:space="preserve"> </w:t>
      </w:r>
      <w:r w:rsidRPr="000C7B68">
        <w:t>booster dose and up to Day 29 was also performed and the results were consistent with the</w:t>
      </w:r>
      <w:r>
        <w:t xml:space="preserve"> </w:t>
      </w:r>
      <w:r w:rsidRPr="000C7B68">
        <w:t>primary analysis</w:t>
      </w:r>
      <w:r>
        <w:t xml:space="preserve">. </w:t>
      </w:r>
    </w:p>
    <w:p w14:paraId="55C4741B" w14:textId="2EB8C3B2" w:rsidR="00204E3C" w:rsidRDefault="00204E3C" w:rsidP="00204E3C">
      <w:r w:rsidRPr="006A151E">
        <w:t>A supportive immunogenicity analysis was</w:t>
      </w:r>
      <w:r w:rsidRPr="000C7B68">
        <w:t xml:space="preserve"> also performed </w:t>
      </w:r>
      <w:proofErr w:type="gramStart"/>
      <w:r w:rsidRPr="000C7B68">
        <w:t>taking into account</w:t>
      </w:r>
      <w:proofErr w:type="gramEnd"/>
      <w:r w:rsidRPr="000C7B68">
        <w:t xml:space="preserve"> all participants</w:t>
      </w:r>
      <w:r>
        <w:t xml:space="preserve"> </w:t>
      </w:r>
      <w:r w:rsidRPr="000C7B68">
        <w:t>regardless of evidence of prior SARS-CoV-2 infection (</w:t>
      </w:r>
      <w:r w:rsidR="00392F29">
        <w:t>per-protocol set for immunogenicity</w:t>
      </w:r>
      <w:r w:rsidR="00392F29" w:rsidRPr="000C7B68">
        <w:t xml:space="preserve"> </w:t>
      </w:r>
      <w:r w:rsidRPr="000C7B68">
        <w:t>regardless of</w:t>
      </w:r>
      <w:r>
        <w:t xml:space="preserve"> </w:t>
      </w:r>
      <w:r w:rsidRPr="000C7B68">
        <w:t>SARS-CoV-2 infection status at pre-booster baseline) and results were consistent with the</w:t>
      </w:r>
      <w:r>
        <w:t xml:space="preserve"> </w:t>
      </w:r>
      <w:r w:rsidRPr="000C7B68">
        <w:t>primary immunogenicity analysis</w:t>
      </w:r>
      <w:r w:rsidR="00E42AA6">
        <w:t xml:space="preserve"> (</w:t>
      </w:r>
      <w:r w:rsidR="00FE11BF">
        <w:t xml:space="preserve">see </w:t>
      </w:r>
      <w:r w:rsidR="00E42AA6">
        <w:fldChar w:fldCharType="begin"/>
      </w:r>
      <w:r w:rsidR="00E42AA6">
        <w:instrText xml:space="preserve"> REF _Ref111883168 \h </w:instrText>
      </w:r>
      <w:r w:rsidR="00E42AA6">
        <w:fldChar w:fldCharType="separate"/>
      </w:r>
      <w:r w:rsidR="00D102F3" w:rsidRPr="00E42AA6">
        <w:t xml:space="preserve">Table </w:t>
      </w:r>
      <w:r w:rsidR="00D102F3">
        <w:rPr>
          <w:noProof/>
        </w:rPr>
        <w:t>8</w:t>
      </w:r>
      <w:r w:rsidR="00E42AA6">
        <w:fldChar w:fldCharType="end"/>
      </w:r>
      <w:r w:rsidR="00FE11BF">
        <w:t>, below</w:t>
      </w:r>
      <w:r w:rsidR="00E42AA6">
        <w:t>)</w:t>
      </w:r>
      <w:r>
        <w:t>.</w:t>
      </w:r>
    </w:p>
    <w:p w14:paraId="5AD1D681" w14:textId="338AC39E" w:rsidR="00204E3C" w:rsidRDefault="00E42AA6" w:rsidP="00E42AA6">
      <w:pPr>
        <w:pStyle w:val="TableTitle"/>
      </w:pPr>
      <w:bookmarkStart w:id="51" w:name="_Ref111883168"/>
      <w:r w:rsidRPr="00E42AA6">
        <w:t xml:space="preserve">Table </w:t>
      </w:r>
      <w:r w:rsidR="00F43EA9">
        <w:fldChar w:fldCharType="begin"/>
      </w:r>
      <w:r w:rsidR="00F43EA9">
        <w:instrText xml:space="preserve"> SEQ Table \* ARABIC </w:instrText>
      </w:r>
      <w:r w:rsidR="00F43EA9">
        <w:fldChar w:fldCharType="separate"/>
      </w:r>
      <w:r w:rsidR="00D102F3">
        <w:rPr>
          <w:noProof/>
        </w:rPr>
        <w:t>8</w:t>
      </w:r>
      <w:r w:rsidR="00F43EA9">
        <w:rPr>
          <w:noProof/>
        </w:rPr>
        <w:fldChar w:fldCharType="end"/>
      </w:r>
      <w:bookmarkEnd w:id="51"/>
      <w:r>
        <w:t xml:space="preserve">: </w:t>
      </w:r>
      <w:r w:rsidR="00FE11BF">
        <w:t xml:space="preserve">Study P205 Parts G and F; </w:t>
      </w:r>
      <w:r w:rsidRPr="00E42AA6">
        <w:t xml:space="preserve">Ancestral SARS-CoV-2 and Omicron </w:t>
      </w:r>
      <w:r>
        <w:t>n</w:t>
      </w:r>
      <w:r w:rsidRPr="00E42AA6">
        <w:t>eutral</w:t>
      </w:r>
      <w:r w:rsidR="00741008">
        <w:t>is</w:t>
      </w:r>
      <w:r w:rsidRPr="00E42AA6">
        <w:t xml:space="preserve">ing </w:t>
      </w:r>
      <w:r>
        <w:t>a</w:t>
      </w:r>
      <w:r w:rsidRPr="00E42AA6">
        <w:t xml:space="preserve">ntibody </w:t>
      </w:r>
      <w:r w:rsidR="006F53B3">
        <w:t>titre</w:t>
      </w:r>
      <w:r w:rsidRPr="00E42AA6">
        <w:t>s (ID</w:t>
      </w:r>
      <w:r w:rsidRPr="00E42AA6">
        <w:rPr>
          <w:vertAlign w:val="subscript"/>
        </w:rPr>
        <w:t>50</w:t>
      </w:r>
      <w:r w:rsidRPr="00E42AA6">
        <w:t xml:space="preserve">) </w:t>
      </w:r>
      <w:r>
        <w:t xml:space="preserve">at </w:t>
      </w:r>
      <w:r w:rsidRPr="00E42AA6">
        <w:t xml:space="preserve">50 </w:t>
      </w:r>
      <w:proofErr w:type="spellStart"/>
      <w:r w:rsidRPr="00E42AA6">
        <w:t>μg</w:t>
      </w:r>
      <w:proofErr w:type="spellEnd"/>
      <w:r w:rsidRPr="00E42AA6">
        <w:t xml:space="preserve"> </w:t>
      </w:r>
      <w:r w:rsidR="00FE11BF">
        <w:t xml:space="preserve">vaccine </w:t>
      </w:r>
      <w:r>
        <w:t>a</w:t>
      </w:r>
      <w:r w:rsidRPr="00E42AA6">
        <w:t xml:space="preserve">dministered as </w:t>
      </w:r>
      <w:r>
        <w:t>s</w:t>
      </w:r>
      <w:r w:rsidRPr="00E42AA6">
        <w:t xml:space="preserve">econd </w:t>
      </w:r>
      <w:r>
        <w:t>b</w:t>
      </w:r>
      <w:r w:rsidRPr="00E42AA6">
        <w:t xml:space="preserve">ooster </w:t>
      </w:r>
      <w:r>
        <w:t>d</w:t>
      </w:r>
      <w:r w:rsidRPr="00E42AA6">
        <w:t xml:space="preserve">oses </w:t>
      </w:r>
      <w:r>
        <w:t>p</w:t>
      </w:r>
      <w:r w:rsidRPr="00E42AA6">
        <w:t>er-</w:t>
      </w:r>
      <w:r>
        <w:t>p</w:t>
      </w:r>
      <w:r w:rsidRPr="00E42AA6">
        <w:t xml:space="preserve">rotocol </w:t>
      </w:r>
      <w:r>
        <w:t>i</w:t>
      </w:r>
      <w:r w:rsidRPr="00E42AA6">
        <w:t xml:space="preserve">mmunogenicity </w:t>
      </w:r>
      <w:r>
        <w:t>s</w:t>
      </w:r>
      <w:r w:rsidRPr="00E42AA6">
        <w:t xml:space="preserve">et </w:t>
      </w:r>
      <w:r>
        <w:t>(p</w:t>
      </w:r>
      <w:r w:rsidRPr="00E42AA6">
        <w:t xml:space="preserve">articipants with and without prior SARS-CoV-2 infection </w:t>
      </w:r>
      <w:r>
        <w:t>- s</w:t>
      </w:r>
      <w:r w:rsidRPr="00E42AA6">
        <w:t xml:space="preserve">upportive </w:t>
      </w:r>
      <w:r>
        <w:t>a</w:t>
      </w:r>
      <w:r w:rsidRPr="00E42AA6">
        <w:t>nalysis)</w:t>
      </w:r>
    </w:p>
    <w:p w14:paraId="340FA75E" w14:textId="77777777" w:rsidR="00F43EA9" w:rsidRDefault="00E42AA6" w:rsidP="00F43EA9">
      <w:r>
        <w:rPr>
          <w:noProof/>
          <w:lang w:val="en-GB" w:eastAsia="en-GB"/>
        </w:rPr>
        <w:drawing>
          <wp:inline distT="0" distB="0" distL="0" distR="0" wp14:anchorId="07F0EAD6" wp14:editId="580C1007">
            <wp:extent cx="5399405" cy="3816626"/>
            <wp:effectExtent l="0" t="0" r="0" b="0"/>
            <wp:docPr id="14" name="Picture 14" descr="Ancestral SARS-CoV-2 and Omicron neutralizing antibody titres (ID50) mRNA-1273.214 at 50 μg and mRNA-1273 at 50 μg administered as second booster doses per-protocol immunogenicity set (participants with and without prior SARS-CoV-2 infection - supportiv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cestral SARS-CoV-2 and Omicron neutralizing antibody titres (ID50) mRNA-1273.214 at 50 μg and mRNA-1273 at 50 μg administered as second booster doses per-protocol immunogenicity set (participants with and without prior SARS-CoV-2 infection - supportive analysis)"/>
                    <pic:cNvPicPr/>
                  </pic:nvPicPr>
                  <pic:blipFill rotWithShape="1">
                    <a:blip r:embed="rId22"/>
                    <a:srcRect b="36226"/>
                    <a:stretch/>
                  </pic:blipFill>
                  <pic:spPr bwMode="auto">
                    <a:xfrm>
                      <a:off x="0" y="0"/>
                      <a:ext cx="5400040" cy="3817075"/>
                    </a:xfrm>
                    <a:prstGeom prst="rect">
                      <a:avLst/>
                    </a:prstGeom>
                    <a:ln>
                      <a:noFill/>
                    </a:ln>
                    <a:extLst>
                      <a:ext uri="{53640926-AAD7-44D8-BBD7-CCE9431645EC}">
                        <a14:shadowObscured xmlns:a14="http://schemas.microsoft.com/office/drawing/2010/main"/>
                      </a:ext>
                    </a:extLst>
                  </pic:spPr>
                </pic:pic>
              </a:graphicData>
            </a:graphic>
          </wp:inline>
        </w:drawing>
      </w:r>
      <w:r w:rsidRPr="00E42AA6">
        <w:t xml:space="preserve"> </w:t>
      </w:r>
    </w:p>
    <w:p w14:paraId="64F8FA9B" w14:textId="62DC2F4E" w:rsidR="00E42AA6" w:rsidRDefault="00E42AA6" w:rsidP="00F43EA9">
      <w:pPr>
        <w:pStyle w:val="TableDescription"/>
      </w:pPr>
      <w:r>
        <w:t xml:space="preserve">Abbreviations: CI = confidence interval; GLSM = geometric least squares mean; GMFR = geometric mean fold rise; GMR = geometric mean ratio; GMT = geometric mean </w:t>
      </w:r>
      <w:r w:rsidR="006F53B3">
        <w:t>titre</w:t>
      </w:r>
      <w:r>
        <w:t>; ID</w:t>
      </w:r>
      <w:r w:rsidRPr="00977F53">
        <w:rPr>
          <w:vertAlign w:val="subscript"/>
        </w:rPr>
        <w:t>50</w:t>
      </w:r>
      <w:r>
        <w:t xml:space="preserve"> = 50% inhibitory dilution; LLOQ = lower limit of quantification; </w:t>
      </w:r>
      <w:proofErr w:type="spellStart"/>
      <w:r>
        <w:t>nAb</w:t>
      </w:r>
      <w:proofErr w:type="spellEnd"/>
      <w:r>
        <w:t xml:space="preserve"> = neutralising antibodies; </w:t>
      </w:r>
      <w:proofErr w:type="spellStart"/>
      <w:r>
        <w:t>PsVNA</w:t>
      </w:r>
      <w:proofErr w:type="spellEnd"/>
      <w:r>
        <w:t xml:space="preserve"> = </w:t>
      </w:r>
      <w:proofErr w:type="spellStart"/>
      <w:r>
        <w:t>pseudotyped</w:t>
      </w:r>
      <w:proofErr w:type="spellEnd"/>
      <w:r>
        <w:t xml:space="preserve"> virus neutralisation assay; SARS-CoV-2 = severe acute respiratory syndrome 2.</w:t>
      </w:r>
    </w:p>
    <w:p w14:paraId="472740DA" w14:textId="77777777" w:rsidR="00FE11BF" w:rsidRDefault="00FE11BF" w:rsidP="00FE11BF">
      <w:pPr>
        <w:pStyle w:val="TableDescription"/>
      </w:pPr>
      <w:r>
        <w:t>Part G cohort: mRNA-1273-214, bivalent vaccine (</w:t>
      </w:r>
      <w:proofErr w:type="spellStart"/>
      <w:r>
        <w:t>elasomeran</w:t>
      </w:r>
      <w:proofErr w:type="spellEnd"/>
      <w:r>
        <w:t xml:space="preserve"> + </w:t>
      </w:r>
      <w:proofErr w:type="spellStart"/>
      <w:r>
        <w:t>imelasomeran</w:t>
      </w:r>
      <w:proofErr w:type="spellEnd"/>
      <w:r>
        <w:t>).</w:t>
      </w:r>
    </w:p>
    <w:p w14:paraId="744034C4" w14:textId="12656384" w:rsidR="00FE11BF" w:rsidRDefault="00FE11BF" w:rsidP="00E42AA6">
      <w:pPr>
        <w:pStyle w:val="TableDescription"/>
      </w:pPr>
      <w:r>
        <w:t xml:space="preserve">Part </w:t>
      </w:r>
      <w:proofErr w:type="spellStart"/>
      <w:r>
        <w:t>F</w:t>
      </w:r>
      <w:proofErr w:type="spellEnd"/>
      <w:r>
        <w:t xml:space="preserve"> cohort: mRNA-1273, monovalent vaccine (elasomeran).</w:t>
      </w:r>
    </w:p>
    <w:p w14:paraId="3EB2F55C" w14:textId="77777777" w:rsidR="00E42AA6" w:rsidRDefault="00E42AA6" w:rsidP="00E42AA6">
      <w:pPr>
        <w:pStyle w:val="TableDescription"/>
      </w:pPr>
      <w:r>
        <w:t>n = number of participants with non-missing data at the corresponding timepoint.</w:t>
      </w:r>
    </w:p>
    <w:p w14:paraId="727B9738" w14:textId="77777777" w:rsidR="00E42AA6" w:rsidRDefault="00E42AA6" w:rsidP="00E42AA6">
      <w:pPr>
        <w:pStyle w:val="TableDescription"/>
      </w:pPr>
      <w:r>
        <w:t>N1 = number of participants with non-missing data at pre-vaccination baseline and the corresponding timepoint.</w:t>
      </w:r>
    </w:p>
    <w:p w14:paraId="0A654685" w14:textId="51622E0A" w:rsidR="00E42AA6" w:rsidRDefault="00E42AA6" w:rsidP="00E42AA6">
      <w:pPr>
        <w:pStyle w:val="TableDescription"/>
      </w:pPr>
      <w:r>
        <w:t>a 95% CI is calculated based on the t-distribution of the log transformed values or the difference in the log-transformed values for GM value and GM fold-rise, respectively, then back transformed to the original scale for presentation.</w:t>
      </w:r>
    </w:p>
    <w:p w14:paraId="6A4F0380" w14:textId="6EE873C4" w:rsidR="00E42AA6" w:rsidRDefault="00E42AA6" w:rsidP="00E42AA6">
      <w:pPr>
        <w:pStyle w:val="TableDescription"/>
      </w:pPr>
      <w:r>
        <w:t xml:space="preserve">b Based on ANCOVA modelling; the model includes adjustment for treatment group, baseline SARS-CoV-2 infection status, pre-booster antibody </w:t>
      </w:r>
      <w:r w:rsidR="006F53B3">
        <w:t>titre</w:t>
      </w:r>
      <w:r>
        <w:t>s, and age group.</w:t>
      </w:r>
    </w:p>
    <w:p w14:paraId="744645A0" w14:textId="3EDB7CEF" w:rsidR="00E42AA6" w:rsidRDefault="00E42AA6" w:rsidP="00E42AA6">
      <w:pPr>
        <w:pStyle w:val="TableDescription"/>
      </w:pPr>
      <w:r>
        <w:t xml:space="preserve">c </w:t>
      </w:r>
      <w:proofErr w:type="spellStart"/>
      <w:r>
        <w:t>Seroresponse</w:t>
      </w:r>
      <w:proofErr w:type="spellEnd"/>
      <w:r>
        <w:t xml:space="preserve"> at participant level is defined as a change from below the LLOQ to equal or above 4 times LLOQ if the participant’s baseline is below the LLOQ, or at least a 4-fold rise if the baseline is equal to or above the LLOQ. For participants without pre-Dose 1 antibodies </w:t>
      </w:r>
      <w:r w:rsidR="006F53B3">
        <w:t>titre</w:t>
      </w:r>
      <w:r>
        <w:t xml:space="preserve"> information, </w:t>
      </w:r>
      <w:proofErr w:type="spellStart"/>
      <w:r>
        <w:t>seroresponse</w:t>
      </w:r>
      <w:proofErr w:type="spellEnd"/>
      <w:r>
        <w:t xml:space="preserve"> is </w:t>
      </w:r>
      <w:r>
        <w:lastRenderedPageBreak/>
        <w:t xml:space="preserve">defined as ≥ 4 times LLOQ for participants with negative SARS-CoV-2 status at their pre-Dose 1 of the primary series, and these </w:t>
      </w:r>
      <w:r w:rsidR="006F53B3">
        <w:t>titre</w:t>
      </w:r>
      <w:r>
        <w:t>s are imputed as &lt; LLOQ at pre-Dose 1 of primary series. For participants without SARS-CoV-2 status information at pre-Dose 1 of primary series, their pre-booster SARS-CoV-2 status is used to impute their SARS-CoV-2 status at their pre-dose 1 of primary series.</w:t>
      </w:r>
    </w:p>
    <w:p w14:paraId="46E9FC31" w14:textId="77777777" w:rsidR="00E42AA6" w:rsidRDefault="00E42AA6" w:rsidP="00E42AA6">
      <w:pPr>
        <w:pStyle w:val="TableDescription"/>
      </w:pPr>
      <w:r>
        <w:t>d 95% CI is calculated using the Clopper-Pearson method.</w:t>
      </w:r>
    </w:p>
    <w:p w14:paraId="197CC164" w14:textId="77777777" w:rsidR="00E42AA6" w:rsidRDefault="00E42AA6" w:rsidP="00E42AA6">
      <w:pPr>
        <w:pStyle w:val="TableDescription"/>
      </w:pPr>
      <w:r>
        <w:t>e 97.5% CI was calculated by stratified Miettinen-</w:t>
      </w:r>
      <w:proofErr w:type="spellStart"/>
      <w:r>
        <w:t>Nurminen</w:t>
      </w:r>
      <w:proofErr w:type="spellEnd"/>
      <w:r>
        <w:t xml:space="preserve"> method adjusted by age group. The SRR difference is a calculated common risk difference using inverse-variance stratum weights and the middles point of Miettinen-</w:t>
      </w:r>
      <w:proofErr w:type="spellStart"/>
      <w:r>
        <w:t>Nurminen</w:t>
      </w:r>
      <w:proofErr w:type="spellEnd"/>
      <w:r>
        <w:t xml:space="preserve"> confidence limits of each one of the stratum </w:t>
      </w:r>
      <w:proofErr w:type="gramStart"/>
      <w:r>
        <w:t>risk</w:t>
      </w:r>
      <w:proofErr w:type="gramEnd"/>
      <w:r>
        <w:t xml:space="preserve"> differences. The stratified Miettinen-</w:t>
      </w:r>
      <w:proofErr w:type="spellStart"/>
      <w:r>
        <w:t>Nurminen</w:t>
      </w:r>
      <w:proofErr w:type="spellEnd"/>
      <w:r>
        <w:t xml:space="preserve"> estimate of the CI cannot be calculated when the </w:t>
      </w:r>
      <w:proofErr w:type="spellStart"/>
      <w:r>
        <w:t>seroresponse</w:t>
      </w:r>
      <w:proofErr w:type="spellEnd"/>
      <w:r>
        <w:t xml:space="preserve"> rate in both groups are 100% absolute difference is reported.</w:t>
      </w:r>
    </w:p>
    <w:p w14:paraId="07C4A0B5" w14:textId="63F53DA6" w:rsidR="00E42AA6" w:rsidRDefault="00E42AA6" w:rsidP="00E42AA6">
      <w:r w:rsidRPr="006878F4">
        <w:t>In addition, a pre-planned subgroup immunogenicity analysis was also performed to assess the</w:t>
      </w:r>
      <w:r>
        <w:t xml:space="preserve"> </w:t>
      </w:r>
      <w:r w:rsidRPr="006878F4">
        <w:t>consistency of the immunogenicity results in participants with evidence of prior SARS-CoV-2</w:t>
      </w:r>
      <w:r>
        <w:t xml:space="preserve"> </w:t>
      </w:r>
      <w:r w:rsidRPr="006878F4">
        <w:t>infection at pre-booster. Based on this subgroup analysis, results in participants with</w:t>
      </w:r>
      <w:r>
        <w:t xml:space="preserve"> </w:t>
      </w:r>
      <w:r w:rsidRPr="006878F4">
        <w:t>SARS-CoV-2 infection prior to the booster vaccination are consistent with the immunogenicity</w:t>
      </w:r>
      <w:r>
        <w:t xml:space="preserve"> </w:t>
      </w:r>
      <w:r w:rsidRPr="006878F4">
        <w:t xml:space="preserve">results of the primary analysis in that </w:t>
      </w:r>
      <w:r w:rsidR="00FE11BF">
        <w:t>bivalent vaccine (</w:t>
      </w:r>
      <w:proofErr w:type="spellStart"/>
      <w:r w:rsidR="00FE11BF">
        <w:t>elasomeran</w:t>
      </w:r>
      <w:proofErr w:type="spellEnd"/>
      <w:r w:rsidR="00FE11BF">
        <w:t xml:space="preserve"> + </w:t>
      </w:r>
      <w:proofErr w:type="spellStart"/>
      <w:r w:rsidR="00FE11BF">
        <w:t>imelasomeran</w:t>
      </w:r>
      <w:proofErr w:type="spellEnd"/>
      <w:r w:rsidR="00FE11BF">
        <w:t xml:space="preserve">) </w:t>
      </w:r>
      <w:r w:rsidRPr="006878F4">
        <w:t>elicited higher neutral</w:t>
      </w:r>
      <w:r w:rsidR="00741008">
        <w:t>is</w:t>
      </w:r>
      <w:r w:rsidRPr="006878F4">
        <w:t>ing antibody</w:t>
      </w:r>
      <w:r>
        <w:t xml:space="preserve"> </w:t>
      </w:r>
      <w:r w:rsidRPr="006878F4">
        <w:t xml:space="preserve">responses compared to </w:t>
      </w:r>
      <w:r w:rsidR="00FE11BF">
        <w:t>monovalent vaccine (elasomeran)</w:t>
      </w:r>
      <w:r w:rsidRPr="006878F4">
        <w:t>. The GMR and SRR difference results are summari</w:t>
      </w:r>
      <w:r w:rsidR="001D1FF5">
        <w:t>s</w:t>
      </w:r>
      <w:r w:rsidRPr="006878F4">
        <w:t>ed</w:t>
      </w:r>
      <w:r>
        <w:t xml:space="preserve"> in</w:t>
      </w:r>
      <w:r w:rsidR="0075737D">
        <w:t xml:space="preserve"> </w:t>
      </w:r>
      <w:r w:rsidR="0075737D">
        <w:fldChar w:fldCharType="begin"/>
      </w:r>
      <w:r w:rsidR="0075737D">
        <w:instrText xml:space="preserve"> REF _Ref111883978 \h </w:instrText>
      </w:r>
      <w:r w:rsidR="0075737D">
        <w:fldChar w:fldCharType="separate"/>
      </w:r>
      <w:r w:rsidR="00D102F3" w:rsidRPr="00E42AA6">
        <w:t xml:space="preserve">Table </w:t>
      </w:r>
      <w:r w:rsidR="00D102F3">
        <w:rPr>
          <w:noProof/>
        </w:rPr>
        <w:t>9</w:t>
      </w:r>
      <w:r w:rsidR="0075737D">
        <w:fldChar w:fldCharType="end"/>
      </w:r>
      <w:r w:rsidRPr="006878F4">
        <w:t>.</w:t>
      </w:r>
    </w:p>
    <w:p w14:paraId="0DACE73D" w14:textId="0AD66423" w:rsidR="00E42AA6" w:rsidRDefault="00E42AA6" w:rsidP="00E42AA6">
      <w:pPr>
        <w:pStyle w:val="TableTitle"/>
      </w:pPr>
      <w:bookmarkStart w:id="52" w:name="_Ref111883978"/>
      <w:r w:rsidRPr="00E42AA6">
        <w:t xml:space="preserve">Table </w:t>
      </w:r>
      <w:r w:rsidR="00F43EA9">
        <w:fldChar w:fldCharType="begin"/>
      </w:r>
      <w:r w:rsidR="00F43EA9">
        <w:instrText xml:space="preserve"> SEQ Table \* ARABIC </w:instrText>
      </w:r>
      <w:r w:rsidR="00F43EA9">
        <w:fldChar w:fldCharType="separate"/>
      </w:r>
      <w:r w:rsidR="00D102F3">
        <w:rPr>
          <w:noProof/>
        </w:rPr>
        <w:t>9</w:t>
      </w:r>
      <w:r w:rsidR="00F43EA9">
        <w:rPr>
          <w:noProof/>
        </w:rPr>
        <w:fldChar w:fldCharType="end"/>
      </w:r>
      <w:bookmarkEnd w:id="52"/>
      <w:r>
        <w:t xml:space="preserve">: </w:t>
      </w:r>
      <w:r w:rsidR="00FE11BF">
        <w:t xml:space="preserve">Study P205 Parts G and F; </w:t>
      </w:r>
      <w:r w:rsidRPr="00E42AA6">
        <w:t xml:space="preserve">Ancestral SARS-CoV-2 and Omicron </w:t>
      </w:r>
      <w:r>
        <w:t>n</w:t>
      </w:r>
      <w:r w:rsidRPr="00E42AA6">
        <w:t>eutrali</w:t>
      </w:r>
      <w:r>
        <w:t>s</w:t>
      </w:r>
      <w:r w:rsidRPr="00E42AA6">
        <w:t xml:space="preserve">ing </w:t>
      </w:r>
      <w:r>
        <w:t>a</w:t>
      </w:r>
      <w:r w:rsidRPr="00E42AA6">
        <w:t xml:space="preserve">ntibody </w:t>
      </w:r>
      <w:r w:rsidR="006F53B3">
        <w:t>titre</w:t>
      </w:r>
      <w:r w:rsidRPr="00E42AA6">
        <w:t>s (ID</w:t>
      </w:r>
      <w:r w:rsidRPr="00E42AA6">
        <w:rPr>
          <w:vertAlign w:val="subscript"/>
        </w:rPr>
        <w:t>50</w:t>
      </w:r>
      <w:r w:rsidRPr="00E42AA6">
        <w:t xml:space="preserve">) </w:t>
      </w:r>
      <w:r>
        <w:t>at</w:t>
      </w:r>
      <w:r w:rsidRPr="00E42AA6">
        <w:t xml:space="preserve"> 50 </w:t>
      </w:r>
      <w:proofErr w:type="spellStart"/>
      <w:r w:rsidRPr="00E42AA6">
        <w:t>μg</w:t>
      </w:r>
      <w:proofErr w:type="spellEnd"/>
      <w:r w:rsidR="00FE11BF">
        <w:t xml:space="preserve"> vaccine</w:t>
      </w:r>
      <w:r w:rsidRPr="00E42AA6">
        <w:t xml:space="preserve"> </w:t>
      </w:r>
      <w:r>
        <w:t>a</w:t>
      </w:r>
      <w:r w:rsidRPr="00E42AA6">
        <w:t xml:space="preserve">dministered as </w:t>
      </w:r>
      <w:r w:rsidR="0075737D">
        <w:t>s</w:t>
      </w:r>
      <w:r w:rsidRPr="00E42AA6">
        <w:t xml:space="preserve">econd </w:t>
      </w:r>
      <w:r w:rsidR="0075737D">
        <w:t>b</w:t>
      </w:r>
      <w:r w:rsidRPr="00E42AA6">
        <w:t xml:space="preserve">ooster </w:t>
      </w:r>
      <w:r w:rsidR="0075737D">
        <w:t>d</w:t>
      </w:r>
      <w:r w:rsidRPr="00E42AA6">
        <w:t xml:space="preserve">oses </w:t>
      </w:r>
      <w:r w:rsidR="0075737D">
        <w:t>(p</w:t>
      </w:r>
      <w:r w:rsidRPr="00E42AA6">
        <w:t>er-</w:t>
      </w:r>
      <w:r w:rsidR="0075737D">
        <w:t>p</w:t>
      </w:r>
      <w:r w:rsidRPr="00E42AA6">
        <w:t xml:space="preserve">rotocol </w:t>
      </w:r>
      <w:r w:rsidR="0075737D">
        <w:t>i</w:t>
      </w:r>
      <w:r w:rsidRPr="00E42AA6">
        <w:t>mmunogenicity</w:t>
      </w:r>
      <w:r w:rsidR="0075737D">
        <w:t xml:space="preserve">, </w:t>
      </w:r>
      <w:r w:rsidRPr="00E42AA6">
        <w:t xml:space="preserve">SARS-CoV-2 </w:t>
      </w:r>
      <w:r w:rsidR="0075737D">
        <w:t>p</w:t>
      </w:r>
      <w:r w:rsidRPr="00E42AA6">
        <w:t xml:space="preserve">ositive </w:t>
      </w:r>
      <w:r w:rsidR="0075737D">
        <w:t>s</w:t>
      </w:r>
      <w:r w:rsidRPr="00E42AA6">
        <w:t>et</w:t>
      </w:r>
      <w:r w:rsidR="0075737D">
        <w:t xml:space="preserve"> s</w:t>
      </w:r>
      <w:r w:rsidRPr="00E42AA6">
        <w:t xml:space="preserve">ubgroup </w:t>
      </w:r>
      <w:r w:rsidR="0075737D">
        <w:t>a</w:t>
      </w:r>
      <w:r w:rsidRPr="00E42AA6">
        <w:t>nalysis)</w:t>
      </w:r>
    </w:p>
    <w:p w14:paraId="781C6F55" w14:textId="77777777" w:rsidR="00F43EA9" w:rsidRDefault="0075737D" w:rsidP="00F43EA9">
      <w:r>
        <w:rPr>
          <w:noProof/>
          <w:lang w:val="en-GB" w:eastAsia="en-GB"/>
        </w:rPr>
        <w:drawing>
          <wp:inline distT="0" distB="0" distL="0" distR="0" wp14:anchorId="0DBDF3C9" wp14:editId="726A6E08">
            <wp:extent cx="5399038" cy="3486074"/>
            <wp:effectExtent l="0" t="0" r="0" b="635"/>
            <wp:docPr id="16" name="Picture 16" descr="Ancestral SARS-CoV-2 and Omicron neutralising antibody titres (ID50) mRNA-1273.214 at 50 μg and mRNA-1273 at 50 μg administered as second booster doses (per-protocol immunogenicity, SARS-CoV-2 positive set subgroup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cestral SARS-CoV-2 and Omicron neutralising antibody titres (ID50) mRNA-1273.214 at 50 μg and mRNA-1273 at 50 μg administered as second booster doses (per-protocol immunogenicity, SARS-CoV-2 positive set subgroup analysis)"/>
                    <pic:cNvPicPr/>
                  </pic:nvPicPr>
                  <pic:blipFill rotWithShape="1">
                    <a:blip r:embed="rId23"/>
                    <a:srcRect t="695" b="44001"/>
                    <a:stretch/>
                  </pic:blipFill>
                  <pic:spPr bwMode="auto">
                    <a:xfrm>
                      <a:off x="0" y="0"/>
                      <a:ext cx="5400040" cy="3486721"/>
                    </a:xfrm>
                    <a:prstGeom prst="rect">
                      <a:avLst/>
                    </a:prstGeom>
                    <a:ln>
                      <a:noFill/>
                    </a:ln>
                    <a:extLst>
                      <a:ext uri="{53640926-AAD7-44D8-BBD7-CCE9431645EC}">
                        <a14:shadowObscured xmlns:a14="http://schemas.microsoft.com/office/drawing/2010/main"/>
                      </a:ext>
                    </a:extLst>
                  </pic:spPr>
                </pic:pic>
              </a:graphicData>
            </a:graphic>
          </wp:inline>
        </w:drawing>
      </w:r>
      <w:r w:rsidRPr="0075737D">
        <w:t xml:space="preserve"> </w:t>
      </w:r>
    </w:p>
    <w:p w14:paraId="1AB75F23" w14:textId="5794876E" w:rsidR="0075737D" w:rsidRDefault="0075737D" w:rsidP="00F43EA9">
      <w:pPr>
        <w:pStyle w:val="TableDescription"/>
      </w:pPr>
      <w:r>
        <w:t xml:space="preserve">Abbreviations: CI = confidence interval; GLSM = geometric least squares mean; GMFR = geometric mean fold rise; GMR = geometric mean ratio; GMT = geometric mean </w:t>
      </w:r>
      <w:r w:rsidR="006F53B3">
        <w:t>titre</w:t>
      </w:r>
      <w:r>
        <w:t>; ID</w:t>
      </w:r>
      <w:r w:rsidRPr="00977F53">
        <w:rPr>
          <w:vertAlign w:val="subscript"/>
        </w:rPr>
        <w:t>50</w:t>
      </w:r>
      <w:r>
        <w:t xml:space="preserve"> = 50% inhibitory dilution; LLOQ = lower limit of quantification; </w:t>
      </w:r>
      <w:proofErr w:type="spellStart"/>
      <w:r>
        <w:t>nAb</w:t>
      </w:r>
      <w:proofErr w:type="spellEnd"/>
      <w:r>
        <w:t xml:space="preserve"> = neutralising antibodies; </w:t>
      </w:r>
      <w:proofErr w:type="spellStart"/>
      <w:r>
        <w:t>PsVNA</w:t>
      </w:r>
      <w:proofErr w:type="spellEnd"/>
      <w:r>
        <w:t xml:space="preserve"> = </w:t>
      </w:r>
      <w:proofErr w:type="spellStart"/>
      <w:r>
        <w:t>pseudotyped</w:t>
      </w:r>
      <w:proofErr w:type="spellEnd"/>
      <w:r>
        <w:t xml:space="preserve"> virus neutralisation assay; SARS-CoV-2 = severe acute respiratory syndrome 2.</w:t>
      </w:r>
    </w:p>
    <w:p w14:paraId="6FC3C4E3" w14:textId="77777777" w:rsidR="00FE11BF" w:rsidRDefault="00FE11BF" w:rsidP="00FE11BF">
      <w:pPr>
        <w:pStyle w:val="TableDescription"/>
      </w:pPr>
      <w:r>
        <w:t>Part G cohort: mRNA-1273-214, bivalent vaccine (</w:t>
      </w:r>
      <w:proofErr w:type="spellStart"/>
      <w:r>
        <w:t>elasomeran</w:t>
      </w:r>
      <w:proofErr w:type="spellEnd"/>
      <w:r>
        <w:t xml:space="preserve"> + </w:t>
      </w:r>
      <w:proofErr w:type="spellStart"/>
      <w:r>
        <w:t>imelasomeran</w:t>
      </w:r>
      <w:proofErr w:type="spellEnd"/>
      <w:r>
        <w:t>).</w:t>
      </w:r>
    </w:p>
    <w:p w14:paraId="3389A51E" w14:textId="552F366D" w:rsidR="00FE11BF" w:rsidRDefault="00FE11BF" w:rsidP="0075737D">
      <w:pPr>
        <w:pStyle w:val="TableDescription"/>
      </w:pPr>
      <w:r>
        <w:t xml:space="preserve">Part </w:t>
      </w:r>
      <w:proofErr w:type="spellStart"/>
      <w:r>
        <w:t>F</w:t>
      </w:r>
      <w:proofErr w:type="spellEnd"/>
      <w:r>
        <w:t xml:space="preserve"> cohort: mRNA-1273, monovalent vaccine (elasomeran).</w:t>
      </w:r>
    </w:p>
    <w:p w14:paraId="07C98FA5" w14:textId="77777777" w:rsidR="0075737D" w:rsidRDefault="0075737D" w:rsidP="0075737D">
      <w:pPr>
        <w:pStyle w:val="TableDescription"/>
      </w:pPr>
      <w:r>
        <w:t>n = number of participants with non-missing data at the corresponding timepoint.</w:t>
      </w:r>
    </w:p>
    <w:p w14:paraId="5A985CD2" w14:textId="77777777" w:rsidR="0075737D" w:rsidRDefault="0075737D" w:rsidP="0075737D">
      <w:pPr>
        <w:pStyle w:val="TableDescription"/>
      </w:pPr>
      <w:r>
        <w:t>N1 = number of participants with non-missing data at pre-vaccination baseline and the corresponding timepoint.</w:t>
      </w:r>
    </w:p>
    <w:p w14:paraId="222DC0C1" w14:textId="77777777" w:rsidR="0075737D" w:rsidRDefault="0075737D" w:rsidP="0075737D">
      <w:pPr>
        <w:pStyle w:val="TableDescription"/>
      </w:pPr>
      <w:r>
        <w:lastRenderedPageBreak/>
        <w:t>a 95% CI is calculated based on the t-distribution of the log transformed values or the difference in the log-transformed values for GM value and GM fold-rise, respectively, then back transformed to the original scale for presentation.</w:t>
      </w:r>
    </w:p>
    <w:p w14:paraId="50486522" w14:textId="7DC2E636" w:rsidR="0075737D" w:rsidRDefault="0075737D" w:rsidP="0075737D">
      <w:pPr>
        <w:pStyle w:val="TableDescription"/>
      </w:pPr>
      <w:r>
        <w:t xml:space="preserve">b Based on ANCOVA modelling; the model includes adjustment for treatment group, pre-booster antibody </w:t>
      </w:r>
      <w:r w:rsidR="006F53B3">
        <w:t>titre</w:t>
      </w:r>
      <w:r>
        <w:t>s, and age group.</w:t>
      </w:r>
    </w:p>
    <w:p w14:paraId="045CABF6" w14:textId="1B237AB5" w:rsidR="0075737D" w:rsidRDefault="0075737D" w:rsidP="0075737D">
      <w:pPr>
        <w:pStyle w:val="TableDescription"/>
      </w:pPr>
      <w:r>
        <w:t xml:space="preserve">c </w:t>
      </w:r>
      <w:proofErr w:type="spellStart"/>
      <w:r>
        <w:t>Seroresponse</w:t>
      </w:r>
      <w:proofErr w:type="spellEnd"/>
      <w:r>
        <w:t xml:space="preserve"> at participant level is defined as a change from below the LLOQ to equal or above 4 times LLOQ if the participant’s baseline is below the LLOQ, or at least a 4-fold rise if the baseline is equal to or above the LLOQ. For participants without pre-Dose 1 antibodies </w:t>
      </w:r>
      <w:r w:rsidR="006F53B3">
        <w:t>titre</w:t>
      </w:r>
      <w:r>
        <w:t xml:space="preserve"> information, </w:t>
      </w:r>
      <w:proofErr w:type="spellStart"/>
      <w:r>
        <w:t>seroresponse</w:t>
      </w:r>
      <w:proofErr w:type="spellEnd"/>
      <w:r>
        <w:t xml:space="preserve"> is defined as ≥ 4 times LLOQ for participants with negative SARS-CoV-2 status at their pre-Dose 1 of the primary series, and these </w:t>
      </w:r>
      <w:r w:rsidR="006F53B3">
        <w:t>titre</w:t>
      </w:r>
      <w:r>
        <w:t>s are imputed as &lt; LLOQ at pre-Dose 1 of primary series. For participants without SARS-CoV-2 status information at pre-Dose 1 of primary series, their pre-booster SARS-CoV-2 status is used to impute their SARS-CoV-2 status at their pre-dose 1 of primary series.</w:t>
      </w:r>
    </w:p>
    <w:p w14:paraId="723DB157" w14:textId="77777777" w:rsidR="0075737D" w:rsidRDefault="0075737D" w:rsidP="0075737D">
      <w:pPr>
        <w:pStyle w:val="TableDescription"/>
      </w:pPr>
      <w:r>
        <w:t>d 95% CI is calculated using the Clopper-Pearson method.</w:t>
      </w:r>
    </w:p>
    <w:p w14:paraId="43C9408E" w14:textId="77777777" w:rsidR="0075737D" w:rsidRDefault="0075737D" w:rsidP="0075737D">
      <w:pPr>
        <w:pStyle w:val="TableDescription"/>
      </w:pPr>
      <w:r>
        <w:t>e 97.5% CI was calculated by stratified Miettinen-</w:t>
      </w:r>
      <w:proofErr w:type="spellStart"/>
      <w:r>
        <w:t>Nurminen</w:t>
      </w:r>
      <w:proofErr w:type="spellEnd"/>
      <w:r>
        <w:t xml:space="preserve"> method adjusted by age group. The SRR difference is a calculated common risk difference using inverse-variance stratum weights and the middles point of Miettinen-</w:t>
      </w:r>
      <w:proofErr w:type="spellStart"/>
      <w:r>
        <w:t>Nurminen</w:t>
      </w:r>
      <w:proofErr w:type="spellEnd"/>
      <w:r>
        <w:t xml:space="preserve"> confidence limits of each one of the stratum </w:t>
      </w:r>
      <w:proofErr w:type="gramStart"/>
      <w:r>
        <w:t>risk</w:t>
      </w:r>
      <w:proofErr w:type="gramEnd"/>
      <w:r>
        <w:t xml:space="preserve"> differences. The stratified Miettinen-</w:t>
      </w:r>
      <w:proofErr w:type="spellStart"/>
      <w:r>
        <w:t>Nurminen</w:t>
      </w:r>
      <w:proofErr w:type="spellEnd"/>
      <w:r>
        <w:t xml:space="preserve"> estimate of the CI cannot be calculated when the </w:t>
      </w:r>
      <w:proofErr w:type="spellStart"/>
      <w:r>
        <w:t>seroresponse</w:t>
      </w:r>
      <w:proofErr w:type="spellEnd"/>
      <w:r>
        <w:t xml:space="preserve"> rate in both groups are 100% absolute difference is reported.</w:t>
      </w:r>
    </w:p>
    <w:p w14:paraId="2B573FF9" w14:textId="061622F9" w:rsidR="0075737D" w:rsidRPr="00A231A6" w:rsidRDefault="0075737D" w:rsidP="0075737D">
      <w:proofErr w:type="spellStart"/>
      <w:r w:rsidRPr="00A231A6">
        <w:t>Seroresponse</w:t>
      </w:r>
      <w:proofErr w:type="spellEnd"/>
      <w:r w:rsidRPr="00A231A6">
        <w:t xml:space="preserve"> was defined relative to the pre-Dose 1 (primary series) baseline </w:t>
      </w:r>
      <w:r w:rsidR="003F142F">
        <w:t>neutralising antibody</w:t>
      </w:r>
      <w:r w:rsidRPr="00A231A6">
        <w:t xml:space="preserve"> titres. An alternative definition of </w:t>
      </w:r>
      <w:proofErr w:type="spellStart"/>
      <w:r w:rsidRPr="00A231A6">
        <w:t>seroresponse</w:t>
      </w:r>
      <w:proofErr w:type="spellEnd"/>
      <w:r w:rsidRPr="00A231A6">
        <w:t xml:space="preserve"> is 4-fold increase from pre</w:t>
      </w:r>
      <w:r w:rsidR="001D1FF5">
        <w:noBreakHyphen/>
      </w:r>
      <w:r w:rsidR="003F142F">
        <w:t>second</w:t>
      </w:r>
      <w:r w:rsidRPr="00A231A6">
        <w:t xml:space="preserve"> booster baseline </w:t>
      </w:r>
      <w:r w:rsidR="003F142F">
        <w:t>neutralising antibody</w:t>
      </w:r>
      <w:r w:rsidR="003F142F" w:rsidRPr="00A231A6">
        <w:t xml:space="preserve"> titres </w:t>
      </w:r>
      <w:r w:rsidRPr="00A231A6">
        <w:t>these results were consistent with the GMT results:</w:t>
      </w:r>
    </w:p>
    <w:p w14:paraId="71DB3D6C" w14:textId="1679653A" w:rsidR="0075737D" w:rsidRDefault="003F142F" w:rsidP="003F142F">
      <w:pPr>
        <w:pStyle w:val="TableTitle"/>
      </w:pPr>
      <w:r w:rsidRPr="003F142F">
        <w:t xml:space="preserve">Table </w:t>
      </w:r>
      <w:r w:rsidR="00F43EA9">
        <w:fldChar w:fldCharType="begin"/>
      </w:r>
      <w:r w:rsidR="00F43EA9">
        <w:instrText xml:space="preserve"> SEQ Table \* ARABIC </w:instrText>
      </w:r>
      <w:r w:rsidR="00F43EA9">
        <w:fldChar w:fldCharType="separate"/>
      </w:r>
      <w:r w:rsidR="00D102F3">
        <w:rPr>
          <w:noProof/>
        </w:rPr>
        <w:t>10</w:t>
      </w:r>
      <w:r w:rsidR="00F43EA9">
        <w:rPr>
          <w:noProof/>
        </w:rPr>
        <w:fldChar w:fldCharType="end"/>
      </w:r>
      <w:r w:rsidRPr="003F142F">
        <w:t>:</w:t>
      </w:r>
      <w:r>
        <w:t xml:space="preserve"> </w:t>
      </w:r>
      <w:r w:rsidR="00FE11BF">
        <w:t xml:space="preserve">Study P205 Parts G and F; </w:t>
      </w:r>
      <w:r w:rsidRPr="003F142F">
        <w:t>Summary of 4-fold increases from pre-</w:t>
      </w:r>
      <w:r>
        <w:t>second</w:t>
      </w:r>
      <w:r w:rsidRPr="003F142F">
        <w:t xml:space="preserve"> booster baseline to </w:t>
      </w:r>
      <w:r>
        <w:t>D</w:t>
      </w:r>
      <w:r w:rsidRPr="003F142F">
        <w:t>ay 29 by baseline SARS-CoV-2 status</w:t>
      </w:r>
    </w:p>
    <w:p w14:paraId="4B8733F7" w14:textId="6281F10C" w:rsidR="003F142F" w:rsidRDefault="003F142F" w:rsidP="003F142F">
      <w:r w:rsidRPr="003F142F">
        <w:rPr>
          <w:noProof/>
          <w:lang w:val="en-GB" w:eastAsia="en-GB"/>
        </w:rPr>
        <w:drawing>
          <wp:inline distT="0" distB="0" distL="0" distR="0" wp14:anchorId="5EA4F540" wp14:editId="7EAF26BE">
            <wp:extent cx="4817233" cy="3069203"/>
            <wp:effectExtent l="0" t="0" r="2540" b="0"/>
            <wp:docPr id="3" name="Picture 3" descr="Summary of 4-fold increases from pre-second booster baseline to Day 29 by baseline SARS-CoV-2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mmary of 4-fold increases from pre-second booster baseline to Day 29 by baseline SARS-CoV-2 status"/>
                    <pic:cNvPicPr/>
                  </pic:nvPicPr>
                  <pic:blipFill rotWithShape="1">
                    <a:blip r:embed="rId24"/>
                    <a:srcRect b="8302"/>
                    <a:stretch/>
                  </pic:blipFill>
                  <pic:spPr bwMode="auto">
                    <a:xfrm>
                      <a:off x="0" y="0"/>
                      <a:ext cx="4825723" cy="3074612"/>
                    </a:xfrm>
                    <a:prstGeom prst="rect">
                      <a:avLst/>
                    </a:prstGeom>
                    <a:ln>
                      <a:noFill/>
                    </a:ln>
                    <a:extLst>
                      <a:ext uri="{53640926-AAD7-44D8-BBD7-CCE9431645EC}">
                        <a14:shadowObscured xmlns:a14="http://schemas.microsoft.com/office/drawing/2010/main"/>
                      </a:ext>
                    </a:extLst>
                  </pic:spPr>
                </pic:pic>
              </a:graphicData>
            </a:graphic>
          </wp:inline>
        </w:drawing>
      </w:r>
    </w:p>
    <w:p w14:paraId="2E094F4C" w14:textId="4D018229" w:rsidR="003F142F" w:rsidRDefault="003F142F" w:rsidP="003F142F">
      <w:pPr>
        <w:pStyle w:val="TableDescription"/>
      </w:pPr>
      <w:r>
        <w:t xml:space="preserve">* ≥ 4-fold increase from </w:t>
      </w:r>
      <w:r w:rsidR="00C40CB7">
        <w:t>B</w:t>
      </w:r>
      <w:r>
        <w:t>aseline at participant level is defined as a ≥ 4 times LLOQ for participants with baseline undetectable antibody level, or a 4 times or higher antibody level ratio in participants with pre-existing antibody levels.</w:t>
      </w:r>
    </w:p>
    <w:p w14:paraId="7AE237C4" w14:textId="77777777" w:rsidR="00FE11BF" w:rsidRDefault="00FE11BF" w:rsidP="00FE11BF">
      <w:pPr>
        <w:pStyle w:val="TableDescription"/>
      </w:pPr>
      <w:r>
        <w:t>Part G cohort: mRNA-1273-214, bivalent vaccine (</w:t>
      </w:r>
      <w:proofErr w:type="spellStart"/>
      <w:r>
        <w:t>elasomeran</w:t>
      </w:r>
      <w:proofErr w:type="spellEnd"/>
      <w:r>
        <w:t xml:space="preserve"> + </w:t>
      </w:r>
      <w:proofErr w:type="spellStart"/>
      <w:r>
        <w:t>imelasomeran</w:t>
      </w:r>
      <w:proofErr w:type="spellEnd"/>
      <w:r>
        <w:t>).</w:t>
      </w:r>
    </w:p>
    <w:p w14:paraId="4DEB3057" w14:textId="3A87B633" w:rsidR="00FE11BF" w:rsidRDefault="00FE11BF" w:rsidP="003F142F">
      <w:pPr>
        <w:pStyle w:val="TableDescription"/>
      </w:pPr>
      <w:r>
        <w:t xml:space="preserve">Part </w:t>
      </w:r>
      <w:proofErr w:type="spellStart"/>
      <w:r>
        <w:t>F</w:t>
      </w:r>
      <w:proofErr w:type="spellEnd"/>
      <w:r>
        <w:t xml:space="preserve"> cohort: mRNA-1273, monovalent vaccine (elasomeran).</w:t>
      </w:r>
    </w:p>
    <w:p w14:paraId="4FD737CE" w14:textId="2D2A5064" w:rsidR="00AC4F14" w:rsidRDefault="00AC4F14" w:rsidP="00392F29">
      <w:pPr>
        <w:pStyle w:val="Heading5"/>
      </w:pPr>
      <w:r>
        <w:t>Exploratory immunogenicity analyses</w:t>
      </w:r>
    </w:p>
    <w:p w14:paraId="0E84ACDC" w14:textId="648E05D0" w:rsidR="00AC4F14" w:rsidRDefault="00AC4F14" w:rsidP="00AC4F14">
      <w:r>
        <w:t>An exploratory immunogenicity analysis to assess neutralisation against the Beta and Delta variants was performed based on the first 50 enrolled participants in each group (</w:t>
      </w:r>
      <w:r w:rsidR="00FE11BF">
        <w:t>bivalent vaccine (</w:t>
      </w:r>
      <w:proofErr w:type="spellStart"/>
      <w:r w:rsidR="00FE11BF">
        <w:t>elasomeran</w:t>
      </w:r>
      <w:proofErr w:type="spellEnd"/>
      <w:r w:rsidR="00FE11BF">
        <w:t xml:space="preserve"> + </w:t>
      </w:r>
      <w:proofErr w:type="spellStart"/>
      <w:r w:rsidR="00FE11BF">
        <w:t>imelasomeran</w:t>
      </w:r>
      <w:proofErr w:type="spellEnd"/>
      <w:r w:rsidR="00FE11BF">
        <w:t xml:space="preserve">) </w:t>
      </w:r>
      <w:r>
        <w:t xml:space="preserve">at 50 </w:t>
      </w:r>
      <w:proofErr w:type="spellStart"/>
      <w:r>
        <w:t>μg</w:t>
      </w:r>
      <w:proofErr w:type="spellEnd"/>
      <w:r>
        <w:t xml:space="preserve"> in Study P205 Part G and </w:t>
      </w:r>
      <w:r w:rsidR="00FE11BF">
        <w:lastRenderedPageBreak/>
        <w:t>monovalent vaccine (</w:t>
      </w:r>
      <w:proofErr w:type="spellStart"/>
      <w:r w:rsidR="00FE11BF">
        <w:t>elasomeran</w:t>
      </w:r>
      <w:proofErr w:type="spellEnd"/>
      <w:r w:rsidR="00FE11BF">
        <w:t>)</w:t>
      </w:r>
      <w:r>
        <w:t xml:space="preserve"> at 50 </w:t>
      </w:r>
      <w:proofErr w:type="spellStart"/>
      <w:r>
        <w:t>μg</w:t>
      </w:r>
      <w:proofErr w:type="spellEnd"/>
      <w:r>
        <w:t xml:space="preserve"> in </w:t>
      </w:r>
      <w:r w:rsidR="001D1FF5">
        <w:t xml:space="preserve">Study </w:t>
      </w:r>
      <w:r>
        <w:t xml:space="preserve">P205 Part F). While the pre-booster titres for </w:t>
      </w:r>
      <w:r w:rsidR="00FE11BF">
        <w:t xml:space="preserve">the </w:t>
      </w:r>
      <w:r>
        <w:t>Beta and Delt</w:t>
      </w:r>
      <w:r w:rsidR="00FE11BF">
        <w:t>a variants were</w:t>
      </w:r>
      <w:r>
        <w:t xml:space="preserve"> lower for the </w:t>
      </w:r>
      <w:r w:rsidR="00FE11BF">
        <w:t>bivalent vaccine (</w:t>
      </w:r>
      <w:proofErr w:type="spellStart"/>
      <w:r w:rsidR="00FE11BF">
        <w:t>elasomeran</w:t>
      </w:r>
      <w:proofErr w:type="spellEnd"/>
      <w:r w:rsidR="00FE11BF">
        <w:t xml:space="preserve"> + </w:t>
      </w:r>
      <w:proofErr w:type="spellStart"/>
      <w:r w:rsidR="00FE11BF">
        <w:t>imelasomeran</w:t>
      </w:r>
      <w:proofErr w:type="spellEnd"/>
      <w:r w:rsidR="00FE11BF">
        <w:t xml:space="preserve">) </w:t>
      </w:r>
      <w:r>
        <w:t xml:space="preserve">compared to </w:t>
      </w:r>
      <w:r w:rsidR="00FE11BF">
        <w:t xml:space="preserve">monovalent vaccine (elasomeran) </w:t>
      </w:r>
      <w:r>
        <w:t>in the group of participants without evidence of prior SARS</w:t>
      </w:r>
      <w:r>
        <w:noBreakHyphen/>
        <w:t>CoV</w:t>
      </w:r>
      <w:r>
        <w:noBreakHyphen/>
        <w:t xml:space="preserve">2 infection, the post-booster titres between the two vaccines are comparable (overlapping confidence intervals), and the GMFR was numerically higher in the </w:t>
      </w:r>
      <w:r w:rsidR="00FE11BF">
        <w:t>bivalent vaccine (</w:t>
      </w:r>
      <w:proofErr w:type="spellStart"/>
      <w:r w:rsidR="00FE11BF">
        <w:t>elasomeran</w:t>
      </w:r>
      <w:proofErr w:type="spellEnd"/>
      <w:r w:rsidR="00FE11BF">
        <w:t xml:space="preserve"> + </w:t>
      </w:r>
      <w:proofErr w:type="spellStart"/>
      <w:r w:rsidR="00FE11BF">
        <w:t>imelasomeran</w:t>
      </w:r>
      <w:proofErr w:type="spellEnd"/>
      <w:r w:rsidR="00FE11BF">
        <w:t xml:space="preserve">) </w:t>
      </w:r>
      <w:r>
        <w:t xml:space="preserve">group versus the </w:t>
      </w:r>
      <w:r w:rsidR="00FE11BF">
        <w:t xml:space="preserve">monovalent vaccine (elasomeran) </w:t>
      </w:r>
      <w:r>
        <w:t>arm. The whole cohorts were able to be tested for multiple variants in the MSD assay because the multiplex nature of this assay allowed a higher throughput and more timely data availability.</w:t>
      </w:r>
    </w:p>
    <w:p w14:paraId="3C99CBFC" w14:textId="3A97BF0B" w:rsidR="00AC4F14" w:rsidRDefault="00AC4F14" w:rsidP="00AC4F14">
      <w:r>
        <w:t>These are exploratory analysis results (Beta and Delta variants) are to be interpreted with caution due to the small group of participants and differences in pre-booster titre in Beta and Delta variants between two treatment groups. This small dataset was intended to provide directional information.</w:t>
      </w:r>
    </w:p>
    <w:p w14:paraId="6A88E78E" w14:textId="3FF6BD0F" w:rsidR="00AC4F14" w:rsidRDefault="00AC4F14" w:rsidP="00392F29">
      <w:pPr>
        <w:pStyle w:val="Heading5"/>
      </w:pPr>
      <w:r w:rsidRPr="00AF76B4">
        <w:t>Neutrali</w:t>
      </w:r>
      <w:r>
        <w:t>s</w:t>
      </w:r>
      <w:r w:rsidRPr="00AF76B4">
        <w:t>ing</w:t>
      </w:r>
      <w:r>
        <w:t xml:space="preserve"> a</w:t>
      </w:r>
      <w:r w:rsidRPr="00AF76B4">
        <w:t xml:space="preserve">ntibody </w:t>
      </w:r>
      <w:r w:rsidR="006F53B3">
        <w:t>titre</w:t>
      </w:r>
      <w:r w:rsidRPr="00AF76B4">
        <w:t xml:space="preserve">s for Omicron </w:t>
      </w:r>
      <w:r>
        <w:t>s</w:t>
      </w:r>
      <w:r w:rsidRPr="00AF76B4">
        <w:t>ubvariants BA.4/</w:t>
      </w:r>
      <w:r w:rsidR="00FE11BF">
        <w:t>BA.</w:t>
      </w:r>
      <w:r w:rsidRPr="00AF76B4">
        <w:t>5</w:t>
      </w:r>
    </w:p>
    <w:p w14:paraId="1FB47CDA" w14:textId="03E012A8" w:rsidR="00AC4F14" w:rsidRDefault="00AC4F14" w:rsidP="00AC4F14">
      <w:pPr>
        <w:pStyle w:val="TableTitle"/>
      </w:pPr>
      <w:bookmarkStart w:id="53" w:name="_Ref111885507"/>
      <w:r w:rsidRPr="00AC4F14">
        <w:t xml:space="preserve">Table </w:t>
      </w:r>
      <w:r w:rsidR="00F43EA9">
        <w:fldChar w:fldCharType="begin"/>
      </w:r>
      <w:r w:rsidR="00F43EA9">
        <w:instrText xml:space="preserve"> SEQ Table \* ARABIC </w:instrText>
      </w:r>
      <w:r w:rsidR="00F43EA9">
        <w:fldChar w:fldCharType="separate"/>
      </w:r>
      <w:r w:rsidR="00D102F3">
        <w:rPr>
          <w:noProof/>
        </w:rPr>
        <w:t>11</w:t>
      </w:r>
      <w:r w:rsidR="00F43EA9">
        <w:rPr>
          <w:noProof/>
        </w:rPr>
        <w:fldChar w:fldCharType="end"/>
      </w:r>
      <w:bookmarkEnd w:id="53"/>
      <w:r>
        <w:t xml:space="preserve">: Study </w:t>
      </w:r>
      <w:r w:rsidRPr="00570EFE">
        <w:t>P205 Part</w:t>
      </w:r>
      <w:r w:rsidR="00FE11BF">
        <w:t>s</w:t>
      </w:r>
      <w:r w:rsidRPr="00570EFE">
        <w:t xml:space="preserve"> G</w:t>
      </w:r>
      <w:r w:rsidRPr="00DE3361">
        <w:t xml:space="preserve"> </w:t>
      </w:r>
      <w:r w:rsidR="00FE11BF">
        <w:t>and</w:t>
      </w:r>
      <w:r w:rsidRPr="00570EFE">
        <w:t xml:space="preserve"> </w:t>
      </w:r>
      <w:r>
        <w:t>F</w:t>
      </w:r>
      <w:r w:rsidR="00FE11BF">
        <w:t>;</w:t>
      </w:r>
      <w:r>
        <w:t xml:space="preserve"> </w:t>
      </w:r>
      <w:r w:rsidRPr="00DE3361">
        <w:t xml:space="preserve">Summary of </w:t>
      </w:r>
      <w:r>
        <w:t>n</w:t>
      </w:r>
      <w:r w:rsidRPr="00DE3361">
        <w:t>eutrali</w:t>
      </w:r>
      <w:r>
        <w:t>s</w:t>
      </w:r>
      <w:r w:rsidRPr="00DE3361">
        <w:t xml:space="preserve">ing </w:t>
      </w:r>
      <w:r>
        <w:t>a</w:t>
      </w:r>
      <w:r w:rsidRPr="00DE3361">
        <w:t xml:space="preserve">ntibody </w:t>
      </w:r>
      <w:r>
        <w:t>g</w:t>
      </w:r>
      <w:r w:rsidRPr="00DE3361">
        <w:t xml:space="preserve">eometric </w:t>
      </w:r>
      <w:r>
        <w:t>m</w:t>
      </w:r>
      <w:r w:rsidRPr="00DE3361">
        <w:t xml:space="preserve">ean </w:t>
      </w:r>
      <w:r w:rsidR="006F53B3">
        <w:t>titre</w:t>
      </w:r>
      <w:r w:rsidRPr="00DE3361">
        <w:t xml:space="preserve">s for Omicron BA.4, BA.5 </w:t>
      </w:r>
      <w:r w:rsidR="00153356">
        <w:t>sub</w:t>
      </w:r>
      <w:r>
        <w:t>v</w:t>
      </w:r>
      <w:r w:rsidRPr="00DE3361">
        <w:t>ariant</w:t>
      </w:r>
    </w:p>
    <w:p w14:paraId="6F77F5BB" w14:textId="5C6468AC" w:rsidR="00AC4F14" w:rsidRDefault="00AC4F14" w:rsidP="00AC4F14">
      <w:r>
        <w:rPr>
          <w:noProof/>
          <w:lang w:val="en-GB" w:eastAsia="en-GB"/>
        </w:rPr>
        <w:drawing>
          <wp:inline distT="0" distB="0" distL="0" distR="0" wp14:anchorId="47EEE280" wp14:editId="3EC14A25">
            <wp:extent cx="5318150" cy="2143125"/>
            <wp:effectExtent l="0" t="0" r="0" b="0"/>
            <wp:docPr id="21" name="Picture 21" descr="Study P205 Part G and Study P205 Part F Summary of neutralising antibody geometric mean titres for Omicron BA.4, BA.5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P205 Part G and Study P205 Part F Summary of neutralising antibody geometric mean titres for Omicron BA.4, BA.5 variant"/>
                    <pic:cNvPicPr/>
                  </pic:nvPicPr>
                  <pic:blipFill rotWithShape="1">
                    <a:blip r:embed="rId25"/>
                    <a:srcRect r="1445" b="32935"/>
                    <a:stretch/>
                  </pic:blipFill>
                  <pic:spPr bwMode="auto">
                    <a:xfrm>
                      <a:off x="0" y="0"/>
                      <a:ext cx="5369428" cy="2163789"/>
                    </a:xfrm>
                    <a:prstGeom prst="rect">
                      <a:avLst/>
                    </a:prstGeom>
                    <a:ln>
                      <a:noFill/>
                    </a:ln>
                    <a:extLst>
                      <a:ext uri="{53640926-AAD7-44D8-BBD7-CCE9431645EC}">
                        <a14:shadowObscured xmlns:a14="http://schemas.microsoft.com/office/drawing/2010/main"/>
                      </a:ext>
                    </a:extLst>
                  </pic:spPr>
                </pic:pic>
              </a:graphicData>
            </a:graphic>
          </wp:inline>
        </w:drawing>
      </w:r>
    </w:p>
    <w:p w14:paraId="77CF8633" w14:textId="73384E8C" w:rsidR="00392F29" w:rsidRDefault="00392F29" w:rsidP="00392F29">
      <w:pPr>
        <w:pStyle w:val="TableDescription"/>
      </w:pPr>
      <w:r>
        <w:t xml:space="preserve">Abbreviations: CI = confidence interval; GLSM = geometric least squares mean; GMFR = geometric mean fold rise (post-baseline/baseline </w:t>
      </w:r>
      <w:r w:rsidR="006F53B3">
        <w:t>titre</w:t>
      </w:r>
      <w:r>
        <w:t xml:space="preserve">s); GMT = geometric mean </w:t>
      </w:r>
      <w:r w:rsidR="006F53B3">
        <w:t>titre</w:t>
      </w:r>
      <w:r>
        <w:t>; ID</w:t>
      </w:r>
      <w:r w:rsidRPr="00977F53">
        <w:rPr>
          <w:vertAlign w:val="subscript"/>
        </w:rPr>
        <w:t>50</w:t>
      </w:r>
      <w:r>
        <w:t xml:space="preserve"> = 50% inhibitory dilution; LOD = limit of detection; mRNA = messenger RNA </w:t>
      </w:r>
      <w:proofErr w:type="spellStart"/>
      <w:r>
        <w:t>nAb</w:t>
      </w:r>
      <w:proofErr w:type="spellEnd"/>
      <w:r>
        <w:t xml:space="preserve"> = neutralising antibody; PPSI = per-protocol set for immunogenicity; PPSI-Neg = per-protocol set for immunogenicity-SARS-CoV-2 negative at Baseline; PPSI-Pos = per-protocol set for immunogenicity-SARS-CoV-2 positive at Baseline; </w:t>
      </w:r>
      <w:proofErr w:type="spellStart"/>
      <w:r>
        <w:t>PsVNA</w:t>
      </w:r>
      <w:proofErr w:type="spellEnd"/>
      <w:r>
        <w:t xml:space="preserve"> = </w:t>
      </w:r>
      <w:proofErr w:type="spellStart"/>
      <w:r>
        <w:t>pseudotyped</w:t>
      </w:r>
      <w:proofErr w:type="spellEnd"/>
      <w:r>
        <w:t xml:space="preserve"> virus neutralisation assay; SARS-CoV-2 = severe acute respiratory syndrome 2.</w:t>
      </w:r>
    </w:p>
    <w:p w14:paraId="168EDCA3" w14:textId="1376FABC" w:rsidR="00392F29" w:rsidRDefault="00392F29" w:rsidP="00392F29">
      <w:pPr>
        <w:pStyle w:val="TableDescription"/>
      </w:pPr>
      <w:r>
        <w:t>Note: antibody values reported as below the lower limit of detection are replaced by 0.5 x LOD.</w:t>
      </w:r>
    </w:p>
    <w:p w14:paraId="663E7F4D" w14:textId="77777777" w:rsidR="00FE11BF" w:rsidRDefault="00FE11BF" w:rsidP="00FE11BF">
      <w:pPr>
        <w:pStyle w:val="TableDescription"/>
      </w:pPr>
      <w:r>
        <w:t>Part G cohort: mRNA-1273-214, bivalent vaccine (</w:t>
      </w:r>
      <w:proofErr w:type="spellStart"/>
      <w:r>
        <w:t>elasomeran</w:t>
      </w:r>
      <w:proofErr w:type="spellEnd"/>
      <w:r>
        <w:t xml:space="preserve"> + </w:t>
      </w:r>
      <w:proofErr w:type="spellStart"/>
      <w:r>
        <w:t>imelasomeran</w:t>
      </w:r>
      <w:proofErr w:type="spellEnd"/>
      <w:r>
        <w:t>).</w:t>
      </w:r>
    </w:p>
    <w:p w14:paraId="567DB212" w14:textId="3A8BCACA" w:rsidR="00FE11BF" w:rsidRDefault="00FE11BF" w:rsidP="00392F29">
      <w:pPr>
        <w:pStyle w:val="TableDescription"/>
      </w:pPr>
      <w:r>
        <w:t xml:space="preserve">Part </w:t>
      </w:r>
      <w:proofErr w:type="spellStart"/>
      <w:r>
        <w:t>F</w:t>
      </w:r>
      <w:proofErr w:type="spellEnd"/>
      <w:r>
        <w:t xml:space="preserve"> cohort: mRNA-1273, monovalent vaccine (elasomeran).</w:t>
      </w:r>
    </w:p>
    <w:p w14:paraId="43C1E2F9" w14:textId="77777777" w:rsidR="00392F29" w:rsidRDefault="00392F29" w:rsidP="00392F29">
      <w:pPr>
        <w:pStyle w:val="TableDescription"/>
      </w:pPr>
      <w:r>
        <w:t>N1 = number of participants with non-missing data at pre-vaccination baseline and the corresponding timepoint.</w:t>
      </w:r>
    </w:p>
    <w:p w14:paraId="215CDC5F" w14:textId="42E60F4A" w:rsidR="00392F29" w:rsidRDefault="00392F29" w:rsidP="00392F29">
      <w:pPr>
        <w:pStyle w:val="TableDescription"/>
      </w:pPr>
      <w:proofErr w:type="gramStart"/>
      <w:r>
        <w:t>a Number of</w:t>
      </w:r>
      <w:proofErr w:type="gramEnd"/>
      <w:r>
        <w:t xml:space="preserve"> subjects with non-missing data at the timepoint (baseline or post-baseline).</w:t>
      </w:r>
    </w:p>
    <w:p w14:paraId="13106A6D" w14:textId="65593097" w:rsidR="00392F29" w:rsidRDefault="00392F29" w:rsidP="00392F29">
      <w:pPr>
        <w:pStyle w:val="TableDescription"/>
      </w:pPr>
      <w:r>
        <w:t>b 95% CI is calculated based on the t-distribution of the log transformed values or the difference in the log-transformed values for GM value and GM fold-rise, respectively, then back transformed to the original scale for presentation.</w:t>
      </w:r>
    </w:p>
    <w:p w14:paraId="51715D55" w14:textId="41CA1607" w:rsidR="00AC4F14" w:rsidRPr="00570EFE" w:rsidRDefault="00AC4F14" w:rsidP="00AC4F14">
      <w:r>
        <w:t xml:space="preserve">This data was presented as an addendum </w:t>
      </w:r>
      <w:r w:rsidRPr="00570EFE">
        <w:t xml:space="preserve">to provide updated information on the neutralising antibody response against the Omicron subvariants BA.4, BA.5 elicited by the Omicron BA.1-containing </w:t>
      </w:r>
      <w:r w:rsidR="00FE11BF">
        <w:t>bivalent vaccine (</w:t>
      </w:r>
      <w:proofErr w:type="spellStart"/>
      <w:r w:rsidR="00FE11BF">
        <w:t>elasomeran</w:t>
      </w:r>
      <w:proofErr w:type="spellEnd"/>
      <w:r w:rsidR="00FE11BF">
        <w:t xml:space="preserve"> + </w:t>
      </w:r>
      <w:proofErr w:type="spellStart"/>
      <w:r w:rsidR="00FE11BF">
        <w:t>imelasomeran</w:t>
      </w:r>
      <w:proofErr w:type="spellEnd"/>
      <w:r w:rsidR="00FE11BF">
        <w:t xml:space="preserve">) </w:t>
      </w:r>
      <w:r>
        <w:t xml:space="preserve">at </w:t>
      </w:r>
      <w:r w:rsidRPr="00570EFE">
        <w:t xml:space="preserve">50 </w:t>
      </w:r>
      <w:proofErr w:type="spellStart"/>
      <w:r w:rsidRPr="00570EFE">
        <w:t>μg</w:t>
      </w:r>
      <w:proofErr w:type="spellEnd"/>
      <w:r w:rsidRPr="00570EFE">
        <w:t xml:space="preserve"> (</w:t>
      </w:r>
      <w:r>
        <w:t>Study</w:t>
      </w:r>
      <w:r w:rsidR="00FE11BF">
        <w:t> </w:t>
      </w:r>
      <w:r w:rsidRPr="00570EFE">
        <w:t xml:space="preserve">P205 Part G) and by </w:t>
      </w:r>
      <w:r w:rsidR="00FE11BF">
        <w:t>monovalent vaccine (</w:t>
      </w:r>
      <w:proofErr w:type="spellStart"/>
      <w:r w:rsidR="00FE11BF">
        <w:t>elasomeran</w:t>
      </w:r>
      <w:proofErr w:type="spellEnd"/>
      <w:r w:rsidR="00FE11BF">
        <w:t xml:space="preserve">) </w:t>
      </w:r>
      <w:r>
        <w:t>at</w:t>
      </w:r>
      <w:r w:rsidRPr="00570EFE">
        <w:t xml:space="preserve"> 50 </w:t>
      </w:r>
      <w:proofErr w:type="spellStart"/>
      <w:r w:rsidRPr="00570EFE">
        <w:t>μg</w:t>
      </w:r>
      <w:proofErr w:type="spellEnd"/>
      <w:r w:rsidRPr="00570EFE">
        <w:t xml:space="preserve"> (</w:t>
      </w:r>
      <w:r>
        <w:t xml:space="preserve">Study </w:t>
      </w:r>
      <w:r w:rsidRPr="00570EFE">
        <w:t xml:space="preserve">P205 Part F) and to perform a GMR-based comparison of the antibody response between the two groups. </w:t>
      </w:r>
      <w:r w:rsidRPr="002E1775">
        <w:t>The results in the ≥ 65 years subgroup</w:t>
      </w:r>
      <w:r w:rsidRPr="00D04645">
        <w:t xml:space="preserve"> are consistent with the overall results.</w:t>
      </w:r>
    </w:p>
    <w:p w14:paraId="05165E60" w14:textId="11A3EB70" w:rsidR="00AC4F14" w:rsidRPr="001D35C2" w:rsidRDefault="00AC4F14" w:rsidP="00AC4F14">
      <w:r>
        <w:lastRenderedPageBreak/>
        <w:fldChar w:fldCharType="begin"/>
      </w:r>
      <w:r>
        <w:instrText xml:space="preserve"> REF _Ref111885507 \h </w:instrText>
      </w:r>
      <w:r>
        <w:fldChar w:fldCharType="separate"/>
      </w:r>
      <w:r w:rsidR="00D102F3" w:rsidRPr="00AC4F14">
        <w:t xml:space="preserve">Table </w:t>
      </w:r>
      <w:r w:rsidR="00D102F3">
        <w:rPr>
          <w:noProof/>
        </w:rPr>
        <w:t>11</w:t>
      </w:r>
      <w:r>
        <w:fldChar w:fldCharType="end"/>
      </w:r>
      <w:r w:rsidRPr="001D35C2">
        <w:t xml:space="preserve"> </w:t>
      </w:r>
      <w:r>
        <w:t xml:space="preserve">above </w:t>
      </w:r>
      <w:r w:rsidRPr="00570EFE">
        <w:t>presents the summary of the observed neutralising antibody GMTs and GMFRs against the Omicron BA.4, BA.5</w:t>
      </w:r>
      <w:r w:rsidR="00153356">
        <w:t xml:space="preserve"> subvariants</w:t>
      </w:r>
      <w:r w:rsidRPr="00570EFE">
        <w:t xml:space="preserve"> for </w:t>
      </w:r>
      <w:r>
        <w:t xml:space="preserve">Study </w:t>
      </w:r>
      <w:r w:rsidRPr="00570EFE">
        <w:t xml:space="preserve">P205 Part G and </w:t>
      </w:r>
      <w:r>
        <w:t xml:space="preserve">Study </w:t>
      </w:r>
      <w:r w:rsidRPr="00570EFE">
        <w:t xml:space="preserve">P205 Part F participants. All participants previously received </w:t>
      </w:r>
      <w:r>
        <w:t>two</w:t>
      </w:r>
      <w:r w:rsidRPr="00570EFE">
        <w:t xml:space="preserve"> doses of </w:t>
      </w:r>
      <w:r w:rsidR="00FE11BF">
        <w:t>monovalent vaccine (</w:t>
      </w:r>
      <w:proofErr w:type="spellStart"/>
      <w:r w:rsidR="00FE11BF">
        <w:t>elasomeran</w:t>
      </w:r>
      <w:proofErr w:type="spellEnd"/>
      <w:r w:rsidR="00FE11BF">
        <w:t xml:space="preserve">) </w:t>
      </w:r>
      <w:r>
        <w:t>at</w:t>
      </w:r>
      <w:r w:rsidRPr="00570EFE">
        <w:t xml:space="preserve"> 100 </w:t>
      </w:r>
      <w:proofErr w:type="spellStart"/>
      <w:r w:rsidRPr="00570EFE">
        <w:t>μg</w:t>
      </w:r>
      <w:proofErr w:type="spellEnd"/>
      <w:r w:rsidRPr="00570EFE">
        <w:t xml:space="preserve"> as the primary series vaccine followed by the booster dose of </w:t>
      </w:r>
      <w:r w:rsidR="00FE11BF">
        <w:t>monovalent vaccine (</w:t>
      </w:r>
      <w:proofErr w:type="spellStart"/>
      <w:r w:rsidR="00FE11BF">
        <w:t>elasomeran</w:t>
      </w:r>
      <w:proofErr w:type="spellEnd"/>
      <w:r w:rsidR="00FE11BF">
        <w:t xml:space="preserve">) </w:t>
      </w:r>
      <w:r>
        <w:t xml:space="preserve">at </w:t>
      </w:r>
      <w:r w:rsidRPr="00570EFE">
        <w:t xml:space="preserve">50 </w:t>
      </w:r>
      <w:proofErr w:type="spellStart"/>
      <w:r w:rsidRPr="00570EFE">
        <w:t>μg</w:t>
      </w:r>
      <w:proofErr w:type="spellEnd"/>
      <w:r w:rsidRPr="00570EFE">
        <w:t xml:space="preserve"> dose as the </w:t>
      </w:r>
      <w:r>
        <w:t>first</w:t>
      </w:r>
      <w:r w:rsidRPr="00570EFE">
        <w:t xml:space="preserve"> booster vaccine) in the</w:t>
      </w:r>
      <w:r w:rsidR="00392F29" w:rsidRPr="00392F29">
        <w:t xml:space="preserve">; </w:t>
      </w:r>
      <w:r w:rsidR="00392F29">
        <w:t>PPSI,</w:t>
      </w:r>
      <w:r w:rsidR="00392F29" w:rsidRPr="00392F29">
        <w:t xml:space="preserve"> PPSI-Neg</w:t>
      </w:r>
      <w:r w:rsidR="00392F29">
        <w:t xml:space="preserve"> and </w:t>
      </w:r>
      <w:r w:rsidR="00392F29" w:rsidRPr="00392F29">
        <w:t>PPSI-Pos</w:t>
      </w:r>
      <w:r w:rsidR="00392F29">
        <w:t>.</w:t>
      </w:r>
    </w:p>
    <w:p w14:paraId="4AEA5C9D" w14:textId="39CB6349" w:rsidR="00392F29" w:rsidRDefault="00392F29" w:rsidP="00392F29">
      <w:pPr>
        <w:pStyle w:val="Heading5"/>
      </w:pPr>
      <w:r w:rsidRPr="00F84152">
        <w:t>Summary of</w:t>
      </w:r>
      <w:r>
        <w:t xml:space="preserve"> b</w:t>
      </w:r>
      <w:r w:rsidRPr="00F84152">
        <w:t xml:space="preserve">inding </w:t>
      </w:r>
      <w:r>
        <w:t>a</w:t>
      </w:r>
      <w:r w:rsidRPr="00F84152">
        <w:t xml:space="preserve">ntibody </w:t>
      </w:r>
      <w:r>
        <w:t>g</w:t>
      </w:r>
      <w:r w:rsidRPr="00F84152">
        <w:t>eometric</w:t>
      </w:r>
      <w:r>
        <w:t xml:space="preserve"> m</w:t>
      </w:r>
      <w:r w:rsidRPr="00F84152">
        <w:t xml:space="preserve">ean </w:t>
      </w:r>
      <w:r w:rsidR="006F53B3">
        <w:t>titre</w:t>
      </w:r>
      <w:r w:rsidRPr="00F84152">
        <w:t>s</w:t>
      </w:r>
    </w:p>
    <w:p w14:paraId="1BEFC96E" w14:textId="3C72D7DE" w:rsidR="00392F29" w:rsidRPr="0063030B" w:rsidRDefault="00392F29" w:rsidP="0038265E">
      <w:r w:rsidRPr="0063030B">
        <w:t xml:space="preserve">An immunogenicity analysis was performed based on binding antibody data after the </w:t>
      </w:r>
      <w:r w:rsidR="0045203F">
        <w:t>bivalent vaccine (</w:t>
      </w:r>
      <w:proofErr w:type="spellStart"/>
      <w:r w:rsidR="0045203F">
        <w:t>elasomeran</w:t>
      </w:r>
      <w:proofErr w:type="spellEnd"/>
      <w:r w:rsidR="0045203F">
        <w:t xml:space="preserve"> + </w:t>
      </w:r>
      <w:proofErr w:type="spellStart"/>
      <w:r w:rsidR="0045203F">
        <w:t>imelasomeran</w:t>
      </w:r>
      <w:proofErr w:type="spellEnd"/>
      <w:r w:rsidR="0045203F">
        <w:t xml:space="preserve">) </w:t>
      </w:r>
      <w:r w:rsidR="0038265E">
        <w:t>at</w:t>
      </w:r>
      <w:r w:rsidRPr="0063030B">
        <w:t xml:space="preserve"> 50 </w:t>
      </w:r>
      <w:proofErr w:type="spellStart"/>
      <w:r w:rsidRPr="0063030B">
        <w:t>μg</w:t>
      </w:r>
      <w:proofErr w:type="spellEnd"/>
      <w:r w:rsidRPr="0063030B">
        <w:t xml:space="preserve"> and </w:t>
      </w:r>
      <w:r w:rsidR="0045203F">
        <w:t>monovalent vaccine (</w:t>
      </w:r>
      <w:proofErr w:type="spellStart"/>
      <w:r w:rsidR="0045203F">
        <w:t>elasomeran</w:t>
      </w:r>
      <w:proofErr w:type="spellEnd"/>
      <w:r w:rsidR="0045203F">
        <w:t xml:space="preserve">) </w:t>
      </w:r>
      <w:r w:rsidR="0038265E">
        <w:t xml:space="preserve">at </w:t>
      </w:r>
      <w:r w:rsidRPr="0063030B">
        <w:t xml:space="preserve">50 </w:t>
      </w:r>
      <w:proofErr w:type="spellStart"/>
      <w:r w:rsidRPr="0063030B">
        <w:t>μg</w:t>
      </w:r>
      <w:proofErr w:type="spellEnd"/>
      <w:r w:rsidRPr="0063030B">
        <w:t xml:space="preserve"> second booster doses (Day 29) from the full cohorts to evaluate the binding antibody response against multiple variants, including variants that are not contained in the </w:t>
      </w:r>
      <w:r w:rsidR="0045203F">
        <w:t>bivalent vaccine (</w:t>
      </w:r>
      <w:proofErr w:type="spellStart"/>
      <w:r w:rsidR="0045203F">
        <w:t>elasomeran</w:t>
      </w:r>
      <w:proofErr w:type="spellEnd"/>
      <w:r w:rsidR="0045203F">
        <w:t xml:space="preserve"> + </w:t>
      </w:r>
      <w:proofErr w:type="spellStart"/>
      <w:r w:rsidR="0045203F">
        <w:t>imelasomeran</w:t>
      </w:r>
      <w:proofErr w:type="spellEnd"/>
      <w:r w:rsidR="0045203F">
        <w:t xml:space="preserve">) </w:t>
      </w:r>
      <w:r w:rsidRPr="0063030B">
        <w:t xml:space="preserve">booster vaccine (Alpha, </w:t>
      </w:r>
      <w:r w:rsidR="0038265E">
        <w:t xml:space="preserve">Beats, </w:t>
      </w:r>
      <w:proofErr w:type="gramStart"/>
      <w:r w:rsidR="0038265E">
        <w:t>Delta</w:t>
      </w:r>
      <w:proofErr w:type="gramEnd"/>
      <w:r w:rsidR="0038265E">
        <w:t xml:space="preserve"> and </w:t>
      </w:r>
      <w:r w:rsidRPr="0063030B">
        <w:t>Gamma</w:t>
      </w:r>
      <w:r w:rsidR="0038265E">
        <w:t xml:space="preserve"> variants</w:t>
      </w:r>
      <w:r w:rsidRPr="0063030B">
        <w:t>).</w:t>
      </w:r>
    </w:p>
    <w:p w14:paraId="590F44FF" w14:textId="0119B7DE" w:rsidR="00392F29" w:rsidRPr="0063030B" w:rsidRDefault="00392F29" w:rsidP="0038265E">
      <w:pPr>
        <w:rPr>
          <w:lang w:eastAsia="ja-JP"/>
        </w:rPr>
      </w:pPr>
      <w:r w:rsidRPr="0063030B">
        <w:rPr>
          <w:lang w:eastAsia="ja-JP"/>
        </w:rPr>
        <w:t xml:space="preserve">The Day 29 GMR for </w:t>
      </w:r>
      <w:r w:rsidR="0045203F">
        <w:t>bivalent vaccine (</w:t>
      </w:r>
      <w:proofErr w:type="spellStart"/>
      <w:r w:rsidR="0045203F">
        <w:t>elasomeran</w:t>
      </w:r>
      <w:proofErr w:type="spellEnd"/>
      <w:r w:rsidR="0045203F">
        <w:t xml:space="preserve"> + </w:t>
      </w:r>
      <w:proofErr w:type="spellStart"/>
      <w:r w:rsidR="0045203F">
        <w:t>imelasomeran</w:t>
      </w:r>
      <w:proofErr w:type="spellEnd"/>
      <w:r w:rsidR="0045203F">
        <w:t xml:space="preserve">) </w:t>
      </w:r>
      <w:r w:rsidR="0038265E">
        <w:rPr>
          <w:lang w:eastAsia="ja-JP"/>
        </w:rPr>
        <w:t xml:space="preserve">at </w:t>
      </w:r>
      <w:r w:rsidRPr="0063030B">
        <w:rPr>
          <w:lang w:eastAsia="ja-JP"/>
        </w:rPr>
        <w:t xml:space="preserve">50 </w:t>
      </w:r>
      <w:proofErr w:type="spellStart"/>
      <w:r w:rsidRPr="0063030B">
        <w:rPr>
          <w:lang w:eastAsia="ja-JP"/>
        </w:rPr>
        <w:t>μg</w:t>
      </w:r>
      <w:proofErr w:type="spellEnd"/>
      <w:r w:rsidRPr="0063030B">
        <w:rPr>
          <w:lang w:eastAsia="ja-JP"/>
        </w:rPr>
        <w:t xml:space="preserve"> booster dose versus the </w:t>
      </w:r>
      <w:r w:rsidR="0045203F">
        <w:t>monovalent vaccine (</w:t>
      </w:r>
      <w:proofErr w:type="spellStart"/>
      <w:r w:rsidR="0045203F">
        <w:t>elasomeran</w:t>
      </w:r>
      <w:proofErr w:type="spellEnd"/>
      <w:r w:rsidR="0045203F">
        <w:t>)</w:t>
      </w:r>
      <w:r w:rsidR="00E865BF">
        <w:t xml:space="preserve"> </w:t>
      </w:r>
      <w:r w:rsidR="0038265E">
        <w:rPr>
          <w:lang w:eastAsia="ja-JP"/>
        </w:rPr>
        <w:t xml:space="preserve">at </w:t>
      </w:r>
      <w:r w:rsidRPr="0063030B">
        <w:rPr>
          <w:lang w:eastAsia="ja-JP"/>
        </w:rPr>
        <w:t xml:space="preserve">50 </w:t>
      </w:r>
      <w:proofErr w:type="spellStart"/>
      <w:r w:rsidRPr="0063030B">
        <w:rPr>
          <w:lang w:eastAsia="ja-JP"/>
        </w:rPr>
        <w:t>μg</w:t>
      </w:r>
      <w:proofErr w:type="spellEnd"/>
      <w:r w:rsidRPr="0063030B">
        <w:rPr>
          <w:lang w:eastAsia="ja-JP"/>
        </w:rPr>
        <w:t xml:space="preserve"> </w:t>
      </w:r>
      <w:r w:rsidR="0038265E">
        <w:rPr>
          <w:lang w:eastAsia="ja-JP"/>
        </w:rPr>
        <w:t xml:space="preserve">as </w:t>
      </w:r>
      <w:r w:rsidRPr="0063030B">
        <w:rPr>
          <w:lang w:eastAsia="ja-JP"/>
        </w:rPr>
        <w:t>booster dose for each VOC were as following:</w:t>
      </w:r>
    </w:p>
    <w:p w14:paraId="39D6C1C7" w14:textId="3FC008E7" w:rsidR="00392F29" w:rsidRPr="0063030B" w:rsidRDefault="00392F29" w:rsidP="0038265E">
      <w:pPr>
        <w:pStyle w:val="ListBullet"/>
        <w:rPr>
          <w:lang w:eastAsia="ja-JP"/>
        </w:rPr>
      </w:pPr>
      <w:r w:rsidRPr="0063030B">
        <w:rPr>
          <w:lang w:eastAsia="ja-JP"/>
        </w:rPr>
        <w:t xml:space="preserve">Ancestral </w:t>
      </w:r>
      <w:r w:rsidR="00153356">
        <w:rPr>
          <w:lang w:eastAsia="ja-JP"/>
        </w:rPr>
        <w:t xml:space="preserve">strain </w:t>
      </w:r>
      <w:r w:rsidRPr="0063030B">
        <w:rPr>
          <w:lang w:eastAsia="ja-JP"/>
        </w:rPr>
        <w:t>SARS-CoV-2: 1.138 (95% CI: 1.068, 1.213).</w:t>
      </w:r>
    </w:p>
    <w:p w14:paraId="7ED4D2A5" w14:textId="67C14F8F" w:rsidR="00392F29" w:rsidRPr="0063030B" w:rsidRDefault="00392F29" w:rsidP="0038265E">
      <w:pPr>
        <w:pStyle w:val="ListBullet"/>
        <w:rPr>
          <w:lang w:eastAsia="ja-JP"/>
        </w:rPr>
      </w:pPr>
      <w:r w:rsidRPr="0063030B">
        <w:rPr>
          <w:lang w:eastAsia="ja-JP"/>
        </w:rPr>
        <w:t>Alpha</w:t>
      </w:r>
      <w:r w:rsidR="00153356">
        <w:rPr>
          <w:lang w:eastAsia="ja-JP"/>
        </w:rPr>
        <w:t xml:space="preserve"> variant</w:t>
      </w:r>
      <w:r w:rsidRPr="0063030B">
        <w:rPr>
          <w:lang w:eastAsia="ja-JP"/>
        </w:rPr>
        <w:t>: 1.165 (95% CI: 1.093, 1.241).</w:t>
      </w:r>
    </w:p>
    <w:p w14:paraId="45A1FE99" w14:textId="42FF4C6B" w:rsidR="00392F29" w:rsidRPr="0063030B" w:rsidRDefault="00392F29" w:rsidP="0038265E">
      <w:pPr>
        <w:pStyle w:val="ListBullet"/>
        <w:rPr>
          <w:lang w:eastAsia="ja-JP"/>
        </w:rPr>
      </w:pPr>
      <w:r w:rsidRPr="0063030B">
        <w:rPr>
          <w:lang w:eastAsia="ja-JP"/>
        </w:rPr>
        <w:t>Beta</w:t>
      </w:r>
      <w:r w:rsidR="00153356">
        <w:rPr>
          <w:lang w:eastAsia="ja-JP"/>
        </w:rPr>
        <w:t xml:space="preserve"> variant</w:t>
      </w:r>
      <w:r w:rsidRPr="0063030B">
        <w:rPr>
          <w:lang w:eastAsia="ja-JP"/>
        </w:rPr>
        <w:t>: 1.142 (95% CI: 1.071, 1.217).</w:t>
      </w:r>
    </w:p>
    <w:p w14:paraId="72B11AC1" w14:textId="3F11B4E0" w:rsidR="00392F29" w:rsidRPr="0063030B" w:rsidRDefault="00392F29" w:rsidP="0038265E">
      <w:pPr>
        <w:pStyle w:val="ListBullet"/>
        <w:rPr>
          <w:lang w:eastAsia="ja-JP"/>
        </w:rPr>
      </w:pPr>
      <w:r w:rsidRPr="0063030B">
        <w:rPr>
          <w:lang w:eastAsia="ja-JP"/>
        </w:rPr>
        <w:t>Delta</w:t>
      </w:r>
      <w:r w:rsidR="00153356">
        <w:rPr>
          <w:lang w:eastAsia="ja-JP"/>
        </w:rPr>
        <w:t xml:space="preserve"> variant</w:t>
      </w:r>
      <w:r w:rsidRPr="0063030B">
        <w:rPr>
          <w:lang w:eastAsia="ja-JP"/>
        </w:rPr>
        <w:t>: 1.095 (95% CI: 1.031, 1.163).</w:t>
      </w:r>
    </w:p>
    <w:p w14:paraId="0F5C62E4" w14:textId="19A6BFB6" w:rsidR="00392F29" w:rsidRPr="0063030B" w:rsidRDefault="00392F29" w:rsidP="0038265E">
      <w:pPr>
        <w:pStyle w:val="ListBullet"/>
        <w:rPr>
          <w:lang w:eastAsia="ja-JP"/>
        </w:rPr>
      </w:pPr>
      <w:r w:rsidRPr="0063030B">
        <w:rPr>
          <w:lang w:eastAsia="ja-JP"/>
        </w:rPr>
        <w:t>Gamma</w:t>
      </w:r>
      <w:r w:rsidR="00153356">
        <w:rPr>
          <w:lang w:eastAsia="ja-JP"/>
        </w:rPr>
        <w:t xml:space="preserve"> variant</w:t>
      </w:r>
      <w:r w:rsidRPr="0063030B">
        <w:rPr>
          <w:lang w:eastAsia="ja-JP"/>
        </w:rPr>
        <w:t>: 1.16 (95% CI: 1.087, 1.238).</w:t>
      </w:r>
    </w:p>
    <w:p w14:paraId="664A7335" w14:textId="5C46CADA" w:rsidR="00392F29" w:rsidRDefault="00392F29" w:rsidP="0038265E">
      <w:pPr>
        <w:pStyle w:val="ListBullet"/>
        <w:rPr>
          <w:lang w:eastAsia="ja-JP"/>
        </w:rPr>
      </w:pPr>
      <w:r w:rsidRPr="0063030B">
        <w:rPr>
          <w:lang w:eastAsia="ja-JP"/>
        </w:rPr>
        <w:t>Omicron</w:t>
      </w:r>
      <w:r w:rsidR="00153356">
        <w:rPr>
          <w:lang w:eastAsia="ja-JP"/>
        </w:rPr>
        <w:t xml:space="preserve"> variant</w:t>
      </w:r>
      <w:r w:rsidRPr="0063030B">
        <w:rPr>
          <w:lang w:eastAsia="ja-JP"/>
        </w:rPr>
        <w:t>: 1.232 (95% CI: 1.149, 1.321).</w:t>
      </w:r>
    </w:p>
    <w:p w14:paraId="5132A2CD" w14:textId="083D52E6" w:rsidR="00392F29" w:rsidRPr="00563C6C" w:rsidRDefault="00392F29" w:rsidP="0038265E">
      <w:r w:rsidRPr="00F84152">
        <w:t>An analysis with binding antibody immunogenicity was also performed with participants with no</w:t>
      </w:r>
      <w:r>
        <w:t xml:space="preserve"> </w:t>
      </w:r>
      <w:r w:rsidRPr="00F84152">
        <w:t>evidence of prior SARS-CoV-2 infection at pre-booster and the results were consistent with the</w:t>
      </w:r>
      <w:r>
        <w:t xml:space="preserve"> </w:t>
      </w:r>
      <w:r w:rsidRPr="00F84152">
        <w:t>analysis performed with all participants regardless of prior SARS</w:t>
      </w:r>
      <w:r w:rsidR="0038265E">
        <w:noBreakHyphen/>
      </w:r>
      <w:r w:rsidRPr="00F84152">
        <w:t>CoV</w:t>
      </w:r>
      <w:r w:rsidR="0038265E">
        <w:noBreakHyphen/>
      </w:r>
      <w:r w:rsidRPr="00F84152">
        <w:t>2 infection</w:t>
      </w:r>
      <w:r>
        <w:t>.</w:t>
      </w:r>
    </w:p>
    <w:p w14:paraId="1E9C778E" w14:textId="5074C839" w:rsidR="00392F29" w:rsidRPr="00D11E41" w:rsidRDefault="00392F29" w:rsidP="0038265E">
      <w:pPr>
        <w:pStyle w:val="Heading5"/>
      </w:pPr>
      <w:r w:rsidRPr="00B2494D">
        <w:t xml:space="preserve">Clinical </w:t>
      </w:r>
      <w:r w:rsidR="0045203F">
        <w:t>e</w:t>
      </w:r>
      <w:r w:rsidRPr="00B2494D">
        <w:t>fficacy</w:t>
      </w:r>
    </w:p>
    <w:p w14:paraId="578EB349" w14:textId="3D4883CE" w:rsidR="00392F29" w:rsidRDefault="00392F29" w:rsidP="0038265E">
      <w:pPr>
        <w:pStyle w:val="Heading6"/>
      </w:pPr>
      <w:r w:rsidRPr="00A12FD7">
        <w:t xml:space="preserve">SARS-CoV-2 </w:t>
      </w:r>
      <w:r w:rsidR="0038265E">
        <w:t>i</w:t>
      </w:r>
      <w:r w:rsidRPr="00A12FD7">
        <w:t xml:space="preserve">ncidence </w:t>
      </w:r>
      <w:r w:rsidR="0038265E">
        <w:t>r</w:t>
      </w:r>
      <w:r w:rsidRPr="00A12FD7">
        <w:t xml:space="preserve">ates </w:t>
      </w:r>
      <w:r w:rsidR="0038265E">
        <w:t>a</w:t>
      </w:r>
      <w:r w:rsidRPr="00A12FD7">
        <w:t xml:space="preserve">fter the </w:t>
      </w:r>
      <w:r w:rsidR="0045203F">
        <w:t>bivalent (</w:t>
      </w:r>
      <w:proofErr w:type="spellStart"/>
      <w:r w:rsidR="0045203F">
        <w:t>elasomeran</w:t>
      </w:r>
      <w:proofErr w:type="spellEnd"/>
      <w:r w:rsidR="0045203F">
        <w:t xml:space="preserve"> + </w:t>
      </w:r>
      <w:proofErr w:type="spellStart"/>
      <w:r w:rsidR="0045203F">
        <w:t>imelasomeran</w:t>
      </w:r>
      <w:proofErr w:type="spellEnd"/>
      <w:r w:rsidR="0045203F">
        <w:t xml:space="preserve">) </w:t>
      </w:r>
      <w:r w:rsidRPr="00A12FD7">
        <w:t xml:space="preserve">and </w:t>
      </w:r>
      <w:r w:rsidR="0045203F">
        <w:t>monovalent (</w:t>
      </w:r>
      <w:proofErr w:type="spellStart"/>
      <w:r w:rsidR="0045203F">
        <w:t>elasomeran</w:t>
      </w:r>
      <w:proofErr w:type="spellEnd"/>
      <w:r w:rsidR="0045203F">
        <w:t xml:space="preserve">) </w:t>
      </w:r>
      <w:r w:rsidR="0038265E">
        <w:t>b</w:t>
      </w:r>
      <w:r w:rsidRPr="00A12FD7">
        <w:t xml:space="preserve">ooster </w:t>
      </w:r>
      <w:r w:rsidR="0038265E">
        <w:t>v</w:t>
      </w:r>
      <w:r w:rsidRPr="00A12FD7">
        <w:t>accines</w:t>
      </w:r>
    </w:p>
    <w:p w14:paraId="1880D7A8" w14:textId="3C00538E" w:rsidR="00392F29" w:rsidRDefault="00392F29" w:rsidP="00392F29">
      <w:r w:rsidRPr="00695D4E">
        <w:t>The laboratory confirmed symptomatic (primary and secondary cases) and asymptomatic SARS-CoV-2 infections post-booster was analysed as exploratory endpoints.</w:t>
      </w:r>
    </w:p>
    <w:p w14:paraId="21DDFD3C" w14:textId="00829C0C" w:rsidR="00392F29" w:rsidRDefault="00392F29" w:rsidP="00392F29">
      <w:r w:rsidRPr="00A12FD7">
        <w:t>Infections were counted starting</w:t>
      </w:r>
      <w:r>
        <w:t xml:space="preserve"> </w:t>
      </w:r>
      <w:r w:rsidRPr="00A12FD7">
        <w:t>14 days after the booster doses (</w:t>
      </w:r>
      <w:r w:rsidR="0045203F">
        <w:t>bivalent vaccine (</w:t>
      </w:r>
      <w:proofErr w:type="spellStart"/>
      <w:r w:rsidR="0045203F">
        <w:t>elasomeran</w:t>
      </w:r>
      <w:proofErr w:type="spellEnd"/>
      <w:r w:rsidR="0045203F">
        <w:t xml:space="preserve"> + </w:t>
      </w:r>
      <w:proofErr w:type="spellStart"/>
      <w:r w:rsidR="0045203F">
        <w:t>imelasomeran</w:t>
      </w:r>
      <w:proofErr w:type="spellEnd"/>
      <w:r w:rsidR="0045203F">
        <w:t xml:space="preserve">) </w:t>
      </w:r>
      <w:r w:rsidR="0038265E">
        <w:t xml:space="preserve">at </w:t>
      </w:r>
      <w:r w:rsidRPr="00A12FD7">
        <w:t>50</w:t>
      </w:r>
      <w:r w:rsidR="0038265E">
        <w:t> </w:t>
      </w:r>
      <w:proofErr w:type="spellStart"/>
      <w:r w:rsidRPr="00695D4E">
        <w:t>μg</w:t>
      </w:r>
      <w:proofErr w:type="spellEnd"/>
      <w:r w:rsidR="0045203F">
        <w:t>;</w:t>
      </w:r>
      <w:r w:rsidRPr="00A12FD7">
        <w:t xml:space="preserve"> </w:t>
      </w:r>
      <w:r w:rsidR="0045203F">
        <w:t>monovalent vaccine (</w:t>
      </w:r>
      <w:proofErr w:type="spellStart"/>
      <w:r w:rsidR="0045203F">
        <w:t>elasomeran</w:t>
      </w:r>
      <w:proofErr w:type="spellEnd"/>
      <w:r w:rsidR="0045203F">
        <w:t xml:space="preserve">) </w:t>
      </w:r>
      <w:r w:rsidR="0038265E">
        <w:t xml:space="preserve">at </w:t>
      </w:r>
      <w:r w:rsidRPr="00A12FD7">
        <w:t xml:space="preserve">50 </w:t>
      </w:r>
      <w:proofErr w:type="spellStart"/>
      <w:r w:rsidRPr="00695D4E">
        <w:t>μg</w:t>
      </w:r>
      <w:proofErr w:type="spellEnd"/>
      <w:r w:rsidRPr="00A12FD7">
        <w:t>) through the</w:t>
      </w:r>
      <w:r>
        <w:t xml:space="preserve"> </w:t>
      </w:r>
      <w:r w:rsidRPr="00A12FD7">
        <w:t>follow</w:t>
      </w:r>
      <w:r w:rsidR="0038265E">
        <w:t xml:space="preserve"> </w:t>
      </w:r>
      <w:r w:rsidRPr="00A12FD7">
        <w:t xml:space="preserve">up time of this interim analysis. </w:t>
      </w:r>
      <w:r w:rsidR="0038265E">
        <w:t xml:space="preserve">Study </w:t>
      </w:r>
      <w:r w:rsidRPr="00A12FD7">
        <w:t>P205 was not designed to evaluate</w:t>
      </w:r>
      <w:r>
        <w:t xml:space="preserve"> </w:t>
      </w:r>
      <w:r w:rsidRPr="00A12FD7">
        <w:t>booster vaccine effectiveness</w:t>
      </w:r>
      <w:r>
        <w:t>.</w:t>
      </w:r>
    </w:p>
    <w:p w14:paraId="5C4898EC" w14:textId="75E96B7A" w:rsidR="00392F29" w:rsidRDefault="00392F29" w:rsidP="00392F29">
      <w:r w:rsidRPr="00A12FD7">
        <w:t xml:space="preserve">In the </w:t>
      </w:r>
      <w:r w:rsidR="0045203F">
        <w:t>bivalent vaccine (</w:t>
      </w:r>
      <w:proofErr w:type="spellStart"/>
      <w:r w:rsidR="0045203F">
        <w:t>elasomeran</w:t>
      </w:r>
      <w:proofErr w:type="spellEnd"/>
      <w:r w:rsidR="0045203F">
        <w:t xml:space="preserve"> + </w:t>
      </w:r>
      <w:proofErr w:type="spellStart"/>
      <w:r w:rsidR="0045203F">
        <w:t>imelasomeran</w:t>
      </w:r>
      <w:proofErr w:type="spellEnd"/>
      <w:r w:rsidR="0045203F">
        <w:t xml:space="preserve">) </w:t>
      </w:r>
      <w:r w:rsidR="0038265E">
        <w:t>at</w:t>
      </w:r>
      <w:r w:rsidRPr="00A12FD7">
        <w:t xml:space="preserve"> 50 </w:t>
      </w:r>
      <w:proofErr w:type="spellStart"/>
      <w:r w:rsidRPr="00695D4E">
        <w:t>μg</w:t>
      </w:r>
      <w:proofErr w:type="spellEnd"/>
      <w:r w:rsidRPr="00A12FD7">
        <w:t xml:space="preserve"> booster dose group, with a median of 43 days of follow</w:t>
      </w:r>
      <w:r w:rsidR="0038265E">
        <w:t xml:space="preserve"> </w:t>
      </w:r>
      <w:r w:rsidRPr="00A12FD7">
        <w:t>up</w:t>
      </w:r>
      <w:r>
        <w:t xml:space="preserve"> </w:t>
      </w:r>
      <w:r w:rsidRPr="00A12FD7">
        <w:t>duration, 11 participants (3.2%) had SARS-CoV-2 infection starting at least 14 days after the</w:t>
      </w:r>
      <w:r>
        <w:t xml:space="preserve"> </w:t>
      </w:r>
      <w:r w:rsidRPr="00A12FD7">
        <w:t xml:space="preserve">50 </w:t>
      </w:r>
      <w:proofErr w:type="spellStart"/>
      <w:r w:rsidRPr="00695D4E">
        <w:t>μg</w:t>
      </w:r>
      <w:proofErr w:type="spellEnd"/>
      <w:r w:rsidRPr="00A12FD7">
        <w:t xml:space="preserve"> booster dose. Among the 11 participants with SARS-CoV-2 infection, </w:t>
      </w:r>
      <w:r w:rsidR="0038265E">
        <w:t>four</w:t>
      </w:r>
      <w:r w:rsidRPr="00A12FD7">
        <w:t xml:space="preserve"> participants</w:t>
      </w:r>
      <w:r>
        <w:t xml:space="preserve"> </w:t>
      </w:r>
      <w:r w:rsidRPr="00A12FD7">
        <w:t>(1.2%) met the primary case definition of COVID</w:t>
      </w:r>
      <w:r w:rsidR="0045203F">
        <w:noBreakHyphen/>
      </w:r>
      <w:r w:rsidRPr="00A12FD7">
        <w:t xml:space="preserve">19 and </w:t>
      </w:r>
      <w:r w:rsidR="0038265E">
        <w:t>five</w:t>
      </w:r>
      <w:r w:rsidRPr="00A12FD7">
        <w:t xml:space="preserve"> participants (1.5%) met the</w:t>
      </w:r>
      <w:r>
        <w:t xml:space="preserve"> </w:t>
      </w:r>
      <w:r w:rsidRPr="00A12FD7">
        <w:t>secondary case definition of COVID-19</w:t>
      </w:r>
      <w:r w:rsidR="0038265E">
        <w:t xml:space="preserve"> (</w:t>
      </w:r>
      <w:r w:rsidR="0045203F">
        <w:t xml:space="preserve">see </w:t>
      </w:r>
      <w:r w:rsidR="0038265E">
        <w:fldChar w:fldCharType="begin"/>
      </w:r>
      <w:r w:rsidR="0038265E">
        <w:instrText xml:space="preserve"> REF _Ref111894358 \h </w:instrText>
      </w:r>
      <w:r w:rsidR="0038265E">
        <w:fldChar w:fldCharType="separate"/>
      </w:r>
      <w:r w:rsidR="00D102F3" w:rsidRPr="0038265E">
        <w:t xml:space="preserve">Table </w:t>
      </w:r>
      <w:r w:rsidR="00D102F3">
        <w:rPr>
          <w:noProof/>
        </w:rPr>
        <w:t>12</w:t>
      </w:r>
      <w:r w:rsidR="0038265E">
        <w:fldChar w:fldCharType="end"/>
      </w:r>
      <w:r w:rsidR="0038265E">
        <w:t>)</w:t>
      </w:r>
      <w:r w:rsidRPr="00A12FD7">
        <w:t xml:space="preserve">. The remaining </w:t>
      </w:r>
      <w:r w:rsidR="0038265E">
        <w:t>six</w:t>
      </w:r>
      <w:r w:rsidRPr="00A12FD7">
        <w:t xml:space="preserve"> participants (1.8%) had an</w:t>
      </w:r>
      <w:r>
        <w:t xml:space="preserve"> </w:t>
      </w:r>
      <w:r w:rsidRPr="00A12FD7">
        <w:t>asymptomatic infection. The exposure adjusted incidence rate for SARS</w:t>
      </w:r>
      <w:r w:rsidR="0038265E">
        <w:noBreakHyphen/>
      </w:r>
      <w:r w:rsidRPr="00A12FD7">
        <w:t>CoV</w:t>
      </w:r>
      <w:r w:rsidR="0038265E">
        <w:noBreakHyphen/>
      </w:r>
      <w:r w:rsidRPr="00A12FD7">
        <w:t>2 infection was 5.4</w:t>
      </w:r>
      <w:r>
        <w:t xml:space="preserve"> </w:t>
      </w:r>
      <w:r w:rsidRPr="00A12FD7">
        <w:t>per 1000 person-weeks, 1.9 per 1000 person-weeks for the primary case definition of COVID-</w:t>
      </w:r>
      <w:r>
        <w:t xml:space="preserve"> </w:t>
      </w:r>
      <w:r w:rsidRPr="00A12FD7">
        <w:t>19, 2.4 per 1000 person-weeks for the secondary case definition of COVID-19, and 2.9 per 1000</w:t>
      </w:r>
      <w:r>
        <w:t xml:space="preserve"> </w:t>
      </w:r>
      <w:r w:rsidRPr="00A12FD7">
        <w:t>person-weeks for asymptomatic SARS</w:t>
      </w:r>
      <w:r w:rsidR="001D1FF5">
        <w:noBreakHyphen/>
      </w:r>
      <w:r w:rsidRPr="00A12FD7">
        <w:t>CoV</w:t>
      </w:r>
      <w:r w:rsidR="001D1FF5">
        <w:noBreakHyphen/>
      </w:r>
      <w:r w:rsidRPr="00A12FD7">
        <w:t>2 infection</w:t>
      </w:r>
      <w:r>
        <w:t xml:space="preserve">. </w:t>
      </w:r>
      <w:r w:rsidRPr="00A12FD7">
        <w:t>Among participants in the</w:t>
      </w:r>
      <w:r>
        <w:t xml:space="preserve"> </w:t>
      </w:r>
      <w:r w:rsidR="0045203F">
        <w:t>bivalent vaccine (</w:t>
      </w:r>
      <w:proofErr w:type="spellStart"/>
      <w:r w:rsidR="0045203F">
        <w:t>elasomeran</w:t>
      </w:r>
      <w:proofErr w:type="spellEnd"/>
      <w:r w:rsidR="0045203F">
        <w:t xml:space="preserve"> + </w:t>
      </w:r>
      <w:proofErr w:type="spellStart"/>
      <w:r w:rsidR="0045203F">
        <w:t>imelasomeran</w:t>
      </w:r>
      <w:proofErr w:type="spellEnd"/>
      <w:r w:rsidR="0045203F">
        <w:t>)</w:t>
      </w:r>
      <w:r w:rsidRPr="00A12FD7">
        <w:t xml:space="preserve"> </w:t>
      </w:r>
      <w:r w:rsidR="0038265E">
        <w:t xml:space="preserve">at </w:t>
      </w:r>
      <w:r w:rsidRPr="00A12FD7">
        <w:t xml:space="preserve">50 </w:t>
      </w:r>
      <w:proofErr w:type="spellStart"/>
      <w:r w:rsidRPr="00695D4E">
        <w:t>μg</w:t>
      </w:r>
      <w:proofErr w:type="spellEnd"/>
      <w:r w:rsidRPr="00A12FD7">
        <w:t xml:space="preserve"> group who met the primary and/or secondary case definition of</w:t>
      </w:r>
      <w:r>
        <w:t xml:space="preserve"> </w:t>
      </w:r>
      <w:r w:rsidRPr="00A12FD7">
        <w:t xml:space="preserve">COVID-19, onset day ranged from Day 7 to Day 36. No </w:t>
      </w:r>
      <w:r w:rsidRPr="00A12FD7">
        <w:lastRenderedPageBreak/>
        <w:t>participants with</w:t>
      </w:r>
      <w:r>
        <w:t xml:space="preserve"> </w:t>
      </w:r>
      <w:r w:rsidRPr="00A12FD7">
        <w:t>COVID-19 had an emergency room visit or hospital</w:t>
      </w:r>
      <w:r w:rsidR="00741008">
        <w:t>is</w:t>
      </w:r>
      <w:r w:rsidRPr="00A12FD7">
        <w:t>ation due to the COVID-19 event.</w:t>
      </w:r>
    </w:p>
    <w:p w14:paraId="2DEBA3FE" w14:textId="115AAD5C" w:rsidR="00AC4F14" w:rsidRDefault="0038265E" w:rsidP="0038265E">
      <w:pPr>
        <w:pStyle w:val="TableTitle"/>
      </w:pPr>
      <w:bookmarkStart w:id="54" w:name="_Ref111894358"/>
      <w:r w:rsidRPr="0038265E">
        <w:t xml:space="preserve">Table </w:t>
      </w:r>
      <w:r w:rsidR="00F43EA9">
        <w:fldChar w:fldCharType="begin"/>
      </w:r>
      <w:r w:rsidR="00F43EA9">
        <w:instrText xml:space="preserve"> SEQ Table \* ARABIC </w:instrText>
      </w:r>
      <w:r w:rsidR="00F43EA9">
        <w:fldChar w:fldCharType="separate"/>
      </w:r>
      <w:r w:rsidR="00D102F3">
        <w:rPr>
          <w:noProof/>
        </w:rPr>
        <w:t>12</w:t>
      </w:r>
      <w:r w:rsidR="00F43EA9">
        <w:rPr>
          <w:noProof/>
        </w:rPr>
        <w:fldChar w:fldCharType="end"/>
      </w:r>
      <w:bookmarkEnd w:id="54"/>
      <w:r>
        <w:t xml:space="preserve">: </w:t>
      </w:r>
      <w:r w:rsidR="001D1FF5">
        <w:t>Study P205 Part A</w:t>
      </w:r>
      <w:r w:rsidR="0045203F">
        <w:t>;</w:t>
      </w:r>
      <w:r w:rsidR="001D1FF5">
        <w:t xml:space="preserve"> </w:t>
      </w:r>
      <w:r w:rsidRPr="0038265E">
        <w:t>Summary of COVID-19 Infections (</w:t>
      </w:r>
      <w:r w:rsidR="00CA561B">
        <w:t>p</w:t>
      </w:r>
      <w:r w:rsidRPr="0038265E">
        <w:t>er-</w:t>
      </w:r>
      <w:r w:rsidR="00CA561B">
        <w:t>p</w:t>
      </w:r>
      <w:r w:rsidRPr="0038265E">
        <w:t xml:space="preserve">rotocol </w:t>
      </w:r>
      <w:r w:rsidR="00CA561B">
        <w:t>e</w:t>
      </w:r>
      <w:r w:rsidRPr="0038265E">
        <w:t xml:space="preserve">fficacy </w:t>
      </w:r>
      <w:r w:rsidR="00CA561B">
        <w:t>s</w:t>
      </w:r>
      <w:r w:rsidRPr="0038265E">
        <w:t>et)</w:t>
      </w:r>
    </w:p>
    <w:p w14:paraId="52411123" w14:textId="16EE276C" w:rsidR="0038265E" w:rsidRDefault="0038265E" w:rsidP="0038265E">
      <w:r>
        <w:rPr>
          <w:noProof/>
          <w:lang w:val="en-GB" w:eastAsia="en-GB"/>
        </w:rPr>
        <w:drawing>
          <wp:inline distT="0" distB="0" distL="0" distR="0" wp14:anchorId="0A5F76DD" wp14:editId="00C39C37">
            <wp:extent cx="5399123" cy="1345997"/>
            <wp:effectExtent l="0" t="0" r="0" b="6985"/>
            <wp:docPr id="18" name="Picture 18" descr="Study P205 Part A Summary of COVID-19 Infections (per-protocol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P205 Part A Summary of COVID-19 Infections (per-protocol efficacy set)"/>
                    <pic:cNvPicPr/>
                  </pic:nvPicPr>
                  <pic:blipFill rotWithShape="1">
                    <a:blip r:embed="rId26"/>
                    <a:srcRect b="56926"/>
                    <a:stretch/>
                  </pic:blipFill>
                  <pic:spPr bwMode="auto">
                    <a:xfrm>
                      <a:off x="0" y="0"/>
                      <a:ext cx="5400040" cy="1346226"/>
                    </a:xfrm>
                    <a:prstGeom prst="rect">
                      <a:avLst/>
                    </a:prstGeom>
                    <a:ln>
                      <a:noFill/>
                    </a:ln>
                    <a:extLst>
                      <a:ext uri="{53640926-AAD7-44D8-BBD7-CCE9431645EC}">
                        <a14:shadowObscured xmlns:a14="http://schemas.microsoft.com/office/drawing/2010/main"/>
                      </a:ext>
                    </a:extLst>
                  </pic:spPr>
                </pic:pic>
              </a:graphicData>
            </a:graphic>
          </wp:inline>
        </w:drawing>
      </w:r>
    </w:p>
    <w:p w14:paraId="496B27EF" w14:textId="65B0C89A" w:rsidR="0038265E" w:rsidRDefault="0038265E" w:rsidP="0038265E">
      <w:pPr>
        <w:pStyle w:val="TableDescription"/>
      </w:pPr>
      <w:r>
        <w:t xml:space="preserve">Abbreviations: CDC = </w:t>
      </w:r>
      <w:proofErr w:type="spellStart"/>
      <w:r>
        <w:t>Centers</w:t>
      </w:r>
      <w:proofErr w:type="spellEnd"/>
      <w:r>
        <w:t xml:space="preserve"> for Disease Control and Prevention; COVID-19 = coronavirus disease 2019; RT-PCR = reverse transcriptase polymerase chain reaction; SARS-CoV-2 = severe acute respiratory syndrome coronavirus 2.</w:t>
      </w:r>
    </w:p>
    <w:p w14:paraId="4AC1A9E4" w14:textId="7DA9D9E1" w:rsidR="0038265E" w:rsidRDefault="0038265E" w:rsidP="0038265E">
      <w:pPr>
        <w:pStyle w:val="TableDescription"/>
      </w:pPr>
      <w:r>
        <w:t>This interim analysis includes Part A participants immunogenicity data up to Day 181 visit. The data cut</w:t>
      </w:r>
      <w:r w:rsidR="0045203F">
        <w:t>-</w:t>
      </w:r>
      <w:r>
        <w:t>off date for safety an dSARS-CoV-2 infection is 2 February 2022.</w:t>
      </w:r>
    </w:p>
    <w:p w14:paraId="6FD56205" w14:textId="3D94F8A9" w:rsidR="0038265E" w:rsidRDefault="0038265E" w:rsidP="0038265E">
      <w:pPr>
        <w:pStyle w:val="TableDescription"/>
      </w:pPr>
      <w:r>
        <w:t>a Primary case definition per Study P301 is positive post-baseline RT-PCR results and at least 2 of the following systemic symptoms: fever (≥ 38</w:t>
      </w:r>
      <w:r w:rsidRPr="0038265E">
        <w:rPr>
          <w:vertAlign w:val="superscript"/>
        </w:rPr>
        <w:t>o</w:t>
      </w:r>
      <w:r>
        <w:t>C/≥ 100.4</w:t>
      </w:r>
      <w:r w:rsidRPr="0038265E">
        <w:rPr>
          <w:vertAlign w:val="superscript"/>
        </w:rPr>
        <w:t>o</w:t>
      </w:r>
      <w:r>
        <w:t>F) chills, muscle and/or body aches (not related to exercise), headache</w:t>
      </w:r>
      <w:r w:rsidR="00346229">
        <w:t>, sore throat, new loss of taste/smell; or at least 1 of the following respiratory signs/symptoms: cough, shortness of breath and/or difficulty breathing, or clinical or radiographical evidence of pneumonia.</w:t>
      </w:r>
    </w:p>
    <w:p w14:paraId="171445C3" w14:textId="39640028" w:rsidR="00346229" w:rsidRDefault="00346229" w:rsidP="0038265E">
      <w:pPr>
        <w:pStyle w:val="TableDescription"/>
      </w:pPr>
      <w:r>
        <w:t>b Secondary case definition of COVID-19 is positive post-baseline RT-PCR result and at least 1 of the following systemic or respiratory symptoms fever: (≥ 38</w:t>
      </w:r>
      <w:r w:rsidRPr="0038265E">
        <w:rPr>
          <w:vertAlign w:val="superscript"/>
        </w:rPr>
        <w:t>o</w:t>
      </w:r>
      <w:r>
        <w:t>C/≥ 100.4</w:t>
      </w:r>
      <w:r w:rsidRPr="0038265E">
        <w:rPr>
          <w:vertAlign w:val="superscript"/>
        </w:rPr>
        <w:t>o</w:t>
      </w:r>
      <w:r>
        <w:t xml:space="preserve">F) chills, cough, shortness of breath and/or difficulty breathing, fatigue, muscle and/or body aches (not related to exercise), headache, new loss of taste/smell, sore throat, congestion, runny nose, nausea, vomiting or </w:t>
      </w:r>
      <w:r w:rsidR="0045203F">
        <w:t>diarrhoea</w:t>
      </w:r>
      <w:r>
        <w:t>.</w:t>
      </w:r>
    </w:p>
    <w:p w14:paraId="5BD03FEA" w14:textId="0CB606E0" w:rsidR="00346229" w:rsidRDefault="00346229" w:rsidP="00346229">
      <w:r w:rsidRPr="00306B69">
        <w:t>In the</w:t>
      </w:r>
      <w:r w:rsidR="001D1FF5">
        <w:t xml:space="preserve"> </w:t>
      </w:r>
      <w:r w:rsidRPr="00306B69">
        <w:t xml:space="preserve">50 </w:t>
      </w:r>
      <w:proofErr w:type="spellStart"/>
      <w:r w:rsidRPr="00695D4E">
        <w:t>μg</w:t>
      </w:r>
      <w:proofErr w:type="spellEnd"/>
      <w:r w:rsidRPr="00306B69">
        <w:t xml:space="preserve"> </w:t>
      </w:r>
      <w:proofErr w:type="spellStart"/>
      <w:r w:rsidR="00153356">
        <w:t>elasomeran</w:t>
      </w:r>
      <w:proofErr w:type="spellEnd"/>
      <w:r w:rsidR="00153356">
        <w:t xml:space="preserve"> </w:t>
      </w:r>
      <w:r w:rsidRPr="00306B69">
        <w:t>booster dose group, with a median of 57 days of follow</w:t>
      </w:r>
      <w:r w:rsidR="001D1FF5">
        <w:t xml:space="preserve"> </w:t>
      </w:r>
      <w:r w:rsidRPr="00306B69">
        <w:t>up duration,</w:t>
      </w:r>
      <w:r>
        <w:t xml:space="preserve"> </w:t>
      </w:r>
      <w:r w:rsidR="001D1FF5">
        <w:t>five</w:t>
      </w:r>
      <w:r w:rsidRPr="00306B69">
        <w:t xml:space="preserve"> participants (1.9%) had SARS-CoV-2 infection starting at least 14 days after the 50 </w:t>
      </w:r>
      <w:proofErr w:type="spellStart"/>
      <w:r w:rsidRPr="00695D4E">
        <w:t>μg</w:t>
      </w:r>
      <w:proofErr w:type="spellEnd"/>
      <w:r w:rsidRPr="00306B69">
        <w:t xml:space="preserve"> booster</w:t>
      </w:r>
      <w:r>
        <w:t xml:space="preserve"> </w:t>
      </w:r>
      <w:r w:rsidRPr="00306B69">
        <w:t xml:space="preserve">dose. Among the </w:t>
      </w:r>
      <w:r w:rsidR="001D1FF5">
        <w:t>five</w:t>
      </w:r>
      <w:r w:rsidRPr="00306B69">
        <w:t xml:space="preserve"> participants with SARS-CoV-2 infection, </w:t>
      </w:r>
      <w:r w:rsidR="001D1FF5">
        <w:t>one</w:t>
      </w:r>
      <w:r w:rsidRPr="00306B69">
        <w:t xml:space="preserve"> participant (0.4%) met both the</w:t>
      </w:r>
      <w:r>
        <w:t xml:space="preserve"> </w:t>
      </w:r>
      <w:r w:rsidRPr="00306B69">
        <w:t>primary case definition of COVID-19 and the secondary case definition of COVID-19 36 days</w:t>
      </w:r>
      <w:r>
        <w:t xml:space="preserve"> </w:t>
      </w:r>
      <w:r w:rsidRPr="00306B69">
        <w:t xml:space="preserve">after the booster dose. The remaining </w:t>
      </w:r>
      <w:r w:rsidR="001D1FF5">
        <w:t>four</w:t>
      </w:r>
      <w:r w:rsidRPr="00306B69">
        <w:t xml:space="preserve"> participants had an asymptomatic infection. The exposure adjusted incidence rate for SARS-CoV-2 infection was</w:t>
      </w:r>
      <w:r>
        <w:t xml:space="preserve"> </w:t>
      </w:r>
      <w:r w:rsidRPr="00306B69">
        <w:t>2.3 per 1000 person-weeks, 0.5 per 1000 person-weeks for both primary and secondary case</w:t>
      </w:r>
      <w:r>
        <w:t xml:space="preserve"> </w:t>
      </w:r>
      <w:r w:rsidRPr="00306B69">
        <w:t>definition of COVID-19, and 1.8 per 1000 person-weeks for asymptomatic SARS-CoV-2</w:t>
      </w:r>
      <w:r>
        <w:t>.</w:t>
      </w:r>
      <w:r w:rsidRPr="00780A01">
        <w:rPr>
          <w:lang w:eastAsia="ja-JP"/>
        </w:rPr>
        <w:t xml:space="preserve"> </w:t>
      </w:r>
      <w:r w:rsidRPr="00780A01">
        <w:t>No participants with COVID-19 had an emergency room visit or hospitalisation due to the COVID-19 event.</w:t>
      </w:r>
    </w:p>
    <w:p w14:paraId="5F30C9E0" w14:textId="4ED91CB3" w:rsidR="00346229" w:rsidRDefault="00346229" w:rsidP="00346229">
      <w:pPr>
        <w:pStyle w:val="Heading6"/>
      </w:pPr>
      <w:r>
        <w:t>B</w:t>
      </w:r>
      <w:r w:rsidRPr="00604A8C">
        <w:t>ivalent vaccine booster</w:t>
      </w:r>
      <w:r>
        <w:t xml:space="preserve">, </w:t>
      </w:r>
      <w:r w:rsidRPr="00604A8C">
        <w:t>mRNA-1273.211</w:t>
      </w:r>
    </w:p>
    <w:p w14:paraId="6DBD765B" w14:textId="51A04B47" w:rsidR="00346229" w:rsidRPr="006F0C21" w:rsidRDefault="00346229" w:rsidP="00346229">
      <w:r w:rsidRPr="006F0C21">
        <w:t xml:space="preserve">The </w:t>
      </w:r>
      <w:r>
        <w:t>s</w:t>
      </w:r>
      <w:r w:rsidRPr="006F0C21">
        <w:t>ponsor has also investigated the safety, reactogenicity and immunogenicity of mRNA</w:t>
      </w:r>
      <w:r>
        <w:noBreakHyphen/>
      </w:r>
      <w:r w:rsidRPr="006F0C21">
        <w:t xml:space="preserve">1273.211, </w:t>
      </w:r>
      <w:r w:rsidR="0045203F">
        <w:t xml:space="preserve">another different </w:t>
      </w:r>
      <w:r w:rsidRPr="006F0C21">
        <w:t xml:space="preserve">bivalent vaccine </w:t>
      </w:r>
      <w:r w:rsidR="0045203F">
        <w:t xml:space="preserve">containing </w:t>
      </w:r>
      <w:r w:rsidRPr="006F0C21">
        <w:t>equal amounts</w:t>
      </w:r>
      <w:r>
        <w:t xml:space="preserve">, </w:t>
      </w:r>
      <w:r w:rsidRPr="006F0C21">
        <w:t>25</w:t>
      </w:r>
      <w:r>
        <w:t xml:space="preserve"> </w:t>
      </w:r>
      <w:proofErr w:type="spellStart"/>
      <w:r w:rsidRPr="006F0C21">
        <w:t>μg</w:t>
      </w:r>
      <w:proofErr w:type="spellEnd"/>
      <w:r w:rsidRPr="006F0C21">
        <w:t xml:space="preserve"> of the ancestral SARS-CoV-2 </w:t>
      </w:r>
      <w:r w:rsidR="00153356">
        <w:t xml:space="preserve">strain </w:t>
      </w:r>
      <w:r w:rsidRPr="006F0C21">
        <w:t xml:space="preserve">and </w:t>
      </w:r>
      <w:r w:rsidR="0045203F">
        <w:t>B</w:t>
      </w:r>
      <w:r w:rsidRPr="006F0C21">
        <w:t>eta variant spike protein sequences</w:t>
      </w:r>
      <w:r w:rsidR="0045203F">
        <w:t xml:space="preserve"> (in contrast to the Omicron variant in this submission’s vaccine).</w:t>
      </w:r>
    </w:p>
    <w:p w14:paraId="1872750D" w14:textId="7835204D" w:rsidR="00346229" w:rsidRPr="00CD1576" w:rsidRDefault="00346229" w:rsidP="00346229">
      <w:r w:rsidRPr="00CD1576">
        <w:t xml:space="preserve">Participants in </w:t>
      </w:r>
      <w:r w:rsidR="001D1FF5">
        <w:t xml:space="preserve">Study P 205 </w:t>
      </w:r>
      <w:r w:rsidRPr="00CD1576">
        <w:t xml:space="preserve">Part A received mRNA-1273.211, a bivalent vaccine as a first booster dose to participants who had received two 100 </w:t>
      </w:r>
      <w:proofErr w:type="spellStart"/>
      <w:r w:rsidRPr="00CD1576">
        <w:t>μg</w:t>
      </w:r>
      <w:proofErr w:type="spellEnd"/>
      <w:r w:rsidRPr="00CD1576">
        <w:t xml:space="preserve"> doses of </w:t>
      </w:r>
      <w:r w:rsidR="0045203F">
        <w:t xml:space="preserve">monovalent vaccine (elasomeran) </w:t>
      </w:r>
      <w:r w:rsidRPr="00CD1576">
        <w:t xml:space="preserve">as primary series. The analyses are based on an external comparison with data from </w:t>
      </w:r>
      <w:r>
        <w:t xml:space="preserve">Study P201 </w:t>
      </w:r>
      <w:r w:rsidRPr="00CD1576">
        <w:t xml:space="preserve">Part B. The same assay (Duke </w:t>
      </w:r>
      <w:proofErr w:type="spellStart"/>
      <w:r w:rsidRPr="00CD1576">
        <w:t>pseudovirus</w:t>
      </w:r>
      <w:proofErr w:type="spellEnd"/>
      <w:r w:rsidRPr="00CD1576">
        <w:t xml:space="preserve"> neutralisation assay) was used for </w:t>
      </w:r>
      <w:r>
        <w:t>S</w:t>
      </w:r>
      <w:r w:rsidRPr="00CD1576">
        <w:t xml:space="preserve">tudy P205 Part A and </w:t>
      </w:r>
      <w:r>
        <w:t>S</w:t>
      </w:r>
      <w:r w:rsidRPr="00CD1576">
        <w:t>tudy P201 Part B.</w:t>
      </w:r>
    </w:p>
    <w:p w14:paraId="7A012E17" w14:textId="14B76611" w:rsidR="00346229" w:rsidRPr="00D0443C" w:rsidRDefault="00346229" w:rsidP="00346229">
      <w:r w:rsidRPr="00D0443C">
        <w:t>Neutralising antibody titres against ancestral SARS-CoV-2, and the Beta, Delta, and Omicron variants were overall numerically higher in participants who received the mRNA</w:t>
      </w:r>
      <w:r>
        <w:noBreakHyphen/>
      </w:r>
      <w:r w:rsidRPr="00D0443C">
        <w:t>1273.211</w:t>
      </w:r>
      <w:r>
        <w:t xml:space="preserve"> at</w:t>
      </w:r>
      <w:r w:rsidRPr="00D0443C">
        <w:t xml:space="preserve"> 50 </w:t>
      </w:r>
      <w:proofErr w:type="spellStart"/>
      <w:r w:rsidRPr="00D0443C">
        <w:t>μg</w:t>
      </w:r>
      <w:proofErr w:type="spellEnd"/>
      <w:r w:rsidRPr="00D0443C">
        <w:t xml:space="preserve"> booster dose compared to participants who received the </w:t>
      </w:r>
      <w:r w:rsidR="0045203F">
        <w:t xml:space="preserve">monovalent vaccine (elasomeran) </w:t>
      </w:r>
      <w:r>
        <w:t>at</w:t>
      </w:r>
      <w:r w:rsidR="0045203F">
        <w:t xml:space="preserve"> a</w:t>
      </w:r>
      <w:r>
        <w:t xml:space="preserve"> </w:t>
      </w:r>
      <w:r w:rsidRPr="00D0443C">
        <w:t xml:space="preserve">50 </w:t>
      </w:r>
      <w:proofErr w:type="spellStart"/>
      <w:r w:rsidRPr="00D0443C">
        <w:t>μg</w:t>
      </w:r>
      <w:proofErr w:type="spellEnd"/>
      <w:r w:rsidRPr="00D0443C">
        <w:t xml:space="preserve"> booster dose.</w:t>
      </w:r>
    </w:p>
    <w:p w14:paraId="1A52154E" w14:textId="168FC833" w:rsidR="00346229" w:rsidRPr="00CD1576" w:rsidRDefault="00346229" w:rsidP="00346229">
      <w:r w:rsidRPr="00CD1576">
        <w:lastRenderedPageBreak/>
        <w:t xml:space="preserve">The data show that at the Day 181 timepoint, the neutralising immune response to the bivalent vaccine mRNA-1273.211 wanes but does not return to </w:t>
      </w:r>
      <w:r w:rsidR="0045203F">
        <w:t>B</w:t>
      </w:r>
      <w:r w:rsidRPr="00CD1576">
        <w:t xml:space="preserve">aseline, for all tested variants. In addition, based on an external comparison, the apparent benefit of </w:t>
      </w:r>
      <w:r w:rsidR="00A94B81">
        <w:t>the</w:t>
      </w:r>
      <w:r w:rsidR="00C916A9">
        <w:t xml:space="preserve"> related</w:t>
      </w:r>
      <w:r w:rsidR="00A94B81">
        <w:t xml:space="preserve"> bivalent</w:t>
      </w:r>
      <w:r w:rsidR="00C916A9">
        <w:t xml:space="preserve"> Beta variant targeting vaccine</w:t>
      </w:r>
      <w:r w:rsidR="00A94B81">
        <w:t xml:space="preserve"> </w:t>
      </w:r>
      <w:r w:rsidR="00C916A9">
        <w:t>(</w:t>
      </w:r>
      <w:r w:rsidRPr="00CD1576">
        <w:t>mRNA</w:t>
      </w:r>
      <w:r>
        <w:noBreakHyphen/>
      </w:r>
      <w:r w:rsidRPr="00CD1576">
        <w:t>1273</w:t>
      </w:r>
      <w:r w:rsidR="00A94B81">
        <w:t>.</w:t>
      </w:r>
      <w:r w:rsidRPr="00CD1576">
        <w:t>211</w:t>
      </w:r>
      <w:r w:rsidR="00C916A9">
        <w:t>)</w:t>
      </w:r>
      <w:r w:rsidR="00A94B81">
        <w:t xml:space="preserve"> </w:t>
      </w:r>
      <w:r w:rsidRPr="00CD1576">
        <w:t xml:space="preserve">over </w:t>
      </w:r>
      <w:r w:rsidR="00C916A9">
        <w:t xml:space="preserve">the </w:t>
      </w:r>
      <w:r w:rsidR="00A94B81">
        <w:t xml:space="preserve">monovalent vaccine (elasomeran) </w:t>
      </w:r>
      <w:r w:rsidRPr="00CD1576">
        <w:t>also persists for all tested variants.</w:t>
      </w:r>
    </w:p>
    <w:p w14:paraId="5A080902" w14:textId="24FFFEBB" w:rsidR="00346229" w:rsidRDefault="00346229" w:rsidP="00346229">
      <w:r w:rsidRPr="00CD1576">
        <w:t>These data suggest some persistence of the neutralising antibodies induced by a bivalent mRNA vaccine against ancestral and variant strains. These data also provide some supportive evidence to extrapolate</w:t>
      </w:r>
      <w:r w:rsidR="00A94B81">
        <w:t xml:space="preserve"> the</w:t>
      </w:r>
      <w:r w:rsidRPr="00CD1576">
        <w:t xml:space="preserve"> </w:t>
      </w:r>
      <w:r w:rsidR="00A94B81">
        <w:t>bivalent vaccine (</w:t>
      </w:r>
      <w:proofErr w:type="spellStart"/>
      <w:r w:rsidR="00A94B81">
        <w:t>elasomeran</w:t>
      </w:r>
      <w:proofErr w:type="spellEnd"/>
      <w:r w:rsidR="00A94B81">
        <w:t xml:space="preserve"> + </w:t>
      </w:r>
      <w:proofErr w:type="spellStart"/>
      <w:r w:rsidR="00A94B81">
        <w:t>imelasomeran</w:t>
      </w:r>
      <w:proofErr w:type="spellEnd"/>
      <w:r w:rsidR="00A94B81">
        <w:t xml:space="preserve">) </w:t>
      </w:r>
      <w:r w:rsidRPr="00CD1576">
        <w:t>to the first booster setting.</w:t>
      </w:r>
    </w:p>
    <w:p w14:paraId="014E69FF" w14:textId="77777777" w:rsidR="00346229" w:rsidRPr="00346229" w:rsidRDefault="00346229" w:rsidP="00346229">
      <w:pPr>
        <w:pStyle w:val="Heading4"/>
      </w:pPr>
      <w:r w:rsidRPr="00346229">
        <w:t>Safety</w:t>
      </w:r>
    </w:p>
    <w:p w14:paraId="38450E10" w14:textId="1A9DA94A" w:rsidR="00346229" w:rsidRDefault="00346229" w:rsidP="00346229">
      <w:r w:rsidRPr="00340B14">
        <w:t xml:space="preserve">These sections present reactogenicity and safety data for the </w:t>
      </w:r>
      <w:r w:rsidR="00A94B81">
        <w:t>bivalent vaccine (</w:t>
      </w:r>
      <w:r w:rsidR="00A94B81" w:rsidRPr="00340B14">
        <w:t>mRNA</w:t>
      </w:r>
      <w:r w:rsidR="00A94B81">
        <w:noBreakHyphen/>
      </w:r>
      <w:r w:rsidR="00A94B81" w:rsidRPr="00340B14">
        <w:t>1273.214</w:t>
      </w:r>
      <w:r w:rsidR="00A94B81">
        <w:t xml:space="preserve">, </w:t>
      </w:r>
      <w:proofErr w:type="spellStart"/>
      <w:r w:rsidR="00A94B81">
        <w:t>elasomeran</w:t>
      </w:r>
      <w:proofErr w:type="spellEnd"/>
      <w:r w:rsidR="00A94B81">
        <w:t xml:space="preserve"> + </w:t>
      </w:r>
      <w:proofErr w:type="spellStart"/>
      <w:r w:rsidR="00A94B81">
        <w:t>imelasomeran</w:t>
      </w:r>
      <w:proofErr w:type="spellEnd"/>
      <w:r w:rsidR="00A94B81">
        <w:t xml:space="preserve">) </w:t>
      </w:r>
      <w:r w:rsidRPr="00340B14">
        <w:t xml:space="preserve">50 </w:t>
      </w:r>
      <w:proofErr w:type="spellStart"/>
      <w:r w:rsidRPr="00977C4C">
        <w:t>μ</w:t>
      </w:r>
      <w:r w:rsidR="00A94B81">
        <w:t>g</w:t>
      </w:r>
      <w:proofErr w:type="spellEnd"/>
      <w:r w:rsidRPr="00340B14">
        <w:t xml:space="preserve"> given as a second booster (</w:t>
      </w:r>
      <w:r>
        <w:t>Study</w:t>
      </w:r>
      <w:r w:rsidR="00A94B81">
        <w:t> </w:t>
      </w:r>
      <w:r w:rsidRPr="00340B14">
        <w:t xml:space="preserve">P205 Part G; N = 437) alongside comparative data for 50 </w:t>
      </w:r>
      <w:proofErr w:type="spellStart"/>
      <w:r w:rsidRPr="00977C4C">
        <w:t>μg</w:t>
      </w:r>
      <w:proofErr w:type="spellEnd"/>
      <w:r>
        <w:t xml:space="preserve"> </w:t>
      </w:r>
      <w:r w:rsidR="00A94B81">
        <w:t>monovalent vaccine (</w:t>
      </w:r>
      <w:proofErr w:type="spellStart"/>
      <w:r w:rsidR="00A94B81">
        <w:t>elasomeran</w:t>
      </w:r>
      <w:proofErr w:type="spellEnd"/>
      <w:r w:rsidR="00A94B81">
        <w:t xml:space="preserve">) </w:t>
      </w:r>
      <w:r w:rsidRPr="00340B14">
        <w:t>given as a second booster (</w:t>
      </w:r>
      <w:r>
        <w:t xml:space="preserve">Study </w:t>
      </w:r>
      <w:r w:rsidRPr="00340B14">
        <w:t>P205 Part F</w:t>
      </w:r>
      <w:r>
        <w:t xml:space="preserve"> cohort 2</w:t>
      </w:r>
      <w:r w:rsidRPr="00340B14">
        <w:t>; N = 377).</w:t>
      </w:r>
    </w:p>
    <w:p w14:paraId="4C395F05" w14:textId="40D79D9F" w:rsidR="00346229" w:rsidRPr="00340B14" w:rsidRDefault="00346229" w:rsidP="00346229">
      <w:r w:rsidRPr="00340B14">
        <w:t>Specifically, median intervals before the booster doses (</w:t>
      </w:r>
      <w:r w:rsidR="001D1FF5">
        <w:t xml:space="preserve">Study </w:t>
      </w:r>
      <w:r w:rsidRPr="00340B14">
        <w:t>P205 Parts G and F) and median</w:t>
      </w:r>
      <w:r>
        <w:t xml:space="preserve"> </w:t>
      </w:r>
      <w:r w:rsidRPr="00340B14">
        <w:t>durations of follow-up after the booster doses are as follows:</w:t>
      </w:r>
    </w:p>
    <w:p w14:paraId="4FFF14A3" w14:textId="5CDC7302" w:rsidR="00346229" w:rsidRPr="00340B14" w:rsidRDefault="00346229" w:rsidP="00346229">
      <w:pPr>
        <w:pStyle w:val="ListBullet"/>
      </w:pPr>
      <w:r w:rsidRPr="00340B14">
        <w:t xml:space="preserve">50 </w:t>
      </w:r>
      <w:proofErr w:type="spellStart"/>
      <w:r w:rsidRPr="00977C4C">
        <w:t>μg</w:t>
      </w:r>
      <w:proofErr w:type="spellEnd"/>
      <w:r w:rsidRPr="00340B14">
        <w:t xml:space="preserve"> </w:t>
      </w:r>
      <w:r w:rsidR="00A94B81">
        <w:t>bivalent vaccine (</w:t>
      </w:r>
      <w:proofErr w:type="spellStart"/>
      <w:r w:rsidR="00A94B81">
        <w:t>elasomeran</w:t>
      </w:r>
      <w:proofErr w:type="spellEnd"/>
      <w:r w:rsidR="00A94B81">
        <w:t xml:space="preserve"> + </w:t>
      </w:r>
      <w:proofErr w:type="spellStart"/>
      <w:r w:rsidR="00A94B81">
        <w:t>imelasomeran</w:t>
      </w:r>
      <w:proofErr w:type="spellEnd"/>
      <w:r w:rsidR="00A94B81">
        <w:t xml:space="preserve">) </w:t>
      </w:r>
      <w:r w:rsidRPr="00340B14">
        <w:t>(</w:t>
      </w:r>
      <w:r>
        <w:t xml:space="preserve">Study </w:t>
      </w:r>
      <w:r w:rsidRPr="00340B14">
        <w:t>P205 Part G) second booster dose: Administered a median of</w:t>
      </w:r>
      <w:r>
        <w:t xml:space="preserve"> </w:t>
      </w:r>
      <w:r w:rsidRPr="00340B14">
        <w:t xml:space="preserve">136 days after a first booster dose of </w:t>
      </w:r>
      <w:r w:rsidR="00A94B81">
        <w:t>monovalent vaccine (</w:t>
      </w:r>
      <w:proofErr w:type="spellStart"/>
      <w:r w:rsidR="00A94B81">
        <w:t>elasomeran</w:t>
      </w:r>
      <w:proofErr w:type="spellEnd"/>
      <w:r w:rsidR="00A94B81">
        <w:t>)</w:t>
      </w:r>
      <w:r w:rsidRPr="00340B14">
        <w:t xml:space="preserve"> </w:t>
      </w:r>
      <w:r>
        <w:t xml:space="preserve">at </w:t>
      </w:r>
      <w:r w:rsidRPr="00340B14">
        <w:t xml:space="preserve">50 </w:t>
      </w:r>
      <w:proofErr w:type="spellStart"/>
      <w:r w:rsidRPr="00977C4C">
        <w:t>μg</w:t>
      </w:r>
      <w:proofErr w:type="spellEnd"/>
      <w:r w:rsidRPr="00340B14">
        <w:t>; median</w:t>
      </w:r>
      <w:r>
        <w:t xml:space="preserve"> </w:t>
      </w:r>
      <w:r w:rsidRPr="00340B14">
        <w:t>follow</w:t>
      </w:r>
      <w:r>
        <w:t xml:space="preserve"> </w:t>
      </w:r>
      <w:r w:rsidRPr="00340B14">
        <w:t>up duration was 43 days (range 22 to 51 days).</w:t>
      </w:r>
    </w:p>
    <w:p w14:paraId="07C7988B" w14:textId="59F220B1" w:rsidR="00346229" w:rsidRDefault="00346229" w:rsidP="00346229">
      <w:pPr>
        <w:pStyle w:val="ListBullet"/>
      </w:pPr>
      <w:r w:rsidRPr="00340B14">
        <w:t xml:space="preserve">50 </w:t>
      </w:r>
      <w:proofErr w:type="spellStart"/>
      <w:r w:rsidRPr="00977C4C">
        <w:t>μg</w:t>
      </w:r>
      <w:proofErr w:type="spellEnd"/>
      <w:r w:rsidRPr="00340B14">
        <w:t xml:space="preserve"> </w:t>
      </w:r>
      <w:r w:rsidR="00A94B81">
        <w:t>monovalent vaccine (</w:t>
      </w:r>
      <w:proofErr w:type="spellStart"/>
      <w:r w:rsidR="00A94B81">
        <w:t>elasomeran</w:t>
      </w:r>
      <w:proofErr w:type="spellEnd"/>
      <w:r w:rsidR="00A94B81">
        <w:t xml:space="preserve">) </w:t>
      </w:r>
      <w:r w:rsidRPr="00340B14">
        <w:t>(</w:t>
      </w:r>
      <w:r>
        <w:t xml:space="preserve">Study </w:t>
      </w:r>
      <w:r w:rsidRPr="00340B14">
        <w:t>P205 Part F) second booster dose: Administered a median of 134 days</w:t>
      </w:r>
      <w:r>
        <w:t xml:space="preserve"> </w:t>
      </w:r>
      <w:r w:rsidRPr="00340B14">
        <w:t xml:space="preserve">after a first booster dose of </w:t>
      </w:r>
      <w:r w:rsidR="00A94B81">
        <w:t>monovalent vaccine (</w:t>
      </w:r>
      <w:proofErr w:type="spellStart"/>
      <w:r w:rsidR="00A94B81">
        <w:t>elasomeran</w:t>
      </w:r>
      <w:proofErr w:type="spellEnd"/>
      <w:r w:rsidR="00A94B81">
        <w:t xml:space="preserve">) </w:t>
      </w:r>
      <w:r>
        <w:t xml:space="preserve">at </w:t>
      </w:r>
      <w:r w:rsidRPr="00340B14">
        <w:t xml:space="preserve">50 </w:t>
      </w:r>
      <w:proofErr w:type="spellStart"/>
      <w:r w:rsidRPr="00977C4C">
        <w:t>μg</w:t>
      </w:r>
      <w:proofErr w:type="spellEnd"/>
      <w:r w:rsidRPr="00340B14">
        <w:t>; median follow</w:t>
      </w:r>
      <w:r>
        <w:t xml:space="preserve"> </w:t>
      </w:r>
      <w:r w:rsidRPr="00340B14">
        <w:t>up duration</w:t>
      </w:r>
      <w:r>
        <w:t xml:space="preserve"> </w:t>
      </w:r>
      <w:r w:rsidRPr="00340B14">
        <w:t>was 57 days (range 51 to 66 days)</w:t>
      </w:r>
      <w:r>
        <w:t>.</w:t>
      </w:r>
    </w:p>
    <w:p w14:paraId="0F33D27C" w14:textId="0DCF5510" w:rsidR="00346229" w:rsidRDefault="00346229" w:rsidP="00346229">
      <w:r w:rsidRPr="00340B14">
        <w:t xml:space="preserve">The safety assessments for </w:t>
      </w:r>
      <w:r>
        <w:t>S</w:t>
      </w:r>
      <w:r w:rsidRPr="00340B14">
        <w:t xml:space="preserve">tudy P205 </w:t>
      </w:r>
      <w:r>
        <w:t>P</w:t>
      </w:r>
      <w:r w:rsidRPr="00340B14">
        <w:t>art G</w:t>
      </w:r>
      <w:r>
        <w:t xml:space="preserve"> </w:t>
      </w:r>
      <w:r w:rsidRPr="00340B14">
        <w:t xml:space="preserve">and </w:t>
      </w:r>
      <w:r>
        <w:t>F</w:t>
      </w:r>
      <w:r w:rsidRPr="00340B14">
        <w:t xml:space="preserve"> were as follows:</w:t>
      </w:r>
    </w:p>
    <w:p w14:paraId="521E852F" w14:textId="4901BD1C" w:rsidR="00346229" w:rsidRDefault="00346229" w:rsidP="00346229">
      <w:pPr>
        <w:pStyle w:val="ListBullet"/>
      </w:pPr>
      <w:r w:rsidRPr="00340B14">
        <w:t xml:space="preserve">Solicited local and systemic </w:t>
      </w:r>
      <w:r>
        <w:t>adverse reaction</w:t>
      </w:r>
      <w:r w:rsidRPr="00340B14">
        <w:t xml:space="preserve">s during the </w:t>
      </w:r>
      <w:r w:rsidR="001D1FF5">
        <w:t>seven</w:t>
      </w:r>
      <w:r>
        <w:t xml:space="preserve"> </w:t>
      </w:r>
      <w:r w:rsidRPr="00340B14">
        <w:t>day follow</w:t>
      </w:r>
      <w:r>
        <w:t xml:space="preserve"> </w:t>
      </w:r>
      <w:r w:rsidRPr="00340B14">
        <w:t>up period after vaccination.</w:t>
      </w:r>
    </w:p>
    <w:p w14:paraId="77E8475E" w14:textId="38DD04C9" w:rsidR="00346229" w:rsidRDefault="00346229" w:rsidP="00346229">
      <w:pPr>
        <w:pStyle w:val="ListBullet"/>
      </w:pPr>
      <w:r w:rsidRPr="00340B14">
        <w:t xml:space="preserve">Unsolicited </w:t>
      </w:r>
      <w:r w:rsidR="00A94B81">
        <w:t>adverse events (AEs)</w:t>
      </w:r>
      <w:r w:rsidRPr="00340B14">
        <w:t xml:space="preserve"> during the 28</w:t>
      </w:r>
      <w:r>
        <w:t xml:space="preserve"> </w:t>
      </w:r>
      <w:r w:rsidRPr="00340B14">
        <w:t>day follow</w:t>
      </w:r>
      <w:r>
        <w:t xml:space="preserve"> </w:t>
      </w:r>
      <w:r w:rsidRPr="00340B14">
        <w:t>up period after vaccination. This includes any</w:t>
      </w:r>
      <w:r>
        <w:t xml:space="preserve"> </w:t>
      </w:r>
      <w:r w:rsidRPr="00340B14">
        <w:t xml:space="preserve">AE reported by the participant that is not specified as a solicited </w:t>
      </w:r>
      <w:r w:rsidR="001D1FF5">
        <w:t>adverse reaction</w:t>
      </w:r>
      <w:r w:rsidRPr="00340B14">
        <w:t xml:space="preserve"> in the protocol or is</w:t>
      </w:r>
      <w:r>
        <w:t xml:space="preserve"> </w:t>
      </w:r>
      <w:r w:rsidRPr="00340B14">
        <w:t xml:space="preserve">specified as a solicited </w:t>
      </w:r>
      <w:r w:rsidR="001D1FF5">
        <w:t>adverse reaction</w:t>
      </w:r>
      <w:r w:rsidR="001D1FF5" w:rsidRPr="00340B14">
        <w:t xml:space="preserve"> </w:t>
      </w:r>
      <w:r w:rsidRPr="00340B14">
        <w:t>but starts outside the protocol-defined period for reporting</w:t>
      </w:r>
      <w:r>
        <w:t xml:space="preserve"> </w:t>
      </w:r>
      <w:r w:rsidRPr="00340B14">
        <w:t xml:space="preserve">solicited </w:t>
      </w:r>
      <w:r w:rsidR="001D1FF5">
        <w:t>adverse reaction</w:t>
      </w:r>
      <w:r w:rsidR="001D1FF5" w:rsidRPr="00340B14">
        <w:t xml:space="preserve"> </w:t>
      </w:r>
      <w:r w:rsidRPr="00340B14">
        <w:t>s (</w:t>
      </w:r>
      <w:r w:rsidR="005B3E47">
        <w:t>that is</w:t>
      </w:r>
      <w:r w:rsidRPr="00340B14">
        <w:t xml:space="preserve"> </w:t>
      </w:r>
      <w:r w:rsidR="001D1FF5">
        <w:t>seven</w:t>
      </w:r>
      <w:r w:rsidRPr="00340B14">
        <w:t xml:space="preserve"> days after vaccination).</w:t>
      </w:r>
    </w:p>
    <w:p w14:paraId="2506E58C" w14:textId="34C1C8E0" w:rsidR="00346229" w:rsidRDefault="00A94B81" w:rsidP="00346229">
      <w:pPr>
        <w:pStyle w:val="ListBullet"/>
      </w:pPr>
      <w:proofErr w:type="gramStart"/>
      <w:r>
        <w:t>Serious adverse events (SAEs)</w:t>
      </w:r>
      <w:r w:rsidR="00346229">
        <w:t>,</w:t>
      </w:r>
      <w:proofErr w:type="gramEnd"/>
      <w:r>
        <w:t xml:space="preserve"> medically attended adverse events (</w:t>
      </w:r>
      <w:r w:rsidR="00346229">
        <w:t>MAAEs</w:t>
      </w:r>
      <w:r>
        <w:t>)</w:t>
      </w:r>
      <w:r w:rsidR="00346229">
        <w:t xml:space="preserve">, AEs leading to withdrawal and </w:t>
      </w:r>
      <w:r>
        <w:t xml:space="preserve">adverse events of special interest (AESI) </w:t>
      </w:r>
      <w:r w:rsidR="00346229">
        <w:t>throughout the studies until the data cut</w:t>
      </w:r>
      <w:r>
        <w:t>-</w:t>
      </w:r>
      <w:r w:rsidR="00346229">
        <w:t>off (27 Apr</w:t>
      </w:r>
      <w:r w:rsidR="001D1FF5">
        <w:t>il</w:t>
      </w:r>
      <w:r w:rsidR="00346229">
        <w:t xml:space="preserve"> 2022).</w:t>
      </w:r>
    </w:p>
    <w:p w14:paraId="14A10434" w14:textId="62CDCA1F" w:rsidR="00346229" w:rsidRDefault="00346229" w:rsidP="005B3E47">
      <w:pPr>
        <w:pStyle w:val="Heading5"/>
      </w:pPr>
      <w:r w:rsidRPr="0091778A">
        <w:t xml:space="preserve">Solicited </w:t>
      </w:r>
      <w:r w:rsidR="005B3E47">
        <w:t>a</w:t>
      </w:r>
      <w:r w:rsidRPr="0091778A">
        <w:t xml:space="preserve">dverse </w:t>
      </w:r>
      <w:r w:rsidR="005B3E47">
        <w:t>r</w:t>
      </w:r>
      <w:r w:rsidRPr="0091778A">
        <w:t>eactions</w:t>
      </w:r>
    </w:p>
    <w:p w14:paraId="002AF84A" w14:textId="1200077D" w:rsidR="00346229" w:rsidRDefault="00346229" w:rsidP="005B3E47">
      <w:r w:rsidRPr="0033248C">
        <w:t>For reactogenicity assessments,</w:t>
      </w:r>
      <w:r w:rsidRPr="0091778A">
        <w:t xml:space="preserve"> participants recorded solicited local and systemic </w:t>
      </w:r>
      <w:r w:rsidR="005B3E47" w:rsidRPr="005B3E47">
        <w:t>adverse reactions</w:t>
      </w:r>
      <w:r w:rsidRPr="0091778A">
        <w:t xml:space="preserve"> in the</w:t>
      </w:r>
      <w:r>
        <w:t xml:space="preserve"> </w:t>
      </w:r>
      <w:proofErr w:type="spellStart"/>
      <w:r w:rsidRPr="0091778A">
        <w:t>eDiary</w:t>
      </w:r>
      <w:proofErr w:type="spellEnd"/>
      <w:r w:rsidRPr="0091778A">
        <w:t xml:space="preserve"> on the day of vaccination and during the </w:t>
      </w:r>
      <w:r w:rsidR="001D1FF5">
        <w:t>seven</w:t>
      </w:r>
      <w:r w:rsidRPr="0091778A">
        <w:t xml:space="preserve"> days after vaccination (</w:t>
      </w:r>
      <w:r w:rsidR="005B3E47">
        <w:t>that is</w:t>
      </w:r>
      <w:r w:rsidRPr="0091778A">
        <w:t xml:space="preserve"> the day of injection</w:t>
      </w:r>
      <w:r>
        <w:t xml:space="preserve"> </w:t>
      </w:r>
      <w:r w:rsidRPr="0091778A">
        <w:t xml:space="preserve">and </w:t>
      </w:r>
      <w:r w:rsidR="005B3E47">
        <w:t>six</w:t>
      </w:r>
      <w:r w:rsidRPr="0091778A">
        <w:t xml:space="preserve"> subsequent days). Solicited local </w:t>
      </w:r>
      <w:r w:rsidR="005B3E47" w:rsidRPr="005B3E47">
        <w:t>adverse reactions</w:t>
      </w:r>
      <w:r w:rsidRPr="0091778A">
        <w:t xml:space="preserve"> assessed were injection site pain, injection site</w:t>
      </w:r>
      <w:r>
        <w:t xml:space="preserve"> </w:t>
      </w:r>
      <w:r w:rsidRPr="0091778A">
        <w:t xml:space="preserve">erythema, injection site swelling/induration, and axillary swelling or tenderness ipsilateral to the side of the injection. Solicited systemic </w:t>
      </w:r>
      <w:r w:rsidR="005B3E47" w:rsidRPr="005B3E47">
        <w:t>adverse reactions</w:t>
      </w:r>
      <w:r w:rsidRPr="0091778A">
        <w:t xml:space="preserve"> assessed</w:t>
      </w:r>
      <w:r>
        <w:t xml:space="preserve"> </w:t>
      </w:r>
      <w:r w:rsidRPr="0091778A">
        <w:t>were headache, fatigue, myalgia, arthralgia, nausea/vomiting, chills, and fever (oral temperature).</w:t>
      </w:r>
    </w:p>
    <w:p w14:paraId="0B83E79B" w14:textId="485E9C45" w:rsidR="00346229" w:rsidRDefault="00346229" w:rsidP="005B3E47">
      <w:r w:rsidRPr="0091778A">
        <w:t xml:space="preserve">Severity grading of solicited </w:t>
      </w:r>
      <w:r w:rsidR="005B3E47" w:rsidRPr="005B3E47">
        <w:t>adverse reactions</w:t>
      </w:r>
      <w:r w:rsidRPr="0091778A">
        <w:t xml:space="preserve"> occurred automatically based on participant entry into the</w:t>
      </w:r>
      <w:r>
        <w:t xml:space="preserve"> </w:t>
      </w:r>
      <w:proofErr w:type="spellStart"/>
      <w:r w:rsidRPr="0091778A">
        <w:t>eDiary</w:t>
      </w:r>
      <w:proofErr w:type="spellEnd"/>
      <w:r w:rsidRPr="0091778A">
        <w:t xml:space="preserve"> according to the grading scales modified from the </w:t>
      </w:r>
      <w:r w:rsidR="001D1FF5">
        <w:t>t</w:t>
      </w:r>
      <w:r w:rsidRPr="00B31097">
        <w:t xml:space="preserve">oxicity </w:t>
      </w:r>
      <w:r w:rsidR="001D1FF5">
        <w:t>g</w:t>
      </w:r>
      <w:r w:rsidRPr="00B31097">
        <w:t xml:space="preserve">rading </w:t>
      </w:r>
      <w:r w:rsidR="001D1FF5">
        <w:t>s</w:t>
      </w:r>
      <w:r w:rsidRPr="00B31097">
        <w:t xml:space="preserve">cale for </w:t>
      </w:r>
      <w:r w:rsidR="001D1FF5">
        <w:t>h</w:t>
      </w:r>
      <w:r w:rsidRPr="00B31097">
        <w:t xml:space="preserve">ealthy </w:t>
      </w:r>
      <w:r w:rsidR="001D1FF5">
        <w:t>a</w:t>
      </w:r>
      <w:r w:rsidRPr="00B31097">
        <w:t xml:space="preserve">dult and </w:t>
      </w:r>
      <w:r w:rsidR="001D1FF5">
        <w:t>a</w:t>
      </w:r>
      <w:r w:rsidRPr="00B31097">
        <w:t xml:space="preserve">dolescent </w:t>
      </w:r>
      <w:r w:rsidR="001D1FF5">
        <w:t>v</w:t>
      </w:r>
      <w:r w:rsidRPr="00B31097">
        <w:t xml:space="preserve">olunteers </w:t>
      </w:r>
      <w:r w:rsidR="001D1FF5">
        <w:t>e</w:t>
      </w:r>
      <w:r w:rsidRPr="00B31097">
        <w:t xml:space="preserve">nrolled in </w:t>
      </w:r>
      <w:r w:rsidR="001D1FF5">
        <w:t>p</w:t>
      </w:r>
      <w:r w:rsidRPr="00B31097">
        <w:t xml:space="preserve">reventive </w:t>
      </w:r>
      <w:r w:rsidR="001D1FF5">
        <w:t>v</w:t>
      </w:r>
      <w:r w:rsidRPr="00B31097">
        <w:t xml:space="preserve">accine </w:t>
      </w:r>
      <w:r w:rsidR="001D1FF5">
        <w:lastRenderedPageBreak/>
        <w:t>c</w:t>
      </w:r>
      <w:r w:rsidRPr="00B31097">
        <w:t xml:space="preserve">linical </w:t>
      </w:r>
      <w:r w:rsidR="001D1FF5">
        <w:t>t</w:t>
      </w:r>
      <w:r w:rsidRPr="00B31097">
        <w:t>rials.</w:t>
      </w:r>
      <w:r w:rsidR="00B31097" w:rsidRPr="00B31097">
        <w:rPr>
          <w:rStyle w:val="FootnoteReference"/>
        </w:rPr>
        <w:footnoteReference w:id="48"/>
      </w:r>
      <w:r w:rsidRPr="00B31097">
        <w:t xml:space="preserve"> Any solicited</w:t>
      </w:r>
      <w:r w:rsidRPr="0091778A">
        <w:t xml:space="preserve"> </w:t>
      </w:r>
      <w:r w:rsidR="005B3E47" w:rsidRPr="005B3E47">
        <w:t>adverse reaction</w:t>
      </w:r>
      <w:r w:rsidRPr="0091778A">
        <w:t xml:space="preserve"> that was ongoing beyond Day 7 was to be reported in the </w:t>
      </w:r>
      <w:proofErr w:type="spellStart"/>
      <w:r w:rsidRPr="0091778A">
        <w:t>eDiary</w:t>
      </w:r>
      <w:proofErr w:type="spellEnd"/>
      <w:r w:rsidRPr="0091778A">
        <w:t xml:space="preserve"> until it</w:t>
      </w:r>
      <w:r>
        <w:t xml:space="preserve"> </w:t>
      </w:r>
      <w:r w:rsidRPr="0091778A">
        <w:t>resolved.</w:t>
      </w:r>
    </w:p>
    <w:p w14:paraId="5E58EC0A" w14:textId="3BCC3317" w:rsidR="00346229" w:rsidRDefault="00346229" w:rsidP="005B3E47">
      <w:pPr>
        <w:pStyle w:val="Heading5"/>
      </w:pPr>
      <w:r w:rsidRPr="0091778A">
        <w:t xml:space="preserve">Solicited </w:t>
      </w:r>
      <w:r w:rsidR="005B3E47">
        <w:t>l</w:t>
      </w:r>
      <w:r w:rsidRPr="0091778A">
        <w:t xml:space="preserve">ocal </w:t>
      </w:r>
      <w:r w:rsidR="005B3E47">
        <w:t>a</w:t>
      </w:r>
      <w:r w:rsidRPr="0091778A">
        <w:t xml:space="preserve">dverse </w:t>
      </w:r>
      <w:r w:rsidR="005B3E47">
        <w:t>r</w:t>
      </w:r>
      <w:r w:rsidRPr="0091778A">
        <w:t>eactions</w:t>
      </w:r>
    </w:p>
    <w:p w14:paraId="146435D6" w14:textId="67CD1CE5" w:rsidR="00346229" w:rsidRPr="005B3E47" w:rsidRDefault="00346229" w:rsidP="005B3E47">
      <w:r w:rsidRPr="005B3E47">
        <w:t xml:space="preserve">In the </w:t>
      </w:r>
      <w:r w:rsidR="00A94B81" w:rsidRPr="005B3E47">
        <w:t xml:space="preserve">50 </w:t>
      </w:r>
      <w:proofErr w:type="spellStart"/>
      <w:r w:rsidR="00A94B81" w:rsidRPr="005B3E47">
        <w:t>μg</w:t>
      </w:r>
      <w:proofErr w:type="spellEnd"/>
      <w:r w:rsidR="00A94B81" w:rsidRPr="005B3E47">
        <w:t xml:space="preserve"> </w:t>
      </w:r>
      <w:r w:rsidR="00A94B81">
        <w:t>booster dose bivalent vaccine (</w:t>
      </w:r>
      <w:proofErr w:type="spellStart"/>
      <w:r w:rsidR="00A94B81">
        <w:t>elasomeran</w:t>
      </w:r>
      <w:proofErr w:type="spellEnd"/>
      <w:r w:rsidR="00A94B81">
        <w:t xml:space="preserve"> + </w:t>
      </w:r>
      <w:proofErr w:type="spellStart"/>
      <w:r w:rsidR="00A94B81">
        <w:t>imelasomeran</w:t>
      </w:r>
      <w:proofErr w:type="spellEnd"/>
      <w:r w:rsidR="00A94B81">
        <w:t xml:space="preserve">) </w:t>
      </w:r>
      <w:r w:rsidRPr="005B3E47">
        <w:t>group (</w:t>
      </w:r>
      <w:r w:rsidR="005B3E47">
        <w:t>Study</w:t>
      </w:r>
      <w:r w:rsidR="00A94B81">
        <w:t> </w:t>
      </w:r>
      <w:r w:rsidR="005B3E47">
        <w:t xml:space="preserve">P205 </w:t>
      </w:r>
      <w:r w:rsidRPr="005B3E47">
        <w:t xml:space="preserve">Part G), most participants had at least one solicited local </w:t>
      </w:r>
      <w:r w:rsidR="005B3E47">
        <w:t>adverse reaction</w:t>
      </w:r>
      <w:r w:rsidRPr="005B3E47">
        <w:t xml:space="preserve"> (347</w:t>
      </w:r>
      <w:r w:rsidR="005B3E47">
        <w:t xml:space="preserve"> out of </w:t>
      </w:r>
      <w:r w:rsidRPr="005B3E47">
        <w:t xml:space="preserve">437 </w:t>
      </w:r>
      <w:r w:rsidR="00A94B81">
        <w:t>(</w:t>
      </w:r>
      <w:r w:rsidRPr="005B3E47">
        <w:t>79.4%</w:t>
      </w:r>
      <w:r w:rsidR="00A94B81">
        <w:t>)</w:t>
      </w:r>
      <w:r w:rsidRPr="005B3E47">
        <w:t xml:space="preserve">). The most common solicited local </w:t>
      </w:r>
      <w:r w:rsidR="005B3E47">
        <w:t>adverse reaction</w:t>
      </w:r>
      <w:r w:rsidRPr="005B3E47">
        <w:t xml:space="preserve"> after the mRNA-1273.214 </w:t>
      </w:r>
      <w:r w:rsidR="005B3E47">
        <w:t xml:space="preserve">at </w:t>
      </w:r>
      <w:r w:rsidRPr="005B3E47">
        <w:t xml:space="preserve">50 </w:t>
      </w:r>
      <w:proofErr w:type="spellStart"/>
      <w:r w:rsidRPr="005B3E47">
        <w:t>μg</w:t>
      </w:r>
      <w:proofErr w:type="spellEnd"/>
      <w:r w:rsidRPr="005B3E47">
        <w:t xml:space="preserve"> booster dose was pain (338</w:t>
      </w:r>
      <w:r w:rsidR="005B3E47">
        <w:t xml:space="preserve"> out of </w:t>
      </w:r>
      <w:r w:rsidRPr="005B3E47">
        <w:t xml:space="preserve">437 participants </w:t>
      </w:r>
      <w:r w:rsidR="00A94B81">
        <w:t>(</w:t>
      </w:r>
      <w:r w:rsidRPr="005B3E47">
        <w:t>77.3%</w:t>
      </w:r>
      <w:r w:rsidR="00A94B81">
        <w:t>)</w:t>
      </w:r>
      <w:r w:rsidRPr="005B3E47">
        <w:t>), followed by axillary swelling or tenderness (76</w:t>
      </w:r>
      <w:r w:rsidR="005B3E47">
        <w:t xml:space="preserve"> out of </w:t>
      </w:r>
      <w:r w:rsidRPr="005B3E47">
        <w:t xml:space="preserve">437 participants </w:t>
      </w:r>
      <w:r w:rsidR="00A94B81">
        <w:t>(</w:t>
      </w:r>
      <w:r w:rsidRPr="005B3E47">
        <w:t>17.4%</w:t>
      </w:r>
      <w:r w:rsidR="00A94B81">
        <w:t>)</w:t>
      </w:r>
      <w:r w:rsidRPr="005B3E47">
        <w:t xml:space="preserve">). The majority of solicited local </w:t>
      </w:r>
      <w:r w:rsidR="005B3E47">
        <w:t>adverse reactions</w:t>
      </w:r>
      <w:r w:rsidRPr="005B3E47">
        <w:t xml:space="preserve"> were Grade 1 (291</w:t>
      </w:r>
      <w:r w:rsidR="005B3E47">
        <w:t xml:space="preserve"> out of </w:t>
      </w:r>
      <w:r w:rsidRPr="005B3E47">
        <w:t xml:space="preserve">437 participants </w:t>
      </w:r>
      <w:r w:rsidR="00A94B81">
        <w:t>(</w:t>
      </w:r>
      <w:r w:rsidRPr="005B3E47">
        <w:t>66.6%</w:t>
      </w:r>
      <w:r w:rsidR="00A94B81">
        <w:t>)</w:t>
      </w:r>
      <w:r w:rsidRPr="005B3E47">
        <w:t>). Fifteen participants (15</w:t>
      </w:r>
      <w:r w:rsidR="005B3E47">
        <w:t xml:space="preserve"> out of </w:t>
      </w:r>
      <w:r w:rsidRPr="005B3E47">
        <w:t xml:space="preserve">437 </w:t>
      </w:r>
      <w:r w:rsidR="00A94B81">
        <w:t>(</w:t>
      </w:r>
      <w:r w:rsidRPr="005B3E47">
        <w:t>3.4%</w:t>
      </w:r>
      <w:r w:rsidR="00A94B81">
        <w:t>)</w:t>
      </w:r>
      <w:r w:rsidRPr="005B3E47">
        <w:t xml:space="preserve">) had a Grade 3 local </w:t>
      </w:r>
      <w:r w:rsidR="005B3E47">
        <w:t>adverse reaction</w:t>
      </w:r>
      <w:r w:rsidRPr="005B3E47">
        <w:t xml:space="preserve"> and the </w:t>
      </w:r>
      <w:proofErr w:type="gramStart"/>
      <w:r w:rsidRPr="005B3E47">
        <w:t>most commonly reported</w:t>
      </w:r>
      <w:proofErr w:type="gramEnd"/>
      <w:r w:rsidRPr="005B3E47">
        <w:t xml:space="preserve"> was erythema (9</w:t>
      </w:r>
      <w:r w:rsidR="005B3E47">
        <w:t xml:space="preserve"> out of </w:t>
      </w:r>
      <w:r w:rsidRPr="005B3E47">
        <w:t xml:space="preserve">437 participants </w:t>
      </w:r>
      <w:r w:rsidR="00A94B81">
        <w:t>(</w:t>
      </w:r>
      <w:r w:rsidRPr="005B3E47">
        <w:t>2.1%</w:t>
      </w:r>
      <w:r w:rsidR="00A94B81">
        <w:t>)</w:t>
      </w:r>
      <w:r w:rsidRPr="005B3E47">
        <w:t xml:space="preserve">). There were no Grade 4 local </w:t>
      </w:r>
      <w:r w:rsidR="005B3E47">
        <w:t>adverse reaction</w:t>
      </w:r>
      <w:r w:rsidRPr="005B3E47">
        <w:t xml:space="preserve">. Local </w:t>
      </w:r>
      <w:r w:rsidR="005B3E47">
        <w:t>adverse reactions</w:t>
      </w:r>
      <w:r w:rsidRPr="005B3E47">
        <w:t xml:space="preserve"> were transient; the median duration was </w:t>
      </w:r>
      <w:r w:rsidR="001D1FF5">
        <w:t>two</w:t>
      </w:r>
      <w:r w:rsidR="005B3E47">
        <w:t xml:space="preserve"> </w:t>
      </w:r>
      <w:r w:rsidRPr="005B3E47">
        <w:t>days (range 1 to 10 days).</w:t>
      </w:r>
    </w:p>
    <w:p w14:paraId="637200BF" w14:textId="2CA4898C" w:rsidR="00346229" w:rsidRPr="005B3E47" w:rsidRDefault="00346229" w:rsidP="005B3E47">
      <w:r w:rsidRPr="005B3E47">
        <w:t xml:space="preserve">In the 50 </w:t>
      </w:r>
      <w:proofErr w:type="spellStart"/>
      <w:r w:rsidRPr="005B3E47">
        <w:t>μg</w:t>
      </w:r>
      <w:proofErr w:type="spellEnd"/>
      <w:r w:rsidRPr="005B3E47">
        <w:t xml:space="preserve"> </w:t>
      </w:r>
      <w:r w:rsidR="00465D7E">
        <w:t>monovalent vaccine (</w:t>
      </w:r>
      <w:proofErr w:type="spellStart"/>
      <w:r w:rsidR="00465D7E">
        <w:t>elasomeran</w:t>
      </w:r>
      <w:proofErr w:type="spellEnd"/>
      <w:r w:rsidR="00465D7E">
        <w:t xml:space="preserve">) </w:t>
      </w:r>
      <w:r w:rsidRPr="005B3E47">
        <w:t>booster dose group (</w:t>
      </w:r>
      <w:r w:rsidR="005B3E47">
        <w:t xml:space="preserve">Study P205 </w:t>
      </w:r>
      <w:r w:rsidRPr="005B3E47">
        <w:t xml:space="preserve">Part F), most participants had at least </w:t>
      </w:r>
      <w:r w:rsidR="005B3E47">
        <w:t>one</w:t>
      </w:r>
      <w:r w:rsidRPr="005B3E47">
        <w:t xml:space="preserve"> solicited local </w:t>
      </w:r>
      <w:r w:rsidR="005B3E47">
        <w:t>adverse reaction</w:t>
      </w:r>
      <w:r w:rsidRPr="005B3E47">
        <w:t xml:space="preserve"> (279</w:t>
      </w:r>
      <w:r w:rsidR="001D1FF5">
        <w:t xml:space="preserve"> out of </w:t>
      </w:r>
      <w:r w:rsidRPr="005B3E47">
        <w:t xml:space="preserve">351 </w:t>
      </w:r>
      <w:r w:rsidR="00465D7E">
        <w:t>(</w:t>
      </w:r>
      <w:r w:rsidRPr="005B3E47">
        <w:t>79.5%</w:t>
      </w:r>
      <w:r w:rsidR="00465D7E">
        <w:t>)</w:t>
      </w:r>
      <w:r w:rsidRPr="005B3E47">
        <w:t xml:space="preserve">). Pain was the most common solicited local </w:t>
      </w:r>
      <w:r w:rsidR="005B3E47">
        <w:t>adverse reaction</w:t>
      </w:r>
      <w:r w:rsidRPr="005B3E47">
        <w:t xml:space="preserve"> after the </w:t>
      </w:r>
      <w:r w:rsidR="00465D7E">
        <w:t>monovalent vaccine (</w:t>
      </w:r>
      <w:proofErr w:type="spellStart"/>
      <w:r w:rsidR="00465D7E">
        <w:t>elasomeran</w:t>
      </w:r>
      <w:proofErr w:type="spellEnd"/>
      <w:r w:rsidR="00465D7E">
        <w:t>)</w:t>
      </w:r>
      <w:r w:rsidR="00E865BF">
        <w:t xml:space="preserve"> </w:t>
      </w:r>
      <w:r w:rsidR="005B3E47">
        <w:t xml:space="preserve">at </w:t>
      </w:r>
      <w:r w:rsidRPr="005B3E47">
        <w:t xml:space="preserve">50 </w:t>
      </w:r>
      <w:proofErr w:type="spellStart"/>
      <w:r w:rsidRPr="005B3E47">
        <w:t>μg</w:t>
      </w:r>
      <w:proofErr w:type="spellEnd"/>
      <w:r w:rsidRPr="005B3E47">
        <w:t xml:space="preserve"> booster dose (269</w:t>
      </w:r>
      <w:r w:rsidR="005B3E47">
        <w:t xml:space="preserve"> out of </w:t>
      </w:r>
      <w:r w:rsidRPr="005B3E47">
        <w:t xml:space="preserve">351 participants </w:t>
      </w:r>
      <w:r w:rsidR="00465D7E">
        <w:t>(</w:t>
      </w:r>
      <w:r w:rsidRPr="005B3E47">
        <w:t>76.6%</w:t>
      </w:r>
      <w:r w:rsidR="00465D7E">
        <w:t>)</w:t>
      </w:r>
      <w:r w:rsidRPr="005B3E47">
        <w:t>), followed by axillary swelling or tenderness (54</w:t>
      </w:r>
      <w:r w:rsidR="005B3E47">
        <w:t xml:space="preserve"> out of </w:t>
      </w:r>
      <w:r w:rsidRPr="005B3E47">
        <w:t xml:space="preserve">351 participants </w:t>
      </w:r>
      <w:r w:rsidR="00465D7E">
        <w:t>(</w:t>
      </w:r>
      <w:r w:rsidRPr="005B3E47">
        <w:t>15.4%</w:t>
      </w:r>
      <w:r w:rsidR="00465D7E">
        <w:t>)</w:t>
      </w:r>
      <w:r w:rsidRPr="005B3E47">
        <w:t xml:space="preserve">). The majority of solicited local </w:t>
      </w:r>
      <w:r w:rsidR="005B3E47">
        <w:t>adverse reactions</w:t>
      </w:r>
      <w:r w:rsidRPr="005B3E47">
        <w:t xml:space="preserve"> were Grade 1 (239</w:t>
      </w:r>
      <w:r w:rsidR="005B3E47">
        <w:t xml:space="preserve"> out of </w:t>
      </w:r>
      <w:r w:rsidRPr="005B3E47">
        <w:t>351 [68.1%]). Twelve participants (1</w:t>
      </w:r>
      <w:r w:rsidR="005B3E47">
        <w:t xml:space="preserve">2 out of </w:t>
      </w:r>
      <w:r w:rsidRPr="005B3E47">
        <w:t xml:space="preserve">359 </w:t>
      </w:r>
      <w:r w:rsidR="00465D7E">
        <w:t>(</w:t>
      </w:r>
      <w:r w:rsidRPr="005B3E47">
        <w:t>3.4%</w:t>
      </w:r>
      <w:r w:rsidR="00465D7E">
        <w:t>)</w:t>
      </w:r>
      <w:r w:rsidRPr="005B3E47">
        <w:t xml:space="preserve">) had a Grade 3 local </w:t>
      </w:r>
      <w:r w:rsidR="005B3E47">
        <w:t>adverse reaction</w:t>
      </w:r>
      <w:r w:rsidRPr="005B3E47">
        <w:t xml:space="preserve"> and the </w:t>
      </w:r>
      <w:proofErr w:type="gramStart"/>
      <w:r w:rsidRPr="005B3E47">
        <w:t>most commonly reported</w:t>
      </w:r>
      <w:proofErr w:type="gramEnd"/>
      <w:r w:rsidRPr="005B3E47">
        <w:t xml:space="preserve"> was swelling (</w:t>
      </w:r>
      <w:r w:rsidR="005B3E47">
        <w:t xml:space="preserve">5 out of </w:t>
      </w:r>
      <w:r w:rsidRPr="005B3E47">
        <w:t xml:space="preserve">351 participants </w:t>
      </w:r>
      <w:r w:rsidR="00465D7E">
        <w:t>(</w:t>
      </w:r>
      <w:r w:rsidRPr="005B3E47">
        <w:t>1.4%</w:t>
      </w:r>
      <w:r w:rsidR="00465D7E">
        <w:t>)</w:t>
      </w:r>
      <w:r w:rsidRPr="005B3E47">
        <w:t xml:space="preserve">). No Grade 4 solicited local </w:t>
      </w:r>
      <w:r w:rsidR="005B3E47">
        <w:t>adverse reactions</w:t>
      </w:r>
      <w:r w:rsidRPr="005B3E47">
        <w:t xml:space="preserve"> were reported. Local </w:t>
      </w:r>
      <w:r w:rsidR="005B3E47">
        <w:t>adverse reactions</w:t>
      </w:r>
      <w:r w:rsidRPr="005B3E47">
        <w:t xml:space="preserve"> were transient; the median duration was </w:t>
      </w:r>
      <w:r w:rsidR="001D1FF5">
        <w:t>two</w:t>
      </w:r>
      <w:r w:rsidRPr="005B3E47">
        <w:t xml:space="preserve"> days (range 1 to 22 days).</w:t>
      </w:r>
    </w:p>
    <w:p w14:paraId="27938D75" w14:textId="61DC8EB9" w:rsidR="00346229" w:rsidRPr="00CC3D2B" w:rsidRDefault="00346229" w:rsidP="00CC3D2B">
      <w:pPr>
        <w:pStyle w:val="Heading5"/>
      </w:pPr>
      <w:r w:rsidRPr="00CC3D2B">
        <w:t xml:space="preserve">Solicited </w:t>
      </w:r>
      <w:r w:rsidR="00540619">
        <w:t>s</w:t>
      </w:r>
      <w:r w:rsidRPr="00CC3D2B">
        <w:t xml:space="preserve">ystemic </w:t>
      </w:r>
      <w:r w:rsidR="00540619">
        <w:t>r</w:t>
      </w:r>
      <w:r w:rsidRPr="00CC3D2B">
        <w:t>eactions</w:t>
      </w:r>
    </w:p>
    <w:p w14:paraId="62A694D3" w14:textId="72A6B3F7" w:rsidR="00346229" w:rsidRPr="005B3E47" w:rsidRDefault="00346229" w:rsidP="005B3E47">
      <w:r w:rsidRPr="00540619">
        <w:t xml:space="preserve">In the 50 </w:t>
      </w:r>
      <w:proofErr w:type="spellStart"/>
      <w:r w:rsidRPr="00540619">
        <w:t>μg</w:t>
      </w:r>
      <w:proofErr w:type="spellEnd"/>
      <w:r w:rsidRPr="00540619">
        <w:t xml:space="preserve"> </w:t>
      </w:r>
      <w:r w:rsidR="00465D7E">
        <w:t>bivalent vaccine (</w:t>
      </w:r>
      <w:proofErr w:type="spellStart"/>
      <w:r w:rsidR="00465D7E">
        <w:t>elasomeran</w:t>
      </w:r>
      <w:proofErr w:type="spellEnd"/>
      <w:r w:rsidR="00465D7E">
        <w:t xml:space="preserve"> + </w:t>
      </w:r>
      <w:proofErr w:type="spellStart"/>
      <w:r w:rsidR="00465D7E">
        <w:t>imelasomeran</w:t>
      </w:r>
      <w:proofErr w:type="spellEnd"/>
      <w:r w:rsidR="00465D7E">
        <w:t xml:space="preserve">) </w:t>
      </w:r>
      <w:r w:rsidRPr="00540619">
        <w:t>booster dose group (</w:t>
      </w:r>
      <w:r w:rsidR="00540619" w:rsidRPr="00540619">
        <w:t>Study</w:t>
      </w:r>
      <w:r w:rsidR="00465D7E">
        <w:t> </w:t>
      </w:r>
      <w:r w:rsidR="00540619" w:rsidRPr="00540619">
        <w:t xml:space="preserve">P205 </w:t>
      </w:r>
      <w:r w:rsidRPr="00540619">
        <w:t xml:space="preserve">Part G), most participants had at least one solicited systemic </w:t>
      </w:r>
      <w:r w:rsidR="00540619">
        <w:t>adverse reaction</w:t>
      </w:r>
      <w:r w:rsidRPr="00540619">
        <w:t xml:space="preserve"> (307</w:t>
      </w:r>
      <w:r w:rsidR="00540619">
        <w:t xml:space="preserve"> out of </w:t>
      </w:r>
      <w:r w:rsidRPr="00540619">
        <w:t xml:space="preserve">437 </w:t>
      </w:r>
      <w:r w:rsidR="00465D7E">
        <w:t>(</w:t>
      </w:r>
      <w:r w:rsidRPr="00540619">
        <w:t>70.3%</w:t>
      </w:r>
      <w:r w:rsidR="00465D7E">
        <w:t>)</w:t>
      </w:r>
      <w:r w:rsidRPr="00540619">
        <w:t xml:space="preserve">). The most common systemic </w:t>
      </w:r>
      <w:r w:rsidR="00540619">
        <w:t>adverse reaction</w:t>
      </w:r>
      <w:r w:rsidRPr="00540619">
        <w:t xml:space="preserve"> after the </w:t>
      </w:r>
      <w:r w:rsidRPr="005B3E47">
        <w:t xml:space="preserve">50 </w:t>
      </w:r>
      <w:proofErr w:type="spellStart"/>
      <w:r w:rsidRPr="005B3E47">
        <w:t>μg</w:t>
      </w:r>
      <w:proofErr w:type="spellEnd"/>
      <w:r w:rsidRPr="005B3E47">
        <w:t xml:space="preserve"> </w:t>
      </w:r>
      <w:r w:rsidR="00465D7E">
        <w:t>bivalent vaccine (</w:t>
      </w:r>
      <w:proofErr w:type="spellStart"/>
      <w:r w:rsidR="00465D7E">
        <w:t>elasomeran</w:t>
      </w:r>
      <w:proofErr w:type="spellEnd"/>
      <w:r w:rsidR="00465D7E">
        <w:t xml:space="preserve"> + </w:t>
      </w:r>
      <w:proofErr w:type="spellStart"/>
      <w:r w:rsidR="00465D7E">
        <w:t>imelasomeran</w:t>
      </w:r>
      <w:proofErr w:type="spellEnd"/>
      <w:r w:rsidR="00465D7E">
        <w:t xml:space="preserve">) </w:t>
      </w:r>
      <w:r w:rsidRPr="005B3E47">
        <w:t>booster dose was fatigue (240</w:t>
      </w:r>
      <w:r w:rsidR="00540619">
        <w:t xml:space="preserve"> out of </w:t>
      </w:r>
      <w:r w:rsidRPr="005B3E47">
        <w:t xml:space="preserve">437 participants </w:t>
      </w:r>
      <w:r w:rsidR="00465D7E">
        <w:t>(</w:t>
      </w:r>
      <w:r w:rsidRPr="005B3E47">
        <w:t>54.9%</w:t>
      </w:r>
      <w:r w:rsidR="00465D7E">
        <w:t>)</w:t>
      </w:r>
      <w:r w:rsidRPr="005B3E47">
        <w:t>), followed by headache (192</w:t>
      </w:r>
      <w:r w:rsidR="00540619">
        <w:t xml:space="preserve"> out of </w:t>
      </w:r>
      <w:r w:rsidRPr="005B3E47">
        <w:t xml:space="preserve">437 participants </w:t>
      </w:r>
      <w:r w:rsidR="00465D7E">
        <w:t>(</w:t>
      </w:r>
      <w:r w:rsidRPr="005B3E47">
        <w:t>43.9%</w:t>
      </w:r>
      <w:r w:rsidR="00465D7E">
        <w:t>)</w:t>
      </w:r>
      <w:r w:rsidRPr="005B3E47">
        <w:t>), myalgia (173</w:t>
      </w:r>
      <w:r w:rsidR="00540619">
        <w:t xml:space="preserve"> out of </w:t>
      </w:r>
      <w:r w:rsidRPr="005B3E47">
        <w:t xml:space="preserve">437 participants </w:t>
      </w:r>
      <w:r w:rsidR="00465D7E">
        <w:t>(</w:t>
      </w:r>
      <w:r w:rsidRPr="005B3E47">
        <w:t>39.6%</w:t>
      </w:r>
      <w:r w:rsidR="00465D7E">
        <w:t>)</w:t>
      </w:r>
      <w:r w:rsidRPr="005B3E47">
        <w:t>), and arthralgia (136</w:t>
      </w:r>
      <w:r w:rsidR="00540619">
        <w:t xml:space="preserve"> out of </w:t>
      </w:r>
      <w:r w:rsidRPr="005B3E47">
        <w:t xml:space="preserve">437 participants </w:t>
      </w:r>
      <w:r w:rsidR="00465D7E">
        <w:t>(</w:t>
      </w:r>
      <w:r w:rsidRPr="005B3E47">
        <w:t>31.1%</w:t>
      </w:r>
      <w:r w:rsidR="00465D7E">
        <w:t>)</w:t>
      </w:r>
      <w:r w:rsidRPr="005B3E47">
        <w:t xml:space="preserve">). The majority of solicited systemic </w:t>
      </w:r>
      <w:r w:rsidR="00A267C6">
        <w:t xml:space="preserve">adverse reactions </w:t>
      </w:r>
      <w:r w:rsidRPr="005B3E47">
        <w:t>were Grade 1 (167</w:t>
      </w:r>
      <w:r w:rsidR="00540619">
        <w:t xml:space="preserve"> out of </w:t>
      </w:r>
      <w:r w:rsidRPr="005B3E47">
        <w:t xml:space="preserve">437 </w:t>
      </w:r>
      <w:r w:rsidR="00465D7E">
        <w:t>(</w:t>
      </w:r>
      <w:r w:rsidRPr="005B3E47">
        <w:t>38.2%</w:t>
      </w:r>
      <w:r w:rsidR="00465D7E">
        <w:t>)</w:t>
      </w:r>
      <w:r w:rsidRPr="005B3E47">
        <w:t>) followed by Grade 2 (116</w:t>
      </w:r>
      <w:r w:rsidR="00540619">
        <w:t xml:space="preserve"> out of </w:t>
      </w:r>
      <w:r w:rsidRPr="005B3E47">
        <w:t xml:space="preserve">437 </w:t>
      </w:r>
      <w:r w:rsidR="00465D7E">
        <w:t>(</w:t>
      </w:r>
      <w:r w:rsidRPr="005B3E47">
        <w:t>26.5%</w:t>
      </w:r>
      <w:r w:rsidR="00465D7E">
        <w:t>)</w:t>
      </w:r>
      <w:r w:rsidRPr="005B3E47">
        <w:t xml:space="preserve">). </w:t>
      </w:r>
      <w:proofErr w:type="gramStart"/>
      <w:r w:rsidRPr="005B3E47">
        <w:t>Twenty</w:t>
      </w:r>
      <w:r w:rsidR="00A267C6">
        <w:t xml:space="preserve"> </w:t>
      </w:r>
      <w:r w:rsidRPr="005B3E47">
        <w:t>four</w:t>
      </w:r>
      <w:proofErr w:type="gramEnd"/>
      <w:r w:rsidRPr="005B3E47">
        <w:t xml:space="preserve"> participants (24</w:t>
      </w:r>
      <w:r w:rsidR="00465D7E">
        <w:t> </w:t>
      </w:r>
      <w:r w:rsidR="00540619">
        <w:t xml:space="preserve">out of </w:t>
      </w:r>
      <w:r w:rsidRPr="005B3E47">
        <w:t xml:space="preserve">437 participants </w:t>
      </w:r>
      <w:r w:rsidR="00465D7E">
        <w:t>(</w:t>
      </w:r>
      <w:r w:rsidRPr="005B3E47">
        <w:t>5.5%</w:t>
      </w:r>
      <w:r w:rsidR="00465D7E">
        <w:t>)</w:t>
      </w:r>
      <w:r w:rsidRPr="005B3E47">
        <w:t xml:space="preserve">) had a Grade 3 systemic </w:t>
      </w:r>
      <w:r w:rsidR="00A267C6">
        <w:t>adverse reaction</w:t>
      </w:r>
      <w:r w:rsidRPr="005B3E47">
        <w:t xml:space="preserve"> and the most commonly reported was fatigue (15</w:t>
      </w:r>
      <w:r w:rsidR="00540619">
        <w:t xml:space="preserve"> out of </w:t>
      </w:r>
      <w:r w:rsidRPr="005B3E47">
        <w:t xml:space="preserve">437 participants </w:t>
      </w:r>
      <w:r w:rsidR="00465D7E">
        <w:t>(</w:t>
      </w:r>
      <w:r w:rsidRPr="005B3E47">
        <w:t>3.4%</w:t>
      </w:r>
      <w:r w:rsidR="00465D7E">
        <w:t>)</w:t>
      </w:r>
      <w:r w:rsidRPr="005B3E47">
        <w:t xml:space="preserve">). No Grade 4 solicited systemic </w:t>
      </w:r>
      <w:r w:rsidR="00540619">
        <w:t>adverse reactions</w:t>
      </w:r>
      <w:r w:rsidRPr="005B3E47">
        <w:t xml:space="preserve"> were reported. The median duration of systemic </w:t>
      </w:r>
      <w:r w:rsidR="00540619">
        <w:t>adverse reactions</w:t>
      </w:r>
      <w:r w:rsidRPr="005B3E47">
        <w:t xml:space="preserve"> was </w:t>
      </w:r>
      <w:r w:rsidR="00A267C6">
        <w:t>two</w:t>
      </w:r>
      <w:r w:rsidRPr="005B3E47">
        <w:t xml:space="preserve"> days (range 1 to 21 days).</w:t>
      </w:r>
    </w:p>
    <w:p w14:paraId="2BA83BE5" w14:textId="31E2960E" w:rsidR="00346229" w:rsidRPr="005B3E47" w:rsidRDefault="00346229" w:rsidP="005B3E47">
      <w:r w:rsidRPr="005B3E47">
        <w:t xml:space="preserve">In the </w:t>
      </w:r>
      <w:r w:rsidR="00465D7E">
        <w:t>monovalent vaccine (</w:t>
      </w:r>
      <w:proofErr w:type="spellStart"/>
      <w:r w:rsidR="00465D7E">
        <w:t>elasomeran</w:t>
      </w:r>
      <w:proofErr w:type="spellEnd"/>
      <w:r w:rsidR="00465D7E">
        <w:t xml:space="preserve">) </w:t>
      </w:r>
      <w:r w:rsidRPr="005B3E47">
        <w:t xml:space="preserve">50 </w:t>
      </w:r>
      <w:proofErr w:type="spellStart"/>
      <w:r w:rsidRPr="005B3E47">
        <w:t>μg</w:t>
      </w:r>
      <w:proofErr w:type="spellEnd"/>
      <w:r w:rsidRPr="005B3E47">
        <w:t xml:space="preserve"> booster dose group (</w:t>
      </w:r>
      <w:r w:rsidR="00540619">
        <w:t xml:space="preserve">Study P 205 </w:t>
      </w:r>
      <w:r w:rsidRPr="005B3E47">
        <w:t xml:space="preserve">Part F), most participants had at least one solicited systemic </w:t>
      </w:r>
      <w:r w:rsidR="00540619">
        <w:t>adverse reaction</w:t>
      </w:r>
      <w:r w:rsidRPr="005B3E47">
        <w:t xml:space="preserve"> (232</w:t>
      </w:r>
      <w:r w:rsidR="00540619">
        <w:t xml:space="preserve"> out of </w:t>
      </w:r>
      <w:r w:rsidRPr="005B3E47">
        <w:t xml:space="preserve">351 [66.1%]). The most common systemic </w:t>
      </w:r>
      <w:r w:rsidR="00540619">
        <w:t>adverse reaction</w:t>
      </w:r>
      <w:r w:rsidRPr="005B3E47">
        <w:t xml:space="preserve"> after the </w:t>
      </w:r>
      <w:r w:rsidR="00465D7E">
        <w:t xml:space="preserve">50 </w:t>
      </w:r>
      <w:proofErr w:type="spellStart"/>
      <w:r w:rsidR="00465D7E">
        <w:t>μg</w:t>
      </w:r>
      <w:proofErr w:type="spellEnd"/>
      <w:r w:rsidR="00465D7E">
        <w:t xml:space="preserve"> monovalent vaccine (</w:t>
      </w:r>
      <w:proofErr w:type="spellStart"/>
      <w:r w:rsidR="00465D7E">
        <w:t>elasomeran</w:t>
      </w:r>
      <w:proofErr w:type="spellEnd"/>
      <w:r w:rsidR="00465D7E">
        <w:t xml:space="preserve">) </w:t>
      </w:r>
      <w:r w:rsidRPr="005B3E47">
        <w:t>booster dose was fatigue (180</w:t>
      </w:r>
      <w:r w:rsidR="00540619">
        <w:t xml:space="preserve"> out of </w:t>
      </w:r>
      <w:r w:rsidRPr="005B3E47">
        <w:t xml:space="preserve">350 participants </w:t>
      </w:r>
      <w:r w:rsidR="00465D7E">
        <w:t>(</w:t>
      </w:r>
      <w:r w:rsidRPr="005B3E47">
        <w:t>51.4%</w:t>
      </w:r>
      <w:r w:rsidR="00465D7E">
        <w:t>)</w:t>
      </w:r>
      <w:r w:rsidRPr="005B3E47">
        <w:t>), followed by headache (144</w:t>
      </w:r>
      <w:r w:rsidR="00540619">
        <w:t xml:space="preserve"> out of </w:t>
      </w:r>
      <w:r w:rsidRPr="005B3E47">
        <w:t xml:space="preserve">350 participants </w:t>
      </w:r>
      <w:r w:rsidR="00465D7E">
        <w:t>(</w:t>
      </w:r>
      <w:r w:rsidRPr="005B3E47">
        <w:t>41.1%</w:t>
      </w:r>
      <w:r w:rsidR="00465D7E">
        <w:t>)</w:t>
      </w:r>
      <w:r w:rsidRPr="005B3E47">
        <w:t>), myalgia (135</w:t>
      </w:r>
      <w:r w:rsidR="00540619">
        <w:t xml:space="preserve"> out of </w:t>
      </w:r>
      <w:r w:rsidRPr="005B3E47">
        <w:t xml:space="preserve">350 participants </w:t>
      </w:r>
      <w:r w:rsidR="00465D7E">
        <w:t>(</w:t>
      </w:r>
      <w:r w:rsidRPr="005B3E47">
        <w:t>38.6%</w:t>
      </w:r>
      <w:r w:rsidR="00465D7E">
        <w:t>)</w:t>
      </w:r>
      <w:r w:rsidRPr="005B3E47">
        <w:t>), and arthralgia (111</w:t>
      </w:r>
      <w:r w:rsidR="00540619">
        <w:t xml:space="preserve"> out of </w:t>
      </w:r>
      <w:r w:rsidRPr="005B3E47">
        <w:t xml:space="preserve">350 participants </w:t>
      </w:r>
      <w:r w:rsidR="00465D7E">
        <w:t>(</w:t>
      </w:r>
      <w:r w:rsidRPr="005B3E47">
        <w:t>31.7%</w:t>
      </w:r>
      <w:r w:rsidR="00465D7E">
        <w:t>)</w:t>
      </w:r>
      <w:r w:rsidRPr="005B3E47">
        <w:t xml:space="preserve">). The majority of solicited systemic </w:t>
      </w:r>
      <w:r w:rsidR="00540619">
        <w:t>adverse reactions</w:t>
      </w:r>
      <w:r w:rsidRPr="005B3E47">
        <w:t xml:space="preserve"> were Grade 1 (124</w:t>
      </w:r>
      <w:r w:rsidR="00540619">
        <w:t xml:space="preserve"> out of </w:t>
      </w:r>
      <w:r w:rsidRPr="005B3E47">
        <w:t xml:space="preserve">351 </w:t>
      </w:r>
      <w:r w:rsidR="00465D7E">
        <w:t>(</w:t>
      </w:r>
      <w:r w:rsidRPr="005B3E47">
        <w:t>35.3%</w:t>
      </w:r>
      <w:r w:rsidR="00465D7E">
        <w:t>)</w:t>
      </w:r>
      <w:r w:rsidRPr="005B3E47">
        <w:t>) followed by Grade 2 (92</w:t>
      </w:r>
      <w:r w:rsidR="00540619">
        <w:t xml:space="preserve"> out of </w:t>
      </w:r>
      <w:r w:rsidRPr="005B3E47">
        <w:t xml:space="preserve">351 </w:t>
      </w:r>
      <w:r w:rsidR="003521F0">
        <w:t>(</w:t>
      </w:r>
      <w:r w:rsidRPr="005B3E47">
        <w:t>26.2%</w:t>
      </w:r>
      <w:r w:rsidR="003521F0">
        <w:t>)</w:t>
      </w:r>
      <w:r w:rsidRPr="005B3E47">
        <w:t>). Sixteen participants (16</w:t>
      </w:r>
      <w:r w:rsidR="00540619">
        <w:t xml:space="preserve"> out of </w:t>
      </w:r>
      <w:r w:rsidRPr="005B3E47">
        <w:t xml:space="preserve">351 </w:t>
      </w:r>
      <w:r w:rsidR="00465D7E">
        <w:t>(</w:t>
      </w:r>
      <w:r w:rsidRPr="005B3E47">
        <w:t>4.6%</w:t>
      </w:r>
      <w:r w:rsidR="00465D7E">
        <w:t>)</w:t>
      </w:r>
      <w:r w:rsidRPr="005B3E47">
        <w:t xml:space="preserve">) had a Grade 3 systemic </w:t>
      </w:r>
      <w:r w:rsidR="00540619">
        <w:t>adverse events</w:t>
      </w:r>
      <w:r w:rsidRPr="005B3E47">
        <w:t xml:space="preserve"> and the </w:t>
      </w:r>
      <w:proofErr w:type="gramStart"/>
      <w:r w:rsidRPr="005B3E47">
        <w:t>most commonly reported</w:t>
      </w:r>
      <w:proofErr w:type="gramEnd"/>
      <w:r w:rsidRPr="005B3E47">
        <w:t xml:space="preserve"> was myalgia (13</w:t>
      </w:r>
      <w:r w:rsidR="00540619">
        <w:t xml:space="preserve"> out of </w:t>
      </w:r>
      <w:r w:rsidRPr="005B3E47">
        <w:t xml:space="preserve">350 participants </w:t>
      </w:r>
      <w:r w:rsidR="00465D7E">
        <w:t>(</w:t>
      </w:r>
      <w:r w:rsidRPr="005B3E47">
        <w:t>3.7%</w:t>
      </w:r>
      <w:r w:rsidR="00465D7E">
        <w:t>)</w:t>
      </w:r>
      <w:r w:rsidRPr="005B3E47">
        <w:t xml:space="preserve">). No Grade 4 solicited systemic </w:t>
      </w:r>
      <w:r w:rsidR="00A267C6">
        <w:t>adverse reaction</w:t>
      </w:r>
      <w:r w:rsidRPr="005B3E47">
        <w:t xml:space="preserve">s were reported. The median duration of systemic </w:t>
      </w:r>
      <w:r w:rsidR="00A267C6">
        <w:t>adverse reaction</w:t>
      </w:r>
      <w:r w:rsidRPr="005B3E47">
        <w:t xml:space="preserve">s was </w:t>
      </w:r>
      <w:r w:rsidR="00A267C6">
        <w:t>two</w:t>
      </w:r>
      <w:r w:rsidRPr="005B3E47">
        <w:t xml:space="preserve"> days (range 1 to 13 days).</w:t>
      </w:r>
    </w:p>
    <w:p w14:paraId="700E807A" w14:textId="2655255C" w:rsidR="00346229" w:rsidRPr="005B3E47" w:rsidRDefault="00346229" w:rsidP="005B3E47">
      <w:r w:rsidRPr="005B3E47">
        <w:lastRenderedPageBreak/>
        <w:t xml:space="preserve">The most noticeable difference was seen for erythema (6.9% in </w:t>
      </w:r>
      <w:r w:rsidR="00540619">
        <w:t xml:space="preserve">Study P205 </w:t>
      </w:r>
      <w:r w:rsidRPr="005B3E47">
        <w:t>Part G v</w:t>
      </w:r>
      <w:r w:rsidR="00540619">
        <w:t>ersus</w:t>
      </w:r>
      <w:r w:rsidRPr="005B3E47">
        <w:t xml:space="preserve"> 3.7% in</w:t>
      </w:r>
      <w:r w:rsidR="00540619">
        <w:t xml:space="preserve"> Study P205</w:t>
      </w:r>
      <w:r w:rsidRPr="005B3E47">
        <w:t xml:space="preserve"> Part F). Aside from this, the frequency of systemic </w:t>
      </w:r>
      <w:r w:rsidR="00540619">
        <w:t>adverse events</w:t>
      </w:r>
      <w:r w:rsidRPr="005B3E47">
        <w:t xml:space="preserve"> in </w:t>
      </w:r>
      <w:r w:rsidR="00A267C6">
        <w:t xml:space="preserve">Study </w:t>
      </w:r>
      <w:r w:rsidRPr="005B3E47">
        <w:t>P205 Part G and P205 Part F were similar.</w:t>
      </w:r>
    </w:p>
    <w:p w14:paraId="7763C2AD" w14:textId="248EF4A5" w:rsidR="00346229" w:rsidRPr="00540619" w:rsidRDefault="00346229" w:rsidP="00540619">
      <w:pPr>
        <w:pStyle w:val="Heading5"/>
      </w:pPr>
      <w:r w:rsidRPr="00540619">
        <w:t xml:space="preserve">Solicited </w:t>
      </w:r>
      <w:r w:rsidR="00540619" w:rsidRPr="00540619">
        <w:t>a</w:t>
      </w:r>
      <w:r w:rsidRPr="00540619">
        <w:t xml:space="preserve">dverse </w:t>
      </w:r>
      <w:r w:rsidR="00540619" w:rsidRPr="00540619">
        <w:t>r</w:t>
      </w:r>
      <w:r w:rsidRPr="00540619">
        <w:t xml:space="preserve">eactions by </w:t>
      </w:r>
      <w:r w:rsidR="00540619" w:rsidRPr="00540619">
        <w:t>p</w:t>
      </w:r>
      <w:r w:rsidRPr="00540619">
        <w:t>re-booster SARS-CoV-2 Status</w:t>
      </w:r>
    </w:p>
    <w:p w14:paraId="49305883" w14:textId="2C825AAA" w:rsidR="00346229" w:rsidRPr="005B3E47" w:rsidRDefault="00346229" w:rsidP="005B3E47">
      <w:r w:rsidRPr="005B3E47">
        <w:t xml:space="preserve">In the 50 </w:t>
      </w:r>
      <w:proofErr w:type="spellStart"/>
      <w:r w:rsidRPr="005B3E47">
        <w:t>μg</w:t>
      </w:r>
      <w:proofErr w:type="spellEnd"/>
      <w:r w:rsidRPr="005B3E47">
        <w:t xml:space="preserve"> </w:t>
      </w:r>
      <w:r w:rsidR="00465D7E">
        <w:t>monovalent vaccine (</w:t>
      </w:r>
      <w:proofErr w:type="spellStart"/>
      <w:r w:rsidR="00465D7E">
        <w:t>elasomeran</w:t>
      </w:r>
      <w:proofErr w:type="spellEnd"/>
      <w:r w:rsidR="00465D7E">
        <w:t xml:space="preserve">) </w:t>
      </w:r>
      <w:r w:rsidRPr="005B3E47">
        <w:t>booster dose group (</w:t>
      </w:r>
      <w:r w:rsidR="00540619">
        <w:t xml:space="preserve">Study P205 </w:t>
      </w:r>
      <w:r w:rsidRPr="005B3E47">
        <w:t xml:space="preserve">Part G) </w:t>
      </w:r>
      <w:r w:rsidR="00540619">
        <w:t>s</w:t>
      </w:r>
      <w:r w:rsidRPr="005B3E47">
        <w:t xml:space="preserve">olicited </w:t>
      </w:r>
      <w:r w:rsidR="00540619">
        <w:t>s</w:t>
      </w:r>
      <w:r w:rsidRPr="005B3E47">
        <w:t xml:space="preserve">afety </w:t>
      </w:r>
      <w:r w:rsidR="00540619">
        <w:t>s</w:t>
      </w:r>
      <w:r w:rsidRPr="005B3E47">
        <w:t>et, 96</w:t>
      </w:r>
      <w:r w:rsidR="00540619">
        <w:t xml:space="preserve"> out of </w:t>
      </w:r>
      <w:r w:rsidRPr="005B3E47">
        <w:t>437 participants (22%) had a positive pre-booster SARS</w:t>
      </w:r>
      <w:r w:rsidR="003521F0">
        <w:noBreakHyphen/>
      </w:r>
      <w:r w:rsidRPr="005B3E47">
        <w:t>CoV</w:t>
      </w:r>
      <w:r w:rsidR="003521F0">
        <w:noBreakHyphen/>
      </w:r>
      <w:r w:rsidRPr="005B3E47">
        <w:t>2 status and 340</w:t>
      </w:r>
      <w:r w:rsidR="00540619">
        <w:t xml:space="preserve"> out of </w:t>
      </w:r>
      <w:r w:rsidRPr="005B3E47">
        <w:t>437 participants (77.8%) had a negative pre-booster SARS</w:t>
      </w:r>
      <w:r w:rsidR="003521F0">
        <w:noBreakHyphen/>
      </w:r>
      <w:r w:rsidRPr="005B3E47">
        <w:t>CoV-2 status (</w:t>
      </w:r>
      <w:r w:rsidR="00540619">
        <w:t>one</w:t>
      </w:r>
      <w:r w:rsidRPr="005B3E47">
        <w:t xml:space="preserve"> participant had missing status). Overall, the frequency of solicited local </w:t>
      </w:r>
      <w:r w:rsidR="00540619">
        <w:t>adverse reactions</w:t>
      </w:r>
      <w:r w:rsidRPr="005B3E47">
        <w:t xml:space="preserve"> was similar among participants with a positive pre-booster SARS-CoV-2 status 74</w:t>
      </w:r>
      <w:r w:rsidR="00540619">
        <w:t xml:space="preserve"> out of </w:t>
      </w:r>
      <w:r w:rsidRPr="005B3E47">
        <w:t xml:space="preserve">96 </w:t>
      </w:r>
      <w:r w:rsidR="00465D7E">
        <w:t>(</w:t>
      </w:r>
      <w:r w:rsidRPr="005B3E47">
        <w:t>77.1%</w:t>
      </w:r>
      <w:r w:rsidR="00465D7E">
        <w:t>)</w:t>
      </w:r>
      <w:r w:rsidRPr="005B3E47">
        <w:t>) and participants with a negative pre-booster SARS-CoV-2 status (272</w:t>
      </w:r>
      <w:r w:rsidR="00540619">
        <w:t xml:space="preserve"> out of </w:t>
      </w:r>
      <w:r w:rsidRPr="005B3E47">
        <w:t xml:space="preserve">340 </w:t>
      </w:r>
      <w:r w:rsidR="00465D7E">
        <w:t>(</w:t>
      </w:r>
      <w:r w:rsidRPr="005B3E47">
        <w:t>80%</w:t>
      </w:r>
      <w:r w:rsidR="00465D7E">
        <w:t>)</w:t>
      </w:r>
      <w:r w:rsidRPr="005B3E47">
        <w:t xml:space="preserve">). The frequency of solicited systemic </w:t>
      </w:r>
      <w:r w:rsidR="00540619">
        <w:t>adverse reactions</w:t>
      </w:r>
      <w:r w:rsidRPr="005B3E47">
        <w:t xml:space="preserve"> was similar among participants with positive pre-booster SARS-CoV-2 status (63</w:t>
      </w:r>
      <w:r w:rsidR="00540619">
        <w:t xml:space="preserve"> out of </w:t>
      </w:r>
      <w:r w:rsidRPr="005B3E47">
        <w:t xml:space="preserve">96 </w:t>
      </w:r>
      <w:r w:rsidR="00465D7E">
        <w:t>(</w:t>
      </w:r>
      <w:r w:rsidRPr="005B3E47">
        <w:t>65.6%</w:t>
      </w:r>
      <w:r w:rsidR="00465D7E">
        <w:t>)</w:t>
      </w:r>
      <w:r w:rsidRPr="005B3E47">
        <w:t>) and participants with negative pre-booster SARS-CoV-2 status (244</w:t>
      </w:r>
      <w:r w:rsidR="00540619">
        <w:t xml:space="preserve"> out of </w:t>
      </w:r>
      <w:r w:rsidRPr="005B3E47">
        <w:t xml:space="preserve">340 </w:t>
      </w:r>
      <w:r w:rsidR="00465D7E">
        <w:t>(</w:t>
      </w:r>
      <w:r w:rsidRPr="005B3E47">
        <w:t>71.8%</w:t>
      </w:r>
      <w:r w:rsidR="00465D7E">
        <w:t>)</w:t>
      </w:r>
      <w:r w:rsidRPr="005B3E47">
        <w:t xml:space="preserve">). The frequency of Grade 3 solicited local </w:t>
      </w:r>
      <w:r w:rsidR="00540619">
        <w:t>adverse reactions</w:t>
      </w:r>
      <w:r w:rsidRPr="005B3E47">
        <w:t xml:space="preserve"> was similar among participants with positive pre-booster SARS-CoV-2 status (1</w:t>
      </w:r>
      <w:r w:rsidR="00540619">
        <w:t xml:space="preserve"> out of </w:t>
      </w:r>
      <w:r w:rsidRPr="005B3E47">
        <w:t xml:space="preserve">96 </w:t>
      </w:r>
      <w:r w:rsidR="00465D7E">
        <w:t>(</w:t>
      </w:r>
      <w:r w:rsidRPr="005B3E47">
        <w:t>1%</w:t>
      </w:r>
      <w:r w:rsidR="00465D7E">
        <w:t>)</w:t>
      </w:r>
      <w:r w:rsidRPr="005B3E47">
        <w:t>) and participants with negative pre-booster SARS-CoV-2 status (14</w:t>
      </w:r>
      <w:r w:rsidR="00A267C6">
        <w:t xml:space="preserve"> </w:t>
      </w:r>
      <w:r w:rsidR="00540619">
        <w:t xml:space="preserve">out of </w:t>
      </w:r>
      <w:r w:rsidRPr="005B3E47">
        <w:t xml:space="preserve">340 </w:t>
      </w:r>
      <w:r w:rsidR="00465D7E">
        <w:t>(</w:t>
      </w:r>
      <w:r w:rsidRPr="005B3E47">
        <w:t>4.1%</w:t>
      </w:r>
      <w:r w:rsidR="00465D7E">
        <w:t>)</w:t>
      </w:r>
      <w:r w:rsidRPr="005B3E47">
        <w:t xml:space="preserve">). Grade 3 systemic </w:t>
      </w:r>
      <w:r w:rsidR="00540619">
        <w:t>adverse reactions</w:t>
      </w:r>
      <w:r w:rsidRPr="005B3E47">
        <w:t xml:space="preserve"> were similar in participants with positive pre-booster SARS</w:t>
      </w:r>
      <w:r w:rsidR="003521F0">
        <w:noBreakHyphen/>
      </w:r>
      <w:r w:rsidRPr="005B3E47">
        <w:t>CoV-2 status (5</w:t>
      </w:r>
      <w:r w:rsidR="00540619">
        <w:t xml:space="preserve"> out of </w:t>
      </w:r>
      <w:r w:rsidRPr="005B3E47">
        <w:t xml:space="preserve">96 </w:t>
      </w:r>
      <w:r w:rsidR="00465D7E">
        <w:t>(</w:t>
      </w:r>
      <w:r w:rsidRPr="005B3E47">
        <w:t>5.2%</w:t>
      </w:r>
      <w:r w:rsidR="00465D7E">
        <w:t>)</w:t>
      </w:r>
      <w:r w:rsidRPr="005B3E47">
        <w:t>) and participants with negative pre-booster SARS-CoV-2 status (19</w:t>
      </w:r>
      <w:r w:rsidR="00540619">
        <w:t xml:space="preserve"> out of </w:t>
      </w:r>
      <w:r w:rsidRPr="005B3E47">
        <w:t xml:space="preserve">340 </w:t>
      </w:r>
      <w:r w:rsidR="00465D7E">
        <w:t>(</w:t>
      </w:r>
      <w:r w:rsidRPr="005B3E47">
        <w:t>5.6%</w:t>
      </w:r>
      <w:r w:rsidR="00465D7E">
        <w:t>)</w:t>
      </w:r>
      <w:r w:rsidRPr="005B3E47">
        <w:t>).</w:t>
      </w:r>
    </w:p>
    <w:p w14:paraId="5EC0888F" w14:textId="536DAF00" w:rsidR="00346229" w:rsidRPr="005B3E47" w:rsidRDefault="00346229" w:rsidP="005B3E47">
      <w:r w:rsidRPr="005B3E47">
        <w:t xml:space="preserve">In the 50 </w:t>
      </w:r>
      <w:proofErr w:type="spellStart"/>
      <w:r w:rsidRPr="005B3E47">
        <w:t>μg</w:t>
      </w:r>
      <w:proofErr w:type="spellEnd"/>
      <w:r w:rsidR="00465D7E">
        <w:t xml:space="preserve"> monovalent vaccine (</w:t>
      </w:r>
      <w:proofErr w:type="spellStart"/>
      <w:r w:rsidR="00465D7E">
        <w:t>elasomeran</w:t>
      </w:r>
      <w:proofErr w:type="spellEnd"/>
      <w:r w:rsidR="00465D7E">
        <w:t>)</w:t>
      </w:r>
      <w:r w:rsidRPr="005B3E47">
        <w:t xml:space="preserve"> booster dose group (</w:t>
      </w:r>
      <w:r w:rsidR="00540619">
        <w:t xml:space="preserve">Study P205 </w:t>
      </w:r>
      <w:r w:rsidRPr="005B3E47">
        <w:t xml:space="preserve">Part F) </w:t>
      </w:r>
      <w:r w:rsidR="00540619">
        <w:t>s</w:t>
      </w:r>
      <w:r w:rsidRPr="005B3E47">
        <w:t xml:space="preserve">olicited </w:t>
      </w:r>
      <w:r w:rsidR="00540619">
        <w:t>s</w:t>
      </w:r>
      <w:r w:rsidRPr="005B3E47">
        <w:t xml:space="preserve">afety </w:t>
      </w:r>
      <w:r w:rsidR="00540619">
        <w:t>s</w:t>
      </w:r>
      <w:r w:rsidRPr="005B3E47">
        <w:t>et, 92</w:t>
      </w:r>
      <w:r w:rsidR="00540619">
        <w:t xml:space="preserve"> out of </w:t>
      </w:r>
      <w:r w:rsidRPr="005B3E47">
        <w:t>351 participants (26.2%) had positive pre-booster SARS</w:t>
      </w:r>
      <w:r w:rsidR="003521F0">
        <w:noBreakHyphen/>
      </w:r>
      <w:r w:rsidRPr="005B3E47">
        <w:t>CoV</w:t>
      </w:r>
      <w:r w:rsidR="003521F0">
        <w:noBreakHyphen/>
      </w:r>
      <w:r w:rsidRPr="005B3E47">
        <w:t>2 status and 250</w:t>
      </w:r>
      <w:r w:rsidR="00540619">
        <w:t xml:space="preserve"> out of </w:t>
      </w:r>
      <w:r w:rsidRPr="005B3E47">
        <w:t>351 participants (71.2%) had a negative pre-booster SARS</w:t>
      </w:r>
      <w:r w:rsidR="003521F0">
        <w:noBreakHyphen/>
      </w:r>
      <w:r w:rsidRPr="005B3E47">
        <w:t>CoV</w:t>
      </w:r>
      <w:r w:rsidR="003521F0">
        <w:noBreakHyphen/>
      </w:r>
      <w:r w:rsidRPr="005B3E47">
        <w:t>2 status (</w:t>
      </w:r>
      <w:r w:rsidR="003B4352">
        <w:t>nine</w:t>
      </w:r>
      <w:r w:rsidRPr="005B3E47">
        <w:t xml:space="preserve"> participants had missing status). The frequency of solicited local </w:t>
      </w:r>
      <w:r w:rsidR="003B4352">
        <w:t>adverse reactions</w:t>
      </w:r>
      <w:r w:rsidRPr="005B3E47">
        <w:t xml:space="preserve"> was similar among participants with a positive pre-booster SARS-CoV-2 status (73</w:t>
      </w:r>
      <w:r w:rsidR="003B4352">
        <w:t xml:space="preserve"> out of </w:t>
      </w:r>
      <w:r w:rsidRPr="005B3E47">
        <w:t xml:space="preserve">92 </w:t>
      </w:r>
      <w:r w:rsidR="00465D7E">
        <w:t>(</w:t>
      </w:r>
      <w:r w:rsidRPr="005B3E47">
        <w:t>79.3%</w:t>
      </w:r>
      <w:r w:rsidR="00465D7E">
        <w:t>)</w:t>
      </w:r>
      <w:r w:rsidRPr="005B3E47">
        <w:t>) and participants with a negative pre-booster SARS-CoV-2 status (200</w:t>
      </w:r>
      <w:r w:rsidR="003B4352">
        <w:t xml:space="preserve"> out of </w:t>
      </w:r>
      <w:r w:rsidRPr="005B3E47">
        <w:t xml:space="preserve">250 </w:t>
      </w:r>
      <w:r w:rsidR="00465D7E">
        <w:t>(</w:t>
      </w:r>
      <w:r w:rsidRPr="005B3E47">
        <w:t>80%</w:t>
      </w:r>
      <w:r w:rsidR="00465D7E">
        <w:t>)</w:t>
      </w:r>
      <w:r w:rsidRPr="005B3E47">
        <w:t xml:space="preserve">). The frequency of solicited systemic </w:t>
      </w:r>
      <w:r w:rsidR="003B4352">
        <w:t>adverse reactions</w:t>
      </w:r>
      <w:r w:rsidRPr="005B3E47">
        <w:t xml:space="preserve"> was similar among participants with positive pre-booster SARS-CoV-2 status (57</w:t>
      </w:r>
      <w:r w:rsidR="003B4352">
        <w:t xml:space="preserve"> out of </w:t>
      </w:r>
      <w:r w:rsidRPr="005B3E47">
        <w:t xml:space="preserve">92 </w:t>
      </w:r>
      <w:r w:rsidR="00465D7E">
        <w:t>(</w:t>
      </w:r>
      <w:r w:rsidRPr="005B3E47">
        <w:t>62%</w:t>
      </w:r>
      <w:r w:rsidR="00465D7E">
        <w:t>)</w:t>
      </w:r>
      <w:r w:rsidRPr="005B3E47">
        <w:t>) and participants with negative pre-booster SARS-CoV-2 status (171</w:t>
      </w:r>
      <w:r w:rsidR="003B4352">
        <w:t xml:space="preserve"> out of </w:t>
      </w:r>
      <w:r w:rsidRPr="005B3E47">
        <w:t xml:space="preserve">250 </w:t>
      </w:r>
      <w:r w:rsidR="00465D7E">
        <w:t>(</w:t>
      </w:r>
      <w:r w:rsidRPr="005B3E47">
        <w:t>68.4%</w:t>
      </w:r>
      <w:r w:rsidR="00465D7E">
        <w:t>)</w:t>
      </w:r>
      <w:r w:rsidRPr="005B3E47">
        <w:t>). Grade</w:t>
      </w:r>
      <w:r w:rsidR="003B4352">
        <w:t> </w:t>
      </w:r>
      <w:r w:rsidRPr="005B3E47">
        <w:t xml:space="preserve">3 local </w:t>
      </w:r>
      <w:r w:rsidR="003B4352">
        <w:t>adverse reactions</w:t>
      </w:r>
      <w:r w:rsidRPr="005B3E47">
        <w:t xml:space="preserve"> had a similar frequency among participants with positive pre-booster SARS-CoV-2 status (3</w:t>
      </w:r>
      <w:r w:rsidR="003B4352">
        <w:t xml:space="preserve"> out of </w:t>
      </w:r>
      <w:r w:rsidRPr="005B3E47">
        <w:t xml:space="preserve">92 </w:t>
      </w:r>
      <w:r w:rsidR="00465D7E">
        <w:t>(</w:t>
      </w:r>
      <w:r w:rsidRPr="005B3E47">
        <w:t>3.3%</w:t>
      </w:r>
      <w:r w:rsidR="00465D7E">
        <w:t>)</w:t>
      </w:r>
      <w:r w:rsidRPr="005B3E47">
        <w:t>) and participants with a negative pre-booster SARS-CoV-2 status (9</w:t>
      </w:r>
      <w:r w:rsidR="003B4352">
        <w:t xml:space="preserve"> out of </w:t>
      </w:r>
      <w:r w:rsidRPr="005B3E47">
        <w:t xml:space="preserve">250 </w:t>
      </w:r>
      <w:r w:rsidR="00465D7E">
        <w:t>(</w:t>
      </w:r>
      <w:r w:rsidRPr="005B3E47">
        <w:t>3.6%</w:t>
      </w:r>
      <w:r w:rsidR="00465D7E">
        <w:t>)</w:t>
      </w:r>
      <w:r w:rsidRPr="005B3E47">
        <w:t xml:space="preserve">). Grade 3 systemic </w:t>
      </w:r>
      <w:r w:rsidR="003B4352">
        <w:t>adverse reactions</w:t>
      </w:r>
      <w:r w:rsidRPr="005B3E47">
        <w:t xml:space="preserve"> were similar in participants with positive pre-booster SARS-CoV-2 status (1</w:t>
      </w:r>
      <w:r w:rsidR="003B4352">
        <w:t xml:space="preserve"> out of </w:t>
      </w:r>
      <w:r w:rsidRPr="005B3E47">
        <w:t xml:space="preserve">92 </w:t>
      </w:r>
      <w:r w:rsidR="00465D7E">
        <w:t>(</w:t>
      </w:r>
      <w:r w:rsidRPr="005B3E47">
        <w:t>1.1%</w:t>
      </w:r>
      <w:r w:rsidR="00465D7E">
        <w:t>)</w:t>
      </w:r>
      <w:r w:rsidRPr="005B3E47">
        <w:t>) and participants with negative pre-booster SARS-CoV-2 status (15</w:t>
      </w:r>
      <w:r w:rsidR="003B4352">
        <w:t xml:space="preserve"> out of </w:t>
      </w:r>
      <w:r w:rsidRPr="005B3E47">
        <w:t xml:space="preserve">250 </w:t>
      </w:r>
      <w:r w:rsidR="00465D7E">
        <w:t>(</w:t>
      </w:r>
      <w:r w:rsidRPr="005B3E47">
        <w:t>6%</w:t>
      </w:r>
      <w:r w:rsidR="00465D7E">
        <w:t>)</w:t>
      </w:r>
      <w:r w:rsidRPr="005B3E47">
        <w:t>).</w:t>
      </w:r>
    </w:p>
    <w:p w14:paraId="1B43B02A" w14:textId="1B341390" w:rsidR="00346229" w:rsidRPr="005B3E47" w:rsidRDefault="00346229" w:rsidP="005B3E47">
      <w:r w:rsidRPr="005B3E47">
        <w:t xml:space="preserve">Overall, there were no safety concerns or differences identified in solicited </w:t>
      </w:r>
      <w:r w:rsidR="003B4352">
        <w:t>adverse events</w:t>
      </w:r>
      <w:r w:rsidRPr="005B3E47">
        <w:t xml:space="preserve"> based on pre-booster SARS-CoV-2 status.</w:t>
      </w:r>
    </w:p>
    <w:p w14:paraId="0ECA0969" w14:textId="21660916" w:rsidR="00346229" w:rsidRDefault="00346229" w:rsidP="005B3E47">
      <w:pPr>
        <w:pStyle w:val="Heading5"/>
      </w:pPr>
      <w:r w:rsidRPr="00626A14">
        <w:t xml:space="preserve">Unsolicited </w:t>
      </w:r>
      <w:r w:rsidR="003B4352">
        <w:t>a</w:t>
      </w:r>
      <w:r w:rsidRPr="00626A14">
        <w:t xml:space="preserve">dverse </w:t>
      </w:r>
      <w:r w:rsidR="003B4352">
        <w:t>e</w:t>
      </w:r>
      <w:r w:rsidRPr="00626A14">
        <w:t>vents</w:t>
      </w:r>
    </w:p>
    <w:p w14:paraId="77D7C5ED" w14:textId="5D274771" w:rsidR="00346229" w:rsidRDefault="00346229" w:rsidP="005B3E47">
      <w:r w:rsidRPr="008A79AB">
        <w:t xml:space="preserve">Unsolicited </w:t>
      </w:r>
      <w:r w:rsidR="003B4352">
        <w:t>t</w:t>
      </w:r>
      <w:r w:rsidR="003B4352" w:rsidRPr="003B4352">
        <w:t>reatment</w:t>
      </w:r>
      <w:r w:rsidR="00465D7E">
        <w:t>-</w:t>
      </w:r>
      <w:r w:rsidR="003B4352">
        <w:t>e</w:t>
      </w:r>
      <w:r w:rsidR="003B4352" w:rsidRPr="003B4352">
        <w:t xml:space="preserve">mergent </w:t>
      </w:r>
      <w:r w:rsidR="003B4352">
        <w:t>a</w:t>
      </w:r>
      <w:r w:rsidR="003B4352" w:rsidRPr="003B4352">
        <w:t xml:space="preserve">dverse </w:t>
      </w:r>
      <w:r w:rsidR="003B4352">
        <w:t>e</w:t>
      </w:r>
      <w:r w:rsidR="003B4352" w:rsidRPr="003B4352">
        <w:t>vent</w:t>
      </w:r>
      <w:r w:rsidR="003B4352">
        <w:t>s</w:t>
      </w:r>
      <w:r w:rsidR="003B4352" w:rsidRPr="003B4352">
        <w:t xml:space="preserve"> </w:t>
      </w:r>
      <w:r w:rsidR="003B4352">
        <w:t>(</w:t>
      </w:r>
      <w:r w:rsidRPr="008A79AB">
        <w:t>TEAE</w:t>
      </w:r>
      <w:r w:rsidR="003B4352">
        <w:t>)</w:t>
      </w:r>
      <w:r w:rsidRPr="008A79AB">
        <w:t xml:space="preserve"> were systematically collected from Day 1 through </w:t>
      </w:r>
      <w:proofErr w:type="spellStart"/>
      <w:r w:rsidRPr="008A79AB">
        <w:t>Day</w:t>
      </w:r>
      <w:proofErr w:type="spellEnd"/>
      <w:r w:rsidRPr="008A79AB">
        <w:t xml:space="preserve"> 29 (28</w:t>
      </w:r>
      <w:r w:rsidR="003B4352">
        <w:t xml:space="preserve"> </w:t>
      </w:r>
      <w:r w:rsidRPr="008A79AB">
        <w:t>day</w:t>
      </w:r>
      <w:r>
        <w:t xml:space="preserve"> </w:t>
      </w:r>
      <w:r w:rsidRPr="008A79AB">
        <w:t>follow</w:t>
      </w:r>
      <w:r w:rsidR="003B4352">
        <w:t xml:space="preserve"> </w:t>
      </w:r>
      <w:r w:rsidRPr="008A79AB">
        <w:t>up) after the booster dose. Adverse events leading to discontinuation from study</w:t>
      </w:r>
      <w:r>
        <w:t xml:space="preserve"> </w:t>
      </w:r>
      <w:r w:rsidRPr="008A79AB">
        <w:t xml:space="preserve">participation, </w:t>
      </w:r>
      <w:r w:rsidR="00BC0404">
        <w:t>SAE</w:t>
      </w:r>
      <w:r w:rsidR="003B4352">
        <w:t>s</w:t>
      </w:r>
      <w:r w:rsidRPr="008A79AB">
        <w:t xml:space="preserve">, </w:t>
      </w:r>
      <w:r w:rsidR="00BC0404">
        <w:t>MAAE</w:t>
      </w:r>
      <w:r w:rsidRPr="008A79AB">
        <w:t xml:space="preserve">, </w:t>
      </w:r>
      <w:r w:rsidR="003B4352">
        <w:t>a</w:t>
      </w:r>
      <w:r w:rsidR="003B4352" w:rsidRPr="003B4352">
        <w:t>dverse event</w:t>
      </w:r>
      <w:r w:rsidR="003B4352">
        <w:t>s</w:t>
      </w:r>
      <w:r w:rsidR="003B4352" w:rsidRPr="003B4352">
        <w:t xml:space="preserve"> of special interest</w:t>
      </w:r>
      <w:r w:rsidRPr="008A79AB">
        <w:t>, and pregnancies were collected from Day 1 through the</w:t>
      </w:r>
      <w:r>
        <w:t xml:space="preserve"> </w:t>
      </w:r>
      <w:r w:rsidRPr="008A79AB">
        <w:t xml:space="preserve">entire study period or until the last day of study participation. </w:t>
      </w:r>
      <w:r w:rsidR="00BC0404">
        <w:t>SAE</w:t>
      </w:r>
      <w:r w:rsidR="003B4352">
        <w:t>s,</w:t>
      </w:r>
      <w:r w:rsidRPr="008A79AB">
        <w:t xml:space="preserve"> </w:t>
      </w:r>
      <w:r w:rsidR="00BC0404">
        <w:t>MAAE</w:t>
      </w:r>
      <w:r w:rsidRPr="008A79AB">
        <w:t xml:space="preserve">, </w:t>
      </w:r>
      <w:r w:rsidR="003B4352">
        <w:t>a</w:t>
      </w:r>
      <w:r w:rsidR="003B4352" w:rsidRPr="003B4352">
        <w:t>dverse event</w:t>
      </w:r>
      <w:r w:rsidR="003B4352">
        <w:t>s</w:t>
      </w:r>
      <w:r w:rsidR="003B4352" w:rsidRPr="003B4352">
        <w:t xml:space="preserve"> of special interest</w:t>
      </w:r>
      <w:r w:rsidRPr="008A79AB">
        <w:t>, and</w:t>
      </w:r>
      <w:r>
        <w:t xml:space="preserve"> </w:t>
      </w:r>
      <w:r w:rsidRPr="008A79AB">
        <w:t>pregnancies presented are as of the data cut-off for each study part.</w:t>
      </w:r>
    </w:p>
    <w:p w14:paraId="2BD10B90" w14:textId="31DF66EC" w:rsidR="00346229" w:rsidRDefault="00346229" w:rsidP="005B3E47">
      <w:r w:rsidRPr="00BC0404">
        <w:t>The incidence of unsolicited TEAEs in</w:t>
      </w:r>
      <w:r w:rsidR="003B4352" w:rsidRPr="00BC0404">
        <w:t xml:space="preserve"> Study</w:t>
      </w:r>
      <w:r w:rsidRPr="00BC0404">
        <w:t xml:space="preserve"> P205 Part G was similar for all types of events (TEAEs, SAEs, MAAEs, </w:t>
      </w:r>
      <w:r w:rsidR="003521F0">
        <w:t>AEs</w:t>
      </w:r>
      <w:r w:rsidRPr="00BC0404">
        <w:t xml:space="preserve"> considered by the investigator to be related to vaccination) to </w:t>
      </w:r>
      <w:r w:rsidR="003B4352" w:rsidRPr="00BC0404">
        <w:t xml:space="preserve">Study </w:t>
      </w:r>
      <w:r w:rsidRPr="00BC0404">
        <w:t>P205 Part F.</w:t>
      </w:r>
    </w:p>
    <w:p w14:paraId="0DB54D89" w14:textId="6ED766E7" w:rsidR="00346229" w:rsidRDefault="00BC0404" w:rsidP="005B3E47">
      <w:pPr>
        <w:pStyle w:val="Heading5"/>
      </w:pPr>
      <w:r>
        <w:t xml:space="preserve">Safety events in </w:t>
      </w:r>
      <w:r w:rsidR="003B4352">
        <w:t xml:space="preserve">Study P205 </w:t>
      </w:r>
      <w:r w:rsidR="00346229" w:rsidRPr="008A79AB">
        <w:t>Part G</w:t>
      </w:r>
    </w:p>
    <w:p w14:paraId="7F6C3969" w14:textId="01203CAC" w:rsidR="00346229" w:rsidRDefault="00346229" w:rsidP="005B3E47">
      <w:r>
        <w:t>T</w:t>
      </w:r>
      <w:r w:rsidRPr="008A79AB">
        <w:t>here were no fatal events and 2</w:t>
      </w:r>
      <w:r w:rsidR="003B4352">
        <w:t xml:space="preserve"> out of </w:t>
      </w:r>
      <w:r w:rsidRPr="008A79AB">
        <w:t>437 participants (0.5%) had SAEs; both SAEs were</w:t>
      </w:r>
      <w:r>
        <w:t xml:space="preserve"> </w:t>
      </w:r>
      <w:r w:rsidRPr="008A79AB">
        <w:t>considered by the investigator to be unrelated to study vaccination (prostate cancer and traumatic</w:t>
      </w:r>
      <w:r>
        <w:t xml:space="preserve"> </w:t>
      </w:r>
      <w:r w:rsidRPr="008A79AB">
        <w:t>fracture. At least one MAAE was reported for 43</w:t>
      </w:r>
      <w:r w:rsidR="00BC0404">
        <w:t xml:space="preserve"> out of </w:t>
      </w:r>
      <w:r w:rsidRPr="008A79AB">
        <w:t>437 participants</w:t>
      </w:r>
      <w:r>
        <w:t xml:space="preserve"> </w:t>
      </w:r>
      <w:r w:rsidRPr="008A79AB">
        <w:t xml:space="preserve">(9.8%), </w:t>
      </w:r>
      <w:r w:rsidRPr="008A79AB">
        <w:lastRenderedPageBreak/>
        <w:t xml:space="preserve">of whom </w:t>
      </w:r>
      <w:r w:rsidR="00BC0404">
        <w:t>two</w:t>
      </w:r>
      <w:r w:rsidRPr="008A79AB">
        <w:t xml:space="preserve"> participants (0.5%) had an MAAE that was considered by the investigator to</w:t>
      </w:r>
      <w:r>
        <w:t xml:space="preserve"> </w:t>
      </w:r>
      <w:r w:rsidRPr="008A79AB">
        <w:t>be related to study vaccination (fatigue and dermatitis</w:t>
      </w:r>
      <w:r w:rsidR="00BC0404">
        <w:t>)</w:t>
      </w:r>
      <w:r w:rsidRPr="008A79AB">
        <w:t>. No participants</w:t>
      </w:r>
      <w:r>
        <w:t xml:space="preserve"> </w:t>
      </w:r>
      <w:r w:rsidRPr="008A79AB">
        <w:t>had TEAEs leading to study</w:t>
      </w:r>
      <w:r>
        <w:t xml:space="preserve"> </w:t>
      </w:r>
      <w:r w:rsidRPr="008A79AB">
        <w:t>discontinuation.</w:t>
      </w:r>
    </w:p>
    <w:p w14:paraId="75E37DA2" w14:textId="2051543E" w:rsidR="00346229" w:rsidRDefault="00346229" w:rsidP="005B3E47">
      <w:r w:rsidRPr="007A6392">
        <w:t xml:space="preserve">Unsolicited TEAEs within 28 days after the </w:t>
      </w:r>
      <w:r w:rsidR="00016E75">
        <w:t>bivalent vaccine (</w:t>
      </w:r>
      <w:proofErr w:type="spellStart"/>
      <w:r w:rsidR="00016E75">
        <w:t>elasomeran</w:t>
      </w:r>
      <w:proofErr w:type="spellEnd"/>
      <w:r w:rsidR="00016E75">
        <w:t xml:space="preserve"> + </w:t>
      </w:r>
      <w:proofErr w:type="spellStart"/>
      <w:r w:rsidR="00016E75">
        <w:t>imelasomeran</w:t>
      </w:r>
      <w:proofErr w:type="spellEnd"/>
      <w:r w:rsidR="00016E75">
        <w:t xml:space="preserve">) </w:t>
      </w:r>
      <w:r w:rsidR="00A267C6">
        <w:t>at</w:t>
      </w:r>
      <w:r w:rsidRPr="007A6392">
        <w:t xml:space="preserve"> 50 </w:t>
      </w:r>
      <w:proofErr w:type="spellStart"/>
      <w:r w:rsidRPr="00E65904">
        <w:t>μg</w:t>
      </w:r>
      <w:proofErr w:type="spellEnd"/>
      <w:r w:rsidRPr="007A6392">
        <w:t xml:space="preserve"> booster dose (</w:t>
      </w:r>
      <w:r w:rsidR="00BC0404">
        <w:t xml:space="preserve">Study P205 </w:t>
      </w:r>
      <w:r w:rsidRPr="007A6392">
        <w:t>Part G), regardless</w:t>
      </w:r>
      <w:r>
        <w:t xml:space="preserve"> </w:t>
      </w:r>
      <w:r w:rsidRPr="007A6392">
        <w:t>of relationship to study vaccination as assessed by investigators, were reported for</w:t>
      </w:r>
      <w:r>
        <w:t xml:space="preserve"> </w:t>
      </w:r>
      <w:r w:rsidRPr="007A6392">
        <w:t>81</w:t>
      </w:r>
      <w:r w:rsidR="00BC0404">
        <w:t xml:space="preserve"> out of </w:t>
      </w:r>
      <w:r w:rsidRPr="007A6392">
        <w:t>437 participants (18.5%)</w:t>
      </w:r>
      <w:r>
        <w:t xml:space="preserve">. </w:t>
      </w:r>
      <w:r w:rsidRPr="007A6392">
        <w:t>Of</w:t>
      </w:r>
      <w:r w:rsidR="00016E75">
        <w:t> </w:t>
      </w:r>
      <w:r w:rsidRPr="007A6392">
        <w:t>those, 25</w:t>
      </w:r>
      <w:r w:rsidR="00BC0404">
        <w:t xml:space="preserve"> out of </w:t>
      </w:r>
      <w:r w:rsidRPr="007A6392">
        <w:t>437 participants (5.7%) had a TEAE that</w:t>
      </w:r>
      <w:r>
        <w:t xml:space="preserve"> </w:t>
      </w:r>
      <w:r w:rsidRPr="007A6392">
        <w:t>was assessed by the investigator as related to study vaccination, and the majority of these were</w:t>
      </w:r>
      <w:r>
        <w:t xml:space="preserve"> </w:t>
      </w:r>
      <w:r w:rsidRPr="007A6392">
        <w:t>consistent with reactogenicity: fatigue (9</w:t>
      </w:r>
      <w:r w:rsidR="00BC0404">
        <w:t xml:space="preserve"> out of </w:t>
      </w:r>
      <w:r w:rsidRPr="007A6392">
        <w:t>437 [2.1%]), arthralgia (6</w:t>
      </w:r>
      <w:r w:rsidR="00BC0404">
        <w:t xml:space="preserve"> out of </w:t>
      </w:r>
      <w:r w:rsidRPr="007A6392">
        <w:t xml:space="preserve">437 </w:t>
      </w:r>
      <w:r w:rsidR="00016E75">
        <w:t>(</w:t>
      </w:r>
      <w:r w:rsidRPr="007A6392">
        <w:t>1.4%</w:t>
      </w:r>
      <w:r w:rsidR="00016E75">
        <w:t>)</w:t>
      </w:r>
      <w:r w:rsidRPr="007A6392">
        <w:t>), and headache</w:t>
      </w:r>
      <w:r>
        <w:t xml:space="preserve"> </w:t>
      </w:r>
      <w:r w:rsidRPr="007A6392">
        <w:t>(6</w:t>
      </w:r>
      <w:r w:rsidR="00BC0404">
        <w:t xml:space="preserve"> out of </w:t>
      </w:r>
      <w:r w:rsidRPr="007A6392">
        <w:t xml:space="preserve">437 </w:t>
      </w:r>
      <w:r w:rsidR="00016E75">
        <w:t>(</w:t>
      </w:r>
      <w:r w:rsidRPr="007A6392">
        <w:t>1.4%</w:t>
      </w:r>
      <w:r w:rsidR="00016E75">
        <w:t>)</w:t>
      </w:r>
      <w:r w:rsidRPr="007A6392">
        <w:t>) were the most frequently reported TEAEs considered by investigators to be</w:t>
      </w:r>
      <w:r>
        <w:t xml:space="preserve"> </w:t>
      </w:r>
      <w:r w:rsidRPr="007A6392">
        <w:t xml:space="preserve">related to vaccination, and all other treatment related TEAEs were reported in </w:t>
      </w:r>
      <w:r w:rsidR="00BC0404">
        <w:t>less than</w:t>
      </w:r>
      <w:r w:rsidRPr="007A6392">
        <w:t xml:space="preserve"> 1% of</w:t>
      </w:r>
      <w:r>
        <w:t xml:space="preserve"> </w:t>
      </w:r>
      <w:r w:rsidRPr="007A6392">
        <w:t>participants</w:t>
      </w:r>
      <w:r>
        <w:t xml:space="preserve">. </w:t>
      </w:r>
      <w:r w:rsidRPr="00920337">
        <w:t>One participant experienced a severe TEAE that was considered</w:t>
      </w:r>
      <w:r>
        <w:t xml:space="preserve"> </w:t>
      </w:r>
      <w:r w:rsidRPr="00920337">
        <w:t xml:space="preserve">related to vaccination: a </w:t>
      </w:r>
      <w:proofErr w:type="gramStart"/>
      <w:r w:rsidRPr="00920337">
        <w:t>41</w:t>
      </w:r>
      <w:r w:rsidR="00BC0404">
        <w:t xml:space="preserve"> </w:t>
      </w:r>
      <w:r w:rsidRPr="00920337">
        <w:t>year</w:t>
      </w:r>
      <w:r w:rsidR="00BC0404">
        <w:t xml:space="preserve"> </w:t>
      </w:r>
      <w:r w:rsidRPr="00920337">
        <w:t>old</w:t>
      </w:r>
      <w:proofErr w:type="gramEnd"/>
      <w:r w:rsidRPr="00920337">
        <w:t xml:space="preserve"> female had non-serious severe fatigue that began on Day 1</w:t>
      </w:r>
      <w:r>
        <w:t xml:space="preserve"> and</w:t>
      </w:r>
      <w:r w:rsidRPr="00920337">
        <w:t xml:space="preserve"> continued until Day 14; the event was not medically attended</w:t>
      </w:r>
      <w:r>
        <w:t>.</w:t>
      </w:r>
    </w:p>
    <w:p w14:paraId="33579FDF" w14:textId="06CB01E2" w:rsidR="00346229" w:rsidRDefault="00346229" w:rsidP="005B3E47">
      <w:r w:rsidRPr="005047A7">
        <w:t xml:space="preserve">The </w:t>
      </w:r>
      <w:proofErr w:type="gramStart"/>
      <w:r w:rsidRPr="005047A7">
        <w:t>most commonly reported</w:t>
      </w:r>
      <w:proofErr w:type="gramEnd"/>
      <w:r w:rsidRPr="005047A7">
        <w:t xml:space="preserve"> unsolicited TEAEs within 28 days after the </w:t>
      </w:r>
      <w:r w:rsidR="00016E75">
        <w:t>bivalent vaccine (</w:t>
      </w:r>
      <w:proofErr w:type="spellStart"/>
      <w:r w:rsidR="00016E75">
        <w:t>elasomeran</w:t>
      </w:r>
      <w:proofErr w:type="spellEnd"/>
      <w:r w:rsidR="00016E75">
        <w:t xml:space="preserve"> + </w:t>
      </w:r>
      <w:proofErr w:type="spellStart"/>
      <w:r w:rsidR="00016E75">
        <w:t>imelasomeran</w:t>
      </w:r>
      <w:proofErr w:type="spellEnd"/>
      <w:r w:rsidR="00016E75">
        <w:t xml:space="preserve">) </w:t>
      </w:r>
      <w:r w:rsidR="00BC0404">
        <w:t xml:space="preserve">at </w:t>
      </w:r>
      <w:r w:rsidRPr="005047A7">
        <w:t>50</w:t>
      </w:r>
      <w:r w:rsidR="00BC0404">
        <w:t> </w:t>
      </w:r>
      <w:proofErr w:type="spellStart"/>
      <w:r w:rsidRPr="000B35A3">
        <w:t>μg</w:t>
      </w:r>
      <w:proofErr w:type="spellEnd"/>
      <w:r w:rsidRPr="000B35A3">
        <w:t xml:space="preserve"> </w:t>
      </w:r>
      <w:r w:rsidRPr="005047A7">
        <w:t>booster dose (</w:t>
      </w:r>
      <w:r w:rsidR="00BC0404">
        <w:t xml:space="preserve">Study P 205 </w:t>
      </w:r>
      <w:r w:rsidRPr="005047A7">
        <w:t>Part G) regardless of causality were fatigue (11</w:t>
      </w:r>
      <w:r w:rsidR="00BC0404">
        <w:t xml:space="preserve"> out of </w:t>
      </w:r>
      <w:r w:rsidRPr="005047A7">
        <w:t xml:space="preserve">437 </w:t>
      </w:r>
      <w:r w:rsidR="00016E75">
        <w:t>(</w:t>
      </w:r>
      <w:r w:rsidRPr="005047A7">
        <w:t>2.5%</w:t>
      </w:r>
      <w:r w:rsidR="00016E75">
        <w:t>)</w:t>
      </w:r>
      <w:r w:rsidRPr="005047A7">
        <w:t>); headache and</w:t>
      </w:r>
      <w:r>
        <w:t xml:space="preserve"> </w:t>
      </w:r>
      <w:r w:rsidRPr="005047A7">
        <w:t>arthralgia (7</w:t>
      </w:r>
      <w:r w:rsidR="00BC0404">
        <w:t xml:space="preserve"> out of </w:t>
      </w:r>
      <w:r w:rsidRPr="005047A7">
        <w:t xml:space="preserve">437 </w:t>
      </w:r>
      <w:r w:rsidR="00016E75">
        <w:t>(</w:t>
      </w:r>
      <w:r w:rsidRPr="005047A7">
        <w:t>1.6%</w:t>
      </w:r>
      <w:r w:rsidR="00016E75">
        <w:t>)</w:t>
      </w:r>
      <w:r w:rsidRPr="005047A7">
        <w:t xml:space="preserve"> each); and myalgia, COVID-19, and upper respiratory tract infection</w:t>
      </w:r>
      <w:r>
        <w:t xml:space="preserve"> </w:t>
      </w:r>
      <w:r w:rsidRPr="005047A7">
        <w:t>(5</w:t>
      </w:r>
      <w:r w:rsidR="00BC0404">
        <w:t xml:space="preserve"> out of </w:t>
      </w:r>
      <w:r w:rsidRPr="005047A7">
        <w:t xml:space="preserve">437 </w:t>
      </w:r>
      <w:r w:rsidR="00016E75">
        <w:t>(</w:t>
      </w:r>
      <w:r w:rsidRPr="005047A7">
        <w:t>1.1%</w:t>
      </w:r>
      <w:r w:rsidR="00016E75">
        <w:t>)</w:t>
      </w:r>
      <w:r w:rsidRPr="005047A7">
        <w:t xml:space="preserve"> each)</w:t>
      </w:r>
      <w:r>
        <w:t xml:space="preserve">. </w:t>
      </w:r>
      <w:r w:rsidRPr="005047A7">
        <w:t xml:space="preserve">All other unsolicited TEAEs in the </w:t>
      </w:r>
      <w:r w:rsidR="00016E75">
        <w:t>bivalent vaccine (</w:t>
      </w:r>
      <w:proofErr w:type="spellStart"/>
      <w:r w:rsidR="00016E75">
        <w:t>elasomeran</w:t>
      </w:r>
      <w:proofErr w:type="spellEnd"/>
      <w:r w:rsidR="00016E75">
        <w:t xml:space="preserve"> + </w:t>
      </w:r>
      <w:proofErr w:type="spellStart"/>
      <w:r w:rsidR="00016E75">
        <w:t>imelasomeran</w:t>
      </w:r>
      <w:proofErr w:type="spellEnd"/>
      <w:r w:rsidR="00016E75">
        <w:t xml:space="preserve">) </w:t>
      </w:r>
      <w:r w:rsidR="00BC0404">
        <w:t xml:space="preserve">at </w:t>
      </w:r>
      <w:r w:rsidRPr="005047A7">
        <w:t xml:space="preserve">50 </w:t>
      </w:r>
      <w:r w:rsidR="00BC0404">
        <w:t>µ</w:t>
      </w:r>
      <w:r w:rsidRPr="005047A7">
        <w:t xml:space="preserve">g booster dose group were reported in </w:t>
      </w:r>
      <w:r w:rsidR="00BC0404">
        <w:t>less than</w:t>
      </w:r>
      <w:r w:rsidRPr="005047A7">
        <w:t xml:space="preserve"> 1% of participants.</w:t>
      </w:r>
    </w:p>
    <w:p w14:paraId="439CF6C4" w14:textId="319C07B3" w:rsidR="00346229" w:rsidRDefault="00346229" w:rsidP="005B3E47">
      <w:r w:rsidRPr="005047A7">
        <w:t xml:space="preserve">Up to the data </w:t>
      </w:r>
      <w:proofErr w:type="spellStart"/>
      <w:r w:rsidRPr="005047A7">
        <w:t>cutoff</w:t>
      </w:r>
      <w:proofErr w:type="spellEnd"/>
      <w:r w:rsidRPr="005047A7">
        <w:t xml:space="preserve"> date (27 Apr</w:t>
      </w:r>
      <w:r w:rsidR="00BC0404">
        <w:t>il</w:t>
      </w:r>
      <w:r w:rsidRPr="005047A7">
        <w:t xml:space="preserve"> 2022), one additional SAE occurred in the </w:t>
      </w:r>
      <w:r w:rsidR="00BE69D0">
        <w:t>bivalent vaccine (</w:t>
      </w:r>
      <w:proofErr w:type="spellStart"/>
      <w:r w:rsidR="00BE69D0">
        <w:t>elasomeran</w:t>
      </w:r>
      <w:proofErr w:type="spellEnd"/>
      <w:r w:rsidR="00BE69D0">
        <w:t xml:space="preserve"> + </w:t>
      </w:r>
      <w:proofErr w:type="spellStart"/>
      <w:r w:rsidR="00BE69D0">
        <w:t>imelasomeran</w:t>
      </w:r>
      <w:proofErr w:type="spellEnd"/>
      <w:r w:rsidR="00BE69D0">
        <w:t xml:space="preserve">) </w:t>
      </w:r>
      <w:r w:rsidR="00BC0404">
        <w:t xml:space="preserve">at </w:t>
      </w:r>
      <w:r w:rsidRPr="005047A7">
        <w:t xml:space="preserve">50 </w:t>
      </w:r>
      <w:proofErr w:type="spellStart"/>
      <w:r w:rsidRPr="000B35A3">
        <w:t>μg</w:t>
      </w:r>
      <w:proofErr w:type="spellEnd"/>
      <w:r w:rsidRPr="005047A7">
        <w:t xml:space="preserve"> booster dose group (nephrolithiasis; considered unrelated to vaccination by the</w:t>
      </w:r>
      <w:r>
        <w:t xml:space="preserve"> </w:t>
      </w:r>
      <w:r w:rsidRPr="005047A7">
        <w:t>investigator. As of the data cut</w:t>
      </w:r>
      <w:r w:rsidR="003F3A8C">
        <w:t>-</w:t>
      </w:r>
      <w:r w:rsidRPr="005047A7">
        <w:t>off, there were no fatal events or study</w:t>
      </w:r>
      <w:r>
        <w:t xml:space="preserve"> </w:t>
      </w:r>
      <w:r w:rsidRPr="005047A7">
        <w:t>discontinuations due to AEs</w:t>
      </w:r>
      <w:r>
        <w:t>.</w:t>
      </w:r>
    </w:p>
    <w:p w14:paraId="77B3A55A" w14:textId="5BB40116" w:rsidR="00346229" w:rsidRDefault="00BC0404" w:rsidP="005B3E47">
      <w:pPr>
        <w:pStyle w:val="Heading5"/>
      </w:pPr>
      <w:r>
        <w:t xml:space="preserve">Safety events in Study </w:t>
      </w:r>
      <w:r w:rsidR="00896136">
        <w:t xml:space="preserve">P205 </w:t>
      </w:r>
      <w:r w:rsidR="00346229" w:rsidRPr="00F2288A">
        <w:t>Part F</w:t>
      </w:r>
      <w:r w:rsidR="00346229">
        <w:t xml:space="preserve"> cohort 2</w:t>
      </w:r>
    </w:p>
    <w:p w14:paraId="41DB59F8" w14:textId="6A2013D4" w:rsidR="00346229" w:rsidRDefault="00346229" w:rsidP="005B3E47">
      <w:r>
        <w:t>T</w:t>
      </w:r>
      <w:r w:rsidRPr="00F2288A">
        <w:t>here were</w:t>
      </w:r>
      <w:r>
        <w:t xml:space="preserve"> </w:t>
      </w:r>
      <w:r w:rsidRPr="00F2288A">
        <w:t>no fatal events and 1</w:t>
      </w:r>
      <w:r w:rsidR="00540619">
        <w:t xml:space="preserve"> out of </w:t>
      </w:r>
      <w:r w:rsidRPr="00F2288A">
        <w:t xml:space="preserve">377 participants (0.3%) had an </w:t>
      </w:r>
      <w:r w:rsidR="00BC0404">
        <w:t>SAE</w:t>
      </w:r>
      <w:r w:rsidRPr="00F2288A">
        <w:t xml:space="preserve">; the </w:t>
      </w:r>
      <w:r w:rsidR="00BC0404">
        <w:t>SAE</w:t>
      </w:r>
      <w:r w:rsidRPr="00F2288A">
        <w:t xml:space="preserve"> was assessed by the</w:t>
      </w:r>
      <w:r>
        <w:t xml:space="preserve"> </w:t>
      </w:r>
      <w:r w:rsidRPr="00F2288A">
        <w:t>investigator as unrelated to study vaccination (spinal osteoarthritis. At</w:t>
      </w:r>
      <w:r>
        <w:t xml:space="preserve"> </w:t>
      </w:r>
      <w:r w:rsidRPr="00F2288A">
        <w:t xml:space="preserve">least one </w:t>
      </w:r>
      <w:r w:rsidR="00BC0404">
        <w:t>MAAE</w:t>
      </w:r>
      <w:r w:rsidRPr="00F2288A">
        <w:t xml:space="preserve"> was reported for 52</w:t>
      </w:r>
      <w:r w:rsidR="00540619">
        <w:t xml:space="preserve"> out of </w:t>
      </w:r>
      <w:r w:rsidRPr="00F2288A">
        <w:t>377 participants (13.8%), of whom 2</w:t>
      </w:r>
      <w:r w:rsidR="00540619">
        <w:t xml:space="preserve"> out of </w:t>
      </w:r>
      <w:r w:rsidRPr="00F2288A">
        <w:t>377</w:t>
      </w:r>
      <w:r w:rsidR="003F3A8C">
        <w:t> </w:t>
      </w:r>
      <w:r w:rsidRPr="00F2288A">
        <w:t>participants</w:t>
      </w:r>
      <w:r>
        <w:t xml:space="preserve"> </w:t>
      </w:r>
      <w:r w:rsidRPr="00F2288A">
        <w:t xml:space="preserve">(0.5%) had an </w:t>
      </w:r>
      <w:r w:rsidR="00BC0404">
        <w:t>MAAE</w:t>
      </w:r>
      <w:r w:rsidR="00540619" w:rsidRPr="00F2288A">
        <w:t xml:space="preserve"> </w:t>
      </w:r>
      <w:r w:rsidRPr="00F2288A">
        <w:t>that was considered by the investigator to be related to study vaccination</w:t>
      </w:r>
      <w:r>
        <w:t xml:space="preserve"> </w:t>
      </w:r>
      <w:r w:rsidRPr="00F2288A">
        <w:t>(hypertension and urticaria. No participants had TEAEs leading to study</w:t>
      </w:r>
      <w:r>
        <w:t xml:space="preserve"> </w:t>
      </w:r>
      <w:r w:rsidRPr="00F2288A">
        <w:t>discontinuation</w:t>
      </w:r>
      <w:r w:rsidR="0059204E">
        <w:t xml:space="preserve"> (</w:t>
      </w:r>
      <w:r w:rsidR="003F3A8C">
        <w:t xml:space="preserve">see </w:t>
      </w:r>
      <w:r w:rsidR="0059204E">
        <w:fldChar w:fldCharType="begin"/>
      </w:r>
      <w:r w:rsidR="0059204E">
        <w:instrText xml:space="preserve"> REF _Ref112055730 \h </w:instrText>
      </w:r>
      <w:r w:rsidR="0059204E">
        <w:fldChar w:fldCharType="separate"/>
      </w:r>
      <w:r w:rsidR="00D102F3" w:rsidRPr="00896136">
        <w:t xml:space="preserve">Table </w:t>
      </w:r>
      <w:r w:rsidR="00D102F3">
        <w:rPr>
          <w:noProof/>
        </w:rPr>
        <w:t>13</w:t>
      </w:r>
      <w:r w:rsidR="0059204E">
        <w:fldChar w:fldCharType="end"/>
      </w:r>
      <w:r w:rsidR="0059204E">
        <w:t>)</w:t>
      </w:r>
      <w:r w:rsidRPr="00F2288A">
        <w:t>.</w:t>
      </w:r>
    </w:p>
    <w:p w14:paraId="171744B4" w14:textId="378FC0A6" w:rsidR="00346229" w:rsidRDefault="00346229" w:rsidP="005B3E47">
      <w:r w:rsidRPr="00892A28">
        <w:t xml:space="preserve">Unsolicited TEAEs within 28 days after the 50 </w:t>
      </w:r>
      <w:bookmarkStart w:id="55" w:name="_Hlk111031074"/>
      <w:proofErr w:type="spellStart"/>
      <w:r w:rsidRPr="000B35A3">
        <w:t>μg</w:t>
      </w:r>
      <w:proofErr w:type="spellEnd"/>
      <w:r w:rsidRPr="00892A28">
        <w:t xml:space="preserve"> </w:t>
      </w:r>
      <w:bookmarkEnd w:id="55"/>
      <w:r w:rsidR="003F3A8C">
        <w:t>monovalent vaccine (</w:t>
      </w:r>
      <w:proofErr w:type="spellStart"/>
      <w:r w:rsidR="003F3A8C">
        <w:t>elasomeran</w:t>
      </w:r>
      <w:proofErr w:type="spellEnd"/>
      <w:r w:rsidR="003F3A8C">
        <w:t xml:space="preserve">) </w:t>
      </w:r>
      <w:r w:rsidRPr="00892A28">
        <w:t>booster dose (</w:t>
      </w:r>
      <w:r w:rsidR="00BC0404">
        <w:t xml:space="preserve">Study P205 </w:t>
      </w:r>
      <w:r w:rsidRPr="00892A28">
        <w:t>Part F), regardless</w:t>
      </w:r>
      <w:r>
        <w:t xml:space="preserve"> </w:t>
      </w:r>
      <w:r w:rsidRPr="00892A28">
        <w:t>of relationship to study vaccination as reported by investigators, were reported in</w:t>
      </w:r>
      <w:r>
        <w:t xml:space="preserve"> </w:t>
      </w:r>
      <w:r w:rsidRPr="00892A28">
        <w:t>78</w:t>
      </w:r>
      <w:r w:rsidR="00BC0404">
        <w:t xml:space="preserve"> out of </w:t>
      </w:r>
      <w:r w:rsidRPr="00892A28">
        <w:t>377 participants (20.7%). Of those, 22</w:t>
      </w:r>
      <w:r w:rsidR="00BC0404">
        <w:t xml:space="preserve"> out of </w:t>
      </w:r>
      <w:r w:rsidRPr="00892A28">
        <w:t>377 participants (5.8%) had a TEAE that</w:t>
      </w:r>
      <w:r>
        <w:t xml:space="preserve"> </w:t>
      </w:r>
      <w:r w:rsidRPr="00892A28">
        <w:t>was assessed by the investigator as related to study vaccination, and the majority of these were</w:t>
      </w:r>
      <w:r>
        <w:t xml:space="preserve"> </w:t>
      </w:r>
      <w:r w:rsidRPr="00892A28">
        <w:t>consistent with reactogenicity events: fatigue (11</w:t>
      </w:r>
      <w:r w:rsidR="00BC0404">
        <w:t xml:space="preserve"> out of </w:t>
      </w:r>
      <w:r w:rsidRPr="00892A28">
        <w:t xml:space="preserve">377 </w:t>
      </w:r>
      <w:r w:rsidR="003F3A8C">
        <w:t>(</w:t>
      </w:r>
      <w:r w:rsidRPr="00892A28">
        <w:t>2.9%</w:t>
      </w:r>
      <w:r w:rsidR="003F3A8C">
        <w:t>)</w:t>
      </w:r>
      <w:r w:rsidRPr="00892A28">
        <w:t>), arthralgia 6</w:t>
      </w:r>
      <w:r w:rsidR="00BC0404">
        <w:t xml:space="preserve"> out of </w:t>
      </w:r>
      <w:r w:rsidRPr="00892A28">
        <w:t xml:space="preserve">377 </w:t>
      </w:r>
      <w:r w:rsidR="00E52CC3">
        <w:t>(</w:t>
      </w:r>
      <w:r w:rsidRPr="00892A28">
        <w:t>1.6%</w:t>
      </w:r>
      <w:r w:rsidR="00E52CC3">
        <w:t>)</w:t>
      </w:r>
      <w:r w:rsidRPr="00892A28">
        <w:t>), and</w:t>
      </w:r>
      <w:r>
        <w:t xml:space="preserve"> </w:t>
      </w:r>
      <w:r w:rsidRPr="00892A28">
        <w:t>myalgia (6</w:t>
      </w:r>
      <w:r w:rsidR="00BC0404">
        <w:t xml:space="preserve"> out of </w:t>
      </w:r>
      <w:r w:rsidRPr="00892A28">
        <w:t xml:space="preserve">377 </w:t>
      </w:r>
      <w:r w:rsidR="003F3A8C">
        <w:t>(</w:t>
      </w:r>
      <w:r w:rsidRPr="00892A28">
        <w:t>1.6%</w:t>
      </w:r>
      <w:r w:rsidR="003F3A8C">
        <w:t>)</w:t>
      </w:r>
      <w:r w:rsidRPr="00892A28">
        <w:t>) were the most frequently reported TEAEs considered by investigators to</w:t>
      </w:r>
      <w:r>
        <w:t xml:space="preserve"> </w:t>
      </w:r>
      <w:r w:rsidRPr="00892A28">
        <w:t xml:space="preserve">be related to vaccination, and all other treatment related TEAEs were reported in </w:t>
      </w:r>
      <w:r w:rsidR="00BC0404">
        <w:t>less than</w:t>
      </w:r>
      <w:r w:rsidRPr="00892A28">
        <w:t xml:space="preserve"> 1% of</w:t>
      </w:r>
      <w:r>
        <w:t xml:space="preserve"> </w:t>
      </w:r>
      <w:r w:rsidRPr="00892A28">
        <w:t>participants</w:t>
      </w:r>
      <w:r w:rsidR="0059204E">
        <w:t xml:space="preserve"> (</w:t>
      </w:r>
      <w:r w:rsidR="003F3A8C">
        <w:t xml:space="preserve">see </w:t>
      </w:r>
      <w:r w:rsidR="0059204E">
        <w:fldChar w:fldCharType="begin"/>
      </w:r>
      <w:r w:rsidR="0059204E">
        <w:instrText xml:space="preserve"> REF _Ref112055730 \h </w:instrText>
      </w:r>
      <w:r w:rsidR="0059204E">
        <w:fldChar w:fldCharType="separate"/>
      </w:r>
      <w:r w:rsidR="00D102F3" w:rsidRPr="00896136">
        <w:t xml:space="preserve">Table </w:t>
      </w:r>
      <w:r w:rsidR="00D102F3">
        <w:rPr>
          <w:noProof/>
        </w:rPr>
        <w:t>13</w:t>
      </w:r>
      <w:r w:rsidR="0059204E">
        <w:fldChar w:fldCharType="end"/>
      </w:r>
      <w:r w:rsidR="0059204E">
        <w:t>)</w:t>
      </w:r>
      <w:r w:rsidRPr="00892A28">
        <w:t>. Two participants experienced severe TEAEs that were</w:t>
      </w:r>
      <w:r>
        <w:t xml:space="preserve"> </w:t>
      </w:r>
      <w:r w:rsidRPr="00892A28">
        <w:t>considered related to vaccination and were not medically attended: a 31</w:t>
      </w:r>
      <w:r w:rsidR="00BC0404">
        <w:t xml:space="preserve"> </w:t>
      </w:r>
      <w:r w:rsidRPr="00892A28">
        <w:t>year</w:t>
      </w:r>
      <w:r w:rsidR="00BC0404">
        <w:t xml:space="preserve"> </w:t>
      </w:r>
      <w:r w:rsidRPr="00892A28">
        <w:t>old male with</w:t>
      </w:r>
      <w:r>
        <w:t xml:space="preserve"> </w:t>
      </w:r>
      <w:r w:rsidRPr="00892A28">
        <w:t>history of chronic fatigue had non-serious severe fatigue that began on Day 2 and resolved on</w:t>
      </w:r>
      <w:r>
        <w:t xml:space="preserve"> </w:t>
      </w:r>
      <w:r w:rsidRPr="00892A28">
        <w:t>Day 8 and occurred concurrently with an unsolicited AE of moderate asthma (verbatim: asthma</w:t>
      </w:r>
      <w:r>
        <w:t xml:space="preserve"> </w:t>
      </w:r>
      <w:r w:rsidRPr="00892A28">
        <w:t xml:space="preserve">exacerbation) that was assessed by the </w:t>
      </w:r>
      <w:r w:rsidR="00E52CC3">
        <w:t>i</w:t>
      </w:r>
      <w:r w:rsidRPr="00892A28">
        <w:t>nvestigator as not related to vaccination; and a</w:t>
      </w:r>
      <w:r>
        <w:t xml:space="preserve"> </w:t>
      </w:r>
      <w:r w:rsidRPr="00892A28">
        <w:t>42</w:t>
      </w:r>
      <w:r w:rsidR="00BC0404">
        <w:t xml:space="preserve"> </w:t>
      </w:r>
      <w:r w:rsidRPr="00892A28">
        <w:t>year</w:t>
      </w:r>
      <w:r w:rsidR="00BC0404">
        <w:t xml:space="preserve"> </w:t>
      </w:r>
      <w:r w:rsidRPr="00892A28">
        <w:t>old male had non-serious severe myalgia that began on Day 7 and resolved on Day 8</w:t>
      </w:r>
      <w:r>
        <w:t>.</w:t>
      </w:r>
    </w:p>
    <w:p w14:paraId="72B37D69" w14:textId="0ACDEAFB" w:rsidR="00346229" w:rsidRDefault="00346229" w:rsidP="005B3E47">
      <w:r w:rsidRPr="00892A28">
        <w:t>The most commonly reported unsolicited TEAEs within 28 days after the</w:t>
      </w:r>
      <w:r w:rsidR="003F3A8C">
        <w:t xml:space="preserve"> 50 </w:t>
      </w:r>
      <w:proofErr w:type="spellStart"/>
      <w:r w:rsidR="003F3A8C">
        <w:t>μg</w:t>
      </w:r>
      <w:proofErr w:type="spellEnd"/>
      <w:r w:rsidRPr="00892A28">
        <w:t xml:space="preserve"> </w:t>
      </w:r>
      <w:r w:rsidR="003F3A8C">
        <w:t>monovalent vaccine (</w:t>
      </w:r>
      <w:proofErr w:type="spellStart"/>
      <w:r w:rsidR="003F3A8C">
        <w:t>elasomeran</w:t>
      </w:r>
      <w:proofErr w:type="spellEnd"/>
      <w:r w:rsidR="003F3A8C">
        <w:t>)</w:t>
      </w:r>
      <w:r>
        <w:t xml:space="preserve"> </w:t>
      </w:r>
      <w:r w:rsidRPr="00892A28">
        <w:t>booster dose (</w:t>
      </w:r>
      <w:r w:rsidR="00ED7F97">
        <w:t xml:space="preserve">Study P205 </w:t>
      </w:r>
      <w:r w:rsidRPr="00892A28">
        <w:t>Part F) regardless of causality were fatigue (12</w:t>
      </w:r>
      <w:r w:rsidR="00ED7F97">
        <w:t xml:space="preserve"> out of </w:t>
      </w:r>
      <w:r w:rsidRPr="00892A28">
        <w:t xml:space="preserve">377 </w:t>
      </w:r>
      <w:r w:rsidR="003F3A8C">
        <w:t>(</w:t>
      </w:r>
      <w:r w:rsidRPr="00892A28">
        <w:t>3.2%</w:t>
      </w:r>
      <w:r w:rsidR="003F3A8C">
        <w:t>)</w:t>
      </w:r>
      <w:r w:rsidRPr="00892A28">
        <w:t>), upper respiratory tract</w:t>
      </w:r>
      <w:r>
        <w:t xml:space="preserve"> </w:t>
      </w:r>
      <w:r w:rsidRPr="00892A28">
        <w:t>infection (9</w:t>
      </w:r>
      <w:r w:rsidR="00ED7F97">
        <w:t xml:space="preserve"> out of </w:t>
      </w:r>
      <w:r w:rsidRPr="00892A28">
        <w:t xml:space="preserve">377 </w:t>
      </w:r>
      <w:r w:rsidR="003F3A8C">
        <w:t>(</w:t>
      </w:r>
      <w:r w:rsidRPr="00892A28">
        <w:t>2.4%</w:t>
      </w:r>
      <w:r w:rsidR="003F3A8C">
        <w:t>)</w:t>
      </w:r>
      <w:r w:rsidRPr="00892A28">
        <w:t>), coronavirus infection (</w:t>
      </w:r>
      <w:r w:rsidR="00ED7F97">
        <w:t>that is</w:t>
      </w:r>
      <w:r w:rsidRPr="00892A28">
        <w:t xml:space="preserve"> coronaviruses other than SARS-CoV-2)</w:t>
      </w:r>
      <w:r w:rsidRPr="00892A28">
        <w:rPr>
          <w:rFonts w:ascii="TimesNewRoman" w:eastAsia="TimesNewRoman" w:hAnsiTheme="minorHAnsi" w:cs="TimesNewRoman"/>
          <w:color w:val="000000"/>
          <w:sz w:val="24"/>
          <w:szCs w:val="24"/>
        </w:rPr>
        <w:t xml:space="preserve"> </w:t>
      </w:r>
      <w:r w:rsidRPr="00892A28">
        <w:t>(8</w:t>
      </w:r>
      <w:r w:rsidR="00ED7F97">
        <w:t xml:space="preserve"> out of </w:t>
      </w:r>
      <w:r w:rsidRPr="00892A28">
        <w:t xml:space="preserve">377 </w:t>
      </w:r>
      <w:r w:rsidR="003F3A8C">
        <w:t>(</w:t>
      </w:r>
      <w:r w:rsidRPr="00892A28">
        <w:t>2.1%</w:t>
      </w:r>
      <w:r w:rsidR="003F3A8C">
        <w:t>)</w:t>
      </w:r>
      <w:r w:rsidRPr="00892A28">
        <w:t>), arthralgia (7</w:t>
      </w:r>
      <w:r w:rsidR="00ED7F97">
        <w:t xml:space="preserve"> out of </w:t>
      </w:r>
      <w:r w:rsidRPr="00892A28">
        <w:t xml:space="preserve">377 </w:t>
      </w:r>
      <w:r w:rsidR="003F3A8C">
        <w:t>(</w:t>
      </w:r>
      <w:r w:rsidRPr="00892A28">
        <w:t>1.9%</w:t>
      </w:r>
      <w:r w:rsidR="003F3A8C">
        <w:t>)</w:t>
      </w:r>
      <w:r w:rsidRPr="00892A28">
        <w:t>), myalgia (6</w:t>
      </w:r>
      <w:r w:rsidR="00ED7F97">
        <w:t xml:space="preserve"> out of </w:t>
      </w:r>
      <w:r w:rsidRPr="00892A28">
        <w:t xml:space="preserve">377 </w:t>
      </w:r>
      <w:r w:rsidR="003F3A8C">
        <w:t>(</w:t>
      </w:r>
      <w:r w:rsidRPr="00892A28">
        <w:t>1.6%</w:t>
      </w:r>
      <w:r w:rsidR="003F3A8C">
        <w:t>)</w:t>
      </w:r>
      <w:r w:rsidRPr="00892A28">
        <w:t xml:space="preserve">), and headache </w:t>
      </w:r>
      <w:r w:rsidRPr="00892A28">
        <w:lastRenderedPageBreak/>
        <w:t>(4</w:t>
      </w:r>
      <w:r w:rsidR="00ED7F97">
        <w:t xml:space="preserve"> out of </w:t>
      </w:r>
      <w:r w:rsidRPr="00892A28">
        <w:t xml:space="preserve">377 </w:t>
      </w:r>
      <w:r w:rsidR="003F3A8C">
        <w:t>(</w:t>
      </w:r>
      <w:r w:rsidRPr="00892A28">
        <w:t>1.1%</w:t>
      </w:r>
      <w:r w:rsidR="003F3A8C">
        <w:t>)</w:t>
      </w:r>
      <w:r w:rsidRPr="00892A28">
        <w:t xml:space="preserve">). All other unsolicited TEAEs in the 50 </w:t>
      </w:r>
      <w:proofErr w:type="spellStart"/>
      <w:r w:rsidRPr="0077384F">
        <w:t>μg</w:t>
      </w:r>
      <w:proofErr w:type="spellEnd"/>
      <w:r w:rsidRPr="00892A28">
        <w:t xml:space="preserve"> </w:t>
      </w:r>
      <w:r w:rsidR="003F3A8C">
        <w:t>monovalent vaccine (</w:t>
      </w:r>
      <w:proofErr w:type="spellStart"/>
      <w:r w:rsidR="003F3A8C">
        <w:t>elasomeran</w:t>
      </w:r>
      <w:proofErr w:type="spellEnd"/>
      <w:r w:rsidR="003F3A8C">
        <w:t xml:space="preserve">) </w:t>
      </w:r>
      <w:r w:rsidRPr="00892A28">
        <w:t>booster dose group</w:t>
      </w:r>
      <w:r>
        <w:t xml:space="preserve"> </w:t>
      </w:r>
      <w:r w:rsidRPr="00892A28">
        <w:t xml:space="preserve">were reported in </w:t>
      </w:r>
      <w:r w:rsidR="00ED7F97">
        <w:t>less than</w:t>
      </w:r>
      <w:r w:rsidRPr="00892A28">
        <w:t xml:space="preserve"> 1% of participants.</w:t>
      </w:r>
    </w:p>
    <w:p w14:paraId="58CED707" w14:textId="1C1822B8" w:rsidR="00346229" w:rsidRDefault="00346229" w:rsidP="005B3E47">
      <w:r w:rsidRPr="00B02D25">
        <w:t xml:space="preserve">As of the data </w:t>
      </w:r>
      <w:proofErr w:type="spellStart"/>
      <w:r w:rsidRPr="00B02D25">
        <w:t>cutoff</w:t>
      </w:r>
      <w:proofErr w:type="spellEnd"/>
      <w:r w:rsidRPr="00B02D25">
        <w:t>, there were no fatal events or study discontinuations due to AEs. One additional MAAE was considered related to vaccination by the</w:t>
      </w:r>
      <w:r>
        <w:t xml:space="preserve"> </w:t>
      </w:r>
      <w:r w:rsidRPr="00B02D25">
        <w:t xml:space="preserve">investigator occurred in the mRNA-1273 </w:t>
      </w:r>
      <w:r w:rsidR="00ED7F97">
        <w:t xml:space="preserve">at </w:t>
      </w:r>
      <w:r w:rsidRPr="00B02D25">
        <w:t xml:space="preserve">50 </w:t>
      </w:r>
      <w:bookmarkStart w:id="56" w:name="_Hlk111031648"/>
      <w:proofErr w:type="spellStart"/>
      <w:r w:rsidRPr="0077384F">
        <w:t>μg</w:t>
      </w:r>
      <w:proofErr w:type="spellEnd"/>
      <w:r w:rsidRPr="00B02D25">
        <w:t xml:space="preserve"> </w:t>
      </w:r>
      <w:bookmarkEnd w:id="56"/>
      <w:r w:rsidRPr="00B02D25">
        <w:t>booster dose group (back pain</w:t>
      </w:r>
      <w:r>
        <w:t>).</w:t>
      </w:r>
    </w:p>
    <w:p w14:paraId="369F97E5" w14:textId="53CAC690" w:rsidR="00896136" w:rsidRDefault="00896136" w:rsidP="00896136">
      <w:pPr>
        <w:pStyle w:val="TableTitle"/>
      </w:pPr>
      <w:bookmarkStart w:id="57" w:name="_Ref112055730"/>
      <w:r w:rsidRPr="00896136">
        <w:t xml:space="preserve">Table </w:t>
      </w:r>
      <w:r w:rsidR="00F43EA9">
        <w:fldChar w:fldCharType="begin"/>
      </w:r>
      <w:r w:rsidR="00F43EA9">
        <w:instrText xml:space="preserve"> SEQ Table \* ARABIC </w:instrText>
      </w:r>
      <w:r w:rsidR="00F43EA9">
        <w:fldChar w:fldCharType="separate"/>
      </w:r>
      <w:r w:rsidR="00D102F3">
        <w:rPr>
          <w:noProof/>
        </w:rPr>
        <w:t>13</w:t>
      </w:r>
      <w:r w:rsidR="00F43EA9">
        <w:rPr>
          <w:noProof/>
        </w:rPr>
        <w:fldChar w:fldCharType="end"/>
      </w:r>
      <w:bookmarkEnd w:id="57"/>
      <w:r>
        <w:t xml:space="preserve">: </w:t>
      </w:r>
      <w:r w:rsidR="003F3A8C">
        <w:t xml:space="preserve">Study P205 Parts G and F; </w:t>
      </w:r>
      <w:r w:rsidRPr="00896136">
        <w:t xml:space="preserve">Summary of </w:t>
      </w:r>
      <w:r>
        <w:t>u</w:t>
      </w:r>
      <w:r w:rsidRPr="00896136">
        <w:t xml:space="preserve">nsolicited </w:t>
      </w:r>
      <w:r w:rsidR="00ED7F97">
        <w:t>t</w:t>
      </w:r>
      <w:r w:rsidR="00ED7F97" w:rsidRPr="003B4352">
        <w:t xml:space="preserve">reatment </w:t>
      </w:r>
      <w:r w:rsidR="00ED7F97">
        <w:t>e</w:t>
      </w:r>
      <w:r w:rsidR="00ED7F97" w:rsidRPr="003B4352">
        <w:t xml:space="preserve">mergent </w:t>
      </w:r>
      <w:r w:rsidR="00ED7F97">
        <w:t>a</w:t>
      </w:r>
      <w:r w:rsidR="00ED7F97" w:rsidRPr="003B4352">
        <w:t xml:space="preserve">dverse </w:t>
      </w:r>
      <w:r w:rsidR="00ED7F97">
        <w:t>e</w:t>
      </w:r>
      <w:r w:rsidR="00ED7F97" w:rsidRPr="003B4352">
        <w:t>vent</w:t>
      </w:r>
      <w:r w:rsidR="00ED7F97">
        <w:t>s</w:t>
      </w:r>
      <w:r w:rsidRPr="00896136">
        <w:t xml:space="preserve"> up to 28 Days </w:t>
      </w:r>
      <w:r w:rsidR="00ED7F97">
        <w:t>a</w:t>
      </w:r>
      <w:r w:rsidRPr="00896136">
        <w:t xml:space="preserve">fter </w:t>
      </w:r>
      <w:r w:rsidR="00ED7F97">
        <w:t>second</w:t>
      </w:r>
      <w:r w:rsidRPr="00896136">
        <w:t xml:space="preserve"> </w:t>
      </w:r>
      <w:r w:rsidR="00ED7F97">
        <w:t>b</w:t>
      </w:r>
      <w:r w:rsidRPr="00896136">
        <w:t xml:space="preserve">ooster </w:t>
      </w:r>
      <w:r w:rsidR="00ED7F97">
        <w:t>d</w:t>
      </w:r>
      <w:r w:rsidRPr="00896136">
        <w:t>ose (</w:t>
      </w:r>
      <w:r w:rsidR="00ED7F97">
        <w:t>s</w:t>
      </w:r>
      <w:r w:rsidRPr="00896136">
        <w:t xml:space="preserve">afety </w:t>
      </w:r>
      <w:r w:rsidR="00ED7F97">
        <w:t>s</w:t>
      </w:r>
      <w:r w:rsidRPr="00896136">
        <w:t>et)</w:t>
      </w:r>
    </w:p>
    <w:p w14:paraId="62E3259E" w14:textId="77777777" w:rsidR="00F43EA9" w:rsidRDefault="00896136" w:rsidP="00F43EA9">
      <w:r>
        <w:rPr>
          <w:noProof/>
          <w:lang w:val="en-GB" w:eastAsia="en-GB"/>
        </w:rPr>
        <w:drawing>
          <wp:inline distT="0" distB="0" distL="0" distR="0" wp14:anchorId="17B99478" wp14:editId="33F3C924">
            <wp:extent cx="5399494" cy="3398439"/>
            <wp:effectExtent l="0" t="0" r="0" b="0"/>
            <wp:docPr id="19" name="Picture 19" descr="Summary of unsolicited treatment emergent adverse events up to 28 Days after second booster dose: mRNA-1273.214 and mRNA-1273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mmary of unsolicited treatment emergent adverse events up to 28 Days after second booster dose: mRNA-1273.214 and mRNA-1273 (safety set)"/>
                    <pic:cNvPicPr/>
                  </pic:nvPicPr>
                  <pic:blipFill rotWithShape="1">
                    <a:blip r:embed="rId27"/>
                    <a:srcRect b="15009"/>
                    <a:stretch/>
                  </pic:blipFill>
                  <pic:spPr bwMode="auto">
                    <a:xfrm>
                      <a:off x="0" y="0"/>
                      <a:ext cx="5400040" cy="3398782"/>
                    </a:xfrm>
                    <a:prstGeom prst="rect">
                      <a:avLst/>
                    </a:prstGeom>
                    <a:ln>
                      <a:noFill/>
                    </a:ln>
                    <a:extLst>
                      <a:ext uri="{53640926-AAD7-44D8-BBD7-CCE9431645EC}">
                        <a14:shadowObscured xmlns:a14="http://schemas.microsoft.com/office/drawing/2010/main"/>
                      </a:ext>
                    </a:extLst>
                  </pic:spPr>
                </pic:pic>
              </a:graphicData>
            </a:graphic>
          </wp:inline>
        </w:drawing>
      </w:r>
    </w:p>
    <w:p w14:paraId="661CA19A" w14:textId="75E8110D" w:rsidR="00D0413D" w:rsidRDefault="00D0413D" w:rsidP="00F43EA9">
      <w:pPr>
        <w:pStyle w:val="TableDescription"/>
      </w:pPr>
      <w:r>
        <w:t xml:space="preserve">Abbreviation: TEAE = </w:t>
      </w:r>
      <w:proofErr w:type="spellStart"/>
      <w:r>
        <w:t>treatmen</w:t>
      </w:r>
      <w:proofErr w:type="spellEnd"/>
      <w:r>
        <w:t xml:space="preserve"> emergent adverse event.</w:t>
      </w:r>
    </w:p>
    <w:p w14:paraId="4DFF0ABC" w14:textId="77777777" w:rsidR="003F3A8C" w:rsidRDefault="003F3A8C" w:rsidP="003F3A8C">
      <w:pPr>
        <w:pStyle w:val="TableDescription"/>
      </w:pPr>
      <w:r>
        <w:t>Part G cohort: mRNA-1273-214, bivalent vaccine (</w:t>
      </w:r>
      <w:proofErr w:type="spellStart"/>
      <w:r>
        <w:t>elasomeran</w:t>
      </w:r>
      <w:proofErr w:type="spellEnd"/>
      <w:r>
        <w:t xml:space="preserve"> + </w:t>
      </w:r>
      <w:proofErr w:type="spellStart"/>
      <w:r>
        <w:t>imelasomeran</w:t>
      </w:r>
      <w:proofErr w:type="spellEnd"/>
      <w:r>
        <w:t>).</w:t>
      </w:r>
    </w:p>
    <w:p w14:paraId="06BE20DC" w14:textId="60C37278" w:rsidR="003F3A8C" w:rsidRDefault="003F3A8C" w:rsidP="00D0413D">
      <w:pPr>
        <w:pStyle w:val="TableDescription"/>
      </w:pPr>
      <w:r>
        <w:t xml:space="preserve">Part </w:t>
      </w:r>
      <w:proofErr w:type="spellStart"/>
      <w:r>
        <w:t>F</w:t>
      </w:r>
      <w:proofErr w:type="spellEnd"/>
      <w:r>
        <w:t xml:space="preserve"> cohort: mRNA-1273, monovalent vaccine (elasomeran).</w:t>
      </w:r>
    </w:p>
    <w:p w14:paraId="76922A13" w14:textId="1104A4A9" w:rsidR="00D0413D" w:rsidRDefault="00D0413D" w:rsidP="00D0413D">
      <w:pPr>
        <w:pStyle w:val="TableDescription"/>
      </w:pPr>
      <w:r>
        <w:t xml:space="preserve">A TEAE is defined as any event </w:t>
      </w:r>
      <w:proofErr w:type="gramStart"/>
      <w:r>
        <w:t>not present</w:t>
      </w:r>
      <w:proofErr w:type="gramEnd"/>
      <w:r>
        <w:t xml:space="preserve"> before exposure to study vaccination or any event</w:t>
      </w:r>
      <w:r w:rsidR="003F3A8C">
        <w:t xml:space="preserve"> </w:t>
      </w:r>
      <w:r>
        <w:t>already prese</w:t>
      </w:r>
      <w:r w:rsidR="0059204E">
        <w:t>nt that worsen in intensity or frequency after exposure. Percentages are based on the number of participants in the safety set.</w:t>
      </w:r>
    </w:p>
    <w:p w14:paraId="26294C79" w14:textId="4B0AE9E8" w:rsidR="0059204E" w:rsidRDefault="0059204E" w:rsidP="00D0413D">
      <w:pPr>
        <w:pStyle w:val="TableDescription"/>
      </w:pPr>
      <w:r>
        <w:t xml:space="preserve">a Participants with at least one non-serious TEAE regardless of reporting any </w:t>
      </w:r>
      <w:r w:rsidR="003F3A8C">
        <w:t xml:space="preserve">serious adverse event </w:t>
      </w:r>
      <w:r>
        <w:t>or not.</w:t>
      </w:r>
    </w:p>
    <w:p w14:paraId="0B2CC2FC" w14:textId="1BB3DCB5" w:rsidR="00896136" w:rsidRPr="00896136" w:rsidRDefault="00896136" w:rsidP="00896136">
      <w:pPr>
        <w:pStyle w:val="Heading5"/>
      </w:pPr>
      <w:r w:rsidRPr="00896136">
        <w:t xml:space="preserve">Unsolicited </w:t>
      </w:r>
      <w:r w:rsidR="0059204E">
        <w:t>a</w:t>
      </w:r>
      <w:r w:rsidRPr="00896136">
        <w:t xml:space="preserve">dverse </w:t>
      </w:r>
      <w:r w:rsidR="0059204E">
        <w:t>e</w:t>
      </w:r>
      <w:r w:rsidRPr="00896136">
        <w:t xml:space="preserve">vents by </w:t>
      </w:r>
      <w:r w:rsidR="0059204E">
        <w:t>p</w:t>
      </w:r>
      <w:r w:rsidRPr="00896136">
        <w:t xml:space="preserve">re-booster SARS-CoV-2 </w:t>
      </w:r>
      <w:r w:rsidR="0059204E">
        <w:t>s</w:t>
      </w:r>
      <w:r w:rsidRPr="00896136">
        <w:t>tatus</w:t>
      </w:r>
    </w:p>
    <w:p w14:paraId="4F40F691" w14:textId="67BC342C" w:rsidR="00896136" w:rsidRDefault="00896136" w:rsidP="00896136">
      <w:r w:rsidRPr="00691DE7">
        <w:t xml:space="preserve">In the 50 </w:t>
      </w:r>
      <w:proofErr w:type="spellStart"/>
      <w:r w:rsidRPr="0077384F">
        <w:t>μg</w:t>
      </w:r>
      <w:proofErr w:type="spellEnd"/>
      <w:r w:rsidRPr="00691DE7">
        <w:t xml:space="preserve"> </w:t>
      </w:r>
      <w:r w:rsidR="003F3A8C">
        <w:t>monovalent vaccine (</w:t>
      </w:r>
      <w:proofErr w:type="spellStart"/>
      <w:r w:rsidR="003F3A8C">
        <w:t>elasomeran</w:t>
      </w:r>
      <w:proofErr w:type="spellEnd"/>
      <w:r w:rsidR="003F3A8C">
        <w:t xml:space="preserve">) </w:t>
      </w:r>
      <w:r w:rsidRPr="00691DE7">
        <w:t>booster dose group (</w:t>
      </w:r>
      <w:r w:rsidR="0059204E">
        <w:t xml:space="preserve">Study P205 </w:t>
      </w:r>
      <w:r w:rsidRPr="00691DE7">
        <w:t xml:space="preserve">Part G) </w:t>
      </w:r>
      <w:r w:rsidR="0059204E">
        <w:t>s</w:t>
      </w:r>
      <w:r w:rsidRPr="00691DE7">
        <w:t xml:space="preserve">afety </w:t>
      </w:r>
      <w:r w:rsidR="0059204E">
        <w:t>s</w:t>
      </w:r>
      <w:r w:rsidRPr="00691DE7">
        <w:t>et, 96</w:t>
      </w:r>
      <w:r w:rsidR="0059204E">
        <w:t xml:space="preserve"> out of </w:t>
      </w:r>
      <w:r w:rsidRPr="00691DE7">
        <w:t>437 participants (22%)</w:t>
      </w:r>
      <w:r>
        <w:t xml:space="preserve"> </w:t>
      </w:r>
      <w:r w:rsidRPr="00691DE7">
        <w:t>had a positive pre-booster SARS-CoV-2 status, and 340</w:t>
      </w:r>
      <w:r w:rsidR="0059204E">
        <w:t xml:space="preserve"> out of </w:t>
      </w:r>
      <w:r w:rsidRPr="00691DE7">
        <w:t>437 participants (77.8%) had a negative</w:t>
      </w:r>
      <w:r>
        <w:t xml:space="preserve"> </w:t>
      </w:r>
      <w:r w:rsidRPr="00691DE7">
        <w:t>pre-booster SARS-CoV-2 status (</w:t>
      </w:r>
      <w:r w:rsidR="0059204E">
        <w:t>one</w:t>
      </w:r>
      <w:r w:rsidRPr="00691DE7">
        <w:t xml:space="preserve"> participant with missing status</w:t>
      </w:r>
      <w:r>
        <w:t>)</w:t>
      </w:r>
      <w:r w:rsidR="0059204E">
        <w:t xml:space="preserve"> (</w:t>
      </w:r>
      <w:r w:rsidR="003F3A8C">
        <w:t xml:space="preserve">see </w:t>
      </w:r>
      <w:r w:rsidR="0059204E">
        <w:fldChar w:fldCharType="begin"/>
      </w:r>
      <w:r w:rsidR="0059204E">
        <w:instrText xml:space="preserve"> REF _Ref112055684 \h </w:instrText>
      </w:r>
      <w:r w:rsidR="0059204E">
        <w:fldChar w:fldCharType="separate"/>
      </w:r>
      <w:r w:rsidR="00D102F3" w:rsidRPr="00896136">
        <w:t xml:space="preserve">Table </w:t>
      </w:r>
      <w:r w:rsidR="00D102F3">
        <w:rPr>
          <w:noProof/>
        </w:rPr>
        <w:t>14</w:t>
      </w:r>
      <w:r w:rsidR="0059204E">
        <w:fldChar w:fldCharType="end"/>
      </w:r>
      <w:r w:rsidR="0059204E">
        <w:t>)</w:t>
      </w:r>
      <w:r w:rsidRPr="00691DE7">
        <w:t>. The incidence of all</w:t>
      </w:r>
      <w:r>
        <w:t xml:space="preserve"> </w:t>
      </w:r>
      <w:r w:rsidRPr="00691DE7">
        <w:t>unsolicited TEAEs regardless of relationship to study vaccine was similar in participants with</w:t>
      </w:r>
      <w:r>
        <w:t xml:space="preserve"> </w:t>
      </w:r>
      <w:r w:rsidRPr="00691DE7">
        <w:t>positive pre-booster SARS</w:t>
      </w:r>
      <w:r w:rsidR="00A267C6">
        <w:noBreakHyphen/>
      </w:r>
      <w:r w:rsidRPr="00691DE7">
        <w:t>CoV-2 status (13</w:t>
      </w:r>
      <w:r w:rsidR="0059204E">
        <w:t xml:space="preserve"> out of </w:t>
      </w:r>
      <w:r w:rsidRPr="00691DE7">
        <w:t xml:space="preserve">96 </w:t>
      </w:r>
      <w:r w:rsidR="003F3A8C">
        <w:t>(</w:t>
      </w:r>
      <w:r w:rsidRPr="00691DE7">
        <w:t>13.5%</w:t>
      </w:r>
      <w:r w:rsidR="003F3A8C">
        <w:t>)</w:t>
      </w:r>
      <w:r w:rsidRPr="00691DE7">
        <w:t>) and participants with negative</w:t>
      </w:r>
      <w:r>
        <w:t xml:space="preserve"> </w:t>
      </w:r>
      <w:r w:rsidRPr="00691DE7">
        <w:t>pre-booster SARS</w:t>
      </w:r>
      <w:r w:rsidR="00A267C6">
        <w:noBreakHyphen/>
      </w:r>
      <w:r w:rsidRPr="00691DE7">
        <w:t>CoV</w:t>
      </w:r>
      <w:r w:rsidR="00A267C6">
        <w:noBreakHyphen/>
      </w:r>
      <w:r w:rsidRPr="00691DE7">
        <w:t>2 status (68</w:t>
      </w:r>
      <w:r w:rsidR="0059204E">
        <w:t xml:space="preserve"> out of </w:t>
      </w:r>
      <w:r w:rsidRPr="00691DE7">
        <w:t xml:space="preserve">340 </w:t>
      </w:r>
      <w:r w:rsidR="003F3A8C">
        <w:t>(</w:t>
      </w:r>
      <w:r w:rsidRPr="00691DE7">
        <w:t>20%</w:t>
      </w:r>
      <w:r w:rsidR="003F3A8C">
        <w:t>)</w:t>
      </w:r>
      <w:r w:rsidRPr="00691DE7">
        <w:t>). There were no safety</w:t>
      </w:r>
      <w:r>
        <w:t xml:space="preserve"> </w:t>
      </w:r>
      <w:r w:rsidRPr="00691DE7">
        <w:t>concerns or differences identified in SAEs, MAAEs, and severe TEAEs based on pre-booster</w:t>
      </w:r>
      <w:r>
        <w:t xml:space="preserve"> </w:t>
      </w:r>
      <w:r w:rsidRPr="00691DE7">
        <w:t>status. The incidence of SAEs, MAAEs, and Grade 3 or higher TEAEs was similar among</w:t>
      </w:r>
      <w:r>
        <w:t xml:space="preserve"> </w:t>
      </w:r>
      <w:r w:rsidR="003F3A8C">
        <w:t>bivalent vaccine (</w:t>
      </w:r>
      <w:proofErr w:type="spellStart"/>
      <w:r w:rsidR="003F3A8C">
        <w:t>elasomeran</w:t>
      </w:r>
      <w:proofErr w:type="spellEnd"/>
      <w:r w:rsidR="003F3A8C">
        <w:t xml:space="preserve"> + </w:t>
      </w:r>
      <w:proofErr w:type="spellStart"/>
      <w:r w:rsidR="003F3A8C">
        <w:t>imelasomeran</w:t>
      </w:r>
      <w:proofErr w:type="spellEnd"/>
      <w:r w:rsidR="003F3A8C">
        <w:t xml:space="preserve">) </w:t>
      </w:r>
      <w:r w:rsidRPr="00691DE7">
        <w:t>participants with positive pre-booster SARS-CoV-2 status and participants</w:t>
      </w:r>
      <w:r>
        <w:t xml:space="preserve"> </w:t>
      </w:r>
      <w:r w:rsidRPr="00691DE7">
        <w:t>with negative pre-booster SARS-CoV-2 status.</w:t>
      </w:r>
    </w:p>
    <w:p w14:paraId="0A3FFB49" w14:textId="74440B43" w:rsidR="00896136" w:rsidRDefault="00896136" w:rsidP="00896136">
      <w:r w:rsidRPr="00691DE7">
        <w:t xml:space="preserve">In the 50 </w:t>
      </w:r>
      <w:proofErr w:type="spellStart"/>
      <w:r w:rsidRPr="0077384F">
        <w:t>μg</w:t>
      </w:r>
      <w:proofErr w:type="spellEnd"/>
      <w:r w:rsidRPr="00691DE7">
        <w:t xml:space="preserve"> </w:t>
      </w:r>
      <w:r w:rsidR="003F3A8C">
        <w:t>monovalent vaccine (</w:t>
      </w:r>
      <w:proofErr w:type="spellStart"/>
      <w:r w:rsidR="003F3A8C">
        <w:t>elasomeran</w:t>
      </w:r>
      <w:proofErr w:type="spellEnd"/>
      <w:r w:rsidR="003F3A8C">
        <w:t xml:space="preserve">) </w:t>
      </w:r>
      <w:r w:rsidRPr="00691DE7">
        <w:t>booster dose group (</w:t>
      </w:r>
      <w:r w:rsidR="0059204E">
        <w:t xml:space="preserve">Study P205 </w:t>
      </w:r>
      <w:r w:rsidRPr="00691DE7">
        <w:t xml:space="preserve">Part F) </w:t>
      </w:r>
      <w:r w:rsidR="0059204E">
        <w:t>s</w:t>
      </w:r>
      <w:r w:rsidRPr="00691DE7">
        <w:t xml:space="preserve">afety </w:t>
      </w:r>
      <w:r w:rsidR="0059204E">
        <w:t>s</w:t>
      </w:r>
      <w:r w:rsidRPr="00691DE7">
        <w:t>et, 101</w:t>
      </w:r>
      <w:r w:rsidR="0059204E">
        <w:t xml:space="preserve"> out of </w:t>
      </w:r>
      <w:r w:rsidRPr="00691DE7">
        <w:t>377 participants (26.8%)</w:t>
      </w:r>
      <w:r>
        <w:t xml:space="preserve"> </w:t>
      </w:r>
      <w:r w:rsidRPr="00691DE7">
        <w:t xml:space="preserve">had positive pre-booster SARS-CoV-2 </w:t>
      </w:r>
      <w:r w:rsidRPr="00691DE7">
        <w:lastRenderedPageBreak/>
        <w:t>status and 267</w:t>
      </w:r>
      <w:r w:rsidR="0059204E">
        <w:t xml:space="preserve"> out of </w:t>
      </w:r>
      <w:r w:rsidRPr="00691DE7">
        <w:t>377 participants (70.8%) had a negative</w:t>
      </w:r>
      <w:r>
        <w:t xml:space="preserve"> </w:t>
      </w:r>
      <w:r w:rsidRPr="00691DE7">
        <w:t>pre-booster SARS-CoV-2 status (</w:t>
      </w:r>
      <w:r w:rsidR="0059204E">
        <w:t>nine</w:t>
      </w:r>
      <w:r w:rsidRPr="00691DE7">
        <w:t xml:space="preserve"> participants with missing status)</w:t>
      </w:r>
      <w:r w:rsidR="0059204E">
        <w:t xml:space="preserve"> (</w:t>
      </w:r>
      <w:r w:rsidR="003F3A8C">
        <w:t xml:space="preserve">see </w:t>
      </w:r>
      <w:r w:rsidR="0059204E">
        <w:fldChar w:fldCharType="begin"/>
      </w:r>
      <w:r w:rsidR="0059204E">
        <w:instrText xml:space="preserve"> REF _Ref112055684 \h </w:instrText>
      </w:r>
      <w:r w:rsidR="0059204E">
        <w:fldChar w:fldCharType="separate"/>
      </w:r>
      <w:r w:rsidR="00D102F3" w:rsidRPr="00896136">
        <w:t xml:space="preserve">Table </w:t>
      </w:r>
      <w:r w:rsidR="00D102F3">
        <w:rPr>
          <w:noProof/>
        </w:rPr>
        <w:t>14</w:t>
      </w:r>
      <w:r w:rsidR="0059204E">
        <w:fldChar w:fldCharType="end"/>
      </w:r>
      <w:r w:rsidR="0059204E">
        <w:t>)</w:t>
      </w:r>
      <w:r w:rsidRPr="00691DE7">
        <w:t>. The incidence of</w:t>
      </w:r>
      <w:r>
        <w:t xml:space="preserve"> </w:t>
      </w:r>
      <w:r w:rsidRPr="00691DE7">
        <w:t>all unsolicited TEAES regardless of relationship to study vaccine was similar in participants with</w:t>
      </w:r>
      <w:r>
        <w:t xml:space="preserve"> </w:t>
      </w:r>
      <w:r w:rsidRPr="00691DE7">
        <w:t>positive pre-booster SARS</w:t>
      </w:r>
      <w:r w:rsidR="00A267C6">
        <w:noBreakHyphen/>
      </w:r>
      <w:r w:rsidRPr="00691DE7">
        <w:t>CoV-2 status (17</w:t>
      </w:r>
      <w:r w:rsidR="0059204E">
        <w:t xml:space="preserve"> out of </w:t>
      </w:r>
      <w:r w:rsidRPr="00691DE7">
        <w:t xml:space="preserve">101 </w:t>
      </w:r>
      <w:r w:rsidR="003F3A8C">
        <w:t>(</w:t>
      </w:r>
      <w:r w:rsidRPr="00691DE7">
        <w:t>16.8%</w:t>
      </w:r>
      <w:r w:rsidR="003F3A8C">
        <w:t>)</w:t>
      </w:r>
      <w:r w:rsidRPr="00691DE7">
        <w:t>) to incidence in participants with</w:t>
      </w:r>
      <w:r>
        <w:t xml:space="preserve"> </w:t>
      </w:r>
      <w:r w:rsidRPr="00691DE7">
        <w:t>negative pre</w:t>
      </w:r>
      <w:r w:rsidR="00A267C6">
        <w:noBreakHyphen/>
      </w:r>
      <w:r w:rsidRPr="00691DE7">
        <w:t>booster SARS-CoV-2 status (59</w:t>
      </w:r>
      <w:r w:rsidR="0059204E">
        <w:t xml:space="preserve"> out of </w:t>
      </w:r>
      <w:r w:rsidRPr="00691DE7">
        <w:t xml:space="preserve">267 </w:t>
      </w:r>
      <w:r w:rsidR="003F3A8C">
        <w:t>(</w:t>
      </w:r>
      <w:r w:rsidRPr="00691DE7">
        <w:t>22.1%</w:t>
      </w:r>
      <w:r w:rsidR="003F3A8C">
        <w:t>)</w:t>
      </w:r>
      <w:r w:rsidRPr="00691DE7">
        <w:t>). There were no</w:t>
      </w:r>
      <w:r>
        <w:t xml:space="preserve"> </w:t>
      </w:r>
      <w:r w:rsidRPr="00691DE7">
        <w:t>safety concerns or differences identified in SAEs, MAAEs, and severe TEAEs based on</w:t>
      </w:r>
      <w:r>
        <w:t xml:space="preserve"> </w:t>
      </w:r>
      <w:r w:rsidRPr="00691DE7">
        <w:t>pre-booster status.</w:t>
      </w:r>
    </w:p>
    <w:p w14:paraId="5397D47E" w14:textId="4AC821FC" w:rsidR="00896136" w:rsidRDefault="00896136" w:rsidP="00896136">
      <w:r w:rsidRPr="001733BA">
        <w:t>The incidence of unsolicited TEAEs</w:t>
      </w:r>
      <w:r w:rsidRPr="000004C1">
        <w:t xml:space="preserve"> related to study vaccine was similar among participants with</w:t>
      </w:r>
      <w:r>
        <w:t xml:space="preserve"> </w:t>
      </w:r>
      <w:r w:rsidRPr="000004C1">
        <w:t>positive pre-booster SARS-CoV-2 status and participants with negative pre-booster</w:t>
      </w:r>
      <w:r>
        <w:t xml:space="preserve"> </w:t>
      </w:r>
      <w:r w:rsidRPr="000004C1">
        <w:t xml:space="preserve">SARS-CoV-2 status, in the </w:t>
      </w:r>
      <w:r w:rsidR="003F3A8C">
        <w:t>bivalent vaccine (</w:t>
      </w:r>
      <w:proofErr w:type="spellStart"/>
      <w:r w:rsidR="003F3A8C">
        <w:t>elasomeran</w:t>
      </w:r>
      <w:proofErr w:type="spellEnd"/>
      <w:r w:rsidR="003F3A8C">
        <w:t xml:space="preserve"> + </w:t>
      </w:r>
      <w:proofErr w:type="spellStart"/>
      <w:r w:rsidR="003F3A8C">
        <w:t>imelasomeran</w:t>
      </w:r>
      <w:proofErr w:type="spellEnd"/>
      <w:r w:rsidR="003F3A8C">
        <w:t xml:space="preserve">) </w:t>
      </w:r>
      <w:r w:rsidRPr="000004C1">
        <w:t xml:space="preserve">and </w:t>
      </w:r>
      <w:r w:rsidR="003F3A8C">
        <w:t xml:space="preserve">monovalent vaccine (elasomeran) </w:t>
      </w:r>
      <w:r w:rsidRPr="000004C1">
        <w:t>groups</w:t>
      </w:r>
      <w:r w:rsidR="0059204E">
        <w:t xml:space="preserve"> respectively.</w:t>
      </w:r>
    </w:p>
    <w:p w14:paraId="6E93B5B1" w14:textId="099D5414" w:rsidR="00896136" w:rsidRDefault="00896136" w:rsidP="00896136">
      <w:pPr>
        <w:pStyle w:val="TableTitle"/>
      </w:pPr>
      <w:bookmarkStart w:id="58" w:name="_Ref112055684"/>
      <w:r w:rsidRPr="00896136">
        <w:t xml:space="preserve">Table </w:t>
      </w:r>
      <w:r w:rsidR="00F43EA9">
        <w:fldChar w:fldCharType="begin"/>
      </w:r>
      <w:r w:rsidR="00F43EA9">
        <w:instrText xml:space="preserve"> SEQ Table \* ARABIC </w:instrText>
      </w:r>
      <w:r w:rsidR="00F43EA9">
        <w:fldChar w:fldCharType="separate"/>
      </w:r>
      <w:r w:rsidR="00D102F3">
        <w:rPr>
          <w:noProof/>
        </w:rPr>
        <w:t>14</w:t>
      </w:r>
      <w:r w:rsidR="00F43EA9">
        <w:rPr>
          <w:noProof/>
        </w:rPr>
        <w:fldChar w:fldCharType="end"/>
      </w:r>
      <w:bookmarkEnd w:id="58"/>
      <w:r>
        <w:t xml:space="preserve">: </w:t>
      </w:r>
      <w:r w:rsidR="00A9222F">
        <w:t xml:space="preserve">Study P205 Parts G and F; </w:t>
      </w:r>
      <w:r w:rsidRPr="007E3844">
        <w:t xml:space="preserve">Summary of </w:t>
      </w:r>
      <w:r w:rsidR="0059204E">
        <w:t>u</w:t>
      </w:r>
      <w:r w:rsidRPr="007E3844">
        <w:t xml:space="preserve">nsolicited </w:t>
      </w:r>
      <w:r w:rsidR="0059204E">
        <w:t>t</w:t>
      </w:r>
      <w:r w:rsidR="0059204E" w:rsidRPr="003B4352">
        <w:t xml:space="preserve">reatment </w:t>
      </w:r>
      <w:r w:rsidR="0059204E">
        <w:t>e</w:t>
      </w:r>
      <w:r w:rsidR="0059204E" w:rsidRPr="003B4352">
        <w:t xml:space="preserve">mergent </w:t>
      </w:r>
      <w:r w:rsidR="0059204E">
        <w:t>a</w:t>
      </w:r>
      <w:r w:rsidR="0059204E" w:rsidRPr="003B4352">
        <w:t xml:space="preserve">dverse </w:t>
      </w:r>
      <w:r w:rsidR="0059204E">
        <w:t>e</w:t>
      </w:r>
      <w:r w:rsidR="0059204E" w:rsidRPr="003B4352">
        <w:t>vent</w:t>
      </w:r>
      <w:r w:rsidR="0059204E">
        <w:t>s</w:t>
      </w:r>
      <w:r w:rsidR="0059204E" w:rsidRPr="00896136">
        <w:t xml:space="preserve"> </w:t>
      </w:r>
      <w:r w:rsidRPr="007E3844">
        <w:t>up to the data cut</w:t>
      </w:r>
      <w:r w:rsidR="003F3A8C">
        <w:t>-</w:t>
      </w:r>
      <w:r w:rsidRPr="007E3844">
        <w:t>off date</w:t>
      </w:r>
      <w:r w:rsidR="0059204E">
        <w:t>, second b</w:t>
      </w:r>
      <w:r w:rsidRPr="007E3844">
        <w:t xml:space="preserve">ooster </w:t>
      </w:r>
      <w:r w:rsidR="0059204E">
        <w:t>d</w:t>
      </w:r>
      <w:r w:rsidRPr="007E3844">
        <w:t>ose</w:t>
      </w:r>
      <w:r w:rsidR="0059204E">
        <w:t xml:space="preserve"> </w:t>
      </w:r>
      <w:r w:rsidRPr="007E3844">
        <w:t>(</w:t>
      </w:r>
      <w:r w:rsidR="0059204E">
        <w:t>s</w:t>
      </w:r>
      <w:r w:rsidRPr="007E3844">
        <w:t xml:space="preserve">afety </w:t>
      </w:r>
      <w:r w:rsidR="0059204E">
        <w:t>s</w:t>
      </w:r>
      <w:r w:rsidRPr="007E3844">
        <w:t>et)</w:t>
      </w:r>
    </w:p>
    <w:p w14:paraId="614CD0BF" w14:textId="77777777" w:rsidR="0059204E" w:rsidRDefault="00896136" w:rsidP="00F43EA9">
      <w:r>
        <w:rPr>
          <w:noProof/>
          <w:lang w:val="en-GB" w:eastAsia="en-GB"/>
        </w:rPr>
        <w:drawing>
          <wp:inline distT="0" distB="0" distL="0" distR="0" wp14:anchorId="298A263F" wp14:editId="4A544733">
            <wp:extent cx="5529711" cy="3191774"/>
            <wp:effectExtent l="0" t="0" r="0" b="8890"/>
            <wp:docPr id="25" name="Picture 25" descr="Summary of unsolicited treatment emergent adverse events up to the data cutoff date, second booster dose with mRNA-1273.214 or mRNA-1273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mmary of unsolicited treatment emergent adverse events up to the data cutoff date, second booster dose with mRNA-1273.214 or mRNA-1273 (safety set)"/>
                    <pic:cNvPicPr/>
                  </pic:nvPicPr>
                  <pic:blipFill rotWithShape="1">
                    <a:blip r:embed="rId28"/>
                    <a:srcRect l="996" r="9886" b="16176"/>
                    <a:stretch/>
                  </pic:blipFill>
                  <pic:spPr bwMode="auto">
                    <a:xfrm>
                      <a:off x="0" y="0"/>
                      <a:ext cx="5617233" cy="3242292"/>
                    </a:xfrm>
                    <a:prstGeom prst="rect">
                      <a:avLst/>
                    </a:prstGeom>
                    <a:ln>
                      <a:noFill/>
                    </a:ln>
                    <a:extLst>
                      <a:ext uri="{53640926-AAD7-44D8-BBD7-CCE9431645EC}">
                        <a14:shadowObscured xmlns:a14="http://schemas.microsoft.com/office/drawing/2010/main"/>
                      </a:ext>
                    </a:extLst>
                  </pic:spPr>
                </pic:pic>
              </a:graphicData>
            </a:graphic>
          </wp:inline>
        </w:drawing>
      </w:r>
    </w:p>
    <w:p w14:paraId="3A0C5202" w14:textId="77777777" w:rsidR="00A9222F" w:rsidRDefault="00A9222F" w:rsidP="00A9222F">
      <w:pPr>
        <w:pStyle w:val="TableDescription"/>
      </w:pPr>
      <w:r>
        <w:t>Part G cohort: mRNA-1273-214, bivalent vaccine (</w:t>
      </w:r>
      <w:proofErr w:type="spellStart"/>
      <w:r>
        <w:t>elasomeran</w:t>
      </w:r>
      <w:proofErr w:type="spellEnd"/>
      <w:r>
        <w:t xml:space="preserve"> + </w:t>
      </w:r>
      <w:proofErr w:type="spellStart"/>
      <w:r>
        <w:t>imelasomeran</w:t>
      </w:r>
      <w:proofErr w:type="spellEnd"/>
      <w:r>
        <w:t>).</w:t>
      </w:r>
    </w:p>
    <w:p w14:paraId="05B2E149" w14:textId="77777777" w:rsidR="00A9222F" w:rsidRDefault="00A9222F" w:rsidP="00A9222F">
      <w:pPr>
        <w:pStyle w:val="TableDescription"/>
      </w:pPr>
      <w:r>
        <w:t xml:space="preserve">Part </w:t>
      </w:r>
      <w:proofErr w:type="spellStart"/>
      <w:r>
        <w:t>F</w:t>
      </w:r>
      <w:proofErr w:type="spellEnd"/>
      <w:r>
        <w:t xml:space="preserve"> cohort: mRNA-1273, monovalent vaccine (elasomeran).</w:t>
      </w:r>
    </w:p>
    <w:p w14:paraId="098384C7" w14:textId="36293174" w:rsidR="00896136" w:rsidRDefault="0059204E" w:rsidP="0059204E">
      <w:pPr>
        <w:pStyle w:val="TableDescription"/>
      </w:pPr>
      <w:r>
        <w:t xml:space="preserve">A treatment emergent adverse event (TEAE) is defined as any event </w:t>
      </w:r>
      <w:proofErr w:type="gramStart"/>
      <w:r>
        <w:t>not present</w:t>
      </w:r>
      <w:proofErr w:type="gramEnd"/>
      <w:r>
        <w:t xml:space="preserve"> before exposure to study vaccination or any event already present that worsen in intensity or frequency after exposure. Percentages are based on the number of subjects in the safety set. [1] Subjects without any SAE and with any non-serious TEAE. [2] Subjects with at least one non-serious TEAR regardless of reporting any SAE or not.</w:t>
      </w:r>
    </w:p>
    <w:p w14:paraId="72E513FB" w14:textId="3DFA4EA9" w:rsidR="00896136" w:rsidRDefault="00896136" w:rsidP="00896136">
      <w:pPr>
        <w:pStyle w:val="TableTitle"/>
      </w:pPr>
      <w:r>
        <w:lastRenderedPageBreak/>
        <w:t xml:space="preserve">Table </w:t>
      </w:r>
      <w:r w:rsidR="00F43EA9">
        <w:fldChar w:fldCharType="begin"/>
      </w:r>
      <w:r w:rsidR="00F43EA9">
        <w:instrText xml:space="preserve"> SEQ Table \* ARABIC </w:instrText>
      </w:r>
      <w:r w:rsidR="00F43EA9">
        <w:fldChar w:fldCharType="separate"/>
      </w:r>
      <w:r w:rsidR="00D102F3">
        <w:rPr>
          <w:noProof/>
        </w:rPr>
        <w:t>15</w:t>
      </w:r>
      <w:r w:rsidR="00F43EA9">
        <w:rPr>
          <w:noProof/>
        </w:rPr>
        <w:fldChar w:fldCharType="end"/>
      </w:r>
      <w:r>
        <w:t xml:space="preserve">: </w:t>
      </w:r>
      <w:r w:rsidR="00A9222F">
        <w:t xml:space="preserve">Study P205 Parts G and F; </w:t>
      </w:r>
      <w:r w:rsidRPr="00287A78">
        <w:t xml:space="preserve">Participant </w:t>
      </w:r>
      <w:r w:rsidR="0059204E">
        <w:t>i</w:t>
      </w:r>
      <w:r w:rsidRPr="00287A78">
        <w:t xml:space="preserve">ncidence of </w:t>
      </w:r>
      <w:r w:rsidR="0059204E">
        <w:t>s</w:t>
      </w:r>
      <w:r w:rsidRPr="00287A78">
        <w:t xml:space="preserve">erious </w:t>
      </w:r>
      <w:r w:rsidR="0059204E">
        <w:t>t</w:t>
      </w:r>
      <w:r w:rsidR="0059204E" w:rsidRPr="003B4352">
        <w:t xml:space="preserve">reatment </w:t>
      </w:r>
      <w:r w:rsidR="0059204E">
        <w:t>e</w:t>
      </w:r>
      <w:r w:rsidR="0059204E" w:rsidRPr="003B4352">
        <w:t xml:space="preserve">mergent </w:t>
      </w:r>
      <w:r w:rsidR="0059204E">
        <w:t>a</w:t>
      </w:r>
      <w:r w:rsidR="0059204E" w:rsidRPr="003B4352">
        <w:t xml:space="preserve">dverse </w:t>
      </w:r>
      <w:r w:rsidR="0059204E">
        <w:t>e</w:t>
      </w:r>
      <w:r w:rsidR="0059204E" w:rsidRPr="003B4352">
        <w:t>vent</w:t>
      </w:r>
      <w:r w:rsidR="0059204E">
        <w:t>s</w:t>
      </w:r>
      <w:r w:rsidRPr="00287A78">
        <w:t xml:space="preserve"> by System Organ Class and Preferred Term up to the </w:t>
      </w:r>
      <w:r w:rsidR="00557BD0">
        <w:t>dat</w:t>
      </w:r>
      <w:r w:rsidRPr="00287A78">
        <w:t xml:space="preserve">a </w:t>
      </w:r>
      <w:r w:rsidR="00557BD0">
        <w:t>c</w:t>
      </w:r>
      <w:r w:rsidRPr="00287A78">
        <w:t>ut</w:t>
      </w:r>
      <w:r w:rsidR="00A9222F">
        <w:t>-</w:t>
      </w:r>
      <w:r w:rsidRPr="00287A78">
        <w:t xml:space="preserve">off </w:t>
      </w:r>
      <w:r w:rsidR="00557BD0">
        <w:t>d</w:t>
      </w:r>
      <w:r w:rsidRPr="00287A78">
        <w:t>ate</w:t>
      </w:r>
      <w:r w:rsidR="00557BD0">
        <w:t>, second b</w:t>
      </w:r>
      <w:r w:rsidRPr="00287A78">
        <w:t xml:space="preserve">ooster </w:t>
      </w:r>
      <w:r w:rsidR="00557BD0">
        <w:t>d</w:t>
      </w:r>
      <w:r w:rsidRPr="00287A78">
        <w:t>ose</w:t>
      </w:r>
    </w:p>
    <w:p w14:paraId="1A884A7D" w14:textId="6BA6C3D2" w:rsidR="00896136" w:rsidRDefault="00896136" w:rsidP="00896136">
      <w:r>
        <w:rPr>
          <w:noProof/>
          <w:lang w:val="en-GB" w:eastAsia="en-GB"/>
        </w:rPr>
        <w:drawing>
          <wp:inline distT="0" distB="0" distL="0" distR="0" wp14:anchorId="3C96D6F8" wp14:editId="183A9E5D">
            <wp:extent cx="5399235" cy="2268886"/>
            <wp:effectExtent l="0" t="0" r="0" b="0"/>
            <wp:docPr id="20" name="Picture 20" descr="Participant incidence of serious treatment emergent adverse events by System Organ Class and Preferred Term up to the data cutoff date, second booster dose with mRNA- 1273.214 or mRNA-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articipant incidence of serious treatment emergent adverse events by System Organ Class and Preferred Term up to the data cutoff date, second booster dose with mRNA- 1273.214 or mRNA-1273"/>
                    <pic:cNvPicPr/>
                  </pic:nvPicPr>
                  <pic:blipFill rotWithShape="1">
                    <a:blip r:embed="rId29"/>
                    <a:srcRect b="21901"/>
                    <a:stretch/>
                  </pic:blipFill>
                  <pic:spPr bwMode="auto">
                    <a:xfrm>
                      <a:off x="0" y="0"/>
                      <a:ext cx="5400040" cy="2269224"/>
                    </a:xfrm>
                    <a:prstGeom prst="rect">
                      <a:avLst/>
                    </a:prstGeom>
                    <a:ln>
                      <a:noFill/>
                    </a:ln>
                    <a:extLst>
                      <a:ext uri="{53640926-AAD7-44D8-BBD7-CCE9431645EC}">
                        <a14:shadowObscured xmlns:a14="http://schemas.microsoft.com/office/drawing/2010/main"/>
                      </a:ext>
                    </a:extLst>
                  </pic:spPr>
                </pic:pic>
              </a:graphicData>
            </a:graphic>
          </wp:inline>
        </w:drawing>
      </w:r>
    </w:p>
    <w:p w14:paraId="3F594EAF" w14:textId="44B7DC9C" w:rsidR="00557BD0" w:rsidRDefault="00557BD0" w:rsidP="00A267C6">
      <w:pPr>
        <w:pStyle w:val="TableDescription"/>
      </w:pPr>
      <w:r>
        <w:t xml:space="preserve">Abbreviations: MedDRA = </w:t>
      </w:r>
      <w:proofErr w:type="spellStart"/>
      <w:r>
        <w:t>Medicial</w:t>
      </w:r>
      <w:proofErr w:type="spellEnd"/>
      <w:r>
        <w:t xml:space="preserve"> Dictionary for Regulatory Activities; TEAE = treatment emergent adverse event.</w:t>
      </w:r>
    </w:p>
    <w:p w14:paraId="71B03577" w14:textId="77777777" w:rsidR="00A9222F" w:rsidRDefault="00A9222F" w:rsidP="00A9222F">
      <w:pPr>
        <w:pStyle w:val="TableDescription"/>
      </w:pPr>
      <w:r>
        <w:t>Part G cohort: mRNA-1273-214, bivalent vaccine (</w:t>
      </w:r>
      <w:proofErr w:type="spellStart"/>
      <w:r>
        <w:t>elasomeran</w:t>
      </w:r>
      <w:proofErr w:type="spellEnd"/>
      <w:r>
        <w:t xml:space="preserve"> + </w:t>
      </w:r>
      <w:proofErr w:type="spellStart"/>
      <w:r>
        <w:t>imelasomeran</w:t>
      </w:r>
      <w:proofErr w:type="spellEnd"/>
      <w:r>
        <w:t>).</w:t>
      </w:r>
    </w:p>
    <w:p w14:paraId="5C9735CB" w14:textId="5C8FC6C2" w:rsidR="00A9222F" w:rsidRDefault="00A9222F" w:rsidP="00A267C6">
      <w:pPr>
        <w:pStyle w:val="TableDescription"/>
      </w:pPr>
      <w:r>
        <w:t xml:space="preserve">Part </w:t>
      </w:r>
      <w:proofErr w:type="spellStart"/>
      <w:r>
        <w:t>F</w:t>
      </w:r>
      <w:proofErr w:type="spellEnd"/>
      <w:r>
        <w:t xml:space="preserve"> cohort: mRNA-1273, monovalent vaccine (elasomeran).</w:t>
      </w:r>
    </w:p>
    <w:p w14:paraId="77B35050" w14:textId="13FF2C75" w:rsidR="00557BD0" w:rsidRDefault="00557BD0" w:rsidP="00A267C6">
      <w:pPr>
        <w:pStyle w:val="TableDescription"/>
      </w:pPr>
      <w:r>
        <w:t xml:space="preserve">A treatment emergent adverse event (TEAE) is defined as any event </w:t>
      </w:r>
      <w:proofErr w:type="gramStart"/>
      <w:r>
        <w:t>not present</w:t>
      </w:r>
      <w:proofErr w:type="gramEnd"/>
      <w:r>
        <w:t xml:space="preserve"> before exposure to study vaccination or any event already present that worsen in intensity or frequency after exposure. Percentages are based on the number of subjects in the safety set. MedDRA version 23.0.</w:t>
      </w:r>
    </w:p>
    <w:p w14:paraId="20CF1FF8" w14:textId="4ABA0BB4" w:rsidR="00896136" w:rsidRPr="00896136" w:rsidRDefault="00896136" w:rsidP="00896136">
      <w:pPr>
        <w:pStyle w:val="Heading5"/>
      </w:pPr>
      <w:r w:rsidRPr="00896136">
        <w:t xml:space="preserve">Medically </w:t>
      </w:r>
      <w:r w:rsidR="00BC0404">
        <w:t>a</w:t>
      </w:r>
      <w:r w:rsidRPr="00896136">
        <w:t xml:space="preserve">ttended </w:t>
      </w:r>
      <w:r w:rsidR="00BC0404">
        <w:t>a</w:t>
      </w:r>
      <w:r w:rsidRPr="00896136">
        <w:t xml:space="preserve">dverse </w:t>
      </w:r>
      <w:r w:rsidR="00BC0404">
        <w:t>e</w:t>
      </w:r>
      <w:r w:rsidRPr="00896136">
        <w:t>vents</w:t>
      </w:r>
    </w:p>
    <w:p w14:paraId="450A3639" w14:textId="3FA0C4D1" w:rsidR="00896136" w:rsidRDefault="00896136" w:rsidP="00896136">
      <w:r w:rsidRPr="0095076B">
        <w:t xml:space="preserve">A </w:t>
      </w:r>
      <w:r w:rsidR="00BC0404" w:rsidRPr="00BC0404">
        <w:t>medically attended adverse event</w:t>
      </w:r>
      <w:r w:rsidRPr="0095076B">
        <w:t xml:space="preserve"> </w:t>
      </w:r>
      <w:r w:rsidR="00A9222F">
        <w:t>(MAAE) in</w:t>
      </w:r>
      <w:r w:rsidRPr="0095076B">
        <w:t xml:space="preserve"> </w:t>
      </w:r>
      <w:r w:rsidR="00A9222F">
        <w:t xml:space="preserve">Study P205 Parts G and F comprised </w:t>
      </w:r>
      <w:r w:rsidRPr="0095076B">
        <w:t xml:space="preserve">an </w:t>
      </w:r>
      <w:r w:rsidR="00BC0404">
        <w:t>adverse event</w:t>
      </w:r>
      <w:r w:rsidRPr="0095076B">
        <w:t xml:space="preserve"> that leads to an unscheduled visit to a </w:t>
      </w:r>
      <w:r w:rsidR="00557BD0">
        <w:t>health care professional</w:t>
      </w:r>
      <w:r w:rsidRPr="0095076B">
        <w:t>. Per protocol, this included</w:t>
      </w:r>
      <w:r>
        <w:t xml:space="preserve"> </w:t>
      </w:r>
      <w:r w:rsidRPr="0095076B">
        <w:t>visits to a study site for unscheduled assessments (</w:t>
      </w:r>
      <w:r w:rsidR="00557BD0">
        <w:t>for example</w:t>
      </w:r>
      <w:r w:rsidRPr="0095076B">
        <w:t xml:space="preserve">, abnormal laboratory </w:t>
      </w:r>
      <w:proofErr w:type="gramStart"/>
      <w:r w:rsidRPr="0095076B">
        <w:t>follow</w:t>
      </w:r>
      <w:proofErr w:type="gramEnd"/>
      <w:r w:rsidR="00557BD0">
        <w:t xml:space="preserve"> </w:t>
      </w:r>
      <w:r w:rsidRPr="0095076B">
        <w:t>up,</w:t>
      </w:r>
      <w:r>
        <w:t xml:space="preserve"> </w:t>
      </w:r>
      <w:r w:rsidRPr="0095076B">
        <w:t xml:space="preserve">COVID-19) and/or visits to </w:t>
      </w:r>
      <w:r w:rsidR="00557BD0">
        <w:t>health care professional</w:t>
      </w:r>
      <w:r w:rsidRPr="0095076B">
        <w:t>s external to the study site (</w:t>
      </w:r>
      <w:r w:rsidR="00557BD0">
        <w:t>for example</w:t>
      </w:r>
      <w:r w:rsidRPr="0095076B">
        <w:t>, urgent care, primary care</w:t>
      </w:r>
      <w:r>
        <w:t xml:space="preserve"> </w:t>
      </w:r>
      <w:r w:rsidRPr="0095076B">
        <w:t>physician). All confirmed COVID-19 cases were to be recorded as MAAEs.</w:t>
      </w:r>
    </w:p>
    <w:p w14:paraId="33CF0D56" w14:textId="2FF40331" w:rsidR="00896136" w:rsidRPr="00896136" w:rsidRDefault="00BC0404" w:rsidP="00896136">
      <w:pPr>
        <w:pStyle w:val="Heading6"/>
      </w:pPr>
      <w:r>
        <w:t>M</w:t>
      </w:r>
      <w:r w:rsidRPr="00BC0404">
        <w:t>edically attended adverse event</w:t>
      </w:r>
      <w:r>
        <w:t>s</w:t>
      </w:r>
      <w:r w:rsidR="00896136" w:rsidRPr="00896136">
        <w:t xml:space="preserve"> in </w:t>
      </w:r>
      <w:r w:rsidR="00557BD0">
        <w:t xml:space="preserve">Study </w:t>
      </w:r>
      <w:r w:rsidR="00896136" w:rsidRPr="00896136">
        <w:t>P205 Part</w:t>
      </w:r>
      <w:r w:rsidR="00A9222F">
        <w:t>s</w:t>
      </w:r>
      <w:r w:rsidR="00896136" w:rsidRPr="00896136">
        <w:t xml:space="preserve"> G</w:t>
      </w:r>
      <w:r w:rsidR="00557BD0">
        <w:t xml:space="preserve"> </w:t>
      </w:r>
      <w:r w:rsidR="00A9222F">
        <w:t>and F (cohort 2)</w:t>
      </w:r>
    </w:p>
    <w:p w14:paraId="293F73E9" w14:textId="3F2B7DD9" w:rsidR="00896136" w:rsidRDefault="00896136" w:rsidP="00896136">
      <w:r w:rsidRPr="0095076B">
        <w:t xml:space="preserve">In the 50 </w:t>
      </w:r>
      <w:proofErr w:type="spellStart"/>
      <w:r w:rsidRPr="007945E7">
        <w:t>μg</w:t>
      </w:r>
      <w:proofErr w:type="spellEnd"/>
      <w:r w:rsidRPr="0095076B">
        <w:t xml:space="preserve"> </w:t>
      </w:r>
      <w:r w:rsidR="00A9222F">
        <w:t>bivalent vaccine (</w:t>
      </w:r>
      <w:proofErr w:type="spellStart"/>
      <w:r w:rsidR="00A9222F">
        <w:t>elasomeran</w:t>
      </w:r>
      <w:proofErr w:type="spellEnd"/>
      <w:r w:rsidR="00A9222F">
        <w:t xml:space="preserve"> + </w:t>
      </w:r>
      <w:proofErr w:type="spellStart"/>
      <w:r w:rsidR="00A9222F">
        <w:t>imelasomeran</w:t>
      </w:r>
      <w:proofErr w:type="spellEnd"/>
      <w:r w:rsidR="00A9222F">
        <w:t xml:space="preserve">) </w:t>
      </w:r>
      <w:r w:rsidRPr="0095076B">
        <w:t>booster dose group (</w:t>
      </w:r>
      <w:r w:rsidR="00557BD0">
        <w:t>Study</w:t>
      </w:r>
      <w:r w:rsidR="00A9222F">
        <w:t> </w:t>
      </w:r>
      <w:r w:rsidR="00557BD0" w:rsidRPr="00896136">
        <w:t xml:space="preserve">P205 </w:t>
      </w:r>
      <w:r w:rsidRPr="0095076B">
        <w:t>Part G) within 28 days after the booster dose,</w:t>
      </w:r>
      <w:r>
        <w:t xml:space="preserve"> </w:t>
      </w:r>
      <w:r w:rsidRPr="0095076B">
        <w:t>43</w:t>
      </w:r>
      <w:r w:rsidR="00557BD0">
        <w:t xml:space="preserve"> out of </w:t>
      </w:r>
      <w:r w:rsidRPr="0095076B">
        <w:t>437 participants (9.8%) had 52 MAAEs. Two MAAEs that were also</w:t>
      </w:r>
      <w:r>
        <w:t xml:space="preserve"> </w:t>
      </w:r>
      <w:r w:rsidRPr="0095076B">
        <w:t xml:space="preserve">SAEs were reported in </w:t>
      </w:r>
      <w:r w:rsidR="00557BD0">
        <w:t>two</w:t>
      </w:r>
      <w:r w:rsidRPr="0095076B">
        <w:t xml:space="preserve"> participants (traumatic fracture and prostate cancer; The most commonly reported MAAEs, and the only </w:t>
      </w:r>
      <w:r w:rsidR="00A9222F">
        <w:t>P</w:t>
      </w:r>
      <w:r w:rsidRPr="0095076B">
        <w:t xml:space="preserve">referred </w:t>
      </w:r>
      <w:r w:rsidR="00A9222F">
        <w:t>T</w:t>
      </w:r>
      <w:r w:rsidRPr="0095076B">
        <w:t>erms</w:t>
      </w:r>
      <w:r>
        <w:t xml:space="preserve"> </w:t>
      </w:r>
      <w:r w:rsidRPr="0095076B">
        <w:t xml:space="preserve">reported for more than </w:t>
      </w:r>
      <w:r w:rsidR="00557BD0">
        <w:t>one</w:t>
      </w:r>
      <w:r w:rsidRPr="0095076B">
        <w:t xml:space="preserve"> participant, were COVID-19 (5</w:t>
      </w:r>
      <w:r w:rsidR="00557BD0">
        <w:t xml:space="preserve"> out of </w:t>
      </w:r>
      <w:r w:rsidRPr="0095076B">
        <w:t xml:space="preserve">437 </w:t>
      </w:r>
      <w:r w:rsidR="00A9222F">
        <w:t>(</w:t>
      </w:r>
      <w:r w:rsidRPr="0095076B">
        <w:t>1.1%</w:t>
      </w:r>
      <w:r w:rsidR="00A9222F">
        <w:t>)</w:t>
      </w:r>
      <w:r w:rsidRPr="0095076B">
        <w:t>) and upper respiratory tract</w:t>
      </w:r>
      <w:r>
        <w:t xml:space="preserve"> </w:t>
      </w:r>
      <w:r w:rsidRPr="0095076B">
        <w:t>infection (5</w:t>
      </w:r>
      <w:r w:rsidR="00557BD0">
        <w:t xml:space="preserve"> out of </w:t>
      </w:r>
      <w:r w:rsidRPr="0095076B">
        <w:t xml:space="preserve">437 </w:t>
      </w:r>
      <w:r w:rsidR="00A9222F">
        <w:t>(</w:t>
      </w:r>
      <w:r w:rsidRPr="0095076B">
        <w:t>1.1%) followed by coronavirus infection (non-COVID) (3</w:t>
      </w:r>
      <w:r w:rsidR="00557BD0">
        <w:t xml:space="preserve"> out of </w:t>
      </w:r>
      <w:r w:rsidRPr="0095076B">
        <w:t xml:space="preserve">437 </w:t>
      </w:r>
      <w:r w:rsidR="00A9222F">
        <w:t>(</w:t>
      </w:r>
      <w:r w:rsidRPr="0095076B">
        <w:t>0.7%</w:t>
      </w:r>
      <w:r w:rsidR="00A9222F">
        <w:t>)</w:t>
      </w:r>
      <w:r w:rsidRPr="0095076B">
        <w:t>), procedural pain (3</w:t>
      </w:r>
      <w:r w:rsidR="00557BD0">
        <w:t xml:space="preserve"> out of </w:t>
      </w:r>
      <w:r w:rsidRPr="0095076B">
        <w:t xml:space="preserve">437 </w:t>
      </w:r>
      <w:r w:rsidR="00A9222F">
        <w:t>(</w:t>
      </w:r>
      <w:r w:rsidRPr="0095076B">
        <w:t>0.7%</w:t>
      </w:r>
      <w:r w:rsidR="00A9222F">
        <w:t>)</w:t>
      </w:r>
      <w:r w:rsidRPr="0095076B">
        <w:t>), and fatigue (2</w:t>
      </w:r>
      <w:r w:rsidR="00557BD0">
        <w:t xml:space="preserve"> out of </w:t>
      </w:r>
      <w:r w:rsidRPr="0095076B">
        <w:t xml:space="preserve">437 </w:t>
      </w:r>
      <w:r w:rsidR="00A9222F">
        <w:t>(</w:t>
      </w:r>
      <w:r w:rsidRPr="0095076B">
        <w:t>0.5%</w:t>
      </w:r>
      <w:r w:rsidR="00A9222F">
        <w:t>)</w:t>
      </w:r>
      <w:r w:rsidRPr="0095076B">
        <w:t>).</w:t>
      </w:r>
    </w:p>
    <w:p w14:paraId="024E790E" w14:textId="0EBFE65F" w:rsidR="00896136" w:rsidRDefault="00896136" w:rsidP="00896136">
      <w:r w:rsidRPr="0095076B">
        <w:t xml:space="preserve">Two non-serious MAAEs in </w:t>
      </w:r>
      <w:r w:rsidR="00557BD0">
        <w:t>two</w:t>
      </w:r>
      <w:r w:rsidRPr="0095076B">
        <w:t xml:space="preserve"> participants were assessed as related to vaccination by the</w:t>
      </w:r>
      <w:r>
        <w:t xml:space="preserve"> </w:t>
      </w:r>
      <w:r w:rsidR="00557BD0">
        <w:t>i</w:t>
      </w:r>
      <w:r w:rsidRPr="0095076B">
        <w:t>nvestigator</w:t>
      </w:r>
      <w:r>
        <w:t xml:space="preserve"> (</w:t>
      </w:r>
      <w:r w:rsidRPr="0095076B">
        <w:t>self-limiting reactogenicity event of moderate fatigue</w:t>
      </w:r>
      <w:r>
        <w:t xml:space="preserve"> and mild dermatitis which </w:t>
      </w:r>
      <w:r w:rsidRPr="0095076B">
        <w:t xml:space="preserve">resolved on </w:t>
      </w:r>
      <w:r w:rsidR="00557BD0">
        <w:t>s</w:t>
      </w:r>
      <w:r w:rsidRPr="0095076B">
        <w:t>tudy Day 19</w:t>
      </w:r>
      <w:r>
        <w:t>).</w:t>
      </w:r>
    </w:p>
    <w:p w14:paraId="1786C589" w14:textId="082148CE" w:rsidR="00896136" w:rsidRDefault="00896136" w:rsidP="00896136">
      <w:r w:rsidRPr="002E3548">
        <w:t xml:space="preserve">In the 50 </w:t>
      </w:r>
      <w:bookmarkStart w:id="59" w:name="_Hlk111032839"/>
      <w:proofErr w:type="spellStart"/>
      <w:r w:rsidRPr="007945E7">
        <w:t>μg</w:t>
      </w:r>
      <w:bookmarkEnd w:id="59"/>
      <w:proofErr w:type="spellEnd"/>
      <w:r w:rsidRPr="002E3548">
        <w:t xml:space="preserve"> </w:t>
      </w:r>
      <w:r w:rsidR="00A9222F">
        <w:t>bivalent vaccine (</w:t>
      </w:r>
      <w:proofErr w:type="spellStart"/>
      <w:r w:rsidR="00A9222F">
        <w:t>elasomeran</w:t>
      </w:r>
      <w:proofErr w:type="spellEnd"/>
      <w:r w:rsidR="00A9222F">
        <w:t xml:space="preserve"> + </w:t>
      </w:r>
      <w:proofErr w:type="spellStart"/>
      <w:r w:rsidR="00A9222F">
        <w:t>imelasomeran</w:t>
      </w:r>
      <w:proofErr w:type="spellEnd"/>
      <w:r w:rsidR="00A9222F">
        <w:t xml:space="preserve">) </w:t>
      </w:r>
      <w:r w:rsidRPr="002E3548">
        <w:t>group (</w:t>
      </w:r>
      <w:r w:rsidR="00557BD0">
        <w:t xml:space="preserve">Study P205 </w:t>
      </w:r>
      <w:r w:rsidRPr="002E3548">
        <w:t>Part G) up to the data cut</w:t>
      </w:r>
      <w:r w:rsidR="00A9222F">
        <w:t>-</w:t>
      </w:r>
      <w:r w:rsidRPr="002E3548">
        <w:t>off date, 58</w:t>
      </w:r>
      <w:r w:rsidR="00557BD0">
        <w:t xml:space="preserve"> out of </w:t>
      </w:r>
      <w:r w:rsidRPr="002E3548">
        <w:t>437 participants</w:t>
      </w:r>
      <w:r>
        <w:t xml:space="preserve"> </w:t>
      </w:r>
      <w:r w:rsidRPr="002E3548">
        <w:t>(13.3%) had 74 MAAEs inclusive of the 52 MAAEs reported within 28 days after the booster</w:t>
      </w:r>
      <w:r>
        <w:t xml:space="preserve"> </w:t>
      </w:r>
      <w:r w:rsidRPr="002E3548">
        <w:t>dose. One MAAE was also reported as an SAE (nephrolithiasis;</w:t>
      </w:r>
      <w:r>
        <w:t>)</w:t>
      </w:r>
      <w:r w:rsidRPr="002E3548">
        <w:t>. COVID-19 (8</w:t>
      </w:r>
      <w:r w:rsidR="004C2D20">
        <w:t xml:space="preserve"> out of </w:t>
      </w:r>
      <w:r w:rsidRPr="002E3548">
        <w:t xml:space="preserve">437 </w:t>
      </w:r>
      <w:r w:rsidR="00A9222F">
        <w:t>(</w:t>
      </w:r>
      <w:r w:rsidRPr="002E3548">
        <w:t>1.8%</w:t>
      </w:r>
      <w:r w:rsidR="00A9222F">
        <w:t>)</w:t>
      </w:r>
      <w:r w:rsidRPr="002E3548">
        <w:t xml:space="preserve">) was the </w:t>
      </w:r>
      <w:proofErr w:type="gramStart"/>
      <w:r w:rsidRPr="002E3548">
        <w:t>most commonly reported</w:t>
      </w:r>
      <w:proofErr w:type="gramEnd"/>
      <w:r w:rsidRPr="002E3548">
        <w:t xml:space="preserve"> MAAE,</w:t>
      </w:r>
      <w:r>
        <w:t xml:space="preserve"> </w:t>
      </w:r>
      <w:r w:rsidRPr="002E3548">
        <w:t>followed by upper respiratory tract infection (6</w:t>
      </w:r>
      <w:r w:rsidR="004C2D20">
        <w:t xml:space="preserve"> out of </w:t>
      </w:r>
      <w:r w:rsidRPr="002E3548">
        <w:t xml:space="preserve">437 </w:t>
      </w:r>
      <w:r w:rsidR="00A9222F">
        <w:t>(</w:t>
      </w:r>
      <w:r w:rsidRPr="002E3548">
        <w:t>1.4%</w:t>
      </w:r>
      <w:r w:rsidR="00A9222F">
        <w:t>)</w:t>
      </w:r>
      <w:r w:rsidRPr="002E3548">
        <w:t>) and coronavirus infection</w:t>
      </w:r>
      <w:r>
        <w:t xml:space="preserve"> </w:t>
      </w:r>
      <w:r w:rsidRPr="002E3548">
        <w:t>(non-COVID) (4</w:t>
      </w:r>
      <w:r w:rsidR="004C2D20">
        <w:t xml:space="preserve"> out of </w:t>
      </w:r>
      <w:r w:rsidRPr="002E3548">
        <w:t xml:space="preserve">437 </w:t>
      </w:r>
      <w:r w:rsidR="00A9222F">
        <w:t>(</w:t>
      </w:r>
      <w:r w:rsidRPr="002E3548">
        <w:t>0.9%</w:t>
      </w:r>
      <w:r w:rsidR="00A9222F">
        <w:t>)</w:t>
      </w:r>
      <w:r w:rsidRPr="002E3548">
        <w:t>). No MAAEs with an onset</w:t>
      </w:r>
      <w:r>
        <w:t xml:space="preserve"> </w:t>
      </w:r>
      <w:r w:rsidRPr="002E3548">
        <w:t>beyond 28 days after vaccination were assessed by the investigator as related to vaccination</w:t>
      </w:r>
      <w:r>
        <w:t>.</w:t>
      </w:r>
    </w:p>
    <w:p w14:paraId="2854DC22" w14:textId="0CAF7CF4" w:rsidR="00896136" w:rsidRDefault="00896136" w:rsidP="00896136">
      <w:r w:rsidRPr="002E3548">
        <w:lastRenderedPageBreak/>
        <w:t xml:space="preserve">In the 50 </w:t>
      </w:r>
      <w:proofErr w:type="spellStart"/>
      <w:r w:rsidRPr="007945E7">
        <w:t>μg</w:t>
      </w:r>
      <w:proofErr w:type="spellEnd"/>
      <w:r w:rsidR="00A9222F">
        <w:t xml:space="preserve"> monovalent vaccine (</w:t>
      </w:r>
      <w:proofErr w:type="spellStart"/>
      <w:r w:rsidR="00A9222F">
        <w:t>elasomeran</w:t>
      </w:r>
      <w:proofErr w:type="spellEnd"/>
      <w:r w:rsidR="00A9222F">
        <w:t>)</w:t>
      </w:r>
      <w:r w:rsidRPr="002E3548">
        <w:t xml:space="preserve"> booster dose group (</w:t>
      </w:r>
      <w:r w:rsidR="004C2D20">
        <w:t xml:space="preserve">Study P205 </w:t>
      </w:r>
      <w:r w:rsidRPr="002E3548">
        <w:t>Part F) within 28 days after the booster dose,</w:t>
      </w:r>
      <w:r>
        <w:t xml:space="preserve"> </w:t>
      </w:r>
      <w:r w:rsidRPr="002E3548">
        <w:t>52</w:t>
      </w:r>
      <w:r w:rsidR="004C2D20">
        <w:t xml:space="preserve"> out of </w:t>
      </w:r>
      <w:r w:rsidRPr="002E3548">
        <w:t>377 participants (13.8%) had 56 MAAEs. One MAAE was also an SAE</w:t>
      </w:r>
      <w:r>
        <w:t xml:space="preserve"> </w:t>
      </w:r>
      <w:r w:rsidRPr="002E3548">
        <w:t>(spinal osteoarthritis). Upper respiratory tract infection (9</w:t>
      </w:r>
      <w:r w:rsidR="004C2D20">
        <w:t xml:space="preserve"> out of </w:t>
      </w:r>
      <w:r w:rsidRPr="002E3548">
        <w:t xml:space="preserve">377 </w:t>
      </w:r>
      <w:r w:rsidR="00A9222F">
        <w:t>(</w:t>
      </w:r>
      <w:r w:rsidRPr="002E3548">
        <w:t>2.4%</w:t>
      </w:r>
      <w:r w:rsidR="00A9222F">
        <w:t>)</w:t>
      </w:r>
      <w:r w:rsidRPr="002E3548">
        <w:t>) was</w:t>
      </w:r>
      <w:r>
        <w:t xml:space="preserve"> </w:t>
      </w:r>
      <w:r w:rsidRPr="002E3548">
        <w:t xml:space="preserve">the </w:t>
      </w:r>
      <w:proofErr w:type="gramStart"/>
      <w:r w:rsidRPr="002E3548">
        <w:t>most commonly reported</w:t>
      </w:r>
      <w:proofErr w:type="gramEnd"/>
      <w:r w:rsidRPr="002E3548">
        <w:t xml:space="preserve"> followed by coronavirus infection (8</w:t>
      </w:r>
      <w:r w:rsidR="004C2D20">
        <w:t xml:space="preserve"> out of </w:t>
      </w:r>
      <w:r w:rsidRPr="002E3548">
        <w:t xml:space="preserve">377 </w:t>
      </w:r>
      <w:r w:rsidR="00A9222F">
        <w:t>(</w:t>
      </w:r>
      <w:r w:rsidRPr="002E3548">
        <w:t>2.1%</w:t>
      </w:r>
      <w:r w:rsidR="00A9222F">
        <w:t>)</w:t>
      </w:r>
      <w:r w:rsidRPr="002E3548">
        <w:t>), urinary tract</w:t>
      </w:r>
      <w:r>
        <w:t xml:space="preserve"> </w:t>
      </w:r>
      <w:r w:rsidRPr="002E3548">
        <w:t>infection (3</w:t>
      </w:r>
      <w:r w:rsidR="004C2D20">
        <w:t xml:space="preserve"> out of </w:t>
      </w:r>
      <w:r w:rsidRPr="002E3548">
        <w:t xml:space="preserve">377 </w:t>
      </w:r>
      <w:r w:rsidR="00A9222F">
        <w:t>(</w:t>
      </w:r>
      <w:r w:rsidRPr="002E3548">
        <w:t>0.8%</w:t>
      </w:r>
      <w:r w:rsidR="00A9222F">
        <w:t>)</w:t>
      </w:r>
      <w:r w:rsidRPr="002E3548">
        <w:t>), hypertension (3</w:t>
      </w:r>
      <w:r w:rsidR="004C2D20">
        <w:t xml:space="preserve"> out of </w:t>
      </w:r>
      <w:r w:rsidRPr="002E3548">
        <w:t xml:space="preserve">377 </w:t>
      </w:r>
      <w:r w:rsidR="00A9222F">
        <w:t>(</w:t>
      </w:r>
      <w:r w:rsidRPr="002E3548">
        <w:t>0.8%</w:t>
      </w:r>
      <w:r w:rsidR="00A9222F">
        <w:t>)</w:t>
      </w:r>
      <w:r w:rsidRPr="002E3548">
        <w:t>), rhinovirus infection (2</w:t>
      </w:r>
      <w:r w:rsidR="004C2D20">
        <w:t xml:space="preserve"> out of </w:t>
      </w:r>
      <w:r w:rsidRPr="002E3548">
        <w:t xml:space="preserve">377 </w:t>
      </w:r>
      <w:r w:rsidR="00A9222F">
        <w:t>(</w:t>
      </w:r>
      <w:r w:rsidRPr="002E3548">
        <w:t>0.5%</w:t>
      </w:r>
      <w:r w:rsidR="00A9222F">
        <w:t>)</w:t>
      </w:r>
      <w:r w:rsidRPr="002E3548">
        <w:t>), and</w:t>
      </w:r>
      <w:r>
        <w:t xml:space="preserve"> </w:t>
      </w:r>
      <w:r w:rsidRPr="002E3548">
        <w:t>urticaria (2</w:t>
      </w:r>
      <w:r w:rsidR="004C2D20">
        <w:t xml:space="preserve"> out of </w:t>
      </w:r>
      <w:r w:rsidRPr="002E3548">
        <w:t xml:space="preserve">377 </w:t>
      </w:r>
      <w:r w:rsidR="00A9222F">
        <w:t>(</w:t>
      </w:r>
      <w:r w:rsidRPr="002E3548">
        <w:t>0.5%</w:t>
      </w:r>
      <w:r w:rsidR="00A9222F">
        <w:t>)</w:t>
      </w:r>
      <w:r w:rsidRPr="002E3548">
        <w:t xml:space="preserve">). The remaining MAAE preferred terms were reported in </w:t>
      </w:r>
      <w:r w:rsidR="004C2D20">
        <w:t>one</w:t>
      </w:r>
      <w:r w:rsidRPr="002E3548">
        <w:t xml:space="preserve"> participant</w:t>
      </w:r>
      <w:r>
        <w:t xml:space="preserve"> </w:t>
      </w:r>
      <w:r w:rsidRPr="002E3548">
        <w:t>only. Two non</w:t>
      </w:r>
      <w:r w:rsidR="00A9222F">
        <w:noBreakHyphen/>
      </w:r>
      <w:r w:rsidRPr="002E3548">
        <w:t xml:space="preserve">serious MAAEs in </w:t>
      </w:r>
      <w:r w:rsidR="004C2D20">
        <w:t>two</w:t>
      </w:r>
      <w:r w:rsidRPr="002E3548">
        <w:t xml:space="preserve"> participants were assessed as related to vaccination by the</w:t>
      </w:r>
      <w:r>
        <w:t xml:space="preserve"> </w:t>
      </w:r>
      <w:r w:rsidR="004C2D20">
        <w:t>i</w:t>
      </w:r>
      <w:r w:rsidRPr="002E3548">
        <w:t>nvestigator,</w:t>
      </w:r>
    </w:p>
    <w:p w14:paraId="5A8DDA25" w14:textId="799FB40B" w:rsidR="00896136" w:rsidRDefault="00896136" w:rsidP="00896136">
      <w:pPr>
        <w:pStyle w:val="ListBullet"/>
      </w:pPr>
      <w:r>
        <w:t xml:space="preserve">A </w:t>
      </w:r>
      <w:proofErr w:type="gramStart"/>
      <w:r>
        <w:t>55</w:t>
      </w:r>
      <w:r w:rsidR="004C2D20">
        <w:t xml:space="preserve"> </w:t>
      </w:r>
      <w:r>
        <w:t>year</w:t>
      </w:r>
      <w:r w:rsidR="004C2D20">
        <w:t xml:space="preserve"> </w:t>
      </w:r>
      <w:r>
        <w:t>old</w:t>
      </w:r>
      <w:proofErr w:type="gramEnd"/>
      <w:r>
        <w:t xml:space="preserve"> female with no relevant medical history had mild hypertension (verbatim: high blood pressure without diagnosis of hypertension) starting on </w:t>
      </w:r>
      <w:r w:rsidR="004C2D20">
        <w:t>s</w:t>
      </w:r>
      <w:r>
        <w:t xml:space="preserve">tudy Day 13. The event worsened, and a moderate MAAE of hypertension, no longer assessed as related to vaccination, was reported with onset on Day 30. Treatment included amlodipine and the event was ongoing at the time of the data </w:t>
      </w:r>
      <w:proofErr w:type="spellStart"/>
      <w:r>
        <w:t>cutoff</w:t>
      </w:r>
      <w:proofErr w:type="spellEnd"/>
      <w:r>
        <w:t>.</w:t>
      </w:r>
    </w:p>
    <w:p w14:paraId="0EF69676" w14:textId="6C063639" w:rsidR="00896136" w:rsidRDefault="00896136" w:rsidP="00896136">
      <w:pPr>
        <w:pStyle w:val="ListBullet"/>
      </w:pPr>
      <w:r>
        <w:t xml:space="preserve">Mild urticaria which resolved </w:t>
      </w:r>
      <w:r w:rsidR="004C2D20">
        <w:t>four</w:t>
      </w:r>
      <w:r>
        <w:t xml:space="preserve"> days later.</w:t>
      </w:r>
    </w:p>
    <w:p w14:paraId="24F6D841" w14:textId="22FA9D01" w:rsidR="00896136" w:rsidRDefault="00896136" w:rsidP="00896136">
      <w:r>
        <w:t xml:space="preserve">In the 50 </w:t>
      </w:r>
      <w:proofErr w:type="spellStart"/>
      <w:r>
        <w:t>μg</w:t>
      </w:r>
      <w:proofErr w:type="spellEnd"/>
      <w:r>
        <w:t xml:space="preserve"> </w:t>
      </w:r>
      <w:r w:rsidR="00A9222F">
        <w:t>monovalent vaccine (</w:t>
      </w:r>
      <w:proofErr w:type="spellStart"/>
      <w:r w:rsidR="00A9222F">
        <w:t>elasomeran</w:t>
      </w:r>
      <w:proofErr w:type="spellEnd"/>
      <w:r w:rsidR="00A9222F">
        <w:t xml:space="preserve">) </w:t>
      </w:r>
      <w:r>
        <w:t>group (</w:t>
      </w:r>
      <w:r w:rsidR="004C2D20">
        <w:t xml:space="preserve">Study P205 </w:t>
      </w:r>
      <w:r>
        <w:t>Part F) up to the data cut</w:t>
      </w:r>
      <w:r w:rsidR="00A9222F">
        <w:t>-</w:t>
      </w:r>
      <w:r>
        <w:t>off date, 85</w:t>
      </w:r>
      <w:r w:rsidR="004C2D20">
        <w:t xml:space="preserve"> out of </w:t>
      </w:r>
      <w:r>
        <w:t>377 participants (22.5%) had 104 MAAEs inclusive of the 56 MAAEs reported within 28 days after the booster dose. Upper respiratory tract infection (15</w:t>
      </w:r>
      <w:r w:rsidR="004C2D20">
        <w:t xml:space="preserve"> out of </w:t>
      </w:r>
      <w:r>
        <w:t xml:space="preserve">377 </w:t>
      </w:r>
      <w:r w:rsidR="00A9222F">
        <w:t>(</w:t>
      </w:r>
      <w:r>
        <w:t>4%</w:t>
      </w:r>
      <w:r w:rsidR="00A9222F">
        <w:t>)</w:t>
      </w:r>
      <w:r>
        <w:t xml:space="preserve">) was the </w:t>
      </w:r>
      <w:proofErr w:type="gramStart"/>
      <w:r>
        <w:t>most commonly reported</w:t>
      </w:r>
      <w:proofErr w:type="gramEnd"/>
      <w:r>
        <w:t xml:space="preserve"> MAAE, followed by coronavirus infection (9</w:t>
      </w:r>
      <w:r w:rsidR="004C2D20">
        <w:t xml:space="preserve"> out of </w:t>
      </w:r>
      <w:r>
        <w:t xml:space="preserve">377 </w:t>
      </w:r>
      <w:r w:rsidR="00A9222F">
        <w:t>(</w:t>
      </w:r>
      <w:r>
        <w:t>2.4%</w:t>
      </w:r>
      <w:r w:rsidR="00A9222F">
        <w:t>)</w:t>
      </w:r>
      <w:r>
        <w:t xml:space="preserve">). One of the MAAEs with onset beyond 28 days from the booster dose was assessed as related to vaccination by the </w:t>
      </w:r>
      <w:r w:rsidR="004C2D20">
        <w:t>i</w:t>
      </w:r>
      <w:r>
        <w:t>nvestigator,</w:t>
      </w:r>
    </w:p>
    <w:p w14:paraId="2CD2EF9C" w14:textId="4C6B2CB8" w:rsidR="00896136" w:rsidRDefault="00896136" w:rsidP="00896136">
      <w:pPr>
        <w:pStyle w:val="ListBullet"/>
      </w:pPr>
      <w:r>
        <w:t xml:space="preserve">A </w:t>
      </w:r>
      <w:proofErr w:type="gramStart"/>
      <w:r>
        <w:t>55</w:t>
      </w:r>
      <w:r w:rsidR="004C2D20">
        <w:t xml:space="preserve"> </w:t>
      </w:r>
      <w:r>
        <w:t>year</w:t>
      </w:r>
      <w:r w:rsidR="004C2D20">
        <w:t xml:space="preserve"> </w:t>
      </w:r>
      <w:r>
        <w:t>old</w:t>
      </w:r>
      <w:proofErr w:type="gramEnd"/>
      <w:r>
        <w:t xml:space="preserve"> female with a medical history of chronic back pain had mild back pain (verbatim: worsening of chronic back pain) starting on </w:t>
      </w:r>
      <w:r w:rsidR="004C2D20">
        <w:t>s</w:t>
      </w:r>
      <w:r>
        <w:t xml:space="preserve">tudy Day 33. At the time of the data </w:t>
      </w:r>
      <w:proofErr w:type="spellStart"/>
      <w:r>
        <w:t>cutoff</w:t>
      </w:r>
      <w:proofErr w:type="spellEnd"/>
      <w:r>
        <w:t>, the event was ongoing.</w:t>
      </w:r>
    </w:p>
    <w:p w14:paraId="333EFDC7" w14:textId="7D27EC54" w:rsidR="00896136" w:rsidRPr="00DC032A" w:rsidRDefault="00896136" w:rsidP="00896136">
      <w:r w:rsidRPr="00604A8C">
        <w:t xml:space="preserve">In the 50 </w:t>
      </w:r>
      <w:proofErr w:type="spellStart"/>
      <w:r w:rsidRPr="00604A8C">
        <w:t>μg</w:t>
      </w:r>
      <w:proofErr w:type="spellEnd"/>
      <w:r w:rsidRPr="00604A8C">
        <w:t xml:space="preserve"> </w:t>
      </w:r>
      <w:r w:rsidR="00A9222F">
        <w:t>bivalent vaccine (</w:t>
      </w:r>
      <w:proofErr w:type="spellStart"/>
      <w:r w:rsidR="00A9222F">
        <w:t>elasomeran</w:t>
      </w:r>
      <w:proofErr w:type="spellEnd"/>
      <w:r w:rsidR="00A9222F">
        <w:t xml:space="preserve"> + </w:t>
      </w:r>
      <w:proofErr w:type="spellStart"/>
      <w:r w:rsidR="00A9222F">
        <w:t>imelasomeran</w:t>
      </w:r>
      <w:proofErr w:type="spellEnd"/>
      <w:r w:rsidR="00A9222F">
        <w:t xml:space="preserve">) </w:t>
      </w:r>
      <w:r w:rsidRPr="00604A8C">
        <w:t>group (</w:t>
      </w:r>
      <w:r w:rsidR="004C2D20">
        <w:t xml:space="preserve">Study P205 </w:t>
      </w:r>
      <w:r w:rsidRPr="00604A8C">
        <w:t xml:space="preserve">Part G) up to the data </w:t>
      </w:r>
      <w:r w:rsidR="00A9222F" w:rsidRPr="00604A8C">
        <w:t>cut-off</w:t>
      </w:r>
      <w:r w:rsidRPr="00604A8C">
        <w:t xml:space="preserve"> date,</w:t>
      </w:r>
      <w:r w:rsidRPr="00DC032A">
        <w:t xml:space="preserve"> 58</w:t>
      </w:r>
      <w:r w:rsidR="004C2D20">
        <w:t xml:space="preserve"> out of </w:t>
      </w:r>
      <w:r w:rsidRPr="00DC032A">
        <w:t>437 participants (13.3%) had 74 MAAEs up to the data cut</w:t>
      </w:r>
      <w:r w:rsidR="00A9222F">
        <w:t>-</w:t>
      </w:r>
      <w:r w:rsidRPr="00DC032A">
        <w:t>off. COVID-19 (8</w:t>
      </w:r>
      <w:r w:rsidR="004C2D20">
        <w:t xml:space="preserve"> out of </w:t>
      </w:r>
      <w:r w:rsidRPr="00DC032A">
        <w:t xml:space="preserve">437 </w:t>
      </w:r>
      <w:r w:rsidR="00A9222F">
        <w:t>(</w:t>
      </w:r>
      <w:r w:rsidRPr="00DC032A">
        <w:t>1.8%</w:t>
      </w:r>
      <w:r w:rsidR="00A9222F">
        <w:t>)</w:t>
      </w:r>
      <w:r w:rsidRPr="00DC032A">
        <w:t xml:space="preserve">) was the </w:t>
      </w:r>
      <w:proofErr w:type="gramStart"/>
      <w:r w:rsidRPr="00DC032A">
        <w:t>most commonly reported</w:t>
      </w:r>
      <w:proofErr w:type="gramEnd"/>
      <w:r w:rsidRPr="00DC032A">
        <w:t xml:space="preserve"> MAAE, followed by upper respiratory tract infection (6</w:t>
      </w:r>
      <w:r w:rsidR="004C2D20">
        <w:t xml:space="preserve"> out of </w:t>
      </w:r>
      <w:r w:rsidRPr="00DC032A">
        <w:t xml:space="preserve">437 </w:t>
      </w:r>
      <w:r w:rsidR="00A9222F">
        <w:t>(</w:t>
      </w:r>
      <w:r w:rsidRPr="00DC032A">
        <w:t>1.4%</w:t>
      </w:r>
      <w:r w:rsidR="00A9222F">
        <w:t>)</w:t>
      </w:r>
      <w:r w:rsidRPr="00DC032A">
        <w:t>) and coronavirus infection (non-COVID) (4</w:t>
      </w:r>
      <w:r w:rsidR="004C2D20">
        <w:t xml:space="preserve"> out of </w:t>
      </w:r>
      <w:r w:rsidRPr="00DC032A">
        <w:t xml:space="preserve">437 </w:t>
      </w:r>
      <w:r w:rsidR="00A9222F">
        <w:t>(</w:t>
      </w:r>
      <w:r w:rsidRPr="00DC032A">
        <w:t>0.9%</w:t>
      </w:r>
      <w:r w:rsidR="00A9222F">
        <w:t>)</w:t>
      </w:r>
      <w:r w:rsidRPr="00DC032A">
        <w:t xml:space="preserve">). Two non-serious MAAEs in </w:t>
      </w:r>
      <w:r w:rsidR="004C2D20">
        <w:t>two</w:t>
      </w:r>
      <w:r w:rsidRPr="00DC032A">
        <w:t xml:space="preserve"> participants were assessed as related to vaccination by the Investigator: moderate fatigue (Day 2); mild dermatitis (Day 7).</w:t>
      </w:r>
    </w:p>
    <w:p w14:paraId="129A876C" w14:textId="164E3A54" w:rsidR="00896136" w:rsidRDefault="00896136" w:rsidP="00896136">
      <w:r w:rsidRPr="00604A8C">
        <w:t xml:space="preserve">In the 50 </w:t>
      </w:r>
      <w:proofErr w:type="spellStart"/>
      <w:r w:rsidRPr="00604A8C">
        <w:t>μg</w:t>
      </w:r>
      <w:proofErr w:type="spellEnd"/>
      <w:r w:rsidR="00A9222F">
        <w:t xml:space="preserve"> monovalent vaccine (</w:t>
      </w:r>
      <w:proofErr w:type="spellStart"/>
      <w:r w:rsidR="00A9222F">
        <w:t>elasomeran</w:t>
      </w:r>
      <w:proofErr w:type="spellEnd"/>
      <w:r w:rsidR="00A9222F">
        <w:t>)</w:t>
      </w:r>
      <w:r w:rsidRPr="00604A8C">
        <w:t xml:space="preserve"> group (</w:t>
      </w:r>
      <w:r w:rsidR="004C2D20">
        <w:t xml:space="preserve">Study P205 </w:t>
      </w:r>
      <w:r w:rsidRPr="00604A8C">
        <w:t>Part F) up to the data cut</w:t>
      </w:r>
      <w:r w:rsidR="00A9222F">
        <w:t>-</w:t>
      </w:r>
      <w:r w:rsidRPr="00604A8C">
        <w:t>off date, 85</w:t>
      </w:r>
      <w:r w:rsidR="004C2D20">
        <w:t xml:space="preserve"> out of </w:t>
      </w:r>
      <w:r w:rsidRPr="00DC032A">
        <w:t>377 participants (22.5%) had 104 MAAEs up to the data cut</w:t>
      </w:r>
      <w:r w:rsidR="00A9222F">
        <w:t>-</w:t>
      </w:r>
      <w:r w:rsidRPr="00DC032A">
        <w:t>off. Upper respiratory tract infection (15</w:t>
      </w:r>
      <w:r w:rsidR="004C2D20">
        <w:t xml:space="preserve"> out of </w:t>
      </w:r>
      <w:r w:rsidRPr="00DC032A">
        <w:t xml:space="preserve">377 </w:t>
      </w:r>
      <w:r w:rsidR="006E5F03">
        <w:t>(</w:t>
      </w:r>
      <w:r w:rsidRPr="00DC032A">
        <w:t>4%</w:t>
      </w:r>
      <w:r w:rsidR="006E5F03">
        <w:t>)</w:t>
      </w:r>
      <w:r w:rsidRPr="00DC032A">
        <w:t xml:space="preserve">) was the </w:t>
      </w:r>
      <w:proofErr w:type="gramStart"/>
      <w:r w:rsidRPr="00DC032A">
        <w:t>most commonly reported</w:t>
      </w:r>
      <w:proofErr w:type="gramEnd"/>
      <w:r w:rsidRPr="00DC032A">
        <w:t xml:space="preserve"> MAAE, followed by coronavirus infection (9</w:t>
      </w:r>
      <w:r w:rsidR="004C2D20">
        <w:t xml:space="preserve"> out of </w:t>
      </w:r>
      <w:r w:rsidRPr="00DC032A">
        <w:t xml:space="preserve">377 </w:t>
      </w:r>
      <w:r w:rsidR="006E5F03">
        <w:t>(</w:t>
      </w:r>
      <w:r w:rsidRPr="00DC032A">
        <w:t>2.4%</w:t>
      </w:r>
      <w:r w:rsidR="006E5F03">
        <w:t>)</w:t>
      </w:r>
      <w:r w:rsidRPr="00DC032A">
        <w:t xml:space="preserve">). Three non-serious MAAEs in </w:t>
      </w:r>
      <w:r w:rsidR="004C2D20">
        <w:t>three</w:t>
      </w:r>
      <w:r w:rsidRPr="00DC032A">
        <w:t xml:space="preserve"> participants were assessed as related to vaccination by the </w:t>
      </w:r>
      <w:r w:rsidR="004C2D20">
        <w:t>i</w:t>
      </w:r>
      <w:r w:rsidRPr="00DC032A">
        <w:t>nvestigator: mild hypertension (Day 13); mild urticaria (Day 18); mild back pain (Day 33).</w:t>
      </w:r>
    </w:p>
    <w:p w14:paraId="4D4A02B1" w14:textId="34C90D0B" w:rsidR="00896136" w:rsidRDefault="00896136" w:rsidP="00896136">
      <w:pPr>
        <w:pStyle w:val="Heading5"/>
      </w:pPr>
      <w:r w:rsidRPr="00A27870">
        <w:t xml:space="preserve">Adverse </w:t>
      </w:r>
      <w:r w:rsidR="004C2D20">
        <w:t>e</w:t>
      </w:r>
      <w:r w:rsidRPr="00A27870">
        <w:t xml:space="preserve">vents </w:t>
      </w:r>
      <w:r w:rsidR="004C2D20">
        <w:t>l</w:t>
      </w:r>
      <w:r w:rsidRPr="00A27870">
        <w:t xml:space="preserve">eading to </w:t>
      </w:r>
      <w:r w:rsidR="004C2D20">
        <w:t>d</w:t>
      </w:r>
      <w:r w:rsidRPr="00A27870">
        <w:t>iscontinuation from Study P205 Part</w:t>
      </w:r>
      <w:r w:rsidR="00A9222F">
        <w:t>s</w:t>
      </w:r>
      <w:r w:rsidRPr="00A27870">
        <w:t xml:space="preserve"> G and</w:t>
      </w:r>
      <w:r w:rsidR="00E865BF">
        <w:t xml:space="preserve"> </w:t>
      </w:r>
      <w:r w:rsidRPr="00A27870">
        <w:t>F</w:t>
      </w:r>
    </w:p>
    <w:p w14:paraId="2B560C94" w14:textId="0B50C7F8" w:rsidR="00896136" w:rsidRDefault="00896136" w:rsidP="00896136">
      <w:r>
        <w:t xml:space="preserve">No participants in either the </w:t>
      </w:r>
      <w:r w:rsidR="00A9222F">
        <w:t>bivalent vaccine (</w:t>
      </w:r>
      <w:proofErr w:type="spellStart"/>
      <w:r w:rsidR="00A9222F">
        <w:t>elasomeran</w:t>
      </w:r>
      <w:proofErr w:type="spellEnd"/>
      <w:r w:rsidR="00A9222F">
        <w:t xml:space="preserve"> + </w:t>
      </w:r>
      <w:proofErr w:type="spellStart"/>
      <w:r w:rsidR="00A9222F">
        <w:t>imelasomeran</w:t>
      </w:r>
      <w:proofErr w:type="spellEnd"/>
      <w:r w:rsidR="00A9222F">
        <w:t xml:space="preserve">) </w:t>
      </w:r>
      <w:r>
        <w:t xml:space="preserve">group or the </w:t>
      </w:r>
      <w:r w:rsidR="00A9222F">
        <w:t xml:space="preserve">monovalent vaccine (elasomeran) </w:t>
      </w:r>
      <w:r>
        <w:t>group discontinued due to a TEAE.</w:t>
      </w:r>
    </w:p>
    <w:p w14:paraId="1F2D6029" w14:textId="7780FBF0" w:rsidR="00896136" w:rsidRPr="00896136" w:rsidRDefault="00896136" w:rsidP="00896136">
      <w:pPr>
        <w:pStyle w:val="Heading5"/>
      </w:pPr>
      <w:bookmarkStart w:id="60" w:name="_Hlk111016791"/>
      <w:r w:rsidRPr="00896136">
        <w:t xml:space="preserve">Adverse </w:t>
      </w:r>
      <w:r w:rsidR="004C2D20">
        <w:t>e</w:t>
      </w:r>
      <w:r w:rsidRPr="00896136">
        <w:t xml:space="preserve">vents of </w:t>
      </w:r>
      <w:r w:rsidR="004C2D20">
        <w:t>s</w:t>
      </w:r>
      <w:r w:rsidRPr="00896136">
        <w:t xml:space="preserve">pecial </w:t>
      </w:r>
      <w:r w:rsidR="004C2D20">
        <w:t>i</w:t>
      </w:r>
      <w:r w:rsidRPr="00896136">
        <w:t>nterest</w:t>
      </w:r>
    </w:p>
    <w:bookmarkEnd w:id="60"/>
    <w:p w14:paraId="2ACEC8EE" w14:textId="642E1AA3" w:rsidR="00896136" w:rsidRPr="00896136" w:rsidRDefault="00896136" w:rsidP="00896136">
      <w:pPr>
        <w:pStyle w:val="Heading6"/>
      </w:pPr>
      <w:r w:rsidRPr="00896136">
        <w:t>Investigator</w:t>
      </w:r>
      <w:r w:rsidR="004C2D20">
        <w:t xml:space="preserve"> a</w:t>
      </w:r>
      <w:r w:rsidRPr="00896136">
        <w:t xml:space="preserve">ssessed </w:t>
      </w:r>
      <w:r w:rsidR="004C2D20">
        <w:t>a</w:t>
      </w:r>
      <w:r w:rsidR="004C2D20" w:rsidRPr="004C2D20">
        <w:t>dverse events of special interest</w:t>
      </w:r>
      <w:r w:rsidRPr="00896136">
        <w:t xml:space="preserve">s in </w:t>
      </w:r>
      <w:r w:rsidR="004C2D20">
        <w:t xml:space="preserve">Study </w:t>
      </w:r>
      <w:r w:rsidRPr="00896136">
        <w:t>P205 Part</w:t>
      </w:r>
      <w:r w:rsidR="00A9222F">
        <w:t>s</w:t>
      </w:r>
      <w:r w:rsidRPr="00896136">
        <w:t xml:space="preserve"> G </w:t>
      </w:r>
      <w:r w:rsidR="004C2D20">
        <w:t xml:space="preserve">and </w:t>
      </w:r>
      <w:r w:rsidR="00A9222F">
        <w:t>F</w:t>
      </w:r>
    </w:p>
    <w:p w14:paraId="59FF299A" w14:textId="77777777" w:rsidR="00896136" w:rsidRPr="009B1CE9" w:rsidRDefault="00896136" w:rsidP="00896136">
      <w:r w:rsidRPr="009B1CE9">
        <w:t>Investigators were asked to report all suspected cases of probable and confirmed myocarditis, pericarditis, or myopericarditis as an AESI even if they did not meet the CDC case definition criteria.</w:t>
      </w:r>
    </w:p>
    <w:p w14:paraId="2CEBDC4D" w14:textId="1987C8BE" w:rsidR="00896136" w:rsidRPr="00FB458E" w:rsidRDefault="00896136" w:rsidP="00896136">
      <w:r w:rsidRPr="00FB458E">
        <w:t xml:space="preserve">No participants in the 50 </w:t>
      </w:r>
      <w:bookmarkStart w:id="61" w:name="_Hlk111571277"/>
      <w:proofErr w:type="spellStart"/>
      <w:r w:rsidRPr="00DC032A">
        <w:t>μg</w:t>
      </w:r>
      <w:bookmarkEnd w:id="61"/>
      <w:proofErr w:type="spellEnd"/>
      <w:r w:rsidR="008D0B1E">
        <w:t xml:space="preserve"> bivalent vaccine (</w:t>
      </w:r>
      <w:proofErr w:type="spellStart"/>
      <w:r w:rsidR="008D0B1E">
        <w:t>elasomeran</w:t>
      </w:r>
      <w:proofErr w:type="spellEnd"/>
      <w:r w:rsidR="008D0B1E">
        <w:t xml:space="preserve"> + </w:t>
      </w:r>
      <w:proofErr w:type="spellStart"/>
      <w:r w:rsidR="008D0B1E">
        <w:t>imelasomeran</w:t>
      </w:r>
      <w:proofErr w:type="spellEnd"/>
      <w:r w:rsidR="008D0B1E">
        <w:t>)</w:t>
      </w:r>
      <w:r w:rsidRPr="00FB458E">
        <w:t xml:space="preserve"> booster dose group (</w:t>
      </w:r>
      <w:r w:rsidR="004C2D20">
        <w:t xml:space="preserve">Study P205 </w:t>
      </w:r>
      <w:r w:rsidRPr="00FB458E">
        <w:t>Part G) had an</w:t>
      </w:r>
      <w:r>
        <w:t xml:space="preserve"> </w:t>
      </w:r>
      <w:r w:rsidRPr="00FB458E">
        <w:t>investigator</w:t>
      </w:r>
      <w:r w:rsidR="004C2D20">
        <w:t xml:space="preserve"> </w:t>
      </w:r>
      <w:r w:rsidRPr="00FB458E">
        <w:t xml:space="preserve">assessed AESI up to the data </w:t>
      </w:r>
      <w:proofErr w:type="spellStart"/>
      <w:r w:rsidRPr="00FB458E">
        <w:t>cutoff</w:t>
      </w:r>
      <w:proofErr w:type="spellEnd"/>
      <w:r w:rsidRPr="00FB458E">
        <w:t xml:space="preserve"> date</w:t>
      </w:r>
    </w:p>
    <w:p w14:paraId="6F6F4A44" w14:textId="63B5C4CF" w:rsidR="00896136" w:rsidRDefault="00896136" w:rsidP="00896136">
      <w:r w:rsidRPr="00FB458E">
        <w:lastRenderedPageBreak/>
        <w:t>In the</w:t>
      </w:r>
      <w:r w:rsidR="004C2D20">
        <w:t xml:space="preserve"> </w:t>
      </w:r>
      <w:r w:rsidRPr="00FB458E">
        <w:t xml:space="preserve">50 </w:t>
      </w:r>
      <w:proofErr w:type="spellStart"/>
      <w:r w:rsidRPr="00DC032A">
        <w:t>μg</w:t>
      </w:r>
      <w:proofErr w:type="spellEnd"/>
      <w:r w:rsidR="008D0B1E">
        <w:t xml:space="preserve"> monovalent vaccine (</w:t>
      </w:r>
      <w:proofErr w:type="spellStart"/>
      <w:r w:rsidR="008D0B1E">
        <w:t>elasomeran</w:t>
      </w:r>
      <w:proofErr w:type="spellEnd"/>
      <w:r w:rsidR="008D0B1E">
        <w:t>)</w:t>
      </w:r>
      <w:r w:rsidRPr="00FB458E">
        <w:t xml:space="preserve"> booster dose group (</w:t>
      </w:r>
      <w:r w:rsidR="004C2D20">
        <w:t xml:space="preserve">Study P205 </w:t>
      </w:r>
      <w:r w:rsidRPr="00FB458E">
        <w:t xml:space="preserve">Part F), </w:t>
      </w:r>
      <w:r w:rsidR="008D0B1E">
        <w:t>one</w:t>
      </w:r>
      <w:r w:rsidR="004C2D20">
        <w:t xml:space="preserve"> out of </w:t>
      </w:r>
      <w:r w:rsidRPr="00FB458E">
        <w:t>377 participants (0.3%) had an</w:t>
      </w:r>
      <w:r>
        <w:t xml:space="preserve"> </w:t>
      </w:r>
      <w:r w:rsidRPr="00FB458E">
        <w:t>investigator</w:t>
      </w:r>
      <w:r w:rsidR="004C2D20">
        <w:t xml:space="preserve"> </w:t>
      </w:r>
      <w:r w:rsidRPr="00FB458E">
        <w:t>assessed AESI.</w:t>
      </w:r>
    </w:p>
    <w:p w14:paraId="1B80F9CF" w14:textId="043AFF9F" w:rsidR="00896136" w:rsidRDefault="00896136" w:rsidP="00896136">
      <w:pPr>
        <w:pStyle w:val="ListBullet"/>
      </w:pPr>
      <w:r w:rsidRPr="00FB458E">
        <w:t xml:space="preserve">A </w:t>
      </w:r>
      <w:proofErr w:type="gramStart"/>
      <w:r w:rsidRPr="00FB458E">
        <w:t>71</w:t>
      </w:r>
      <w:r w:rsidR="004C2D20">
        <w:t xml:space="preserve"> </w:t>
      </w:r>
      <w:r w:rsidRPr="00FB458E">
        <w:t>year</w:t>
      </w:r>
      <w:r w:rsidR="004C2D20">
        <w:t xml:space="preserve"> </w:t>
      </w:r>
      <w:r w:rsidRPr="00FB458E">
        <w:t>old</w:t>
      </w:r>
      <w:proofErr w:type="gramEnd"/>
      <w:r w:rsidRPr="00FB458E">
        <w:t xml:space="preserve"> African American male had a moderate non-serious irregular heart rate</w:t>
      </w:r>
      <w:r>
        <w:t xml:space="preserve"> </w:t>
      </w:r>
      <w:r w:rsidRPr="00FB458E">
        <w:t>(verbatim: unspecified irregular heartbeat) on Day 17 after the mRNA1273</w:t>
      </w:r>
      <w:r w:rsidR="008D0B1E">
        <w:t xml:space="preserve"> [monovalent vaccine (</w:t>
      </w:r>
      <w:proofErr w:type="spellStart"/>
      <w:r w:rsidR="008D0B1E">
        <w:t>elasomeran</w:t>
      </w:r>
      <w:proofErr w:type="spellEnd"/>
      <w:r w:rsidR="008D0B1E">
        <w:t>)]</w:t>
      </w:r>
      <w:r w:rsidRPr="00FB458E">
        <w:t xml:space="preserve"> </w:t>
      </w:r>
      <w:r w:rsidR="004C2D20">
        <w:t xml:space="preserve">at </w:t>
      </w:r>
      <w:r w:rsidRPr="00FB458E">
        <w:t xml:space="preserve">50 </w:t>
      </w:r>
      <w:proofErr w:type="spellStart"/>
      <w:r w:rsidRPr="00DC032A">
        <w:t>μg</w:t>
      </w:r>
      <w:proofErr w:type="spellEnd"/>
      <w:r w:rsidRPr="00FB458E">
        <w:t xml:space="preserve"> booster</w:t>
      </w:r>
      <w:r>
        <w:t xml:space="preserve"> </w:t>
      </w:r>
      <w:r w:rsidRPr="00FB458E">
        <w:t xml:space="preserve">dose. Medical history included hypertension, Type </w:t>
      </w:r>
      <w:r w:rsidR="00500D23">
        <w:t>II</w:t>
      </w:r>
      <w:r w:rsidRPr="00FB458E">
        <w:t xml:space="preserve"> diabetes mellitus, hyperlipidaemia,</w:t>
      </w:r>
      <w:r>
        <w:t xml:space="preserve"> </w:t>
      </w:r>
      <w:r w:rsidRPr="00FB458E">
        <w:t xml:space="preserve">osteoarthritis, prostate cancer, and seasonal allergy. At the time of the data </w:t>
      </w:r>
      <w:proofErr w:type="spellStart"/>
      <w:r w:rsidRPr="00FB458E">
        <w:t>cutoff</w:t>
      </w:r>
      <w:proofErr w:type="spellEnd"/>
      <w:r w:rsidRPr="00FB458E">
        <w:t>, the</w:t>
      </w:r>
      <w:r>
        <w:t xml:space="preserve"> </w:t>
      </w:r>
      <w:r w:rsidRPr="00FB458E">
        <w:t>event had not resolved, and no diagnosis was available as evaluation was ongoing. The</w:t>
      </w:r>
      <w:r>
        <w:t xml:space="preserve"> </w:t>
      </w:r>
      <w:r w:rsidR="00500D23">
        <w:t>i</w:t>
      </w:r>
      <w:r w:rsidRPr="00FB458E">
        <w:t>nvestigator assessed the event as not related to study vaccination</w:t>
      </w:r>
      <w:r>
        <w:t>.</w:t>
      </w:r>
    </w:p>
    <w:p w14:paraId="3DFC2B47" w14:textId="6E5E3E8A" w:rsidR="00896136" w:rsidRDefault="00500D23" w:rsidP="00896136">
      <w:pPr>
        <w:pStyle w:val="Heading6"/>
      </w:pPr>
      <w:r>
        <w:t>A</w:t>
      </w:r>
      <w:r w:rsidRPr="004C2D20">
        <w:t>dverse events of special interest</w:t>
      </w:r>
      <w:r w:rsidRPr="00896136">
        <w:t>s</w:t>
      </w:r>
      <w:r w:rsidR="00896136" w:rsidRPr="00757696">
        <w:t xml:space="preserve"> </w:t>
      </w:r>
      <w:r>
        <w:t>b</w:t>
      </w:r>
      <w:r w:rsidR="00896136" w:rsidRPr="00757696">
        <w:t xml:space="preserve">ased on </w:t>
      </w:r>
      <w:r>
        <w:t xml:space="preserve">standardised MedDRA queries </w:t>
      </w:r>
      <w:r w:rsidR="00896136" w:rsidRPr="00757696">
        <w:t xml:space="preserve">in </w:t>
      </w:r>
      <w:r>
        <w:t xml:space="preserve">Study P205 </w:t>
      </w:r>
      <w:r w:rsidR="00896136" w:rsidRPr="00757696">
        <w:t>Part</w:t>
      </w:r>
      <w:r w:rsidR="008D0B1E">
        <w:t>s G and F</w:t>
      </w:r>
    </w:p>
    <w:p w14:paraId="0E151BA9" w14:textId="763C2783" w:rsidR="00896136" w:rsidRDefault="00896136" w:rsidP="00896136">
      <w:r w:rsidRPr="00C10EF2">
        <w:t xml:space="preserve">The </w:t>
      </w:r>
      <w:r w:rsidR="00500D23">
        <w:t>standardised MedDRA queries (</w:t>
      </w:r>
      <w:r w:rsidRPr="00C10EF2">
        <w:t>SMQ</w:t>
      </w:r>
      <w:r w:rsidR="00500D23">
        <w:t>)</w:t>
      </w:r>
      <w:r w:rsidRPr="00C10EF2">
        <w:t xml:space="preserve"> analyses of AEs within 28 days of the booster dose did not identify any safety concerns after vaccination with 50 </w:t>
      </w:r>
      <w:proofErr w:type="spellStart"/>
      <w:r w:rsidRPr="00C10EF2">
        <w:t>μg</w:t>
      </w:r>
      <w:proofErr w:type="spellEnd"/>
      <w:r w:rsidRPr="00C10EF2">
        <w:t xml:space="preserve"> </w:t>
      </w:r>
      <w:r w:rsidR="008D0B1E">
        <w:t>bivalent vaccine (</w:t>
      </w:r>
      <w:proofErr w:type="spellStart"/>
      <w:r w:rsidR="008D0B1E">
        <w:t>elasomeran</w:t>
      </w:r>
      <w:proofErr w:type="spellEnd"/>
      <w:r w:rsidR="008D0B1E">
        <w:t xml:space="preserve"> + </w:t>
      </w:r>
      <w:proofErr w:type="spellStart"/>
      <w:r w:rsidR="008D0B1E">
        <w:t>imelasomeran</w:t>
      </w:r>
      <w:proofErr w:type="spellEnd"/>
      <w:r w:rsidR="008D0B1E">
        <w:t xml:space="preserve">) </w:t>
      </w:r>
      <w:r w:rsidRPr="00C10EF2">
        <w:t>(</w:t>
      </w:r>
      <w:r w:rsidR="00500D23">
        <w:t xml:space="preserve">Study </w:t>
      </w:r>
      <w:r w:rsidRPr="00C10EF2">
        <w:t xml:space="preserve">P205 Part G) or 50 </w:t>
      </w:r>
      <w:proofErr w:type="spellStart"/>
      <w:r w:rsidRPr="00C10EF2">
        <w:t>μg</w:t>
      </w:r>
      <w:proofErr w:type="spellEnd"/>
      <w:r w:rsidRPr="00C10EF2">
        <w:t xml:space="preserve"> </w:t>
      </w:r>
      <w:r w:rsidR="008D0B1E">
        <w:t>monovalent vaccine (</w:t>
      </w:r>
      <w:proofErr w:type="spellStart"/>
      <w:r w:rsidR="008D0B1E">
        <w:t>elasomeran</w:t>
      </w:r>
      <w:proofErr w:type="spellEnd"/>
      <w:r w:rsidR="008D0B1E">
        <w:t xml:space="preserve">) </w:t>
      </w:r>
      <w:r w:rsidRPr="00C10EF2">
        <w:t>(</w:t>
      </w:r>
      <w:r w:rsidR="00500D23">
        <w:t xml:space="preserve">Study </w:t>
      </w:r>
      <w:r w:rsidRPr="00C10EF2">
        <w:t>P205 Part</w:t>
      </w:r>
      <w:r w:rsidR="008D0B1E">
        <w:t> </w:t>
      </w:r>
      <w:r w:rsidRPr="00C10EF2">
        <w:t>F) when administered as a second booster dose.</w:t>
      </w:r>
    </w:p>
    <w:p w14:paraId="5AD2E634" w14:textId="16B22A4E" w:rsidR="00896136" w:rsidRDefault="00896136" w:rsidP="00896136">
      <w:r>
        <w:t xml:space="preserve">In </w:t>
      </w:r>
      <w:r w:rsidRPr="00684F06">
        <w:t xml:space="preserve">the 50 </w:t>
      </w:r>
      <w:proofErr w:type="spellStart"/>
      <w:r w:rsidRPr="00C10EF2">
        <w:t>μg</w:t>
      </w:r>
      <w:proofErr w:type="spellEnd"/>
      <w:r w:rsidR="008D0B1E">
        <w:t xml:space="preserve"> bivalent vaccine (</w:t>
      </w:r>
      <w:proofErr w:type="spellStart"/>
      <w:r w:rsidR="008D0B1E">
        <w:t>elasomeran</w:t>
      </w:r>
      <w:proofErr w:type="spellEnd"/>
      <w:r w:rsidR="008D0B1E">
        <w:t xml:space="preserve"> + </w:t>
      </w:r>
      <w:proofErr w:type="spellStart"/>
      <w:r w:rsidR="008D0B1E">
        <w:t>imelasomeran</w:t>
      </w:r>
      <w:proofErr w:type="spellEnd"/>
      <w:r w:rsidR="008D0B1E">
        <w:t>)</w:t>
      </w:r>
      <w:r w:rsidRPr="00684F06">
        <w:t xml:space="preserve"> booster dose group (</w:t>
      </w:r>
      <w:r w:rsidR="00500D23">
        <w:t>Study</w:t>
      </w:r>
      <w:r w:rsidR="008D0B1E">
        <w:t> </w:t>
      </w:r>
      <w:r w:rsidR="00500D23">
        <w:t xml:space="preserve">P205 </w:t>
      </w:r>
      <w:r w:rsidRPr="00684F06">
        <w:t>Part G) within 28 days after vaccination, no</w:t>
      </w:r>
      <w:r>
        <w:t xml:space="preserve"> </w:t>
      </w:r>
      <w:r w:rsidRPr="00684F06">
        <w:t>events were captured in the SMQs (narrow and broad scope) for ischemic heart disease, cardiac</w:t>
      </w:r>
      <w:r>
        <w:t xml:space="preserve"> </w:t>
      </w:r>
      <w:r w:rsidRPr="00684F06">
        <w:t xml:space="preserve">failure, cardiomyopathy, embolic and thrombotic events, </w:t>
      </w:r>
      <w:r w:rsidR="007F21AA">
        <w:t xml:space="preserve">central nervous system </w:t>
      </w:r>
      <w:r w:rsidRPr="00684F06">
        <w:t>vascular disorders, hearing and</w:t>
      </w:r>
      <w:r>
        <w:t xml:space="preserve"> </w:t>
      </w:r>
      <w:r w:rsidRPr="00684F06">
        <w:t>vestibular disorders, convulsions, demyelination, h</w:t>
      </w:r>
      <w:r w:rsidR="008D0B1E">
        <w:t>a</w:t>
      </w:r>
      <w:r w:rsidRPr="00684F06">
        <w:t xml:space="preserve">ematopoietic </w:t>
      </w:r>
      <w:proofErr w:type="spellStart"/>
      <w:r w:rsidRPr="00684F06">
        <w:t>cytopenia</w:t>
      </w:r>
      <w:r>
        <w:t>s</w:t>
      </w:r>
      <w:proofErr w:type="spellEnd"/>
      <w:r w:rsidRPr="00684F06">
        <w:t>, peripheral</w:t>
      </w:r>
      <w:r>
        <w:t xml:space="preserve"> </w:t>
      </w:r>
      <w:r w:rsidRPr="00684F06">
        <w:t>neuropathy, thrombophlebitis, or vasculitis</w:t>
      </w:r>
      <w:r>
        <w:t>.</w:t>
      </w:r>
    </w:p>
    <w:p w14:paraId="67D6417D" w14:textId="348E5577" w:rsidR="00896136" w:rsidRDefault="00896136" w:rsidP="00896136">
      <w:r w:rsidRPr="00684F06">
        <w:t xml:space="preserve">Cases with </w:t>
      </w:r>
      <w:r w:rsidR="00500D23">
        <w:t>Preferred Terms (</w:t>
      </w:r>
      <w:r w:rsidRPr="00684F06">
        <w:t>PT</w:t>
      </w:r>
      <w:r w:rsidR="00500D23">
        <w:t>)</w:t>
      </w:r>
      <w:r w:rsidRPr="00684F06">
        <w:t xml:space="preserve"> identified by SMQs were medically reviewed and no safety</w:t>
      </w:r>
      <w:r>
        <w:t xml:space="preserve"> </w:t>
      </w:r>
      <w:r w:rsidRPr="00684F06">
        <w:t>concerns were identified</w:t>
      </w:r>
      <w:r>
        <w:t>.</w:t>
      </w:r>
    </w:p>
    <w:p w14:paraId="219B4821" w14:textId="77777777" w:rsidR="00896136" w:rsidRDefault="00896136" w:rsidP="00896136">
      <w:pPr>
        <w:pStyle w:val="ListBullet"/>
      </w:pPr>
      <w:r w:rsidRPr="00684F06">
        <w:rPr>
          <w:rFonts w:hint="eastAsia"/>
        </w:rPr>
        <w:t>Cardiac arrhythmia SMQ:</w:t>
      </w:r>
    </w:p>
    <w:p w14:paraId="5D2AED28" w14:textId="5BAAF003" w:rsidR="00896136" w:rsidRDefault="00896136" w:rsidP="00896136">
      <w:pPr>
        <w:pStyle w:val="ListBullet2"/>
      </w:pPr>
      <w:r w:rsidRPr="00684F06">
        <w:rPr>
          <w:rFonts w:hint="eastAsia"/>
        </w:rPr>
        <w:t>Tachycardia (</w:t>
      </w:r>
      <w:r w:rsidR="008D0B1E">
        <w:t>one</w:t>
      </w:r>
      <w:r w:rsidR="00500D23">
        <w:t xml:space="preserve"> out of </w:t>
      </w:r>
      <w:r w:rsidRPr="00684F06">
        <w:rPr>
          <w:rFonts w:hint="eastAsia"/>
        </w:rPr>
        <w:t xml:space="preserve">437 participants </w:t>
      </w:r>
      <w:r w:rsidR="008D0B1E">
        <w:t>(</w:t>
      </w:r>
      <w:r w:rsidRPr="00684F06">
        <w:rPr>
          <w:rFonts w:hint="eastAsia"/>
        </w:rPr>
        <w:t>0.2%</w:t>
      </w:r>
      <w:r w:rsidR="008D0B1E">
        <w:t>)</w:t>
      </w:r>
      <w:r w:rsidRPr="00684F06">
        <w:rPr>
          <w:rFonts w:hint="eastAsia"/>
        </w:rPr>
        <w:t xml:space="preserve">): A </w:t>
      </w:r>
      <w:proofErr w:type="gramStart"/>
      <w:r w:rsidRPr="00684F06">
        <w:rPr>
          <w:rFonts w:hint="eastAsia"/>
        </w:rPr>
        <w:t>53</w:t>
      </w:r>
      <w:r w:rsidR="00500D23">
        <w:t xml:space="preserve"> </w:t>
      </w:r>
      <w:r w:rsidRPr="00684F06">
        <w:rPr>
          <w:rFonts w:hint="eastAsia"/>
        </w:rPr>
        <w:t>year</w:t>
      </w:r>
      <w:r w:rsidR="00500D23">
        <w:t xml:space="preserve"> </w:t>
      </w:r>
      <w:r w:rsidRPr="00684F06">
        <w:rPr>
          <w:rFonts w:hint="eastAsia"/>
        </w:rPr>
        <w:t>old</w:t>
      </w:r>
      <w:proofErr w:type="gramEnd"/>
      <w:r w:rsidRPr="00684F06">
        <w:rPr>
          <w:rFonts w:hint="eastAsia"/>
        </w:rPr>
        <w:t xml:space="preserve"> female with a medical</w:t>
      </w:r>
      <w:r>
        <w:t xml:space="preserve"> </w:t>
      </w:r>
      <w:r w:rsidRPr="00684F06">
        <w:rPr>
          <w:rFonts w:hint="eastAsia"/>
        </w:rPr>
        <w:t xml:space="preserve">history of obesity had a nonserious MAAE of moderate tachycardia on </w:t>
      </w:r>
      <w:r w:rsidR="007F21AA">
        <w:t>s</w:t>
      </w:r>
      <w:r w:rsidRPr="00684F06">
        <w:rPr>
          <w:rFonts w:hint="eastAsia"/>
        </w:rPr>
        <w:t>tudy</w:t>
      </w:r>
      <w:r>
        <w:t xml:space="preserve"> </w:t>
      </w:r>
      <w:r w:rsidRPr="00684F06">
        <w:rPr>
          <w:rFonts w:hint="eastAsia"/>
        </w:rPr>
        <w:t>Day 7 that resolved on the same day without treatment. The event was assessed</w:t>
      </w:r>
      <w:r>
        <w:t xml:space="preserve"> </w:t>
      </w:r>
      <w:r w:rsidRPr="00684F06">
        <w:rPr>
          <w:rFonts w:hint="eastAsia"/>
        </w:rPr>
        <w:t xml:space="preserve">by the investigator as unrelated to vaccination and of unknown </w:t>
      </w:r>
      <w:r w:rsidRPr="00684F06">
        <w:t>aetiology</w:t>
      </w:r>
      <w:r w:rsidRPr="00684F06">
        <w:rPr>
          <w:rFonts w:hint="eastAsia"/>
        </w:rPr>
        <w:t>. The</w:t>
      </w:r>
      <w:r>
        <w:t xml:space="preserve"> </w:t>
      </w:r>
      <w:r w:rsidRPr="00684F06">
        <w:rPr>
          <w:rFonts w:hint="eastAsia"/>
        </w:rPr>
        <w:t xml:space="preserve">participant had a nonserious MAAE of moderate cough beginning on </w:t>
      </w:r>
      <w:r w:rsidR="00500D23">
        <w:t>s</w:t>
      </w:r>
      <w:r w:rsidRPr="00684F06">
        <w:rPr>
          <w:rFonts w:hint="eastAsia"/>
        </w:rPr>
        <w:t>tudy Day 3</w:t>
      </w:r>
      <w:r>
        <w:t xml:space="preserve"> </w:t>
      </w:r>
      <w:r w:rsidRPr="00684F06">
        <w:rPr>
          <w:rFonts w:hint="eastAsia"/>
        </w:rPr>
        <w:t>and a nonserious MAAE of moderate symptomatic COVID-19 beginning on</w:t>
      </w:r>
      <w:r>
        <w:t xml:space="preserve"> </w:t>
      </w:r>
      <w:r w:rsidR="00500D23">
        <w:t>s</w:t>
      </w:r>
      <w:r w:rsidRPr="00684F06">
        <w:rPr>
          <w:rFonts w:hint="eastAsia"/>
        </w:rPr>
        <w:t>tudy Day 5.</w:t>
      </w:r>
    </w:p>
    <w:p w14:paraId="52D90932" w14:textId="77777777" w:rsidR="00896136" w:rsidRDefault="00896136" w:rsidP="00896136">
      <w:pPr>
        <w:pStyle w:val="ListBullet"/>
      </w:pPr>
      <w:r w:rsidRPr="00684F06">
        <w:t>Hypersensitivity SMQ:</w:t>
      </w:r>
    </w:p>
    <w:p w14:paraId="6B42B20E" w14:textId="47C67D9A" w:rsidR="00896136" w:rsidRDefault="00896136" w:rsidP="00896136">
      <w:pPr>
        <w:pStyle w:val="ListBullet2"/>
      </w:pPr>
      <w:r>
        <w:t>Dermatitis (</w:t>
      </w:r>
      <w:r w:rsidR="008D0B1E">
        <w:t>one</w:t>
      </w:r>
      <w:r w:rsidR="00500D23">
        <w:t xml:space="preserve"> out of </w:t>
      </w:r>
      <w:r>
        <w:t>437)</w:t>
      </w:r>
      <w:r w:rsidR="00500D23">
        <w:t>:</w:t>
      </w:r>
      <w:r>
        <w:t xml:space="preserve"> mild, resolved on study </w:t>
      </w:r>
      <w:r w:rsidR="00500D23">
        <w:t>D</w:t>
      </w:r>
      <w:r>
        <w:t>ay 19</w:t>
      </w:r>
      <w:r w:rsidR="00500D23">
        <w:t>,</w:t>
      </w:r>
      <w:r>
        <w:t xml:space="preserve"> assessed as related to vaccination by the investigator.</w:t>
      </w:r>
    </w:p>
    <w:p w14:paraId="78B5BCB1" w14:textId="24CD66F9" w:rsidR="00896136" w:rsidRDefault="00896136" w:rsidP="00896136">
      <w:pPr>
        <w:pStyle w:val="ListBullet2"/>
      </w:pPr>
      <w:r>
        <w:t>Urticaria (</w:t>
      </w:r>
      <w:r w:rsidR="008D0B1E">
        <w:t>one</w:t>
      </w:r>
      <w:r w:rsidR="00500D23">
        <w:t xml:space="preserve"> out of </w:t>
      </w:r>
      <w:r>
        <w:t>437)</w:t>
      </w:r>
      <w:r w:rsidR="00500D23">
        <w:t>:</w:t>
      </w:r>
      <w:r>
        <w:t xml:space="preserve"> mild, resolved on Day 34</w:t>
      </w:r>
      <w:r w:rsidR="00500D23">
        <w:t xml:space="preserve">, </w:t>
      </w:r>
      <w:r>
        <w:t>assessed as related to vaccination.</w:t>
      </w:r>
    </w:p>
    <w:p w14:paraId="6F14CB02" w14:textId="76F412C1" w:rsidR="00896136" w:rsidRDefault="00896136" w:rsidP="00896136">
      <w:pPr>
        <w:pStyle w:val="ListBullet2"/>
      </w:pPr>
      <w:r>
        <w:t>Contact dermatitis (</w:t>
      </w:r>
      <w:r w:rsidR="008D0B1E">
        <w:t>one</w:t>
      </w:r>
      <w:r w:rsidR="00500D23">
        <w:t xml:space="preserve"> out of </w:t>
      </w:r>
      <w:r>
        <w:t>437)</w:t>
      </w:r>
      <w:r w:rsidR="00500D23">
        <w:t>:</w:t>
      </w:r>
      <w:r>
        <w:t xml:space="preserve"> mild due to poison ivy, resolved by Day 18</w:t>
      </w:r>
      <w:bookmarkStart w:id="62" w:name="_Hlk110795509"/>
      <w:r w:rsidR="00500D23">
        <w:t>,</w:t>
      </w:r>
      <w:r>
        <w:t xml:space="preserve"> assessed as unrelated to vaccination.</w:t>
      </w:r>
      <w:bookmarkEnd w:id="62"/>
    </w:p>
    <w:p w14:paraId="0BBCFD8C" w14:textId="0C806E14" w:rsidR="00896136" w:rsidRDefault="00896136" w:rsidP="00896136">
      <w:pPr>
        <w:pStyle w:val="ListBullet2"/>
      </w:pPr>
      <w:r w:rsidRPr="00684F06">
        <w:t>Macular rash (</w:t>
      </w:r>
      <w:r w:rsidR="008D0B1E">
        <w:t xml:space="preserve">one </w:t>
      </w:r>
      <w:r w:rsidR="00500D23">
        <w:t xml:space="preserve">out of </w:t>
      </w:r>
      <w:r w:rsidRPr="00684F06">
        <w:t>437</w:t>
      </w:r>
      <w:r>
        <w:t>)</w:t>
      </w:r>
      <w:r w:rsidR="00500D23">
        <w:t xml:space="preserve"> </w:t>
      </w:r>
      <w:r>
        <w:t xml:space="preserve">resolved on the same </w:t>
      </w:r>
      <w:r w:rsidR="00500D23">
        <w:t>d</w:t>
      </w:r>
      <w:r>
        <w:t>ay</w:t>
      </w:r>
      <w:bookmarkStart w:id="63" w:name="_Hlk110795850"/>
      <w:r w:rsidR="00500D23">
        <w:t>,</w:t>
      </w:r>
      <w:r w:rsidRPr="00684F06">
        <w:t xml:space="preserve"> assessed as unrelated to vaccination.</w:t>
      </w:r>
      <w:bookmarkEnd w:id="63"/>
    </w:p>
    <w:p w14:paraId="6C579409" w14:textId="77777777" w:rsidR="00896136" w:rsidRDefault="00896136" w:rsidP="00896136">
      <w:pPr>
        <w:pStyle w:val="ListBullet"/>
      </w:pPr>
      <w:r w:rsidRPr="002266FF">
        <w:t>Arthritis SMQ:</w:t>
      </w:r>
    </w:p>
    <w:p w14:paraId="76D7159A" w14:textId="32CCB373" w:rsidR="00896136" w:rsidRDefault="00896136" w:rsidP="00896136">
      <w:pPr>
        <w:pStyle w:val="ListBullet2"/>
      </w:pPr>
      <w:r w:rsidRPr="002266FF">
        <w:t>Rheumatoid arthritis (1</w:t>
      </w:r>
      <w:r w:rsidR="00500D23">
        <w:t xml:space="preserve"> out of </w:t>
      </w:r>
      <w:r w:rsidRPr="002266FF">
        <w:t>437</w:t>
      </w:r>
      <w:r>
        <w:t>)</w:t>
      </w:r>
      <w:r w:rsidR="00500D23">
        <w:t xml:space="preserve">. </w:t>
      </w:r>
      <w:r w:rsidRPr="002266FF">
        <w:t xml:space="preserve">The event was ongoing as of the data </w:t>
      </w:r>
      <w:proofErr w:type="spellStart"/>
      <w:r w:rsidRPr="002266FF">
        <w:t>cutoff</w:t>
      </w:r>
      <w:proofErr w:type="spellEnd"/>
      <w:r w:rsidRPr="002266FF">
        <w:t xml:space="preserve"> and was assessed</w:t>
      </w:r>
      <w:r>
        <w:t xml:space="preserve"> </w:t>
      </w:r>
      <w:r w:rsidRPr="002266FF">
        <w:t>by the investigator as unrelated to vaccination.</w:t>
      </w:r>
    </w:p>
    <w:p w14:paraId="3464AA5C" w14:textId="399F4384" w:rsidR="00896136" w:rsidRDefault="00896136" w:rsidP="00896136">
      <w:r>
        <w:t xml:space="preserve">In the 50 </w:t>
      </w:r>
      <w:proofErr w:type="spellStart"/>
      <w:r>
        <w:t>μg</w:t>
      </w:r>
      <w:proofErr w:type="spellEnd"/>
      <w:r>
        <w:t xml:space="preserve"> </w:t>
      </w:r>
      <w:r w:rsidR="00C17644">
        <w:t>bivalent vaccine (</w:t>
      </w:r>
      <w:proofErr w:type="spellStart"/>
      <w:r w:rsidR="00C17644">
        <w:t>elasomeran</w:t>
      </w:r>
      <w:proofErr w:type="spellEnd"/>
      <w:r w:rsidR="00C17644">
        <w:t xml:space="preserve"> + </w:t>
      </w:r>
      <w:proofErr w:type="spellStart"/>
      <w:r w:rsidR="00C17644">
        <w:t>imelasomeran</w:t>
      </w:r>
      <w:proofErr w:type="spellEnd"/>
      <w:r w:rsidR="00C17644">
        <w:t xml:space="preserve">) </w:t>
      </w:r>
      <w:r>
        <w:t>booster dose group (</w:t>
      </w:r>
      <w:r w:rsidR="00500D23">
        <w:t>Study</w:t>
      </w:r>
      <w:r w:rsidR="00C17644">
        <w:t> </w:t>
      </w:r>
      <w:r w:rsidR="00500D23">
        <w:t xml:space="preserve">P205 </w:t>
      </w:r>
      <w:r>
        <w:t>Part G) up to the data cut</w:t>
      </w:r>
      <w:r w:rsidR="00C17644">
        <w:t>-</w:t>
      </w:r>
      <w:r>
        <w:t>off, no new events were reported that were captured in SMQs.</w:t>
      </w:r>
    </w:p>
    <w:p w14:paraId="14E8572D" w14:textId="1C5781F7" w:rsidR="00896136" w:rsidRDefault="00896136" w:rsidP="00896136">
      <w:r>
        <w:lastRenderedPageBreak/>
        <w:t xml:space="preserve">In the 50 </w:t>
      </w:r>
      <w:proofErr w:type="spellStart"/>
      <w:r>
        <w:t>μg</w:t>
      </w:r>
      <w:proofErr w:type="spellEnd"/>
      <w:r>
        <w:t xml:space="preserve"> </w:t>
      </w:r>
      <w:r w:rsidR="00C17644">
        <w:t>monovalent vaccine (</w:t>
      </w:r>
      <w:proofErr w:type="spellStart"/>
      <w:r w:rsidR="00C17644">
        <w:t>elasomeran</w:t>
      </w:r>
      <w:proofErr w:type="spellEnd"/>
      <w:r w:rsidR="00C17644">
        <w:t xml:space="preserve">) </w:t>
      </w:r>
      <w:r>
        <w:t>group (</w:t>
      </w:r>
      <w:r w:rsidR="00500D23">
        <w:t xml:space="preserve">Study P205 </w:t>
      </w:r>
      <w:r>
        <w:t xml:space="preserve">Part F) within 28 days after vaccination, no events were captured for the SMQs (narrow and broad scope) for ischemic heart disease, cardiomyopathy, embolic and thrombotic events, </w:t>
      </w:r>
      <w:r w:rsidR="007F21AA">
        <w:t>central nervous system</w:t>
      </w:r>
      <w:r>
        <w:t xml:space="preserve"> vascular disorders, convulsions, demyelination, h</w:t>
      </w:r>
      <w:r w:rsidR="00C17644">
        <w:t>a</w:t>
      </w:r>
      <w:r>
        <w:t xml:space="preserve">ematopoietic </w:t>
      </w:r>
      <w:proofErr w:type="spellStart"/>
      <w:r>
        <w:t>cytopenias</w:t>
      </w:r>
      <w:proofErr w:type="spellEnd"/>
      <w:r>
        <w:t>, thrombophlebitis, and vasculitis.</w:t>
      </w:r>
    </w:p>
    <w:p w14:paraId="30652554" w14:textId="77777777" w:rsidR="00896136" w:rsidRPr="002B6300" w:rsidRDefault="00896136" w:rsidP="00500D23">
      <w:r w:rsidRPr="002B6300">
        <w:t xml:space="preserve">Cases considered of interest following medical review are presented below: </w:t>
      </w:r>
    </w:p>
    <w:p w14:paraId="3355C209" w14:textId="77777777" w:rsidR="00896136" w:rsidRDefault="00896136" w:rsidP="00896136">
      <w:pPr>
        <w:pStyle w:val="ListBullet"/>
      </w:pPr>
      <w:r w:rsidRPr="00F25BF4">
        <w:t>Cardiac arrhythmia SMQ:</w:t>
      </w:r>
    </w:p>
    <w:p w14:paraId="7C01A7C9" w14:textId="5559385D" w:rsidR="00896136" w:rsidRDefault="00896136" w:rsidP="00896136">
      <w:pPr>
        <w:pStyle w:val="ListBullet2"/>
      </w:pPr>
      <w:r w:rsidRPr="00F25BF4">
        <w:t>Irregular heart rate (1</w:t>
      </w:r>
      <w:r w:rsidR="00500D23">
        <w:t xml:space="preserve"> out of </w:t>
      </w:r>
      <w:r w:rsidRPr="00F25BF4">
        <w:t xml:space="preserve">377 participants </w:t>
      </w:r>
      <w:r w:rsidR="006E5F03">
        <w:t>(</w:t>
      </w:r>
      <w:r w:rsidRPr="00F25BF4">
        <w:t>0.3%</w:t>
      </w:r>
      <w:r w:rsidR="006E5F03">
        <w:t>)</w:t>
      </w:r>
      <w:r w:rsidRPr="00F25BF4">
        <w:t>) was reported as an</w:t>
      </w:r>
      <w:r>
        <w:t xml:space="preserve"> </w:t>
      </w:r>
      <w:r w:rsidRPr="00F25BF4">
        <w:t>investigator assessed AESI and considered unrelated to vaccination</w:t>
      </w:r>
      <w:r w:rsidR="00500D23">
        <w:t>.</w:t>
      </w:r>
    </w:p>
    <w:p w14:paraId="668EC606" w14:textId="77777777" w:rsidR="00896136" w:rsidRDefault="00896136" w:rsidP="00896136">
      <w:pPr>
        <w:pStyle w:val="ListBullet"/>
      </w:pPr>
      <w:r w:rsidRPr="00F25BF4">
        <w:t>Cardiac failure SMQ:</w:t>
      </w:r>
    </w:p>
    <w:p w14:paraId="0E4FC5B3" w14:textId="5E83B002" w:rsidR="00896136" w:rsidRDefault="00896136" w:rsidP="00896136">
      <w:pPr>
        <w:pStyle w:val="ListBullet2"/>
      </w:pPr>
      <w:r w:rsidRPr="00F25BF4">
        <w:t>Peripheral oedema (1</w:t>
      </w:r>
      <w:r w:rsidR="00500D23">
        <w:t xml:space="preserve"> out of </w:t>
      </w:r>
      <w:r w:rsidRPr="00F25BF4">
        <w:t>377</w:t>
      </w:r>
      <w:r>
        <w:t>)</w:t>
      </w:r>
      <w:r w:rsidR="00500D23">
        <w:t>:</w:t>
      </w:r>
      <w:r>
        <w:t xml:space="preserve"> mild, </w:t>
      </w:r>
      <w:r w:rsidR="007C0C68">
        <w:t>history of</w:t>
      </w:r>
      <w:r>
        <w:t xml:space="preserve"> </w:t>
      </w:r>
      <w:r w:rsidR="008C567B">
        <w:t>h</w:t>
      </w:r>
      <w:r w:rsidR="008C567B" w:rsidRPr="008C567B">
        <w:t>ypertension myocardial infarction</w:t>
      </w:r>
      <w:r w:rsidR="006F53B3">
        <w:t xml:space="preserve"> </w:t>
      </w:r>
      <w:r>
        <w:t>resolved on Day 28</w:t>
      </w:r>
      <w:r w:rsidR="006F53B3">
        <w:t xml:space="preserve">, </w:t>
      </w:r>
      <w:r w:rsidRPr="00F25BF4">
        <w:t>assessed as unrelated to vaccination.</w:t>
      </w:r>
    </w:p>
    <w:p w14:paraId="25601EA0" w14:textId="77777777" w:rsidR="00896136" w:rsidRDefault="00896136" w:rsidP="00896136">
      <w:pPr>
        <w:pStyle w:val="ListBullet"/>
      </w:pPr>
      <w:r w:rsidRPr="00511784">
        <w:t>Hypersensitivity SMQ:</w:t>
      </w:r>
    </w:p>
    <w:p w14:paraId="7383953F" w14:textId="0BD4B49F" w:rsidR="00896136" w:rsidRDefault="00896136" w:rsidP="00896136">
      <w:pPr>
        <w:pStyle w:val="ListBullet2"/>
      </w:pPr>
      <w:r w:rsidRPr="00511784">
        <w:t>Urticaria (2</w:t>
      </w:r>
      <w:r w:rsidR="006F53B3">
        <w:t xml:space="preserve"> out of </w:t>
      </w:r>
      <w:r w:rsidRPr="00511784">
        <w:t xml:space="preserve">377 participants </w:t>
      </w:r>
      <w:r w:rsidR="006E5F03">
        <w:t>(</w:t>
      </w:r>
      <w:r w:rsidRPr="00511784">
        <w:t>0.5%</w:t>
      </w:r>
      <w:r w:rsidR="006E5F03">
        <w:t>)</w:t>
      </w:r>
      <w:r w:rsidRPr="00511784">
        <w:t>; also reported under the angioedema SMQ):</w:t>
      </w:r>
    </w:p>
    <w:p w14:paraId="1A0189C6" w14:textId="08610BE8" w:rsidR="00896136" w:rsidRDefault="00896136" w:rsidP="00896136">
      <w:pPr>
        <w:pStyle w:val="ListBullet2"/>
      </w:pPr>
      <w:r>
        <w:t xml:space="preserve">Mild urticaria and seasonal allergies </w:t>
      </w:r>
      <w:r w:rsidRPr="00511784">
        <w:t>assessed as unrelated to vaccination.</w:t>
      </w:r>
    </w:p>
    <w:p w14:paraId="480F3C62" w14:textId="3DC11AEF" w:rsidR="00896136" w:rsidRDefault="00896136" w:rsidP="00896136">
      <w:pPr>
        <w:pStyle w:val="ListBullet2"/>
      </w:pPr>
      <w:r w:rsidRPr="00511784">
        <w:t>Asthma (1</w:t>
      </w:r>
      <w:r w:rsidR="006F53B3">
        <w:t xml:space="preserve"> out of </w:t>
      </w:r>
      <w:r w:rsidRPr="00511784">
        <w:t>377</w:t>
      </w:r>
      <w:r>
        <w:t>)</w:t>
      </w:r>
      <w:r w:rsidR="006F53B3">
        <w:t xml:space="preserve">: </w:t>
      </w:r>
      <w:r>
        <w:t>moderate asthma</w:t>
      </w:r>
      <w:r w:rsidR="006F53B3">
        <w:t xml:space="preserve"> </w:t>
      </w:r>
      <w:r w:rsidRPr="00511784">
        <w:t>assessed as unrelated to vaccination.</w:t>
      </w:r>
    </w:p>
    <w:p w14:paraId="0B8C5213" w14:textId="79984BE5" w:rsidR="00896136" w:rsidRDefault="00896136" w:rsidP="00896136">
      <w:pPr>
        <w:pStyle w:val="ListBullet2"/>
      </w:pPr>
      <w:r w:rsidRPr="00511784">
        <w:t>Contact dermatitis (2</w:t>
      </w:r>
      <w:r w:rsidR="006F53B3">
        <w:t xml:space="preserve"> out of </w:t>
      </w:r>
      <w:r w:rsidRPr="00511784">
        <w:t xml:space="preserve">377 participants </w:t>
      </w:r>
      <w:r w:rsidR="00C17644">
        <w:t>(</w:t>
      </w:r>
      <w:r w:rsidRPr="00511784">
        <w:t>0.5%</w:t>
      </w:r>
      <w:r w:rsidR="00C17644">
        <w:t>)</w:t>
      </w:r>
      <w:r w:rsidRPr="00511784">
        <w:t>)</w:t>
      </w:r>
      <w:r w:rsidR="006F53B3">
        <w:t xml:space="preserve">: </w:t>
      </w:r>
      <w:r w:rsidRPr="00511784">
        <w:t>attributed to poison ivy</w:t>
      </w:r>
      <w:r w:rsidR="006F53B3">
        <w:t xml:space="preserve"> </w:t>
      </w:r>
      <w:r w:rsidRPr="00511784">
        <w:t>assessed as unrelated to vaccination.</w:t>
      </w:r>
    </w:p>
    <w:p w14:paraId="2135478B" w14:textId="0DB267CA" w:rsidR="00896136" w:rsidRDefault="00896136" w:rsidP="00896136">
      <w:pPr>
        <w:pStyle w:val="ListBullet2"/>
      </w:pPr>
      <w:r w:rsidRPr="00511784">
        <w:t>Eczema (1/</w:t>
      </w:r>
      <w:r w:rsidR="006F53B3">
        <w:t xml:space="preserve">out of </w:t>
      </w:r>
      <w:r w:rsidRPr="00511784">
        <w:t>377</w:t>
      </w:r>
      <w:r>
        <w:t>)</w:t>
      </w:r>
      <w:r w:rsidR="006F53B3">
        <w:t xml:space="preserve">: </w:t>
      </w:r>
      <w:r w:rsidR="007C0C68">
        <w:t xml:space="preserve">history of </w:t>
      </w:r>
      <w:r>
        <w:t>eczema</w:t>
      </w:r>
      <w:r w:rsidR="006F53B3">
        <w:t xml:space="preserve"> </w:t>
      </w:r>
      <w:r w:rsidRPr="00511784">
        <w:t>assessed as unrelated to vaccination.</w:t>
      </w:r>
    </w:p>
    <w:p w14:paraId="14067285" w14:textId="77777777" w:rsidR="00896136" w:rsidRDefault="00896136" w:rsidP="00896136">
      <w:pPr>
        <w:pStyle w:val="ListBullet"/>
      </w:pPr>
      <w:r w:rsidRPr="00511784">
        <w:t>Peripheral neuropathy SMQ:</w:t>
      </w:r>
    </w:p>
    <w:p w14:paraId="566415AE" w14:textId="3A05EEB4" w:rsidR="00896136" w:rsidRDefault="00896136" w:rsidP="00896136">
      <w:pPr>
        <w:pStyle w:val="ListBullet2"/>
      </w:pPr>
      <w:r w:rsidRPr="00511784">
        <w:t>Muscular weakness (1</w:t>
      </w:r>
      <w:r w:rsidR="006F53B3">
        <w:t xml:space="preserve"> out of </w:t>
      </w:r>
      <w:r w:rsidRPr="00511784">
        <w:t>377</w:t>
      </w:r>
      <w:r>
        <w:t>)</w:t>
      </w:r>
      <w:r>
        <w:rPr>
          <w:rFonts w:ascii="TimesNewRoman" w:eastAsia="TimesNewRoman" w:hAnsiTheme="minorHAnsi" w:cs="TimesNewRoman"/>
          <w:sz w:val="24"/>
          <w:szCs w:val="24"/>
        </w:rPr>
        <w:t xml:space="preserve"> </w:t>
      </w:r>
      <w:r>
        <w:t xml:space="preserve">in </w:t>
      </w:r>
      <w:proofErr w:type="gramStart"/>
      <w:r w:rsidRPr="00014C19">
        <w:t>85</w:t>
      </w:r>
      <w:r w:rsidR="006F53B3">
        <w:t xml:space="preserve"> </w:t>
      </w:r>
      <w:r w:rsidRPr="00014C19">
        <w:t>year</w:t>
      </w:r>
      <w:r w:rsidR="006F53B3">
        <w:t xml:space="preserve"> </w:t>
      </w:r>
      <w:r w:rsidRPr="00014C19">
        <w:t>old</w:t>
      </w:r>
      <w:proofErr w:type="gramEnd"/>
      <w:r w:rsidRPr="00014C19">
        <w:t xml:space="preserve"> </w:t>
      </w:r>
      <w:r w:rsidRPr="00511784">
        <w:t>White male</w:t>
      </w:r>
      <w:r w:rsidR="006F53B3">
        <w:t xml:space="preserve"> </w:t>
      </w:r>
      <w:r w:rsidRPr="00511784">
        <w:t xml:space="preserve">resolved on </w:t>
      </w:r>
      <w:r w:rsidR="006F53B3">
        <w:t>s</w:t>
      </w:r>
      <w:r w:rsidRPr="00511784">
        <w:t>tudy Day 25</w:t>
      </w:r>
      <w:r w:rsidR="006F53B3">
        <w:t xml:space="preserve"> </w:t>
      </w:r>
      <w:r w:rsidRPr="00511784">
        <w:t>assessed as unrelated to vaccination.</w:t>
      </w:r>
    </w:p>
    <w:p w14:paraId="58A0AB59" w14:textId="111A3002" w:rsidR="00896136" w:rsidRDefault="00896136" w:rsidP="00896136">
      <w:pPr>
        <w:pStyle w:val="ListBullet"/>
      </w:pPr>
      <w:r>
        <w:t>S</w:t>
      </w:r>
      <w:r w:rsidRPr="001F1627">
        <w:t>ome additional events were</w:t>
      </w:r>
      <w:r>
        <w:t xml:space="preserve"> </w:t>
      </w:r>
      <w:r w:rsidRPr="001F1627">
        <w:t>reported that were captured in SMQs</w:t>
      </w:r>
      <w:r>
        <w:t xml:space="preserve"> but were </w:t>
      </w:r>
      <w:r w:rsidRPr="001F1627">
        <w:t>assessed as unrelated to vaccination</w:t>
      </w:r>
      <w:r w:rsidR="006F53B3">
        <w:t xml:space="preserve">: </w:t>
      </w:r>
      <w:r>
        <w:t>Cardiac failure (1</w:t>
      </w:r>
      <w:r w:rsidR="006F53B3">
        <w:t xml:space="preserve"> out of </w:t>
      </w:r>
      <w:r>
        <w:t>377), Arthritis (1</w:t>
      </w:r>
      <w:r w:rsidR="006F53B3">
        <w:t xml:space="preserve"> out of </w:t>
      </w:r>
      <w:r>
        <w:t>377), Anaemia (1</w:t>
      </w:r>
      <w:r w:rsidR="006F53B3">
        <w:t xml:space="preserve"> out of </w:t>
      </w:r>
      <w:r>
        <w:t>377) and Hypoesthesia (1</w:t>
      </w:r>
      <w:r w:rsidR="006F53B3">
        <w:t xml:space="preserve"> out of </w:t>
      </w:r>
      <w:r>
        <w:t>377).</w:t>
      </w:r>
    </w:p>
    <w:p w14:paraId="26DA47D4" w14:textId="78CF91AC" w:rsidR="00896136" w:rsidRDefault="00896136" w:rsidP="00896136">
      <w:pPr>
        <w:pStyle w:val="Heading6"/>
      </w:pPr>
      <w:r w:rsidRPr="001928CC">
        <w:t xml:space="preserve">Myocarditis and </w:t>
      </w:r>
      <w:r w:rsidR="006F53B3">
        <w:t>p</w:t>
      </w:r>
      <w:r w:rsidRPr="001928CC">
        <w:t xml:space="preserve">ericarditis </w:t>
      </w:r>
      <w:r w:rsidR="006F53B3">
        <w:t>e</w:t>
      </w:r>
      <w:r w:rsidRPr="001928CC">
        <w:t xml:space="preserve">vents </w:t>
      </w:r>
      <w:r w:rsidR="006F53B3">
        <w:t>e</w:t>
      </w:r>
      <w:r w:rsidRPr="001928CC">
        <w:t xml:space="preserve">nhanced </w:t>
      </w:r>
      <w:r w:rsidR="006F53B3">
        <w:t>a</w:t>
      </w:r>
      <w:r w:rsidRPr="001928CC">
        <w:t xml:space="preserve">ssessment </w:t>
      </w:r>
      <w:r w:rsidR="006F53B3">
        <w:t>u</w:t>
      </w:r>
      <w:r w:rsidRPr="001928CC">
        <w:t xml:space="preserve">sing </w:t>
      </w:r>
      <w:r w:rsidR="006F53B3">
        <w:t>c</w:t>
      </w:r>
      <w:r w:rsidRPr="0072024E">
        <w:t xml:space="preserve">ustom MedDRA </w:t>
      </w:r>
      <w:r w:rsidR="006F53B3">
        <w:t>q</w:t>
      </w:r>
      <w:r w:rsidRPr="0072024E">
        <w:t>uery</w:t>
      </w:r>
    </w:p>
    <w:p w14:paraId="1F026955" w14:textId="56B2D7B0" w:rsidR="00896136" w:rsidRDefault="00896136" w:rsidP="00896136">
      <w:r w:rsidRPr="001928CC">
        <w:t>The</w:t>
      </w:r>
      <w:r w:rsidR="006F53B3" w:rsidRPr="006F53B3">
        <w:t xml:space="preserve"> </w:t>
      </w:r>
      <w:r w:rsidR="006F53B3">
        <w:t>c</w:t>
      </w:r>
      <w:r w:rsidR="006F53B3" w:rsidRPr="0072024E">
        <w:t xml:space="preserve">ustom MedDRA </w:t>
      </w:r>
      <w:r w:rsidR="006F53B3">
        <w:t>q</w:t>
      </w:r>
      <w:r w:rsidR="006F53B3" w:rsidRPr="0072024E">
        <w:t>uery</w:t>
      </w:r>
      <w:r w:rsidR="006F53B3" w:rsidRPr="001928CC">
        <w:t xml:space="preserve"> </w:t>
      </w:r>
      <w:r w:rsidRPr="001928CC">
        <w:t>analysis did not identify any cases fulfilling the CDC</w:t>
      </w:r>
      <w:r>
        <w:t xml:space="preserve"> </w:t>
      </w:r>
      <w:r w:rsidRPr="001928CC">
        <w:t>working case definition for probable or confirmed cases of acute myocarditis or acute</w:t>
      </w:r>
      <w:r>
        <w:t xml:space="preserve"> </w:t>
      </w:r>
      <w:r w:rsidRPr="001928CC">
        <w:t xml:space="preserve">pericarditis in </w:t>
      </w:r>
      <w:r w:rsidR="006F53B3">
        <w:t xml:space="preserve">Study </w:t>
      </w:r>
      <w:r w:rsidRPr="001928CC">
        <w:t>P205 Parts G</w:t>
      </w:r>
      <w:r>
        <w:t xml:space="preserve"> and</w:t>
      </w:r>
      <w:r w:rsidRPr="001928CC">
        <w:t xml:space="preserve"> F</w:t>
      </w:r>
      <w:r>
        <w:t xml:space="preserve"> booster dose groups.</w:t>
      </w:r>
    </w:p>
    <w:p w14:paraId="3A8FA923" w14:textId="77777777" w:rsidR="00896136" w:rsidRPr="00AE0015" w:rsidRDefault="00896136" w:rsidP="00896136">
      <w:pPr>
        <w:pStyle w:val="Heading5"/>
      </w:pPr>
      <w:r w:rsidRPr="00AE0015">
        <w:t>Pregnancy</w:t>
      </w:r>
    </w:p>
    <w:p w14:paraId="40573375" w14:textId="7998121B" w:rsidR="00896136" w:rsidRDefault="00896136" w:rsidP="00896136">
      <w:r w:rsidRPr="00AE0015">
        <w:t xml:space="preserve">No pregnancies were reported in the 50 </w:t>
      </w:r>
      <w:proofErr w:type="spellStart"/>
      <w:r w:rsidRPr="00C60F7D">
        <w:t>μg</w:t>
      </w:r>
      <w:proofErr w:type="spellEnd"/>
      <w:r w:rsidRPr="00AE0015">
        <w:t xml:space="preserve"> </w:t>
      </w:r>
      <w:r w:rsidR="00C17644">
        <w:t>bivalent vaccine (</w:t>
      </w:r>
      <w:proofErr w:type="spellStart"/>
      <w:r w:rsidR="00C17644">
        <w:t>elasomeran</w:t>
      </w:r>
      <w:proofErr w:type="spellEnd"/>
      <w:r w:rsidR="00C17644">
        <w:t xml:space="preserve"> + </w:t>
      </w:r>
      <w:proofErr w:type="spellStart"/>
      <w:r w:rsidR="00C17644">
        <w:t>imelasomeran</w:t>
      </w:r>
      <w:proofErr w:type="spellEnd"/>
      <w:r w:rsidR="00C17644">
        <w:t xml:space="preserve">) </w:t>
      </w:r>
      <w:r w:rsidRPr="00AE0015">
        <w:t>booster dose group or in the</w:t>
      </w:r>
      <w:r>
        <w:t xml:space="preserve"> </w:t>
      </w:r>
      <w:r w:rsidRPr="00AE0015">
        <w:t xml:space="preserve">50 </w:t>
      </w:r>
      <w:proofErr w:type="spellStart"/>
      <w:r w:rsidRPr="00E662F7">
        <w:t>μg</w:t>
      </w:r>
      <w:proofErr w:type="spellEnd"/>
      <w:r w:rsidRPr="00AE0015">
        <w:t xml:space="preserve"> </w:t>
      </w:r>
      <w:r w:rsidR="00C17644">
        <w:t>monovalent vaccine (</w:t>
      </w:r>
      <w:proofErr w:type="spellStart"/>
      <w:r w:rsidR="00C17644">
        <w:t>elasomeran</w:t>
      </w:r>
      <w:proofErr w:type="spellEnd"/>
      <w:r w:rsidR="00C17644">
        <w:t xml:space="preserve">) </w:t>
      </w:r>
      <w:r w:rsidRPr="00AE0015">
        <w:t>booster dose group up to the data cut</w:t>
      </w:r>
      <w:r w:rsidR="00C17644">
        <w:t>-</w:t>
      </w:r>
      <w:r w:rsidRPr="00AE0015">
        <w:t>off</w:t>
      </w:r>
      <w:r>
        <w:t>.</w:t>
      </w:r>
    </w:p>
    <w:p w14:paraId="6C5DF3E8" w14:textId="37AB224F" w:rsidR="00896136" w:rsidRPr="00DB36AC" w:rsidRDefault="00896136" w:rsidP="00896136">
      <w:pPr>
        <w:pStyle w:val="Heading5"/>
      </w:pPr>
      <w:r w:rsidRPr="00DB36AC">
        <w:t>Deaths</w:t>
      </w:r>
    </w:p>
    <w:p w14:paraId="6B62F467" w14:textId="12287A19" w:rsidR="00896136" w:rsidRPr="00DB36AC" w:rsidRDefault="00896136" w:rsidP="00896136">
      <w:r w:rsidRPr="00DB36AC">
        <w:t xml:space="preserve">No deaths were reported in either the 50 </w:t>
      </w:r>
      <w:proofErr w:type="spellStart"/>
      <w:r w:rsidRPr="00DB36AC">
        <w:t>μg</w:t>
      </w:r>
      <w:proofErr w:type="spellEnd"/>
      <w:r w:rsidRPr="00DB36AC">
        <w:t xml:space="preserve"> </w:t>
      </w:r>
      <w:r w:rsidR="00C17644">
        <w:t>bivalent vaccine (</w:t>
      </w:r>
      <w:proofErr w:type="spellStart"/>
      <w:r w:rsidR="00C17644">
        <w:t>elasomeran</w:t>
      </w:r>
      <w:proofErr w:type="spellEnd"/>
      <w:r w:rsidR="00C17644">
        <w:t xml:space="preserve"> + </w:t>
      </w:r>
      <w:proofErr w:type="spellStart"/>
      <w:r w:rsidR="00C17644">
        <w:t>imelasomeran</w:t>
      </w:r>
      <w:proofErr w:type="spellEnd"/>
      <w:r w:rsidR="00C17644" w:rsidRPr="00DB36AC" w:rsidDel="00C17644">
        <w:t xml:space="preserve"> </w:t>
      </w:r>
      <w:r w:rsidRPr="00DB36AC">
        <w:t xml:space="preserve">booster dose group or the 50 </w:t>
      </w:r>
      <w:proofErr w:type="spellStart"/>
      <w:r w:rsidRPr="00DB36AC">
        <w:t>μg</w:t>
      </w:r>
      <w:proofErr w:type="spellEnd"/>
      <w:r w:rsidRPr="00DB36AC">
        <w:t xml:space="preserve"> </w:t>
      </w:r>
      <w:r w:rsidR="00C17644">
        <w:t>monovalent vaccine (</w:t>
      </w:r>
      <w:proofErr w:type="spellStart"/>
      <w:r w:rsidR="00C17644">
        <w:t>elasomeran</w:t>
      </w:r>
      <w:proofErr w:type="spellEnd"/>
      <w:r w:rsidR="00C17644">
        <w:t xml:space="preserve">) </w:t>
      </w:r>
      <w:r w:rsidRPr="00DB36AC">
        <w:t>booster dose group.</w:t>
      </w:r>
    </w:p>
    <w:p w14:paraId="4E470DA0" w14:textId="1379BC05" w:rsidR="00896136" w:rsidRPr="00DB36AC" w:rsidRDefault="00896136" w:rsidP="00896136">
      <w:pPr>
        <w:pStyle w:val="Heading5"/>
      </w:pPr>
      <w:r w:rsidRPr="00DB36AC">
        <w:t xml:space="preserve">Other </w:t>
      </w:r>
      <w:r>
        <w:t>serious adverse events</w:t>
      </w:r>
    </w:p>
    <w:p w14:paraId="16E296DB" w14:textId="35E0D199" w:rsidR="00896136" w:rsidRPr="00DB36AC" w:rsidRDefault="00896136" w:rsidP="00896136">
      <w:r w:rsidRPr="00DB36AC">
        <w:t>In</w:t>
      </w:r>
      <w:r w:rsidR="006F53B3">
        <w:t xml:space="preserve"> Study </w:t>
      </w:r>
      <w:r w:rsidRPr="00DB36AC">
        <w:t xml:space="preserve">P205 Part G, there were </w:t>
      </w:r>
      <w:r w:rsidR="006F53B3">
        <w:t>three</w:t>
      </w:r>
      <w:r w:rsidRPr="00DB36AC">
        <w:t xml:space="preserve"> participants (0.7%) who had one SAE each at the time of the data </w:t>
      </w:r>
      <w:r w:rsidR="00C17644" w:rsidRPr="00DB36AC">
        <w:t>cut-off</w:t>
      </w:r>
      <w:r w:rsidRPr="00DB36AC">
        <w:t>.</w:t>
      </w:r>
    </w:p>
    <w:p w14:paraId="0DC22056" w14:textId="70DC4DAC" w:rsidR="00896136" w:rsidRPr="00DB36AC" w:rsidRDefault="00896136" w:rsidP="00896136">
      <w:r w:rsidRPr="00DB36AC">
        <w:t xml:space="preserve">In the </w:t>
      </w:r>
      <w:r w:rsidR="00C17644">
        <w:t>bivalent vaccine (</w:t>
      </w:r>
      <w:proofErr w:type="spellStart"/>
      <w:r w:rsidR="00C17644">
        <w:t>elasomeran</w:t>
      </w:r>
      <w:proofErr w:type="spellEnd"/>
      <w:r w:rsidR="00C17644">
        <w:t xml:space="preserve"> + </w:t>
      </w:r>
      <w:proofErr w:type="spellStart"/>
      <w:r w:rsidR="00C17644">
        <w:t>imelasomeran</w:t>
      </w:r>
      <w:proofErr w:type="spellEnd"/>
      <w:r w:rsidR="00C17644">
        <w:t xml:space="preserve">) </w:t>
      </w:r>
      <w:r w:rsidRPr="00DB36AC">
        <w:t xml:space="preserve">50 </w:t>
      </w:r>
      <w:proofErr w:type="spellStart"/>
      <w:r w:rsidRPr="00DB36AC">
        <w:t>μg</w:t>
      </w:r>
      <w:proofErr w:type="spellEnd"/>
      <w:r w:rsidRPr="00DB36AC">
        <w:t xml:space="preserve"> booster dose group (</w:t>
      </w:r>
      <w:r w:rsidR="006F53B3">
        <w:t xml:space="preserve">Study P205 </w:t>
      </w:r>
      <w:r w:rsidRPr="00DB36AC">
        <w:t xml:space="preserve">Part G), </w:t>
      </w:r>
      <w:r w:rsidR="006F53B3">
        <w:t>two</w:t>
      </w:r>
      <w:r w:rsidRPr="00DB36AC">
        <w:t xml:space="preserve"> participants (0.5%) had one SAE each within 28 days of the booster dose and both SAEs were assessed as not related to vaccination by the </w:t>
      </w:r>
      <w:r w:rsidR="006F53B3">
        <w:t>i</w:t>
      </w:r>
      <w:r w:rsidRPr="00DB36AC">
        <w:t>nvestigator.</w:t>
      </w:r>
    </w:p>
    <w:p w14:paraId="6B5F2F5F" w14:textId="256FB8BD" w:rsidR="00896136" w:rsidRPr="00DB36AC" w:rsidRDefault="00896136" w:rsidP="00896136">
      <w:r w:rsidRPr="00DB36AC">
        <w:lastRenderedPageBreak/>
        <w:t xml:space="preserve">In the 50 </w:t>
      </w:r>
      <w:proofErr w:type="spellStart"/>
      <w:r w:rsidRPr="00DB36AC">
        <w:t>μg</w:t>
      </w:r>
      <w:proofErr w:type="spellEnd"/>
      <w:r w:rsidR="00C17644">
        <w:t xml:space="preserve"> bivalent vaccine (</w:t>
      </w:r>
      <w:proofErr w:type="spellStart"/>
      <w:r w:rsidR="00C17644">
        <w:t>elasomeran</w:t>
      </w:r>
      <w:proofErr w:type="spellEnd"/>
      <w:r w:rsidR="00C17644">
        <w:t xml:space="preserve"> + </w:t>
      </w:r>
      <w:proofErr w:type="spellStart"/>
      <w:r w:rsidR="00C17644">
        <w:t>imelasomeran</w:t>
      </w:r>
      <w:proofErr w:type="spellEnd"/>
      <w:r w:rsidRPr="00DB36AC">
        <w:t xml:space="preserve"> booster dose group (</w:t>
      </w:r>
      <w:r w:rsidR="006F53B3">
        <w:t xml:space="preserve">Study P205 </w:t>
      </w:r>
      <w:r w:rsidRPr="00DB36AC">
        <w:t xml:space="preserve">Part G), </w:t>
      </w:r>
      <w:r w:rsidR="006F53B3">
        <w:t>one</w:t>
      </w:r>
      <w:r w:rsidRPr="00DB36AC">
        <w:t xml:space="preserve"> participant had an SAE beyond 28 days after the booster dose that was assessed by the </w:t>
      </w:r>
      <w:r w:rsidR="006F53B3">
        <w:t>i</w:t>
      </w:r>
      <w:r w:rsidRPr="00DB36AC">
        <w:t>nvestigator as not related to vaccination.</w:t>
      </w:r>
    </w:p>
    <w:p w14:paraId="3DA94F31" w14:textId="3CADF9DD" w:rsidR="00896136" w:rsidRPr="00DB36AC" w:rsidRDefault="00896136" w:rsidP="00896136">
      <w:r w:rsidRPr="00DB36AC">
        <w:t xml:space="preserve">In the 50 </w:t>
      </w:r>
      <w:proofErr w:type="spellStart"/>
      <w:r w:rsidRPr="00DB36AC">
        <w:t>μg</w:t>
      </w:r>
      <w:proofErr w:type="spellEnd"/>
      <w:r w:rsidRPr="00DB36AC">
        <w:t xml:space="preserve"> </w:t>
      </w:r>
      <w:r w:rsidR="00C17644">
        <w:t>monovalent vaccine (</w:t>
      </w:r>
      <w:proofErr w:type="spellStart"/>
      <w:r w:rsidR="00C17644">
        <w:t>elasomeran</w:t>
      </w:r>
      <w:proofErr w:type="spellEnd"/>
      <w:r w:rsidR="00C17644">
        <w:t xml:space="preserve">) </w:t>
      </w:r>
      <w:r w:rsidRPr="00DB36AC">
        <w:t>booster dose group (</w:t>
      </w:r>
      <w:r w:rsidR="006F53B3">
        <w:t xml:space="preserve">Study P205 </w:t>
      </w:r>
      <w:r w:rsidRPr="00DB36AC">
        <w:t xml:space="preserve">Part F), </w:t>
      </w:r>
      <w:r w:rsidR="006F53B3">
        <w:t>one</w:t>
      </w:r>
      <w:r w:rsidRPr="00DB36AC">
        <w:t xml:space="preserve"> participant (0.3%) had an SAE within 28 days of the booster dose and the SAE was assessed as not related to vaccination by the </w:t>
      </w:r>
      <w:r w:rsidR="006F53B3">
        <w:t>i</w:t>
      </w:r>
      <w:r w:rsidRPr="00DB36AC">
        <w:t>nvestigator.</w:t>
      </w:r>
    </w:p>
    <w:p w14:paraId="234FD20F" w14:textId="6C01F43E" w:rsidR="00896136" w:rsidRDefault="00896136" w:rsidP="00896136">
      <w:r w:rsidRPr="00DB36AC">
        <w:t xml:space="preserve">In the 50 </w:t>
      </w:r>
      <w:proofErr w:type="spellStart"/>
      <w:r w:rsidRPr="00DB36AC">
        <w:t>μg</w:t>
      </w:r>
      <w:proofErr w:type="spellEnd"/>
      <w:r w:rsidRPr="00DB36AC">
        <w:t xml:space="preserve"> </w:t>
      </w:r>
      <w:r w:rsidR="00C17644">
        <w:t>monovalent vaccine (</w:t>
      </w:r>
      <w:proofErr w:type="spellStart"/>
      <w:r w:rsidR="00C17644">
        <w:t>elasomeran</w:t>
      </w:r>
      <w:proofErr w:type="spellEnd"/>
      <w:r w:rsidR="00C17644">
        <w:t xml:space="preserve">) </w:t>
      </w:r>
      <w:r w:rsidRPr="00DB36AC">
        <w:t>booster dose group (</w:t>
      </w:r>
      <w:r w:rsidR="006F53B3">
        <w:t xml:space="preserve">Study P205 </w:t>
      </w:r>
      <w:r w:rsidRPr="00DB36AC">
        <w:t>Part F), no participants had an SAE beyond 28 days from the booster dose at the time of the data cut</w:t>
      </w:r>
      <w:r w:rsidR="00E52CC3">
        <w:t>-</w:t>
      </w:r>
      <w:r w:rsidRPr="00DB36AC">
        <w:t>off date (27 Apr</w:t>
      </w:r>
      <w:r w:rsidR="006F53B3">
        <w:t>il</w:t>
      </w:r>
      <w:r w:rsidRPr="00DB36AC">
        <w:t xml:space="preserve"> 2022).</w:t>
      </w:r>
    </w:p>
    <w:p w14:paraId="12F88124" w14:textId="77777777" w:rsidR="008E7846" w:rsidRPr="000B7D36" w:rsidRDefault="00386150" w:rsidP="007B6132">
      <w:pPr>
        <w:pStyle w:val="Heading3"/>
        <w:rPr>
          <w:lang w:eastAsia="en-AU"/>
        </w:rPr>
      </w:pPr>
      <w:bookmarkStart w:id="64" w:name="_Toc314842514"/>
      <w:bookmarkStart w:id="65" w:name="_Toc112833628"/>
      <w:r w:rsidRPr="000B7D36">
        <w:rPr>
          <w:lang w:eastAsia="en-AU"/>
        </w:rPr>
        <w:t>Risk m</w:t>
      </w:r>
      <w:r w:rsidR="008E7846" w:rsidRPr="000B7D36">
        <w:rPr>
          <w:lang w:eastAsia="en-AU"/>
        </w:rPr>
        <w:t xml:space="preserve">anagement </w:t>
      </w:r>
      <w:r w:rsidRPr="000B7D36">
        <w:rPr>
          <w:lang w:eastAsia="en-AU"/>
        </w:rPr>
        <w:t>p</w:t>
      </w:r>
      <w:r w:rsidR="008E7846" w:rsidRPr="000B7D36">
        <w:rPr>
          <w:lang w:eastAsia="en-AU"/>
        </w:rPr>
        <w:t>lan</w:t>
      </w:r>
      <w:bookmarkEnd w:id="64"/>
      <w:bookmarkEnd w:id="65"/>
    </w:p>
    <w:p w14:paraId="524FD1C7" w14:textId="56B4F670" w:rsidR="00A67C77" w:rsidRDefault="00A67C77" w:rsidP="00A67C77">
      <w:bookmarkStart w:id="66" w:name="_Toc247691531"/>
      <w:bookmarkStart w:id="67" w:name="_Toc314842515"/>
      <w:bookmarkStart w:id="68" w:name="_Toc196046505"/>
      <w:bookmarkStart w:id="69" w:name="_Toc196046949"/>
      <w:r>
        <w:t>The sponsor has submitted EU-risk management plan (RMP) version 4.2 (date 28</w:t>
      </w:r>
      <w:r w:rsidR="00E52CC3">
        <w:t> </w:t>
      </w:r>
      <w:r>
        <w:t>June</w:t>
      </w:r>
      <w:r w:rsidR="00E52CC3">
        <w:t> </w:t>
      </w:r>
      <w:r>
        <w:t>2022; data lock point (DLP) 27 April 2022) and Australia specific annex (ASA) version 1.0 (date 8 July 2022) in support of this application.</w:t>
      </w:r>
    </w:p>
    <w:p w14:paraId="3D8D8404" w14:textId="0B4ACC37" w:rsidR="0074163C" w:rsidRDefault="0074163C" w:rsidP="0074163C">
      <w:r w:rsidRPr="000B7D36">
        <w:t xml:space="preserve">The summary of safety concerns and their associated risk monitoring and mitigation strategies are summarised in </w:t>
      </w:r>
      <w:r w:rsidR="006F53B3" w:rsidRPr="000B7D36">
        <w:fldChar w:fldCharType="begin"/>
      </w:r>
      <w:r w:rsidR="006F53B3" w:rsidRPr="000B7D36">
        <w:instrText xml:space="preserve"> REF _Ref97629131 \h  \* MERGEFORMAT </w:instrText>
      </w:r>
      <w:r w:rsidR="006F53B3" w:rsidRPr="000B7D36">
        <w:fldChar w:fldCharType="separate"/>
      </w:r>
      <w:r w:rsidR="00D102F3" w:rsidRPr="000B7D36">
        <w:t xml:space="preserve">Table </w:t>
      </w:r>
      <w:r w:rsidR="00D102F3">
        <w:rPr>
          <w:noProof/>
        </w:rPr>
        <w:t>16</w:t>
      </w:r>
      <w:r w:rsidR="006F53B3" w:rsidRPr="000B7D36">
        <w:fldChar w:fldCharType="end"/>
      </w:r>
      <w:r w:rsidRPr="000B7D36">
        <w:t xml:space="preserve"> Further information regarding </w:t>
      </w:r>
      <w:r w:rsidR="00CC5044" w:rsidRPr="000B7D36">
        <w:t>the TGA</w:t>
      </w:r>
      <w:r w:rsidR="00BF7063" w:rsidRPr="000B7D36">
        <w:t>’</w:t>
      </w:r>
      <w:r w:rsidR="00CC5044" w:rsidRPr="000B7D36">
        <w:t>s r</w:t>
      </w:r>
      <w:r w:rsidRPr="000B7D36">
        <w:t xml:space="preserve">isk management approach can be found in </w:t>
      </w:r>
      <w:hyperlink r:id="rId30" w:history="1">
        <w:r w:rsidRPr="000B7D36">
          <w:rPr>
            <w:rStyle w:val="Hyperlink"/>
          </w:rPr>
          <w:t>risk management plans for medicines and biologicals</w:t>
        </w:r>
      </w:hyperlink>
      <w:r w:rsidRPr="000B7D36">
        <w:t xml:space="preserve"> and </w:t>
      </w:r>
      <w:hyperlink r:id="rId31" w:history="1">
        <w:r w:rsidRPr="000B7D36">
          <w:rPr>
            <w:rStyle w:val="Hyperlink"/>
          </w:rPr>
          <w:t>the TGA's risk management approach</w:t>
        </w:r>
      </w:hyperlink>
      <w:r w:rsidRPr="000B7D36">
        <w:t>.</w:t>
      </w:r>
    </w:p>
    <w:p w14:paraId="790E548F" w14:textId="5AF38B67" w:rsidR="0074163C" w:rsidRDefault="0074163C" w:rsidP="0074163C">
      <w:pPr>
        <w:pStyle w:val="TableTitle"/>
      </w:pPr>
      <w:bookmarkStart w:id="70" w:name="_Ref97629131"/>
      <w:r w:rsidRPr="000B7D36">
        <w:t xml:space="preserve">Table </w:t>
      </w:r>
      <w:r w:rsidR="00F43EA9">
        <w:fldChar w:fldCharType="begin"/>
      </w:r>
      <w:r w:rsidR="00F43EA9">
        <w:instrText xml:space="preserve"> SEQ Table \* ARABIC </w:instrText>
      </w:r>
      <w:r w:rsidR="00F43EA9">
        <w:fldChar w:fldCharType="separate"/>
      </w:r>
      <w:r w:rsidR="00D102F3">
        <w:rPr>
          <w:noProof/>
        </w:rPr>
        <w:t>16</w:t>
      </w:r>
      <w:r w:rsidR="00F43EA9">
        <w:rPr>
          <w:noProof/>
        </w:rPr>
        <w:fldChar w:fldCharType="end"/>
      </w:r>
      <w:bookmarkEnd w:id="70"/>
      <w:r w:rsidRPr="000B7D36">
        <w:t>: Summary of safety concerns</w:t>
      </w:r>
    </w:p>
    <w:tbl>
      <w:tblPr>
        <w:tblStyle w:val="TableTGAblue"/>
        <w:tblW w:w="5000" w:type="pct"/>
        <w:tblLook w:val="04A0" w:firstRow="1" w:lastRow="0" w:firstColumn="1" w:lastColumn="0" w:noHBand="0" w:noVBand="1"/>
      </w:tblPr>
      <w:tblGrid>
        <w:gridCol w:w="1612"/>
        <w:gridCol w:w="2356"/>
        <w:gridCol w:w="1147"/>
        <w:gridCol w:w="1193"/>
        <w:gridCol w:w="994"/>
        <w:gridCol w:w="1192"/>
      </w:tblGrid>
      <w:tr w:rsidR="000B7D36" w:rsidRPr="00BF52F4" w14:paraId="406B803E" w14:textId="77777777" w:rsidTr="000B7D36">
        <w:trPr>
          <w:cnfStyle w:val="100000000000" w:firstRow="1" w:lastRow="0" w:firstColumn="0" w:lastColumn="0" w:oddVBand="0" w:evenVBand="0" w:oddHBand="0" w:evenHBand="0" w:firstRowFirstColumn="0" w:firstRowLastColumn="0" w:lastRowFirstColumn="0" w:lastRowLastColumn="0"/>
          <w:trHeight w:val="131"/>
        </w:trPr>
        <w:tc>
          <w:tcPr>
            <w:tcW w:w="2336" w:type="pct"/>
            <w:gridSpan w:val="2"/>
            <w:vMerge w:val="restart"/>
            <w:tcBorders>
              <w:top w:val="single" w:sz="4" w:space="0" w:color="auto"/>
              <w:left w:val="single" w:sz="4" w:space="0" w:color="auto"/>
              <w:bottom w:val="single" w:sz="4" w:space="0" w:color="auto"/>
              <w:right w:val="single" w:sz="4" w:space="0" w:color="auto"/>
            </w:tcBorders>
          </w:tcPr>
          <w:p w14:paraId="2EF1896C" w14:textId="77777777" w:rsidR="000B7D36" w:rsidRPr="00BF52F4" w:rsidRDefault="000B7D36" w:rsidP="00B160E6">
            <w:pPr>
              <w:pStyle w:val="Tabletext"/>
              <w:rPr>
                <w:b w:val="0"/>
              </w:rPr>
            </w:pPr>
            <w:r w:rsidRPr="00BF52F4">
              <w:t>Summary of safety concerns</w:t>
            </w:r>
          </w:p>
        </w:tc>
        <w:tc>
          <w:tcPr>
            <w:tcW w:w="1378" w:type="pct"/>
            <w:gridSpan w:val="2"/>
            <w:tcBorders>
              <w:top w:val="single" w:sz="4" w:space="0" w:color="auto"/>
              <w:left w:val="single" w:sz="4" w:space="0" w:color="auto"/>
              <w:bottom w:val="single" w:sz="4" w:space="0" w:color="auto"/>
              <w:right w:val="single" w:sz="4" w:space="0" w:color="auto"/>
            </w:tcBorders>
          </w:tcPr>
          <w:p w14:paraId="0331C4DC" w14:textId="77777777" w:rsidR="000B7D36" w:rsidRPr="00BF52F4" w:rsidRDefault="000B7D36" w:rsidP="00B160E6">
            <w:pPr>
              <w:pStyle w:val="Tabletext"/>
              <w:rPr>
                <w:b w:val="0"/>
                <w:sz w:val="18"/>
              </w:rPr>
            </w:pPr>
            <w:r w:rsidRPr="00BF52F4">
              <w:rPr>
                <w:sz w:val="18"/>
              </w:rPr>
              <w:t>Pharmacovigilance</w:t>
            </w:r>
          </w:p>
        </w:tc>
        <w:tc>
          <w:tcPr>
            <w:tcW w:w="1286" w:type="pct"/>
            <w:gridSpan w:val="2"/>
            <w:tcBorders>
              <w:top w:val="single" w:sz="4" w:space="0" w:color="auto"/>
              <w:left w:val="single" w:sz="4" w:space="0" w:color="auto"/>
              <w:bottom w:val="single" w:sz="4" w:space="0" w:color="auto"/>
              <w:right w:val="single" w:sz="4" w:space="0" w:color="auto"/>
            </w:tcBorders>
          </w:tcPr>
          <w:p w14:paraId="2759F07C" w14:textId="77777777" w:rsidR="000B7D36" w:rsidRPr="00BF52F4" w:rsidRDefault="000B7D36" w:rsidP="00B160E6">
            <w:pPr>
              <w:pStyle w:val="Tabletext"/>
              <w:rPr>
                <w:b w:val="0"/>
                <w:sz w:val="18"/>
              </w:rPr>
            </w:pPr>
            <w:r w:rsidRPr="00BF52F4">
              <w:rPr>
                <w:sz w:val="18"/>
              </w:rPr>
              <w:t>Risk Minimisation</w:t>
            </w:r>
          </w:p>
        </w:tc>
      </w:tr>
      <w:tr w:rsidR="000B7D36" w:rsidRPr="00BF52F4" w14:paraId="092489CD" w14:textId="77777777" w:rsidTr="000B7D36">
        <w:trPr>
          <w:trHeight w:val="150"/>
        </w:trPr>
        <w:tc>
          <w:tcPr>
            <w:tcW w:w="2336" w:type="pct"/>
            <w:gridSpan w:val="2"/>
            <w:vMerge/>
            <w:tcBorders>
              <w:top w:val="single" w:sz="4" w:space="0" w:color="auto"/>
              <w:left w:val="single" w:sz="4" w:space="0" w:color="auto"/>
              <w:bottom w:val="single" w:sz="4" w:space="0" w:color="auto"/>
              <w:right w:val="single" w:sz="4" w:space="0" w:color="auto"/>
            </w:tcBorders>
          </w:tcPr>
          <w:p w14:paraId="7723A808" w14:textId="77777777" w:rsidR="000B7D36" w:rsidRPr="00BF52F4" w:rsidRDefault="000B7D36" w:rsidP="00B160E6">
            <w:pPr>
              <w:pStyle w:val="Tabletext"/>
              <w:rPr>
                <w:b/>
              </w:rPr>
            </w:pPr>
          </w:p>
        </w:tc>
        <w:tc>
          <w:tcPr>
            <w:tcW w:w="676" w:type="pct"/>
            <w:tcBorders>
              <w:top w:val="single" w:sz="4" w:space="0" w:color="auto"/>
              <w:left w:val="single" w:sz="4" w:space="0" w:color="auto"/>
              <w:bottom w:val="single" w:sz="4" w:space="0" w:color="auto"/>
              <w:right w:val="single" w:sz="4" w:space="0" w:color="auto"/>
            </w:tcBorders>
            <w:shd w:val="clear" w:color="auto" w:fill="006DA7"/>
          </w:tcPr>
          <w:p w14:paraId="2DF22F1F" w14:textId="77777777" w:rsidR="000B7D36" w:rsidRPr="000B7D36" w:rsidRDefault="000B7D36" w:rsidP="000B7D36">
            <w:pPr>
              <w:pStyle w:val="Tabletext"/>
              <w:ind w:left="0"/>
              <w:rPr>
                <w:color w:val="FFFFFF" w:themeColor="background1"/>
                <w:sz w:val="18"/>
              </w:rPr>
            </w:pPr>
            <w:r w:rsidRPr="000B7D36">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3F06879C" w14:textId="77777777" w:rsidR="000B7D36" w:rsidRPr="000B7D36" w:rsidRDefault="000B7D36" w:rsidP="000B7D36">
            <w:pPr>
              <w:pStyle w:val="Tabletext"/>
              <w:ind w:left="0"/>
              <w:rPr>
                <w:color w:val="FFFFFF" w:themeColor="background1"/>
                <w:sz w:val="18"/>
              </w:rPr>
            </w:pPr>
            <w:r w:rsidRPr="000B7D36">
              <w:rPr>
                <w:color w:val="FFFFFF" w:themeColor="background1"/>
                <w:sz w:val="18"/>
              </w:rPr>
              <w:t>Additional</w:t>
            </w:r>
          </w:p>
        </w:tc>
        <w:tc>
          <w:tcPr>
            <w:tcW w:w="585" w:type="pct"/>
            <w:tcBorders>
              <w:top w:val="single" w:sz="4" w:space="0" w:color="auto"/>
              <w:left w:val="single" w:sz="4" w:space="0" w:color="auto"/>
              <w:bottom w:val="single" w:sz="4" w:space="0" w:color="auto"/>
              <w:right w:val="single" w:sz="4" w:space="0" w:color="auto"/>
            </w:tcBorders>
            <w:shd w:val="clear" w:color="auto" w:fill="006DA7"/>
          </w:tcPr>
          <w:p w14:paraId="788D5338" w14:textId="77777777" w:rsidR="000B7D36" w:rsidRPr="000B7D36" w:rsidRDefault="000B7D36" w:rsidP="000B7D36">
            <w:pPr>
              <w:pStyle w:val="Tabletext"/>
              <w:ind w:left="0"/>
              <w:rPr>
                <w:color w:val="FFFFFF" w:themeColor="background1"/>
                <w:sz w:val="18"/>
              </w:rPr>
            </w:pPr>
            <w:r w:rsidRPr="000B7D36">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60BE8C98" w14:textId="77777777" w:rsidR="000B7D36" w:rsidRPr="000B7D36" w:rsidRDefault="000B7D36" w:rsidP="000B7D36">
            <w:pPr>
              <w:pStyle w:val="Tabletext"/>
              <w:ind w:left="0"/>
              <w:rPr>
                <w:color w:val="FFFFFF" w:themeColor="background1"/>
                <w:sz w:val="18"/>
              </w:rPr>
            </w:pPr>
            <w:r w:rsidRPr="000B7D36">
              <w:rPr>
                <w:color w:val="FFFFFF" w:themeColor="background1"/>
                <w:sz w:val="18"/>
              </w:rPr>
              <w:t>Additional</w:t>
            </w:r>
          </w:p>
        </w:tc>
      </w:tr>
      <w:tr w:rsidR="000B7D36" w:rsidRPr="00BF52F4" w14:paraId="11B54F76" w14:textId="77777777" w:rsidTr="000B7D36">
        <w:trPr>
          <w:trHeight w:val="94"/>
        </w:trPr>
        <w:tc>
          <w:tcPr>
            <w:tcW w:w="949" w:type="pct"/>
            <w:vMerge w:val="restart"/>
            <w:tcBorders>
              <w:top w:val="single" w:sz="4" w:space="0" w:color="auto"/>
            </w:tcBorders>
          </w:tcPr>
          <w:p w14:paraId="59C72422" w14:textId="77777777" w:rsidR="000B7D36" w:rsidRPr="00BF52F4" w:rsidRDefault="000B7D36" w:rsidP="00B160E6">
            <w:pPr>
              <w:pStyle w:val="Tabletext"/>
              <w:rPr>
                <w:b/>
              </w:rPr>
            </w:pPr>
            <w:r>
              <w:rPr>
                <w:b/>
              </w:rPr>
              <w:t>Important identified risks</w:t>
            </w:r>
          </w:p>
        </w:tc>
        <w:tc>
          <w:tcPr>
            <w:tcW w:w="1387" w:type="pct"/>
            <w:tcBorders>
              <w:top w:val="single" w:sz="4" w:space="0" w:color="auto"/>
            </w:tcBorders>
          </w:tcPr>
          <w:p w14:paraId="47C22210" w14:textId="77777777" w:rsidR="000B7D36" w:rsidRPr="00BF52F4" w:rsidRDefault="000B7D36" w:rsidP="00B160E6">
            <w:pPr>
              <w:pStyle w:val="Tabletext"/>
            </w:pPr>
            <w:r w:rsidRPr="00D6432E">
              <w:t xml:space="preserve">Myocarditis </w:t>
            </w:r>
          </w:p>
        </w:tc>
        <w:tc>
          <w:tcPr>
            <w:tcW w:w="676" w:type="pct"/>
            <w:tcBorders>
              <w:top w:val="single" w:sz="4" w:space="0" w:color="auto"/>
            </w:tcBorders>
          </w:tcPr>
          <w:p w14:paraId="7DA1A75C" w14:textId="77777777" w:rsidR="000B7D36" w:rsidRPr="00885848" w:rsidRDefault="000B7D36" w:rsidP="00B160E6">
            <w:pPr>
              <w:pStyle w:val="Tabletext"/>
              <w:jc w:val="center"/>
            </w:pPr>
            <w:r w:rsidRPr="00885848">
              <w:sym w:font="Wingdings" w:char="F0FC"/>
            </w:r>
            <w:r w:rsidRPr="00885848">
              <w:rPr>
                <w:rFonts w:asciiTheme="majorHAnsi" w:hAnsiTheme="majorHAnsi"/>
                <w:sz w:val="16"/>
                <w:szCs w:val="16"/>
              </w:rPr>
              <w:t>*</w:t>
            </w:r>
          </w:p>
        </w:tc>
        <w:tc>
          <w:tcPr>
            <w:tcW w:w="702" w:type="pct"/>
            <w:tcBorders>
              <w:top w:val="single" w:sz="4" w:space="0" w:color="auto"/>
            </w:tcBorders>
          </w:tcPr>
          <w:p w14:paraId="3D9E75AC" w14:textId="77777777" w:rsidR="000B7D36" w:rsidRPr="00885848" w:rsidRDefault="000B7D36" w:rsidP="00B160E6">
            <w:pPr>
              <w:pStyle w:val="Tabletext"/>
              <w:jc w:val="center"/>
            </w:pPr>
            <w:r w:rsidRPr="00885848">
              <w:sym w:font="Wingdings" w:char="F0FC"/>
            </w:r>
            <w:r w:rsidRPr="00885848">
              <w:rPr>
                <w:rFonts w:asciiTheme="majorHAnsi" w:hAnsiTheme="majorHAnsi"/>
                <w:sz w:val="16"/>
                <w:szCs w:val="16"/>
                <w:vertAlign w:val="superscript"/>
              </w:rPr>
              <w:t>†</w:t>
            </w:r>
          </w:p>
        </w:tc>
        <w:tc>
          <w:tcPr>
            <w:tcW w:w="585" w:type="pct"/>
            <w:tcBorders>
              <w:top w:val="single" w:sz="4" w:space="0" w:color="auto"/>
            </w:tcBorders>
          </w:tcPr>
          <w:p w14:paraId="03152E11" w14:textId="77777777" w:rsidR="000B7D36" w:rsidRPr="00885848" w:rsidRDefault="000B7D36" w:rsidP="00B160E6">
            <w:pPr>
              <w:pStyle w:val="Tabletext"/>
              <w:jc w:val="center"/>
            </w:pPr>
            <w:r w:rsidRPr="00885848">
              <w:sym w:font="Wingdings" w:char="F0FC"/>
            </w:r>
          </w:p>
        </w:tc>
        <w:tc>
          <w:tcPr>
            <w:tcW w:w="702" w:type="pct"/>
            <w:tcBorders>
              <w:top w:val="single" w:sz="4" w:space="0" w:color="auto"/>
            </w:tcBorders>
          </w:tcPr>
          <w:p w14:paraId="5E94E8D6" w14:textId="77777777" w:rsidR="000B7D36" w:rsidRPr="00885848" w:rsidRDefault="000B7D36" w:rsidP="00B160E6">
            <w:pPr>
              <w:pStyle w:val="Tabletext"/>
              <w:jc w:val="center"/>
            </w:pPr>
            <w:r w:rsidRPr="00885848">
              <w:t>–</w:t>
            </w:r>
          </w:p>
        </w:tc>
      </w:tr>
      <w:tr w:rsidR="000B7D36" w:rsidRPr="00BF52F4" w14:paraId="0CE21A72" w14:textId="77777777" w:rsidTr="000B7D36">
        <w:trPr>
          <w:trHeight w:val="187"/>
        </w:trPr>
        <w:tc>
          <w:tcPr>
            <w:tcW w:w="949" w:type="pct"/>
            <w:vMerge/>
          </w:tcPr>
          <w:p w14:paraId="73B613B1" w14:textId="77777777" w:rsidR="000B7D36" w:rsidRPr="00BF52F4" w:rsidRDefault="000B7D36" w:rsidP="00B160E6">
            <w:pPr>
              <w:pStyle w:val="Tabletext"/>
              <w:rPr>
                <w:b/>
              </w:rPr>
            </w:pPr>
          </w:p>
        </w:tc>
        <w:tc>
          <w:tcPr>
            <w:tcW w:w="1387" w:type="pct"/>
          </w:tcPr>
          <w:p w14:paraId="2B1E657D" w14:textId="77777777" w:rsidR="000B7D36" w:rsidRPr="00BF52F4" w:rsidRDefault="000B7D36" w:rsidP="00B160E6">
            <w:pPr>
              <w:pStyle w:val="Tabletext"/>
            </w:pPr>
            <w:r w:rsidRPr="00D6432E">
              <w:t>Pericarditis</w:t>
            </w:r>
          </w:p>
        </w:tc>
        <w:tc>
          <w:tcPr>
            <w:tcW w:w="676" w:type="pct"/>
          </w:tcPr>
          <w:p w14:paraId="48282D5F" w14:textId="77777777" w:rsidR="000B7D36" w:rsidRPr="00885848" w:rsidRDefault="000B7D36" w:rsidP="00B160E6">
            <w:pPr>
              <w:pStyle w:val="Tabletext"/>
              <w:jc w:val="center"/>
            </w:pPr>
            <w:r w:rsidRPr="00885848">
              <w:sym w:font="Wingdings" w:char="F0FC"/>
            </w:r>
            <w:r w:rsidRPr="00885848">
              <w:rPr>
                <w:rFonts w:asciiTheme="majorHAnsi" w:hAnsiTheme="majorHAnsi"/>
                <w:sz w:val="16"/>
                <w:szCs w:val="16"/>
              </w:rPr>
              <w:t>*</w:t>
            </w:r>
          </w:p>
        </w:tc>
        <w:tc>
          <w:tcPr>
            <w:tcW w:w="702" w:type="pct"/>
          </w:tcPr>
          <w:p w14:paraId="486181DC" w14:textId="77777777" w:rsidR="000B7D36" w:rsidRPr="00885848" w:rsidRDefault="000B7D36" w:rsidP="00B160E6">
            <w:pPr>
              <w:pStyle w:val="Tabletext"/>
              <w:jc w:val="center"/>
            </w:pPr>
            <w:r w:rsidRPr="00885848">
              <w:sym w:font="Wingdings" w:char="F0FC"/>
            </w:r>
            <w:r w:rsidRPr="00885848">
              <w:rPr>
                <w:rFonts w:asciiTheme="majorHAnsi" w:hAnsiTheme="majorHAnsi"/>
                <w:sz w:val="16"/>
                <w:szCs w:val="16"/>
                <w:vertAlign w:val="superscript"/>
              </w:rPr>
              <w:t>†</w:t>
            </w:r>
          </w:p>
        </w:tc>
        <w:tc>
          <w:tcPr>
            <w:tcW w:w="585" w:type="pct"/>
          </w:tcPr>
          <w:p w14:paraId="5FBFA16C" w14:textId="77777777" w:rsidR="000B7D36" w:rsidRPr="00885848" w:rsidRDefault="000B7D36" w:rsidP="00B160E6">
            <w:pPr>
              <w:pStyle w:val="Tabletext"/>
              <w:jc w:val="center"/>
            </w:pPr>
            <w:r w:rsidRPr="00885848">
              <w:sym w:font="Wingdings" w:char="F0FC"/>
            </w:r>
          </w:p>
        </w:tc>
        <w:tc>
          <w:tcPr>
            <w:tcW w:w="702" w:type="pct"/>
          </w:tcPr>
          <w:p w14:paraId="55A09788" w14:textId="77777777" w:rsidR="000B7D36" w:rsidRPr="00885848" w:rsidRDefault="000B7D36" w:rsidP="00B160E6">
            <w:pPr>
              <w:pStyle w:val="Tabletext"/>
              <w:jc w:val="center"/>
            </w:pPr>
            <w:r w:rsidRPr="00885848">
              <w:t>–</w:t>
            </w:r>
          </w:p>
        </w:tc>
      </w:tr>
      <w:tr w:rsidR="000B7D36" w:rsidRPr="00BF52F4" w14:paraId="4F474544" w14:textId="77777777" w:rsidTr="000B7D36">
        <w:trPr>
          <w:trHeight w:val="159"/>
        </w:trPr>
        <w:tc>
          <w:tcPr>
            <w:tcW w:w="949" w:type="pct"/>
          </w:tcPr>
          <w:p w14:paraId="591D3951" w14:textId="77777777" w:rsidR="000B7D36" w:rsidRPr="00BF52F4" w:rsidRDefault="000B7D36" w:rsidP="00B160E6">
            <w:pPr>
              <w:pStyle w:val="Tabletext"/>
              <w:rPr>
                <w:b/>
              </w:rPr>
            </w:pPr>
            <w:r w:rsidRPr="00BF52F4">
              <w:rPr>
                <w:b/>
              </w:rPr>
              <w:t>Important potential risks</w:t>
            </w:r>
          </w:p>
        </w:tc>
        <w:tc>
          <w:tcPr>
            <w:tcW w:w="1387" w:type="pct"/>
          </w:tcPr>
          <w:p w14:paraId="512CB137" w14:textId="77777777" w:rsidR="000B7D36" w:rsidRPr="00BF52F4" w:rsidRDefault="000B7D36" w:rsidP="00B160E6">
            <w:pPr>
              <w:pStyle w:val="Tabletext"/>
            </w:pPr>
            <w:r>
              <w:t>Vaccine-associated enhanced disease (VAED) including vaccine-associated enhanced respiratory disease (VAERD)</w:t>
            </w:r>
          </w:p>
        </w:tc>
        <w:tc>
          <w:tcPr>
            <w:tcW w:w="676" w:type="pct"/>
          </w:tcPr>
          <w:p w14:paraId="3A976E30" w14:textId="77777777" w:rsidR="000B7D36" w:rsidRPr="00885848" w:rsidRDefault="000B7D36" w:rsidP="00B160E6">
            <w:pPr>
              <w:pStyle w:val="Tabletext"/>
              <w:jc w:val="center"/>
            </w:pPr>
            <w:r w:rsidRPr="00885848">
              <w:sym w:font="Wingdings" w:char="F0FC"/>
            </w:r>
            <w:r w:rsidRPr="00885848">
              <w:rPr>
                <w:rFonts w:asciiTheme="majorHAnsi" w:hAnsiTheme="majorHAnsi"/>
                <w:sz w:val="16"/>
                <w:szCs w:val="16"/>
              </w:rPr>
              <w:t>*</w:t>
            </w:r>
          </w:p>
        </w:tc>
        <w:tc>
          <w:tcPr>
            <w:tcW w:w="702" w:type="pct"/>
          </w:tcPr>
          <w:p w14:paraId="5E6AEDCB" w14:textId="77777777" w:rsidR="000B7D36" w:rsidRPr="00885848" w:rsidRDefault="000B7D36" w:rsidP="00B160E6">
            <w:pPr>
              <w:pStyle w:val="Tabletext"/>
              <w:jc w:val="center"/>
            </w:pPr>
            <w:r w:rsidRPr="00885848">
              <w:sym w:font="Wingdings" w:char="F0FC"/>
            </w:r>
            <w:r w:rsidRPr="00885848">
              <w:rPr>
                <w:rFonts w:asciiTheme="majorHAnsi" w:hAnsiTheme="majorHAnsi"/>
                <w:sz w:val="16"/>
                <w:szCs w:val="16"/>
                <w:vertAlign w:val="superscript"/>
              </w:rPr>
              <w:t>†</w:t>
            </w:r>
          </w:p>
        </w:tc>
        <w:tc>
          <w:tcPr>
            <w:tcW w:w="585" w:type="pct"/>
          </w:tcPr>
          <w:p w14:paraId="47317417" w14:textId="77777777" w:rsidR="000B7D36" w:rsidRPr="00885848" w:rsidRDefault="000B7D36" w:rsidP="00B160E6">
            <w:pPr>
              <w:pStyle w:val="Tabletext"/>
              <w:jc w:val="center"/>
            </w:pPr>
            <w:r w:rsidRPr="00885848">
              <w:t>–</w:t>
            </w:r>
          </w:p>
        </w:tc>
        <w:tc>
          <w:tcPr>
            <w:tcW w:w="702" w:type="pct"/>
          </w:tcPr>
          <w:p w14:paraId="4F3F6D0C" w14:textId="77777777" w:rsidR="000B7D36" w:rsidRPr="00885848" w:rsidRDefault="000B7D36" w:rsidP="00B160E6">
            <w:pPr>
              <w:pStyle w:val="Tabletext"/>
              <w:jc w:val="center"/>
            </w:pPr>
            <w:r w:rsidRPr="00885848">
              <w:t>–</w:t>
            </w:r>
          </w:p>
        </w:tc>
      </w:tr>
      <w:tr w:rsidR="000B7D36" w:rsidRPr="00BF52F4" w14:paraId="69007F19" w14:textId="77777777" w:rsidTr="000B7D36">
        <w:trPr>
          <w:trHeight w:val="178"/>
        </w:trPr>
        <w:tc>
          <w:tcPr>
            <w:tcW w:w="949" w:type="pct"/>
            <w:vMerge w:val="restart"/>
          </w:tcPr>
          <w:p w14:paraId="7C392EB8" w14:textId="77777777" w:rsidR="000B7D36" w:rsidRPr="00BF52F4" w:rsidRDefault="000B7D36" w:rsidP="00B160E6">
            <w:pPr>
              <w:pStyle w:val="Tabletext"/>
              <w:rPr>
                <w:b/>
              </w:rPr>
            </w:pPr>
            <w:r w:rsidRPr="00BF52F4">
              <w:rPr>
                <w:b/>
              </w:rPr>
              <w:t>Missing information</w:t>
            </w:r>
          </w:p>
        </w:tc>
        <w:tc>
          <w:tcPr>
            <w:tcW w:w="1387" w:type="pct"/>
          </w:tcPr>
          <w:p w14:paraId="38C25410" w14:textId="77777777" w:rsidR="000B7D36" w:rsidRPr="00BF52F4" w:rsidRDefault="000B7D36" w:rsidP="00B160E6">
            <w:pPr>
              <w:pStyle w:val="Tabletext"/>
            </w:pPr>
            <w:r w:rsidRPr="00B13371">
              <w:t>Use in pregnancy and while breast-feeding</w:t>
            </w:r>
          </w:p>
        </w:tc>
        <w:tc>
          <w:tcPr>
            <w:tcW w:w="676" w:type="pct"/>
          </w:tcPr>
          <w:p w14:paraId="121FB02C" w14:textId="77777777" w:rsidR="000B7D36" w:rsidRPr="00885848" w:rsidRDefault="000B7D36" w:rsidP="00B160E6">
            <w:pPr>
              <w:pStyle w:val="Tabletext"/>
              <w:jc w:val="center"/>
            </w:pPr>
            <w:r w:rsidRPr="00885848">
              <w:sym w:font="Wingdings" w:char="F0FC"/>
            </w:r>
          </w:p>
        </w:tc>
        <w:tc>
          <w:tcPr>
            <w:tcW w:w="702" w:type="pct"/>
          </w:tcPr>
          <w:p w14:paraId="64B650F6" w14:textId="77777777" w:rsidR="000B7D36" w:rsidRPr="00885848" w:rsidRDefault="000B7D36" w:rsidP="00B160E6">
            <w:pPr>
              <w:pStyle w:val="Tabletext"/>
              <w:jc w:val="center"/>
            </w:pPr>
            <w:r w:rsidRPr="00885848">
              <w:sym w:font="Wingdings" w:char="F0FC"/>
            </w:r>
            <w:r w:rsidRPr="005B67E2">
              <w:rPr>
                <w:rFonts w:asciiTheme="majorHAnsi" w:hAnsiTheme="majorHAnsi"/>
                <w:sz w:val="16"/>
                <w:szCs w:val="16"/>
                <w:vertAlign w:val="superscript"/>
              </w:rPr>
              <w:t>µ</w:t>
            </w:r>
          </w:p>
        </w:tc>
        <w:tc>
          <w:tcPr>
            <w:tcW w:w="585" w:type="pct"/>
          </w:tcPr>
          <w:p w14:paraId="414CEA6C" w14:textId="77777777" w:rsidR="000B7D36" w:rsidRPr="00885848" w:rsidRDefault="000B7D36" w:rsidP="00B160E6">
            <w:pPr>
              <w:pStyle w:val="Tabletext"/>
              <w:jc w:val="center"/>
            </w:pPr>
            <w:r w:rsidRPr="00885848">
              <w:sym w:font="Wingdings" w:char="F0FC"/>
            </w:r>
          </w:p>
        </w:tc>
        <w:tc>
          <w:tcPr>
            <w:tcW w:w="702" w:type="pct"/>
          </w:tcPr>
          <w:p w14:paraId="3ECA1125" w14:textId="77777777" w:rsidR="000B7D36" w:rsidRPr="00885848" w:rsidRDefault="000B7D36" w:rsidP="00B160E6">
            <w:pPr>
              <w:pStyle w:val="Tabletext"/>
              <w:jc w:val="center"/>
            </w:pPr>
            <w:r w:rsidRPr="00885848">
              <w:t>–</w:t>
            </w:r>
          </w:p>
        </w:tc>
      </w:tr>
      <w:tr w:rsidR="000B7D36" w:rsidRPr="00BF52F4" w14:paraId="2EB9E2E4" w14:textId="77777777" w:rsidTr="000B7D36">
        <w:trPr>
          <w:trHeight w:val="103"/>
        </w:trPr>
        <w:tc>
          <w:tcPr>
            <w:tcW w:w="949" w:type="pct"/>
            <w:vMerge/>
          </w:tcPr>
          <w:p w14:paraId="5318C6EF" w14:textId="77777777" w:rsidR="000B7D36" w:rsidRPr="00BF52F4" w:rsidRDefault="000B7D36" w:rsidP="00B160E6">
            <w:pPr>
              <w:pStyle w:val="Tabletext"/>
            </w:pPr>
          </w:p>
        </w:tc>
        <w:tc>
          <w:tcPr>
            <w:tcW w:w="1387" w:type="pct"/>
          </w:tcPr>
          <w:p w14:paraId="7894AB64" w14:textId="77777777" w:rsidR="000B7D36" w:rsidRPr="00BF52F4" w:rsidRDefault="000B7D36" w:rsidP="00B160E6">
            <w:pPr>
              <w:pStyle w:val="Tabletext"/>
            </w:pPr>
            <w:r w:rsidRPr="00B13371">
              <w:t>Long-term safety</w:t>
            </w:r>
          </w:p>
        </w:tc>
        <w:tc>
          <w:tcPr>
            <w:tcW w:w="676" w:type="pct"/>
          </w:tcPr>
          <w:p w14:paraId="7A802318" w14:textId="77777777" w:rsidR="000B7D36" w:rsidRPr="00885848" w:rsidRDefault="000B7D36" w:rsidP="00B160E6">
            <w:pPr>
              <w:pStyle w:val="Tabletext"/>
              <w:jc w:val="center"/>
            </w:pPr>
            <w:r w:rsidRPr="00885848">
              <w:sym w:font="Wingdings" w:char="F0FC"/>
            </w:r>
          </w:p>
        </w:tc>
        <w:tc>
          <w:tcPr>
            <w:tcW w:w="702" w:type="pct"/>
          </w:tcPr>
          <w:p w14:paraId="20CF5505" w14:textId="77777777" w:rsidR="000B7D36" w:rsidRPr="00885848" w:rsidRDefault="000B7D36" w:rsidP="00B160E6">
            <w:pPr>
              <w:pStyle w:val="Tabletext"/>
              <w:jc w:val="center"/>
            </w:pPr>
            <w:r w:rsidRPr="00885848">
              <w:sym w:font="Wingdings" w:char="F0FC"/>
            </w:r>
            <w:r w:rsidRPr="00885848">
              <w:rPr>
                <w:rFonts w:asciiTheme="majorHAnsi" w:hAnsiTheme="majorHAnsi"/>
                <w:sz w:val="16"/>
                <w:szCs w:val="16"/>
                <w:vertAlign w:val="superscript"/>
              </w:rPr>
              <w:t>†</w:t>
            </w:r>
          </w:p>
        </w:tc>
        <w:tc>
          <w:tcPr>
            <w:tcW w:w="585" w:type="pct"/>
          </w:tcPr>
          <w:p w14:paraId="4CFD59B0" w14:textId="77777777" w:rsidR="000B7D36" w:rsidRPr="00885848" w:rsidRDefault="000B7D36" w:rsidP="00B160E6">
            <w:pPr>
              <w:pStyle w:val="Tabletext"/>
              <w:jc w:val="center"/>
            </w:pPr>
            <w:r w:rsidRPr="00885848">
              <w:t>–</w:t>
            </w:r>
          </w:p>
        </w:tc>
        <w:tc>
          <w:tcPr>
            <w:tcW w:w="702" w:type="pct"/>
          </w:tcPr>
          <w:p w14:paraId="2E66899C" w14:textId="77777777" w:rsidR="000B7D36" w:rsidRPr="00885848" w:rsidRDefault="000B7D36" w:rsidP="00B160E6">
            <w:pPr>
              <w:pStyle w:val="Tabletext"/>
              <w:jc w:val="center"/>
            </w:pPr>
            <w:r w:rsidRPr="00885848">
              <w:t>–</w:t>
            </w:r>
          </w:p>
        </w:tc>
      </w:tr>
      <w:tr w:rsidR="000B7D36" w:rsidRPr="00BF52F4" w14:paraId="56C027EE" w14:textId="77777777" w:rsidTr="000B7D36">
        <w:trPr>
          <w:trHeight w:val="103"/>
        </w:trPr>
        <w:tc>
          <w:tcPr>
            <w:tcW w:w="949" w:type="pct"/>
            <w:vMerge/>
          </w:tcPr>
          <w:p w14:paraId="2C4207AA" w14:textId="77777777" w:rsidR="000B7D36" w:rsidRPr="00BF52F4" w:rsidRDefault="000B7D36" w:rsidP="00B160E6">
            <w:pPr>
              <w:pStyle w:val="Tabletext"/>
            </w:pPr>
          </w:p>
        </w:tc>
        <w:tc>
          <w:tcPr>
            <w:tcW w:w="1387" w:type="pct"/>
          </w:tcPr>
          <w:p w14:paraId="7C2CDF7E" w14:textId="77777777" w:rsidR="000B7D36" w:rsidRPr="00BF52F4" w:rsidRDefault="000B7D36" w:rsidP="00B160E6">
            <w:pPr>
              <w:pStyle w:val="Tabletext"/>
            </w:pPr>
            <w:r w:rsidRPr="00B13371">
              <w:t>Use in immunocompromised subjects</w:t>
            </w:r>
          </w:p>
        </w:tc>
        <w:tc>
          <w:tcPr>
            <w:tcW w:w="676" w:type="pct"/>
          </w:tcPr>
          <w:p w14:paraId="6086E3B3" w14:textId="77777777" w:rsidR="000B7D36" w:rsidRPr="00885848" w:rsidRDefault="000B7D36" w:rsidP="00B160E6">
            <w:pPr>
              <w:pStyle w:val="Tabletext"/>
              <w:jc w:val="center"/>
            </w:pPr>
            <w:r w:rsidRPr="00885848">
              <w:sym w:font="Wingdings" w:char="F0FC"/>
            </w:r>
          </w:p>
        </w:tc>
        <w:tc>
          <w:tcPr>
            <w:tcW w:w="702" w:type="pct"/>
          </w:tcPr>
          <w:p w14:paraId="31DA3ED7" w14:textId="77777777" w:rsidR="000B7D36" w:rsidRPr="00885848" w:rsidRDefault="000B7D36" w:rsidP="00B160E6">
            <w:pPr>
              <w:pStyle w:val="Tabletext"/>
              <w:jc w:val="center"/>
            </w:pPr>
            <w:r w:rsidRPr="00885848">
              <w:sym w:font="Wingdings" w:char="F0FC"/>
            </w:r>
            <w:r w:rsidRPr="00885848">
              <w:rPr>
                <w:rFonts w:asciiTheme="majorHAnsi" w:hAnsiTheme="majorHAnsi"/>
                <w:sz w:val="16"/>
                <w:szCs w:val="16"/>
                <w:vertAlign w:val="superscript"/>
              </w:rPr>
              <w:t>†</w:t>
            </w:r>
          </w:p>
        </w:tc>
        <w:tc>
          <w:tcPr>
            <w:tcW w:w="585" w:type="pct"/>
          </w:tcPr>
          <w:p w14:paraId="1CA99EC4" w14:textId="77777777" w:rsidR="000B7D36" w:rsidRPr="00885848" w:rsidRDefault="000B7D36" w:rsidP="00B160E6">
            <w:pPr>
              <w:pStyle w:val="Tabletext"/>
              <w:jc w:val="center"/>
            </w:pPr>
            <w:r w:rsidRPr="00885848">
              <w:sym w:font="Wingdings" w:char="F0FC"/>
            </w:r>
          </w:p>
        </w:tc>
        <w:tc>
          <w:tcPr>
            <w:tcW w:w="702" w:type="pct"/>
          </w:tcPr>
          <w:p w14:paraId="323C84D2" w14:textId="77777777" w:rsidR="000B7D36" w:rsidRPr="00885848" w:rsidRDefault="000B7D36" w:rsidP="00B160E6">
            <w:pPr>
              <w:pStyle w:val="Tabletext"/>
              <w:jc w:val="center"/>
            </w:pPr>
            <w:r w:rsidRPr="00885848">
              <w:t>–</w:t>
            </w:r>
          </w:p>
        </w:tc>
      </w:tr>
      <w:tr w:rsidR="000B7D36" w:rsidRPr="00BF52F4" w14:paraId="7D2CE540" w14:textId="77777777" w:rsidTr="000B7D36">
        <w:trPr>
          <w:trHeight w:val="103"/>
        </w:trPr>
        <w:tc>
          <w:tcPr>
            <w:tcW w:w="949" w:type="pct"/>
            <w:vMerge/>
          </w:tcPr>
          <w:p w14:paraId="24C8C5C8" w14:textId="77777777" w:rsidR="000B7D36" w:rsidRPr="00BF52F4" w:rsidRDefault="000B7D36" w:rsidP="00B160E6">
            <w:pPr>
              <w:pStyle w:val="Tabletext"/>
            </w:pPr>
          </w:p>
        </w:tc>
        <w:tc>
          <w:tcPr>
            <w:tcW w:w="1387" w:type="pct"/>
          </w:tcPr>
          <w:p w14:paraId="455847D9" w14:textId="77777777" w:rsidR="000B7D36" w:rsidRPr="00BF52F4" w:rsidRDefault="000B7D36" w:rsidP="00B160E6">
            <w:pPr>
              <w:pStyle w:val="Tabletext"/>
            </w:pPr>
            <w:r w:rsidRPr="00B13371">
              <w:t>Interaction with other vaccines</w:t>
            </w:r>
          </w:p>
        </w:tc>
        <w:tc>
          <w:tcPr>
            <w:tcW w:w="676" w:type="pct"/>
          </w:tcPr>
          <w:p w14:paraId="66C92087" w14:textId="77777777" w:rsidR="000B7D36" w:rsidRPr="00885848" w:rsidRDefault="000B7D36" w:rsidP="00B160E6">
            <w:pPr>
              <w:pStyle w:val="Tabletext"/>
              <w:jc w:val="center"/>
            </w:pPr>
            <w:r w:rsidRPr="00885848">
              <w:sym w:font="Wingdings" w:char="F0FC"/>
            </w:r>
          </w:p>
        </w:tc>
        <w:tc>
          <w:tcPr>
            <w:tcW w:w="702" w:type="pct"/>
          </w:tcPr>
          <w:p w14:paraId="4CF1CCEF" w14:textId="77777777" w:rsidR="000B7D36" w:rsidRPr="00885848" w:rsidRDefault="000B7D36" w:rsidP="00B160E6">
            <w:pPr>
              <w:pStyle w:val="Tabletext"/>
              <w:jc w:val="center"/>
            </w:pPr>
            <w:r w:rsidRPr="00885848">
              <w:sym w:font="Wingdings" w:char="F0FC"/>
            </w:r>
            <w:r w:rsidRPr="00885848">
              <w:rPr>
                <w:rFonts w:asciiTheme="majorHAnsi" w:hAnsiTheme="majorHAnsi"/>
                <w:sz w:val="16"/>
                <w:szCs w:val="16"/>
                <w:vertAlign w:val="superscript"/>
              </w:rPr>
              <w:t>†</w:t>
            </w:r>
          </w:p>
        </w:tc>
        <w:tc>
          <w:tcPr>
            <w:tcW w:w="585" w:type="pct"/>
          </w:tcPr>
          <w:p w14:paraId="734FCA42" w14:textId="77777777" w:rsidR="000B7D36" w:rsidRPr="00885848" w:rsidRDefault="000B7D36" w:rsidP="00B160E6">
            <w:pPr>
              <w:pStyle w:val="Tabletext"/>
              <w:jc w:val="center"/>
            </w:pPr>
            <w:r w:rsidRPr="00885848">
              <w:sym w:font="Wingdings" w:char="F0FC"/>
            </w:r>
          </w:p>
        </w:tc>
        <w:tc>
          <w:tcPr>
            <w:tcW w:w="702" w:type="pct"/>
          </w:tcPr>
          <w:p w14:paraId="570F3339" w14:textId="77777777" w:rsidR="000B7D36" w:rsidRPr="00885848" w:rsidRDefault="000B7D36" w:rsidP="00B160E6">
            <w:pPr>
              <w:pStyle w:val="Tabletext"/>
              <w:jc w:val="center"/>
            </w:pPr>
            <w:r w:rsidRPr="00885848">
              <w:t>–</w:t>
            </w:r>
          </w:p>
        </w:tc>
      </w:tr>
      <w:tr w:rsidR="000B7D36" w:rsidRPr="00BF52F4" w14:paraId="0B40C5ED" w14:textId="77777777" w:rsidTr="000B7D36">
        <w:trPr>
          <w:trHeight w:val="103"/>
        </w:trPr>
        <w:tc>
          <w:tcPr>
            <w:tcW w:w="949" w:type="pct"/>
            <w:vMerge/>
          </w:tcPr>
          <w:p w14:paraId="3E63B665" w14:textId="77777777" w:rsidR="000B7D36" w:rsidRPr="00BF52F4" w:rsidRDefault="000B7D36" w:rsidP="00B160E6">
            <w:pPr>
              <w:pStyle w:val="Tabletext"/>
            </w:pPr>
          </w:p>
        </w:tc>
        <w:tc>
          <w:tcPr>
            <w:tcW w:w="1387" w:type="pct"/>
          </w:tcPr>
          <w:p w14:paraId="12591B22" w14:textId="77777777" w:rsidR="000B7D36" w:rsidRPr="00BF52F4" w:rsidRDefault="000B7D36" w:rsidP="00B160E6">
            <w:pPr>
              <w:pStyle w:val="Tabletext"/>
            </w:pPr>
            <w:r w:rsidRPr="00B13371">
              <w:t>Use in frail subjects with unstable health conditions and co-morbidities (</w:t>
            </w:r>
            <w:proofErr w:type="gramStart"/>
            <w:r w:rsidRPr="00B13371">
              <w:t>e.g.</w:t>
            </w:r>
            <w:proofErr w:type="gramEnd"/>
            <w:r w:rsidRPr="00B13371">
              <w:t xml:space="preserve"> chronic obstructive </w:t>
            </w:r>
            <w:r w:rsidRPr="00B13371">
              <w:lastRenderedPageBreak/>
              <w:t>pulmonary disease (COPD), diabetes, chronic neurological disease, cardiovascular disorders)</w:t>
            </w:r>
          </w:p>
        </w:tc>
        <w:tc>
          <w:tcPr>
            <w:tcW w:w="676" w:type="pct"/>
          </w:tcPr>
          <w:p w14:paraId="7F72A40A" w14:textId="77777777" w:rsidR="000B7D36" w:rsidRPr="00885848" w:rsidRDefault="000B7D36" w:rsidP="00B160E6">
            <w:pPr>
              <w:pStyle w:val="Tabletext"/>
              <w:jc w:val="center"/>
            </w:pPr>
            <w:r w:rsidRPr="00885848">
              <w:lastRenderedPageBreak/>
              <w:sym w:font="Wingdings" w:char="F0FC"/>
            </w:r>
          </w:p>
        </w:tc>
        <w:tc>
          <w:tcPr>
            <w:tcW w:w="702" w:type="pct"/>
          </w:tcPr>
          <w:p w14:paraId="6C0C18C7" w14:textId="77777777" w:rsidR="000B7D36" w:rsidRPr="00885848" w:rsidRDefault="000B7D36" w:rsidP="00B160E6">
            <w:pPr>
              <w:pStyle w:val="Tabletext"/>
              <w:jc w:val="center"/>
            </w:pPr>
            <w:r w:rsidRPr="00885848">
              <w:sym w:font="Wingdings" w:char="F0FC"/>
            </w:r>
            <w:r w:rsidRPr="00885848">
              <w:rPr>
                <w:rFonts w:asciiTheme="majorHAnsi" w:hAnsiTheme="majorHAnsi"/>
                <w:sz w:val="16"/>
                <w:szCs w:val="16"/>
                <w:vertAlign w:val="superscript"/>
              </w:rPr>
              <w:t>†</w:t>
            </w:r>
          </w:p>
        </w:tc>
        <w:tc>
          <w:tcPr>
            <w:tcW w:w="585" w:type="pct"/>
          </w:tcPr>
          <w:p w14:paraId="271F81F5" w14:textId="77777777" w:rsidR="000B7D36" w:rsidRPr="00885848" w:rsidRDefault="000B7D36" w:rsidP="00B160E6">
            <w:pPr>
              <w:pStyle w:val="Tabletext"/>
              <w:jc w:val="center"/>
            </w:pPr>
            <w:r w:rsidRPr="00885848">
              <w:sym w:font="Wingdings" w:char="F0FC"/>
            </w:r>
          </w:p>
        </w:tc>
        <w:tc>
          <w:tcPr>
            <w:tcW w:w="702" w:type="pct"/>
          </w:tcPr>
          <w:p w14:paraId="7EC94AA0" w14:textId="77777777" w:rsidR="000B7D36" w:rsidRPr="00885848" w:rsidRDefault="000B7D36" w:rsidP="00B160E6">
            <w:pPr>
              <w:pStyle w:val="Tabletext"/>
              <w:jc w:val="center"/>
            </w:pPr>
            <w:r w:rsidRPr="00885848">
              <w:t>–</w:t>
            </w:r>
          </w:p>
        </w:tc>
      </w:tr>
      <w:tr w:rsidR="000B7D36" w:rsidRPr="00BF52F4" w14:paraId="3CF13470" w14:textId="77777777" w:rsidTr="000B7D36">
        <w:trPr>
          <w:trHeight w:val="140"/>
        </w:trPr>
        <w:tc>
          <w:tcPr>
            <w:tcW w:w="949" w:type="pct"/>
            <w:vMerge/>
          </w:tcPr>
          <w:p w14:paraId="4EF5DADB" w14:textId="77777777" w:rsidR="000B7D36" w:rsidRPr="00BF52F4" w:rsidRDefault="000B7D36" w:rsidP="00B160E6">
            <w:pPr>
              <w:pStyle w:val="Tabletext"/>
            </w:pPr>
          </w:p>
        </w:tc>
        <w:tc>
          <w:tcPr>
            <w:tcW w:w="1387" w:type="pct"/>
          </w:tcPr>
          <w:p w14:paraId="48D9E185" w14:textId="77777777" w:rsidR="000B7D36" w:rsidRPr="00BF52F4" w:rsidRDefault="000B7D36" w:rsidP="00B160E6">
            <w:pPr>
              <w:pStyle w:val="Tabletext"/>
            </w:pPr>
            <w:r w:rsidRPr="00B13371">
              <w:t>Use in subjects with autoimmune or inflammatory disorders</w:t>
            </w:r>
          </w:p>
        </w:tc>
        <w:tc>
          <w:tcPr>
            <w:tcW w:w="676" w:type="pct"/>
          </w:tcPr>
          <w:p w14:paraId="69AD7C9D" w14:textId="77777777" w:rsidR="000B7D36" w:rsidRPr="00885848" w:rsidRDefault="000B7D36" w:rsidP="00B160E6">
            <w:pPr>
              <w:pStyle w:val="Tabletext"/>
              <w:jc w:val="center"/>
            </w:pPr>
            <w:r w:rsidRPr="00885848">
              <w:sym w:font="Wingdings" w:char="F0FC"/>
            </w:r>
          </w:p>
        </w:tc>
        <w:tc>
          <w:tcPr>
            <w:tcW w:w="702" w:type="pct"/>
          </w:tcPr>
          <w:p w14:paraId="3F926FF2" w14:textId="77777777" w:rsidR="000B7D36" w:rsidRPr="00885848" w:rsidRDefault="000B7D36" w:rsidP="00B160E6">
            <w:pPr>
              <w:pStyle w:val="Tabletext"/>
              <w:jc w:val="center"/>
            </w:pPr>
            <w:r w:rsidRPr="00885848">
              <w:sym w:font="Wingdings" w:char="F0FC"/>
            </w:r>
            <w:r w:rsidRPr="00885848">
              <w:rPr>
                <w:rFonts w:asciiTheme="majorHAnsi" w:hAnsiTheme="majorHAnsi"/>
                <w:sz w:val="16"/>
                <w:szCs w:val="16"/>
                <w:vertAlign w:val="superscript"/>
              </w:rPr>
              <w:t>†</w:t>
            </w:r>
          </w:p>
        </w:tc>
        <w:tc>
          <w:tcPr>
            <w:tcW w:w="585" w:type="pct"/>
          </w:tcPr>
          <w:p w14:paraId="6FDD79BE" w14:textId="77777777" w:rsidR="000B7D36" w:rsidRPr="00885848" w:rsidRDefault="000B7D36" w:rsidP="00B160E6">
            <w:pPr>
              <w:pStyle w:val="Tabletext"/>
              <w:jc w:val="center"/>
            </w:pPr>
            <w:r w:rsidRPr="00885848">
              <w:sym w:font="Wingdings" w:char="F0FC"/>
            </w:r>
          </w:p>
        </w:tc>
        <w:tc>
          <w:tcPr>
            <w:tcW w:w="702" w:type="pct"/>
          </w:tcPr>
          <w:p w14:paraId="1E945E45" w14:textId="77777777" w:rsidR="000B7D36" w:rsidRPr="00885848" w:rsidRDefault="000B7D36" w:rsidP="00B160E6">
            <w:pPr>
              <w:pStyle w:val="Tabletext"/>
              <w:jc w:val="center"/>
            </w:pPr>
            <w:r w:rsidRPr="00885848">
              <w:t>–</w:t>
            </w:r>
          </w:p>
        </w:tc>
      </w:tr>
    </w:tbl>
    <w:p w14:paraId="5B96498F" w14:textId="77777777" w:rsidR="000B7D36" w:rsidRDefault="000B7D36" w:rsidP="000B7D36">
      <w:pPr>
        <w:pStyle w:val="TableDescription"/>
      </w:pPr>
      <w:r>
        <w:t>*Follow-up questionnaires</w:t>
      </w:r>
    </w:p>
    <w:p w14:paraId="2F90E478" w14:textId="77777777" w:rsidR="000B7D36" w:rsidRDefault="000B7D36" w:rsidP="000B7D36">
      <w:pPr>
        <w:pStyle w:val="TableDescription"/>
      </w:pPr>
      <w:r>
        <w:t>†Clinical studies</w:t>
      </w:r>
    </w:p>
    <w:p w14:paraId="16556883" w14:textId="3E533D2C" w:rsidR="000B7D36" w:rsidRDefault="000B7D36" w:rsidP="000B7D36">
      <w:pPr>
        <w:pStyle w:val="TableDescription"/>
      </w:pPr>
      <w:r>
        <w:t>µ Observational cohort database study</w:t>
      </w:r>
    </w:p>
    <w:p w14:paraId="413531AD" w14:textId="47039E1F" w:rsidR="00A67C77" w:rsidRDefault="00A67C77" w:rsidP="00A67C77">
      <w:r>
        <w:t>The summary of safety concerns is acceptable. The advice from the clinical evaluator, the Delegate and the ACV has been considered when making this decision.</w:t>
      </w:r>
    </w:p>
    <w:p w14:paraId="1EC4B966" w14:textId="77777777" w:rsidR="00A67C77" w:rsidRDefault="00A67C77" w:rsidP="00A67C77">
      <w:r>
        <w:t>The pharmacovigilance plan is acceptable. In response to RMP evaluator’s recommendation, the sponsor agreed to provide monthly summary safety reports for the first 6 months post registration, and thereafter at intervals specified by the TGA.</w:t>
      </w:r>
    </w:p>
    <w:p w14:paraId="1A5E9655" w14:textId="1844B447" w:rsidR="000B7D36" w:rsidRDefault="000B7D36" w:rsidP="00A67C77">
      <w:r>
        <w:t>Only routine risk minimisation measures have been proposed. The introduction of the bivalent vaccine is not expected to require additional risk minimisation measures as part of the RMP.</w:t>
      </w:r>
    </w:p>
    <w:p w14:paraId="5E737DAE" w14:textId="77777777" w:rsidR="008E7846" w:rsidRDefault="00AA0ED0" w:rsidP="008E7846">
      <w:pPr>
        <w:pStyle w:val="Heading3"/>
      </w:pPr>
      <w:bookmarkStart w:id="71" w:name="_Toc112833629"/>
      <w:r>
        <w:t>Risk-benefit a</w:t>
      </w:r>
      <w:r w:rsidR="008E7846">
        <w:t>nalysis</w:t>
      </w:r>
      <w:bookmarkEnd w:id="66"/>
      <w:bookmarkEnd w:id="67"/>
      <w:bookmarkEnd w:id="71"/>
    </w:p>
    <w:p w14:paraId="0FA952D5" w14:textId="77777777" w:rsidR="0074163C" w:rsidRDefault="0074163C" w:rsidP="0074163C">
      <w:pPr>
        <w:pStyle w:val="Heading4"/>
      </w:pPr>
      <w:bookmarkStart w:id="72" w:name="_Toc98931932"/>
      <w:r>
        <w:t>Delegate’s considerations</w:t>
      </w:r>
      <w:bookmarkEnd w:id="72"/>
    </w:p>
    <w:p w14:paraId="75DB70B2" w14:textId="33C993E9" w:rsidR="00896136" w:rsidRDefault="00896136" w:rsidP="00896136">
      <w:pPr>
        <w:pStyle w:val="Heading5"/>
      </w:pPr>
      <w:r>
        <w:t>Immunogenicity/Efficacy</w:t>
      </w:r>
    </w:p>
    <w:p w14:paraId="7E7F51EC" w14:textId="775F0D09" w:rsidR="00896136" w:rsidRDefault="00896136" w:rsidP="00896136">
      <w:r>
        <w:t>The Omicron variant (emergence in November 2021) and current subvariants (BA.2, BA.2.12.1, BA.4,</w:t>
      </w:r>
      <w:r w:rsidR="0079447D">
        <w:t xml:space="preserve"> and </w:t>
      </w:r>
      <w:r>
        <w:t xml:space="preserve">BA.5) are the most antigenically divergent variants to date with antibody escape site mutations and increased transmissibility, and their circulation was associated with unprecedented rates of infection globally. In response, the </w:t>
      </w:r>
      <w:r w:rsidR="006F53B3">
        <w:t>s</w:t>
      </w:r>
      <w:r>
        <w:t>ponsor has developed a variant</w:t>
      </w:r>
      <w:r w:rsidR="006F53B3">
        <w:t xml:space="preserve"> </w:t>
      </w:r>
      <w:r>
        <w:t>modified Omicron BA.1</w:t>
      </w:r>
      <w:r w:rsidR="006F53B3">
        <w:t xml:space="preserve"> </w:t>
      </w:r>
      <w:r>
        <w:t>containing bivalent mRNA vaccine</w:t>
      </w:r>
      <w:r w:rsidR="0079447D">
        <w:t xml:space="preserve">. </w:t>
      </w:r>
      <w:proofErr w:type="spellStart"/>
      <w:r w:rsidR="0079447D">
        <w:t>Spikevax</w:t>
      </w:r>
      <w:proofErr w:type="spellEnd"/>
      <w:r w:rsidR="0079447D">
        <w:t xml:space="preserve"> bivalent (</w:t>
      </w:r>
      <w:proofErr w:type="spellStart"/>
      <w:r w:rsidR="0079447D">
        <w:t>elasomeran</w:t>
      </w:r>
      <w:proofErr w:type="spellEnd"/>
      <w:r w:rsidR="0079447D">
        <w:t xml:space="preserve"> + </w:t>
      </w:r>
      <w:proofErr w:type="spellStart"/>
      <w:r w:rsidR="0079447D">
        <w:t>imelasomeran</w:t>
      </w:r>
      <w:proofErr w:type="spellEnd"/>
      <w:r w:rsidR="0079447D">
        <w:t xml:space="preserve">) COVID-19 vaccine </w:t>
      </w:r>
      <w:r>
        <w:t xml:space="preserve">is a 50 </w:t>
      </w:r>
      <w:proofErr w:type="spellStart"/>
      <w:r>
        <w:t>μg</w:t>
      </w:r>
      <w:proofErr w:type="spellEnd"/>
      <w:r>
        <w:t xml:space="preserve"> formulation that retains the ancestral SARS-CoV-2 spike sequence (25 </w:t>
      </w:r>
      <w:proofErr w:type="spellStart"/>
      <w:r>
        <w:t>μg</w:t>
      </w:r>
      <w:proofErr w:type="spellEnd"/>
      <w:r>
        <w:t xml:space="preserve">) </w:t>
      </w:r>
      <w:proofErr w:type="gramStart"/>
      <w:r>
        <w:t>and also</w:t>
      </w:r>
      <w:proofErr w:type="gramEnd"/>
      <w:r>
        <w:t xml:space="preserve"> encodes for the Omicron spike sequence (25 </w:t>
      </w:r>
      <w:proofErr w:type="spellStart"/>
      <w:r>
        <w:t>μg</w:t>
      </w:r>
      <w:proofErr w:type="spellEnd"/>
      <w:r>
        <w:t>).</w:t>
      </w:r>
    </w:p>
    <w:p w14:paraId="6AE0D916" w14:textId="4D81E7F8" w:rsidR="00896136" w:rsidRDefault="00896136" w:rsidP="00896136">
      <w:r>
        <w:t>The clinical evaluation of immunogenicity was based on the pivotal studies (</w:t>
      </w:r>
      <w:r w:rsidR="006F53B3">
        <w:t xml:space="preserve">Study </w:t>
      </w:r>
      <w:r>
        <w:t xml:space="preserve">P205 Part G and </w:t>
      </w:r>
      <w:r w:rsidR="006F53B3">
        <w:t xml:space="preserve">Study </w:t>
      </w:r>
      <w:r>
        <w:t>P205 Part F cohort 2). In the</w:t>
      </w:r>
      <w:r w:rsidR="006F53B3">
        <w:t xml:space="preserve"> Study</w:t>
      </w:r>
      <w:r>
        <w:t xml:space="preserve"> P205 Part G v</w:t>
      </w:r>
      <w:r w:rsidR="006F53B3">
        <w:t>ersus</w:t>
      </w:r>
      <w:r>
        <w:t xml:space="preserve"> Part F analysis, the primary immunogenicity objective (pre-specified) was to compare the immunogenicity of 50 </w:t>
      </w:r>
      <w:proofErr w:type="spellStart"/>
      <w:r>
        <w:t>μg</w:t>
      </w:r>
      <w:proofErr w:type="spellEnd"/>
      <w:r>
        <w:t xml:space="preserve"> </w:t>
      </w:r>
      <w:r w:rsidR="0079447D">
        <w:t>bivalent vaccine (</w:t>
      </w:r>
      <w:proofErr w:type="spellStart"/>
      <w:r w:rsidR="0079447D">
        <w:t>elasomeran</w:t>
      </w:r>
      <w:proofErr w:type="spellEnd"/>
      <w:r w:rsidR="0079447D">
        <w:t xml:space="preserve"> + </w:t>
      </w:r>
      <w:proofErr w:type="spellStart"/>
      <w:r w:rsidR="0079447D">
        <w:t>imelasomeran</w:t>
      </w:r>
      <w:proofErr w:type="spellEnd"/>
      <w:r w:rsidR="0079447D">
        <w:t xml:space="preserve">) </w:t>
      </w:r>
      <w:r>
        <w:t xml:space="preserve">and 50 </w:t>
      </w:r>
      <w:proofErr w:type="spellStart"/>
      <w:r>
        <w:t>μg</w:t>
      </w:r>
      <w:proofErr w:type="spellEnd"/>
      <w:r w:rsidR="001C6F25">
        <w:t xml:space="preserve"> monovalent vaccine (elasomeran)</w:t>
      </w:r>
      <w:r>
        <w:t xml:space="preserve"> as a second booster. The co-primary endpoints were </w:t>
      </w:r>
      <w:r w:rsidR="006F53B3">
        <w:t>GMT</w:t>
      </w:r>
      <w:r>
        <w:t xml:space="preserve"> and </w:t>
      </w:r>
      <w:proofErr w:type="spellStart"/>
      <w:r w:rsidR="001C6F25">
        <w:t>seroresponse</w:t>
      </w:r>
      <w:proofErr w:type="spellEnd"/>
      <w:r w:rsidR="001C6F25">
        <w:t xml:space="preserve"> rates (SRR) </w:t>
      </w:r>
      <w:r>
        <w:t xml:space="preserve">for serum </w:t>
      </w:r>
      <w:r w:rsidR="001C6F25">
        <w:t>neutralising antibody (</w:t>
      </w:r>
      <w:proofErr w:type="spellStart"/>
      <w:r>
        <w:t>N</w:t>
      </w:r>
      <w:r w:rsidR="00E52CC3">
        <w:t>A</w:t>
      </w:r>
      <w:r>
        <w:t>b</w:t>
      </w:r>
      <w:proofErr w:type="spellEnd"/>
      <w:r w:rsidR="001C6F25">
        <w:t>)</w:t>
      </w:r>
      <w:r>
        <w:t xml:space="preserve"> titres against the SARS-CoV-2 ancestral</w:t>
      </w:r>
      <w:r w:rsidR="00E52CC3">
        <w:t xml:space="preserve"> strain</w:t>
      </w:r>
      <w:r>
        <w:t xml:space="preserve"> and </w:t>
      </w:r>
      <w:r w:rsidR="006F53B3">
        <w:t>O</w:t>
      </w:r>
      <w:r>
        <w:t>micron (BA.</w:t>
      </w:r>
      <w:proofErr w:type="gramStart"/>
      <w:r>
        <w:t>1)</w:t>
      </w:r>
      <w:r w:rsidR="00E52CC3">
        <w:t>(</w:t>
      </w:r>
      <w:proofErr w:type="gramEnd"/>
      <w:r w:rsidR="00E52CC3">
        <w:t>sub)variant</w:t>
      </w:r>
      <w:r>
        <w:t xml:space="preserve">. The primary efficacy analysis set was the PPSI-Neg set. Although not randomised this comparison of the two cohorts is considered acceptable considering similar inclusion criterion, overall </w:t>
      </w:r>
      <w:r>
        <w:lastRenderedPageBreak/>
        <w:t>demographic and baseline characteristics was similar, timing of enrolment almost similar with specific primary endpoint.</w:t>
      </w:r>
      <w:r w:rsidR="006F53B3">
        <w:t xml:space="preserve"> </w:t>
      </w:r>
      <w:r>
        <w:t>The statistical methods are considered acceptable.</w:t>
      </w:r>
    </w:p>
    <w:p w14:paraId="4EF5082B" w14:textId="52206714" w:rsidR="00896136" w:rsidRDefault="00896136" w:rsidP="00896136">
      <w:r>
        <w:t xml:space="preserve">The results are available for a data </w:t>
      </w:r>
      <w:proofErr w:type="spellStart"/>
      <w:r w:rsidR="001C6F25">
        <w:t>cutoff</w:t>
      </w:r>
      <w:proofErr w:type="spellEnd"/>
      <w:r>
        <w:t xml:space="preserve"> date of 27 April 2022 which corresponds to the interim analysis at Day 29. Overall, demographic and baseline characteristics were similar between the 50 </w:t>
      </w:r>
      <w:proofErr w:type="spellStart"/>
      <w:r>
        <w:t>μg</w:t>
      </w:r>
      <w:proofErr w:type="spellEnd"/>
      <w:r>
        <w:t xml:space="preserve"> </w:t>
      </w:r>
      <w:r w:rsidR="001C6F25">
        <w:t>bivalent vaccine (</w:t>
      </w:r>
      <w:proofErr w:type="spellStart"/>
      <w:r w:rsidR="001C6F25">
        <w:t>elasomeran</w:t>
      </w:r>
      <w:proofErr w:type="spellEnd"/>
      <w:r w:rsidR="001C6F25">
        <w:t xml:space="preserve"> + </w:t>
      </w:r>
      <w:proofErr w:type="spellStart"/>
      <w:r w:rsidR="001C6F25">
        <w:t>imelasomeran</w:t>
      </w:r>
      <w:proofErr w:type="spellEnd"/>
      <w:r w:rsidR="001C6F25">
        <w:t xml:space="preserve">) </w:t>
      </w:r>
      <w:r>
        <w:t xml:space="preserve">and 50 </w:t>
      </w:r>
      <w:proofErr w:type="spellStart"/>
      <w:r>
        <w:t>μg</w:t>
      </w:r>
      <w:proofErr w:type="spellEnd"/>
      <w:r>
        <w:t xml:space="preserve"> </w:t>
      </w:r>
      <w:r w:rsidR="001C6F25">
        <w:t xml:space="preserve">monovalent vaccine (elasomeran) </w:t>
      </w:r>
      <w:r>
        <w:t>groups.</w:t>
      </w:r>
    </w:p>
    <w:p w14:paraId="2947381B" w14:textId="0BACF66E" w:rsidR="00896136" w:rsidRDefault="00896136" w:rsidP="00896136">
      <w:r>
        <w:t xml:space="preserve">In </w:t>
      </w:r>
      <w:r w:rsidR="00D973C6">
        <w:t xml:space="preserve">Study </w:t>
      </w:r>
      <w:r>
        <w:t xml:space="preserve">P205 Part G, all primary and key secondary immunogenicity objectives were met. 50 </w:t>
      </w:r>
      <w:proofErr w:type="spellStart"/>
      <w:r>
        <w:t>μg</w:t>
      </w:r>
      <w:proofErr w:type="spellEnd"/>
      <w:r>
        <w:t xml:space="preserve"> </w:t>
      </w:r>
      <w:r w:rsidR="001C6F25">
        <w:t>bivalent vaccine (</w:t>
      </w:r>
      <w:proofErr w:type="spellStart"/>
      <w:r w:rsidR="001C6F25">
        <w:t>elasomeran</w:t>
      </w:r>
      <w:proofErr w:type="spellEnd"/>
      <w:r w:rsidR="001C6F25">
        <w:t xml:space="preserve"> + </w:t>
      </w:r>
      <w:proofErr w:type="spellStart"/>
      <w:r w:rsidR="001C6F25">
        <w:t>imelasomeran</w:t>
      </w:r>
      <w:proofErr w:type="spellEnd"/>
      <w:r w:rsidR="001C6F25">
        <w:t xml:space="preserve">) </w:t>
      </w:r>
      <w:r>
        <w:t>elicited a superior neutrali</w:t>
      </w:r>
      <w:r w:rsidR="00D973C6">
        <w:t>s</w:t>
      </w:r>
      <w:r>
        <w:t xml:space="preserve">ing antibody response against </w:t>
      </w:r>
      <w:r w:rsidR="00E52CC3">
        <w:t xml:space="preserve">the </w:t>
      </w:r>
      <w:r>
        <w:t xml:space="preserve">Omicron BA.1 </w:t>
      </w:r>
      <w:r w:rsidR="00E52CC3">
        <w:t>subtype</w:t>
      </w:r>
      <w:r>
        <w:t>, and a non-inferior antibody response against the ancestral SARS</w:t>
      </w:r>
      <w:r w:rsidR="00D973C6">
        <w:noBreakHyphen/>
      </w:r>
      <w:r>
        <w:t>CoV</w:t>
      </w:r>
      <w:r w:rsidR="00D973C6">
        <w:noBreakHyphen/>
      </w:r>
      <w:r>
        <w:t xml:space="preserve">2 </w:t>
      </w:r>
      <w:r w:rsidR="00E52CC3">
        <w:t xml:space="preserve">strain </w:t>
      </w:r>
      <w:r>
        <w:t>(</w:t>
      </w:r>
      <w:r w:rsidR="00E52CC3">
        <w:t xml:space="preserve">with </w:t>
      </w:r>
      <w:r>
        <w:t>D614G</w:t>
      </w:r>
      <w:r w:rsidR="00E52CC3">
        <w:t xml:space="preserve"> mutation</w:t>
      </w:r>
      <w:r>
        <w:t xml:space="preserve">) 28 days after booster dose administration as compared to a 50 </w:t>
      </w:r>
      <w:proofErr w:type="spellStart"/>
      <w:r>
        <w:t>μg</w:t>
      </w:r>
      <w:proofErr w:type="spellEnd"/>
      <w:r>
        <w:t xml:space="preserve"> booster dose of </w:t>
      </w:r>
      <w:r w:rsidR="001C6F25">
        <w:t>monovalent vaccine (elasomeran)</w:t>
      </w:r>
      <w:r>
        <w:t>. The GMR (97.5% CI) for primary analysis population (participants with no prior infection) against the Omicron variant was 1.75 (1.49, 2.04), meeting the prespecified superiority criterion (lower bound of CI &gt;</w:t>
      </w:r>
      <w:r w:rsidR="007F21AA">
        <w:t> </w:t>
      </w:r>
      <w:r>
        <w:t xml:space="preserve">1). The GMR (97.5% CI) against the ancestral SARS-CoV-2 </w:t>
      </w:r>
      <w:r w:rsidR="00E52CC3">
        <w:t xml:space="preserve">strain </w:t>
      </w:r>
      <w:r>
        <w:t>(</w:t>
      </w:r>
      <w:r w:rsidR="00E52CC3">
        <w:t xml:space="preserve">with </w:t>
      </w:r>
      <w:r>
        <w:t>D614G</w:t>
      </w:r>
      <w:r w:rsidR="00E52CC3">
        <w:t xml:space="preserve"> mutation</w:t>
      </w:r>
      <w:r>
        <w:t>) was 1.22 (1.08, 1.37), meeting the prespecified criterion for non-inferiority (lower bound of CI ≥</w:t>
      </w:r>
      <w:r w:rsidR="007F21AA">
        <w:t> </w:t>
      </w:r>
      <w:r>
        <w:t>0.67).</w:t>
      </w:r>
      <w:r w:rsidR="00D973C6">
        <w:t xml:space="preserve"> The</w:t>
      </w:r>
      <w:r>
        <w:t xml:space="preserve"> </w:t>
      </w:r>
      <w:r w:rsidR="00D973C6">
        <w:t>O</w:t>
      </w:r>
      <w:r>
        <w:t>micron neutrali</w:t>
      </w:r>
      <w:r w:rsidR="00D973C6">
        <w:t>s</w:t>
      </w:r>
      <w:r>
        <w:t>ing antibody responses were higher in participants both with and without prior evidence of SARS</w:t>
      </w:r>
      <w:r w:rsidR="00D973C6">
        <w:noBreakHyphen/>
      </w:r>
      <w:r>
        <w:t>CoV</w:t>
      </w:r>
      <w:r w:rsidR="00D973C6">
        <w:noBreakHyphen/>
      </w:r>
      <w:r>
        <w:t xml:space="preserve">2 infection in the entire study population </w:t>
      </w:r>
      <w:r w:rsidR="001C6F25">
        <w:t>(</w:t>
      </w:r>
      <w:r>
        <w:t xml:space="preserve">GMR (97.5% CI) 1.79 (1.56, 2.04). The sponsor has confirmed that Day 91 </w:t>
      </w:r>
      <w:r w:rsidR="001C6F25">
        <w:t xml:space="preserve">data </w:t>
      </w:r>
      <w:r>
        <w:t xml:space="preserve">for </w:t>
      </w:r>
      <w:r w:rsidR="001C6F25">
        <w:t>bivalent vaccine (</w:t>
      </w:r>
      <w:proofErr w:type="spellStart"/>
      <w:r w:rsidR="001C6F25">
        <w:t>elasomeran</w:t>
      </w:r>
      <w:proofErr w:type="spellEnd"/>
      <w:r w:rsidR="001C6F25">
        <w:t xml:space="preserve"> + </w:t>
      </w:r>
      <w:proofErr w:type="spellStart"/>
      <w:r w:rsidR="001C6F25">
        <w:t>imelasomeran</w:t>
      </w:r>
      <w:proofErr w:type="spellEnd"/>
      <w:r w:rsidR="001C6F25">
        <w:t xml:space="preserve">) group </w:t>
      </w:r>
      <w:r>
        <w:t>will be provided when available. Although there is no immune correlate of protection, the difference in neutralising antibodies against Omicron would be expected to translate into a clinical benefit of the bivalent vaccine compared to the original vaccine.</w:t>
      </w:r>
    </w:p>
    <w:p w14:paraId="2C403F86" w14:textId="5B30D32B" w:rsidR="00896136" w:rsidRDefault="00896136" w:rsidP="00896136">
      <w:r>
        <w:t>Study P205 was not designed to evaluate booster vaccine effectiveness and the sponsor has stated that they will actively monitor real</w:t>
      </w:r>
      <w:r w:rsidR="00D973C6">
        <w:t xml:space="preserve"> </w:t>
      </w:r>
      <w:r>
        <w:t xml:space="preserve">world effectiveness data including future variants with additional antibody escape mutations, following the use of </w:t>
      </w:r>
      <w:r w:rsidR="001C6F25">
        <w:t>Spikevax bivalent vaccine (</w:t>
      </w:r>
      <w:proofErr w:type="spellStart"/>
      <w:r w:rsidR="001C6F25">
        <w:t>elasomeran</w:t>
      </w:r>
      <w:proofErr w:type="spellEnd"/>
      <w:r w:rsidR="001C6F25">
        <w:t xml:space="preserve"> + </w:t>
      </w:r>
      <w:proofErr w:type="spellStart"/>
      <w:r w:rsidR="001C6F25">
        <w:t>imelasomeran</w:t>
      </w:r>
      <w:proofErr w:type="spellEnd"/>
      <w:r w:rsidR="001C6F25">
        <w:t>)</w:t>
      </w:r>
      <w:r>
        <w:t xml:space="preserve"> if approved.</w:t>
      </w:r>
    </w:p>
    <w:p w14:paraId="37D1B7BF" w14:textId="7E02D4AF" w:rsidR="00896136" w:rsidRDefault="00896136" w:rsidP="00896136">
      <w:r>
        <w:t xml:space="preserve">The </w:t>
      </w:r>
      <w:proofErr w:type="spellStart"/>
      <w:r>
        <w:t>seroresponse</w:t>
      </w:r>
      <w:proofErr w:type="spellEnd"/>
      <w:r>
        <w:t xml:space="preserve"> was calculated relative to baseline titres pre-Dose 1 of the primary series. With an alternative definition of </w:t>
      </w:r>
      <w:proofErr w:type="spellStart"/>
      <w:r>
        <w:t>seroresponse</w:t>
      </w:r>
      <w:proofErr w:type="spellEnd"/>
      <w:r>
        <w:t xml:space="preserve"> which is being ≥</w:t>
      </w:r>
      <w:r w:rsidR="007F21AA">
        <w:t> </w:t>
      </w:r>
      <w:r>
        <w:t>4-fold increase relative to baseline titres pre-</w:t>
      </w:r>
      <w:r w:rsidR="00D973C6">
        <w:t xml:space="preserve">second </w:t>
      </w:r>
      <w:r>
        <w:t>booster, SRRs were consistent with the GMT results.</w:t>
      </w:r>
    </w:p>
    <w:p w14:paraId="0382D97B" w14:textId="6062E559" w:rsidR="00896136" w:rsidRDefault="00896136" w:rsidP="00896136">
      <w:r>
        <w:t xml:space="preserve">In addition, a subgroup analysis in participants with evidence of SARS-CoV-2 infection at </w:t>
      </w:r>
      <w:r w:rsidR="00D973C6">
        <w:t>B</w:t>
      </w:r>
      <w:r>
        <w:t xml:space="preserve">aseline showed that </w:t>
      </w:r>
      <w:r w:rsidR="001C6F25">
        <w:t>the bivalent vaccine (</w:t>
      </w:r>
      <w:proofErr w:type="spellStart"/>
      <w:r w:rsidR="001C6F25">
        <w:t>elasomeran</w:t>
      </w:r>
      <w:proofErr w:type="spellEnd"/>
      <w:r w:rsidR="001C6F25">
        <w:t xml:space="preserve"> + </w:t>
      </w:r>
      <w:proofErr w:type="spellStart"/>
      <w:r w:rsidR="001C6F25">
        <w:t>imelasomeran</w:t>
      </w:r>
      <w:proofErr w:type="spellEnd"/>
      <w:r w:rsidR="001C6F25">
        <w:t xml:space="preserve">) </w:t>
      </w:r>
      <w:r>
        <w:t xml:space="preserve">demonstrated higher immunogenicity against </w:t>
      </w:r>
      <w:r w:rsidR="00E52CC3">
        <w:t xml:space="preserve">the </w:t>
      </w:r>
      <w:r>
        <w:t xml:space="preserve">Omicron (B.1.1.529) </w:t>
      </w:r>
      <w:r w:rsidR="00E52CC3">
        <w:t xml:space="preserve">variant </w:t>
      </w:r>
      <w:r>
        <w:t>and ancestral SARS-CoV-2 (</w:t>
      </w:r>
      <w:r w:rsidR="00E52CC3">
        <w:t xml:space="preserve">with </w:t>
      </w:r>
      <w:r>
        <w:t>D614G</w:t>
      </w:r>
      <w:r w:rsidR="00E52CC3">
        <w:t xml:space="preserve"> mutation</w:t>
      </w:r>
      <w:r>
        <w:t xml:space="preserve">) </w:t>
      </w:r>
      <w:r w:rsidR="00E52CC3">
        <w:t xml:space="preserve">strain </w:t>
      </w:r>
      <w:r>
        <w:t>with the Day 29 GMR of 1.898 (97.5% CI: 1.499, 2.403) and 1.272 (97.5% CI: 1.070, 1.512), respectively.</w:t>
      </w:r>
    </w:p>
    <w:p w14:paraId="4DDDF4E9" w14:textId="0E2F27C0" w:rsidR="00896136" w:rsidRDefault="00896136" w:rsidP="00896136">
      <w:r>
        <w:t xml:space="preserve">Additionally, in the exploratory immunogenicity analysis, 50 </w:t>
      </w:r>
      <w:proofErr w:type="spellStart"/>
      <w:r>
        <w:t>μg</w:t>
      </w:r>
      <w:proofErr w:type="spellEnd"/>
      <w:r>
        <w:t xml:space="preserve"> </w:t>
      </w:r>
      <w:r w:rsidR="001C6F25">
        <w:t>bivalent vaccine (</w:t>
      </w:r>
      <w:proofErr w:type="spellStart"/>
      <w:r w:rsidR="001C6F25">
        <w:t>elasomeran</w:t>
      </w:r>
      <w:proofErr w:type="spellEnd"/>
      <w:r w:rsidR="001C6F25">
        <w:t xml:space="preserve"> + </w:t>
      </w:r>
      <w:proofErr w:type="spellStart"/>
      <w:r w:rsidR="001C6F25">
        <w:t>imelasomeran</w:t>
      </w:r>
      <w:proofErr w:type="spellEnd"/>
      <w:r w:rsidR="001C6F25">
        <w:t xml:space="preserve">) </w:t>
      </w:r>
      <w:r>
        <w:t>elicited higher neutrali</w:t>
      </w:r>
      <w:r w:rsidR="00D973C6">
        <w:t>s</w:t>
      </w:r>
      <w:r>
        <w:t xml:space="preserve">ing antibody response against the Omicron BA.4 and BA.5 subvariants; </w:t>
      </w:r>
      <w:r w:rsidR="001C6F25">
        <w:t xml:space="preserve">the </w:t>
      </w:r>
      <w:proofErr w:type="spellStart"/>
      <w:r w:rsidR="001C6F25">
        <w:t>Spikevax</w:t>
      </w:r>
      <w:proofErr w:type="spellEnd"/>
      <w:r w:rsidR="001C6F25">
        <w:t xml:space="preserve"> bivalent vaccine (</w:t>
      </w:r>
      <w:proofErr w:type="spellStart"/>
      <w:r w:rsidR="001C6F25">
        <w:t>elasomeran</w:t>
      </w:r>
      <w:proofErr w:type="spellEnd"/>
      <w:r w:rsidR="001C6F25">
        <w:t xml:space="preserve"> + </w:t>
      </w:r>
      <w:proofErr w:type="spellStart"/>
      <w:r w:rsidR="001C6F25">
        <w:t>imelasomeran</w:t>
      </w:r>
      <w:proofErr w:type="spellEnd"/>
      <w:r w:rsidR="001C6F25">
        <w:t xml:space="preserve">) </w:t>
      </w:r>
      <w:r>
        <w:t>also elicited higher binding antibody responses against multiple variants not contained in the vaccine, including</w:t>
      </w:r>
      <w:r w:rsidR="001C6F25">
        <w:t xml:space="preserve"> the</w:t>
      </w:r>
      <w:r>
        <w:t xml:space="preserve"> Alpha, Beta, Gamma, and Delta</w:t>
      </w:r>
      <w:r w:rsidR="001C6F25">
        <w:t xml:space="preserve"> variants</w:t>
      </w:r>
      <w:r>
        <w:t>.</w:t>
      </w:r>
    </w:p>
    <w:p w14:paraId="57097572" w14:textId="2E610276" w:rsidR="00896136" w:rsidRDefault="00896136" w:rsidP="00896136">
      <w:r>
        <w:t xml:space="preserve">The </w:t>
      </w:r>
      <w:r w:rsidR="00D973C6">
        <w:t>sponsor</w:t>
      </w:r>
      <w:r>
        <w:t xml:space="preserve"> has provided supportive </w:t>
      </w:r>
      <w:r w:rsidR="00D973C6">
        <w:t>D</w:t>
      </w:r>
      <w:r>
        <w:t xml:space="preserve">ay 181 data for </w:t>
      </w:r>
      <w:r w:rsidR="001C6F25">
        <w:t>a different bivalent COVID-19 vaccine (</w:t>
      </w:r>
      <w:r>
        <w:t>mRNA-1273.211</w:t>
      </w:r>
      <w:r w:rsidR="001C6F25">
        <w:t>)</w:t>
      </w:r>
      <w:r>
        <w:t xml:space="preserve">, a bivalent vaccine containing equal amounts of the ancestral SARS-CoV-2 and Beta variant spike protein sequences, from Part A1 of </w:t>
      </w:r>
      <w:r w:rsidR="00D973C6">
        <w:t>S</w:t>
      </w:r>
      <w:r>
        <w:t>tudy P205. These data suggest some persistence of the neutralising antibodies induced by a bivalent mRNA vaccine against ancestral and variant strains. These data also provide some supportive evidence to extrapolate</w:t>
      </w:r>
      <w:r w:rsidR="001C6F25">
        <w:t xml:space="preserve"> Spikevax</w:t>
      </w:r>
      <w:r>
        <w:t xml:space="preserve"> </w:t>
      </w:r>
      <w:r w:rsidR="001C6F25">
        <w:t>bivalent vaccine (</w:t>
      </w:r>
      <w:proofErr w:type="spellStart"/>
      <w:r w:rsidR="001C6F25">
        <w:t>elasomeran</w:t>
      </w:r>
      <w:proofErr w:type="spellEnd"/>
      <w:r w:rsidR="001C6F25">
        <w:t xml:space="preserve"> + </w:t>
      </w:r>
      <w:proofErr w:type="spellStart"/>
      <w:r w:rsidR="001C6F25">
        <w:t>imelasomeran</w:t>
      </w:r>
      <w:proofErr w:type="spellEnd"/>
      <w:r w:rsidR="001C6F25">
        <w:t xml:space="preserve">) as evaluated in this submission, </w:t>
      </w:r>
      <w:r>
        <w:t>to the first booster setting.</w:t>
      </w:r>
    </w:p>
    <w:p w14:paraId="20EB7859" w14:textId="5B8C5D84" w:rsidR="00896136" w:rsidRDefault="00896136" w:rsidP="00896136">
      <w:pPr>
        <w:pStyle w:val="Heading5"/>
      </w:pPr>
      <w:r>
        <w:t>Safety</w:t>
      </w:r>
    </w:p>
    <w:p w14:paraId="0474B152" w14:textId="05768B91" w:rsidR="00896136" w:rsidRDefault="00896136" w:rsidP="00896136">
      <w:r>
        <w:t xml:space="preserve">Safety data was obtained from </w:t>
      </w:r>
      <w:r w:rsidR="00D973C6">
        <w:t xml:space="preserve">Study </w:t>
      </w:r>
      <w:r>
        <w:t>P205 Part</w:t>
      </w:r>
      <w:r w:rsidR="001C6F25">
        <w:t>s G and F</w:t>
      </w:r>
      <w:r>
        <w:t>, with a median follow</w:t>
      </w:r>
      <w:r w:rsidR="00D973C6">
        <w:t xml:space="preserve"> </w:t>
      </w:r>
      <w:r>
        <w:t xml:space="preserve">up duration of 43 days (range 22 to 51 days) for </w:t>
      </w:r>
      <w:r w:rsidR="00D973C6">
        <w:t xml:space="preserve">Study P205 </w:t>
      </w:r>
      <w:r>
        <w:t xml:space="preserve">Part G and 57 days (range 51 to 66 days) </w:t>
      </w:r>
      <w:r>
        <w:lastRenderedPageBreak/>
        <w:t xml:space="preserve">for </w:t>
      </w:r>
      <w:r w:rsidR="00D973C6">
        <w:t xml:space="preserve">Study P205 </w:t>
      </w:r>
      <w:r>
        <w:t xml:space="preserve">Part F. This involved collection of solicited local and systemic </w:t>
      </w:r>
      <w:r w:rsidR="00E52CC3">
        <w:t>adverse events (</w:t>
      </w:r>
      <w:r>
        <w:t>AEs</w:t>
      </w:r>
      <w:r w:rsidR="00E52CC3">
        <w:t>)</w:t>
      </w:r>
      <w:r>
        <w:t xml:space="preserve"> during 7</w:t>
      </w:r>
      <w:r w:rsidR="001C6F25">
        <w:noBreakHyphen/>
      </w:r>
      <w:r>
        <w:t>day follow</w:t>
      </w:r>
      <w:r w:rsidR="00D973C6">
        <w:t xml:space="preserve"> </w:t>
      </w:r>
      <w:r>
        <w:t xml:space="preserve">up period after vaccination, as well as unsolicited AEs </w:t>
      </w:r>
      <w:proofErr w:type="gramStart"/>
      <w:r>
        <w:t>during</w:t>
      </w:r>
      <w:proofErr w:type="gramEnd"/>
      <w:r>
        <w:t xml:space="preserve"> 28</w:t>
      </w:r>
      <w:r w:rsidR="00D973C6">
        <w:t xml:space="preserve"> </w:t>
      </w:r>
      <w:r>
        <w:t>day follow</w:t>
      </w:r>
      <w:r w:rsidR="00D973C6">
        <w:t xml:space="preserve"> </w:t>
      </w:r>
      <w:r>
        <w:t xml:space="preserve">up period after vaccination. </w:t>
      </w:r>
      <w:r w:rsidR="00E52CC3">
        <w:t xml:space="preserve">Serious adverse events, </w:t>
      </w:r>
      <w:proofErr w:type="gramStart"/>
      <w:r w:rsidR="00E52CC3">
        <w:t>medically-attended</w:t>
      </w:r>
      <w:proofErr w:type="gramEnd"/>
      <w:r w:rsidR="00E52CC3">
        <w:t xml:space="preserve"> adverse events and adverse events with special interest </w:t>
      </w:r>
      <w:r>
        <w:t xml:space="preserve">were also collected until the data </w:t>
      </w:r>
      <w:proofErr w:type="spellStart"/>
      <w:r>
        <w:t>cutoff</w:t>
      </w:r>
      <w:proofErr w:type="spellEnd"/>
      <w:r>
        <w:t>.</w:t>
      </w:r>
    </w:p>
    <w:p w14:paraId="0BC3591B" w14:textId="2C3118DE" w:rsidR="00896136" w:rsidRDefault="00896136" w:rsidP="00896136">
      <w:r>
        <w:t xml:space="preserve">The reactogenicity profile of 50 </w:t>
      </w:r>
      <w:proofErr w:type="spellStart"/>
      <w:r>
        <w:t>μg</w:t>
      </w:r>
      <w:proofErr w:type="spellEnd"/>
      <w:r>
        <w:t xml:space="preserve"> </w:t>
      </w:r>
      <w:r w:rsidR="001C6F25">
        <w:t>bivalent vaccine (</w:t>
      </w:r>
      <w:proofErr w:type="spellStart"/>
      <w:r w:rsidR="001C6F25">
        <w:t>elasomeran</w:t>
      </w:r>
      <w:proofErr w:type="spellEnd"/>
      <w:r w:rsidR="001C6F25">
        <w:t xml:space="preserve"> + </w:t>
      </w:r>
      <w:proofErr w:type="spellStart"/>
      <w:r w:rsidR="001C6F25">
        <w:t>imelasomeran</w:t>
      </w:r>
      <w:proofErr w:type="spellEnd"/>
      <w:r w:rsidR="001C6F25">
        <w:t xml:space="preserve">) </w:t>
      </w:r>
      <w:r>
        <w:t xml:space="preserve">appeared </w:t>
      </w:r>
      <w:proofErr w:type="gramStart"/>
      <w:r>
        <w:t>similar to</w:t>
      </w:r>
      <w:proofErr w:type="gramEnd"/>
      <w:r>
        <w:t xml:space="preserve"> that of 50</w:t>
      </w:r>
      <w:r w:rsidR="007F21AA">
        <w:t> </w:t>
      </w:r>
      <w:proofErr w:type="spellStart"/>
      <w:r>
        <w:t>μg</w:t>
      </w:r>
      <w:proofErr w:type="spellEnd"/>
      <w:r>
        <w:t xml:space="preserve"> </w:t>
      </w:r>
      <w:r w:rsidR="001C6F25">
        <w:t>monovalent vaccine (</w:t>
      </w:r>
      <w:proofErr w:type="spellStart"/>
      <w:r w:rsidR="001C6F25">
        <w:t>elasomeran</w:t>
      </w:r>
      <w:proofErr w:type="spellEnd"/>
      <w:r w:rsidR="001C6F25">
        <w:t xml:space="preserve">) </w:t>
      </w:r>
      <w:r>
        <w:t>when administered as a second booster dose (median of 133 days after a first booster dose of 50</w:t>
      </w:r>
      <w:r w:rsidR="007F21AA">
        <w:t> </w:t>
      </w:r>
      <w:proofErr w:type="spellStart"/>
      <w:r>
        <w:t>μg</w:t>
      </w:r>
      <w:proofErr w:type="spellEnd"/>
      <w:r>
        <w:t xml:space="preserve"> </w:t>
      </w:r>
      <w:r w:rsidR="001C6F25">
        <w:t>monovalent vaccine (</w:t>
      </w:r>
      <w:proofErr w:type="spellStart"/>
      <w:r w:rsidR="001C6F25">
        <w:t>elasomeran</w:t>
      </w:r>
      <w:proofErr w:type="spellEnd"/>
      <w:r w:rsidR="001C6F25">
        <w:t>)</w:t>
      </w:r>
      <w:r>
        <w:t>). The reactogenicity profile of 50</w:t>
      </w:r>
      <w:r w:rsidR="007F21AA">
        <w:t> </w:t>
      </w:r>
      <w:proofErr w:type="spellStart"/>
      <w:r>
        <w:t>μg</w:t>
      </w:r>
      <w:proofErr w:type="spellEnd"/>
      <w:r>
        <w:t xml:space="preserve"> </w:t>
      </w:r>
      <w:r w:rsidR="001C6F25">
        <w:t>bivalent vaccine (</w:t>
      </w:r>
      <w:proofErr w:type="spellStart"/>
      <w:r w:rsidR="001C6F25">
        <w:t>elasomeran</w:t>
      </w:r>
      <w:proofErr w:type="spellEnd"/>
      <w:r w:rsidR="001C6F25">
        <w:t xml:space="preserve"> + </w:t>
      </w:r>
      <w:proofErr w:type="spellStart"/>
      <w:r w:rsidR="001C6F25">
        <w:t>imelasomeran</w:t>
      </w:r>
      <w:proofErr w:type="spellEnd"/>
      <w:r w:rsidR="001C6F25">
        <w:t xml:space="preserve">) </w:t>
      </w:r>
      <w:r>
        <w:t xml:space="preserve">was similar for participants with and without prior SARS-CoV-2 infection who received </w:t>
      </w:r>
      <w:r w:rsidR="001C6F25">
        <w:t>bivalent vaccine.</w:t>
      </w:r>
    </w:p>
    <w:p w14:paraId="603E0AC4" w14:textId="6E47753F" w:rsidR="00896136" w:rsidRDefault="00896136" w:rsidP="00896136">
      <w:r>
        <w:t xml:space="preserve">Reactogenicity outcomes for </w:t>
      </w:r>
      <w:r w:rsidR="001C6F25">
        <w:t>the Spikevax bivalent vaccine (</w:t>
      </w:r>
      <w:proofErr w:type="spellStart"/>
      <w:r w:rsidR="001C6F25">
        <w:t>elasomeran</w:t>
      </w:r>
      <w:proofErr w:type="spellEnd"/>
      <w:r w:rsidR="001C6F25">
        <w:t xml:space="preserve"> + </w:t>
      </w:r>
      <w:proofErr w:type="spellStart"/>
      <w:r w:rsidR="001C6F25">
        <w:t>imelasomeran</w:t>
      </w:r>
      <w:proofErr w:type="spellEnd"/>
      <w:r w:rsidR="001C6F25">
        <w:t xml:space="preserve">) </w:t>
      </w:r>
      <w:r>
        <w:t xml:space="preserve">were comparable to those for the solicited safety set of </w:t>
      </w:r>
      <w:r w:rsidR="00D973C6">
        <w:t>S</w:t>
      </w:r>
      <w:r>
        <w:t xml:space="preserve">tudy P201 </w:t>
      </w:r>
      <w:r w:rsidR="00D973C6">
        <w:t>P</w:t>
      </w:r>
      <w:r>
        <w:t>art B which included 330 participants who received a 50</w:t>
      </w:r>
      <w:r w:rsidR="007F21AA">
        <w:t> </w:t>
      </w:r>
      <w:proofErr w:type="spellStart"/>
      <w:r>
        <w:t>μg</w:t>
      </w:r>
      <w:proofErr w:type="spellEnd"/>
      <w:r>
        <w:t xml:space="preserve"> first booster of </w:t>
      </w:r>
      <w:r w:rsidR="001C6F25">
        <w:t xml:space="preserve">the Spikevax monovalent vaccine (elasomeran) </w:t>
      </w:r>
      <w:r>
        <w:t xml:space="preserve">after </w:t>
      </w:r>
      <w:r w:rsidR="001C6F25">
        <w:t xml:space="preserve">their Spikevax monovalent (elasomeran) </w:t>
      </w:r>
      <w:r>
        <w:t>primary series</w:t>
      </w:r>
      <w:r w:rsidR="001C6F25">
        <w:t xml:space="preserve"> of vaccination</w:t>
      </w:r>
      <w:r>
        <w:t>. The sponsor claims that this would suggest that at the 50</w:t>
      </w:r>
      <w:r w:rsidR="007F21AA">
        <w:t> </w:t>
      </w:r>
      <w:proofErr w:type="spellStart"/>
      <w:r>
        <w:t>μg</w:t>
      </w:r>
      <w:proofErr w:type="spellEnd"/>
      <w:r>
        <w:t xml:space="preserve"> dose, the reactogenicity profile of </w:t>
      </w:r>
      <w:r w:rsidR="001C6F25">
        <w:t>the Spikevax bivalent vaccine (</w:t>
      </w:r>
      <w:proofErr w:type="spellStart"/>
      <w:r w:rsidR="001C6F25">
        <w:t>elasomeran</w:t>
      </w:r>
      <w:proofErr w:type="spellEnd"/>
      <w:r w:rsidR="001C6F25">
        <w:t xml:space="preserve"> + </w:t>
      </w:r>
      <w:proofErr w:type="spellStart"/>
      <w:r w:rsidR="001C6F25">
        <w:t>imelasomeran</w:t>
      </w:r>
      <w:proofErr w:type="spellEnd"/>
      <w:r w:rsidR="001C6F25">
        <w:t xml:space="preserve">) </w:t>
      </w:r>
      <w:r>
        <w:t xml:space="preserve">when used as a second booster should be </w:t>
      </w:r>
      <w:proofErr w:type="gramStart"/>
      <w:r>
        <w:t>similar to</w:t>
      </w:r>
      <w:proofErr w:type="gramEnd"/>
      <w:r>
        <w:t xml:space="preserve"> the reactogenicity profile of </w:t>
      </w:r>
      <w:r w:rsidR="002771C2">
        <w:t xml:space="preserve">the Spikevax </w:t>
      </w:r>
      <w:r w:rsidR="001C6F25">
        <w:t xml:space="preserve">monovalent vaccine (elasomeran) </w:t>
      </w:r>
      <w:r>
        <w:t xml:space="preserve">when used as a first or second booster, in individuals who received </w:t>
      </w:r>
      <w:r w:rsidR="002771C2">
        <w:t xml:space="preserve">Spikevax monovalent vaccine (elasomeran) </w:t>
      </w:r>
      <w:r>
        <w:t>as the primary series.</w:t>
      </w:r>
    </w:p>
    <w:p w14:paraId="472FF69E" w14:textId="3BB6A10D" w:rsidR="00896136" w:rsidRDefault="00896136" w:rsidP="00896136">
      <w:r>
        <w:t>The solicited local and systemic AE</w:t>
      </w:r>
      <w:r w:rsidR="002771C2">
        <w:t xml:space="preserve"> profiles</w:t>
      </w:r>
      <w:r>
        <w:t xml:space="preserve"> were similar between</w:t>
      </w:r>
      <w:r w:rsidR="00D973C6">
        <w:t xml:space="preserve"> Study P205</w:t>
      </w:r>
      <w:r>
        <w:t xml:space="preserve"> Part</w:t>
      </w:r>
      <w:r w:rsidR="002771C2">
        <w:t>s</w:t>
      </w:r>
      <w:r>
        <w:t xml:space="preserve"> G</w:t>
      </w:r>
      <w:r w:rsidR="002771C2">
        <w:t xml:space="preserve"> and F. </w:t>
      </w:r>
      <w:r>
        <w:t>The most common solicited local AE was pain (77% in</w:t>
      </w:r>
      <w:r w:rsidR="00D973C6">
        <w:t xml:space="preserve"> Study P205</w:t>
      </w:r>
      <w:r>
        <w:t xml:space="preserve"> Part G), followed by axillary swelling or tenderness (17% in </w:t>
      </w:r>
      <w:r w:rsidR="00D973C6">
        <w:t xml:space="preserve">Study P205 </w:t>
      </w:r>
      <w:r>
        <w:t xml:space="preserve">Part G). The most common systemic AE was fatigue (55% in </w:t>
      </w:r>
      <w:r w:rsidR="00D973C6">
        <w:t xml:space="preserve">Study P205 </w:t>
      </w:r>
      <w:r>
        <w:t xml:space="preserve">Part G), followed by headache, myalgia, and arthralgia. The majority of solicited local and systemic AEs were Grade 1 followed by Grade 2. The median duration of local and systemic AEs was 2 days, and no Grade 4 local AE was reported in both </w:t>
      </w:r>
      <w:r w:rsidR="002771C2">
        <w:t>p</w:t>
      </w:r>
      <w:r>
        <w:t>arts</w:t>
      </w:r>
      <w:r w:rsidR="002771C2">
        <w:t xml:space="preserve"> of Study P205.</w:t>
      </w:r>
    </w:p>
    <w:p w14:paraId="1614D714" w14:textId="10D9A9B9" w:rsidR="00896136" w:rsidRDefault="00896136" w:rsidP="00896136">
      <w:r>
        <w:t>Approximately 20% of participants experienced at least one TEAE. Those that were considered by the investigator to be related to vaccination (</w:t>
      </w:r>
      <w:r w:rsidR="00D973C6">
        <w:t xml:space="preserve">Study P205 </w:t>
      </w:r>
      <w:r>
        <w:t xml:space="preserve">Part G, 5.7%) were generally consistent with reactogenicity (lymphadenopathy, arthralgia, myalgia, fatigue, and injection site reactions). The incidence of </w:t>
      </w:r>
      <w:r w:rsidR="001E40E1">
        <w:t xml:space="preserve">serious AEs </w:t>
      </w:r>
      <w:r>
        <w:t xml:space="preserve">and severe </w:t>
      </w:r>
      <w:r w:rsidR="001E40E1">
        <w:t xml:space="preserve">treatment-emergent AEs </w:t>
      </w:r>
      <w:r>
        <w:t xml:space="preserve">was low, and no </w:t>
      </w:r>
      <w:r w:rsidR="001E40E1">
        <w:t xml:space="preserve">serious </w:t>
      </w:r>
      <w:r>
        <w:t>AEs were considered by the investigator to be related to vaccination.</w:t>
      </w:r>
    </w:p>
    <w:p w14:paraId="388BDF46" w14:textId="3C4DA07E" w:rsidR="00896136" w:rsidRDefault="00896136" w:rsidP="00896136">
      <w:r>
        <w:t xml:space="preserve">The sponsor confirms that review of potential </w:t>
      </w:r>
      <w:r w:rsidR="00D973C6">
        <w:t>a</w:t>
      </w:r>
      <w:r>
        <w:t xml:space="preserve">dverse </w:t>
      </w:r>
      <w:r w:rsidR="00D973C6">
        <w:t>e</w:t>
      </w:r>
      <w:r>
        <w:t xml:space="preserve">vents of </w:t>
      </w:r>
      <w:r w:rsidR="00D973C6">
        <w:t>s</w:t>
      </w:r>
      <w:r>
        <w:t xml:space="preserve">pecial </w:t>
      </w:r>
      <w:r w:rsidR="00D973C6">
        <w:t>i</w:t>
      </w:r>
      <w:r>
        <w:t xml:space="preserve">nterest using SMQs (including cardiomyopathy, cardiac arrhythmia, and hypersensitivity) did not identify any new safety concerns. One event of tachycardia (in a </w:t>
      </w:r>
      <w:proofErr w:type="gramStart"/>
      <w:r>
        <w:t>53</w:t>
      </w:r>
      <w:r w:rsidR="00D973C6">
        <w:t xml:space="preserve"> year</w:t>
      </w:r>
      <w:r>
        <w:t xml:space="preserve"> old</w:t>
      </w:r>
      <w:proofErr w:type="gramEnd"/>
      <w:r>
        <w:t xml:space="preserve"> female) and one event of irregular heart rate (in a 71</w:t>
      </w:r>
      <w:r w:rsidR="00D973C6">
        <w:t xml:space="preserve"> year old</w:t>
      </w:r>
      <w:r>
        <w:t xml:space="preserve"> male) ware not considered by the investigator to be related to vaccination.</w:t>
      </w:r>
    </w:p>
    <w:p w14:paraId="6901656E" w14:textId="35D96D8F" w:rsidR="00896136" w:rsidRDefault="00896136" w:rsidP="00896136">
      <w:r>
        <w:t xml:space="preserve">No cases of myocarditis or pericarditis were reported in </w:t>
      </w:r>
      <w:r w:rsidR="002771C2">
        <w:t>the Spikevax bivalent vaccine (</w:t>
      </w:r>
      <w:proofErr w:type="spellStart"/>
      <w:r w:rsidR="002771C2">
        <w:t>elasomeran</w:t>
      </w:r>
      <w:proofErr w:type="spellEnd"/>
      <w:r w:rsidR="002771C2">
        <w:t xml:space="preserve"> + </w:t>
      </w:r>
      <w:proofErr w:type="spellStart"/>
      <w:r w:rsidR="002771C2">
        <w:t>imelasomeran</w:t>
      </w:r>
      <w:proofErr w:type="spellEnd"/>
      <w:r w:rsidR="002771C2">
        <w:t>) participants, nor in the sponsor’s alternate investigational bivalent vaccine (mRNA-</w:t>
      </w:r>
      <w:r>
        <w:t>1273.211</w:t>
      </w:r>
      <w:r w:rsidR="002771C2">
        <w:t>)</w:t>
      </w:r>
      <w:r>
        <w:t xml:space="preserve"> participants enrolled in </w:t>
      </w:r>
      <w:r w:rsidR="00D973C6">
        <w:t>S</w:t>
      </w:r>
      <w:r>
        <w:t>tudy P205. The sponsor confirmed that an enhanced safety analysis has been performed to capture any unrecogn</w:t>
      </w:r>
      <w:r w:rsidR="00741008">
        <w:t>is</w:t>
      </w:r>
      <w:r>
        <w:t>ed myocarditis or pericarditis events by searching the safety dataset for adverse events compatible with signs, symptoms, laboratory investigations, and procedural findings that might indicate potential events. The myocarditis and pericarditis risk appeared to be consistent with the known safety profile of mRNA</w:t>
      </w:r>
      <w:r w:rsidR="007F21AA">
        <w:noBreakHyphen/>
      </w:r>
      <w:r>
        <w:t>1273</w:t>
      </w:r>
      <w:r w:rsidR="002771C2">
        <w:t xml:space="preserve"> based</w:t>
      </w:r>
      <w:r>
        <w:t xml:space="preserve"> vaccines and the sponsor has confirmed that the monitoring will continue in clinical studies, pharmacovigilance, and </w:t>
      </w:r>
      <w:r w:rsidR="00D973C6">
        <w:t>post authorisation safety study.</w:t>
      </w:r>
    </w:p>
    <w:p w14:paraId="759D2777" w14:textId="5C23932A" w:rsidR="00896136" w:rsidRDefault="00896136" w:rsidP="00896136">
      <w:r>
        <w:t>No new safety concerns have been identified in studies of modified mRNA</w:t>
      </w:r>
      <w:r w:rsidR="007F21AA">
        <w:noBreakHyphen/>
      </w:r>
      <w:r>
        <w:t xml:space="preserve">1273 bivalent </w:t>
      </w:r>
      <w:r w:rsidR="002771C2">
        <w:t>vaccine (</w:t>
      </w:r>
      <w:proofErr w:type="spellStart"/>
      <w:r w:rsidR="002771C2">
        <w:t>elasomeran</w:t>
      </w:r>
      <w:proofErr w:type="spellEnd"/>
      <w:r w:rsidR="002771C2">
        <w:t xml:space="preserve"> + </w:t>
      </w:r>
      <w:proofErr w:type="spellStart"/>
      <w:r w:rsidR="002771C2">
        <w:t>imelasomeran</w:t>
      </w:r>
      <w:proofErr w:type="spellEnd"/>
      <w:r w:rsidR="002771C2">
        <w:t xml:space="preserve">) at </w:t>
      </w:r>
      <w:r>
        <w:t>50</w:t>
      </w:r>
      <w:r w:rsidR="007F21AA">
        <w:t> </w:t>
      </w:r>
      <w:proofErr w:type="spellStart"/>
      <w:r>
        <w:t>μg</w:t>
      </w:r>
      <w:proofErr w:type="spellEnd"/>
      <w:r>
        <w:t xml:space="preserve"> given as a second booster dose (N</w:t>
      </w:r>
      <w:r w:rsidR="00D973C6">
        <w:t xml:space="preserve"> </w:t>
      </w:r>
      <w:r>
        <w:t>=</w:t>
      </w:r>
      <w:r w:rsidR="00D973C6">
        <w:t xml:space="preserve"> </w:t>
      </w:r>
      <w:r>
        <w:t xml:space="preserve">437, </w:t>
      </w:r>
      <w:r>
        <w:lastRenderedPageBreak/>
        <w:t>median of 136 days after a first booster dose of 50</w:t>
      </w:r>
      <w:r w:rsidR="007F21AA">
        <w:t> </w:t>
      </w:r>
      <w:proofErr w:type="spellStart"/>
      <w:r>
        <w:t>μg</w:t>
      </w:r>
      <w:proofErr w:type="spellEnd"/>
      <w:r>
        <w:t xml:space="preserve"> </w:t>
      </w:r>
      <w:r w:rsidR="002771C2">
        <w:t xml:space="preserve">of the </w:t>
      </w:r>
      <w:proofErr w:type="spellStart"/>
      <w:r w:rsidR="002771C2">
        <w:t>Spikevax</w:t>
      </w:r>
      <w:proofErr w:type="spellEnd"/>
      <w:r w:rsidR="002771C2">
        <w:t xml:space="preserve"> monovalent vaccine (elasomeran)</w:t>
      </w:r>
      <w:r>
        <w:t>,</w:t>
      </w:r>
      <w:r w:rsidR="002771C2">
        <w:t xml:space="preserve"> with a</w:t>
      </w:r>
      <w:r>
        <w:t xml:space="preserve"> median follow</w:t>
      </w:r>
      <w:r w:rsidR="00D973C6">
        <w:t xml:space="preserve"> </w:t>
      </w:r>
      <w:r>
        <w:t>up of 43</w:t>
      </w:r>
      <w:r w:rsidR="002771C2">
        <w:t> </w:t>
      </w:r>
      <w:r>
        <w:t>days).</w:t>
      </w:r>
    </w:p>
    <w:p w14:paraId="56D2CD1F" w14:textId="24BD0C4C" w:rsidR="00896136" w:rsidRPr="00896136" w:rsidRDefault="00D973C6" w:rsidP="00896136">
      <w:r>
        <w:t>The s</w:t>
      </w:r>
      <w:r w:rsidR="00896136">
        <w:t xml:space="preserve">ponsor believes that, in principle, the use of Spikevax </w:t>
      </w:r>
      <w:r w:rsidR="003E1504">
        <w:t>B</w:t>
      </w:r>
      <w:r w:rsidR="00896136">
        <w:t>ivalent</w:t>
      </w:r>
      <w:r>
        <w:t xml:space="preserve"> </w:t>
      </w:r>
      <w:r w:rsidR="003E1504">
        <w:t>O</w:t>
      </w:r>
      <w:r>
        <w:t>riginal/Omicron COVID-19 vaccine</w:t>
      </w:r>
      <w:r w:rsidR="00896136">
        <w:t xml:space="preserve"> as a booster regardless of the dose number, is supported by the data generated as a second booster and can be safely used as a first booster as there is no scientific reason, based on either safety or efficacy to believe that the immunogenicity and safety results would be qualitatively different in other booster settings. </w:t>
      </w:r>
      <w:r>
        <w:t>The s</w:t>
      </w:r>
      <w:r w:rsidR="00896136">
        <w:t xml:space="preserve">ponsor states that safety and the reactogenicity profile for Spikevax </w:t>
      </w:r>
      <w:r w:rsidR="003E1504">
        <w:t>B</w:t>
      </w:r>
      <w:r w:rsidR="00896136">
        <w:t>ivalent</w:t>
      </w:r>
      <w:r>
        <w:t xml:space="preserve"> </w:t>
      </w:r>
      <w:r w:rsidR="003E1504">
        <w:t>O</w:t>
      </w:r>
      <w:r>
        <w:t>riginal/Omicron COVID</w:t>
      </w:r>
      <w:r w:rsidR="007F21AA">
        <w:noBreakHyphen/>
      </w:r>
      <w:r>
        <w:t>19 vaccine</w:t>
      </w:r>
      <w:r w:rsidR="00896136">
        <w:t xml:space="preserve"> is similar with that of Spikevax booster in the clinical study, </w:t>
      </w:r>
      <w:r>
        <w:t xml:space="preserve">Study </w:t>
      </w:r>
      <w:r w:rsidR="00896136">
        <w:t xml:space="preserve">P205. Additionally, the safety of </w:t>
      </w:r>
      <w:r w:rsidR="002771C2">
        <w:t>the sponsor’s alternate</w:t>
      </w:r>
      <w:r w:rsidR="00C916A9">
        <w:t xml:space="preserve"> investigational</w:t>
      </w:r>
      <w:r w:rsidR="00896136">
        <w:t xml:space="preserve"> bivalent vaccine, mRNA 1273.211, was evaluated as a </w:t>
      </w:r>
      <w:r>
        <w:t>third</w:t>
      </w:r>
      <w:r w:rsidR="00896136">
        <w:t xml:space="preserve"> dose (</w:t>
      </w:r>
      <w:r w:rsidR="007F21AA">
        <w:t>f</w:t>
      </w:r>
      <w:r>
        <w:t>irst</w:t>
      </w:r>
      <w:r w:rsidR="00896136">
        <w:t xml:space="preserve"> booster dose) in the </w:t>
      </w:r>
      <w:r w:rsidR="00F156F0">
        <w:t xml:space="preserve">Study </w:t>
      </w:r>
      <w:r w:rsidR="00896136">
        <w:t xml:space="preserve">P205 study as well. The safety data from mRNA 1273.211 </w:t>
      </w:r>
      <w:r w:rsidR="00F156F0">
        <w:t xml:space="preserve">at </w:t>
      </w:r>
      <w:r w:rsidR="00896136">
        <w:t>50</w:t>
      </w:r>
      <w:r w:rsidR="007F21AA">
        <w:t> </w:t>
      </w:r>
      <w:proofErr w:type="spellStart"/>
      <w:r w:rsidR="00896136">
        <w:t>μg</w:t>
      </w:r>
      <w:proofErr w:type="spellEnd"/>
      <w:r w:rsidR="00896136">
        <w:t xml:space="preserve"> also are </w:t>
      </w:r>
      <w:proofErr w:type="gramStart"/>
      <w:r w:rsidR="00896136">
        <w:t>similar to</w:t>
      </w:r>
      <w:proofErr w:type="gramEnd"/>
      <w:r w:rsidR="00896136">
        <w:t xml:space="preserve"> that of Spikevax booster</w:t>
      </w:r>
      <w:r w:rsidR="00F156F0">
        <w:t xml:space="preserve"> at</w:t>
      </w:r>
      <w:r w:rsidR="00896136">
        <w:t xml:space="preserve"> 50</w:t>
      </w:r>
      <w:r w:rsidR="007F21AA">
        <w:t> </w:t>
      </w:r>
      <w:proofErr w:type="spellStart"/>
      <w:r w:rsidR="00896136">
        <w:t>μg</w:t>
      </w:r>
      <w:proofErr w:type="spellEnd"/>
      <w:r w:rsidR="00896136">
        <w:t>. The proposed dose recommendations for S</w:t>
      </w:r>
      <w:r w:rsidR="00F156F0">
        <w:t xml:space="preserve">pikevax </w:t>
      </w:r>
      <w:r w:rsidR="003E1504">
        <w:t>B</w:t>
      </w:r>
      <w:r w:rsidR="00F156F0">
        <w:t xml:space="preserve">ivalent </w:t>
      </w:r>
      <w:r w:rsidR="003E1504">
        <w:t>O</w:t>
      </w:r>
      <w:r w:rsidR="00F156F0">
        <w:t xml:space="preserve">riginal/Omicron COVID-19 vaccine </w:t>
      </w:r>
      <w:r w:rsidR="002771C2">
        <w:t>(</w:t>
      </w:r>
      <w:proofErr w:type="spellStart"/>
      <w:r w:rsidR="002771C2">
        <w:t>elasomeran</w:t>
      </w:r>
      <w:proofErr w:type="spellEnd"/>
      <w:r w:rsidR="002771C2">
        <w:t xml:space="preserve"> + </w:t>
      </w:r>
      <w:proofErr w:type="spellStart"/>
      <w:r w:rsidR="002771C2">
        <w:t>imelasomeran</w:t>
      </w:r>
      <w:proofErr w:type="spellEnd"/>
      <w:r w:rsidR="002771C2">
        <w:t xml:space="preserve">) </w:t>
      </w:r>
      <w:r w:rsidR="00896136">
        <w:t xml:space="preserve">allows for its use as a booster (at least </w:t>
      </w:r>
      <w:r w:rsidR="00F156F0">
        <w:t>three</w:t>
      </w:r>
      <w:r w:rsidR="00896136">
        <w:t xml:space="preserve"> months) after completion of a primary series and any number of boosters, and for heterologous boosting. This is also is in line with </w:t>
      </w:r>
      <w:r w:rsidR="002771C2">
        <w:t xml:space="preserve">current </w:t>
      </w:r>
      <w:r w:rsidR="00896136">
        <w:t xml:space="preserve">Spikevax </w:t>
      </w:r>
      <w:r w:rsidR="002771C2">
        <w:t>(monovalent, elasomeran) vaccine that already has provisional registration.</w:t>
      </w:r>
      <w:r w:rsidR="00896136">
        <w:t xml:space="preserve"> This is considered acceptable.</w:t>
      </w:r>
    </w:p>
    <w:p w14:paraId="152FECC9" w14:textId="77777777" w:rsidR="0074163C" w:rsidRDefault="0074163C" w:rsidP="0074163C">
      <w:pPr>
        <w:pStyle w:val="Heading4"/>
      </w:pPr>
      <w:bookmarkStart w:id="73" w:name="_Toc98931933"/>
      <w:r w:rsidRPr="00D23139">
        <w:t>Proposed action</w:t>
      </w:r>
      <w:bookmarkEnd w:id="73"/>
    </w:p>
    <w:p w14:paraId="5D78776B" w14:textId="1F2ECA68" w:rsidR="00896136" w:rsidRPr="00F156F0" w:rsidRDefault="00896136" w:rsidP="00896136">
      <w:r>
        <w:t xml:space="preserve">A second booster dose of </w:t>
      </w:r>
      <w:r w:rsidR="002771C2">
        <w:t xml:space="preserve">Spikevax bivalent </w:t>
      </w:r>
      <w:r w:rsidRPr="001739C2">
        <w:t>Omicron BA.1-containing vaccine</w:t>
      </w:r>
      <w:r w:rsidR="002771C2">
        <w:t xml:space="preserve"> (</w:t>
      </w:r>
      <w:proofErr w:type="spellStart"/>
      <w:r w:rsidR="002771C2">
        <w:t>elasomeran</w:t>
      </w:r>
      <w:proofErr w:type="spellEnd"/>
      <w:r w:rsidR="002771C2">
        <w:t xml:space="preserve"> + </w:t>
      </w:r>
      <w:proofErr w:type="spellStart"/>
      <w:r w:rsidR="002771C2">
        <w:t>imelasomeran</w:t>
      </w:r>
      <w:proofErr w:type="spellEnd"/>
      <w:r w:rsidR="002771C2">
        <w:t xml:space="preserve">) </w:t>
      </w:r>
      <w:r w:rsidR="00F156F0">
        <w:t>at</w:t>
      </w:r>
      <w:r>
        <w:t xml:space="preserve"> </w:t>
      </w:r>
      <w:r w:rsidRPr="00F156F0">
        <w:t xml:space="preserve">50 </w:t>
      </w:r>
      <w:proofErr w:type="spellStart"/>
      <w:r w:rsidRPr="00F156F0">
        <w:t>μg</w:t>
      </w:r>
      <w:proofErr w:type="spellEnd"/>
      <w:r w:rsidRPr="00F156F0">
        <w:t xml:space="preserve"> compared to a second booster dose of </w:t>
      </w:r>
      <w:r w:rsidR="002771C2">
        <w:t xml:space="preserve">the (original) Spikevax monovalent vaccine </w:t>
      </w:r>
      <w:r w:rsidR="00F156F0" w:rsidRPr="00F156F0">
        <w:t xml:space="preserve">at </w:t>
      </w:r>
      <w:r w:rsidRPr="00F156F0">
        <w:t xml:space="preserve">50 </w:t>
      </w:r>
      <w:proofErr w:type="spellStart"/>
      <w:r w:rsidRPr="00F156F0">
        <w:t>μg</w:t>
      </w:r>
      <w:proofErr w:type="spellEnd"/>
      <w:r w:rsidR="00F156F0" w:rsidRPr="00F156F0">
        <w:t xml:space="preserve"> </w:t>
      </w:r>
      <w:r w:rsidR="003E47EA">
        <w:t>showed</w:t>
      </w:r>
      <w:r w:rsidR="003E47EA" w:rsidRPr="00F156F0">
        <w:t xml:space="preserve"> </w:t>
      </w:r>
      <w:r w:rsidR="00F156F0" w:rsidRPr="00F156F0">
        <w:t>that</w:t>
      </w:r>
      <w:r w:rsidRPr="00F156F0">
        <w:t xml:space="preserve"> </w:t>
      </w:r>
      <w:r w:rsidR="003E47EA">
        <w:t>the bivalent vaccine (</w:t>
      </w:r>
      <w:proofErr w:type="spellStart"/>
      <w:r w:rsidR="003E47EA">
        <w:t>elasomeran</w:t>
      </w:r>
      <w:proofErr w:type="spellEnd"/>
      <w:r w:rsidR="003E47EA">
        <w:t xml:space="preserve"> + </w:t>
      </w:r>
      <w:proofErr w:type="spellStart"/>
      <w:r w:rsidR="003E47EA">
        <w:t>imelasomeran</w:t>
      </w:r>
      <w:proofErr w:type="spellEnd"/>
      <w:r w:rsidR="003E47EA">
        <w:t xml:space="preserve">) </w:t>
      </w:r>
      <w:r w:rsidRPr="00F156F0">
        <w:t>elicited a superior neutral</w:t>
      </w:r>
      <w:r w:rsidR="00741008">
        <w:t>is</w:t>
      </w:r>
      <w:r w:rsidRPr="00F156F0">
        <w:t>ing antibody response against Omicron BA.1 strain and a non-inferior antibody response against the ancestral SARS-CoV-2. Additionally, in the exploratory immunogenicity analysis, 5</w:t>
      </w:r>
      <w:r w:rsidR="00F95DA4">
        <w:t>0</w:t>
      </w:r>
      <w:r w:rsidR="007F21AA">
        <w:t> </w:t>
      </w:r>
      <w:proofErr w:type="spellStart"/>
      <w:r w:rsidRPr="00F156F0">
        <w:t>μg</w:t>
      </w:r>
      <w:proofErr w:type="spellEnd"/>
      <w:r w:rsidRPr="00F156F0">
        <w:t xml:space="preserve"> </w:t>
      </w:r>
      <w:r w:rsidR="003E47EA">
        <w:t>bivalent vaccine (</w:t>
      </w:r>
      <w:proofErr w:type="spellStart"/>
      <w:r w:rsidR="003E47EA">
        <w:t>elasomeran</w:t>
      </w:r>
      <w:proofErr w:type="spellEnd"/>
      <w:r w:rsidR="003E47EA">
        <w:t xml:space="preserve"> + </w:t>
      </w:r>
      <w:proofErr w:type="spellStart"/>
      <w:r w:rsidR="003E47EA">
        <w:t>imelasomeran</w:t>
      </w:r>
      <w:proofErr w:type="spellEnd"/>
      <w:r w:rsidR="003E47EA">
        <w:t xml:space="preserve">) </w:t>
      </w:r>
      <w:r w:rsidRPr="00F156F0">
        <w:t>elicited higher neutrali</w:t>
      </w:r>
      <w:r w:rsidR="00F156F0">
        <w:t>s</w:t>
      </w:r>
      <w:r w:rsidRPr="00F156F0">
        <w:t xml:space="preserve">ing antibody response against the Omicron BA.4 and BA.5 subvariants. </w:t>
      </w:r>
      <w:r w:rsidR="003E47EA">
        <w:t>The bivalent vaccine</w:t>
      </w:r>
      <w:r w:rsidRPr="00F156F0">
        <w:t xml:space="preserve"> also elicited higher binding antibody responses against multiple variants not contained in the vaccine, including </w:t>
      </w:r>
      <w:r w:rsidR="003E47EA">
        <w:t xml:space="preserve">the </w:t>
      </w:r>
      <w:r w:rsidRPr="00F156F0">
        <w:t xml:space="preserve">Alpha, Beta, Gamma, and Delta </w:t>
      </w:r>
      <w:r w:rsidR="003E47EA">
        <w:t xml:space="preserve">variants, </w:t>
      </w:r>
      <w:r w:rsidRPr="00F156F0">
        <w:t>thereby achieving broader immunity.</w:t>
      </w:r>
    </w:p>
    <w:p w14:paraId="718A389B" w14:textId="646AF0A3" w:rsidR="00896136" w:rsidRPr="00D8097E" w:rsidRDefault="00896136" w:rsidP="00896136">
      <w:r>
        <w:t>B</w:t>
      </w:r>
      <w:r w:rsidRPr="00D8097E">
        <w:t>ased on a clinical safety database of 437 participants with median follow</w:t>
      </w:r>
      <w:r w:rsidR="00F156F0">
        <w:t xml:space="preserve"> </w:t>
      </w:r>
      <w:r w:rsidRPr="00D8097E">
        <w:t xml:space="preserve">up of </w:t>
      </w:r>
      <w:r w:rsidR="007F21AA">
        <w:t>six</w:t>
      </w:r>
      <w:r w:rsidRPr="00D8097E">
        <w:t xml:space="preserve"> weeks, </w:t>
      </w:r>
      <w:r>
        <w:t>t</w:t>
      </w:r>
      <w:r w:rsidRPr="009E5928">
        <w:t>he</w:t>
      </w:r>
      <w:r>
        <w:t xml:space="preserve"> </w:t>
      </w:r>
      <w:r w:rsidRPr="009E5928">
        <w:t xml:space="preserve">safety and reactogenicity profiles </w:t>
      </w:r>
      <w:r w:rsidRPr="00D8097E">
        <w:t xml:space="preserve">of </w:t>
      </w:r>
      <w:r w:rsidR="003E47EA">
        <w:t>Spikevax bivalent vaccine (</w:t>
      </w:r>
      <w:proofErr w:type="spellStart"/>
      <w:r w:rsidR="003E47EA">
        <w:t>elasomeran</w:t>
      </w:r>
      <w:proofErr w:type="spellEnd"/>
      <w:r w:rsidR="003E47EA">
        <w:t xml:space="preserve"> + </w:t>
      </w:r>
      <w:proofErr w:type="spellStart"/>
      <w:r w:rsidR="003E47EA">
        <w:t>imelasomeran</w:t>
      </w:r>
      <w:proofErr w:type="spellEnd"/>
      <w:r w:rsidR="003E47EA">
        <w:t>)</w:t>
      </w:r>
      <w:r w:rsidRPr="00D8097E">
        <w:t xml:space="preserve"> as a 50</w:t>
      </w:r>
      <w:r w:rsidR="007F21AA">
        <w:t> </w:t>
      </w:r>
      <w:proofErr w:type="spellStart"/>
      <w:r w:rsidRPr="00D8097E">
        <w:t>μg</w:t>
      </w:r>
      <w:proofErr w:type="spellEnd"/>
      <w:r w:rsidRPr="00D8097E">
        <w:t xml:space="preserve"> second booster appears </w:t>
      </w:r>
      <w:proofErr w:type="gramStart"/>
      <w:r w:rsidRPr="00D8097E">
        <w:t>similar to</w:t>
      </w:r>
      <w:proofErr w:type="gramEnd"/>
      <w:r w:rsidRPr="00D8097E">
        <w:t xml:space="preserve"> that </w:t>
      </w:r>
      <w:r>
        <w:t xml:space="preserve">of </w:t>
      </w:r>
      <w:r w:rsidR="003E47EA">
        <w:t>Spikevax monovalent (elasomeran) vaccine</w:t>
      </w:r>
      <w:r w:rsidRPr="00885FB5">
        <w:t xml:space="preserve"> as a 50</w:t>
      </w:r>
      <w:r w:rsidR="007D1954">
        <w:t> </w:t>
      </w:r>
      <w:proofErr w:type="spellStart"/>
      <w:r w:rsidRPr="00885FB5">
        <w:t>μg</w:t>
      </w:r>
      <w:proofErr w:type="spellEnd"/>
      <w:r w:rsidRPr="00885FB5">
        <w:t xml:space="preserve"> second booster</w:t>
      </w:r>
      <w:r>
        <w:t xml:space="preserve">. </w:t>
      </w:r>
      <w:r w:rsidRPr="00391978">
        <w:t>No new safety concerns are raised.</w:t>
      </w:r>
      <w:r w:rsidR="003E47EA">
        <w:t xml:space="preserve"> </w:t>
      </w:r>
    </w:p>
    <w:p w14:paraId="5EAA925C" w14:textId="5A0C59B3" w:rsidR="00896136" w:rsidRDefault="00896136" w:rsidP="00896136">
      <w:r w:rsidRPr="00885FB5">
        <w:t>The overall benefit risk balance</w:t>
      </w:r>
      <w:r>
        <w:t xml:space="preserve"> of </w:t>
      </w:r>
      <w:r w:rsidRPr="008C4C99">
        <w:t>S</w:t>
      </w:r>
      <w:r w:rsidR="00F156F0">
        <w:t xml:space="preserve">pikevax </w:t>
      </w:r>
      <w:r w:rsidR="003E1504">
        <w:t>B</w:t>
      </w:r>
      <w:r w:rsidR="00F156F0">
        <w:t xml:space="preserve">ivalent </w:t>
      </w:r>
      <w:r w:rsidR="003E1504">
        <w:t>O</w:t>
      </w:r>
      <w:r w:rsidR="00F156F0">
        <w:t xml:space="preserve">riginal/Omicron COVID-19 vaccine </w:t>
      </w:r>
      <w:r>
        <w:t xml:space="preserve">in this submission as a booster </w:t>
      </w:r>
      <w:r w:rsidRPr="00874B82">
        <w:t xml:space="preserve">dose in individuals 18 years of age and older </w:t>
      </w:r>
      <w:r>
        <w:t>appears favourable for its Provisional</w:t>
      </w:r>
      <w:r w:rsidR="007D1954">
        <w:t>;</w:t>
      </w:r>
      <w:r w:rsidR="007D1954" w:rsidRPr="007D1954">
        <w:rPr>
          <w:vertAlign w:val="superscript"/>
        </w:rPr>
        <w:fldChar w:fldCharType="begin"/>
      </w:r>
      <w:r w:rsidR="007D1954" w:rsidRPr="007D1954">
        <w:rPr>
          <w:vertAlign w:val="superscript"/>
        </w:rPr>
        <w:instrText xml:space="preserve"> NOTEREF _Ref112070030 \h </w:instrText>
      </w:r>
      <w:r w:rsidR="007D1954">
        <w:rPr>
          <w:vertAlign w:val="superscript"/>
        </w:rPr>
        <w:instrText xml:space="preserve"> \* MERGEFORMAT </w:instrText>
      </w:r>
      <w:r w:rsidR="007D1954" w:rsidRPr="007D1954">
        <w:rPr>
          <w:vertAlign w:val="superscript"/>
        </w:rPr>
      </w:r>
      <w:r w:rsidR="007D1954" w:rsidRPr="007D1954">
        <w:rPr>
          <w:vertAlign w:val="superscript"/>
        </w:rPr>
        <w:fldChar w:fldCharType="separate"/>
      </w:r>
      <w:r w:rsidR="00D102F3">
        <w:rPr>
          <w:vertAlign w:val="superscript"/>
        </w:rPr>
        <w:t>19</w:t>
      </w:r>
      <w:r w:rsidR="007D1954" w:rsidRPr="007D1954">
        <w:rPr>
          <w:vertAlign w:val="superscript"/>
        </w:rPr>
        <w:fldChar w:fldCharType="end"/>
      </w:r>
      <w:r>
        <w:t xml:space="preserve"> registration.</w:t>
      </w:r>
    </w:p>
    <w:p w14:paraId="3BC70786" w14:textId="5A73421C" w:rsidR="00896136" w:rsidRPr="00896136" w:rsidRDefault="00896136" w:rsidP="00896136">
      <w:pPr>
        <w:rPr>
          <w:iCs/>
        </w:rPr>
      </w:pPr>
      <w:r w:rsidRPr="00D81A8C">
        <w:rPr>
          <w:iCs/>
        </w:rPr>
        <w:t>The final decision will be made following the ACV discussion.</w:t>
      </w:r>
    </w:p>
    <w:p w14:paraId="102F7A22" w14:textId="77777777" w:rsidR="0074163C" w:rsidRPr="00F73346" w:rsidRDefault="0074163C" w:rsidP="0074163C">
      <w:pPr>
        <w:pStyle w:val="Heading4"/>
      </w:pPr>
      <w:bookmarkStart w:id="74" w:name="_Toc98931936"/>
      <w:bookmarkStart w:id="75" w:name="_Toc247691532"/>
      <w:bookmarkStart w:id="76" w:name="_Toc314842516"/>
      <w:bookmarkEnd w:id="37"/>
      <w:bookmarkEnd w:id="68"/>
      <w:bookmarkEnd w:id="69"/>
      <w:r w:rsidRPr="00F73346">
        <w:t>Advisory Committee considerations</w:t>
      </w:r>
      <w:bookmarkEnd w:id="74"/>
    </w:p>
    <w:p w14:paraId="086D2553" w14:textId="26D9FB33" w:rsidR="0074163C" w:rsidRDefault="0074163C" w:rsidP="0074163C">
      <w:pPr>
        <w:rPr>
          <w:bCs/>
        </w:rPr>
      </w:pPr>
      <w:r w:rsidRPr="00456765">
        <w:rPr>
          <w:bCs/>
        </w:rPr>
        <w:t xml:space="preserve">The </w:t>
      </w:r>
      <w:hyperlink r:id="rId32"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32F9B625" w14:textId="282F3913" w:rsidR="00850CC0" w:rsidRDefault="0074163C" w:rsidP="001E40E1">
      <w:pPr>
        <w:pStyle w:val="Heading5"/>
      </w:pPr>
      <w:r w:rsidRPr="00F73346">
        <w:t>Specific advice to the Delegate</w:t>
      </w:r>
    </w:p>
    <w:p w14:paraId="53DF591C" w14:textId="78E2AC0F" w:rsidR="00850CC0" w:rsidRPr="0064632B" w:rsidRDefault="00850CC0" w:rsidP="00D102F3">
      <w:pPr>
        <w:pStyle w:val="Numberbullet0"/>
        <w:keepNext/>
        <w:rPr>
          <w:b/>
          <w:bCs/>
          <w:i/>
          <w:iCs/>
        </w:rPr>
      </w:pPr>
      <w:r w:rsidRPr="0064632B">
        <w:rPr>
          <w:b/>
          <w:bCs/>
          <w:i/>
          <w:iCs/>
        </w:rPr>
        <w:t xml:space="preserve">Please advise on the proposed indication. Considering this vaccine is only for booster dosing the indication should clearly state so, such as: </w:t>
      </w:r>
      <w:proofErr w:type="spellStart"/>
      <w:r w:rsidRPr="0064632B">
        <w:rPr>
          <w:b/>
          <w:bCs/>
          <w:i/>
          <w:iCs/>
        </w:rPr>
        <w:t>Spikevax</w:t>
      </w:r>
      <w:proofErr w:type="spellEnd"/>
      <w:r w:rsidRPr="0064632B">
        <w:rPr>
          <w:b/>
          <w:bCs/>
          <w:i/>
          <w:iCs/>
        </w:rPr>
        <w:t xml:space="preserve"> </w:t>
      </w:r>
      <w:r w:rsidR="003E1504">
        <w:rPr>
          <w:b/>
          <w:bCs/>
          <w:i/>
          <w:iCs/>
        </w:rPr>
        <w:t xml:space="preserve">Bivalent </w:t>
      </w:r>
      <w:r w:rsidR="003E1504">
        <w:rPr>
          <w:b/>
          <w:bCs/>
          <w:i/>
          <w:iCs/>
        </w:rPr>
        <w:lastRenderedPageBreak/>
        <w:t>Original/Omicron</w:t>
      </w:r>
      <w:r w:rsidRPr="0064632B">
        <w:rPr>
          <w:b/>
          <w:bCs/>
          <w:i/>
          <w:iCs/>
        </w:rPr>
        <w:t xml:space="preserve"> (</w:t>
      </w:r>
      <w:proofErr w:type="spellStart"/>
      <w:r w:rsidRPr="0064632B">
        <w:rPr>
          <w:b/>
          <w:bCs/>
          <w:i/>
          <w:iCs/>
        </w:rPr>
        <w:t>elasomeran</w:t>
      </w:r>
      <w:proofErr w:type="spellEnd"/>
      <w:r w:rsidRPr="0064632B">
        <w:rPr>
          <w:b/>
          <w:bCs/>
          <w:i/>
          <w:iCs/>
        </w:rPr>
        <w:t>/</w:t>
      </w:r>
      <w:proofErr w:type="spellStart"/>
      <w:r w:rsidRPr="0064632B">
        <w:rPr>
          <w:b/>
          <w:bCs/>
          <w:i/>
          <w:iCs/>
        </w:rPr>
        <w:t>imelasomeran</w:t>
      </w:r>
      <w:proofErr w:type="spellEnd"/>
      <w:r w:rsidRPr="0064632B">
        <w:rPr>
          <w:b/>
          <w:bCs/>
          <w:i/>
          <w:iCs/>
        </w:rPr>
        <w:t>) COVID-19 Vaccine has provisional approval for the indication below:</w:t>
      </w:r>
    </w:p>
    <w:p w14:paraId="3A6A58C5" w14:textId="0950CEEA" w:rsidR="00850CC0" w:rsidRPr="0064632B" w:rsidRDefault="00850CC0" w:rsidP="00D102F3">
      <w:pPr>
        <w:keepNext/>
        <w:ind w:left="425"/>
        <w:rPr>
          <w:i/>
          <w:iCs/>
        </w:rPr>
      </w:pPr>
      <w:r w:rsidRPr="0064632B">
        <w:rPr>
          <w:i/>
          <w:iCs/>
        </w:rPr>
        <w:t>As a booster dose for Active immunisation to prevent coronavirus disease 2019 (COVID</w:t>
      </w:r>
      <w:r w:rsidR="001E40E1">
        <w:rPr>
          <w:i/>
          <w:iCs/>
        </w:rPr>
        <w:noBreakHyphen/>
      </w:r>
      <w:r w:rsidRPr="0064632B">
        <w:rPr>
          <w:i/>
          <w:iCs/>
        </w:rPr>
        <w:t xml:space="preserve">19) caused by SARS-CoV-2 in individuals 18 years and older…. </w:t>
      </w:r>
    </w:p>
    <w:p w14:paraId="1CDC4FFD" w14:textId="4BA27488" w:rsidR="00850CC0" w:rsidRDefault="00850CC0" w:rsidP="00850CC0">
      <w:r>
        <w:t xml:space="preserve">The ACV advised that the proposed provisional indication is appropriate based on submitted data comparing neutralising antibodies following the Spikevax </w:t>
      </w:r>
      <w:r w:rsidR="003E1504">
        <w:t>Bivalent Original/Omicron</w:t>
      </w:r>
      <w:r>
        <w:t xml:space="preserve"> bivalent booster compared to after the Spikevax (original) booster. The ACV noted that there are no data available on vaccine efficacy or effectiveness at this stage.</w:t>
      </w:r>
    </w:p>
    <w:p w14:paraId="4AF56F42" w14:textId="69169977" w:rsidR="00850CC0" w:rsidRDefault="00850CC0" w:rsidP="00850CC0">
      <w:r>
        <w:t>The ACV was supportive of the inclusion of the wording ‘As a booster dose’ within the indication as this is consistent with the provided data.</w:t>
      </w:r>
    </w:p>
    <w:p w14:paraId="44BA025B" w14:textId="7C1E9D07" w:rsidR="00850CC0" w:rsidRDefault="00850CC0" w:rsidP="00850CC0">
      <w:r>
        <w:t>An indication for use as a booster dose would be consistent with the recent</w:t>
      </w:r>
      <w:r w:rsidR="001E40E1">
        <w:t xml:space="preserve"> approval in the United Kingdom (by the Medicines and </w:t>
      </w:r>
      <w:r w:rsidR="001E40E1" w:rsidRPr="001E40E1">
        <w:t>Healt</w:t>
      </w:r>
      <w:r w:rsidR="001E40E1">
        <w:t>hcare Products Regulatory Agency)</w:t>
      </w:r>
      <w:r>
        <w:t xml:space="preserve"> and the data available in this submission, and ACV noted that the sponsor has accepted this wording in the pre-ACV response. The ACV noted that very few people have not been exposed to SARS-CoV-2, whether by vaccination or infection. However, there are no data for the use of Spikevax </w:t>
      </w:r>
      <w:r w:rsidR="003E1504">
        <w:t>Bivalent Original/Omicron</w:t>
      </w:r>
      <w:r>
        <w:t xml:space="preserve"> as a primary series (noting that the dose studied for the primary series of Spikevax (original) (100 µg) is twice the mRNA content of this vaccine).</w:t>
      </w:r>
    </w:p>
    <w:p w14:paraId="2621B871" w14:textId="3D7B1452" w:rsidR="00850CC0" w:rsidRDefault="00850CC0" w:rsidP="00850CC0">
      <w:r>
        <w:t xml:space="preserve">Data provided by the sponsor from the </w:t>
      </w:r>
      <w:r w:rsidR="003677CB">
        <w:t>mRNA 1273.211</w:t>
      </w:r>
      <w:r>
        <w:t xml:space="preserve"> (</w:t>
      </w:r>
      <w:r w:rsidR="001E40E1">
        <w:t>alternate B</w:t>
      </w:r>
      <w:r>
        <w:t>eta</w:t>
      </w:r>
      <w:r w:rsidR="001E40E1">
        <w:t xml:space="preserve"> variant</w:t>
      </w:r>
      <w:r>
        <w:t xml:space="preserve"> bivalent) vaccine study supports the assertion that bivalent boosters can be used as first or subsequent boosters.</w:t>
      </w:r>
    </w:p>
    <w:p w14:paraId="2B8BE447" w14:textId="6E905251" w:rsidR="00850CC0" w:rsidRDefault="00850CC0" w:rsidP="00850CC0">
      <w:r>
        <w:t>The ACV noted that the safety data are limited, with a relatively small numbers of participants, and limited duration of follow</w:t>
      </w:r>
      <w:r w:rsidR="003677CB">
        <w:t xml:space="preserve"> </w:t>
      </w:r>
      <w:r>
        <w:t xml:space="preserve">up (mean 43 days and 57 days) involved in the clinical study. </w:t>
      </w:r>
      <w:proofErr w:type="gramStart"/>
      <w:r>
        <w:t>However</w:t>
      </w:r>
      <w:proofErr w:type="gramEnd"/>
      <w:r>
        <w:t xml:space="preserve"> the available data suggest that the safety profile of Spikevax </w:t>
      </w:r>
      <w:r w:rsidR="003E1504">
        <w:t>Bivalent Original/Omicron</w:t>
      </w:r>
      <w:r>
        <w:t xml:space="preserve"> appears similar to that of the Spikevax (original) booster.</w:t>
      </w:r>
    </w:p>
    <w:p w14:paraId="03B601E8" w14:textId="5CA56F3F" w:rsidR="00850CC0" w:rsidRPr="00850CC0" w:rsidRDefault="00850CC0" w:rsidP="00850CC0">
      <w:pPr>
        <w:pStyle w:val="Numberbullet0"/>
        <w:rPr>
          <w:b/>
          <w:bCs/>
          <w:i/>
          <w:iCs/>
        </w:rPr>
      </w:pPr>
      <w:r w:rsidRPr="00850CC0">
        <w:rPr>
          <w:b/>
          <w:bCs/>
          <w:i/>
          <w:iCs/>
        </w:rPr>
        <w:t>Please comment on the proposed ‘Dose Recommendations’.</w:t>
      </w:r>
    </w:p>
    <w:p w14:paraId="7873D401" w14:textId="4D7F5086" w:rsidR="00850CC0" w:rsidRDefault="00850CC0" w:rsidP="00850CC0">
      <w:r>
        <w:t>The ACV was supportive of the dose recommendation stating:</w:t>
      </w:r>
    </w:p>
    <w:p w14:paraId="0E992972" w14:textId="37087A09" w:rsidR="00850CC0" w:rsidRPr="00850CC0" w:rsidRDefault="0064632B" w:rsidP="00D102F3">
      <w:pPr>
        <w:ind w:left="720"/>
        <w:rPr>
          <w:i/>
          <w:iCs/>
        </w:rPr>
      </w:pPr>
      <w:r>
        <w:rPr>
          <w:i/>
          <w:iCs/>
        </w:rPr>
        <w:t>‘</w:t>
      </w:r>
      <w:r w:rsidR="00850CC0" w:rsidRPr="00850CC0">
        <w:rPr>
          <w:i/>
          <w:iCs/>
        </w:rPr>
        <w:t>S</w:t>
      </w:r>
      <w:r w:rsidR="00850CC0">
        <w:rPr>
          <w:i/>
          <w:iCs/>
        </w:rPr>
        <w:t xml:space="preserve">pikevax </w:t>
      </w:r>
      <w:r w:rsidR="003E1504">
        <w:rPr>
          <w:i/>
          <w:iCs/>
        </w:rPr>
        <w:t>Bivalent Original/Omicron</w:t>
      </w:r>
      <w:r w:rsidR="00850CC0">
        <w:rPr>
          <w:i/>
          <w:iCs/>
        </w:rPr>
        <w:t xml:space="preserve"> </w:t>
      </w:r>
      <w:r w:rsidR="00850CC0" w:rsidRPr="00850CC0">
        <w:rPr>
          <w:i/>
          <w:iCs/>
        </w:rPr>
        <w:t>may be given at least 3 months following a primary series and/or previous booster dose with S</w:t>
      </w:r>
      <w:r w:rsidR="00366527">
        <w:rPr>
          <w:i/>
          <w:iCs/>
        </w:rPr>
        <w:t>pikevax</w:t>
      </w:r>
      <w:r w:rsidR="00850CC0" w:rsidRPr="00850CC0">
        <w:rPr>
          <w:i/>
          <w:iCs/>
        </w:rPr>
        <w:t xml:space="preserve"> or another authorised/approved COVID-19 vaccine, in accordance with official recommendations.</w:t>
      </w:r>
      <w:r>
        <w:rPr>
          <w:i/>
          <w:iCs/>
        </w:rPr>
        <w:t>’</w:t>
      </w:r>
    </w:p>
    <w:p w14:paraId="24D7B04A" w14:textId="466E67D9" w:rsidR="00850CC0" w:rsidRDefault="00850CC0" w:rsidP="00850CC0">
      <w:r>
        <w:t>The ACV requested that ‘in accordance with official recommendations’ be included within the dose recommendations.</w:t>
      </w:r>
    </w:p>
    <w:p w14:paraId="0192D15E" w14:textId="7CB715CD" w:rsidR="00850CC0" w:rsidRDefault="00850CC0" w:rsidP="00850CC0">
      <w:r>
        <w:t xml:space="preserve">The ACV was supportive of Spikevax bivalent being given at least 3 months after a primary series and/or previous booster dose with Spikevax or another authorised/approved COVID-19 vaccine. While the data are limited to fourth doses in those who have previously received </w:t>
      </w:r>
      <w:r w:rsidR="001E40E1">
        <w:t xml:space="preserve">[the same sponsor] </w:t>
      </w:r>
      <w:r>
        <w:t>Moderna primary and booster doses, it is likely that these data can be generalised to those who have received other vaccine types, and for first or subsequent boosters.</w:t>
      </w:r>
    </w:p>
    <w:p w14:paraId="7876A563" w14:textId="1B6B43C3" w:rsidR="00850CC0" w:rsidRPr="00850CC0" w:rsidRDefault="00850CC0" w:rsidP="00850CC0">
      <w:pPr>
        <w:pStyle w:val="Numberbullet0"/>
        <w:rPr>
          <w:b/>
          <w:bCs/>
          <w:i/>
          <w:iCs/>
        </w:rPr>
      </w:pPr>
      <w:r w:rsidRPr="00850CC0">
        <w:rPr>
          <w:b/>
          <w:bCs/>
          <w:i/>
          <w:iCs/>
        </w:rPr>
        <w:t>Other advice</w:t>
      </w:r>
    </w:p>
    <w:p w14:paraId="32B0502E" w14:textId="04BCA06E" w:rsidR="00850CC0" w:rsidRPr="00850CC0" w:rsidRDefault="00850CC0" w:rsidP="00850CC0">
      <w:r>
        <w:t xml:space="preserve">The ACV noted that data on efficacy/immunogenicity and adverse events in individual aged less than 18 years is not relevant to </w:t>
      </w:r>
      <w:r w:rsidR="0064632B" w:rsidRPr="0064632B">
        <w:t xml:space="preserve">Spikevax </w:t>
      </w:r>
      <w:r w:rsidR="003E1504">
        <w:t>Bivalent Original/Omicron</w:t>
      </w:r>
      <w:r w:rsidR="0064632B" w:rsidRPr="0064632B">
        <w:t xml:space="preserve"> </w:t>
      </w:r>
      <w:r>
        <w:t>and need not be included in the product information.</w:t>
      </w:r>
    </w:p>
    <w:p w14:paraId="0F27C505" w14:textId="77777777" w:rsidR="0074163C" w:rsidRPr="00F73346" w:rsidRDefault="0074163C" w:rsidP="0074163C">
      <w:pPr>
        <w:pStyle w:val="Heading5"/>
      </w:pPr>
      <w:r w:rsidRPr="00F73346">
        <w:t>Conclusion</w:t>
      </w:r>
    </w:p>
    <w:p w14:paraId="6C614189" w14:textId="77777777" w:rsidR="00850CC0" w:rsidRDefault="00850CC0" w:rsidP="00850CC0">
      <w:r>
        <w:t>The ACV considered this product to have an overall positive benefit-risk profile for the indication:</w:t>
      </w:r>
    </w:p>
    <w:p w14:paraId="6A1C04AD" w14:textId="250220D1" w:rsidR="00850CC0" w:rsidRPr="00850CC0" w:rsidRDefault="00850CC0" w:rsidP="00850CC0">
      <w:pPr>
        <w:ind w:left="720"/>
        <w:rPr>
          <w:i/>
          <w:iCs/>
        </w:rPr>
      </w:pPr>
      <w:proofErr w:type="spellStart"/>
      <w:r w:rsidRPr="00850CC0">
        <w:rPr>
          <w:i/>
          <w:iCs/>
        </w:rPr>
        <w:lastRenderedPageBreak/>
        <w:t>S</w:t>
      </w:r>
      <w:r>
        <w:rPr>
          <w:i/>
          <w:iCs/>
        </w:rPr>
        <w:t>pikevax</w:t>
      </w:r>
      <w:proofErr w:type="spellEnd"/>
      <w:r>
        <w:rPr>
          <w:i/>
          <w:iCs/>
        </w:rPr>
        <w:t xml:space="preserve"> </w:t>
      </w:r>
      <w:r w:rsidR="003E1504">
        <w:rPr>
          <w:i/>
          <w:iCs/>
        </w:rPr>
        <w:t>Bivalent Original/Omicron</w:t>
      </w:r>
      <w:r>
        <w:rPr>
          <w:i/>
          <w:iCs/>
        </w:rPr>
        <w:t xml:space="preserve"> </w:t>
      </w:r>
      <w:r w:rsidRPr="00850CC0">
        <w:rPr>
          <w:i/>
          <w:iCs/>
        </w:rPr>
        <w:t>(</w:t>
      </w:r>
      <w:proofErr w:type="spellStart"/>
      <w:r w:rsidRPr="00850CC0">
        <w:rPr>
          <w:i/>
          <w:iCs/>
        </w:rPr>
        <w:t>elasomeran</w:t>
      </w:r>
      <w:proofErr w:type="spellEnd"/>
      <w:r w:rsidRPr="00850CC0">
        <w:rPr>
          <w:i/>
          <w:iCs/>
        </w:rPr>
        <w:t>/</w:t>
      </w:r>
      <w:proofErr w:type="spellStart"/>
      <w:r w:rsidRPr="00850CC0">
        <w:rPr>
          <w:i/>
          <w:iCs/>
        </w:rPr>
        <w:t>imelasomeran</w:t>
      </w:r>
      <w:proofErr w:type="spellEnd"/>
      <w:r w:rsidRPr="00850CC0">
        <w:rPr>
          <w:i/>
          <w:iCs/>
        </w:rPr>
        <w:t>) COVID-19 Vaccine has provisional approval for the indication below:</w:t>
      </w:r>
    </w:p>
    <w:p w14:paraId="4FEC4DDE" w14:textId="77777777" w:rsidR="00850CC0" w:rsidRPr="00850CC0" w:rsidRDefault="00850CC0" w:rsidP="00850CC0">
      <w:pPr>
        <w:ind w:left="720"/>
        <w:rPr>
          <w:i/>
          <w:iCs/>
        </w:rPr>
      </w:pPr>
      <w:r w:rsidRPr="00850CC0">
        <w:rPr>
          <w:i/>
          <w:iCs/>
        </w:rPr>
        <w:t>As a booster dose for active immunisation to prevent coronavirus disease 2019 (COVID-19) caused by SARS-CoV-2 in individuals 18 years and older.</w:t>
      </w:r>
    </w:p>
    <w:p w14:paraId="37742281" w14:textId="77777777" w:rsidR="00850CC0" w:rsidRPr="00850CC0" w:rsidRDefault="00850CC0" w:rsidP="00850CC0">
      <w:pPr>
        <w:ind w:left="720"/>
        <w:rPr>
          <w:i/>
          <w:iCs/>
        </w:rPr>
      </w:pPr>
      <w:r w:rsidRPr="00850CC0">
        <w:rPr>
          <w:i/>
          <w:iCs/>
        </w:rPr>
        <w:t>The use of this vaccine should be in accordance with official recommendations.</w:t>
      </w:r>
    </w:p>
    <w:p w14:paraId="66CB0EF1" w14:textId="7D5C7511" w:rsidR="00850CC0" w:rsidRPr="007D53B6" w:rsidRDefault="00850CC0" w:rsidP="00850CC0">
      <w:pPr>
        <w:ind w:left="720"/>
      </w:pPr>
      <w:r w:rsidRPr="00850CC0">
        <w:rPr>
          <w:i/>
          <w:iCs/>
        </w:rPr>
        <w:t xml:space="preserve">The decision has been made </w:t>
      </w:r>
      <w:proofErr w:type="gramStart"/>
      <w:r w:rsidRPr="00850CC0">
        <w:rPr>
          <w:i/>
          <w:iCs/>
        </w:rPr>
        <w:t>on the basis of</w:t>
      </w:r>
      <w:proofErr w:type="gramEnd"/>
      <w:r w:rsidRPr="00850CC0">
        <w:rPr>
          <w:i/>
          <w:iCs/>
        </w:rPr>
        <w:t xml:space="preserve"> immunogenicity and short-term safety data. Continued approval depends on the evidence of </w:t>
      </w:r>
      <w:proofErr w:type="gramStart"/>
      <w:r w:rsidRPr="00850CC0">
        <w:rPr>
          <w:i/>
          <w:iCs/>
        </w:rPr>
        <w:t>longer term</w:t>
      </w:r>
      <w:proofErr w:type="gramEnd"/>
      <w:r w:rsidRPr="00850CC0">
        <w:rPr>
          <w:i/>
          <w:iCs/>
        </w:rPr>
        <w:t xml:space="preserve"> benefits and safety from ongoing clinical trials and post-market assessment.</w:t>
      </w:r>
    </w:p>
    <w:p w14:paraId="6737981B" w14:textId="5B57D6A3" w:rsidR="008E7846" w:rsidRDefault="008E7846" w:rsidP="00D212F3">
      <w:pPr>
        <w:pStyle w:val="Heading2"/>
      </w:pPr>
      <w:bookmarkStart w:id="77" w:name="_Toc112833630"/>
      <w:r>
        <w:t>Outcome</w:t>
      </w:r>
      <w:bookmarkEnd w:id="75"/>
      <w:bookmarkEnd w:id="76"/>
      <w:bookmarkEnd w:id="77"/>
    </w:p>
    <w:p w14:paraId="73451FE0" w14:textId="6B485FE6" w:rsidR="00915687" w:rsidRDefault="00915687" w:rsidP="00915687">
      <w:bookmarkStart w:id="78" w:name="_Toc247691533"/>
      <w:bookmarkStart w:id="79" w:name="_Toc314842517"/>
      <w:r>
        <w:t xml:space="preserve">Based on a review of quality, safety, and efficacy, the TGA approved the registration of </w:t>
      </w:r>
      <w:r w:rsidRPr="00E95161">
        <w:t xml:space="preserve">Spikevax </w:t>
      </w:r>
      <w:r>
        <w:t>B</w:t>
      </w:r>
      <w:r w:rsidRPr="00E95161">
        <w:t xml:space="preserve">ivalent </w:t>
      </w:r>
      <w:r>
        <w:t>O</w:t>
      </w:r>
      <w:r w:rsidRPr="00E95161">
        <w:t>riginal</w:t>
      </w:r>
      <w:r>
        <w:t>/O</w:t>
      </w:r>
      <w:r w:rsidRPr="00E95161">
        <w:t>micron</w:t>
      </w:r>
      <w:r w:rsidR="00A67C77">
        <w:t xml:space="preserve"> COVID-19 Vaccine</w:t>
      </w:r>
      <w:r w:rsidRPr="00E95161">
        <w:t xml:space="preserve"> </w:t>
      </w:r>
      <w:r>
        <w:t>(</w:t>
      </w:r>
      <w:proofErr w:type="spellStart"/>
      <w:r w:rsidRPr="00E95161">
        <w:t>elasomeran</w:t>
      </w:r>
      <w:proofErr w:type="spellEnd"/>
      <w:r w:rsidRPr="00E95161">
        <w:t xml:space="preserve"> and </w:t>
      </w:r>
      <w:proofErr w:type="spellStart"/>
      <w:r w:rsidRPr="00E95161">
        <w:t>imelasomeran</w:t>
      </w:r>
      <w:proofErr w:type="spellEnd"/>
      <w:r w:rsidRPr="000A4A42">
        <w:t>)</w:t>
      </w:r>
      <w:r>
        <w:t xml:space="preserve"> </w:t>
      </w:r>
      <w:r w:rsidRPr="00E95161">
        <w:t>0.1 mg/mL</w:t>
      </w:r>
      <w:r w:rsidRPr="000A4A42">
        <w:t xml:space="preserve">, </w:t>
      </w:r>
      <w:r>
        <w:t>s</w:t>
      </w:r>
      <w:r w:rsidRPr="004B6DA6">
        <w:t>uspension for injection</w:t>
      </w:r>
      <w:r>
        <w:t>, multidose vial, indicated for:</w:t>
      </w:r>
    </w:p>
    <w:p w14:paraId="2CF38272" w14:textId="77777777" w:rsidR="00915687" w:rsidRDefault="00915687" w:rsidP="00915687"/>
    <w:p w14:paraId="2208ABAF" w14:textId="77777777" w:rsidR="00915687" w:rsidRPr="00435A1C" w:rsidRDefault="00915687" w:rsidP="00915687">
      <w:pPr>
        <w:ind w:left="720"/>
        <w:rPr>
          <w:i/>
          <w:iCs/>
        </w:rPr>
      </w:pPr>
      <w:proofErr w:type="spellStart"/>
      <w:r w:rsidRPr="00435A1C">
        <w:rPr>
          <w:i/>
          <w:iCs/>
        </w:rPr>
        <w:t>Spikevax</w:t>
      </w:r>
      <w:proofErr w:type="spellEnd"/>
      <w:r w:rsidRPr="00435A1C">
        <w:rPr>
          <w:i/>
          <w:iCs/>
        </w:rPr>
        <w:t xml:space="preserve"> Bivalent Original/Omicron (</w:t>
      </w:r>
      <w:proofErr w:type="spellStart"/>
      <w:r w:rsidRPr="00435A1C">
        <w:rPr>
          <w:i/>
          <w:iCs/>
        </w:rPr>
        <w:t>elasomeran</w:t>
      </w:r>
      <w:proofErr w:type="spellEnd"/>
      <w:r w:rsidRPr="00435A1C">
        <w:rPr>
          <w:i/>
          <w:iCs/>
        </w:rPr>
        <w:t>/</w:t>
      </w:r>
      <w:proofErr w:type="spellStart"/>
      <w:r w:rsidRPr="00435A1C">
        <w:rPr>
          <w:i/>
          <w:iCs/>
        </w:rPr>
        <w:t>imelasomeran</w:t>
      </w:r>
      <w:proofErr w:type="spellEnd"/>
      <w:r w:rsidRPr="00435A1C">
        <w:rPr>
          <w:i/>
          <w:iCs/>
        </w:rPr>
        <w:t xml:space="preserve">) COVID-19 Vaccine has </w:t>
      </w:r>
      <w:r w:rsidRPr="00A67C77">
        <w:rPr>
          <w:b/>
          <w:bCs/>
          <w:i/>
          <w:iCs/>
        </w:rPr>
        <w:t>provisional approval</w:t>
      </w:r>
      <w:r w:rsidRPr="00435A1C">
        <w:rPr>
          <w:i/>
          <w:iCs/>
        </w:rPr>
        <w:t xml:space="preserve"> for the indication below:</w:t>
      </w:r>
    </w:p>
    <w:p w14:paraId="41AF2B25" w14:textId="77777777" w:rsidR="00915687" w:rsidRPr="00435A1C" w:rsidRDefault="00915687" w:rsidP="00915687">
      <w:pPr>
        <w:ind w:left="720"/>
        <w:rPr>
          <w:i/>
          <w:iCs/>
        </w:rPr>
      </w:pPr>
      <w:r w:rsidRPr="00435A1C">
        <w:rPr>
          <w:i/>
          <w:iCs/>
        </w:rPr>
        <w:t>As a booster dose for active immunisation to prevent coronavirus disease 2019 (COVID-19) caused by SARS-CoV-2 in individuals 18 years of age and older.</w:t>
      </w:r>
    </w:p>
    <w:p w14:paraId="78170AB9" w14:textId="77777777" w:rsidR="00915687" w:rsidRPr="00435A1C" w:rsidRDefault="00915687" w:rsidP="00915687">
      <w:pPr>
        <w:ind w:left="720"/>
        <w:rPr>
          <w:i/>
          <w:iCs/>
        </w:rPr>
      </w:pPr>
      <w:r w:rsidRPr="00435A1C">
        <w:rPr>
          <w:i/>
          <w:iCs/>
        </w:rPr>
        <w:t>The use of this vaccine should be in accordance with official recommendations.</w:t>
      </w:r>
    </w:p>
    <w:p w14:paraId="3DE4D374" w14:textId="270344B5" w:rsidR="00915687" w:rsidRDefault="00915687" w:rsidP="00915687">
      <w:pPr>
        <w:ind w:left="720"/>
      </w:pPr>
      <w:r w:rsidRPr="00435A1C">
        <w:rPr>
          <w:i/>
          <w:iCs/>
        </w:rPr>
        <w:t xml:space="preserve">The decision has been made </w:t>
      </w:r>
      <w:proofErr w:type="gramStart"/>
      <w:r w:rsidRPr="00435A1C">
        <w:rPr>
          <w:i/>
          <w:iCs/>
        </w:rPr>
        <w:t>on the basis of</w:t>
      </w:r>
      <w:proofErr w:type="gramEnd"/>
      <w:r w:rsidRPr="00435A1C">
        <w:rPr>
          <w:i/>
          <w:iCs/>
        </w:rPr>
        <w:t xml:space="preserve"> immunogenicity and short-term safety data. Continued approval depends on the evidence of </w:t>
      </w:r>
      <w:proofErr w:type="gramStart"/>
      <w:r w:rsidRPr="00435A1C">
        <w:rPr>
          <w:i/>
          <w:iCs/>
        </w:rPr>
        <w:t>longer term</w:t>
      </w:r>
      <w:proofErr w:type="gramEnd"/>
      <w:r w:rsidRPr="00435A1C">
        <w:rPr>
          <w:i/>
          <w:iCs/>
        </w:rPr>
        <w:t xml:space="preserve"> benefits and safety from ongoing clinical trials and post-market assessment.</w:t>
      </w:r>
    </w:p>
    <w:p w14:paraId="43239642" w14:textId="056D73E1" w:rsidR="00D23139" w:rsidRDefault="00D23139" w:rsidP="00D212F3">
      <w:pPr>
        <w:pStyle w:val="Heading3"/>
      </w:pPr>
      <w:bookmarkStart w:id="80" w:name="_Toc112833631"/>
      <w:r w:rsidRPr="00D23139">
        <w:t>Specific conditions of registration applying to these goods</w:t>
      </w:r>
      <w:bookmarkEnd w:id="80"/>
    </w:p>
    <w:p w14:paraId="19582377" w14:textId="05B5DDC8" w:rsidR="00915687" w:rsidRPr="00915687" w:rsidRDefault="00915687" w:rsidP="00915687">
      <w:pPr>
        <w:pStyle w:val="ListBullet"/>
      </w:pPr>
      <w:r w:rsidRPr="00915687">
        <w:t>Spikevax Bivalent Original/Omicron COVID-19 Vaccine (</w:t>
      </w:r>
      <w:proofErr w:type="spellStart"/>
      <w:r w:rsidRPr="00915687">
        <w:t>elasomeran</w:t>
      </w:r>
      <w:proofErr w:type="spellEnd"/>
      <w:r w:rsidRPr="00915687">
        <w:t>/</w:t>
      </w:r>
      <w:proofErr w:type="spellStart"/>
      <w:r w:rsidRPr="00915687">
        <w:t>imelasomeran</w:t>
      </w:r>
      <w:proofErr w:type="spellEnd"/>
      <w:r w:rsidRPr="00915687">
        <w:t xml:space="preserve">) is to be included in the Black Triangle Scheme. The PI and </w:t>
      </w:r>
      <w:r>
        <w:t xml:space="preserve">[Consumer Medicine Information] </w:t>
      </w:r>
      <w:r w:rsidRPr="00915687">
        <w:t>CMI for Spikevax Bivalent Original/Omicron COVID-19 Vaccine must include the black triangle symbol and mandatory accompanying text for the product’s entire period of provisional registration.</w:t>
      </w:r>
    </w:p>
    <w:p w14:paraId="51CBD54C" w14:textId="77777777" w:rsidR="00915687" w:rsidRDefault="00915687" w:rsidP="00915687">
      <w:pPr>
        <w:pStyle w:val="ListBullet"/>
      </w:pPr>
      <w:r w:rsidRPr="00915687">
        <w:t>The Spikevax Bivalent Original/Omicron COVID-19 Vaccine EU-Risk Management Plan (version 4.2, dated 28 June 2022; DLP 27 April 2022), with Australia-Specific Annex (version 1.0, date 8 July 2022), included with submission PM-2022-02203-1, and any subsequent revisions, as agreed with the TGA will be implemented in Australia.</w:t>
      </w:r>
    </w:p>
    <w:p w14:paraId="1B427822" w14:textId="77777777" w:rsidR="00915687" w:rsidRDefault="00915687" w:rsidP="00915687">
      <w:pPr>
        <w:pStyle w:val="ListBullet"/>
        <w:numPr>
          <w:ilvl w:val="0"/>
          <w:numId w:val="0"/>
        </w:numPr>
        <w:ind w:left="360"/>
      </w:pPr>
      <w:r w:rsidRPr="00915687">
        <w:t>An obligatory component of risk management plans is routine pharmacovigilance. Routine pharmacovigilance includes the submission of periodic safety update reports (PSURs).</w:t>
      </w:r>
    </w:p>
    <w:p w14:paraId="6EFB5274" w14:textId="77777777" w:rsidR="00915687" w:rsidRDefault="00915687" w:rsidP="00915687">
      <w:pPr>
        <w:pStyle w:val="ListBullet"/>
        <w:numPr>
          <w:ilvl w:val="0"/>
          <w:numId w:val="0"/>
        </w:numPr>
        <w:ind w:left="360"/>
      </w:pPr>
      <w:r w:rsidRPr="00915687">
        <w:t>Unless agreed separately between the supplier who is the recipient of the approval and the TGA, the first report must be submitted to TGA no later than 15 calendar months</w:t>
      </w:r>
      <w:r>
        <w:t xml:space="preserve"> </w:t>
      </w:r>
      <w:r w:rsidRPr="00915687">
        <w:t>after the date of th</w:t>
      </w:r>
      <w:r>
        <w:t>e</w:t>
      </w:r>
      <w:r w:rsidRPr="00915687">
        <w:t xml:space="preserve"> approval letter. The subsequent reports must be submitted no less frequently than annually from the date of the first submitted report until the period covered by such reports is not less than three years from the date of th</w:t>
      </w:r>
      <w:r>
        <w:t>e</w:t>
      </w:r>
      <w:r w:rsidRPr="00915687">
        <w:t xml:space="preserve"> approval letter, or the entire period of provisional registration, whichever is longer.</w:t>
      </w:r>
    </w:p>
    <w:p w14:paraId="16C65D6E" w14:textId="77777777" w:rsidR="00915687" w:rsidRDefault="00915687" w:rsidP="00915687">
      <w:pPr>
        <w:pStyle w:val="ListBullet"/>
        <w:numPr>
          <w:ilvl w:val="0"/>
          <w:numId w:val="0"/>
        </w:numPr>
        <w:ind w:left="360"/>
      </w:pPr>
      <w:r w:rsidRPr="00915687">
        <w:t xml:space="preserve">The reports are to at least meet the requirements for PSURs as described in the European Medicines Agency’s Guideline on good pharmacovigilance practices (GVP) </w:t>
      </w:r>
      <w:r w:rsidRPr="00915687">
        <w:lastRenderedPageBreak/>
        <w:t>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08095D1" w14:textId="535C4B6C" w:rsidR="00915687" w:rsidRPr="00915687" w:rsidRDefault="00915687" w:rsidP="00915687">
      <w:pPr>
        <w:pStyle w:val="ListBullet"/>
        <w:numPr>
          <w:ilvl w:val="0"/>
          <w:numId w:val="0"/>
        </w:numPr>
        <w:ind w:left="360"/>
      </w:pPr>
      <w:r w:rsidRPr="00915687">
        <w:t>Additional to the routine submission of the routine PSURs, expedited monthly summary safety reports (including safety data for patients in Australia) are to be provided for the first 6 months post registration, and thereafter at intervals specified by the TGA.</w:t>
      </w:r>
    </w:p>
    <w:p w14:paraId="20004D37" w14:textId="77777777" w:rsidR="00915687" w:rsidRPr="00915687" w:rsidRDefault="00915687" w:rsidP="00915687">
      <w:pPr>
        <w:rPr>
          <w:i/>
          <w:iCs/>
        </w:rPr>
      </w:pPr>
      <w:r w:rsidRPr="00915687">
        <w:rPr>
          <w:i/>
          <w:iCs/>
        </w:rPr>
        <w:t>Clinical Conditions</w:t>
      </w:r>
    </w:p>
    <w:p w14:paraId="469F0C19" w14:textId="34248F60" w:rsidR="00915687" w:rsidRPr="00915687" w:rsidRDefault="00915687" w:rsidP="00915687">
      <w:pPr>
        <w:pStyle w:val="ListBullet"/>
      </w:pPr>
      <w:r w:rsidRPr="00915687">
        <w:t>Spikevax Bivalent Original/Omicron COVID-19 Vaccine:</w:t>
      </w:r>
    </w:p>
    <w:p w14:paraId="5EA0021B" w14:textId="1BB86E20" w:rsidR="00915687" w:rsidRPr="00915687" w:rsidRDefault="00915687" w:rsidP="00915687">
      <w:pPr>
        <w:pStyle w:val="ListBullet2"/>
      </w:pPr>
      <w:r w:rsidRPr="00915687">
        <w:t>Submit the interim and final analysis of the pivotal studies P205 Part G and P205 Part F (cohort 2) and their CSR (Clinical Study Report) when available.</w:t>
      </w:r>
    </w:p>
    <w:p w14:paraId="3B7DBCA5" w14:textId="089AB480" w:rsidR="00915687" w:rsidRPr="00915687" w:rsidRDefault="00915687" w:rsidP="00915687">
      <w:pPr>
        <w:pStyle w:val="ListBullet2"/>
      </w:pPr>
      <w:r w:rsidRPr="00915687">
        <w:t>Submit data on booster vaccine effectiveness of mRNA-1273.214 when available.</w:t>
      </w:r>
    </w:p>
    <w:p w14:paraId="61BAE2ED" w14:textId="756B9AC8" w:rsidR="00915687" w:rsidRPr="00915687" w:rsidRDefault="00915687" w:rsidP="00915687">
      <w:pPr>
        <w:pStyle w:val="ListBullet2"/>
      </w:pPr>
      <w:r w:rsidRPr="00915687">
        <w:t>Omicron BA.4/BA.5 neutralization assay validation report should be submitted when available.</w:t>
      </w:r>
    </w:p>
    <w:p w14:paraId="59A087E5" w14:textId="431779BB" w:rsidR="00915687" w:rsidRPr="00915687" w:rsidRDefault="00915687" w:rsidP="00915687">
      <w:pPr>
        <w:pStyle w:val="ListBullet"/>
      </w:pPr>
      <w:r w:rsidRPr="00915687">
        <w:t>Existing conditions for S</w:t>
      </w:r>
      <w:r>
        <w:t>pikev</w:t>
      </w:r>
      <w:r w:rsidR="00D6369B">
        <w:t>a</w:t>
      </w:r>
      <w:r>
        <w:t>x</w:t>
      </w:r>
      <w:r w:rsidRPr="00915687">
        <w:t xml:space="preserve"> (original) remain.</w:t>
      </w:r>
    </w:p>
    <w:p w14:paraId="7E8A484F" w14:textId="70BABF27" w:rsidR="00915687" w:rsidRPr="00915687" w:rsidRDefault="00915687" w:rsidP="00915687">
      <w:pPr>
        <w:pStyle w:val="ListBullet"/>
      </w:pPr>
      <w:r w:rsidRPr="00915687">
        <w:t>Confirmatory trial data (as identified in the sponsor’s plan to submit comprehensive clinical data on the safety and efficacy of the medicine before the end of the 6 years that would start on the day that registration would commence) must be provided.</w:t>
      </w:r>
    </w:p>
    <w:p w14:paraId="1A050306" w14:textId="77777777" w:rsidR="00915687" w:rsidRPr="00915687" w:rsidRDefault="00915687" w:rsidP="00915687">
      <w:pPr>
        <w:rPr>
          <w:i/>
          <w:iCs/>
        </w:rPr>
      </w:pPr>
      <w:r w:rsidRPr="00915687">
        <w:rPr>
          <w:i/>
          <w:iCs/>
        </w:rPr>
        <w:t>Quality Conditions</w:t>
      </w:r>
    </w:p>
    <w:p w14:paraId="4D51CEA0" w14:textId="49E9A17B" w:rsidR="00915687" w:rsidRPr="00915687" w:rsidRDefault="00915687" w:rsidP="00915687">
      <w:pPr>
        <w:pStyle w:val="ListBullet"/>
      </w:pPr>
      <w:r w:rsidRPr="00915687">
        <w:t xml:space="preserve">GMP clearance for listed manufacturers: All relevant manufacturing sites require approved and current GMP Clearances prior to Australian supply. A commitment is required from the </w:t>
      </w:r>
      <w:r>
        <w:t>s</w:t>
      </w:r>
      <w:r w:rsidRPr="00915687">
        <w:t>ponsor that they maintain the validity of all manufacturer GMP Clearances for the duration of product supply to Australia. Additionally, that adherence to the conditions of GMP Clearance approval is upheld.</w:t>
      </w:r>
    </w:p>
    <w:p w14:paraId="41BE7DCB" w14:textId="77777777" w:rsidR="00915687" w:rsidRDefault="00915687" w:rsidP="00915687">
      <w:pPr>
        <w:pStyle w:val="ListBullet"/>
      </w:pPr>
      <w:r w:rsidRPr="00915687">
        <w:t>Batch Release Testing and Compliance</w:t>
      </w:r>
    </w:p>
    <w:p w14:paraId="6FBAF5DF" w14:textId="5C3C9ED1" w:rsidR="00915687" w:rsidRDefault="00915687" w:rsidP="00915687">
      <w:pPr>
        <w:pStyle w:val="ListBullet"/>
        <w:numPr>
          <w:ilvl w:val="0"/>
          <w:numId w:val="0"/>
        </w:numPr>
        <w:ind w:left="360"/>
      </w:pPr>
      <w:r w:rsidRPr="00915687">
        <w:t>It is a condition of registration that all independent batches of Spikevax Bivalent Original/Omicron</w:t>
      </w:r>
      <w:r w:rsidR="00A67C77">
        <w:t xml:space="preserve"> </w:t>
      </w:r>
      <w:r w:rsidRPr="00915687">
        <w:t>(</w:t>
      </w:r>
      <w:proofErr w:type="spellStart"/>
      <w:r w:rsidRPr="00915687">
        <w:t>elasomeran</w:t>
      </w:r>
      <w:proofErr w:type="spellEnd"/>
      <w:r w:rsidRPr="00915687">
        <w:t xml:space="preserve"> and </w:t>
      </w:r>
      <w:proofErr w:type="spellStart"/>
      <w:r w:rsidRPr="00915687">
        <w:t>imelasomeran</w:t>
      </w:r>
      <w:proofErr w:type="spellEnd"/>
      <w:r w:rsidRPr="00915687">
        <w:t>) 0.1 mg/mL suspension for injection vial imported into Australia are not released for sale until samples and the manufacturer’s release data have been assessed and you have received notification acknowledging release from the Laboratories Branch, TGA.</w:t>
      </w:r>
    </w:p>
    <w:p w14:paraId="4C7E3FFD" w14:textId="1CE3510F" w:rsidR="00915687" w:rsidRPr="00915687" w:rsidRDefault="00915687" w:rsidP="00915687">
      <w:pPr>
        <w:pStyle w:val="ListBullet"/>
        <w:numPr>
          <w:ilvl w:val="0"/>
          <w:numId w:val="0"/>
        </w:numPr>
        <w:ind w:left="360"/>
      </w:pPr>
      <w:r w:rsidRPr="00915687">
        <w:t xml:space="preserve">For each independent batch of the product imported into Australia, the </w:t>
      </w:r>
      <w:r>
        <w:t>s</w:t>
      </w:r>
      <w:r w:rsidRPr="00915687">
        <w:t>ponsor must supply the following:</w:t>
      </w:r>
    </w:p>
    <w:p w14:paraId="2269A374" w14:textId="67EFE936" w:rsidR="00915687" w:rsidRPr="00915687" w:rsidRDefault="00915687" w:rsidP="00915687">
      <w:pPr>
        <w:pStyle w:val="ListBullet2"/>
      </w:pPr>
      <w:r w:rsidRPr="00915687">
        <w:t>A completed Request for Release Form, available from vaccines@health.gov.au.</w:t>
      </w:r>
    </w:p>
    <w:p w14:paraId="49B06B1D" w14:textId="22B42C35" w:rsidR="00915687" w:rsidRPr="00915687" w:rsidRDefault="00915687" w:rsidP="00915687">
      <w:pPr>
        <w:pStyle w:val="ListBullet2"/>
      </w:pPr>
      <w:r w:rsidRPr="00915687">
        <w:t>Complete summary protocols for manufacture and QC, including all steps in production in the agreed format.</w:t>
      </w:r>
    </w:p>
    <w:p w14:paraId="100A0670" w14:textId="1CA5A5D9" w:rsidR="00915687" w:rsidRPr="00915687" w:rsidRDefault="00915687" w:rsidP="00915687">
      <w:pPr>
        <w:pStyle w:val="ListBullet2"/>
      </w:pPr>
      <w:r w:rsidRPr="00915687">
        <w:t>At least 10 (ten) vials (</w:t>
      </w:r>
      <w:r>
        <w:t>s</w:t>
      </w:r>
      <w:r w:rsidRPr="00915687">
        <w:t>amples) of each manufacturing batch of Spikevax Bivalent Original/Omicron</w:t>
      </w:r>
      <w:r w:rsidR="00A67C77">
        <w:t xml:space="preserve"> </w:t>
      </w:r>
      <w:r w:rsidRPr="00915687">
        <w:t>(</w:t>
      </w:r>
      <w:proofErr w:type="spellStart"/>
      <w:r w:rsidRPr="00915687">
        <w:t>elasomeran</w:t>
      </w:r>
      <w:proofErr w:type="spellEnd"/>
      <w:r w:rsidRPr="00915687">
        <w:t xml:space="preserve"> and </w:t>
      </w:r>
      <w:proofErr w:type="spellStart"/>
      <w:r w:rsidRPr="00915687">
        <w:t>imelasomeran</w:t>
      </w:r>
      <w:proofErr w:type="spellEnd"/>
      <w:r w:rsidRPr="00915687">
        <w:t xml:space="preserve">) 0.1 mg/mL suspension for injection vial with the Australian approved labels, </w:t>
      </w:r>
      <w:proofErr w:type="gramStart"/>
      <w:r w:rsidRPr="00915687">
        <w:t>PI</w:t>
      </w:r>
      <w:proofErr w:type="gramEnd"/>
      <w:r w:rsidRPr="00915687">
        <w:t xml:space="preserve"> and packaging (unless an exemption to supply these has been granted) representative of all batches of product seeking distribution in Australia.</w:t>
      </w:r>
    </w:p>
    <w:p w14:paraId="6BA5B46D" w14:textId="19D83B38" w:rsidR="00915687" w:rsidRPr="00915687" w:rsidRDefault="00915687" w:rsidP="00915687">
      <w:pPr>
        <w:pStyle w:val="ListBullet2"/>
      </w:pPr>
      <w:r w:rsidRPr="00915687">
        <w:t>At least 5 (five) vials (</w:t>
      </w:r>
      <w:r>
        <w:t>s</w:t>
      </w:r>
      <w:r w:rsidRPr="00915687">
        <w:t>amples) of any further consignments of a manufacturing batch of Spikevax Bivalent Original/Omicron</w:t>
      </w:r>
      <w:r w:rsidR="00A67C77">
        <w:t xml:space="preserve"> </w:t>
      </w:r>
      <w:r w:rsidRPr="00915687">
        <w:t>(</w:t>
      </w:r>
      <w:proofErr w:type="spellStart"/>
      <w:r w:rsidRPr="00915687">
        <w:t>elasomeran</w:t>
      </w:r>
      <w:proofErr w:type="spellEnd"/>
      <w:r w:rsidRPr="00915687">
        <w:t xml:space="preserve"> and </w:t>
      </w:r>
      <w:proofErr w:type="spellStart"/>
      <w:r w:rsidRPr="00915687">
        <w:t>imelasomeran</w:t>
      </w:r>
      <w:proofErr w:type="spellEnd"/>
      <w:r w:rsidRPr="00915687">
        <w:t>) 0.1</w:t>
      </w:r>
      <w:r>
        <w:t> </w:t>
      </w:r>
      <w:r w:rsidRPr="00915687">
        <w:t xml:space="preserve">mg/mL suspension for injection vial with the Australian approved labels, </w:t>
      </w:r>
      <w:proofErr w:type="gramStart"/>
      <w:r w:rsidRPr="00915687">
        <w:t>PI</w:t>
      </w:r>
      <w:proofErr w:type="gramEnd"/>
      <w:r w:rsidRPr="00915687">
        <w:t xml:space="preserve"> and packaging (unless an exemption to supply these has been granted). Further </w:t>
      </w:r>
      <w:r w:rsidRPr="00915687">
        <w:lastRenderedPageBreak/>
        <w:t>consignments cover batches previously supplied to TGA for the purposes of batch release testing but are seeking to be supplied again.</w:t>
      </w:r>
    </w:p>
    <w:p w14:paraId="4F07AD36" w14:textId="14612FE5" w:rsidR="00915687" w:rsidRPr="00915687" w:rsidRDefault="00915687" w:rsidP="00915687">
      <w:pPr>
        <w:pStyle w:val="ListBullet2"/>
      </w:pPr>
      <w:r w:rsidRPr="00915687">
        <w:t>If the manufacturing batch has been released in Europe or United Kingdom a copy of the EU Official Control Authority Batch Release (OCABR) certificate (or equivalent from the UK) must be provided.</w:t>
      </w:r>
    </w:p>
    <w:p w14:paraId="73131C12" w14:textId="77777777" w:rsidR="00915687" w:rsidRDefault="00915687" w:rsidP="00915687">
      <w:pPr>
        <w:pStyle w:val="ListBullet2"/>
      </w:pPr>
      <w:r w:rsidRPr="00915687">
        <w:t>Any reagents, reference material and standards required to undertake testing, as requested by Laboratories Branch, TGA.</w:t>
      </w:r>
    </w:p>
    <w:p w14:paraId="7577CE23" w14:textId="77777777" w:rsidR="00915687" w:rsidRDefault="00915687" w:rsidP="00915687">
      <w:pPr>
        <w:pStyle w:val="ListBullet2"/>
        <w:numPr>
          <w:ilvl w:val="0"/>
          <w:numId w:val="0"/>
        </w:numPr>
        <w:ind w:left="360"/>
      </w:pPr>
      <w:r w:rsidRPr="00915687">
        <w:t xml:space="preserve">Sponsors must provide all requested </w:t>
      </w:r>
      <w:r>
        <w:t>s</w:t>
      </w:r>
      <w:r w:rsidRPr="00915687">
        <w:t>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w:t>
      </w:r>
    </w:p>
    <w:p w14:paraId="41C966BC" w14:textId="77777777" w:rsidR="00D6369B" w:rsidRDefault="00915687" w:rsidP="00D6369B">
      <w:pPr>
        <w:pStyle w:val="ListBullet2"/>
        <w:numPr>
          <w:ilvl w:val="0"/>
          <w:numId w:val="0"/>
        </w:numPr>
        <w:ind w:left="360"/>
      </w:pPr>
      <w:r w:rsidRPr="00915687">
        <w:t>Samples and data should be forwarded to the Biotherapeutics Section, Laboratories Branch before release of each batch and with sufficient lead time to allow for Laboratories Branch testing.</w:t>
      </w:r>
    </w:p>
    <w:p w14:paraId="1772465F" w14:textId="2A5CB646" w:rsidR="00915687" w:rsidRPr="00915687" w:rsidRDefault="00915687" w:rsidP="00D6369B">
      <w:pPr>
        <w:pStyle w:val="ListBullet2"/>
        <w:numPr>
          <w:ilvl w:val="0"/>
          <w:numId w:val="0"/>
        </w:numPr>
        <w:ind w:left="360"/>
      </w:pPr>
      <w:r w:rsidRPr="00915687">
        <w:t>The shipments (including reagents) to TGA are the responsibility of the Australian Sponsor/Agent who will be required to facilitate the import and customs clearance process.</w:t>
      </w:r>
    </w:p>
    <w:p w14:paraId="679BA47F" w14:textId="77777777" w:rsidR="00D6369B" w:rsidRDefault="00915687" w:rsidP="00915687">
      <w:pPr>
        <w:pStyle w:val="ListBullet"/>
      </w:pPr>
      <w:r w:rsidRPr="00915687">
        <w:t>Certified Product Details</w:t>
      </w:r>
    </w:p>
    <w:p w14:paraId="694EAABF" w14:textId="59028170" w:rsidR="00915687" w:rsidRPr="00915687" w:rsidRDefault="00915687" w:rsidP="00D6369B">
      <w:pPr>
        <w:pStyle w:val="ListBullet"/>
        <w:numPr>
          <w:ilvl w:val="0"/>
          <w:numId w:val="0"/>
        </w:numPr>
        <w:ind w:left="360"/>
      </w:pPr>
      <w:r w:rsidRPr="00915687">
        <w:t>An electronic copy of the Certified Product Details (CPD) as described in Guidance 7: Certified Product Details of the Australian Regulatory Guidelines for Prescription Medicines (ARGPM) https://www.tga.gov.au/guidance-7-certified-product-details should be provided upon registration of the therapeutic good. In addition, an updated CPD, for the above products incorporating the approved changes is to be provided within one (1) month of the date of approval letter. A template for preparation of CPD for biological prescription medicines and Vaccines can be obtained from the TGA website https://www.tga.gov.au/form/certified-product-details-cpd-biological-prescription-medicines]. The CPD should be sent as a single bookmarked PDF document to Vaccines@health.gov.au as soon as possible after registration/approval of the product or any subsequent changes as indicated above.</w:t>
      </w:r>
    </w:p>
    <w:p w14:paraId="09F95A1A" w14:textId="77777777" w:rsidR="00915687" w:rsidRPr="00D6369B" w:rsidRDefault="00915687" w:rsidP="00915687">
      <w:pPr>
        <w:rPr>
          <w:i/>
          <w:iCs/>
        </w:rPr>
      </w:pPr>
      <w:r w:rsidRPr="00D6369B">
        <w:rPr>
          <w:i/>
          <w:iCs/>
        </w:rPr>
        <w:t>Quality Commitments</w:t>
      </w:r>
    </w:p>
    <w:p w14:paraId="46BB3CDB" w14:textId="77777777" w:rsidR="00D6369B" w:rsidRDefault="00D6369B" w:rsidP="00D6369B">
      <w:pPr>
        <w:pStyle w:val="ListBullet"/>
      </w:pPr>
      <w:r>
        <w:t>P</w:t>
      </w:r>
      <w:r w:rsidR="00915687" w:rsidRPr="00915687">
        <w:t>ost-approval stability protocol and stability commitment: The manufacturer has provided commitment to continue the ongoing stability studies presented in the stability studies protocol. Additionally, 1 batch of DP per year for all relevant products will be placed on long-term stability program and on accelerated stability testing where significant changes are made to the manufacturing process. The manufacturer has committed to communicate any out of specifications stability test results to the TGA.</w:t>
      </w:r>
    </w:p>
    <w:p w14:paraId="40FD1AD4" w14:textId="6C16957D" w:rsidR="008E7846" w:rsidRDefault="00A80B5B" w:rsidP="00915687">
      <w:pPr>
        <w:pStyle w:val="Heading2"/>
      </w:pPr>
      <w:bookmarkStart w:id="81" w:name="_Toc112833632"/>
      <w:r>
        <w:t xml:space="preserve">Attachment 1. </w:t>
      </w:r>
      <w:r w:rsidR="008E7846">
        <w:t xml:space="preserve">Product </w:t>
      </w:r>
      <w:r w:rsidR="00AA0ED0">
        <w:t>I</w:t>
      </w:r>
      <w:r w:rsidR="008E7846">
        <w:t>nformation</w:t>
      </w:r>
      <w:bookmarkEnd w:id="78"/>
      <w:bookmarkEnd w:id="79"/>
      <w:bookmarkEnd w:id="81"/>
    </w:p>
    <w:p w14:paraId="48FB1E57" w14:textId="31E6884A" w:rsidR="00523A21" w:rsidRDefault="006136D7" w:rsidP="00C80137">
      <w:r w:rsidRPr="002B3624">
        <w:t xml:space="preserve">The </w:t>
      </w:r>
      <w:r>
        <w:t>PI</w:t>
      </w:r>
      <w:r w:rsidRPr="002B3624">
        <w:t xml:space="preserve"> for </w:t>
      </w:r>
      <w:r w:rsidR="009A5785">
        <w:t xml:space="preserve">Spikevax </w:t>
      </w:r>
      <w:r w:rsidR="003E1504">
        <w:t>B</w:t>
      </w:r>
      <w:r w:rsidR="009A5785">
        <w:t xml:space="preserve">ivalent </w:t>
      </w:r>
      <w:r w:rsidR="003E1504">
        <w:t>O</w:t>
      </w:r>
      <w:r w:rsidR="007F21AA">
        <w:t xml:space="preserve">riginal/Omicron </w:t>
      </w:r>
      <w:r>
        <w:t xml:space="preserve">approved with the submission which is described in </w:t>
      </w:r>
      <w:r w:rsidRPr="002B3624">
        <w:t>this AusPAR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33" w:history="1">
        <w:r w:rsidR="0074163C" w:rsidRPr="008A698E">
          <w:rPr>
            <w:rStyle w:val="Hyperlink"/>
          </w:rPr>
          <w:t>PI/CMI search facility</w:t>
        </w:r>
        <w:r w:rsidR="0074163C" w:rsidRPr="00EB36D6">
          <w:rPr>
            <w:rStyle w:val="Hyperlink"/>
            <w:color w:val="auto"/>
            <w:u w:val="none"/>
          </w:rPr>
          <w:t>.</w:t>
        </w:r>
      </w:hyperlink>
    </w:p>
    <w:p w14:paraId="730C9CE8" w14:textId="77777777" w:rsidR="008E7846" w:rsidRPr="00EB36D6" w:rsidRDefault="008E7846" w:rsidP="00EB36D6">
      <w:r w:rsidRPr="00C80137">
        <w:br w:type="page"/>
      </w:r>
    </w:p>
    <w:p w14:paraId="499372BC" w14:textId="77777777" w:rsidR="00C80137" w:rsidRPr="001D043B" w:rsidRDefault="00C80137" w:rsidP="003A7F6C">
      <w:pPr>
        <w:pStyle w:val="TableTitle"/>
        <w:sectPr w:rsidR="00C80137" w:rsidRPr="001D043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F8C2C36" w14:textId="77777777" w:rsidTr="00A05FA4">
        <w:trPr>
          <w:trHeight w:hRule="exact" w:val="704"/>
        </w:trPr>
        <w:tc>
          <w:tcPr>
            <w:tcW w:w="9175" w:type="dxa"/>
          </w:tcPr>
          <w:p w14:paraId="38A57BD3" w14:textId="77777777" w:rsidR="001C32CD" w:rsidRPr="00487162" w:rsidRDefault="001C32CD" w:rsidP="00A05FA4">
            <w:pPr>
              <w:pStyle w:val="TGASignoff"/>
            </w:pPr>
            <w:r w:rsidRPr="00487162">
              <w:lastRenderedPageBreak/>
              <w:t>Therapeutic Goods Administration</w:t>
            </w:r>
          </w:p>
        </w:tc>
      </w:tr>
      <w:tr w:rsidR="001C32CD" w:rsidRPr="004C239D" w14:paraId="05F93ED1" w14:textId="77777777" w:rsidTr="00A05FA4">
        <w:trPr>
          <w:trHeight w:val="1221"/>
        </w:trPr>
        <w:tc>
          <w:tcPr>
            <w:tcW w:w="9175" w:type="dxa"/>
            <w:tcMar>
              <w:top w:w="28" w:type="dxa"/>
            </w:tcMar>
          </w:tcPr>
          <w:p w14:paraId="7F88F64B" w14:textId="77777777" w:rsidR="001C32CD" w:rsidRPr="00487162" w:rsidRDefault="001C32CD" w:rsidP="00A05FA4">
            <w:pPr>
              <w:pStyle w:val="Address"/>
            </w:pPr>
            <w:r w:rsidRPr="00487162">
              <w:t>PO Box 100 Woden ACT 2606 Australia</w:t>
            </w:r>
          </w:p>
          <w:p w14:paraId="445DA3EA" w14:textId="74074E74" w:rsidR="001C32CD" w:rsidRPr="00487162" w:rsidRDefault="001C32CD" w:rsidP="00A05FA4">
            <w:pPr>
              <w:pStyle w:val="Address"/>
            </w:pPr>
            <w:r w:rsidRPr="00487162">
              <w:t xml:space="preserve">Email: </w:t>
            </w:r>
            <w:hyperlink r:id="rId38"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57662DD6" w14:textId="5759B498" w:rsidR="001C32CD" w:rsidRPr="004C239D" w:rsidRDefault="00F43EA9" w:rsidP="00A05FA4">
            <w:pPr>
              <w:pStyle w:val="Address"/>
              <w:spacing w:line="260" w:lineRule="atLeast"/>
              <w:rPr>
                <w:b/>
                <w:color w:val="0000FF"/>
                <w:u w:val="single"/>
              </w:rPr>
            </w:pPr>
            <w:hyperlink r:id="rId39" w:history="1">
              <w:r w:rsidR="007C6B9B" w:rsidRPr="007C6B9B">
                <w:rPr>
                  <w:rStyle w:val="Hyperlink"/>
                  <w:b/>
                </w:rPr>
                <w:t>https://www.tga.gov.au</w:t>
              </w:r>
            </w:hyperlink>
          </w:p>
        </w:tc>
      </w:tr>
    </w:tbl>
    <w:p w14:paraId="45EB83C2" w14:textId="77777777" w:rsidR="00774E1D" w:rsidRPr="008A5E0B" w:rsidRDefault="00774E1D" w:rsidP="004C239D"/>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C9B2D" w14:textId="77777777" w:rsidR="00C6359C" w:rsidRDefault="00C6359C" w:rsidP="00C40A36">
      <w:pPr>
        <w:spacing w:after="0"/>
      </w:pPr>
      <w:r>
        <w:separator/>
      </w:r>
    </w:p>
  </w:endnote>
  <w:endnote w:type="continuationSeparator" w:id="0">
    <w:p w14:paraId="61C16447" w14:textId="77777777" w:rsidR="00C6359C" w:rsidRDefault="00C6359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00"/>
    <w:family w:val="roman"/>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6359C" w:rsidRPr="00487162" w14:paraId="4CF6FA4C" w14:textId="77777777" w:rsidTr="00DB750B">
      <w:trPr>
        <w:trHeight w:val="269"/>
      </w:trPr>
      <w:tc>
        <w:tcPr>
          <w:tcW w:w="7371" w:type="dxa"/>
          <w:tcMar>
            <w:top w:w="142" w:type="dxa"/>
            <w:bottom w:w="0" w:type="dxa"/>
          </w:tcMar>
        </w:tcPr>
        <w:p w14:paraId="7464EA84" w14:textId="7C302723" w:rsidR="00C6359C" w:rsidRPr="00487162" w:rsidRDefault="00C6359C" w:rsidP="00460036">
          <w:pPr>
            <w:pStyle w:val="Footer"/>
          </w:pPr>
          <w:r w:rsidRPr="00487162">
            <w:t>AusPA</w:t>
          </w:r>
          <w:r>
            <w:t xml:space="preserve">R - </w:t>
          </w:r>
          <w:r w:rsidRPr="00E95161">
            <w:t xml:space="preserve">Spikevax </w:t>
          </w:r>
          <w:r>
            <w:t>B</w:t>
          </w:r>
          <w:r w:rsidRPr="00E95161">
            <w:t xml:space="preserve">ivalent </w:t>
          </w:r>
          <w:r>
            <w:t>O</w:t>
          </w:r>
          <w:r w:rsidRPr="00E95161">
            <w:t>riginal</w:t>
          </w:r>
          <w:r>
            <w:t>/O</w:t>
          </w:r>
          <w:r w:rsidRPr="00E95161">
            <w:t xml:space="preserve">micron COVID-19 vaccine - </w:t>
          </w:r>
          <w:proofErr w:type="spellStart"/>
          <w:r w:rsidRPr="00E95161">
            <w:t>elasomeran</w:t>
          </w:r>
          <w:proofErr w:type="spellEnd"/>
          <w:r w:rsidRPr="00E95161">
            <w:t xml:space="preserve"> and </w:t>
          </w:r>
          <w:proofErr w:type="spellStart"/>
          <w:r w:rsidRPr="00E95161">
            <w:t>imelasomeran</w:t>
          </w:r>
          <w:proofErr w:type="spellEnd"/>
          <w:r w:rsidRPr="00E95161">
            <w:t xml:space="preserve"> - Moderna Australia Pty Ltd - PM-2022-02203-1-2</w:t>
          </w:r>
          <w:r>
            <w:br/>
            <w:t>FINAL</w:t>
          </w:r>
          <w:r w:rsidRPr="00487162">
            <w:t xml:space="preserve"> </w:t>
          </w:r>
          <w:r>
            <w:t>30 August 2022</w:t>
          </w:r>
        </w:p>
      </w:tc>
      <w:tc>
        <w:tcPr>
          <w:tcW w:w="1490" w:type="dxa"/>
          <w:tcMar>
            <w:top w:w="142" w:type="dxa"/>
            <w:bottom w:w="0" w:type="dxa"/>
          </w:tcMar>
        </w:tcPr>
        <w:p w14:paraId="5E85C582" w14:textId="7FFF64B8" w:rsidR="00C6359C" w:rsidRPr="00487162" w:rsidRDefault="00C6359C" w:rsidP="00DB750B">
          <w:pPr>
            <w:pStyle w:val="Footer"/>
            <w:jc w:val="right"/>
          </w:pPr>
          <w:r w:rsidRPr="00487162">
            <w:t xml:space="preserve">Page </w:t>
          </w:r>
          <w:r>
            <w:fldChar w:fldCharType="begin"/>
          </w:r>
          <w:r>
            <w:instrText xml:space="preserve"> PAGE  \* Arabic </w:instrText>
          </w:r>
          <w:r>
            <w:fldChar w:fldCharType="separate"/>
          </w:r>
          <w:r w:rsidR="001E40E1">
            <w:rPr>
              <w:noProof/>
            </w:rPr>
            <w:t>49</w:t>
          </w:r>
          <w:r>
            <w:fldChar w:fldCharType="end"/>
          </w:r>
          <w:r w:rsidRPr="00487162">
            <w:t xml:space="preserve"> of </w:t>
          </w:r>
          <w:r w:rsidR="00F43EA9">
            <w:fldChar w:fldCharType="begin"/>
          </w:r>
          <w:r w:rsidR="00F43EA9">
            <w:instrText xml:space="preserve"> NUMPAGES  \* Arabic </w:instrText>
          </w:r>
          <w:r w:rsidR="00F43EA9">
            <w:fldChar w:fldCharType="separate"/>
          </w:r>
          <w:r w:rsidR="001E40E1">
            <w:rPr>
              <w:noProof/>
            </w:rPr>
            <w:t>50</w:t>
          </w:r>
          <w:r w:rsidR="00F43EA9">
            <w:rPr>
              <w:noProof/>
            </w:rPr>
            <w:fldChar w:fldCharType="end"/>
          </w:r>
        </w:p>
      </w:tc>
    </w:tr>
  </w:tbl>
  <w:p w14:paraId="39ED08EE" w14:textId="77777777" w:rsidR="00C6359C" w:rsidRDefault="00C6359C"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6359C" w:rsidRPr="00487162" w14:paraId="67AFAA51" w14:textId="77777777" w:rsidTr="00E45619">
      <w:trPr>
        <w:trHeight w:val="269"/>
      </w:trPr>
      <w:tc>
        <w:tcPr>
          <w:tcW w:w="4519" w:type="dxa"/>
          <w:tcBorders>
            <w:top w:val="single" w:sz="4" w:space="0" w:color="auto"/>
          </w:tcBorders>
          <w:tcMar>
            <w:top w:w="142" w:type="dxa"/>
            <w:bottom w:w="0" w:type="dxa"/>
          </w:tcMar>
        </w:tcPr>
        <w:p w14:paraId="5F6D9718" w14:textId="77777777" w:rsidR="00C6359C" w:rsidRPr="00487162" w:rsidRDefault="00C6359C" w:rsidP="00FE1DEE">
          <w:pPr>
            <w:pStyle w:val="Footer"/>
          </w:pPr>
          <w:r w:rsidRPr="00487162">
            <w:t>Document title, Part #, Section # - Section title</w:t>
          </w:r>
        </w:p>
        <w:p w14:paraId="0A4A62B1" w14:textId="77777777" w:rsidR="00C6359C" w:rsidRPr="00487162" w:rsidRDefault="00C6359C" w:rsidP="00FE1DEE">
          <w:pPr>
            <w:pStyle w:val="Footer"/>
          </w:pPr>
          <w:r w:rsidRPr="00487162">
            <w:t>V1.0 October 2010</w:t>
          </w:r>
        </w:p>
      </w:tc>
      <w:tc>
        <w:tcPr>
          <w:tcW w:w="4342" w:type="dxa"/>
          <w:tcBorders>
            <w:top w:val="single" w:sz="4" w:space="0" w:color="auto"/>
          </w:tcBorders>
          <w:tcMar>
            <w:top w:w="142" w:type="dxa"/>
            <w:bottom w:w="0" w:type="dxa"/>
          </w:tcMar>
        </w:tcPr>
        <w:p w14:paraId="62B8D426" w14:textId="77777777" w:rsidR="00C6359C" w:rsidRPr="00487162" w:rsidRDefault="00C6359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43EA9">
            <w:fldChar w:fldCharType="begin"/>
          </w:r>
          <w:r w:rsidR="00F43EA9">
            <w:instrText xml:space="preserve"> NUMPAGES  </w:instrText>
          </w:r>
          <w:r w:rsidR="00F43EA9">
            <w:fldChar w:fldCharType="separate"/>
          </w:r>
          <w:r>
            <w:rPr>
              <w:noProof/>
            </w:rPr>
            <w:t>21</w:t>
          </w:r>
          <w:r w:rsidR="00F43EA9">
            <w:rPr>
              <w:noProof/>
            </w:rPr>
            <w:fldChar w:fldCharType="end"/>
          </w:r>
        </w:p>
      </w:tc>
    </w:tr>
  </w:tbl>
  <w:p w14:paraId="5925D092" w14:textId="77777777" w:rsidR="00C6359C" w:rsidRDefault="00C635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59A4" w14:textId="77777777" w:rsidR="00C6359C" w:rsidRPr="001C32CD" w:rsidRDefault="00C6359C"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6359C" w14:paraId="4B1FC38B" w14:textId="77777777" w:rsidTr="0010601F">
      <w:trPr>
        <w:trHeight w:val="108"/>
      </w:trPr>
      <w:tc>
        <w:tcPr>
          <w:tcW w:w="8875" w:type="dxa"/>
          <w:gridSpan w:val="2"/>
          <w:tcBorders>
            <w:bottom w:val="single" w:sz="4" w:space="0" w:color="auto"/>
          </w:tcBorders>
          <w:tcMar>
            <w:right w:w="284" w:type="dxa"/>
          </w:tcMar>
        </w:tcPr>
        <w:p w14:paraId="7CCF671D" w14:textId="77777777" w:rsidR="00C6359C" w:rsidRDefault="00C6359C" w:rsidP="006E08B3">
          <w:pPr>
            <w:pStyle w:val="Heading3"/>
          </w:pPr>
          <w:r>
            <w:t>Copyright</w:t>
          </w:r>
        </w:p>
        <w:p w14:paraId="3BB3B401" w14:textId="77777777" w:rsidR="00C6359C" w:rsidRDefault="00C6359C" w:rsidP="006E08B3">
          <w:r>
            <w:rPr>
              <w:rFonts w:cs="Arial"/>
            </w:rPr>
            <w:t>©</w:t>
          </w:r>
          <w:r>
            <w:t xml:space="preserve"> Commonwealth of Australia [add year]</w:t>
          </w:r>
        </w:p>
        <w:p w14:paraId="780D5690" w14:textId="77777777" w:rsidR="00C6359C" w:rsidRDefault="00C6359C" w:rsidP="006E08B3"/>
        <w:p w14:paraId="32BEC81A" w14:textId="77777777" w:rsidR="00C6359C" w:rsidRDefault="00C6359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5C0F559A" w14:textId="77777777" w:rsidR="00C6359C" w:rsidRDefault="00C6359C" w:rsidP="006E08B3"/>
        <w:p w14:paraId="5353CBB6" w14:textId="77777777" w:rsidR="00C6359C" w:rsidRDefault="00C6359C" w:rsidP="006E08B3">
          <w:pPr>
            <w:pStyle w:val="Heading3"/>
          </w:pPr>
          <w:r>
            <w:t>Confidentiality</w:t>
          </w:r>
        </w:p>
        <w:p w14:paraId="50BAEBFE" w14:textId="77777777" w:rsidR="00C6359C" w:rsidRDefault="00C6359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DFC582D" w14:textId="77777777" w:rsidR="00C6359C" w:rsidRDefault="00C6359C" w:rsidP="006E08B3"/>
        <w:p w14:paraId="44CF7536" w14:textId="77777777" w:rsidR="00C6359C" w:rsidRDefault="00C6359C" w:rsidP="006E08B3">
          <w:r>
            <w:t>For submission made by individuals, all personal details, other than your name, will be removed from your submission before it is published on the TGA’s Internet site.</w:t>
          </w:r>
        </w:p>
        <w:p w14:paraId="65D081AA" w14:textId="77777777" w:rsidR="00C6359C" w:rsidRDefault="00C6359C" w:rsidP="006E08B3"/>
        <w:p w14:paraId="0B0B49ED" w14:textId="77777777" w:rsidR="00C6359C" w:rsidRDefault="00C6359C" w:rsidP="006E08B3">
          <w:r>
            <w:t>In addition, a list of parties making submissions will be published. If you do not wish to be identified with your submission you must specifically request this in the space provided in the submission coversheet.</w:t>
          </w:r>
        </w:p>
      </w:tc>
    </w:tr>
    <w:tr w:rsidR="00C6359C" w14:paraId="466AA507" w14:textId="77777777" w:rsidTr="0010601F">
      <w:trPr>
        <w:trHeight w:val="417"/>
      </w:trPr>
      <w:tc>
        <w:tcPr>
          <w:tcW w:w="4519" w:type="dxa"/>
          <w:tcBorders>
            <w:top w:val="single" w:sz="4" w:space="0" w:color="auto"/>
          </w:tcBorders>
          <w:tcMar>
            <w:top w:w="142" w:type="dxa"/>
            <w:bottom w:w="0" w:type="dxa"/>
          </w:tcMar>
        </w:tcPr>
        <w:p w14:paraId="1C9D790D" w14:textId="77777777" w:rsidR="00C6359C" w:rsidRDefault="00C6359C" w:rsidP="006E08B3">
          <w:r>
            <w:t>Document title, Part #, Section # - Section title</w:t>
          </w:r>
        </w:p>
        <w:p w14:paraId="60399B1F" w14:textId="77777777" w:rsidR="00C6359C" w:rsidRDefault="00C6359C" w:rsidP="006E08B3">
          <w:r>
            <w:t>V1.0 October 2010</w:t>
          </w:r>
        </w:p>
      </w:tc>
      <w:tc>
        <w:tcPr>
          <w:tcW w:w="4356" w:type="dxa"/>
          <w:tcBorders>
            <w:top w:val="single" w:sz="4" w:space="0" w:color="auto"/>
          </w:tcBorders>
          <w:tcMar>
            <w:top w:w="142" w:type="dxa"/>
            <w:bottom w:w="0" w:type="dxa"/>
          </w:tcMar>
        </w:tcPr>
        <w:p w14:paraId="1D00E555" w14:textId="77777777" w:rsidR="00C6359C" w:rsidRDefault="00C6359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43EA9">
            <w:fldChar w:fldCharType="begin"/>
          </w:r>
          <w:r w:rsidR="00F43EA9">
            <w:instrText xml:space="preserve"> NUMPAGES  \* Arabic </w:instrText>
          </w:r>
          <w:r w:rsidR="00F43EA9">
            <w:fldChar w:fldCharType="separate"/>
          </w:r>
          <w:r>
            <w:rPr>
              <w:noProof/>
            </w:rPr>
            <w:t>21</w:t>
          </w:r>
          <w:r w:rsidR="00F43EA9">
            <w:rPr>
              <w:noProof/>
            </w:rPr>
            <w:fldChar w:fldCharType="end"/>
          </w:r>
          <w:r>
            <w:t xml:space="preserve">  </w:t>
          </w:r>
        </w:p>
      </w:tc>
    </w:tr>
  </w:tbl>
  <w:p w14:paraId="0449CB66" w14:textId="77777777" w:rsidR="00C6359C" w:rsidRDefault="00C635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F7FA7" w14:textId="77777777" w:rsidR="00C6359C" w:rsidRDefault="00C6359C" w:rsidP="00C40A36">
      <w:pPr>
        <w:spacing w:after="0"/>
      </w:pPr>
      <w:r>
        <w:separator/>
      </w:r>
    </w:p>
  </w:footnote>
  <w:footnote w:type="continuationSeparator" w:id="0">
    <w:p w14:paraId="23246416" w14:textId="77777777" w:rsidR="00C6359C" w:rsidRDefault="00C6359C" w:rsidP="00C40A36">
      <w:pPr>
        <w:spacing w:after="0"/>
      </w:pPr>
      <w:r>
        <w:continuationSeparator/>
      </w:r>
    </w:p>
  </w:footnote>
  <w:footnote w:id="1">
    <w:p w14:paraId="4FF2AE47" w14:textId="197D03D2" w:rsidR="00C6359C" w:rsidRDefault="00C6359C">
      <w:pPr>
        <w:pStyle w:val="FootnoteText"/>
      </w:pPr>
      <w:r>
        <w:rPr>
          <w:rStyle w:val="FootnoteReference"/>
        </w:rPr>
        <w:footnoteRef/>
      </w:r>
      <w:r>
        <w:t xml:space="preserve"> World Health Organization: </w:t>
      </w:r>
      <w:r w:rsidRPr="00FE4E58">
        <w:t>Statement on the second meeting of the International Health Regulations (2005) Emergency Committee regarding the outbreak of novel coronavirus (2019-nCoV). 30 January 2020. Available</w:t>
      </w:r>
      <w:r>
        <w:t> </w:t>
      </w:r>
      <w:r w:rsidRPr="00FE4E58">
        <w:t xml:space="preserve">at: </w:t>
      </w:r>
      <w:hyperlink r:id="rId1" w:history="1">
        <w:r w:rsidRPr="004D44AE">
          <w:rPr>
            <w:rStyle w:val="Hyperlink"/>
          </w:rPr>
          <w:t>https://www.who.int/news/item/30-01-2020-statement-on-the-second-meeting-of-the-international-health-regulations-(2005)-emergency-committee-regarding-the-outbreak-of-novel-coronavirus-(2019-ncov)</w:t>
        </w:r>
      </w:hyperlink>
      <w:r>
        <w:t xml:space="preserve"> </w:t>
      </w:r>
    </w:p>
  </w:footnote>
  <w:footnote w:id="2">
    <w:p w14:paraId="41DD326B" w14:textId="524156AA" w:rsidR="00C6359C" w:rsidRDefault="00C6359C">
      <w:pPr>
        <w:pStyle w:val="FootnoteText"/>
      </w:pPr>
      <w:r>
        <w:rPr>
          <w:rStyle w:val="FootnoteReference"/>
        </w:rPr>
        <w:footnoteRef/>
      </w:r>
      <w:r>
        <w:t xml:space="preserve"> World Health Organization: </w:t>
      </w:r>
      <w:r w:rsidRPr="00FE4E58">
        <w:t>WHO Director-General's opening remarks at the media briefing on COVID-19. 11</w:t>
      </w:r>
      <w:r>
        <w:t> </w:t>
      </w:r>
      <w:r w:rsidRPr="00FE4E58">
        <w:t xml:space="preserve">March 2020. Available at: </w:t>
      </w:r>
      <w:hyperlink r:id="rId2" w:history="1">
        <w:r w:rsidRPr="004D44AE">
          <w:rPr>
            <w:rStyle w:val="Hyperlink"/>
          </w:rPr>
          <w:t>https://www.who.int/director-general/speeches/detail/who-director-general-s-opening-remarks-at-the-media-briefing-on-covid-19---11-march-2020</w:t>
        </w:r>
      </w:hyperlink>
      <w:r>
        <w:t xml:space="preserve"> </w:t>
      </w:r>
    </w:p>
  </w:footnote>
  <w:footnote w:id="3">
    <w:p w14:paraId="6C257FB3" w14:textId="1366BF0E" w:rsidR="00C6359C" w:rsidRDefault="00C6359C">
      <w:pPr>
        <w:pStyle w:val="FootnoteText"/>
      </w:pPr>
      <w:r>
        <w:rPr>
          <w:rStyle w:val="FootnoteReference"/>
        </w:rPr>
        <w:footnoteRef/>
      </w:r>
      <w:r>
        <w:t xml:space="preserve"> Hastie, et al.</w:t>
      </w:r>
      <w:r w:rsidRPr="00893260">
        <w:t xml:space="preserve"> Defining variant-resistant epitopes targeted by SARS-CoV-2 antibodies: A global consortium study</w:t>
      </w:r>
      <w:r>
        <w:t xml:space="preserve">. </w:t>
      </w:r>
      <w:r w:rsidRPr="00893260">
        <w:rPr>
          <w:i/>
          <w:iCs/>
        </w:rPr>
        <w:t>Science</w:t>
      </w:r>
      <w:r>
        <w:t>, 2021: 374; 6566: 472-478.</w:t>
      </w:r>
    </w:p>
  </w:footnote>
  <w:footnote w:id="4">
    <w:p w14:paraId="68D369E6" w14:textId="2FEB5186" w:rsidR="00C6359C" w:rsidRDefault="00C6359C">
      <w:pPr>
        <w:pStyle w:val="FootnoteText"/>
      </w:pPr>
      <w:r>
        <w:rPr>
          <w:rStyle w:val="FootnoteReference"/>
        </w:rPr>
        <w:footnoteRef/>
      </w:r>
      <w:r>
        <w:t xml:space="preserve"> </w:t>
      </w:r>
      <w:r w:rsidRPr="00F81244">
        <w:t>Global Initiative on Sharing Avian Influenza Data</w:t>
      </w:r>
      <w:r>
        <w:t xml:space="preserve"> database </w:t>
      </w:r>
      <w:r w:rsidRPr="00F81244">
        <w:t>accessible</w:t>
      </w:r>
      <w:r>
        <w:t xml:space="preserve"> via </w:t>
      </w:r>
      <w:r w:rsidRPr="00F81244">
        <w:t>https://gisaid.org/</w:t>
      </w:r>
    </w:p>
  </w:footnote>
  <w:footnote w:id="5">
    <w:p w14:paraId="79517F42" w14:textId="702692F8" w:rsidR="00C6359C" w:rsidRDefault="00C6359C">
      <w:pPr>
        <w:pStyle w:val="FootnoteText"/>
      </w:pPr>
      <w:r>
        <w:rPr>
          <w:rStyle w:val="FootnoteReference"/>
        </w:rPr>
        <w:footnoteRef/>
      </w:r>
      <w:r>
        <w:t xml:space="preserve"> </w:t>
      </w:r>
      <w:r w:rsidRPr="00F81244">
        <w:t xml:space="preserve">van der </w:t>
      </w:r>
      <w:proofErr w:type="spellStart"/>
      <w:r w:rsidRPr="00F81244">
        <w:t>Straten</w:t>
      </w:r>
      <w:proofErr w:type="spellEnd"/>
      <w:r>
        <w:t xml:space="preserve">, et al. </w:t>
      </w:r>
      <w:r w:rsidRPr="00F81244">
        <w:t>Mapping the antigenic diversification of SARS-CoV-2</w:t>
      </w:r>
      <w:r>
        <w:t xml:space="preserve">. </w:t>
      </w:r>
      <w:proofErr w:type="spellStart"/>
      <w:r w:rsidRPr="00F81244">
        <w:rPr>
          <w:i/>
          <w:iCs/>
        </w:rPr>
        <w:t>medRxiv</w:t>
      </w:r>
      <w:proofErr w:type="spellEnd"/>
      <w:r>
        <w:rPr>
          <w:i/>
          <w:iCs/>
        </w:rPr>
        <w:t>,</w:t>
      </w:r>
      <w:r w:rsidRPr="00F81244">
        <w:rPr>
          <w:i/>
          <w:iCs/>
        </w:rPr>
        <w:t xml:space="preserve"> </w:t>
      </w:r>
      <w:r w:rsidRPr="003072A0">
        <w:t>2022</w:t>
      </w:r>
      <w:r>
        <w:rPr>
          <w:i/>
          <w:iCs/>
        </w:rPr>
        <w:t xml:space="preserve">: </w:t>
      </w:r>
      <w:r w:rsidRPr="00F81244">
        <w:t>2022.01.03.21268582</w:t>
      </w:r>
    </w:p>
  </w:footnote>
  <w:footnote w:id="6">
    <w:p w14:paraId="3D1231FC" w14:textId="518233A5" w:rsidR="00C6359C" w:rsidRDefault="00C6359C">
      <w:pPr>
        <w:pStyle w:val="FootnoteText"/>
      </w:pPr>
      <w:r>
        <w:rPr>
          <w:rStyle w:val="FootnoteReference"/>
        </w:rPr>
        <w:footnoteRef/>
      </w:r>
      <w:r>
        <w:t xml:space="preserve"> </w:t>
      </w:r>
      <w:r w:rsidRPr="00F81244">
        <w:t>Wilks</w:t>
      </w:r>
      <w:r>
        <w:t xml:space="preserve">, et al. </w:t>
      </w:r>
      <w:r w:rsidRPr="00F81244">
        <w:t>Mapping SARS-CoV-2 antigenic relationships and serological responses</w:t>
      </w:r>
      <w:r>
        <w:t xml:space="preserve">. </w:t>
      </w:r>
      <w:proofErr w:type="spellStart"/>
      <w:r w:rsidRPr="00F81244">
        <w:rPr>
          <w:i/>
          <w:iCs/>
        </w:rPr>
        <w:t>bioRxiv</w:t>
      </w:r>
      <w:proofErr w:type="spellEnd"/>
      <w:r>
        <w:t xml:space="preserve">, 2022: </w:t>
      </w:r>
      <w:r w:rsidRPr="00F81244">
        <w:t>2022.01.28.477987</w:t>
      </w:r>
    </w:p>
  </w:footnote>
  <w:footnote w:id="7">
    <w:p w14:paraId="61CF1276" w14:textId="70F95B00" w:rsidR="00C6359C" w:rsidRDefault="00C6359C">
      <w:pPr>
        <w:pStyle w:val="FootnoteText"/>
      </w:pPr>
      <w:r>
        <w:rPr>
          <w:rStyle w:val="FootnoteReference"/>
        </w:rPr>
        <w:footnoteRef/>
      </w:r>
      <w:r>
        <w:t xml:space="preserve"> </w:t>
      </w:r>
      <w:r w:rsidRPr="00CD4F2F">
        <w:t>European Centre for Disease Prevention and Control</w:t>
      </w:r>
      <w:r>
        <w:t xml:space="preserve"> site accessible via </w:t>
      </w:r>
      <w:r w:rsidRPr="00CD4F2F">
        <w:t>https://www.ecdc.europa.eu</w:t>
      </w:r>
    </w:p>
  </w:footnote>
  <w:footnote w:id="8">
    <w:p w14:paraId="5A04CEA6" w14:textId="78B3592F" w:rsidR="00C6359C" w:rsidRDefault="00C6359C">
      <w:pPr>
        <w:pStyle w:val="FootnoteText"/>
      </w:pPr>
      <w:r>
        <w:rPr>
          <w:rStyle w:val="FootnoteReference"/>
        </w:rPr>
        <w:footnoteRef/>
      </w:r>
      <w:r>
        <w:t xml:space="preserve"> Centres for Disease Control and Prevention, </w:t>
      </w:r>
      <w:r w:rsidRPr="00CD4F2F">
        <w:t>Variants &amp; Genomic Surveillance</w:t>
      </w:r>
      <w:r>
        <w:t xml:space="preserve"> site accessible via </w:t>
      </w:r>
      <w:r w:rsidRPr="00CD4F2F">
        <w:t>https://covid.cdc.gov/covid-data-tracker/#variants-genomic-surveillance</w:t>
      </w:r>
    </w:p>
  </w:footnote>
  <w:footnote w:id="9">
    <w:p w14:paraId="1B189414" w14:textId="2CC5E390" w:rsidR="00C6359C" w:rsidRDefault="00C6359C" w:rsidP="001E6685">
      <w:pPr>
        <w:pStyle w:val="FootnoteText"/>
      </w:pPr>
      <w:r>
        <w:rPr>
          <w:rStyle w:val="FootnoteReference"/>
        </w:rPr>
        <w:footnoteRef/>
      </w:r>
      <w:r>
        <w:t xml:space="preserve"> Johns Hopkins University Coronavirus resource </w:t>
      </w:r>
      <w:proofErr w:type="spellStart"/>
      <w:r>
        <w:t>center</w:t>
      </w:r>
      <w:proofErr w:type="spellEnd"/>
      <w:r>
        <w:t xml:space="preserve">. Available from: </w:t>
      </w:r>
      <w:r w:rsidRPr="001E6685">
        <w:t>https://coronavirus.jhu.edu/</w:t>
      </w:r>
    </w:p>
  </w:footnote>
  <w:footnote w:id="10">
    <w:p w14:paraId="254ED1D1" w14:textId="38E677CD" w:rsidR="00C6359C" w:rsidRDefault="00C6359C">
      <w:pPr>
        <w:pStyle w:val="FootnoteText"/>
      </w:pPr>
      <w:r>
        <w:rPr>
          <w:rStyle w:val="FootnoteReference"/>
        </w:rPr>
        <w:footnoteRef/>
      </w:r>
      <w:r>
        <w:t xml:space="preserve"> </w:t>
      </w:r>
      <w:r w:rsidRPr="00CD4F2F">
        <w:t>Nowcast is a model</w:t>
      </w:r>
      <w:r>
        <w:t xml:space="preserve"> by Centres for Disease Control and Prevention,</w:t>
      </w:r>
      <w:r w:rsidRPr="00CD4F2F">
        <w:t xml:space="preserve"> that estimates more recent proportions of circulating variants and enables timely public health action</w:t>
      </w:r>
      <w:r>
        <w:t xml:space="preserve">. Accessible via </w:t>
      </w:r>
      <w:r w:rsidRPr="00CD4F2F">
        <w:t>https://covid.cdc.gov/covid-data-tracker/#variant-proportions</w:t>
      </w:r>
    </w:p>
  </w:footnote>
  <w:footnote w:id="11">
    <w:p w14:paraId="7C673918" w14:textId="0CED9804" w:rsidR="00C6359C" w:rsidRDefault="00C6359C" w:rsidP="00F32110">
      <w:pPr>
        <w:pStyle w:val="FootnoteText"/>
      </w:pPr>
      <w:r>
        <w:rPr>
          <w:rStyle w:val="FootnoteReference"/>
        </w:rPr>
        <w:footnoteRef/>
      </w:r>
      <w:r>
        <w:t xml:space="preserve"> Australia Bureau of Statistic, Measuring Australia’s excess mortality during the COVID-19 pandemic. </w:t>
      </w:r>
      <w:proofErr w:type="spellStart"/>
      <w:r>
        <w:t>Accesible</w:t>
      </w:r>
      <w:proofErr w:type="spellEnd"/>
      <w:r>
        <w:t xml:space="preserve"> via </w:t>
      </w:r>
      <w:r w:rsidRPr="00326656">
        <w:t>https://www.abs.gov.au/articles/measuring-australias-excess-mortality-during-covid-19-pandemic</w:t>
      </w:r>
    </w:p>
  </w:footnote>
  <w:footnote w:id="12">
    <w:p w14:paraId="6EC49A9E" w14:textId="3E6592B3" w:rsidR="00C6359C" w:rsidRPr="00326656" w:rsidRDefault="00C6359C" w:rsidP="00F32110">
      <w:pPr>
        <w:pStyle w:val="FootnoteText"/>
        <w:rPr>
          <w:color w:val="0000FF"/>
          <w:u w:val="single"/>
        </w:rPr>
      </w:pPr>
      <w:r>
        <w:rPr>
          <w:rStyle w:val="FootnoteReference"/>
        </w:rPr>
        <w:footnoteRef/>
      </w:r>
      <w:r>
        <w:t xml:space="preserve"> COVID-19 National Incident Room Surveillance report, COVID-19 Australia: Epidemiology June 2022 report. Accessible via h</w:t>
      </w:r>
      <w:r w:rsidRPr="00326656">
        <w:t>ttps://www1.health.gov.au/internet/main/publishing.nsf/Content/C50CAE02452A48A7CA2587320081F7BF/$File/technical_supplement__covid_19_australia_epidemiology_reporting_last_updated_28_june_2022.pdf</w:t>
      </w:r>
      <w:r>
        <w:t xml:space="preserve"> </w:t>
      </w:r>
    </w:p>
  </w:footnote>
  <w:footnote w:id="13">
    <w:p w14:paraId="4E66F9CF" w14:textId="08344B01" w:rsidR="00C6359C" w:rsidRDefault="00C6359C" w:rsidP="00F32110">
      <w:pPr>
        <w:pStyle w:val="FootnoteText"/>
      </w:pPr>
      <w:r>
        <w:rPr>
          <w:rStyle w:val="FootnoteReference"/>
        </w:rPr>
        <w:footnoteRef/>
      </w:r>
      <w:r>
        <w:t xml:space="preserve"> </w:t>
      </w:r>
      <w:r w:rsidRPr="00FE4E58">
        <w:t>Australian Government Department of Health</w:t>
      </w:r>
      <w:r>
        <w:t>: Coronavirus (COVID-19) case numbers and statistics</w:t>
      </w:r>
      <w:r w:rsidRPr="00FE4E58">
        <w:t xml:space="preserve"> </w:t>
      </w:r>
      <w:r>
        <w:t>(</w:t>
      </w:r>
      <w:r w:rsidRPr="00FE4E58">
        <w:t xml:space="preserve">as of </w:t>
      </w:r>
      <w:r>
        <w:t>19 August</w:t>
      </w:r>
      <w:r w:rsidRPr="00FE4E58">
        <w:t xml:space="preserve"> 202</w:t>
      </w:r>
      <w:r>
        <w:t>2</w:t>
      </w:r>
      <w:r w:rsidRPr="00FE4E58">
        <w:t>. Available at:</w:t>
      </w:r>
      <w:r>
        <w:t xml:space="preserve"> </w:t>
      </w:r>
      <w:hyperlink r:id="rId3" w:anchor="total-covid19-cases-by-source-of-infection" w:history="1">
        <w:r w:rsidRPr="004D44AE">
          <w:rPr>
            <w:rStyle w:val="Hyperlink"/>
          </w:rPr>
          <w:t>https://www.health.gov.au/health-alerts/covid-19/case-numbers-and-statistics#total-covid19-cases-by-source-of-infection</w:t>
        </w:r>
      </w:hyperlink>
    </w:p>
  </w:footnote>
  <w:footnote w:id="14">
    <w:p w14:paraId="7A80A675" w14:textId="3B9EA1EA" w:rsidR="00C6359C" w:rsidRDefault="00C6359C">
      <w:pPr>
        <w:pStyle w:val="FootnoteText"/>
      </w:pPr>
      <w:r>
        <w:rPr>
          <w:rStyle w:val="FootnoteReference"/>
        </w:rPr>
        <w:footnoteRef/>
      </w:r>
      <w:r>
        <w:t xml:space="preserve"> </w:t>
      </w:r>
      <w:r w:rsidRPr="003B1825">
        <w:t xml:space="preserve">Gilbert, et al. Immune Correlates Analysis of the mRNA-1273 COVID-19 Vaccine Efficacy Trial. Preprint. </w:t>
      </w:r>
      <w:proofErr w:type="spellStart"/>
      <w:r w:rsidRPr="003B1825">
        <w:rPr>
          <w:i/>
          <w:iCs/>
        </w:rPr>
        <w:t>medRxiv</w:t>
      </w:r>
      <w:proofErr w:type="spellEnd"/>
      <w:r>
        <w:t xml:space="preserve">, </w:t>
      </w:r>
      <w:r w:rsidRPr="003B1825">
        <w:t>2021;2021.08.09.21261290.</w:t>
      </w:r>
    </w:p>
  </w:footnote>
  <w:footnote w:id="15">
    <w:p w14:paraId="19055F1C" w14:textId="41FB6945" w:rsidR="00C6359C" w:rsidRDefault="00C6359C">
      <w:pPr>
        <w:pStyle w:val="FootnoteText"/>
      </w:pPr>
      <w:r>
        <w:rPr>
          <w:rStyle w:val="FootnoteReference"/>
        </w:rPr>
        <w:footnoteRef/>
      </w:r>
      <w:r>
        <w:t xml:space="preserve"> </w:t>
      </w:r>
      <w:r w:rsidRPr="003B1825">
        <w:t xml:space="preserve">Khoury, et al. Neutralizing antibody levels are highly predictive of immune protection from symptomatic SARS-CoV-2 infection. </w:t>
      </w:r>
      <w:r w:rsidRPr="003B1825">
        <w:rPr>
          <w:i/>
          <w:iCs/>
        </w:rPr>
        <w:t>Nat Med</w:t>
      </w:r>
      <w:r>
        <w:rPr>
          <w:i/>
          <w:iCs/>
        </w:rPr>
        <w:t>,</w:t>
      </w:r>
      <w:r w:rsidRPr="003B1825">
        <w:t xml:space="preserve"> </w:t>
      </w:r>
      <w:r>
        <w:t xml:space="preserve">2021; </w:t>
      </w:r>
      <w:r w:rsidRPr="003B1825">
        <w:t>27, 1205–1211</w:t>
      </w:r>
      <w:r>
        <w:t>.</w:t>
      </w:r>
    </w:p>
  </w:footnote>
  <w:footnote w:id="16">
    <w:p w14:paraId="3314CF05" w14:textId="52F9C090" w:rsidR="00C6359C" w:rsidRDefault="00C6359C">
      <w:pPr>
        <w:pStyle w:val="FootnoteText"/>
      </w:pPr>
      <w:r>
        <w:rPr>
          <w:rStyle w:val="FootnoteReference"/>
        </w:rPr>
        <w:footnoteRef/>
      </w:r>
      <w:r>
        <w:t xml:space="preserve"> </w:t>
      </w:r>
      <w:r w:rsidRPr="004E7447">
        <w:t>Interim statement on the composition of current COVID-19 vaccines</w:t>
      </w:r>
      <w:r>
        <w:t xml:space="preserve">. Accessible via </w:t>
      </w:r>
      <w:r w:rsidRPr="004E7447">
        <w:t>https://www.who.int/news/item/17-06-2022-interim-statement-on--the-composition-of-current-COVID-19-vaccines</w:t>
      </w:r>
    </w:p>
  </w:footnote>
  <w:footnote w:id="17">
    <w:p w14:paraId="3F26EBB1" w14:textId="5534D5CD" w:rsidR="00C6359C" w:rsidRDefault="00C6359C">
      <w:pPr>
        <w:pStyle w:val="FootnoteText"/>
      </w:pPr>
      <w:r>
        <w:rPr>
          <w:rStyle w:val="FootnoteReference"/>
        </w:rPr>
        <w:footnoteRef/>
      </w:r>
      <w:r>
        <w:t xml:space="preserve"> </w:t>
      </w:r>
      <w:r w:rsidRPr="004E7447">
        <w:t>International Coalition of Medicines Regulatory Authorities SARS-CoV-2 Variant Workshop</w:t>
      </w:r>
      <w:r>
        <w:t xml:space="preserve"> report. Accessible via </w:t>
      </w:r>
      <w:r w:rsidRPr="004E7447">
        <w:t>https://icmra.info/drupal/en/covid-19/30june2022</w:t>
      </w:r>
    </w:p>
  </w:footnote>
  <w:footnote w:id="18">
    <w:p w14:paraId="60964502" w14:textId="3250148F" w:rsidR="00C6359C" w:rsidRDefault="00C6359C" w:rsidP="00DB3BB1">
      <w:pPr>
        <w:pStyle w:val="FootnoteText"/>
      </w:pPr>
      <w:r>
        <w:rPr>
          <w:rStyle w:val="FootnoteReference"/>
        </w:rPr>
        <w:footnoteRef/>
      </w:r>
      <w:r>
        <w:t xml:space="preserve"> Available at: </w:t>
      </w:r>
      <w:hyperlink r:id="rId4" w:history="1">
        <w:r w:rsidRPr="00920BA9">
          <w:rPr>
            <w:rStyle w:val="Hyperlink"/>
          </w:rPr>
          <w:t>COVID-19 vaccine: Provisional registrations | Therapeutic Goods Administration (TGA)</w:t>
        </w:r>
      </w:hyperlink>
      <w:r>
        <w:t>. Last accessed on 19/08/2022.</w:t>
      </w:r>
    </w:p>
  </w:footnote>
  <w:footnote w:id="19">
    <w:p w14:paraId="6A7FF614" w14:textId="77777777" w:rsidR="00C6359C" w:rsidRPr="008C1E85" w:rsidRDefault="00C6359C" w:rsidP="00191998">
      <w:pPr>
        <w:pStyle w:val="FootnoteText"/>
      </w:pPr>
      <w:r w:rsidRPr="008C1E85">
        <w:rPr>
          <w:rStyle w:val="FootnoteReference"/>
        </w:rPr>
        <w:footnoteRef/>
      </w:r>
      <w:r w:rsidRPr="008C1E85">
        <w:t xml:space="preserve"> As part of the </w:t>
      </w:r>
      <w:r w:rsidRPr="008C1E85">
        <w:rPr>
          <w:b/>
          <w:bCs/>
        </w:rPr>
        <w:t>provisional approval pathway</w:t>
      </w:r>
      <w:r w:rsidRPr="008C1E85">
        <w:t xml:space="preserve">, the provisional registration process will allow certain medicines to be provisionally registered in the Australian Register of Therapeutic Goods (ARTG) for a limited duration. These medicines are registered </w:t>
      </w:r>
      <w:proofErr w:type="gramStart"/>
      <w:r w:rsidRPr="008C1E85">
        <w:t>on the basis of</w:t>
      </w:r>
      <w:proofErr w:type="gramEnd"/>
      <w:r w:rsidRPr="008C1E85">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4A1054A0" w14:textId="77777777" w:rsidR="00C6359C" w:rsidRPr="008C1E85" w:rsidRDefault="00C6359C" w:rsidP="00191998">
      <w:pPr>
        <w:pStyle w:val="FootnoteText"/>
      </w:pPr>
      <w:r w:rsidRPr="008C1E85">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20">
    <w:p w14:paraId="6F8B6586" w14:textId="77777777" w:rsidR="00C6359C" w:rsidRPr="008C1E85" w:rsidRDefault="00C6359C" w:rsidP="00191998">
      <w:pPr>
        <w:pStyle w:val="FootnoteText"/>
      </w:pPr>
      <w:r w:rsidRPr="008C1E85">
        <w:rPr>
          <w:rStyle w:val="FootnoteReference"/>
        </w:rPr>
        <w:footnoteRef/>
      </w:r>
      <w:r w:rsidRPr="008C1E85">
        <w:t xml:space="preserve"> Tozinameran, the active ingredient in the Comirnaty COVID-19 Vaccine was previously registered in Australia and overseas by the provisional drug name BNT162b2. Both the International non-proprietary name (INN) and the Australian Approved Name (AAN) is accepted as being tozinameran, and it is therefore referred to as Comirnaty (tozinameran) COVID-19 vaccine throughout this AusPAR. This </w:t>
      </w:r>
      <w:proofErr w:type="gramStart"/>
      <w:r w:rsidRPr="008C1E85">
        <w:t>is in contrast to</w:t>
      </w:r>
      <w:proofErr w:type="gramEnd"/>
      <w:r w:rsidRPr="008C1E85">
        <w:t xml:space="preserve"> the use of BNT162b2 as the name of the active ingredient in earlier </w:t>
      </w:r>
      <w:proofErr w:type="spellStart"/>
      <w:r w:rsidRPr="008C1E85">
        <w:t>AusPARs</w:t>
      </w:r>
      <w:proofErr w:type="spellEnd"/>
      <w:r w:rsidRPr="008C1E85">
        <w:t>. The change is in name only; the composition of the active ingredient is unchanged in any way.</w:t>
      </w:r>
    </w:p>
  </w:footnote>
  <w:footnote w:id="21">
    <w:p w14:paraId="51C2B8FE" w14:textId="77777777" w:rsidR="00C6359C" w:rsidRPr="008C1E85" w:rsidRDefault="00C6359C" w:rsidP="00191998">
      <w:pPr>
        <w:pStyle w:val="FootnoteText"/>
      </w:pPr>
      <w:r w:rsidRPr="008C1E85">
        <w:rPr>
          <w:rStyle w:val="FootnoteReference"/>
        </w:rPr>
        <w:footnoteRef/>
      </w:r>
      <w:r w:rsidRPr="008C1E85">
        <w:t xml:space="preserve"> Comirnaty was first registered on the ARTG on 25 January 2021 (ARTG number: 346290).</w:t>
      </w:r>
    </w:p>
  </w:footnote>
  <w:footnote w:id="22">
    <w:p w14:paraId="363FD718" w14:textId="77777777" w:rsidR="00C6359C" w:rsidRPr="008C1E85" w:rsidRDefault="00C6359C" w:rsidP="00191998">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Comirnaty (BNT162b2 (mRNA)) new biological entity, published on 25 January 2021. Available at: </w:t>
      </w:r>
      <w:hyperlink r:id="rId5" w:history="1">
        <w:r w:rsidRPr="008C1E85">
          <w:rPr>
            <w:rStyle w:val="Hyperlink"/>
          </w:rPr>
          <w:t>https://www.tga.gov.au/auspar/auspar-bnt162b2-mrna-comirnaty</w:t>
        </w:r>
      </w:hyperlink>
      <w:r w:rsidRPr="008C1E85">
        <w:rPr>
          <w:rStyle w:val="Hyperlink"/>
          <w:color w:val="000000" w:themeColor="text1"/>
          <w:u w:val="none"/>
        </w:rPr>
        <w:t>.</w:t>
      </w:r>
    </w:p>
  </w:footnote>
  <w:footnote w:id="23">
    <w:p w14:paraId="4A2B7FFF" w14:textId="77777777" w:rsidR="00C6359C" w:rsidRPr="008C1E85" w:rsidRDefault="00C6359C" w:rsidP="00191998">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Comirnaty (BNT162b2 (mRNA)) extension of indications, published on 23 July 2021. Available at: </w:t>
      </w:r>
      <w:hyperlink r:id="rId6" w:history="1">
        <w:r w:rsidRPr="008C1E85">
          <w:rPr>
            <w:rStyle w:val="Hyperlink"/>
          </w:rPr>
          <w:t>https://www.tga.gov.au/auspar/auspar-bnt162b2-mrna</w:t>
        </w:r>
      </w:hyperlink>
      <w:r w:rsidRPr="008C1E85">
        <w:rPr>
          <w:rStyle w:val="Hyperlink"/>
          <w:color w:val="000000" w:themeColor="text1"/>
          <w:u w:val="none"/>
        </w:rPr>
        <w:t>.</w:t>
      </w:r>
    </w:p>
  </w:footnote>
  <w:footnote w:id="24">
    <w:p w14:paraId="01DA3008" w14:textId="77777777" w:rsidR="00C6359C" w:rsidRPr="008C1E85" w:rsidRDefault="00C6359C" w:rsidP="00191998">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Comirnaty (tozinameran) extension of indications; change to formulation (excipients), published on 13 December 2021. Available at: </w:t>
      </w:r>
      <w:hyperlink r:id="rId7" w:history="1">
        <w:r w:rsidRPr="008C1E85">
          <w:rPr>
            <w:rStyle w:val="Hyperlink"/>
          </w:rPr>
          <w:t>https://www.tga.gov.au/auspar/auspar-tozinameran-mrna-covid-19-vaccine</w:t>
        </w:r>
      </w:hyperlink>
      <w:r w:rsidRPr="008C1E85">
        <w:rPr>
          <w:rStyle w:val="Hyperlink"/>
          <w:u w:val="none"/>
        </w:rPr>
        <w:t>.</w:t>
      </w:r>
    </w:p>
  </w:footnote>
  <w:footnote w:id="25">
    <w:p w14:paraId="2A7166F1" w14:textId="77777777" w:rsidR="00C6359C" w:rsidRPr="008C1E85" w:rsidRDefault="00C6359C" w:rsidP="00191998">
      <w:pPr>
        <w:pStyle w:val="FootnoteText"/>
      </w:pPr>
      <w:r w:rsidRPr="008C1E85">
        <w:rPr>
          <w:rStyle w:val="FootnoteReference"/>
        </w:rPr>
        <w:footnoteRef/>
      </w:r>
      <w:r w:rsidRPr="008C1E85">
        <w:t xml:space="preserve"> COVID-19 Vaccine AstraZeneca was first registered on the ARTG on 16 February 2021 (ARTG number: 349072).</w:t>
      </w:r>
    </w:p>
  </w:footnote>
  <w:footnote w:id="26">
    <w:p w14:paraId="5B8702B2" w14:textId="77777777" w:rsidR="00C6359C" w:rsidRPr="008C1E85" w:rsidRDefault="00C6359C" w:rsidP="00191998">
      <w:pPr>
        <w:pStyle w:val="FootnoteText"/>
      </w:pPr>
      <w:r w:rsidRPr="008C1E85">
        <w:rPr>
          <w:rStyle w:val="FootnoteReference"/>
        </w:rPr>
        <w:footnoteRef/>
      </w:r>
      <w:r w:rsidRPr="008C1E85">
        <w:t xml:space="preserve"> AusPAR for COVID-19 Vaccine AstraZeneca (ChAdOx1-S) new biological entity, published on 16 February 2021. Available at: </w:t>
      </w:r>
      <w:hyperlink r:id="rId8" w:history="1">
        <w:r w:rsidRPr="008C1E85">
          <w:rPr>
            <w:rStyle w:val="Hyperlink"/>
          </w:rPr>
          <w:t>https://www.tga.gov.au/auspar/auspar-chadox1-s</w:t>
        </w:r>
      </w:hyperlink>
      <w:r w:rsidRPr="008C1E85">
        <w:rPr>
          <w:rStyle w:val="Hyperlink"/>
          <w:u w:val="none"/>
        </w:rPr>
        <w:t>.</w:t>
      </w:r>
    </w:p>
  </w:footnote>
  <w:footnote w:id="27">
    <w:p w14:paraId="657F3AA8" w14:textId="77777777" w:rsidR="00C6359C" w:rsidRPr="008C1E85" w:rsidRDefault="00C6359C" w:rsidP="00191998">
      <w:pPr>
        <w:pStyle w:val="FootnoteText"/>
      </w:pPr>
      <w:r w:rsidRPr="008C1E85">
        <w:rPr>
          <w:rStyle w:val="FootnoteReference"/>
        </w:rPr>
        <w:footnoteRef/>
      </w:r>
      <w:r w:rsidRPr="008C1E85">
        <w:t xml:space="preserve"> COVID-19 Vaccine Janssen was first registered on the ARTG on 25 June 2021 (ARTG number: 350150).</w:t>
      </w:r>
    </w:p>
  </w:footnote>
  <w:footnote w:id="28">
    <w:p w14:paraId="5CFA309F" w14:textId="77777777" w:rsidR="00C6359C" w:rsidRPr="008C1E85" w:rsidRDefault="00C6359C" w:rsidP="00191998">
      <w:pPr>
        <w:pStyle w:val="FootnoteText"/>
      </w:pPr>
      <w:r w:rsidRPr="008C1E85">
        <w:rPr>
          <w:rStyle w:val="FootnoteReference"/>
        </w:rPr>
        <w:footnoteRef/>
      </w:r>
      <w:r w:rsidRPr="008C1E85">
        <w:t xml:space="preserve"> AusPAR for COVID-19 Vaccine Janssen (Ad26.COV</w:t>
      </w:r>
      <w:proofErr w:type="gramStart"/>
      <w:r w:rsidRPr="008C1E85">
        <w:t>2.S</w:t>
      </w:r>
      <w:proofErr w:type="gramEnd"/>
      <w:r w:rsidRPr="008C1E85">
        <w:t xml:space="preserve">) new biological entity, published on 25 June 2021. Available at: </w:t>
      </w:r>
      <w:hyperlink r:id="rId9" w:history="1">
        <w:r w:rsidRPr="008C1E85">
          <w:rPr>
            <w:rStyle w:val="Hyperlink"/>
          </w:rPr>
          <w:t>https://www.tga.gov.au/auspar/auspar-ad26cov2s</w:t>
        </w:r>
      </w:hyperlink>
      <w:r w:rsidRPr="008C1E85">
        <w:rPr>
          <w:rStyle w:val="Hyperlink"/>
          <w:color w:val="000000" w:themeColor="text1"/>
          <w:u w:val="none"/>
        </w:rPr>
        <w:t>.</w:t>
      </w:r>
    </w:p>
  </w:footnote>
  <w:footnote w:id="29">
    <w:p w14:paraId="05282BB1" w14:textId="77777777" w:rsidR="00C6359C" w:rsidRPr="008C1E85" w:rsidRDefault="00C6359C" w:rsidP="00191998">
      <w:pPr>
        <w:pStyle w:val="FootnoteText"/>
      </w:pPr>
      <w:r w:rsidRPr="008C1E85">
        <w:rPr>
          <w:rStyle w:val="FootnoteReference"/>
        </w:rPr>
        <w:footnoteRef/>
      </w:r>
      <w:r w:rsidRPr="008C1E85">
        <w:t xml:space="preserve"> Spikevax was first registered on the ARTG on 9 August 2021 (ARTG number: 370599).</w:t>
      </w:r>
    </w:p>
  </w:footnote>
  <w:footnote w:id="30">
    <w:p w14:paraId="7120D64D" w14:textId="77777777" w:rsidR="00C6359C" w:rsidRPr="008C1E85" w:rsidRDefault="00C6359C" w:rsidP="00191998">
      <w:pPr>
        <w:pStyle w:val="FootnoteText"/>
      </w:pPr>
      <w:r w:rsidRPr="008C1E85">
        <w:rPr>
          <w:rStyle w:val="FootnoteReference"/>
        </w:rPr>
        <w:footnoteRef/>
      </w:r>
      <w:r w:rsidRPr="008C1E85">
        <w:t xml:space="preserve"> AusPAR for Spikevax (elasomeran) new biological entity, adult indication, published on 9 August 2021. Available at: </w:t>
      </w:r>
      <w:hyperlink r:id="rId10" w:history="1">
        <w:r w:rsidRPr="008C1E85">
          <w:rPr>
            <w:rStyle w:val="Hyperlink"/>
          </w:rPr>
          <w:t>https://www.tga.gov.au/auspar/auspar-elasomeran</w:t>
        </w:r>
      </w:hyperlink>
      <w:r w:rsidRPr="008C1E85">
        <w:rPr>
          <w:rStyle w:val="Hyperlink"/>
          <w:color w:val="000000" w:themeColor="text1"/>
          <w:u w:val="none"/>
        </w:rPr>
        <w:t>.</w:t>
      </w:r>
    </w:p>
  </w:footnote>
  <w:footnote w:id="31">
    <w:p w14:paraId="13CA403C" w14:textId="77777777" w:rsidR="00C6359C" w:rsidRPr="008C1E85" w:rsidRDefault="00C6359C" w:rsidP="00191998">
      <w:pPr>
        <w:pStyle w:val="FootnoteText"/>
      </w:pPr>
      <w:r w:rsidRPr="008C1E85">
        <w:rPr>
          <w:rStyle w:val="FootnoteReference"/>
        </w:rPr>
        <w:footnoteRef/>
      </w:r>
      <w:r w:rsidRPr="008C1E85">
        <w:t xml:space="preserve"> AusPAR for Spikevax (elasomeran) new biological entity, paediatric indication, published on 4 September 2021. Available at: </w:t>
      </w:r>
      <w:hyperlink r:id="rId11" w:history="1">
        <w:r w:rsidRPr="008C1E85">
          <w:rPr>
            <w:rStyle w:val="Hyperlink"/>
          </w:rPr>
          <w:t>https://www.tga.gov.au/auspar/auspar-elasomeran-0</w:t>
        </w:r>
      </w:hyperlink>
      <w:r w:rsidRPr="008C1E85">
        <w:rPr>
          <w:rStyle w:val="Hyperlink"/>
          <w:color w:val="000000" w:themeColor="text1"/>
          <w:u w:val="none"/>
        </w:rPr>
        <w:t>.</w:t>
      </w:r>
    </w:p>
  </w:footnote>
  <w:footnote w:id="32">
    <w:p w14:paraId="510F05CD" w14:textId="77777777" w:rsidR="00C6359C" w:rsidRDefault="00C6359C" w:rsidP="00191998">
      <w:pPr>
        <w:pStyle w:val="FootnoteText"/>
      </w:pPr>
      <w:r>
        <w:rPr>
          <w:rStyle w:val="FootnoteReference"/>
        </w:rPr>
        <w:footnoteRef/>
      </w:r>
      <w:r>
        <w:t xml:space="preserve"> </w:t>
      </w:r>
      <w:r w:rsidRPr="00A646B0">
        <w:t xml:space="preserve">AusPAR for Spikevax (elasomeran) </w:t>
      </w:r>
      <w:r>
        <w:t>e</w:t>
      </w:r>
      <w:r w:rsidRPr="00A646B0">
        <w:t xml:space="preserve">xtension of indications, published on 23 February 2022. Available at: </w:t>
      </w:r>
      <w:hyperlink r:id="rId12" w:history="1">
        <w:r w:rsidRPr="001D4685">
          <w:rPr>
            <w:rStyle w:val="Hyperlink"/>
          </w:rPr>
          <w:t>https://www.tga.gov.au/auspar/auspar-elasomeran-1</w:t>
        </w:r>
      </w:hyperlink>
      <w:r>
        <w:t>.</w:t>
      </w:r>
    </w:p>
  </w:footnote>
  <w:footnote w:id="33">
    <w:p w14:paraId="114E66D5" w14:textId="38A9E8C4" w:rsidR="00C6359C" w:rsidRDefault="00C6359C">
      <w:pPr>
        <w:pStyle w:val="FootnoteText"/>
      </w:pPr>
      <w:r>
        <w:rPr>
          <w:rStyle w:val="FootnoteReference"/>
        </w:rPr>
        <w:footnoteRef/>
      </w:r>
      <w:r>
        <w:t xml:space="preserve"> </w:t>
      </w:r>
      <w:r w:rsidRPr="00A646B0">
        <w:t xml:space="preserve">AusPAR for Spikevax (elasomeran) </w:t>
      </w:r>
      <w:r>
        <w:t>e</w:t>
      </w:r>
      <w:r w:rsidRPr="00A646B0">
        <w:t>xtension of indications</w:t>
      </w:r>
      <w:r>
        <w:t xml:space="preserve"> and major variation, paediatric indication for 6 months of age and above, published on 4 August 2022. Available at </w:t>
      </w:r>
      <w:r w:rsidRPr="00DB3BB1">
        <w:t>https://www.tga.gov.au/auspar/auspar-elasomeran-2</w:t>
      </w:r>
    </w:p>
  </w:footnote>
  <w:footnote w:id="34">
    <w:p w14:paraId="485E78AB" w14:textId="77777777" w:rsidR="00C6359C" w:rsidRDefault="00C6359C" w:rsidP="00191998">
      <w:pPr>
        <w:pStyle w:val="FootnoteText"/>
      </w:pPr>
      <w:r>
        <w:rPr>
          <w:rStyle w:val="FootnoteReference"/>
        </w:rPr>
        <w:footnoteRef/>
      </w:r>
      <w:r>
        <w:t xml:space="preserve"> </w:t>
      </w:r>
      <w:r w:rsidRPr="00A646B0">
        <w:t>Nuvaxovid</w:t>
      </w:r>
      <w:r>
        <w:t xml:space="preserve"> was first registered on the ARTG on </w:t>
      </w:r>
      <w:r w:rsidRPr="00A646B0">
        <w:t>20 January 2022</w:t>
      </w:r>
      <w:r>
        <w:t xml:space="preserve"> (ARTG number: </w:t>
      </w:r>
      <w:r w:rsidRPr="00A646B0">
        <w:t>355139</w:t>
      </w:r>
      <w:r>
        <w:t>).</w:t>
      </w:r>
    </w:p>
  </w:footnote>
  <w:footnote w:id="35">
    <w:p w14:paraId="6B4800E0" w14:textId="77777777" w:rsidR="00C6359C" w:rsidRDefault="00C6359C" w:rsidP="00191998">
      <w:pPr>
        <w:pStyle w:val="FootnoteText"/>
      </w:pPr>
      <w:r>
        <w:rPr>
          <w:rStyle w:val="FootnoteReference"/>
        </w:rPr>
        <w:footnoteRef/>
      </w:r>
      <w:r>
        <w:t xml:space="preserve"> </w:t>
      </w:r>
      <w:r w:rsidRPr="001031B5">
        <w:t xml:space="preserve">AusPAR for </w:t>
      </w:r>
      <w:r w:rsidRPr="00A646B0">
        <w:t>Nuvaxovid</w:t>
      </w:r>
      <w:r>
        <w:t xml:space="preserve"> </w:t>
      </w:r>
      <w:r w:rsidRPr="001031B5">
        <w:t>(SARS-CoV-2 recombinant spike</w:t>
      </w:r>
      <w:r>
        <w:t xml:space="preserve"> protein</w:t>
      </w:r>
      <w:r w:rsidRPr="001031B5">
        <w:t xml:space="preserve"> with Matrix-M adjuvant) new biological entity, published on 21 January 2022. Available at</w:t>
      </w:r>
      <w:r>
        <w:t xml:space="preserve">: </w:t>
      </w:r>
      <w:hyperlink r:id="rId13" w:history="1">
        <w:r w:rsidRPr="001D4685">
          <w:rPr>
            <w:rStyle w:val="Hyperlink"/>
          </w:rPr>
          <w:t>https://www.tga.gov.au/auspar/auspar-sars-cov-2-rs-matrix-m-adjuvant</w:t>
        </w:r>
      </w:hyperlink>
      <w:r>
        <w:t>.</w:t>
      </w:r>
    </w:p>
  </w:footnote>
  <w:footnote w:id="36">
    <w:p w14:paraId="7C3B13ED" w14:textId="417E2339" w:rsidR="00C6359C" w:rsidRDefault="00C6359C">
      <w:pPr>
        <w:pStyle w:val="FootnoteText"/>
      </w:pPr>
      <w:r>
        <w:rPr>
          <w:rStyle w:val="FootnoteReference"/>
        </w:rPr>
        <w:footnoteRef/>
      </w:r>
      <w:r>
        <w:t xml:space="preserve"> </w:t>
      </w:r>
      <w:proofErr w:type="spellStart"/>
      <w:r>
        <w:t>AusPAR</w:t>
      </w:r>
      <w:proofErr w:type="spellEnd"/>
      <w:r>
        <w:t xml:space="preserve"> for </w:t>
      </w:r>
      <w:proofErr w:type="spellStart"/>
      <w:r>
        <w:t>Nuavxovid</w:t>
      </w:r>
      <w:proofErr w:type="spellEnd"/>
      <w:r>
        <w:t xml:space="preserve"> (</w:t>
      </w:r>
      <w:r w:rsidRPr="001031B5">
        <w:t>SARS-CoV-2 recombinant spike</w:t>
      </w:r>
      <w:r>
        <w:t xml:space="preserve"> protein</w:t>
      </w:r>
      <w:r w:rsidRPr="001031B5">
        <w:t xml:space="preserve"> with Matrix-M adjuvant) </w:t>
      </w:r>
      <w:r>
        <w:t xml:space="preserve">extension of indications, published on 29 July 2022. Available at </w:t>
      </w:r>
      <w:hyperlink r:id="rId14" w:history="1">
        <w:r w:rsidRPr="00544624">
          <w:rPr>
            <w:rStyle w:val="Hyperlink"/>
          </w:rPr>
          <w:t>https://www.tga.gov.au/auspar/auspar-sars-cov-2-rs-matrix-m-adjuvant-nvx-cov2373</w:t>
        </w:r>
      </w:hyperlink>
      <w:r>
        <w:t xml:space="preserve"> </w:t>
      </w:r>
    </w:p>
  </w:footnote>
  <w:footnote w:id="37">
    <w:p w14:paraId="3423449A" w14:textId="1047D5F2" w:rsidR="00C6359C" w:rsidRDefault="00C6359C">
      <w:pPr>
        <w:pStyle w:val="FootnoteText"/>
      </w:pPr>
      <w:bookmarkStart w:id="26" w:name="_Hlk112748378"/>
      <w:r>
        <w:rPr>
          <w:rStyle w:val="FootnoteReference"/>
        </w:rPr>
        <w:footnoteRef/>
      </w:r>
      <w:r>
        <w:t xml:space="preserve"> Sponsor applied for Emergency Use Authorization (EUA) in United States of America for COVID vaccine </w:t>
      </w:r>
      <w:r w:rsidRPr="00D40B1F">
        <w:t xml:space="preserve">booster candidate, mRNA-1273.222, a bivalent booster candidate containing </w:t>
      </w:r>
      <w:r>
        <w:t>the original and Omicron BA.4/BA.5 strain mRNA.</w:t>
      </w:r>
      <w:bookmarkEnd w:id="26"/>
    </w:p>
  </w:footnote>
  <w:footnote w:id="38">
    <w:p w14:paraId="335C7EC0" w14:textId="16DD580C" w:rsidR="00C6359C" w:rsidRDefault="00C6359C">
      <w:pPr>
        <w:pStyle w:val="FootnoteText"/>
      </w:pPr>
      <w:r>
        <w:rPr>
          <w:rStyle w:val="FootnoteReference"/>
        </w:rPr>
        <w:footnoteRef/>
      </w:r>
      <w:r>
        <w:t xml:space="preserve"> </w:t>
      </w:r>
      <w:r w:rsidRPr="003D23BA">
        <w:t xml:space="preserve">TGA Guidance 8: </w:t>
      </w:r>
      <w:r w:rsidRPr="006719E5">
        <w:t>Product information</w:t>
      </w:r>
      <w:r>
        <w:t xml:space="preserve">. </w:t>
      </w:r>
      <w:r w:rsidRPr="006719E5">
        <w:t>Available at https://www.tga.gov.au/guidance-8-product-information.</w:t>
      </w:r>
    </w:p>
  </w:footnote>
  <w:footnote w:id="39">
    <w:p w14:paraId="1AF08B38" w14:textId="4B4FD319" w:rsidR="00C6359C" w:rsidRDefault="00C6359C">
      <w:pPr>
        <w:pStyle w:val="FootnoteText"/>
      </w:pPr>
      <w:r>
        <w:rPr>
          <w:rStyle w:val="FootnoteReference"/>
        </w:rPr>
        <w:footnoteRef/>
      </w:r>
      <w:r>
        <w:t xml:space="preserve"> </w:t>
      </w:r>
      <w:r w:rsidRPr="003D23BA">
        <w:t>TGA guidance</w:t>
      </w:r>
      <w:r>
        <w:t xml:space="preserve"> on f</w:t>
      </w:r>
      <w:r w:rsidRPr="006719E5">
        <w:t>orm for providing product information</w:t>
      </w:r>
      <w:r>
        <w:t xml:space="preserve">. Available at </w:t>
      </w:r>
      <w:r w:rsidRPr="006719E5">
        <w:t>https://www.tga.gov.au/form-providing-product-information</w:t>
      </w:r>
      <w:r>
        <w:t>.</w:t>
      </w:r>
    </w:p>
  </w:footnote>
  <w:footnote w:id="40">
    <w:p w14:paraId="12E00034" w14:textId="2FB4EF5F" w:rsidR="00C6359C" w:rsidRDefault="00C6359C">
      <w:pPr>
        <w:pStyle w:val="FootnoteText"/>
      </w:pPr>
      <w:r>
        <w:rPr>
          <w:rStyle w:val="FootnoteReference"/>
        </w:rPr>
        <w:footnoteRef/>
      </w:r>
      <w:r>
        <w:t xml:space="preserve"> </w:t>
      </w:r>
      <w:r w:rsidRPr="005C0BB1">
        <w:t>A</w:t>
      </w:r>
      <w:r>
        <w:t>CCESS</w:t>
      </w:r>
      <w:r w:rsidRPr="005C0BB1">
        <w:t xml:space="preserve"> consortium statement on COVID-19 vaccines evidence</w:t>
      </w:r>
      <w:r w:rsidRPr="003D23BA">
        <w:t xml:space="preserve"> </w:t>
      </w:r>
      <w:r>
        <w:t xml:space="preserve">published on </w:t>
      </w:r>
      <w:r w:rsidRPr="003D23BA">
        <w:t>4</w:t>
      </w:r>
      <w:r>
        <w:t xml:space="preserve"> December </w:t>
      </w:r>
      <w:r w:rsidRPr="003D23BA">
        <w:t>2020</w:t>
      </w:r>
      <w:r>
        <w:t xml:space="preserve">. Available at </w:t>
      </w:r>
      <w:r w:rsidRPr="005C0BB1">
        <w:t>https://www.tga.gov.au/access-consortium-statement-covid-19-vaccines-evidence</w:t>
      </w:r>
      <w:r>
        <w:t>.</w:t>
      </w:r>
    </w:p>
  </w:footnote>
  <w:footnote w:id="41">
    <w:p w14:paraId="65405B34" w14:textId="112E13A9" w:rsidR="00C6359C" w:rsidRDefault="00C6359C">
      <w:pPr>
        <w:pStyle w:val="FootnoteText"/>
      </w:pPr>
      <w:r>
        <w:rPr>
          <w:rStyle w:val="FootnoteReference"/>
        </w:rPr>
        <w:footnoteRef/>
      </w:r>
      <w:r>
        <w:t xml:space="preserve"> </w:t>
      </w:r>
      <w:r w:rsidRPr="003D23BA">
        <w:t>A</w:t>
      </w:r>
      <w:r>
        <w:t>CCESS</w:t>
      </w:r>
      <w:r w:rsidRPr="003D23BA">
        <w:t xml:space="preserve"> Consortium: </w:t>
      </w:r>
      <w:r w:rsidRPr="005C0BB1">
        <w:t xml:space="preserve">Alignment with ICMRA consensus on </w:t>
      </w:r>
      <w:proofErr w:type="spellStart"/>
      <w:r w:rsidRPr="005C0BB1">
        <w:t>immunobridging</w:t>
      </w:r>
      <w:proofErr w:type="spellEnd"/>
      <w:r w:rsidRPr="005C0BB1">
        <w:t xml:space="preserve"> for authorising new COVID-19 vaccines</w:t>
      </w:r>
      <w:r>
        <w:t xml:space="preserve"> published on 14 September 2021. Available at </w:t>
      </w:r>
      <w:r w:rsidRPr="000176EC">
        <w:t>https://www.tga.gov.au/access-consortium-alignment-icmra-consensus-immunobridging-authorising-new-covid-19-vaccines</w:t>
      </w:r>
      <w:r>
        <w:t>.</w:t>
      </w:r>
    </w:p>
  </w:footnote>
  <w:footnote w:id="42">
    <w:p w14:paraId="01BF522F" w14:textId="08892A72" w:rsidR="00C6359C" w:rsidRDefault="00C6359C">
      <w:pPr>
        <w:pStyle w:val="FootnoteText"/>
      </w:pPr>
      <w:r>
        <w:rPr>
          <w:rStyle w:val="FootnoteReference"/>
        </w:rPr>
        <w:footnoteRef/>
      </w:r>
      <w:r>
        <w:t xml:space="preserve"> </w:t>
      </w:r>
      <w:r w:rsidRPr="000176EC">
        <w:t>EMEA/CHMP/VWP/164653/2005</w:t>
      </w:r>
      <w:r>
        <w:t xml:space="preserve">. </w:t>
      </w:r>
      <w:r w:rsidRPr="000176EC">
        <w:t>Guidelines on clinical evaluation of new vaccines</w:t>
      </w:r>
      <w:r>
        <w:t xml:space="preserve"> published on </w:t>
      </w:r>
      <w:r w:rsidRPr="000176EC">
        <w:t>18</w:t>
      </w:r>
      <w:r>
        <w:t xml:space="preserve"> October </w:t>
      </w:r>
      <w:r w:rsidRPr="000176EC">
        <w:t>2006.</w:t>
      </w:r>
      <w:r>
        <w:t xml:space="preserve"> Available at </w:t>
      </w:r>
      <w:r w:rsidRPr="000176EC">
        <w:t>www.ema.europa.eu</w:t>
      </w:r>
      <w:r>
        <w:t>.</w:t>
      </w:r>
    </w:p>
  </w:footnote>
  <w:footnote w:id="43">
    <w:p w14:paraId="4A2CD6E9" w14:textId="4FEF1E84" w:rsidR="00C6359C" w:rsidRDefault="00C6359C">
      <w:pPr>
        <w:pStyle w:val="FootnoteText"/>
      </w:pPr>
      <w:r>
        <w:rPr>
          <w:rStyle w:val="FootnoteReference"/>
        </w:rPr>
        <w:footnoteRef/>
      </w:r>
      <w:r>
        <w:t xml:space="preserve"> </w:t>
      </w:r>
      <w:r w:rsidRPr="000176EC">
        <w:t>EMA/592928/2020</w:t>
      </w:r>
      <w:r>
        <w:t xml:space="preserve">. </w:t>
      </w:r>
      <w:r w:rsidRPr="000176EC">
        <w:t>EMA consideration on COVID-19 vaccine approval</w:t>
      </w:r>
      <w:r>
        <w:t xml:space="preserve"> published on 16 November 2020. Available at </w:t>
      </w:r>
      <w:r w:rsidRPr="00475D2A">
        <w:t>www.ema.europa.eu</w:t>
      </w:r>
      <w:r>
        <w:t>.</w:t>
      </w:r>
    </w:p>
  </w:footnote>
  <w:footnote w:id="44">
    <w:p w14:paraId="0E0D140C" w14:textId="69EEC85B" w:rsidR="00C6359C" w:rsidRDefault="00C6359C">
      <w:pPr>
        <w:pStyle w:val="FootnoteText"/>
      </w:pPr>
      <w:r>
        <w:rPr>
          <w:rStyle w:val="FootnoteReference"/>
        </w:rPr>
        <w:footnoteRef/>
      </w:r>
      <w:r>
        <w:t xml:space="preserve"> Food Drug Administration (</w:t>
      </w:r>
      <w:r w:rsidRPr="003D23BA">
        <w:t>FDA</w:t>
      </w:r>
      <w:r>
        <w:t xml:space="preserve">) United States, Guidance for industry: Development and licensure of vaccines to prevent COVID-19 published in June 2020. Available at </w:t>
      </w:r>
      <w:r w:rsidRPr="00475D2A">
        <w:t>www.fda.gov</w:t>
      </w:r>
      <w:r>
        <w:t>.</w:t>
      </w:r>
    </w:p>
  </w:footnote>
  <w:footnote w:id="45">
    <w:p w14:paraId="61A125D1" w14:textId="76F68239" w:rsidR="00C6359C" w:rsidRDefault="00C6359C">
      <w:pPr>
        <w:pStyle w:val="FootnoteText"/>
      </w:pPr>
      <w:r>
        <w:rPr>
          <w:rStyle w:val="FootnoteReference"/>
        </w:rPr>
        <w:footnoteRef/>
      </w:r>
      <w:r>
        <w:t xml:space="preserve"> </w:t>
      </w:r>
      <w:r w:rsidRPr="00475D2A">
        <w:t>FDA US, Guidance for industry: Emergency use authorization for vaccine to prevent COVID-19</w:t>
      </w:r>
      <w:r>
        <w:t xml:space="preserve"> published on 25 May 2021. Available at </w:t>
      </w:r>
      <w:r w:rsidRPr="00475D2A">
        <w:t>www.fda.gov</w:t>
      </w:r>
      <w:r>
        <w:t>.</w:t>
      </w:r>
    </w:p>
  </w:footnote>
  <w:footnote w:id="46">
    <w:p w14:paraId="3F2E0691" w14:textId="6C398D81" w:rsidR="00C6359C" w:rsidRDefault="00C6359C">
      <w:pPr>
        <w:pStyle w:val="FootnoteText"/>
      </w:pPr>
      <w:r>
        <w:rPr>
          <w:rStyle w:val="FootnoteReference"/>
        </w:rPr>
        <w:footnoteRef/>
      </w:r>
      <w:r>
        <w:t xml:space="preserve"> FDA US, Guidance for industry. COVID-19: Developing Drugs and Biological Products for Treatment or Prevention published in February 2021. Available at </w:t>
      </w:r>
      <w:r w:rsidRPr="00475D2A">
        <w:t>www.fda.gov</w:t>
      </w:r>
      <w:r>
        <w:t>.</w:t>
      </w:r>
    </w:p>
  </w:footnote>
  <w:footnote w:id="47">
    <w:p w14:paraId="38953E29" w14:textId="53311B8A" w:rsidR="00C6359C" w:rsidRDefault="00C6359C">
      <w:pPr>
        <w:pStyle w:val="FootnoteText"/>
      </w:pPr>
      <w:r>
        <w:rPr>
          <w:rStyle w:val="FootnoteReference"/>
        </w:rPr>
        <w:footnoteRef/>
      </w:r>
      <w:r>
        <w:t xml:space="preserve"> </w:t>
      </w:r>
      <w:r>
        <w:rPr>
          <w:lang w:eastAsia="ja-JP"/>
        </w:rPr>
        <w:t xml:space="preserve">WHO; Design of vaccine efficacy trials to be used during public health emergencies – points of consideration and key </w:t>
      </w:r>
      <w:proofErr w:type="gramStart"/>
      <w:r>
        <w:rPr>
          <w:lang w:eastAsia="ja-JP"/>
        </w:rPr>
        <w:t>principles.</w:t>
      </w:r>
      <w:proofErr w:type="gramEnd"/>
      <w:r>
        <w:rPr>
          <w:lang w:eastAsia="ja-JP"/>
        </w:rPr>
        <w:t xml:space="preserve"> </w:t>
      </w:r>
      <w:r w:rsidRPr="00475D2A">
        <w:t xml:space="preserve">Available at </w:t>
      </w:r>
      <w:r w:rsidRPr="00475D2A">
        <w:rPr>
          <w:lang w:eastAsia="ja-JP"/>
        </w:rPr>
        <w:t>www.who.int</w:t>
      </w:r>
      <w:r>
        <w:rPr>
          <w:lang w:eastAsia="ja-JP"/>
        </w:rPr>
        <w:t>.</w:t>
      </w:r>
    </w:p>
  </w:footnote>
  <w:footnote w:id="48">
    <w:p w14:paraId="607611D5" w14:textId="0CAE3B93" w:rsidR="00C6359C" w:rsidRDefault="00C6359C">
      <w:pPr>
        <w:pStyle w:val="FootnoteText"/>
      </w:pPr>
      <w:r>
        <w:rPr>
          <w:rStyle w:val="FootnoteReference"/>
        </w:rPr>
        <w:footnoteRef/>
      </w:r>
      <w:r>
        <w:t xml:space="preserve"> Guidance for industry: </w:t>
      </w:r>
      <w:r w:rsidRPr="00B31097">
        <w:t>Toxicity Grading Scale for Healthy Adult and Adolescent Volunteers Enrolled in Preventive Vaccine Clinical Trial</w:t>
      </w:r>
      <w:r>
        <w:t xml:space="preserve">s published in September 2007. Available at </w:t>
      </w:r>
      <w:r w:rsidRPr="00B31097">
        <w:t>https://www.fda.gov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2DAC" w14:textId="77777777" w:rsidR="00C6359C" w:rsidRDefault="00C6359C"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98AE" w14:textId="77777777" w:rsidR="00C6359C" w:rsidRDefault="00C6359C">
    <w:pPr>
      <w:rPr>
        <w:noProof/>
        <w:lang w:eastAsia="en-AU"/>
      </w:rPr>
    </w:pPr>
    <w:r w:rsidRPr="00347824">
      <w:rPr>
        <w:noProof/>
        <w:lang w:val="en-GB" w:eastAsia="en-GB"/>
      </w:rPr>
      <w:drawing>
        <wp:anchor distT="0" distB="0" distL="114300" distR="114300" simplePos="0" relativeHeight="251659264" behindDoc="1" locked="0" layoutInCell="1" allowOverlap="1" wp14:anchorId="29F6E013" wp14:editId="7EFEF8AA">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AD1D" w14:textId="77777777" w:rsidR="00C6359C" w:rsidRDefault="00C635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D53A" w14:textId="77777777" w:rsidR="00C6359C" w:rsidRDefault="00C6359C">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61D7" w14:textId="77777777" w:rsidR="00C6359C" w:rsidRDefault="00C6359C">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27A02" w14:textId="77777777" w:rsidR="00C6359C" w:rsidRDefault="00C635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2773" w14:textId="77777777" w:rsidR="00C6359C" w:rsidRDefault="00C6359C"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3360" w14:textId="77777777" w:rsidR="00C6359C" w:rsidRDefault="00C6359C" w:rsidP="006E08B3">
    <w:r>
      <w:t>Therapeutic Goods Administration</w:t>
    </w:r>
  </w:p>
  <w:p w14:paraId="4CAAEAE7" w14:textId="77777777" w:rsidR="00C6359C" w:rsidRDefault="00C6359C"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4DF4EFD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43461B8"/>
    <w:multiLevelType w:val="hybridMultilevel"/>
    <w:tmpl w:val="45064C44"/>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8F23CA"/>
    <w:multiLevelType w:val="hybridMultilevel"/>
    <w:tmpl w:val="C3E2710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F782D800"/>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4DC3B48"/>
    <w:multiLevelType w:val="hybridMultilevel"/>
    <w:tmpl w:val="E4F62E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A9F4954"/>
    <w:multiLevelType w:val="hybridMultilevel"/>
    <w:tmpl w:val="3A02E19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E035AEA"/>
    <w:multiLevelType w:val="hybridMultilevel"/>
    <w:tmpl w:val="F6A4AD7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2266CC"/>
    <w:multiLevelType w:val="hybridMultilevel"/>
    <w:tmpl w:val="B882E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444E76"/>
    <w:multiLevelType w:val="hybridMultilevel"/>
    <w:tmpl w:val="2F90F10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B98316E"/>
    <w:multiLevelType w:val="hybridMultilevel"/>
    <w:tmpl w:val="95963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F75837"/>
    <w:multiLevelType w:val="hybridMultilevel"/>
    <w:tmpl w:val="819E33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5135431"/>
    <w:multiLevelType w:val="hybridMultilevel"/>
    <w:tmpl w:val="31946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6"/>
  </w:num>
  <w:num w:numId="28">
    <w:abstractNumId w:val="21"/>
  </w:num>
  <w:num w:numId="29">
    <w:abstractNumId w:val="8"/>
  </w:num>
  <w:num w:numId="30">
    <w:abstractNumId w:val="14"/>
  </w:num>
  <w:num w:numId="31">
    <w:abstractNumId w:val="5"/>
  </w:num>
  <w:num w:numId="32">
    <w:abstractNumId w:val="17"/>
  </w:num>
  <w:num w:numId="33">
    <w:abstractNumId w:val="6"/>
  </w:num>
  <w:num w:numId="34">
    <w:abstractNumId w:val="10"/>
  </w:num>
  <w:num w:numId="35">
    <w:abstractNumId w:val="19"/>
  </w:num>
  <w:num w:numId="36">
    <w:abstractNumId w:val="20"/>
  </w:num>
  <w:num w:numId="37">
    <w:abstractNumId w:val="13"/>
  </w:num>
  <w:num w:numId="38">
    <w:abstractNumId w:val="4"/>
  </w:num>
  <w:num w:numId="39">
    <w:abstractNumId w:val="18"/>
  </w:num>
  <w:num w:numId="40">
    <w:abstractNumId w:val="11"/>
  </w:num>
  <w:num w:numId="41">
    <w:abstractNumId w:val="15"/>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F10"/>
    <w:rsid w:val="00002031"/>
    <w:rsid w:val="00004734"/>
    <w:rsid w:val="00006B22"/>
    <w:rsid w:val="00006FAB"/>
    <w:rsid w:val="0001276A"/>
    <w:rsid w:val="00016E75"/>
    <w:rsid w:val="000176EC"/>
    <w:rsid w:val="000246AE"/>
    <w:rsid w:val="00025C67"/>
    <w:rsid w:val="000340A6"/>
    <w:rsid w:val="00044772"/>
    <w:rsid w:val="0004541C"/>
    <w:rsid w:val="0005559E"/>
    <w:rsid w:val="000604D6"/>
    <w:rsid w:val="000734D8"/>
    <w:rsid w:val="00073AB4"/>
    <w:rsid w:val="00077775"/>
    <w:rsid w:val="00090471"/>
    <w:rsid w:val="00094305"/>
    <w:rsid w:val="00096AA7"/>
    <w:rsid w:val="000A3AED"/>
    <w:rsid w:val="000B3532"/>
    <w:rsid w:val="000B3A75"/>
    <w:rsid w:val="000B7D36"/>
    <w:rsid w:val="000C00C2"/>
    <w:rsid w:val="000C5400"/>
    <w:rsid w:val="000C690F"/>
    <w:rsid w:val="000D1295"/>
    <w:rsid w:val="000D391B"/>
    <w:rsid w:val="000D3D6D"/>
    <w:rsid w:val="000D4FC7"/>
    <w:rsid w:val="000E6196"/>
    <w:rsid w:val="000F4869"/>
    <w:rsid w:val="000F5B42"/>
    <w:rsid w:val="000F6E6F"/>
    <w:rsid w:val="0010601F"/>
    <w:rsid w:val="0010788A"/>
    <w:rsid w:val="00107A31"/>
    <w:rsid w:val="00107DC7"/>
    <w:rsid w:val="00110EA5"/>
    <w:rsid w:val="00112F56"/>
    <w:rsid w:val="00117C1F"/>
    <w:rsid w:val="00122C2E"/>
    <w:rsid w:val="00124ACD"/>
    <w:rsid w:val="00125318"/>
    <w:rsid w:val="001305A2"/>
    <w:rsid w:val="00133238"/>
    <w:rsid w:val="00133A1B"/>
    <w:rsid w:val="00141448"/>
    <w:rsid w:val="0014197B"/>
    <w:rsid w:val="001447CD"/>
    <w:rsid w:val="001516B1"/>
    <w:rsid w:val="00153356"/>
    <w:rsid w:val="00154EBB"/>
    <w:rsid w:val="00156316"/>
    <w:rsid w:val="00161181"/>
    <w:rsid w:val="00161D56"/>
    <w:rsid w:val="00162D14"/>
    <w:rsid w:val="00163780"/>
    <w:rsid w:val="001639EC"/>
    <w:rsid w:val="00165389"/>
    <w:rsid w:val="0017693F"/>
    <w:rsid w:val="0018110E"/>
    <w:rsid w:val="00181684"/>
    <w:rsid w:val="001843C6"/>
    <w:rsid w:val="001850E0"/>
    <w:rsid w:val="00185407"/>
    <w:rsid w:val="00187FE8"/>
    <w:rsid w:val="00191998"/>
    <w:rsid w:val="001A03AF"/>
    <w:rsid w:val="001A19F5"/>
    <w:rsid w:val="001A2158"/>
    <w:rsid w:val="001A525F"/>
    <w:rsid w:val="001A5A00"/>
    <w:rsid w:val="001A66B8"/>
    <w:rsid w:val="001B09F9"/>
    <w:rsid w:val="001B1DA4"/>
    <w:rsid w:val="001B5C90"/>
    <w:rsid w:val="001B6448"/>
    <w:rsid w:val="001C32CD"/>
    <w:rsid w:val="001C6F25"/>
    <w:rsid w:val="001D1FF5"/>
    <w:rsid w:val="001D2984"/>
    <w:rsid w:val="001D6F88"/>
    <w:rsid w:val="001E07CF"/>
    <w:rsid w:val="001E2289"/>
    <w:rsid w:val="001E359E"/>
    <w:rsid w:val="001E40E1"/>
    <w:rsid w:val="001E59F1"/>
    <w:rsid w:val="001E6685"/>
    <w:rsid w:val="001F2CEE"/>
    <w:rsid w:val="001F436C"/>
    <w:rsid w:val="001F49EB"/>
    <w:rsid w:val="001F6CBA"/>
    <w:rsid w:val="00201D4E"/>
    <w:rsid w:val="00204E3C"/>
    <w:rsid w:val="002076C9"/>
    <w:rsid w:val="002101D2"/>
    <w:rsid w:val="00220B8A"/>
    <w:rsid w:val="0022452E"/>
    <w:rsid w:val="002257F3"/>
    <w:rsid w:val="00227495"/>
    <w:rsid w:val="002314EA"/>
    <w:rsid w:val="00233456"/>
    <w:rsid w:val="002339A5"/>
    <w:rsid w:val="00250271"/>
    <w:rsid w:val="00250F35"/>
    <w:rsid w:val="00257019"/>
    <w:rsid w:val="00257848"/>
    <w:rsid w:val="002578E8"/>
    <w:rsid w:val="00266C33"/>
    <w:rsid w:val="002678F2"/>
    <w:rsid w:val="0027084A"/>
    <w:rsid w:val="00271E85"/>
    <w:rsid w:val="002771C2"/>
    <w:rsid w:val="00280265"/>
    <w:rsid w:val="00286434"/>
    <w:rsid w:val="00286C59"/>
    <w:rsid w:val="00291957"/>
    <w:rsid w:val="002942D1"/>
    <w:rsid w:val="0029501A"/>
    <w:rsid w:val="002A3721"/>
    <w:rsid w:val="002B1638"/>
    <w:rsid w:val="002B3624"/>
    <w:rsid w:val="002D0952"/>
    <w:rsid w:val="002E40B3"/>
    <w:rsid w:val="002E4624"/>
    <w:rsid w:val="002E4C9A"/>
    <w:rsid w:val="002F11F8"/>
    <w:rsid w:val="002F3F56"/>
    <w:rsid w:val="002F44B5"/>
    <w:rsid w:val="002F5122"/>
    <w:rsid w:val="003072A0"/>
    <w:rsid w:val="00311AC0"/>
    <w:rsid w:val="003176FC"/>
    <w:rsid w:val="00324E45"/>
    <w:rsid w:val="0032583B"/>
    <w:rsid w:val="00326656"/>
    <w:rsid w:val="00327883"/>
    <w:rsid w:val="00332715"/>
    <w:rsid w:val="00335504"/>
    <w:rsid w:val="00340C18"/>
    <w:rsid w:val="003442FD"/>
    <w:rsid w:val="00346229"/>
    <w:rsid w:val="00347824"/>
    <w:rsid w:val="00350567"/>
    <w:rsid w:val="00350F51"/>
    <w:rsid w:val="003521E8"/>
    <w:rsid w:val="003521F0"/>
    <w:rsid w:val="00366527"/>
    <w:rsid w:val="003677CB"/>
    <w:rsid w:val="00370CE3"/>
    <w:rsid w:val="003728F3"/>
    <w:rsid w:val="003735BC"/>
    <w:rsid w:val="0037496E"/>
    <w:rsid w:val="0038265E"/>
    <w:rsid w:val="00383221"/>
    <w:rsid w:val="00386150"/>
    <w:rsid w:val="003874CE"/>
    <w:rsid w:val="00390900"/>
    <w:rsid w:val="00392F29"/>
    <w:rsid w:val="003A7F6C"/>
    <w:rsid w:val="003B1825"/>
    <w:rsid w:val="003B4352"/>
    <w:rsid w:val="003B4D60"/>
    <w:rsid w:val="003B7E39"/>
    <w:rsid w:val="003C58DC"/>
    <w:rsid w:val="003D1E62"/>
    <w:rsid w:val="003E0B99"/>
    <w:rsid w:val="003E1504"/>
    <w:rsid w:val="003E2486"/>
    <w:rsid w:val="003E3208"/>
    <w:rsid w:val="003E47EA"/>
    <w:rsid w:val="003F0B04"/>
    <w:rsid w:val="003F142F"/>
    <w:rsid w:val="003F3A8C"/>
    <w:rsid w:val="004011EA"/>
    <w:rsid w:val="0040134E"/>
    <w:rsid w:val="00402560"/>
    <w:rsid w:val="00410216"/>
    <w:rsid w:val="0041532D"/>
    <w:rsid w:val="004334C7"/>
    <w:rsid w:val="00435A1C"/>
    <w:rsid w:val="00440A2D"/>
    <w:rsid w:val="00441C3F"/>
    <w:rsid w:val="00444D1A"/>
    <w:rsid w:val="0045186A"/>
    <w:rsid w:val="0045203F"/>
    <w:rsid w:val="00454BDC"/>
    <w:rsid w:val="004564A7"/>
    <w:rsid w:val="00456765"/>
    <w:rsid w:val="00460036"/>
    <w:rsid w:val="004617BF"/>
    <w:rsid w:val="00463658"/>
    <w:rsid w:val="004637A0"/>
    <w:rsid w:val="00465D7E"/>
    <w:rsid w:val="004722CC"/>
    <w:rsid w:val="00475D2A"/>
    <w:rsid w:val="004836D2"/>
    <w:rsid w:val="00490483"/>
    <w:rsid w:val="004936E4"/>
    <w:rsid w:val="00494E60"/>
    <w:rsid w:val="00497487"/>
    <w:rsid w:val="004A2771"/>
    <w:rsid w:val="004A6189"/>
    <w:rsid w:val="004A7390"/>
    <w:rsid w:val="004B2085"/>
    <w:rsid w:val="004B6DA6"/>
    <w:rsid w:val="004B7B76"/>
    <w:rsid w:val="004C239D"/>
    <w:rsid w:val="004C2B1B"/>
    <w:rsid w:val="004C2D20"/>
    <w:rsid w:val="004C2DCA"/>
    <w:rsid w:val="004C4FBE"/>
    <w:rsid w:val="004C61D2"/>
    <w:rsid w:val="004E7447"/>
    <w:rsid w:val="004F0C4A"/>
    <w:rsid w:val="004F0F38"/>
    <w:rsid w:val="004F47D6"/>
    <w:rsid w:val="004F7421"/>
    <w:rsid w:val="00500337"/>
    <w:rsid w:val="00500D23"/>
    <w:rsid w:val="00501921"/>
    <w:rsid w:val="00505417"/>
    <w:rsid w:val="0052149B"/>
    <w:rsid w:val="005221AE"/>
    <w:rsid w:val="00523A21"/>
    <w:rsid w:val="005262C7"/>
    <w:rsid w:val="00530354"/>
    <w:rsid w:val="0053625B"/>
    <w:rsid w:val="00540619"/>
    <w:rsid w:val="005434C6"/>
    <w:rsid w:val="00543B39"/>
    <w:rsid w:val="00545CDB"/>
    <w:rsid w:val="00546154"/>
    <w:rsid w:val="00550096"/>
    <w:rsid w:val="00555280"/>
    <w:rsid w:val="00557BD0"/>
    <w:rsid w:val="00557FF9"/>
    <w:rsid w:val="00562327"/>
    <w:rsid w:val="005711D5"/>
    <w:rsid w:val="00576378"/>
    <w:rsid w:val="00577130"/>
    <w:rsid w:val="00577945"/>
    <w:rsid w:val="00577E38"/>
    <w:rsid w:val="00585322"/>
    <w:rsid w:val="005857C6"/>
    <w:rsid w:val="0059204E"/>
    <w:rsid w:val="00592F6E"/>
    <w:rsid w:val="00593AD1"/>
    <w:rsid w:val="005941C4"/>
    <w:rsid w:val="00597568"/>
    <w:rsid w:val="005A555D"/>
    <w:rsid w:val="005A68B6"/>
    <w:rsid w:val="005A79F5"/>
    <w:rsid w:val="005B3E47"/>
    <w:rsid w:val="005C0BB1"/>
    <w:rsid w:val="005C0F1D"/>
    <w:rsid w:val="005C494B"/>
    <w:rsid w:val="005C5570"/>
    <w:rsid w:val="005C5A50"/>
    <w:rsid w:val="005C5B66"/>
    <w:rsid w:val="005C79A4"/>
    <w:rsid w:val="005D5442"/>
    <w:rsid w:val="005D61E6"/>
    <w:rsid w:val="00603F32"/>
    <w:rsid w:val="00605AD4"/>
    <w:rsid w:val="00610F3A"/>
    <w:rsid w:val="006136D7"/>
    <w:rsid w:val="00625A6E"/>
    <w:rsid w:val="00632398"/>
    <w:rsid w:val="00640FC3"/>
    <w:rsid w:val="00642020"/>
    <w:rsid w:val="006430EE"/>
    <w:rsid w:val="00643CE5"/>
    <w:rsid w:val="0064632B"/>
    <w:rsid w:val="006515E9"/>
    <w:rsid w:val="0065337B"/>
    <w:rsid w:val="0065419D"/>
    <w:rsid w:val="006603BC"/>
    <w:rsid w:val="006604D8"/>
    <w:rsid w:val="00664A5B"/>
    <w:rsid w:val="0066735C"/>
    <w:rsid w:val="006719E5"/>
    <w:rsid w:val="006763D2"/>
    <w:rsid w:val="00680C08"/>
    <w:rsid w:val="006901BA"/>
    <w:rsid w:val="006916A0"/>
    <w:rsid w:val="006931B1"/>
    <w:rsid w:val="006A15C0"/>
    <w:rsid w:val="006A4CB6"/>
    <w:rsid w:val="006A58A8"/>
    <w:rsid w:val="006C3E2A"/>
    <w:rsid w:val="006C642F"/>
    <w:rsid w:val="006D03E5"/>
    <w:rsid w:val="006D5D3E"/>
    <w:rsid w:val="006E08B3"/>
    <w:rsid w:val="006E0AF7"/>
    <w:rsid w:val="006E5F03"/>
    <w:rsid w:val="006E6959"/>
    <w:rsid w:val="006E6BF2"/>
    <w:rsid w:val="006E7D4A"/>
    <w:rsid w:val="006F17AC"/>
    <w:rsid w:val="006F25B8"/>
    <w:rsid w:val="006F53B3"/>
    <w:rsid w:val="006F572E"/>
    <w:rsid w:val="007046D6"/>
    <w:rsid w:val="00705DB0"/>
    <w:rsid w:val="0072292E"/>
    <w:rsid w:val="00722B57"/>
    <w:rsid w:val="007257BC"/>
    <w:rsid w:val="00730F8A"/>
    <w:rsid w:val="00735A8C"/>
    <w:rsid w:val="00741008"/>
    <w:rsid w:val="0074163C"/>
    <w:rsid w:val="0074253D"/>
    <w:rsid w:val="00744121"/>
    <w:rsid w:val="0074429B"/>
    <w:rsid w:val="00744546"/>
    <w:rsid w:val="0075737D"/>
    <w:rsid w:val="007615BC"/>
    <w:rsid w:val="00762F05"/>
    <w:rsid w:val="007652FF"/>
    <w:rsid w:val="007703EF"/>
    <w:rsid w:val="00770CAC"/>
    <w:rsid w:val="00770EF1"/>
    <w:rsid w:val="0077131A"/>
    <w:rsid w:val="00773EF7"/>
    <w:rsid w:val="00774E1D"/>
    <w:rsid w:val="007765D8"/>
    <w:rsid w:val="0077675A"/>
    <w:rsid w:val="00780355"/>
    <w:rsid w:val="007819FD"/>
    <w:rsid w:val="007841E1"/>
    <w:rsid w:val="00785717"/>
    <w:rsid w:val="00785721"/>
    <w:rsid w:val="00793A59"/>
    <w:rsid w:val="0079447D"/>
    <w:rsid w:val="007A46F5"/>
    <w:rsid w:val="007A6505"/>
    <w:rsid w:val="007B467C"/>
    <w:rsid w:val="007B6132"/>
    <w:rsid w:val="007B6E9F"/>
    <w:rsid w:val="007C0C68"/>
    <w:rsid w:val="007C1216"/>
    <w:rsid w:val="007C1AF7"/>
    <w:rsid w:val="007C6B9B"/>
    <w:rsid w:val="007D1954"/>
    <w:rsid w:val="007D53B6"/>
    <w:rsid w:val="007F11F1"/>
    <w:rsid w:val="007F21AA"/>
    <w:rsid w:val="00804D99"/>
    <w:rsid w:val="00805D27"/>
    <w:rsid w:val="00806DCB"/>
    <w:rsid w:val="008110BC"/>
    <w:rsid w:val="00821542"/>
    <w:rsid w:val="00821776"/>
    <w:rsid w:val="0082715A"/>
    <w:rsid w:val="008321F5"/>
    <w:rsid w:val="00832369"/>
    <w:rsid w:val="00833ED8"/>
    <w:rsid w:val="00834660"/>
    <w:rsid w:val="00836BC2"/>
    <w:rsid w:val="00850CC0"/>
    <w:rsid w:val="0085156D"/>
    <w:rsid w:val="00852B28"/>
    <w:rsid w:val="0085641B"/>
    <w:rsid w:val="00857136"/>
    <w:rsid w:val="00865B03"/>
    <w:rsid w:val="00875A6B"/>
    <w:rsid w:val="00885B11"/>
    <w:rsid w:val="00886D15"/>
    <w:rsid w:val="00887DD8"/>
    <w:rsid w:val="00891BA9"/>
    <w:rsid w:val="00893260"/>
    <w:rsid w:val="00896018"/>
    <w:rsid w:val="008960DD"/>
    <w:rsid w:val="00896136"/>
    <w:rsid w:val="0089635C"/>
    <w:rsid w:val="008A2B9D"/>
    <w:rsid w:val="008A3D9F"/>
    <w:rsid w:val="008A5E0B"/>
    <w:rsid w:val="008A6D59"/>
    <w:rsid w:val="008B4B03"/>
    <w:rsid w:val="008B596F"/>
    <w:rsid w:val="008C159F"/>
    <w:rsid w:val="008C1623"/>
    <w:rsid w:val="008C1850"/>
    <w:rsid w:val="008C51A9"/>
    <w:rsid w:val="008C567B"/>
    <w:rsid w:val="008D0470"/>
    <w:rsid w:val="008D0B1E"/>
    <w:rsid w:val="008D0D82"/>
    <w:rsid w:val="008D3F1B"/>
    <w:rsid w:val="008E7846"/>
    <w:rsid w:val="008F02E5"/>
    <w:rsid w:val="008F1CCC"/>
    <w:rsid w:val="008F2967"/>
    <w:rsid w:val="008F6943"/>
    <w:rsid w:val="00902A21"/>
    <w:rsid w:val="0091523F"/>
    <w:rsid w:val="00915687"/>
    <w:rsid w:val="00920330"/>
    <w:rsid w:val="009219D7"/>
    <w:rsid w:val="00922D53"/>
    <w:rsid w:val="00923B70"/>
    <w:rsid w:val="00924482"/>
    <w:rsid w:val="00926B8E"/>
    <w:rsid w:val="00930237"/>
    <w:rsid w:val="00935A86"/>
    <w:rsid w:val="009365D2"/>
    <w:rsid w:val="00937C17"/>
    <w:rsid w:val="00940A89"/>
    <w:rsid w:val="00941F77"/>
    <w:rsid w:val="00946EA5"/>
    <w:rsid w:val="009556D7"/>
    <w:rsid w:val="00960520"/>
    <w:rsid w:val="00963C08"/>
    <w:rsid w:val="009752A5"/>
    <w:rsid w:val="00977F53"/>
    <w:rsid w:val="0098585A"/>
    <w:rsid w:val="00992875"/>
    <w:rsid w:val="009A4CED"/>
    <w:rsid w:val="009A5785"/>
    <w:rsid w:val="009A6899"/>
    <w:rsid w:val="009A690D"/>
    <w:rsid w:val="009B1D12"/>
    <w:rsid w:val="009B416B"/>
    <w:rsid w:val="009C4BD5"/>
    <w:rsid w:val="009D752F"/>
    <w:rsid w:val="009D7B77"/>
    <w:rsid w:val="009E0BB0"/>
    <w:rsid w:val="009E3FBB"/>
    <w:rsid w:val="009E5A87"/>
    <w:rsid w:val="009F2673"/>
    <w:rsid w:val="009F7353"/>
    <w:rsid w:val="00A04F85"/>
    <w:rsid w:val="00A05FA4"/>
    <w:rsid w:val="00A102E4"/>
    <w:rsid w:val="00A1219C"/>
    <w:rsid w:val="00A12C42"/>
    <w:rsid w:val="00A133A3"/>
    <w:rsid w:val="00A14DF7"/>
    <w:rsid w:val="00A20C8D"/>
    <w:rsid w:val="00A22D57"/>
    <w:rsid w:val="00A267C6"/>
    <w:rsid w:val="00A3246D"/>
    <w:rsid w:val="00A36FA7"/>
    <w:rsid w:val="00A4003C"/>
    <w:rsid w:val="00A44DDB"/>
    <w:rsid w:val="00A475B7"/>
    <w:rsid w:val="00A47AF7"/>
    <w:rsid w:val="00A47C3E"/>
    <w:rsid w:val="00A50226"/>
    <w:rsid w:val="00A5745B"/>
    <w:rsid w:val="00A60BAD"/>
    <w:rsid w:val="00A62246"/>
    <w:rsid w:val="00A67C77"/>
    <w:rsid w:val="00A77F87"/>
    <w:rsid w:val="00A80B5B"/>
    <w:rsid w:val="00A84E36"/>
    <w:rsid w:val="00A9222F"/>
    <w:rsid w:val="00A94B81"/>
    <w:rsid w:val="00A964D1"/>
    <w:rsid w:val="00AA0ED0"/>
    <w:rsid w:val="00AC2B40"/>
    <w:rsid w:val="00AC2BB2"/>
    <w:rsid w:val="00AC2C3C"/>
    <w:rsid w:val="00AC4F14"/>
    <w:rsid w:val="00AC512D"/>
    <w:rsid w:val="00AC61AA"/>
    <w:rsid w:val="00AD0083"/>
    <w:rsid w:val="00AD2D13"/>
    <w:rsid w:val="00AD3935"/>
    <w:rsid w:val="00AE3CD5"/>
    <w:rsid w:val="00AE65EB"/>
    <w:rsid w:val="00AE67A7"/>
    <w:rsid w:val="00AF1D94"/>
    <w:rsid w:val="00AF2313"/>
    <w:rsid w:val="00AF60C5"/>
    <w:rsid w:val="00B009C6"/>
    <w:rsid w:val="00B01548"/>
    <w:rsid w:val="00B02436"/>
    <w:rsid w:val="00B130C5"/>
    <w:rsid w:val="00B13EBD"/>
    <w:rsid w:val="00B1406F"/>
    <w:rsid w:val="00B160E6"/>
    <w:rsid w:val="00B21D29"/>
    <w:rsid w:val="00B25034"/>
    <w:rsid w:val="00B31097"/>
    <w:rsid w:val="00B33588"/>
    <w:rsid w:val="00B33863"/>
    <w:rsid w:val="00B369D8"/>
    <w:rsid w:val="00B37D17"/>
    <w:rsid w:val="00B4175E"/>
    <w:rsid w:val="00B41C85"/>
    <w:rsid w:val="00B452CE"/>
    <w:rsid w:val="00B54C25"/>
    <w:rsid w:val="00B76B91"/>
    <w:rsid w:val="00B77EB1"/>
    <w:rsid w:val="00B811C6"/>
    <w:rsid w:val="00B855B0"/>
    <w:rsid w:val="00B92E08"/>
    <w:rsid w:val="00BA3CC5"/>
    <w:rsid w:val="00BA6CD3"/>
    <w:rsid w:val="00BB0B78"/>
    <w:rsid w:val="00BB75D6"/>
    <w:rsid w:val="00BC0404"/>
    <w:rsid w:val="00BC622A"/>
    <w:rsid w:val="00BD44DE"/>
    <w:rsid w:val="00BE0A78"/>
    <w:rsid w:val="00BE295B"/>
    <w:rsid w:val="00BE6542"/>
    <w:rsid w:val="00BE69D0"/>
    <w:rsid w:val="00BE79F0"/>
    <w:rsid w:val="00BF046D"/>
    <w:rsid w:val="00BF1190"/>
    <w:rsid w:val="00BF3774"/>
    <w:rsid w:val="00BF5D04"/>
    <w:rsid w:val="00BF7063"/>
    <w:rsid w:val="00C009AA"/>
    <w:rsid w:val="00C02CDB"/>
    <w:rsid w:val="00C1164D"/>
    <w:rsid w:val="00C16861"/>
    <w:rsid w:val="00C17644"/>
    <w:rsid w:val="00C272D4"/>
    <w:rsid w:val="00C3291F"/>
    <w:rsid w:val="00C34133"/>
    <w:rsid w:val="00C346AB"/>
    <w:rsid w:val="00C404A6"/>
    <w:rsid w:val="00C40A36"/>
    <w:rsid w:val="00C40CB7"/>
    <w:rsid w:val="00C44419"/>
    <w:rsid w:val="00C45E7B"/>
    <w:rsid w:val="00C468B4"/>
    <w:rsid w:val="00C46EB8"/>
    <w:rsid w:val="00C471B1"/>
    <w:rsid w:val="00C525A2"/>
    <w:rsid w:val="00C52E24"/>
    <w:rsid w:val="00C6316B"/>
    <w:rsid w:val="00C634A9"/>
    <w:rsid w:val="00C6359C"/>
    <w:rsid w:val="00C64586"/>
    <w:rsid w:val="00C70A36"/>
    <w:rsid w:val="00C70D53"/>
    <w:rsid w:val="00C73D0B"/>
    <w:rsid w:val="00C74F5C"/>
    <w:rsid w:val="00C772FF"/>
    <w:rsid w:val="00C80137"/>
    <w:rsid w:val="00C801AF"/>
    <w:rsid w:val="00C80256"/>
    <w:rsid w:val="00C82676"/>
    <w:rsid w:val="00C916A9"/>
    <w:rsid w:val="00C94CD4"/>
    <w:rsid w:val="00C9747E"/>
    <w:rsid w:val="00CA561B"/>
    <w:rsid w:val="00CB6BC0"/>
    <w:rsid w:val="00CC1B7C"/>
    <w:rsid w:val="00CC3D2B"/>
    <w:rsid w:val="00CC5044"/>
    <w:rsid w:val="00CC727F"/>
    <w:rsid w:val="00CD4DA7"/>
    <w:rsid w:val="00CD4F2F"/>
    <w:rsid w:val="00CF15C3"/>
    <w:rsid w:val="00CF2B6F"/>
    <w:rsid w:val="00CF2F3E"/>
    <w:rsid w:val="00CF3EC3"/>
    <w:rsid w:val="00CF58B6"/>
    <w:rsid w:val="00CF5DAD"/>
    <w:rsid w:val="00CF70FC"/>
    <w:rsid w:val="00D0062D"/>
    <w:rsid w:val="00D017ED"/>
    <w:rsid w:val="00D040D3"/>
    <w:rsid w:val="00D0413D"/>
    <w:rsid w:val="00D04C65"/>
    <w:rsid w:val="00D102F3"/>
    <w:rsid w:val="00D114FE"/>
    <w:rsid w:val="00D153D8"/>
    <w:rsid w:val="00D201D2"/>
    <w:rsid w:val="00D212F3"/>
    <w:rsid w:val="00D224FE"/>
    <w:rsid w:val="00D23139"/>
    <w:rsid w:val="00D40B1F"/>
    <w:rsid w:val="00D425BB"/>
    <w:rsid w:val="00D453FA"/>
    <w:rsid w:val="00D552AF"/>
    <w:rsid w:val="00D56348"/>
    <w:rsid w:val="00D6369B"/>
    <w:rsid w:val="00D6493E"/>
    <w:rsid w:val="00D7195D"/>
    <w:rsid w:val="00D72CBA"/>
    <w:rsid w:val="00D7301E"/>
    <w:rsid w:val="00D73133"/>
    <w:rsid w:val="00D83AE1"/>
    <w:rsid w:val="00D854AC"/>
    <w:rsid w:val="00D855D4"/>
    <w:rsid w:val="00D902C9"/>
    <w:rsid w:val="00D93466"/>
    <w:rsid w:val="00D973C6"/>
    <w:rsid w:val="00DA1124"/>
    <w:rsid w:val="00DA64CB"/>
    <w:rsid w:val="00DB06B8"/>
    <w:rsid w:val="00DB3BB1"/>
    <w:rsid w:val="00DB6124"/>
    <w:rsid w:val="00DB750B"/>
    <w:rsid w:val="00DB75B7"/>
    <w:rsid w:val="00DC0A2F"/>
    <w:rsid w:val="00DC1948"/>
    <w:rsid w:val="00DC6E02"/>
    <w:rsid w:val="00DD28CD"/>
    <w:rsid w:val="00DE02AE"/>
    <w:rsid w:val="00DE39D1"/>
    <w:rsid w:val="00DF1D7F"/>
    <w:rsid w:val="00DF4BE4"/>
    <w:rsid w:val="00DF7C6F"/>
    <w:rsid w:val="00E02382"/>
    <w:rsid w:val="00E02FB4"/>
    <w:rsid w:val="00E13FC7"/>
    <w:rsid w:val="00E14E5E"/>
    <w:rsid w:val="00E20571"/>
    <w:rsid w:val="00E235F7"/>
    <w:rsid w:val="00E23659"/>
    <w:rsid w:val="00E239D4"/>
    <w:rsid w:val="00E26130"/>
    <w:rsid w:val="00E33D42"/>
    <w:rsid w:val="00E40B22"/>
    <w:rsid w:val="00E42AA6"/>
    <w:rsid w:val="00E43913"/>
    <w:rsid w:val="00E44ED1"/>
    <w:rsid w:val="00E45619"/>
    <w:rsid w:val="00E4588F"/>
    <w:rsid w:val="00E46DA3"/>
    <w:rsid w:val="00E51BB1"/>
    <w:rsid w:val="00E52CC3"/>
    <w:rsid w:val="00E55CB0"/>
    <w:rsid w:val="00E624A5"/>
    <w:rsid w:val="00E64BA4"/>
    <w:rsid w:val="00E7344E"/>
    <w:rsid w:val="00E82665"/>
    <w:rsid w:val="00E865BF"/>
    <w:rsid w:val="00E95161"/>
    <w:rsid w:val="00EA3C04"/>
    <w:rsid w:val="00EB0798"/>
    <w:rsid w:val="00EB36D6"/>
    <w:rsid w:val="00EB40AD"/>
    <w:rsid w:val="00EB586E"/>
    <w:rsid w:val="00EB5FC8"/>
    <w:rsid w:val="00EC463D"/>
    <w:rsid w:val="00EC7A85"/>
    <w:rsid w:val="00ED2922"/>
    <w:rsid w:val="00ED3CAD"/>
    <w:rsid w:val="00ED5A41"/>
    <w:rsid w:val="00ED7F97"/>
    <w:rsid w:val="00EE1DE8"/>
    <w:rsid w:val="00EE27C2"/>
    <w:rsid w:val="00EF4BAD"/>
    <w:rsid w:val="00EF59DC"/>
    <w:rsid w:val="00EF5C75"/>
    <w:rsid w:val="00F033EC"/>
    <w:rsid w:val="00F04F68"/>
    <w:rsid w:val="00F12670"/>
    <w:rsid w:val="00F14B27"/>
    <w:rsid w:val="00F156F0"/>
    <w:rsid w:val="00F3148D"/>
    <w:rsid w:val="00F32110"/>
    <w:rsid w:val="00F325C5"/>
    <w:rsid w:val="00F32FE0"/>
    <w:rsid w:val="00F35298"/>
    <w:rsid w:val="00F43EA9"/>
    <w:rsid w:val="00F47333"/>
    <w:rsid w:val="00F47E37"/>
    <w:rsid w:val="00F53C07"/>
    <w:rsid w:val="00F54B65"/>
    <w:rsid w:val="00F63DBF"/>
    <w:rsid w:val="00F640B6"/>
    <w:rsid w:val="00F66DF2"/>
    <w:rsid w:val="00F75F10"/>
    <w:rsid w:val="00F80E40"/>
    <w:rsid w:val="00F81244"/>
    <w:rsid w:val="00F848D9"/>
    <w:rsid w:val="00F931CE"/>
    <w:rsid w:val="00F95DA4"/>
    <w:rsid w:val="00F97393"/>
    <w:rsid w:val="00FA4BBA"/>
    <w:rsid w:val="00FA5069"/>
    <w:rsid w:val="00FA5B82"/>
    <w:rsid w:val="00FA639E"/>
    <w:rsid w:val="00FB0642"/>
    <w:rsid w:val="00FB4160"/>
    <w:rsid w:val="00FC1FCA"/>
    <w:rsid w:val="00FC25E4"/>
    <w:rsid w:val="00FC4EF7"/>
    <w:rsid w:val="00FC668B"/>
    <w:rsid w:val="00FD0824"/>
    <w:rsid w:val="00FD119B"/>
    <w:rsid w:val="00FD17EA"/>
    <w:rsid w:val="00FD1EDC"/>
    <w:rsid w:val="00FE11BF"/>
    <w:rsid w:val="00FE1DEE"/>
    <w:rsid w:val="00FF2126"/>
    <w:rsid w:val="00FF5755"/>
    <w:rsid w:val="00FF6731"/>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FA9841"/>
  <w15:docId w15:val="{570B1F8B-8C5C-4F3D-9997-56FAE142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6359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5941C4"/>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346229"/>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0B7D36"/>
    <w:rPr>
      <w:rFonts w:ascii="Cambria" w:eastAsia="Cambria" w:hAnsi="Cambria" w:cs="Times New Roman"/>
      <w:sz w:val="19"/>
    </w:rPr>
  </w:style>
  <w:style w:type="paragraph" w:customStyle="1" w:styleId="Default">
    <w:name w:val="Default"/>
    <w:rsid w:val="00850CC0"/>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52751">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489559975">
      <w:bodyDiv w:val="1"/>
      <w:marLeft w:val="0"/>
      <w:marRight w:val="0"/>
      <w:marTop w:val="0"/>
      <w:marBottom w:val="0"/>
      <w:divBdr>
        <w:top w:val="none" w:sz="0" w:space="0" w:color="auto"/>
        <w:left w:val="none" w:sz="0" w:space="0" w:color="auto"/>
        <w:bottom w:val="none" w:sz="0" w:space="0" w:color="auto"/>
        <w:right w:val="none" w:sz="0" w:space="0" w:color="auto"/>
      </w:divBdr>
    </w:div>
    <w:div w:id="491288669">
      <w:bodyDiv w:val="1"/>
      <w:marLeft w:val="0"/>
      <w:marRight w:val="0"/>
      <w:marTop w:val="0"/>
      <w:marBottom w:val="0"/>
      <w:divBdr>
        <w:top w:val="none" w:sz="0" w:space="0" w:color="auto"/>
        <w:left w:val="none" w:sz="0" w:space="0" w:color="auto"/>
        <w:bottom w:val="none" w:sz="0" w:space="0" w:color="auto"/>
        <w:right w:val="none" w:sz="0" w:space="0" w:color="auto"/>
      </w:divBdr>
    </w:div>
    <w:div w:id="532696317">
      <w:bodyDiv w:val="1"/>
      <w:marLeft w:val="0"/>
      <w:marRight w:val="0"/>
      <w:marTop w:val="0"/>
      <w:marBottom w:val="0"/>
      <w:divBdr>
        <w:top w:val="none" w:sz="0" w:space="0" w:color="auto"/>
        <w:left w:val="none" w:sz="0" w:space="0" w:color="auto"/>
        <w:bottom w:val="none" w:sz="0" w:space="0" w:color="auto"/>
        <w:right w:val="none" w:sz="0" w:space="0" w:color="auto"/>
      </w:divBdr>
    </w:div>
    <w:div w:id="609316697">
      <w:bodyDiv w:val="1"/>
      <w:marLeft w:val="0"/>
      <w:marRight w:val="0"/>
      <w:marTop w:val="0"/>
      <w:marBottom w:val="0"/>
      <w:divBdr>
        <w:top w:val="none" w:sz="0" w:space="0" w:color="auto"/>
        <w:left w:val="none" w:sz="0" w:space="0" w:color="auto"/>
        <w:bottom w:val="none" w:sz="0" w:space="0" w:color="auto"/>
        <w:right w:val="none" w:sz="0" w:space="0" w:color="auto"/>
      </w:divBdr>
    </w:div>
    <w:div w:id="652217516">
      <w:bodyDiv w:val="1"/>
      <w:marLeft w:val="0"/>
      <w:marRight w:val="0"/>
      <w:marTop w:val="0"/>
      <w:marBottom w:val="0"/>
      <w:divBdr>
        <w:top w:val="none" w:sz="0" w:space="0" w:color="auto"/>
        <w:left w:val="none" w:sz="0" w:space="0" w:color="auto"/>
        <w:bottom w:val="none" w:sz="0" w:space="0" w:color="auto"/>
        <w:right w:val="none" w:sz="0" w:space="0" w:color="auto"/>
      </w:divBdr>
    </w:div>
    <w:div w:id="784078340">
      <w:bodyDiv w:val="1"/>
      <w:marLeft w:val="0"/>
      <w:marRight w:val="0"/>
      <w:marTop w:val="0"/>
      <w:marBottom w:val="0"/>
      <w:divBdr>
        <w:top w:val="none" w:sz="0" w:space="0" w:color="auto"/>
        <w:left w:val="none" w:sz="0" w:space="0" w:color="auto"/>
        <w:bottom w:val="none" w:sz="0" w:space="0" w:color="auto"/>
        <w:right w:val="none" w:sz="0" w:space="0" w:color="auto"/>
      </w:divBdr>
    </w:div>
    <w:div w:id="891423124">
      <w:bodyDiv w:val="1"/>
      <w:marLeft w:val="0"/>
      <w:marRight w:val="0"/>
      <w:marTop w:val="0"/>
      <w:marBottom w:val="0"/>
      <w:divBdr>
        <w:top w:val="none" w:sz="0" w:space="0" w:color="auto"/>
        <w:left w:val="none" w:sz="0" w:space="0" w:color="auto"/>
        <w:bottom w:val="none" w:sz="0" w:space="0" w:color="auto"/>
        <w:right w:val="none" w:sz="0" w:space="0" w:color="auto"/>
      </w:divBdr>
    </w:div>
    <w:div w:id="1022318313">
      <w:bodyDiv w:val="1"/>
      <w:marLeft w:val="0"/>
      <w:marRight w:val="0"/>
      <w:marTop w:val="0"/>
      <w:marBottom w:val="0"/>
      <w:divBdr>
        <w:top w:val="none" w:sz="0" w:space="0" w:color="auto"/>
        <w:left w:val="none" w:sz="0" w:space="0" w:color="auto"/>
        <w:bottom w:val="none" w:sz="0" w:space="0" w:color="auto"/>
        <w:right w:val="none" w:sz="0" w:space="0" w:color="auto"/>
      </w:divBdr>
    </w:div>
    <w:div w:id="1212426061">
      <w:bodyDiv w:val="1"/>
      <w:marLeft w:val="0"/>
      <w:marRight w:val="0"/>
      <w:marTop w:val="0"/>
      <w:marBottom w:val="0"/>
      <w:divBdr>
        <w:top w:val="none" w:sz="0" w:space="0" w:color="auto"/>
        <w:left w:val="none" w:sz="0" w:space="0" w:color="auto"/>
        <w:bottom w:val="none" w:sz="0" w:space="0" w:color="auto"/>
        <w:right w:val="none" w:sz="0" w:space="0" w:color="auto"/>
      </w:divBdr>
    </w:div>
    <w:div w:id="1232960492">
      <w:bodyDiv w:val="1"/>
      <w:marLeft w:val="0"/>
      <w:marRight w:val="0"/>
      <w:marTop w:val="0"/>
      <w:marBottom w:val="0"/>
      <w:divBdr>
        <w:top w:val="none" w:sz="0" w:space="0" w:color="auto"/>
        <w:left w:val="none" w:sz="0" w:space="0" w:color="auto"/>
        <w:bottom w:val="none" w:sz="0" w:space="0" w:color="auto"/>
        <w:right w:val="none" w:sz="0" w:space="0" w:color="auto"/>
      </w:divBdr>
    </w:div>
    <w:div w:id="1309357041">
      <w:bodyDiv w:val="1"/>
      <w:marLeft w:val="0"/>
      <w:marRight w:val="0"/>
      <w:marTop w:val="0"/>
      <w:marBottom w:val="0"/>
      <w:divBdr>
        <w:top w:val="none" w:sz="0" w:space="0" w:color="auto"/>
        <w:left w:val="none" w:sz="0" w:space="0" w:color="auto"/>
        <w:bottom w:val="none" w:sz="0" w:space="0" w:color="auto"/>
        <w:right w:val="none" w:sz="0" w:space="0" w:color="auto"/>
      </w:divBdr>
    </w:div>
    <w:div w:id="1353996433">
      <w:bodyDiv w:val="1"/>
      <w:marLeft w:val="0"/>
      <w:marRight w:val="0"/>
      <w:marTop w:val="0"/>
      <w:marBottom w:val="0"/>
      <w:divBdr>
        <w:top w:val="none" w:sz="0" w:space="0" w:color="auto"/>
        <w:left w:val="none" w:sz="0" w:space="0" w:color="auto"/>
        <w:bottom w:val="none" w:sz="0" w:space="0" w:color="auto"/>
        <w:right w:val="none" w:sz="0" w:space="0" w:color="auto"/>
      </w:divBdr>
    </w:div>
    <w:div w:id="1556619279">
      <w:bodyDiv w:val="1"/>
      <w:marLeft w:val="0"/>
      <w:marRight w:val="0"/>
      <w:marTop w:val="0"/>
      <w:marBottom w:val="0"/>
      <w:divBdr>
        <w:top w:val="none" w:sz="0" w:space="0" w:color="auto"/>
        <w:left w:val="none" w:sz="0" w:space="0" w:color="auto"/>
        <w:bottom w:val="none" w:sz="0" w:space="0" w:color="auto"/>
        <w:right w:val="none" w:sz="0" w:space="0" w:color="auto"/>
      </w:divBdr>
    </w:div>
    <w:div w:id="1612585066">
      <w:bodyDiv w:val="1"/>
      <w:marLeft w:val="0"/>
      <w:marRight w:val="0"/>
      <w:marTop w:val="0"/>
      <w:marBottom w:val="0"/>
      <w:divBdr>
        <w:top w:val="none" w:sz="0" w:space="0" w:color="auto"/>
        <w:left w:val="none" w:sz="0" w:space="0" w:color="auto"/>
        <w:bottom w:val="none" w:sz="0" w:space="0" w:color="auto"/>
        <w:right w:val="none" w:sz="0" w:space="0" w:color="auto"/>
      </w:divBdr>
    </w:div>
    <w:div w:id="1642080822">
      <w:bodyDiv w:val="1"/>
      <w:marLeft w:val="0"/>
      <w:marRight w:val="0"/>
      <w:marTop w:val="0"/>
      <w:marBottom w:val="0"/>
      <w:divBdr>
        <w:top w:val="none" w:sz="0" w:space="0" w:color="auto"/>
        <w:left w:val="none" w:sz="0" w:space="0" w:color="auto"/>
        <w:bottom w:val="none" w:sz="0" w:space="0" w:color="auto"/>
        <w:right w:val="none" w:sz="0" w:space="0" w:color="auto"/>
      </w:divBdr>
    </w:div>
    <w:div w:id="1711224894">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06254575">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13178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tga.gov.au/picmi-search-facility"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s://www.tga.gov.au/committee/advisory-committee-vaccines-acv" TargetMode="External"/><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picmi-search-facility"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5.xml"/><Relationship Id="rId10" Type="http://schemas.openxmlformats.org/officeDocument/2006/relationships/hyperlink" Target="mailto:tga.copyright@tga.gov.au" TargetMode="External"/><Relationship Id="rId19" Type="http://schemas.openxmlformats.org/officeDocument/2006/relationships/image" Target="media/image5.png"/><Relationship Id="rId31" Type="http://schemas.openxmlformats.org/officeDocument/2006/relationships/hyperlink" Target="https://www.tga.gov.au/tgas-risk-management-approach"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tga.gov.au/publication/risk-management-plans-medicines-and-biologicals" TargetMode="External"/><Relationship Id="rId35" Type="http://schemas.openxmlformats.org/officeDocument/2006/relationships/header" Target="header4.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uspar/auspar-chadox1-s" TargetMode="External"/><Relationship Id="rId13" Type="http://schemas.openxmlformats.org/officeDocument/2006/relationships/hyperlink" Target="https://www.tga.gov.au/auspar/auspar-sars-cov-2-rs-matrix-m-adjuvant" TargetMode="External"/><Relationship Id="rId3" Type="http://schemas.openxmlformats.org/officeDocument/2006/relationships/hyperlink" Target="https://www.health.gov.au/health-alerts/covid-19/case-numbers-and-statistics" TargetMode="External"/><Relationship Id="rId7" Type="http://schemas.openxmlformats.org/officeDocument/2006/relationships/hyperlink" Target="https://www.tga.gov.au/auspar/auspar-tozinameran-mrna-covid-19-vaccine" TargetMode="External"/><Relationship Id="rId12" Type="http://schemas.openxmlformats.org/officeDocument/2006/relationships/hyperlink" Target="https://www.tga.gov.au/auspar/auspar-elasomeran-1" TargetMode="External"/><Relationship Id="rId2" Type="http://schemas.openxmlformats.org/officeDocument/2006/relationships/hyperlink" Target="https://www.who.int/director-general/speeches/detail/who-director-general-s-opening-remarks-at-the-media-briefing-on-covid-19---11-march-2020" TargetMode="External"/><Relationship Id="rId1" Type="http://schemas.openxmlformats.org/officeDocument/2006/relationships/hyperlink" Target="https://www.who.int/news/item/30-01-2020-statement-on-the-second-meeting-of-the-international-health-regulations-(2005)-emergency-committee-regarding-the-outbreak-of-novel-coronavirus-(2019-ncov)" TargetMode="External"/><Relationship Id="rId6" Type="http://schemas.openxmlformats.org/officeDocument/2006/relationships/hyperlink" Target="https://www.tga.gov.au/auspar/auspar-bnt162b2-mrna" TargetMode="External"/><Relationship Id="rId11" Type="http://schemas.openxmlformats.org/officeDocument/2006/relationships/hyperlink" Target="https://www.tga.gov.au/auspar/auspar-elasomeran-0" TargetMode="External"/><Relationship Id="rId5" Type="http://schemas.openxmlformats.org/officeDocument/2006/relationships/hyperlink" Target="https://www.tga.gov.au/auspar/auspar-bnt162b2-mrna-comirnaty" TargetMode="External"/><Relationship Id="rId10" Type="http://schemas.openxmlformats.org/officeDocument/2006/relationships/hyperlink" Target="https://www.tga.gov.au/auspar/auspar-elasomeran" TargetMode="External"/><Relationship Id="rId4" Type="http://schemas.openxmlformats.org/officeDocument/2006/relationships/hyperlink" Target="https://www.tga.gov.au/covid-19-vaccine-provisional-registrations" TargetMode="External"/><Relationship Id="rId9" Type="http://schemas.openxmlformats.org/officeDocument/2006/relationships/hyperlink" Target="https://www.tga.gov.au/auspar/auspar-ad26cov2s" TargetMode="External"/><Relationship Id="rId14" Type="http://schemas.openxmlformats.org/officeDocument/2006/relationships/hyperlink" Target="https://www.tga.gov.au/auspar/auspar-sars-cov-2-rs-matrix-m-adjuvant-nvx-cov237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5768\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9F6DF-87A8-4043-96A0-16DA29307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11</TotalTime>
  <Pages>50</Pages>
  <Words>18998</Words>
  <Characters>108293</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 Therapeutic Goods Administration</Company>
  <LinksUpToDate>false</LinksUpToDate>
  <CharactersWithSpaces>127037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Spikevax Bivalent Original/Omicron</dc:title>
  <dc:subject>prescription medicines</dc:subject>
  <dc:creator>Department of Health and Aged Care</dc:creator>
  <cp:keywords/>
  <cp:lastModifiedBy>LACK, Janet</cp:lastModifiedBy>
  <cp:revision>3</cp:revision>
  <cp:lastPrinted>2019-08-14T04:30:00Z</cp:lastPrinted>
  <dcterms:created xsi:type="dcterms:W3CDTF">2022-09-01T02:05:00Z</dcterms:created>
  <dcterms:modified xsi:type="dcterms:W3CDTF">2022-09-01T02:15:00Z</dcterms:modified>
  <cp:category/>
</cp:coreProperties>
</file>