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7CE7B" w14:textId="77777777" w:rsidR="00375DF3" w:rsidRPr="00375DF3" w:rsidRDefault="00385E57" w:rsidP="006018AE">
      <w:pPr>
        <w:tabs>
          <w:tab w:val="left" w:pos="284"/>
        </w:tabs>
        <w:spacing w:after="480" w:line="240" w:lineRule="auto"/>
      </w:pPr>
      <w:r>
        <w:rPr>
          <w:noProof/>
          <w:lang w:eastAsia="en-AU"/>
        </w:rPr>
        <mc:AlternateContent>
          <mc:Choice Requires="wps">
            <w:drawing>
              <wp:inline distT="0" distB="0" distL="0" distR="0" wp14:anchorId="055DA55B" wp14:editId="749D516C">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7D00B" w14:textId="77777777" w:rsidR="00581F52" w:rsidRPr="00BE2A26" w:rsidRDefault="00581F52"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wps:wsp>
                  </a:graphicData>
                </a:graphic>
              </wp:inline>
            </w:drawing>
          </mc:Choice>
          <mc:Fallback>
            <w:pict>
              <v:shapetype w14:anchorId="055DA55B"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" stroked="f">
                <v:textbox inset="0,0,0,0">
                  <w:txbxContent>
                    <w:p w14:paraId="6607D00B" w14:textId="77777777" w:rsidR="00581F52" w:rsidRPr="00BE2A26" w:rsidRDefault="00581F52"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375DF3">
          <w:rPr>
            <w:rStyle w:val="Hyperlink"/>
          </w:rPr>
          <w:t>www.tga.gov.au/reporting-problems</w:t>
        </w:r>
      </w:hyperlink>
      <w:r w:rsidRPr="00375DF3">
        <w:t>.</w:t>
      </w:r>
    </w:p>
    <w:p w14:paraId="6607CE7C" w14:textId="60788734" w:rsidR="00EE0278" w:rsidRDefault="00385E57" w:rsidP="00EE0278">
      <w:pPr>
        <w:pStyle w:val="Heading1"/>
        <w:numPr>
          <w:ilvl w:val="0"/>
          <w:numId w:val="0"/>
        </w:numPr>
        <w:spacing w:after="240"/>
        <w:rPr>
          <w:rFonts w:eastAsia="SimSun" w:cstheme="minorHAnsi"/>
        </w:rPr>
      </w:pPr>
      <w:r>
        <w:rPr>
          <w:rFonts w:eastAsia="SimSun" w:cstheme="minorHAnsi"/>
        </w:rPr>
        <w:t>Australian PRODUCT INFORMATION – TEPMETKO</w:t>
      </w:r>
      <w:r>
        <w:rPr>
          <w:rFonts w:eastAsia="SimSun" w:cstheme="minorHAnsi"/>
          <w:vertAlign w:val="superscript"/>
        </w:rPr>
        <w:t>®</w:t>
      </w:r>
      <w:r>
        <w:rPr>
          <w:rFonts w:eastAsia="SimSun" w:cstheme="minorHAnsi"/>
        </w:rPr>
        <w:t xml:space="preserve"> </w:t>
      </w:r>
      <w:r>
        <w:rPr>
          <w:rFonts w:ascii="Cambria" w:eastAsia="Calibri" w:hAnsi="Cambria" w:cs="Times New Roman"/>
          <w:bCs w:val="0"/>
          <w:caps w:val="0"/>
          <w:lang w:val="en-NZ"/>
        </w:rPr>
        <w:t xml:space="preserve">(tepotinib </w:t>
      </w:r>
      <w:r w:rsidR="006F67CC">
        <w:rPr>
          <w:rFonts w:ascii="Cambria" w:eastAsia="Calibri" w:hAnsi="Cambria" w:cs="Times New Roman"/>
          <w:bCs w:val="0"/>
          <w:caps w:val="0"/>
          <w:lang w:val="en-NZ"/>
        </w:rPr>
        <w:t xml:space="preserve">(as </w:t>
      </w:r>
      <w:r>
        <w:rPr>
          <w:rFonts w:ascii="Cambria" w:eastAsia="Calibri" w:hAnsi="Cambria" w:cs="Times New Roman"/>
          <w:bCs w:val="0"/>
          <w:caps w:val="0"/>
          <w:lang w:val="en-NZ"/>
        </w:rPr>
        <w:t>hydrochloride monohydrate</w:t>
      </w:r>
      <w:r w:rsidR="006F67CC">
        <w:rPr>
          <w:rFonts w:ascii="Cambria" w:eastAsia="Calibri" w:hAnsi="Cambria" w:cs="Times New Roman"/>
          <w:bCs w:val="0"/>
          <w:caps w:val="0"/>
          <w:lang w:val="en-NZ"/>
        </w:rPr>
        <w:t>)</w:t>
      </w:r>
      <w:r>
        <w:rPr>
          <w:rFonts w:ascii="Cambria" w:eastAsia="Calibri" w:hAnsi="Cambria" w:cs="Times New Roman"/>
          <w:bCs w:val="0"/>
          <w:caps w:val="0"/>
          <w:lang w:val="en-NZ"/>
        </w:rPr>
        <w:t>) film</w:t>
      </w:r>
      <w:r w:rsidR="00862A99">
        <w:rPr>
          <w:rFonts w:ascii="Cambria" w:eastAsia="Calibri" w:hAnsi="Cambria" w:cs="Times New Roman"/>
          <w:bCs w:val="0"/>
          <w:caps w:val="0"/>
          <w:lang w:val="en-NZ"/>
        </w:rPr>
        <w:t>-</w:t>
      </w:r>
      <w:r>
        <w:rPr>
          <w:rFonts w:ascii="Cambria" w:eastAsia="Calibri" w:hAnsi="Cambria" w:cs="Times New Roman"/>
          <w:bCs w:val="0"/>
          <w:caps w:val="0"/>
          <w:lang w:val="en-NZ"/>
        </w:rPr>
        <w:t>coated tablet</w:t>
      </w:r>
      <w:r w:rsidR="008F4DF0">
        <w:rPr>
          <w:rFonts w:ascii="Cambria" w:eastAsia="Calibri" w:hAnsi="Cambria" w:cs="Times New Roman"/>
          <w:bCs w:val="0"/>
          <w:caps w:val="0"/>
          <w:lang w:val="en-NZ"/>
        </w:rPr>
        <w:fldChar w:fldCharType="begin"/>
      </w:r>
      <w:r w:rsidR="008F4DF0">
        <w:rPr>
          <w:rFonts w:ascii="Cambria" w:eastAsia="Calibri" w:hAnsi="Cambria" w:cs="Times New Roman"/>
          <w:bCs w:val="0"/>
          <w:caps w:val="0"/>
          <w:lang w:val="en-NZ"/>
        </w:rPr>
        <w:instrText xml:space="preserve"> DOCVARIABLE vault_nd_2abe76c6-44c2-4cec-a01b-2d361106db5d \* MERGEFORMAT </w:instrText>
      </w:r>
      <w:r w:rsidR="008F4DF0">
        <w:rPr>
          <w:rFonts w:ascii="Cambria" w:eastAsia="Calibri" w:hAnsi="Cambria" w:cs="Times New Roman"/>
          <w:bCs w:val="0"/>
          <w:caps w:val="0"/>
          <w:lang w:val="en-NZ"/>
        </w:rPr>
        <w:fldChar w:fldCharType="separate"/>
      </w:r>
      <w:r w:rsidR="008F4DF0">
        <w:rPr>
          <w:rFonts w:ascii="Cambria" w:eastAsia="Calibri" w:hAnsi="Cambria" w:cs="Times New Roman"/>
          <w:bCs w:val="0"/>
          <w:caps w:val="0"/>
          <w:lang w:val="en-NZ"/>
        </w:rPr>
        <w:t xml:space="preserve"> </w:t>
      </w:r>
      <w:r w:rsidR="008F4DF0">
        <w:rPr>
          <w:rFonts w:ascii="Cambria" w:eastAsia="Calibri" w:hAnsi="Cambria" w:cs="Times New Roman"/>
          <w:bCs w:val="0"/>
          <w:caps w:val="0"/>
          <w:lang w:val="en-NZ"/>
        </w:rPr>
        <w:fldChar w:fldCharType="end"/>
      </w:r>
    </w:p>
    <w:p w14:paraId="6607CE7D" w14:textId="3323DEAB" w:rsidR="001A3992" w:rsidRPr="008F4DF0" w:rsidRDefault="00385E57" w:rsidP="001A3992">
      <w:pPr>
        <w:pStyle w:val="Heading1"/>
        <w:spacing w:before="0" w:after="120"/>
      </w:pPr>
      <w:r w:rsidRPr="008F4DF0">
        <w:t>Name of the medicine</w:t>
      </w:r>
      <w:r w:rsidR="009065C9">
        <w:fldChar w:fldCharType="begin"/>
      </w:r>
      <w:r w:rsidR="009065C9">
        <w:instrText xml:space="preserve"> DOCVARIABLE VAULT_ND_b8ec4f1d-868b-43eb-a5ee-13501f1bbf4c \* MERGEFORMAT </w:instrText>
      </w:r>
      <w:r w:rsidR="009065C9">
        <w:fldChar w:fldCharType="separate"/>
      </w:r>
      <w:r w:rsidR="008F4DF0">
        <w:t xml:space="preserve"> </w:t>
      </w:r>
      <w:r w:rsidR="009065C9">
        <w:fldChar w:fldCharType="end"/>
      </w:r>
    </w:p>
    <w:p w14:paraId="6607CE7E" w14:textId="77777777" w:rsidR="006E7986" w:rsidRPr="006E7986" w:rsidRDefault="00385E57" w:rsidP="006E7986">
      <w:r>
        <w:t xml:space="preserve">Tepotinib </w:t>
      </w:r>
      <w:r w:rsidR="00EE0278">
        <w:t xml:space="preserve">(as </w:t>
      </w:r>
      <w:r>
        <w:t>hydrochloride monohydrate</w:t>
      </w:r>
      <w:r w:rsidR="00EE0278">
        <w:t>)</w:t>
      </w:r>
    </w:p>
    <w:p w14:paraId="6607CE7F" w14:textId="548CB082" w:rsidR="001A3992" w:rsidRPr="008F4DF0" w:rsidRDefault="00385E57" w:rsidP="001A3992">
      <w:pPr>
        <w:pStyle w:val="Heading1"/>
        <w:spacing w:before="0" w:after="120"/>
      </w:pPr>
      <w:r w:rsidRPr="008F4DF0">
        <w:t>Qualitative and quantitative composition</w:t>
      </w:r>
      <w:r w:rsidR="009065C9">
        <w:fldChar w:fldCharType="begin"/>
      </w:r>
      <w:r w:rsidR="009065C9">
        <w:instrText xml:space="preserve"> DOCVARIABLE VAULT_ND_4ba5824f-72ac-4a1a-9ae4-d8e565b49c5c \* MERGEFORMAT </w:instrText>
      </w:r>
      <w:r w:rsidR="009065C9">
        <w:fldChar w:fldCharType="separate"/>
      </w:r>
      <w:r w:rsidR="008F4DF0">
        <w:t xml:space="preserve"> </w:t>
      </w:r>
      <w:r w:rsidR="009065C9">
        <w:fldChar w:fldCharType="end"/>
      </w:r>
    </w:p>
    <w:p w14:paraId="6607CE80" w14:textId="77777777" w:rsidR="001C1B18" w:rsidRDefault="00385E57" w:rsidP="005B2812">
      <w:pPr>
        <w:rPr>
          <w:rFonts w:cstheme="minorHAnsi"/>
          <w:lang w:val="en"/>
        </w:rPr>
      </w:pPr>
      <w:r>
        <w:rPr>
          <w:rFonts w:cstheme="minorHAnsi"/>
          <w:lang w:val="en"/>
        </w:rPr>
        <w:t>TEPMETKO is supplied as film coated tablet</w:t>
      </w:r>
      <w:r w:rsidR="006E3727">
        <w:rPr>
          <w:rFonts w:cstheme="minorHAnsi"/>
          <w:lang w:val="en"/>
        </w:rPr>
        <w:t>s</w:t>
      </w:r>
      <w:r>
        <w:rPr>
          <w:rFonts w:cstheme="minorHAnsi"/>
          <w:lang w:val="en"/>
        </w:rPr>
        <w:t xml:space="preserve"> containing </w:t>
      </w:r>
      <w:r w:rsidR="000E6073">
        <w:rPr>
          <w:rFonts w:cstheme="minorHAnsi"/>
          <w:lang w:val="en"/>
        </w:rPr>
        <w:t xml:space="preserve">225 mg tepotinib (equivalent to 250 mg </w:t>
      </w:r>
      <w:r>
        <w:rPr>
          <w:rFonts w:cstheme="minorHAnsi"/>
          <w:lang w:val="en"/>
        </w:rPr>
        <w:t>tepotinib hydrochloride monohydrate</w:t>
      </w:r>
      <w:r w:rsidR="000E6073">
        <w:rPr>
          <w:rFonts w:cstheme="minorHAnsi"/>
          <w:lang w:val="en"/>
        </w:rPr>
        <w:t>)</w:t>
      </w:r>
      <w:r w:rsidR="006E3727">
        <w:rPr>
          <w:rFonts w:cstheme="minorHAnsi"/>
          <w:lang w:val="en"/>
        </w:rPr>
        <w:t>.</w:t>
      </w:r>
    </w:p>
    <w:p w14:paraId="6607CE81" w14:textId="77777777" w:rsidR="005B2812" w:rsidRPr="005B2812" w:rsidRDefault="00385E57" w:rsidP="005B2812">
      <w:pPr>
        <w:rPr>
          <w:rFonts w:cstheme="minorHAnsi"/>
        </w:rPr>
      </w:pPr>
      <w:r w:rsidRPr="00497C85">
        <w:rPr>
          <w:rFonts w:cstheme="minorHAnsi"/>
          <w:lang w:val="en"/>
        </w:rPr>
        <w:t xml:space="preserve">For the full list of excipients, see Section 6.1 List of excipients. </w:t>
      </w:r>
    </w:p>
    <w:p w14:paraId="6607CE82" w14:textId="13BDBD3B" w:rsidR="001A3992" w:rsidRPr="008F4DF0" w:rsidRDefault="00385E57" w:rsidP="001A3992">
      <w:pPr>
        <w:pStyle w:val="Heading1"/>
        <w:spacing w:before="0" w:after="120"/>
      </w:pPr>
      <w:r w:rsidRPr="008F4DF0">
        <w:t>Pharmaceutical form</w:t>
      </w:r>
      <w:r w:rsidR="009065C9">
        <w:fldChar w:fldCharType="begin"/>
      </w:r>
      <w:r w:rsidR="009065C9">
        <w:instrText xml:space="preserve"> DOCVARIABLE VAULT_ND_b4ed7475-fdc1-427d-82b2-dfbb7c8f8113 \* MERGEFORMAT </w:instrText>
      </w:r>
      <w:r w:rsidR="009065C9">
        <w:fldChar w:fldCharType="separate"/>
      </w:r>
      <w:r w:rsidR="008F4DF0">
        <w:t xml:space="preserve"> </w:t>
      </w:r>
      <w:r w:rsidR="009065C9">
        <w:fldChar w:fldCharType="end"/>
      </w:r>
    </w:p>
    <w:p w14:paraId="6607CE83" w14:textId="77777777" w:rsidR="006E3727" w:rsidRPr="006E3727" w:rsidRDefault="00385E57" w:rsidP="006E3727">
      <w:r>
        <w:t>White</w:t>
      </w:r>
      <w:r w:rsidR="00862A99">
        <w:t>-</w:t>
      </w:r>
      <w:r>
        <w:t>pink, oval, biconvex film</w:t>
      </w:r>
      <w:r w:rsidR="00862A99">
        <w:t>-</w:t>
      </w:r>
      <w:r>
        <w:t>coated tablet with embos</w:t>
      </w:r>
      <w:r w:rsidR="00862A99">
        <w:t xml:space="preserve">sment “M” on one side and plain on the other side. </w:t>
      </w:r>
    </w:p>
    <w:p w14:paraId="6607CE84" w14:textId="7548F5F2" w:rsidR="001A3992" w:rsidRPr="008F4DF0" w:rsidRDefault="00385E57" w:rsidP="001A3992">
      <w:pPr>
        <w:pStyle w:val="Heading1"/>
        <w:spacing w:before="0" w:after="120"/>
      </w:pPr>
      <w:r w:rsidRPr="008F4DF0">
        <w:t>Clinical particulars</w:t>
      </w:r>
      <w:r w:rsidR="009065C9">
        <w:fldChar w:fldCharType="begin"/>
      </w:r>
      <w:r w:rsidR="009065C9">
        <w:instrText xml:space="preserve"> DOCVARIABLE VAULT_ND_68336480-829a-4aa2-8e68-fec23b54929b \* MERGEFORMAT </w:instrText>
      </w:r>
      <w:r w:rsidR="009065C9">
        <w:fldChar w:fldCharType="separate"/>
      </w:r>
      <w:r w:rsidR="008F4DF0">
        <w:t xml:space="preserve"> </w:t>
      </w:r>
      <w:r w:rsidR="009065C9">
        <w:fldChar w:fldCharType="end"/>
      </w:r>
    </w:p>
    <w:p w14:paraId="6607CE85" w14:textId="72ACB8B6" w:rsidR="001A3992" w:rsidRDefault="00385E57" w:rsidP="001A3992">
      <w:pPr>
        <w:pStyle w:val="Heading2"/>
        <w:spacing w:before="0" w:after="120"/>
      </w:pPr>
      <w:r>
        <w:t>Therapeutic indications</w:t>
      </w:r>
      <w:r w:rsidR="009065C9">
        <w:fldChar w:fldCharType="begin"/>
      </w:r>
      <w:r w:rsidR="009065C9">
        <w:instrText xml:space="preserve"> DOCVARIABLE vault_nd_d36b62c9-6f1a-41c8-927a-fc2242b7b64d \* MERGEFORMAT </w:instrText>
      </w:r>
      <w:r w:rsidR="009065C9">
        <w:fldChar w:fldCharType="separate"/>
      </w:r>
      <w:r w:rsidR="008F4DF0">
        <w:t xml:space="preserve"> </w:t>
      </w:r>
      <w:r w:rsidR="009065C9">
        <w:fldChar w:fldCharType="end"/>
      </w:r>
    </w:p>
    <w:p w14:paraId="3706C55F" w14:textId="0C7894F5" w:rsidR="003031B7" w:rsidRDefault="00385E57" w:rsidP="00862A99">
      <w:r>
        <w:t>TEPMETKO</w:t>
      </w:r>
      <w:r w:rsidR="008068DE">
        <w:t xml:space="preserve"> has </w:t>
      </w:r>
      <w:r w:rsidR="008068DE" w:rsidRPr="0008193D">
        <w:rPr>
          <w:b/>
          <w:bCs/>
        </w:rPr>
        <w:t>provisional approval</w:t>
      </w:r>
      <w:r w:rsidR="008068DE">
        <w:t xml:space="preserve"> in Australia </w:t>
      </w:r>
      <w:r w:rsidR="005B3524">
        <w:t xml:space="preserve">for the treatment of </w:t>
      </w:r>
      <w:r w:rsidR="00DF1855">
        <w:t xml:space="preserve">adult </w:t>
      </w:r>
      <w:r w:rsidR="005B3524">
        <w:t xml:space="preserve">patients with </w:t>
      </w:r>
      <w:r w:rsidR="00A523E7">
        <w:t xml:space="preserve">locally </w:t>
      </w:r>
      <w:r w:rsidR="005B3524">
        <w:t xml:space="preserve">advanced </w:t>
      </w:r>
      <w:r w:rsidR="00A523E7">
        <w:t xml:space="preserve">or metastatic </w:t>
      </w:r>
      <w:r w:rsidR="005B3524">
        <w:t xml:space="preserve">non-small cell lung cancer (NSCLC) </w:t>
      </w:r>
      <w:bookmarkStart w:id="0" w:name="_Hlk46755691"/>
      <w:r w:rsidR="005B3524">
        <w:t xml:space="preserve">harbouring </w:t>
      </w:r>
      <w:r w:rsidR="00A523E7">
        <w:t>mesenchymal-epithelial transition (</w:t>
      </w:r>
      <w:r w:rsidR="005B3524" w:rsidRPr="00862A99">
        <w:rPr>
          <w:i/>
          <w:iCs/>
        </w:rPr>
        <w:t>MET</w:t>
      </w:r>
      <w:r w:rsidR="00A523E7">
        <w:rPr>
          <w:i/>
          <w:iCs/>
        </w:rPr>
        <w:t>)</w:t>
      </w:r>
      <w:r w:rsidR="005B3524">
        <w:t xml:space="preserve"> exon 14 skipping alterations</w:t>
      </w:r>
      <w:bookmarkEnd w:id="0"/>
      <w:r w:rsidR="005B3524">
        <w:t xml:space="preserve">. </w:t>
      </w:r>
    </w:p>
    <w:p w14:paraId="6607CE86" w14:textId="4A20C185" w:rsidR="00862A99" w:rsidRPr="00862A99" w:rsidRDefault="00385E57" w:rsidP="00862A99">
      <w:r>
        <w:t xml:space="preserve">The decision to approve this indication has been made on the basis of </w:t>
      </w:r>
      <w:r w:rsidR="00A523E7">
        <w:t xml:space="preserve">overall </w:t>
      </w:r>
      <w:r>
        <w:t xml:space="preserve">response rate </w:t>
      </w:r>
      <w:r w:rsidR="00A523E7">
        <w:t xml:space="preserve">(ORR) </w:t>
      </w:r>
      <w:r>
        <w:t>and duration of response</w:t>
      </w:r>
      <w:r w:rsidR="00A523E7">
        <w:t xml:space="preserve"> (DOR)</w:t>
      </w:r>
      <w:r>
        <w:t>. Continued approval of this indication depends on verification and description of benefit in confirmatory trial</w:t>
      </w:r>
      <w:r w:rsidR="003D076A">
        <w:t>(</w:t>
      </w:r>
      <w:r w:rsidR="00A523E7">
        <w:t>s</w:t>
      </w:r>
      <w:r w:rsidR="003D076A">
        <w:t>)</w:t>
      </w:r>
      <w:r>
        <w:t xml:space="preserve">. </w:t>
      </w:r>
    </w:p>
    <w:p w14:paraId="6607CE87" w14:textId="1812CA24" w:rsidR="00C31AB2" w:rsidRDefault="00385E57" w:rsidP="001A3992">
      <w:pPr>
        <w:pStyle w:val="Heading2"/>
        <w:spacing w:before="0" w:after="120"/>
      </w:pPr>
      <w:r>
        <w:t>Dose and method of administration</w:t>
      </w:r>
      <w:r w:rsidR="009065C9">
        <w:fldChar w:fldCharType="begin"/>
      </w:r>
      <w:r w:rsidR="009065C9">
        <w:instrText xml:space="preserve"> DOCVARIABLE vault_nd_fbc7886e-1078-45e6-8cbe-62199f4b80aa \* MERGEFORMA</w:instrText>
      </w:r>
      <w:r w:rsidR="009065C9">
        <w:instrText xml:space="preserve">T </w:instrText>
      </w:r>
      <w:r w:rsidR="009065C9">
        <w:fldChar w:fldCharType="separate"/>
      </w:r>
      <w:r w:rsidR="008F4DF0">
        <w:t xml:space="preserve"> </w:t>
      </w:r>
      <w:r w:rsidR="009065C9">
        <w:fldChar w:fldCharType="end"/>
      </w:r>
    </w:p>
    <w:p w14:paraId="6607CE88" w14:textId="77777777" w:rsidR="002809E1" w:rsidRPr="002809E1" w:rsidRDefault="00385E57" w:rsidP="00C31AB2">
      <w:pPr>
        <w:rPr>
          <w:bCs/>
          <w:iCs/>
          <w:lang w:val="en-US"/>
        </w:rPr>
      </w:pPr>
      <w:bookmarkStart w:id="1" w:name="_Hlk17218950"/>
      <w:r>
        <w:rPr>
          <w:bCs/>
          <w:iCs/>
          <w:lang w:val="en-US"/>
        </w:rPr>
        <w:t xml:space="preserve">Treatment should be initiated and supervised by a physician experienced in the treatment of cancer. </w:t>
      </w:r>
    </w:p>
    <w:p w14:paraId="6607CE89" w14:textId="77777777" w:rsidR="0013417F" w:rsidRPr="0013417F" w:rsidRDefault="00385E57" w:rsidP="00C31AB2">
      <w:pPr>
        <w:rPr>
          <w:b/>
          <w:iCs/>
          <w:lang w:val="en-US"/>
        </w:rPr>
      </w:pPr>
      <w:r w:rsidRPr="00983D26">
        <w:rPr>
          <w:b/>
          <w:i/>
          <w:lang w:val="en-US"/>
        </w:rPr>
        <w:t>MET</w:t>
      </w:r>
      <w:r w:rsidRPr="0013417F">
        <w:rPr>
          <w:b/>
          <w:iCs/>
          <w:lang w:val="en-US"/>
        </w:rPr>
        <w:t xml:space="preserve">ex14 </w:t>
      </w:r>
      <w:r w:rsidR="00983D26">
        <w:rPr>
          <w:b/>
          <w:iCs/>
          <w:lang w:val="en-US"/>
        </w:rPr>
        <w:t>S</w:t>
      </w:r>
      <w:r w:rsidRPr="0013417F">
        <w:rPr>
          <w:b/>
          <w:iCs/>
          <w:lang w:val="en-US"/>
        </w:rPr>
        <w:t xml:space="preserve">kipping </w:t>
      </w:r>
      <w:r w:rsidR="00983D26">
        <w:rPr>
          <w:b/>
          <w:iCs/>
          <w:lang w:val="en-US"/>
        </w:rPr>
        <w:t>A</w:t>
      </w:r>
      <w:r w:rsidRPr="0013417F">
        <w:rPr>
          <w:b/>
          <w:iCs/>
          <w:lang w:val="en-US"/>
        </w:rPr>
        <w:t xml:space="preserve">lterations </w:t>
      </w:r>
      <w:r w:rsidR="00983D26">
        <w:rPr>
          <w:b/>
          <w:iCs/>
          <w:lang w:val="en-US"/>
        </w:rPr>
        <w:t>T</w:t>
      </w:r>
      <w:r w:rsidRPr="0013417F">
        <w:rPr>
          <w:b/>
          <w:iCs/>
          <w:lang w:val="en-US"/>
        </w:rPr>
        <w:t xml:space="preserve">esting </w:t>
      </w:r>
    </w:p>
    <w:p w14:paraId="6607CE8A" w14:textId="77777777" w:rsidR="0013417F" w:rsidRDefault="00385E57" w:rsidP="00C31AB2">
      <w:pPr>
        <w:rPr>
          <w:bCs/>
          <w:iCs/>
          <w:lang w:val="en-US"/>
        </w:rPr>
      </w:pPr>
      <w:r>
        <w:rPr>
          <w:bCs/>
          <w:iCs/>
          <w:lang w:val="en-US"/>
        </w:rPr>
        <w:t xml:space="preserve">When considering the use of TEPMETKO as a treatment for advanced NSCLC harbouring </w:t>
      </w:r>
      <w:r w:rsidRPr="0013417F">
        <w:rPr>
          <w:bCs/>
          <w:i/>
          <w:lang w:val="en-US"/>
        </w:rPr>
        <w:t>MET</w:t>
      </w:r>
      <w:r>
        <w:rPr>
          <w:bCs/>
          <w:iCs/>
          <w:lang w:val="en-US"/>
        </w:rPr>
        <w:t xml:space="preserve">ex14 skipping alterations, the </w:t>
      </w:r>
      <w:r w:rsidRPr="0013417F">
        <w:rPr>
          <w:bCs/>
          <w:i/>
          <w:lang w:val="en-US"/>
        </w:rPr>
        <w:t>MET</w:t>
      </w:r>
      <w:r>
        <w:rPr>
          <w:bCs/>
          <w:iCs/>
          <w:lang w:val="en-US"/>
        </w:rPr>
        <w:t xml:space="preserve">ex14 skipping status </w:t>
      </w:r>
      <w:r w:rsidR="00224F58">
        <w:rPr>
          <w:bCs/>
          <w:iCs/>
          <w:lang w:val="en-US"/>
        </w:rPr>
        <w:t>should be</w:t>
      </w:r>
      <w:r>
        <w:rPr>
          <w:bCs/>
          <w:iCs/>
          <w:lang w:val="en-US"/>
        </w:rPr>
        <w:t xml:space="preserve"> </w:t>
      </w:r>
      <w:r w:rsidR="00224F58">
        <w:rPr>
          <w:bCs/>
          <w:iCs/>
          <w:lang w:val="en-US"/>
        </w:rPr>
        <w:t>established</w:t>
      </w:r>
      <w:r>
        <w:rPr>
          <w:bCs/>
          <w:iCs/>
          <w:lang w:val="en-US"/>
        </w:rPr>
        <w:t xml:space="preserve"> prior to initiation of </w:t>
      </w:r>
      <w:r w:rsidR="00983D26">
        <w:rPr>
          <w:bCs/>
          <w:iCs/>
          <w:lang w:val="en-US"/>
        </w:rPr>
        <w:t xml:space="preserve">TEPMETKO </w:t>
      </w:r>
      <w:r>
        <w:rPr>
          <w:bCs/>
          <w:iCs/>
          <w:lang w:val="en-US"/>
        </w:rPr>
        <w:t>t</w:t>
      </w:r>
      <w:r w:rsidR="00983D26">
        <w:rPr>
          <w:bCs/>
          <w:iCs/>
          <w:lang w:val="en-US"/>
        </w:rPr>
        <w:t>herapy</w:t>
      </w:r>
      <w:r>
        <w:rPr>
          <w:bCs/>
          <w:iCs/>
          <w:lang w:val="en-US"/>
        </w:rPr>
        <w:t xml:space="preserve">. </w:t>
      </w:r>
      <w:r w:rsidR="00774AE8" w:rsidRPr="005522B6">
        <w:rPr>
          <w:bCs/>
          <w:i/>
          <w:lang w:val="en-US"/>
        </w:rPr>
        <w:t>MET</w:t>
      </w:r>
      <w:r w:rsidR="00774AE8">
        <w:rPr>
          <w:bCs/>
          <w:iCs/>
          <w:lang w:val="en-US"/>
        </w:rPr>
        <w:t>ex14 skipping</w:t>
      </w:r>
      <w:r w:rsidR="00774AE8" w:rsidRPr="00774AE8">
        <w:rPr>
          <w:bCs/>
          <w:iCs/>
          <w:lang w:val="en-US"/>
        </w:rPr>
        <w:t xml:space="preserve"> status in tumour or plasma specimens should be determined using a validated </w:t>
      </w:r>
      <w:r w:rsidR="00774AE8">
        <w:rPr>
          <w:bCs/>
          <w:iCs/>
          <w:lang w:val="en-US"/>
        </w:rPr>
        <w:t xml:space="preserve">or approved </w:t>
      </w:r>
      <w:r w:rsidR="00506D08">
        <w:rPr>
          <w:bCs/>
          <w:iCs/>
          <w:lang w:val="en-US"/>
        </w:rPr>
        <w:t>test</w:t>
      </w:r>
      <w:r w:rsidR="00774AE8" w:rsidRPr="00774AE8">
        <w:rPr>
          <w:bCs/>
          <w:iCs/>
          <w:lang w:val="en-US"/>
        </w:rPr>
        <w:t>.</w:t>
      </w:r>
      <w:r w:rsidR="00774AE8">
        <w:rPr>
          <w:bCs/>
          <w:iCs/>
          <w:lang w:val="en-US"/>
        </w:rPr>
        <w:t xml:space="preserve"> </w:t>
      </w:r>
      <w:r>
        <w:rPr>
          <w:bCs/>
          <w:iCs/>
          <w:lang w:val="en-US"/>
        </w:rPr>
        <w:t xml:space="preserve">Only robust, reliable and sensitive tests for the determination of </w:t>
      </w:r>
      <w:r w:rsidRPr="0013417F">
        <w:rPr>
          <w:bCs/>
          <w:i/>
          <w:lang w:val="en-US"/>
        </w:rPr>
        <w:t>MET</w:t>
      </w:r>
      <w:r>
        <w:rPr>
          <w:bCs/>
          <w:iCs/>
          <w:lang w:val="en-US"/>
        </w:rPr>
        <w:t xml:space="preserve">ex4 skipping status should be used. </w:t>
      </w:r>
    </w:p>
    <w:p w14:paraId="7CC408AA" w14:textId="77777777" w:rsidR="00357088" w:rsidRDefault="00357088" w:rsidP="00C31AB2">
      <w:pPr>
        <w:rPr>
          <w:b/>
          <w:iCs/>
          <w:lang w:val="en-US"/>
        </w:rPr>
      </w:pPr>
    </w:p>
    <w:p w14:paraId="53226C80" w14:textId="77777777" w:rsidR="00357088" w:rsidRDefault="00357088" w:rsidP="00C31AB2">
      <w:pPr>
        <w:rPr>
          <w:b/>
          <w:iCs/>
          <w:lang w:val="en-US"/>
        </w:rPr>
      </w:pPr>
    </w:p>
    <w:p w14:paraId="6607CE8B" w14:textId="078D4F28" w:rsidR="0013417F" w:rsidRPr="00983D26" w:rsidRDefault="00385E57" w:rsidP="00C31AB2">
      <w:pPr>
        <w:rPr>
          <w:b/>
          <w:iCs/>
          <w:lang w:val="en-US"/>
        </w:rPr>
      </w:pPr>
      <w:r w:rsidRPr="00983D26">
        <w:rPr>
          <w:b/>
          <w:iCs/>
          <w:lang w:val="en-US"/>
        </w:rPr>
        <w:t>Dosage and Method of Administration</w:t>
      </w:r>
    </w:p>
    <w:p w14:paraId="6607CE8C" w14:textId="77777777" w:rsidR="00CD1592" w:rsidRPr="00CD1592" w:rsidRDefault="00385E57" w:rsidP="00C31AB2">
      <w:pPr>
        <w:rPr>
          <w:b/>
          <w:iCs/>
          <w:lang w:val="en-US"/>
        </w:rPr>
      </w:pPr>
      <w:bookmarkStart w:id="2" w:name="_Hlk46417650"/>
      <w:r w:rsidRPr="00CD1592">
        <w:rPr>
          <w:b/>
          <w:iCs/>
          <w:lang w:val="en-US"/>
        </w:rPr>
        <w:t>Recommended Dose</w:t>
      </w:r>
    </w:p>
    <w:p w14:paraId="6607CE8D" w14:textId="77777777" w:rsidR="00983D26" w:rsidRDefault="00385E57" w:rsidP="00C31AB2">
      <w:pPr>
        <w:rPr>
          <w:bCs/>
          <w:iCs/>
          <w:lang w:val="en-US"/>
        </w:rPr>
      </w:pPr>
      <w:r>
        <w:rPr>
          <w:bCs/>
          <w:iCs/>
          <w:lang w:val="en-US"/>
        </w:rPr>
        <w:t xml:space="preserve">The recommended dose </w:t>
      </w:r>
      <w:r w:rsidR="00BA36CF">
        <w:rPr>
          <w:bCs/>
          <w:iCs/>
          <w:lang w:val="en-US"/>
        </w:rPr>
        <w:t>of TEPMETKO</w:t>
      </w:r>
      <w:r>
        <w:rPr>
          <w:bCs/>
          <w:iCs/>
          <w:lang w:val="en-US"/>
        </w:rPr>
        <w:t xml:space="preserve"> is </w:t>
      </w:r>
      <w:r w:rsidR="006F67CC">
        <w:rPr>
          <w:bCs/>
          <w:iCs/>
          <w:lang w:val="en-US"/>
        </w:rPr>
        <w:t>45</w:t>
      </w:r>
      <w:r>
        <w:rPr>
          <w:bCs/>
          <w:iCs/>
          <w:lang w:val="en-US"/>
        </w:rPr>
        <w:t xml:space="preserve">0 mg </w:t>
      </w:r>
      <w:r w:rsidR="000E6073">
        <w:rPr>
          <w:bCs/>
          <w:iCs/>
          <w:lang w:val="en-US"/>
        </w:rPr>
        <w:t xml:space="preserve">(two 225 mg tablets) </w:t>
      </w:r>
      <w:r w:rsidR="00224F58">
        <w:rPr>
          <w:bCs/>
          <w:iCs/>
          <w:lang w:val="en-US"/>
        </w:rPr>
        <w:t>orally once daily with foo</w:t>
      </w:r>
      <w:r w:rsidR="00BA36CF">
        <w:rPr>
          <w:bCs/>
          <w:iCs/>
          <w:lang w:val="en-US"/>
        </w:rPr>
        <w:t>d</w:t>
      </w:r>
      <w:r w:rsidR="00224F58">
        <w:rPr>
          <w:bCs/>
          <w:iCs/>
          <w:lang w:val="en-US"/>
        </w:rPr>
        <w:t xml:space="preserve">. Treatment should continue as long as clinical benefit is observed. </w:t>
      </w:r>
    </w:p>
    <w:bookmarkEnd w:id="2"/>
    <w:p w14:paraId="6607CE8E" w14:textId="77777777" w:rsidR="00B4797B" w:rsidRPr="00B4797B" w:rsidRDefault="00385E57" w:rsidP="00C31AB2">
      <w:pPr>
        <w:rPr>
          <w:b/>
          <w:iCs/>
          <w:lang w:val="en-US"/>
        </w:rPr>
      </w:pPr>
      <w:r w:rsidRPr="00B4797B">
        <w:rPr>
          <w:b/>
          <w:iCs/>
          <w:lang w:val="en-US"/>
        </w:rPr>
        <w:t>Missed Dose</w:t>
      </w:r>
    </w:p>
    <w:p w14:paraId="6607CE8F" w14:textId="77777777" w:rsidR="00BA36CF" w:rsidRDefault="00385E57" w:rsidP="00C31AB2">
      <w:pPr>
        <w:rPr>
          <w:bCs/>
          <w:iCs/>
          <w:lang w:val="en-US"/>
        </w:rPr>
      </w:pPr>
      <w:r>
        <w:rPr>
          <w:bCs/>
          <w:iCs/>
          <w:lang w:val="en-US"/>
        </w:rPr>
        <w:t xml:space="preserve">If a </w:t>
      </w:r>
      <w:r w:rsidR="009B3B80">
        <w:rPr>
          <w:bCs/>
          <w:iCs/>
          <w:lang w:val="en-US"/>
        </w:rPr>
        <w:t>daily dose is missed</w:t>
      </w:r>
      <w:r>
        <w:rPr>
          <w:bCs/>
          <w:iCs/>
          <w:lang w:val="en-US"/>
        </w:rPr>
        <w:t xml:space="preserve">, it can be taken as soon </w:t>
      </w:r>
      <w:r w:rsidR="009B3B80">
        <w:rPr>
          <w:bCs/>
          <w:iCs/>
          <w:lang w:val="en-US"/>
        </w:rPr>
        <w:t xml:space="preserve">as remembered </w:t>
      </w:r>
      <w:r>
        <w:rPr>
          <w:bCs/>
          <w:iCs/>
          <w:lang w:val="en-US"/>
        </w:rPr>
        <w:t xml:space="preserve">on the same day, unless the next dose is due within 8 hours. </w:t>
      </w:r>
      <w:r w:rsidR="00B4797B">
        <w:rPr>
          <w:bCs/>
          <w:iCs/>
          <w:lang w:val="en-US"/>
        </w:rPr>
        <w:t xml:space="preserve"> </w:t>
      </w:r>
    </w:p>
    <w:p w14:paraId="6607CE90" w14:textId="77777777" w:rsidR="00B4797B" w:rsidRPr="00B4797B" w:rsidRDefault="00385E57" w:rsidP="00C31AB2">
      <w:pPr>
        <w:rPr>
          <w:b/>
          <w:iCs/>
          <w:lang w:val="en-US"/>
        </w:rPr>
      </w:pPr>
      <w:r w:rsidRPr="00B4797B">
        <w:rPr>
          <w:b/>
          <w:iCs/>
          <w:lang w:val="en-US"/>
        </w:rPr>
        <w:t>Dos</w:t>
      </w:r>
      <w:r w:rsidR="00CD1592">
        <w:rPr>
          <w:b/>
          <w:iCs/>
          <w:lang w:val="en-US"/>
        </w:rPr>
        <w:t>e</w:t>
      </w:r>
      <w:r w:rsidRPr="00B4797B">
        <w:rPr>
          <w:b/>
          <w:iCs/>
          <w:lang w:val="en-US"/>
        </w:rPr>
        <w:t xml:space="preserve"> Adjustment</w:t>
      </w:r>
    </w:p>
    <w:p w14:paraId="6607CE91" w14:textId="77777777" w:rsidR="00452CE2" w:rsidRDefault="00385E57" w:rsidP="00C31AB2">
      <w:pPr>
        <w:rPr>
          <w:bCs/>
          <w:iCs/>
          <w:lang w:val="en-US"/>
        </w:rPr>
      </w:pPr>
      <w:bookmarkStart w:id="3" w:name="_Hlk46417681"/>
      <w:r>
        <w:rPr>
          <w:bCs/>
          <w:iCs/>
          <w:lang w:val="en-US"/>
        </w:rPr>
        <w:t>Dose adjustment may be required based on individual safety and tolerability. If dose adjustment is necessary, then the recommended dose reduction of TEPMETKO is 2</w:t>
      </w:r>
      <w:r w:rsidR="00A51885">
        <w:rPr>
          <w:bCs/>
          <w:iCs/>
          <w:lang w:val="en-US"/>
        </w:rPr>
        <w:t>25</w:t>
      </w:r>
      <w:r>
        <w:rPr>
          <w:bCs/>
          <w:iCs/>
          <w:lang w:val="en-US"/>
        </w:rPr>
        <w:t xml:space="preserve"> mg</w:t>
      </w:r>
      <w:r w:rsidR="00A51885">
        <w:rPr>
          <w:bCs/>
          <w:iCs/>
          <w:lang w:val="en-US"/>
        </w:rPr>
        <w:t xml:space="preserve"> (one tablet)</w:t>
      </w:r>
      <w:r>
        <w:rPr>
          <w:bCs/>
          <w:iCs/>
          <w:lang w:val="en-US"/>
        </w:rPr>
        <w:t xml:space="preserve"> orally once daily with food. </w:t>
      </w:r>
    </w:p>
    <w:p w14:paraId="6607CE92" w14:textId="77777777" w:rsidR="00452CE2" w:rsidRDefault="00385E57" w:rsidP="00C31AB2">
      <w:pPr>
        <w:rPr>
          <w:bCs/>
          <w:iCs/>
          <w:lang w:val="en-US"/>
        </w:rPr>
      </w:pPr>
      <w:r>
        <w:rPr>
          <w:bCs/>
          <w:iCs/>
          <w:lang w:val="en-US"/>
        </w:rPr>
        <w:t xml:space="preserve">Treatment </w:t>
      </w:r>
      <w:r w:rsidR="00F85CB4">
        <w:rPr>
          <w:bCs/>
          <w:iCs/>
          <w:lang w:val="en-US"/>
        </w:rPr>
        <w:t xml:space="preserve">modification </w:t>
      </w:r>
      <w:r w:rsidR="009555AD">
        <w:rPr>
          <w:bCs/>
          <w:iCs/>
          <w:lang w:val="en-US"/>
        </w:rPr>
        <w:t xml:space="preserve">guidelines for the management of adverse reactions are provided </w:t>
      </w:r>
      <w:r w:rsidR="007F63C5">
        <w:rPr>
          <w:bCs/>
          <w:iCs/>
          <w:lang w:val="en-US"/>
        </w:rPr>
        <w:t>hereafter</w:t>
      </w:r>
      <w:r w:rsidR="009555AD">
        <w:rPr>
          <w:bCs/>
          <w:iCs/>
          <w:lang w:val="en-US"/>
        </w:rPr>
        <w:t xml:space="preserve">: </w:t>
      </w:r>
    </w:p>
    <w:p w14:paraId="6607CE93" w14:textId="77777777" w:rsidR="00F85CB4" w:rsidRPr="000415CB" w:rsidRDefault="00385E57" w:rsidP="000415CB">
      <w:pPr>
        <w:ind w:left="851" w:hanging="851"/>
        <w:rPr>
          <w:b/>
          <w:iCs/>
          <w:lang w:val="en-US"/>
        </w:rPr>
      </w:pPr>
      <w:r w:rsidRPr="000415CB">
        <w:rPr>
          <w:b/>
          <w:iCs/>
          <w:lang w:val="en-US"/>
        </w:rPr>
        <w:t>Table 1</w:t>
      </w:r>
      <w:r w:rsidR="007E09A9">
        <w:rPr>
          <w:b/>
          <w:iCs/>
          <w:lang w:val="en-US"/>
        </w:rPr>
        <w:t>:</w:t>
      </w:r>
      <w:r w:rsidRPr="000415CB">
        <w:rPr>
          <w:b/>
          <w:iCs/>
          <w:lang w:val="en-US"/>
        </w:rPr>
        <w:t xml:space="preserve"> Recommended </w:t>
      </w:r>
      <w:r w:rsidR="007E09A9">
        <w:rPr>
          <w:b/>
          <w:iCs/>
          <w:lang w:val="en-US"/>
        </w:rPr>
        <w:t>Treatment</w:t>
      </w:r>
      <w:r w:rsidRPr="000415CB">
        <w:rPr>
          <w:b/>
          <w:iCs/>
          <w:lang w:val="en-US"/>
        </w:rPr>
        <w:t xml:space="preserve"> Modifications </w:t>
      </w:r>
      <w:r w:rsidR="007E09A9">
        <w:rPr>
          <w:b/>
          <w:iCs/>
          <w:lang w:val="en-US"/>
        </w:rPr>
        <w:t xml:space="preserve">of TEPMETKO </w:t>
      </w:r>
      <w:r w:rsidRPr="000415CB">
        <w:rPr>
          <w:b/>
          <w:iCs/>
          <w:lang w:val="en-US"/>
        </w:rPr>
        <w:t xml:space="preserve">for </w:t>
      </w:r>
      <w:r w:rsidR="007E09A9">
        <w:rPr>
          <w:b/>
          <w:iCs/>
          <w:lang w:val="en-US"/>
        </w:rPr>
        <w:t xml:space="preserve">the Management of </w:t>
      </w:r>
      <w:r w:rsidRPr="000415CB">
        <w:rPr>
          <w:b/>
          <w:iCs/>
          <w:lang w:val="en-US"/>
        </w:rPr>
        <w:t>Adverse Reactions</w:t>
      </w:r>
    </w:p>
    <w:tbl>
      <w:tblPr>
        <w:tblStyle w:val="TableGrid"/>
        <w:tblW w:w="0" w:type="auto"/>
        <w:tblLook w:val="04A0" w:firstRow="1" w:lastRow="0" w:firstColumn="1" w:lastColumn="0" w:noHBand="0" w:noVBand="1"/>
      </w:tblPr>
      <w:tblGrid>
        <w:gridCol w:w="3005"/>
        <w:gridCol w:w="3005"/>
        <w:gridCol w:w="3006"/>
      </w:tblGrid>
      <w:tr w:rsidR="009A289F" w14:paraId="6607CE97" w14:textId="77777777" w:rsidTr="00F85CB4">
        <w:tc>
          <w:tcPr>
            <w:tcW w:w="3005" w:type="dxa"/>
          </w:tcPr>
          <w:bookmarkEnd w:id="3"/>
          <w:p w14:paraId="6607CE94" w14:textId="77777777" w:rsidR="00F85CB4" w:rsidRPr="000415CB" w:rsidRDefault="00385E57" w:rsidP="00C31AB2">
            <w:pPr>
              <w:rPr>
                <w:b/>
                <w:iCs/>
                <w:lang w:val="en-US"/>
              </w:rPr>
            </w:pPr>
            <w:r w:rsidRPr="000415CB">
              <w:rPr>
                <w:b/>
                <w:iCs/>
                <w:lang w:val="en-US"/>
              </w:rPr>
              <w:t>Adverse Reaction</w:t>
            </w:r>
          </w:p>
        </w:tc>
        <w:tc>
          <w:tcPr>
            <w:tcW w:w="3005" w:type="dxa"/>
          </w:tcPr>
          <w:p w14:paraId="6607CE95" w14:textId="77777777" w:rsidR="00F85CB4" w:rsidRPr="000415CB" w:rsidRDefault="00385E57" w:rsidP="00C31AB2">
            <w:pPr>
              <w:rPr>
                <w:b/>
                <w:iCs/>
                <w:lang w:val="en-US"/>
              </w:rPr>
            </w:pPr>
            <w:r w:rsidRPr="000415CB">
              <w:rPr>
                <w:b/>
                <w:iCs/>
                <w:lang w:val="en-US"/>
              </w:rPr>
              <w:t>Severity</w:t>
            </w:r>
          </w:p>
        </w:tc>
        <w:tc>
          <w:tcPr>
            <w:tcW w:w="3006" w:type="dxa"/>
          </w:tcPr>
          <w:p w14:paraId="6607CE96" w14:textId="77777777" w:rsidR="00F85CB4" w:rsidRPr="000415CB" w:rsidRDefault="00385E57" w:rsidP="00C31AB2">
            <w:pPr>
              <w:rPr>
                <w:b/>
                <w:iCs/>
                <w:lang w:val="en-US"/>
              </w:rPr>
            </w:pPr>
            <w:r>
              <w:rPr>
                <w:b/>
                <w:iCs/>
                <w:lang w:val="en-US"/>
              </w:rPr>
              <w:t>Treatment</w:t>
            </w:r>
            <w:r w:rsidR="009555AD" w:rsidRPr="000415CB">
              <w:rPr>
                <w:b/>
                <w:iCs/>
                <w:lang w:val="en-US"/>
              </w:rPr>
              <w:t xml:space="preserve"> Modification</w:t>
            </w:r>
          </w:p>
        </w:tc>
      </w:tr>
      <w:tr w:rsidR="009A289F" w14:paraId="6607CE9D" w14:textId="77777777" w:rsidTr="00F85CB4">
        <w:tc>
          <w:tcPr>
            <w:tcW w:w="3005" w:type="dxa"/>
          </w:tcPr>
          <w:p w14:paraId="6607CE98" w14:textId="77777777" w:rsidR="00F85CB4" w:rsidRDefault="00385E57" w:rsidP="00C31AB2">
            <w:pPr>
              <w:rPr>
                <w:bCs/>
                <w:iCs/>
                <w:lang w:val="en-US"/>
              </w:rPr>
            </w:pPr>
            <w:r>
              <w:rPr>
                <w:bCs/>
                <w:iCs/>
                <w:lang w:val="en-US"/>
              </w:rPr>
              <w:t>Interstitial Lung Disease (ILD)</w:t>
            </w:r>
            <w:r w:rsidR="000D0924">
              <w:rPr>
                <w:bCs/>
                <w:iCs/>
                <w:lang w:val="en-US"/>
              </w:rPr>
              <w:t xml:space="preserve"> (see Section 4.4 Special Warnings and Precautions for Use – Interstitial Lung Disease)</w:t>
            </w:r>
          </w:p>
        </w:tc>
        <w:tc>
          <w:tcPr>
            <w:tcW w:w="3005" w:type="dxa"/>
          </w:tcPr>
          <w:p w14:paraId="6607CE99" w14:textId="77777777" w:rsidR="00F85CB4" w:rsidRDefault="00385E57" w:rsidP="00C31AB2">
            <w:pPr>
              <w:rPr>
                <w:bCs/>
                <w:iCs/>
                <w:lang w:val="en-US"/>
              </w:rPr>
            </w:pPr>
            <w:r>
              <w:rPr>
                <w:bCs/>
                <w:iCs/>
                <w:lang w:val="en-US"/>
              </w:rPr>
              <w:t>Any grade</w:t>
            </w:r>
          </w:p>
        </w:tc>
        <w:tc>
          <w:tcPr>
            <w:tcW w:w="3006" w:type="dxa"/>
          </w:tcPr>
          <w:p w14:paraId="6607CE9A" w14:textId="77777777" w:rsidR="00F85CB4" w:rsidRDefault="00385E57" w:rsidP="00C31AB2">
            <w:pPr>
              <w:rPr>
                <w:bCs/>
                <w:iCs/>
                <w:lang w:val="en-US"/>
              </w:rPr>
            </w:pPr>
            <w:r>
              <w:rPr>
                <w:bCs/>
                <w:iCs/>
                <w:lang w:val="en-US"/>
              </w:rPr>
              <w:t xml:space="preserve">Withhold TEPMETKO if ILD is suspected. </w:t>
            </w:r>
          </w:p>
          <w:p w14:paraId="6607CE9B" w14:textId="77777777" w:rsidR="00F85CB4" w:rsidRDefault="00F85CB4" w:rsidP="00C31AB2">
            <w:pPr>
              <w:rPr>
                <w:bCs/>
                <w:iCs/>
                <w:lang w:val="en-US"/>
              </w:rPr>
            </w:pPr>
          </w:p>
          <w:p w14:paraId="6607CE9C" w14:textId="77777777" w:rsidR="00F85CB4" w:rsidRDefault="00385E57" w:rsidP="00C31AB2">
            <w:pPr>
              <w:rPr>
                <w:bCs/>
                <w:iCs/>
                <w:lang w:val="en-US"/>
              </w:rPr>
            </w:pPr>
            <w:r>
              <w:rPr>
                <w:bCs/>
                <w:iCs/>
                <w:lang w:val="en-US"/>
              </w:rPr>
              <w:t xml:space="preserve">Permanently discontinue TEPMETKO if ILD is confirmed. </w:t>
            </w:r>
          </w:p>
        </w:tc>
      </w:tr>
      <w:tr w:rsidR="009A289F" w14:paraId="6607CEA4" w14:textId="77777777" w:rsidTr="00F85CB4">
        <w:tc>
          <w:tcPr>
            <w:tcW w:w="3005" w:type="dxa"/>
            <w:vMerge w:val="restart"/>
          </w:tcPr>
          <w:p w14:paraId="6607CE9E" w14:textId="77777777" w:rsidR="004A0CEF" w:rsidRDefault="00385E57" w:rsidP="00C31AB2">
            <w:pPr>
              <w:rPr>
                <w:bCs/>
                <w:iCs/>
                <w:lang w:val="en-US"/>
              </w:rPr>
            </w:pPr>
            <w:r>
              <w:rPr>
                <w:bCs/>
                <w:iCs/>
                <w:lang w:val="en-US"/>
              </w:rPr>
              <w:t>Increased ALT and/or AST without increased total bilirubin</w:t>
            </w:r>
            <w:r w:rsidR="000D0924">
              <w:rPr>
                <w:bCs/>
                <w:iCs/>
                <w:lang w:val="en-US"/>
              </w:rPr>
              <w:t xml:space="preserve"> (see Section 4.4 Special Warnings and Precautions for Use – Monitoring of Liver Function)</w:t>
            </w:r>
          </w:p>
          <w:p w14:paraId="6607CE9F" w14:textId="77777777" w:rsidR="004A0CEF" w:rsidRDefault="004A0CEF" w:rsidP="00C31AB2">
            <w:pPr>
              <w:rPr>
                <w:bCs/>
                <w:iCs/>
                <w:lang w:val="en-US"/>
              </w:rPr>
            </w:pPr>
          </w:p>
        </w:tc>
        <w:tc>
          <w:tcPr>
            <w:tcW w:w="3005" w:type="dxa"/>
          </w:tcPr>
          <w:p w14:paraId="6607CEA0" w14:textId="77777777" w:rsidR="004A0CEF" w:rsidRDefault="00385E57" w:rsidP="00C31AB2">
            <w:pPr>
              <w:rPr>
                <w:bCs/>
                <w:iCs/>
                <w:lang w:val="en-US"/>
              </w:rPr>
            </w:pPr>
            <w:r>
              <w:rPr>
                <w:bCs/>
                <w:iCs/>
                <w:lang w:val="en-US"/>
              </w:rPr>
              <w:t>Grade 3</w:t>
            </w:r>
          </w:p>
        </w:tc>
        <w:tc>
          <w:tcPr>
            <w:tcW w:w="3006" w:type="dxa"/>
          </w:tcPr>
          <w:p w14:paraId="6607CEA1" w14:textId="77777777" w:rsidR="004A0CEF" w:rsidRDefault="00385E57" w:rsidP="00C31AB2">
            <w:pPr>
              <w:rPr>
                <w:bCs/>
                <w:iCs/>
                <w:lang w:val="en-US"/>
              </w:rPr>
            </w:pPr>
            <w:r>
              <w:rPr>
                <w:bCs/>
                <w:iCs/>
                <w:lang w:val="en-US"/>
              </w:rPr>
              <w:t xml:space="preserve">Withhold TEPMETKO until recovery to baseline ALT/AST. </w:t>
            </w:r>
          </w:p>
          <w:p w14:paraId="6607CEA2" w14:textId="77777777" w:rsidR="004A0CEF" w:rsidRDefault="004A0CEF" w:rsidP="00C31AB2">
            <w:pPr>
              <w:rPr>
                <w:bCs/>
                <w:iCs/>
                <w:lang w:val="en-US"/>
              </w:rPr>
            </w:pPr>
          </w:p>
          <w:p w14:paraId="6607CEA3" w14:textId="77777777" w:rsidR="004A0CEF" w:rsidRDefault="00385E57" w:rsidP="00C31AB2">
            <w:pPr>
              <w:rPr>
                <w:bCs/>
                <w:iCs/>
                <w:lang w:val="en-US"/>
              </w:rPr>
            </w:pPr>
            <w:r>
              <w:rPr>
                <w:bCs/>
                <w:iCs/>
                <w:lang w:val="en-US"/>
              </w:rPr>
              <w:t xml:space="preserve">If recovered to baseline within 7 days, then resume TEPMETKO at the same dose; otherwise resume TEPMETKO at a reduced dose. </w:t>
            </w:r>
          </w:p>
        </w:tc>
      </w:tr>
      <w:tr w:rsidR="009A289F" w14:paraId="6607CEA8" w14:textId="77777777" w:rsidTr="00F85CB4">
        <w:tc>
          <w:tcPr>
            <w:tcW w:w="3005" w:type="dxa"/>
            <w:vMerge/>
          </w:tcPr>
          <w:p w14:paraId="6607CEA5" w14:textId="77777777" w:rsidR="004A0CEF" w:rsidRDefault="004A0CEF" w:rsidP="00C31AB2">
            <w:pPr>
              <w:rPr>
                <w:bCs/>
                <w:iCs/>
                <w:lang w:val="en-US"/>
              </w:rPr>
            </w:pPr>
          </w:p>
        </w:tc>
        <w:tc>
          <w:tcPr>
            <w:tcW w:w="3005" w:type="dxa"/>
          </w:tcPr>
          <w:p w14:paraId="6607CEA6" w14:textId="77777777" w:rsidR="004A0CEF" w:rsidRDefault="00385E57" w:rsidP="00C31AB2">
            <w:pPr>
              <w:rPr>
                <w:bCs/>
                <w:iCs/>
                <w:lang w:val="en-US"/>
              </w:rPr>
            </w:pPr>
            <w:r>
              <w:rPr>
                <w:bCs/>
                <w:iCs/>
                <w:lang w:val="en-US"/>
              </w:rPr>
              <w:t>Grade 4</w:t>
            </w:r>
          </w:p>
        </w:tc>
        <w:tc>
          <w:tcPr>
            <w:tcW w:w="3006" w:type="dxa"/>
          </w:tcPr>
          <w:p w14:paraId="6607CEA7" w14:textId="77777777" w:rsidR="004A0CEF" w:rsidRDefault="00385E57" w:rsidP="00C31AB2">
            <w:pPr>
              <w:rPr>
                <w:bCs/>
                <w:iCs/>
                <w:lang w:val="en-US"/>
              </w:rPr>
            </w:pPr>
            <w:r>
              <w:rPr>
                <w:bCs/>
                <w:iCs/>
                <w:lang w:val="en-US"/>
              </w:rPr>
              <w:t xml:space="preserve">Permanently discontinue TEPMETKO. </w:t>
            </w:r>
          </w:p>
        </w:tc>
      </w:tr>
      <w:tr w:rsidR="009A289F" w14:paraId="6607CEAC" w14:textId="77777777" w:rsidTr="00F85CB4">
        <w:tc>
          <w:tcPr>
            <w:tcW w:w="3005" w:type="dxa"/>
          </w:tcPr>
          <w:p w14:paraId="6607CEA9" w14:textId="36312EF1" w:rsidR="00F85CB4" w:rsidRDefault="00385E57" w:rsidP="00C31AB2">
            <w:pPr>
              <w:rPr>
                <w:bCs/>
                <w:iCs/>
                <w:lang w:val="en-US"/>
              </w:rPr>
            </w:pPr>
            <w:r>
              <w:rPr>
                <w:bCs/>
                <w:iCs/>
                <w:lang w:val="en-US"/>
              </w:rPr>
              <w:t xml:space="preserve">Increased ALT and/or AST with increased total bilirubin in the absence of cholestasis or hemolysis </w:t>
            </w:r>
            <w:r w:rsidR="000D0924">
              <w:rPr>
                <w:bCs/>
                <w:iCs/>
                <w:lang w:val="en-US"/>
              </w:rPr>
              <w:t xml:space="preserve">(see Section 4.4 Special Warnings and </w:t>
            </w:r>
            <w:r w:rsidR="00CD410B">
              <w:rPr>
                <w:bCs/>
                <w:iCs/>
                <w:lang w:val="en-US"/>
              </w:rPr>
              <w:t>P</w:t>
            </w:r>
            <w:r w:rsidR="000D0924">
              <w:rPr>
                <w:bCs/>
                <w:iCs/>
                <w:lang w:val="en-US"/>
              </w:rPr>
              <w:t xml:space="preserve">recautions for Use – </w:t>
            </w:r>
            <w:r w:rsidR="000D0924">
              <w:rPr>
                <w:bCs/>
                <w:iCs/>
                <w:lang w:val="en-US"/>
              </w:rPr>
              <w:lastRenderedPageBreak/>
              <w:t>Monitoring of Liver Function)</w:t>
            </w:r>
          </w:p>
        </w:tc>
        <w:tc>
          <w:tcPr>
            <w:tcW w:w="3005" w:type="dxa"/>
          </w:tcPr>
          <w:p w14:paraId="6607CEAA" w14:textId="77777777" w:rsidR="00F85CB4" w:rsidRDefault="00385E57" w:rsidP="00C31AB2">
            <w:pPr>
              <w:rPr>
                <w:bCs/>
                <w:iCs/>
                <w:lang w:val="en-US"/>
              </w:rPr>
            </w:pPr>
            <w:r>
              <w:rPr>
                <w:bCs/>
                <w:iCs/>
                <w:lang w:val="en-US"/>
              </w:rPr>
              <w:lastRenderedPageBreak/>
              <w:t>ALT and/or AST greater than 3 times ULN with total bilirubin greater than 2 times ULN</w:t>
            </w:r>
          </w:p>
        </w:tc>
        <w:tc>
          <w:tcPr>
            <w:tcW w:w="3006" w:type="dxa"/>
          </w:tcPr>
          <w:p w14:paraId="6607CEAB" w14:textId="77777777" w:rsidR="00F85CB4" w:rsidRDefault="00385E57" w:rsidP="00C31AB2">
            <w:pPr>
              <w:rPr>
                <w:bCs/>
                <w:iCs/>
                <w:lang w:val="en-US"/>
              </w:rPr>
            </w:pPr>
            <w:r>
              <w:rPr>
                <w:bCs/>
                <w:iCs/>
                <w:lang w:val="en-US"/>
              </w:rPr>
              <w:t xml:space="preserve">Permanently discontinue TEPMETKO. </w:t>
            </w:r>
          </w:p>
        </w:tc>
      </w:tr>
      <w:tr w:rsidR="008C3977" w14:paraId="07728235" w14:textId="77777777" w:rsidTr="00F85CB4">
        <w:tc>
          <w:tcPr>
            <w:tcW w:w="3005" w:type="dxa"/>
            <w:vMerge w:val="restart"/>
          </w:tcPr>
          <w:p w14:paraId="714A25FF" w14:textId="3F3B3308" w:rsidR="008C3977" w:rsidRDefault="008C3977" w:rsidP="00C31AB2">
            <w:pPr>
              <w:rPr>
                <w:bCs/>
                <w:iCs/>
                <w:lang w:val="en-US"/>
              </w:rPr>
            </w:pPr>
            <w:r>
              <w:rPr>
                <w:bCs/>
                <w:iCs/>
                <w:lang w:val="en-US"/>
              </w:rPr>
              <w:t>Increased total bilirubin without concurrent increased ALT and/or AST (see Section 4.4 Special Warnings and Precautions for Use – Monitoring of Liver Function)</w:t>
            </w:r>
          </w:p>
        </w:tc>
        <w:tc>
          <w:tcPr>
            <w:tcW w:w="3005" w:type="dxa"/>
          </w:tcPr>
          <w:p w14:paraId="44A09DCC" w14:textId="1F5A90E5" w:rsidR="008C3977" w:rsidRDefault="008C3977" w:rsidP="00C31AB2">
            <w:pPr>
              <w:rPr>
                <w:bCs/>
                <w:iCs/>
                <w:lang w:val="en-US"/>
              </w:rPr>
            </w:pPr>
            <w:r>
              <w:rPr>
                <w:bCs/>
                <w:iCs/>
                <w:lang w:val="en-US"/>
              </w:rPr>
              <w:t>Grade 3</w:t>
            </w:r>
          </w:p>
        </w:tc>
        <w:tc>
          <w:tcPr>
            <w:tcW w:w="3006" w:type="dxa"/>
          </w:tcPr>
          <w:p w14:paraId="209B20F4" w14:textId="54DCB2A2" w:rsidR="008C3977" w:rsidRDefault="008C3977" w:rsidP="008C3977">
            <w:pPr>
              <w:rPr>
                <w:bCs/>
                <w:iCs/>
                <w:lang w:val="en-US"/>
              </w:rPr>
            </w:pPr>
            <w:r>
              <w:rPr>
                <w:bCs/>
                <w:iCs/>
                <w:lang w:val="en-US"/>
              </w:rPr>
              <w:t xml:space="preserve">Withhold TEPMETKO until recovery to baseline bilirubin. </w:t>
            </w:r>
          </w:p>
          <w:p w14:paraId="7A4BEAB5" w14:textId="77777777" w:rsidR="008C3977" w:rsidRDefault="008C3977" w:rsidP="008C3977">
            <w:pPr>
              <w:rPr>
                <w:bCs/>
                <w:iCs/>
                <w:lang w:val="en-US"/>
              </w:rPr>
            </w:pPr>
          </w:p>
          <w:p w14:paraId="60D2862E" w14:textId="44E7E90B" w:rsidR="008C3977" w:rsidRDefault="008C3977" w:rsidP="008C3977">
            <w:pPr>
              <w:rPr>
                <w:bCs/>
                <w:iCs/>
                <w:lang w:val="en-US"/>
              </w:rPr>
            </w:pPr>
            <w:r>
              <w:rPr>
                <w:bCs/>
                <w:iCs/>
                <w:lang w:val="en-US"/>
              </w:rPr>
              <w:t>If recovered to baseline within 7 days, then resume TEPMETKO at a reduced dose; otherwise permanently discontinue.</w:t>
            </w:r>
          </w:p>
        </w:tc>
      </w:tr>
      <w:tr w:rsidR="008C3977" w14:paraId="0C7A64B8" w14:textId="77777777" w:rsidTr="00F85CB4">
        <w:tc>
          <w:tcPr>
            <w:tcW w:w="3005" w:type="dxa"/>
            <w:vMerge/>
          </w:tcPr>
          <w:p w14:paraId="05FB0A7F" w14:textId="77777777" w:rsidR="008C3977" w:rsidRDefault="008C3977" w:rsidP="00C31AB2">
            <w:pPr>
              <w:rPr>
                <w:bCs/>
                <w:iCs/>
                <w:lang w:val="en-US"/>
              </w:rPr>
            </w:pPr>
          </w:p>
        </w:tc>
        <w:tc>
          <w:tcPr>
            <w:tcW w:w="3005" w:type="dxa"/>
          </w:tcPr>
          <w:p w14:paraId="0ACE5500" w14:textId="27C34A5E" w:rsidR="008C3977" w:rsidRDefault="008C3977" w:rsidP="00C31AB2">
            <w:pPr>
              <w:rPr>
                <w:bCs/>
                <w:iCs/>
                <w:lang w:val="en-US"/>
              </w:rPr>
            </w:pPr>
            <w:r>
              <w:rPr>
                <w:bCs/>
                <w:iCs/>
                <w:lang w:val="en-US"/>
              </w:rPr>
              <w:t>Grade 4</w:t>
            </w:r>
          </w:p>
        </w:tc>
        <w:tc>
          <w:tcPr>
            <w:tcW w:w="3006" w:type="dxa"/>
          </w:tcPr>
          <w:p w14:paraId="289F9095" w14:textId="49246E47" w:rsidR="008C3977" w:rsidRDefault="008C3977" w:rsidP="00C31AB2">
            <w:pPr>
              <w:rPr>
                <w:bCs/>
                <w:iCs/>
                <w:lang w:val="en-US"/>
              </w:rPr>
            </w:pPr>
            <w:r>
              <w:rPr>
                <w:bCs/>
                <w:iCs/>
                <w:lang w:val="en-US"/>
              </w:rPr>
              <w:t xml:space="preserve">Permanently discontinue TEPMETKO. </w:t>
            </w:r>
          </w:p>
        </w:tc>
      </w:tr>
      <w:tr w:rsidR="009A289F" w14:paraId="6607CEB0" w14:textId="77777777" w:rsidTr="00F85CB4">
        <w:tc>
          <w:tcPr>
            <w:tcW w:w="3005" w:type="dxa"/>
          </w:tcPr>
          <w:p w14:paraId="6607CEAD" w14:textId="77777777" w:rsidR="00F85CB4" w:rsidRDefault="00385E57" w:rsidP="00C31AB2">
            <w:pPr>
              <w:rPr>
                <w:bCs/>
                <w:iCs/>
                <w:lang w:val="en-US"/>
              </w:rPr>
            </w:pPr>
            <w:r>
              <w:rPr>
                <w:bCs/>
                <w:iCs/>
                <w:lang w:val="en-US"/>
              </w:rPr>
              <w:t>Other adverse reactions (see Section 4.8 Adverse Effects (Undesirable Effects))</w:t>
            </w:r>
          </w:p>
        </w:tc>
        <w:tc>
          <w:tcPr>
            <w:tcW w:w="3005" w:type="dxa"/>
          </w:tcPr>
          <w:p w14:paraId="6607CEAE" w14:textId="77777777" w:rsidR="00F85CB4" w:rsidRDefault="00385E57" w:rsidP="00C31AB2">
            <w:pPr>
              <w:rPr>
                <w:bCs/>
                <w:iCs/>
                <w:lang w:val="en-US"/>
              </w:rPr>
            </w:pPr>
            <w:r>
              <w:rPr>
                <w:bCs/>
                <w:iCs/>
                <w:lang w:val="en-US"/>
              </w:rPr>
              <w:t>Grade 3 or higher</w:t>
            </w:r>
          </w:p>
        </w:tc>
        <w:tc>
          <w:tcPr>
            <w:tcW w:w="3006" w:type="dxa"/>
          </w:tcPr>
          <w:p w14:paraId="6607CEAF" w14:textId="77777777" w:rsidR="00F85CB4" w:rsidRDefault="00385E57" w:rsidP="00C31AB2">
            <w:pPr>
              <w:rPr>
                <w:bCs/>
                <w:iCs/>
                <w:lang w:val="en-US"/>
              </w:rPr>
            </w:pPr>
            <w:r>
              <w:rPr>
                <w:bCs/>
                <w:iCs/>
                <w:lang w:val="en-US"/>
              </w:rPr>
              <w:t>Reduce TEPMETKO to 225 mg until the adverse reaction recovers to ≤ Grade 2. A temporary interruption of TEPMETKO treatment for no more than 21 days can also be considered</w:t>
            </w:r>
          </w:p>
        </w:tc>
      </w:tr>
    </w:tbl>
    <w:p w14:paraId="6607CEB1" w14:textId="77777777" w:rsidR="00F85CB4" w:rsidRDefault="00F85CB4" w:rsidP="00C31AB2">
      <w:pPr>
        <w:rPr>
          <w:bCs/>
          <w:iCs/>
          <w:lang w:val="en-US"/>
        </w:rPr>
      </w:pPr>
    </w:p>
    <w:p w14:paraId="6607CEB2" w14:textId="77777777" w:rsidR="007F63C5" w:rsidRPr="007F63C5" w:rsidRDefault="00385E57" w:rsidP="00C31AB2">
      <w:pPr>
        <w:rPr>
          <w:bCs/>
          <w:iCs/>
          <w:u w:val="single"/>
          <w:lang w:val="en-US"/>
        </w:rPr>
      </w:pPr>
      <w:r w:rsidRPr="007F63C5">
        <w:rPr>
          <w:bCs/>
          <w:iCs/>
          <w:u w:val="single"/>
          <w:lang w:val="en-US"/>
        </w:rPr>
        <w:t>Renal Impairment</w:t>
      </w:r>
    </w:p>
    <w:p w14:paraId="6607CEB3" w14:textId="77777777" w:rsidR="007F63C5" w:rsidRDefault="00385E57" w:rsidP="00C31AB2">
      <w:pPr>
        <w:rPr>
          <w:bCs/>
          <w:iCs/>
          <w:lang w:val="en-US"/>
        </w:rPr>
      </w:pPr>
      <w:r>
        <w:rPr>
          <w:bCs/>
          <w:iCs/>
          <w:lang w:val="en-US"/>
        </w:rPr>
        <w:t xml:space="preserve">No dose adjustment is recommended in patients with mild or moderate renal impairment (creatinine clearance 30 to 89 mL/min). The pharmacokinetics and safety of TEPMETKO in patients with severe renal impairment (creatinine clearance below 30 mL/min) have not been studied </w:t>
      </w:r>
      <w:r w:rsidRPr="007F63C5">
        <w:rPr>
          <w:bCs/>
          <w:iCs/>
          <w:lang w:val="en-US"/>
        </w:rPr>
        <w:t>(see Section 5</w:t>
      </w:r>
      <w:r w:rsidR="0064080F">
        <w:rPr>
          <w:bCs/>
          <w:iCs/>
          <w:lang w:val="en-US"/>
        </w:rPr>
        <w:t>.2</w:t>
      </w:r>
      <w:r>
        <w:rPr>
          <w:bCs/>
          <w:iCs/>
          <w:lang w:val="en-US"/>
        </w:rPr>
        <w:t xml:space="preserve"> Pharmaco</w:t>
      </w:r>
      <w:r w:rsidR="0064080F">
        <w:rPr>
          <w:bCs/>
          <w:iCs/>
          <w:lang w:val="en-US"/>
        </w:rPr>
        <w:t>kinetic</w:t>
      </w:r>
      <w:r>
        <w:rPr>
          <w:bCs/>
          <w:iCs/>
          <w:lang w:val="en-US"/>
        </w:rPr>
        <w:t xml:space="preserve"> Properties</w:t>
      </w:r>
      <w:r w:rsidRPr="007F63C5">
        <w:rPr>
          <w:bCs/>
          <w:iCs/>
          <w:lang w:val="en-US"/>
        </w:rPr>
        <w:t>)</w:t>
      </w:r>
      <w:r>
        <w:rPr>
          <w:bCs/>
          <w:iCs/>
          <w:lang w:val="en-US"/>
        </w:rPr>
        <w:t>.</w:t>
      </w:r>
    </w:p>
    <w:p w14:paraId="6607CEB4" w14:textId="77777777" w:rsidR="007E734D" w:rsidRPr="007E734D" w:rsidRDefault="00385E57" w:rsidP="00C31AB2">
      <w:pPr>
        <w:rPr>
          <w:bCs/>
          <w:iCs/>
          <w:u w:val="single"/>
          <w:lang w:val="en-US"/>
        </w:rPr>
      </w:pPr>
      <w:r w:rsidRPr="007E734D">
        <w:rPr>
          <w:bCs/>
          <w:iCs/>
          <w:u w:val="single"/>
          <w:lang w:val="en-US"/>
        </w:rPr>
        <w:t>Hepatic Impairment</w:t>
      </w:r>
    </w:p>
    <w:p w14:paraId="6607CEB5" w14:textId="77777777" w:rsidR="007E734D" w:rsidRDefault="00385E57" w:rsidP="00C31AB2">
      <w:pPr>
        <w:rPr>
          <w:bCs/>
          <w:iCs/>
          <w:lang w:val="en-US"/>
        </w:rPr>
      </w:pPr>
      <w:r>
        <w:rPr>
          <w:bCs/>
          <w:iCs/>
          <w:lang w:val="en-US"/>
        </w:rPr>
        <w:t>No dose adjustment is recommended in patients with mild (Child Pugh A) or moderate (Child Pugh B) hepatic impairment. The pharmacokinetics and safety of TEPMETKO in patients with severe hepatic impairment (Child Pugh C) have not been studied (see Section 5</w:t>
      </w:r>
      <w:r w:rsidR="0064080F">
        <w:rPr>
          <w:bCs/>
          <w:iCs/>
          <w:lang w:val="en-US"/>
        </w:rPr>
        <w:t>.2 Pharmacokinetic</w:t>
      </w:r>
      <w:r>
        <w:rPr>
          <w:bCs/>
          <w:iCs/>
          <w:lang w:val="en-US"/>
        </w:rPr>
        <w:t xml:space="preserve"> Properties). </w:t>
      </w:r>
    </w:p>
    <w:p w14:paraId="6607CEB6" w14:textId="77777777" w:rsidR="007F63C5" w:rsidRPr="007E734D" w:rsidRDefault="00385E57" w:rsidP="00C31AB2">
      <w:pPr>
        <w:rPr>
          <w:bCs/>
          <w:iCs/>
          <w:u w:val="single"/>
          <w:lang w:val="en-US"/>
        </w:rPr>
      </w:pPr>
      <w:r>
        <w:rPr>
          <w:bCs/>
          <w:iCs/>
          <w:u w:val="single"/>
          <w:lang w:val="en-US"/>
        </w:rPr>
        <w:t xml:space="preserve">Elderly </w:t>
      </w:r>
      <w:r w:rsidRPr="007E734D">
        <w:rPr>
          <w:bCs/>
          <w:iCs/>
          <w:u w:val="single"/>
          <w:lang w:val="en-US"/>
        </w:rPr>
        <w:t>(&gt; 65 years of age)</w:t>
      </w:r>
    </w:p>
    <w:p w14:paraId="6607CEB7" w14:textId="77777777" w:rsidR="007E734D" w:rsidRDefault="00385E57" w:rsidP="00C31AB2">
      <w:pPr>
        <w:rPr>
          <w:bCs/>
          <w:iCs/>
          <w:lang w:val="en-US"/>
        </w:rPr>
      </w:pPr>
      <w:r>
        <w:rPr>
          <w:bCs/>
          <w:iCs/>
          <w:lang w:val="en-US"/>
        </w:rPr>
        <w:t>No dose adjustment is necessary in patients aged 65 years and above (see Section 5</w:t>
      </w:r>
      <w:r w:rsidR="0064080F">
        <w:rPr>
          <w:bCs/>
          <w:iCs/>
          <w:lang w:val="en-US"/>
        </w:rPr>
        <w:t>.2 Pharmacokinetic</w:t>
      </w:r>
      <w:r>
        <w:rPr>
          <w:bCs/>
          <w:iCs/>
          <w:lang w:val="en-US"/>
        </w:rPr>
        <w:t xml:space="preserve"> Properties). </w:t>
      </w:r>
    </w:p>
    <w:p w14:paraId="6607CEB8" w14:textId="77777777" w:rsidR="00CD1592" w:rsidRPr="00CD1592" w:rsidRDefault="00385E57" w:rsidP="00CD1592">
      <w:pPr>
        <w:rPr>
          <w:b/>
          <w:bCs/>
          <w:iCs/>
          <w:lang w:val="en-US"/>
        </w:rPr>
      </w:pPr>
      <w:bookmarkStart w:id="4" w:name="_Hlk46417769"/>
      <w:r w:rsidRPr="00CD1592">
        <w:rPr>
          <w:b/>
          <w:bCs/>
          <w:iCs/>
          <w:lang w:val="en-US"/>
        </w:rPr>
        <w:t xml:space="preserve">Administration </w:t>
      </w:r>
    </w:p>
    <w:p w14:paraId="6607CEB9" w14:textId="19AD77AB" w:rsidR="00CD1592" w:rsidRDefault="00385E57" w:rsidP="00C31AB2">
      <w:pPr>
        <w:rPr>
          <w:bCs/>
          <w:iCs/>
          <w:lang w:val="en-US"/>
        </w:rPr>
      </w:pPr>
      <w:r w:rsidRPr="00CD1592">
        <w:rPr>
          <w:bCs/>
          <w:iCs/>
          <w:lang w:val="en-US"/>
        </w:rPr>
        <w:t xml:space="preserve">TEPMETKO is for oral use. </w:t>
      </w:r>
      <w:r w:rsidR="000643E3">
        <w:rPr>
          <w:bCs/>
          <w:iCs/>
          <w:lang w:val="en-US"/>
        </w:rPr>
        <w:t>The tablet(s) should be taken with food and should be swallowed whole.</w:t>
      </w:r>
      <w:r w:rsidRPr="00CD1592">
        <w:rPr>
          <w:bCs/>
          <w:iCs/>
          <w:lang w:val="en-US"/>
        </w:rPr>
        <w:t xml:space="preserve"> Do no</w:t>
      </w:r>
      <w:r w:rsidR="005E553C">
        <w:rPr>
          <w:bCs/>
          <w:iCs/>
          <w:lang w:val="en-US"/>
        </w:rPr>
        <w:t>t</w:t>
      </w:r>
      <w:r w:rsidRPr="00CD1592">
        <w:rPr>
          <w:bCs/>
          <w:iCs/>
          <w:lang w:val="en-US"/>
        </w:rPr>
        <w:t xml:space="preserve"> break, crush or chew the tablets. </w:t>
      </w:r>
    </w:p>
    <w:bookmarkEnd w:id="1"/>
    <w:bookmarkEnd w:id="4"/>
    <w:p w14:paraId="6607CEBA" w14:textId="35B87AD9" w:rsidR="001A3992" w:rsidRDefault="00385E57" w:rsidP="001A3992">
      <w:pPr>
        <w:pStyle w:val="Heading2"/>
        <w:spacing w:before="0" w:after="120"/>
      </w:pPr>
      <w:r>
        <w:t>Contraindications</w:t>
      </w:r>
      <w:r w:rsidR="009065C9">
        <w:fldChar w:fldCharType="begin"/>
      </w:r>
      <w:r w:rsidR="009065C9">
        <w:instrText xml:space="preserve"> DOCVARIABLE vault_nd_df9f5bdc-e887-40da-afe2-26059de8001c \* MERGEFORMAT </w:instrText>
      </w:r>
      <w:r w:rsidR="009065C9">
        <w:fldChar w:fldCharType="separate"/>
      </w:r>
      <w:r w:rsidR="008F4DF0">
        <w:t xml:space="preserve"> </w:t>
      </w:r>
      <w:r w:rsidR="009065C9">
        <w:fldChar w:fldCharType="end"/>
      </w:r>
    </w:p>
    <w:p w14:paraId="6607CEBB" w14:textId="2CF08395" w:rsidR="00874FBD" w:rsidRDefault="00385E57" w:rsidP="00874FBD">
      <w:r>
        <w:t xml:space="preserve">TEPMETKO is contraindicated in patients </w:t>
      </w:r>
      <w:r w:rsidR="008B145E">
        <w:t>with known hypersensitivity to tepotinib or to any of the excipients (</w:t>
      </w:r>
      <w:r>
        <w:t xml:space="preserve">see Section </w:t>
      </w:r>
      <w:r w:rsidR="008B145E">
        <w:t xml:space="preserve">6.1 List of Excipients). </w:t>
      </w:r>
    </w:p>
    <w:p w14:paraId="6607CEBC" w14:textId="54916D1D" w:rsidR="001A3992" w:rsidRDefault="00385E57" w:rsidP="001A3992">
      <w:pPr>
        <w:pStyle w:val="Heading2"/>
        <w:spacing w:before="0" w:after="120"/>
      </w:pPr>
      <w:r>
        <w:lastRenderedPageBreak/>
        <w:t>Special warnings and precautions for use</w:t>
      </w:r>
      <w:r w:rsidR="009065C9">
        <w:fldChar w:fldCharType="begin"/>
      </w:r>
      <w:r w:rsidR="009065C9">
        <w:instrText xml:space="preserve"> DOCVARIABLE vault_nd_01e39377-7eeb-42f1-b716-6644e68dbf3f \* MERGEFORMAT </w:instrText>
      </w:r>
      <w:r w:rsidR="009065C9">
        <w:fldChar w:fldCharType="separate"/>
      </w:r>
      <w:r w:rsidR="008F4DF0">
        <w:t xml:space="preserve"> </w:t>
      </w:r>
      <w:r w:rsidR="009065C9">
        <w:fldChar w:fldCharType="end"/>
      </w:r>
    </w:p>
    <w:p w14:paraId="6607CEBD" w14:textId="21E2542D" w:rsidR="001A3992" w:rsidRDefault="00385E57" w:rsidP="00756296">
      <w:pPr>
        <w:pStyle w:val="Heading3"/>
        <w:spacing w:before="0" w:after="120"/>
        <w:ind w:left="0"/>
      </w:pPr>
      <w:r>
        <w:t>Assessment of METex14 skipping alterations status</w:t>
      </w:r>
      <w:r w:rsidR="009065C9">
        <w:fldChar w:fldCharType="begin"/>
      </w:r>
      <w:r w:rsidR="009065C9">
        <w:instrText xml:space="preserve"> DOCVARIABLE vault_nd_45885adb-09ac-4950-bc6d-477298132e0f \* MERGEFORMAT </w:instrText>
      </w:r>
      <w:r w:rsidR="009065C9">
        <w:fldChar w:fldCharType="separate"/>
      </w:r>
      <w:r w:rsidR="008F4DF0">
        <w:t xml:space="preserve"> </w:t>
      </w:r>
      <w:r w:rsidR="009065C9">
        <w:fldChar w:fldCharType="end"/>
      </w:r>
    </w:p>
    <w:p w14:paraId="6607CEBE" w14:textId="77777777" w:rsidR="009B2434" w:rsidRPr="009B2434" w:rsidRDefault="00385E57" w:rsidP="009B2434">
      <w:r>
        <w:t xml:space="preserve">Patients treated with TEPMETKO must have a confirmed </w:t>
      </w:r>
      <w:r w:rsidRPr="009B2434">
        <w:rPr>
          <w:i/>
          <w:iCs/>
        </w:rPr>
        <w:t>MET</w:t>
      </w:r>
      <w:r>
        <w:t xml:space="preserve">ex14 skipping status based on a validated or approved </w:t>
      </w:r>
      <w:r w:rsidR="00F92A53">
        <w:t>test</w:t>
      </w:r>
      <w:r>
        <w:t xml:space="preserve">. </w:t>
      </w:r>
    </w:p>
    <w:p w14:paraId="6607CEBF" w14:textId="0B9D4BB6" w:rsidR="004514BB" w:rsidRDefault="00385E57" w:rsidP="00756296">
      <w:pPr>
        <w:pStyle w:val="Heading3"/>
        <w:spacing w:before="0" w:after="120"/>
        <w:ind w:left="0"/>
      </w:pPr>
      <w:r>
        <w:t>Interstitial lung disease</w:t>
      </w:r>
      <w:r w:rsidR="009065C9">
        <w:fldChar w:fldCharType="begin"/>
      </w:r>
      <w:r w:rsidR="009065C9">
        <w:instrText xml:space="preserve"> DOCVARIABLE vault_nd_daf66e34-2684-4968-8aef-f546f227ab6f \* MERGEFORMAT </w:instrText>
      </w:r>
      <w:r w:rsidR="009065C9">
        <w:fldChar w:fldCharType="separate"/>
      </w:r>
      <w:r w:rsidR="008F4DF0">
        <w:t xml:space="preserve"> </w:t>
      </w:r>
      <w:r w:rsidR="009065C9">
        <w:fldChar w:fldCharType="end"/>
      </w:r>
    </w:p>
    <w:p w14:paraId="6607CEC0" w14:textId="77777777" w:rsidR="004514BB" w:rsidRDefault="00385E57" w:rsidP="004514BB">
      <w:r>
        <w:t xml:space="preserve">Interstitial lung disease (ILD) or ILD-like adverse reactions have been reported in </w:t>
      </w:r>
      <w:r w:rsidR="00D16AAB">
        <w:t xml:space="preserve">6 </w:t>
      </w:r>
      <w:r>
        <w:t>patients (</w:t>
      </w:r>
      <w:r w:rsidR="00D16AAB">
        <w:t>2.4</w:t>
      </w:r>
      <w:r>
        <w:t xml:space="preserve">%) with advanced NSCLC with </w:t>
      </w:r>
      <w:r w:rsidRPr="004514BB">
        <w:rPr>
          <w:i/>
          <w:iCs/>
        </w:rPr>
        <w:t>MET</w:t>
      </w:r>
      <w:r>
        <w:t>ex14 skipping alterations who received TEPMETKO at the recommended dosage regimen (n=</w:t>
      </w:r>
      <w:r w:rsidR="00D16AAB">
        <w:t>255</w:t>
      </w:r>
      <w:r>
        <w:t xml:space="preserve">), including </w:t>
      </w:r>
      <w:r w:rsidR="00D16AAB">
        <w:t xml:space="preserve">1 </w:t>
      </w:r>
      <w:r>
        <w:t xml:space="preserve">case of </w:t>
      </w:r>
      <w:r w:rsidR="00FA0D0D">
        <w:t>G</w:t>
      </w:r>
      <w:r>
        <w:t xml:space="preserve">rade 3 or higher; serious cases occurred in </w:t>
      </w:r>
      <w:r w:rsidR="00D16AAB">
        <w:t xml:space="preserve">2 </w:t>
      </w:r>
      <w:r>
        <w:t>patients (</w:t>
      </w:r>
      <w:r w:rsidR="00D16AAB">
        <w:t>0.8</w:t>
      </w:r>
      <w:r>
        <w:t xml:space="preserve">%), 1 case was fatal. </w:t>
      </w:r>
    </w:p>
    <w:p w14:paraId="6607CEC1" w14:textId="17755743" w:rsidR="004514BB" w:rsidRDefault="00385E57" w:rsidP="004514BB">
      <w:r>
        <w:t xml:space="preserve">Patients should be monitored for pulmonary symptoms indicative </w:t>
      </w:r>
      <w:bookmarkStart w:id="5" w:name="_Hlk44584017"/>
      <w:r w:rsidR="0064080F">
        <w:t>of</w:t>
      </w:r>
      <w:r>
        <w:t xml:space="preserve"> ILD-like reactions. TEPMETKO should be withheld</w:t>
      </w:r>
      <w:r w:rsidR="000566AD">
        <w:t>,</w:t>
      </w:r>
      <w:r>
        <w:t xml:space="preserve"> and patients should be promptly investigated for alternative diagnosis or specific aetiology of interstitial lung disease. TEPMETKO must be permanently discontinued if interstitial lung disease is confirmed</w:t>
      </w:r>
      <w:r w:rsidR="005F2AAB">
        <w:t>,</w:t>
      </w:r>
      <w:r>
        <w:t xml:space="preserve"> and the patient be treated </w:t>
      </w:r>
      <w:r w:rsidR="000643E3">
        <w:t>accordingly</w:t>
      </w:r>
      <w:r>
        <w:t>.</w:t>
      </w:r>
    </w:p>
    <w:p w14:paraId="6607CEC2" w14:textId="23CD1807" w:rsidR="00AC1ADD" w:rsidRDefault="00385E57" w:rsidP="00756296">
      <w:pPr>
        <w:pStyle w:val="Heading3"/>
        <w:ind w:left="0"/>
      </w:pPr>
      <w:r>
        <w:t>Monitoring of liver function</w:t>
      </w:r>
      <w:r w:rsidR="009065C9">
        <w:fldChar w:fldCharType="begin"/>
      </w:r>
      <w:r w:rsidR="009065C9">
        <w:instrText xml:space="preserve"> DOCVARIABLE vault_nd_5de333c9-f63f-456e-8d02-b20e307464a4 \* MERGEFORMAT </w:instrText>
      </w:r>
      <w:r w:rsidR="009065C9">
        <w:fldChar w:fldCharType="separate"/>
      </w:r>
      <w:r w:rsidR="008F4DF0">
        <w:t xml:space="preserve"> </w:t>
      </w:r>
      <w:r w:rsidR="009065C9">
        <w:fldChar w:fldCharType="end"/>
      </w:r>
    </w:p>
    <w:p w14:paraId="6607CEC3" w14:textId="77777777" w:rsidR="00AC1ADD" w:rsidRDefault="00385E57" w:rsidP="00AC1ADD">
      <w:r>
        <w:t>Increase</w:t>
      </w:r>
      <w:r w:rsidR="009964B1">
        <w:t>s</w:t>
      </w:r>
      <w:r>
        <w:t xml:space="preserve"> in ALT and/or AST ha</w:t>
      </w:r>
      <w:r w:rsidR="009964B1">
        <w:t>ve</w:t>
      </w:r>
      <w:r>
        <w:t xml:space="preserve"> been reported </w:t>
      </w:r>
      <w:r w:rsidR="008C1442">
        <w:t xml:space="preserve">in the VISION study </w:t>
      </w:r>
      <w:r w:rsidR="00D447D8">
        <w:t>in patients with</w:t>
      </w:r>
      <w:r w:rsidR="008C1442">
        <w:t xml:space="preserve"> advance</w:t>
      </w:r>
      <w:r w:rsidR="00E07F5D">
        <w:t>d</w:t>
      </w:r>
      <w:r w:rsidR="008C1442">
        <w:t xml:space="preserve"> NSCLC </w:t>
      </w:r>
      <w:r w:rsidR="00D447D8">
        <w:t>harbouring</w:t>
      </w:r>
      <w:r w:rsidR="008C1442">
        <w:t xml:space="preserve"> </w:t>
      </w:r>
      <w:r w:rsidR="008C1442" w:rsidRPr="008C1442">
        <w:rPr>
          <w:i/>
          <w:iCs/>
        </w:rPr>
        <w:t>MET</w:t>
      </w:r>
      <w:r w:rsidR="008C1442">
        <w:t xml:space="preserve">ex14 skipping alterations </w:t>
      </w:r>
      <w:r>
        <w:t>(see Section 4.8 Adverse Effects (Undesirable Effects))</w:t>
      </w:r>
      <w:r w:rsidR="009964B1">
        <w:t>, which were mostly non-serious and of low grade. ALT and/or AST increase did not lead to permanent drug discontinuation and infrequently led to temporary discontinuation or dose reduction.</w:t>
      </w:r>
      <w:r w:rsidR="001B3091">
        <w:t xml:space="preserve"> </w:t>
      </w:r>
    </w:p>
    <w:p w14:paraId="6607CEC4" w14:textId="77777777" w:rsidR="001B3091" w:rsidRDefault="00385E57" w:rsidP="00AC1ADD">
      <w:r>
        <w:t xml:space="preserve">Based on laboratories values, a worst-on-treatment increase of at least 1 grade was observed for 42.0% of patients for ALT and 32.9% for AST. An increase to grade 3 or higher occurred in 3.9% of patients for ALT and 2.4% of patients for AST. </w:t>
      </w:r>
    </w:p>
    <w:p w14:paraId="6607CEC5" w14:textId="500F60E5" w:rsidR="00AC1ADD" w:rsidRPr="00AC1ADD" w:rsidRDefault="005E553C">
      <w:r>
        <w:t>Monitor liver function tests (including ALT, AST and total bilirubin) prior to the start of TEPMETKO, every 2 weeks during the first 3 months of treatment, then once a month or as clinically indicated, with more frequent testing in patients who develop increased transaminases or bilirubin</w:t>
      </w:r>
      <w:r w:rsidR="00385E57">
        <w:t xml:space="preserve">. If grade 3 or higher </w:t>
      </w:r>
      <w:r w:rsidR="00B74B81">
        <w:t xml:space="preserve">increases </w:t>
      </w:r>
      <w:r w:rsidR="00385E57">
        <w:t>occur, dose adjustment is recommended</w:t>
      </w:r>
      <w:r w:rsidR="001C159A">
        <w:t xml:space="preserve"> (see Section 4.2 Dose and Method of Administration – Dose Adjustment)</w:t>
      </w:r>
      <w:r w:rsidR="00385E57">
        <w:t xml:space="preserve">. </w:t>
      </w:r>
    </w:p>
    <w:p w14:paraId="6607CEC6" w14:textId="58134B09" w:rsidR="00B87A13" w:rsidRDefault="00385E57" w:rsidP="00756296">
      <w:pPr>
        <w:pStyle w:val="Heading3"/>
        <w:spacing w:before="0" w:after="120"/>
        <w:ind w:left="0"/>
      </w:pPr>
      <w:bookmarkStart w:id="6" w:name="_Hlk68792635"/>
      <w:bookmarkEnd w:id="5"/>
      <w:r>
        <w:t>Embryo-fetal toxicity</w:t>
      </w:r>
      <w:r w:rsidR="009065C9">
        <w:fldChar w:fldCharType="begin"/>
      </w:r>
      <w:r w:rsidR="009065C9">
        <w:instrText xml:space="preserve"> DOCVARIABLE vault_nd_000923e0-bc4b-4969-a9e8-ab39309f785f \* MERGEFORMAT </w:instrText>
      </w:r>
      <w:r w:rsidR="009065C9">
        <w:fldChar w:fldCharType="separate"/>
      </w:r>
      <w:r w:rsidR="008F4DF0">
        <w:t xml:space="preserve"> </w:t>
      </w:r>
      <w:r w:rsidR="009065C9">
        <w:fldChar w:fldCharType="end"/>
      </w:r>
    </w:p>
    <w:p w14:paraId="6607CEC7" w14:textId="77777777" w:rsidR="009C1362" w:rsidRDefault="00385E57" w:rsidP="00B87A13">
      <w:r>
        <w:t>TEPMETKO can cause fetal harm when administered to pregnant women</w:t>
      </w:r>
      <w:r w:rsidR="000C39D0">
        <w:t>.</w:t>
      </w:r>
      <w:r w:rsidR="00782009">
        <w:t xml:space="preserve"> </w:t>
      </w:r>
      <w:bookmarkStart w:id="7" w:name="_Hlk68792962"/>
      <w:r w:rsidR="000C39D0" w:rsidRPr="000C39D0">
        <w:t xml:space="preserve">There are no available data on the use of TEPMETKO in pregnant women. However, </w:t>
      </w:r>
      <w:r w:rsidR="00F11E8F">
        <w:t>studies in animal</w:t>
      </w:r>
      <w:r w:rsidR="00DF1FBC">
        <w:t>s</w:t>
      </w:r>
      <w:r w:rsidR="000C39D0" w:rsidRPr="000C39D0">
        <w:t xml:space="preserve"> showed malformations (teratogenicity</w:t>
      </w:r>
      <w:bookmarkStart w:id="8" w:name="_Hlk68792985"/>
      <w:r w:rsidR="000C39D0" w:rsidRPr="000C39D0">
        <w:t>)</w:t>
      </w:r>
      <w:bookmarkEnd w:id="7"/>
      <w:r w:rsidR="000C39D0" w:rsidRPr="000C39D0">
        <w:t xml:space="preserve"> </w:t>
      </w:r>
      <w:r w:rsidR="00782009">
        <w:t>(see Section 4.6 Fertility, Pregnancy and Lactation)</w:t>
      </w:r>
      <w:bookmarkEnd w:id="8"/>
      <w:r>
        <w:t xml:space="preserve">. </w:t>
      </w:r>
    </w:p>
    <w:p w14:paraId="6607CEC8" w14:textId="77777777" w:rsidR="00B87A13" w:rsidRDefault="00385E57" w:rsidP="00B87A13">
      <w:r>
        <w:t xml:space="preserve">Women of childbearing potential or male patients with female partners of childbearing potential should be advised of the potential risk to a fetus. </w:t>
      </w:r>
    </w:p>
    <w:p w14:paraId="6607CEC9" w14:textId="77777777" w:rsidR="00B87A13" w:rsidRDefault="00385E57" w:rsidP="00B87A13">
      <w:r>
        <w:t xml:space="preserve">Women of childbearing potential </w:t>
      </w:r>
      <w:r w:rsidR="00853459">
        <w:t>must</w:t>
      </w:r>
      <w:r>
        <w:t xml:space="preserve"> use effective contraception during TEPMETKO treatment</w:t>
      </w:r>
      <w:r w:rsidR="00432247">
        <w:t xml:space="preserve"> and</w:t>
      </w:r>
      <w:r>
        <w:t xml:space="preserve"> for at least 1 week after the last dose. </w:t>
      </w:r>
      <w:r w:rsidR="007F19A7">
        <w:t xml:space="preserve">Pregnancy testing is recommended in women of childbearing potential prior to initiating treatment with TEPMETKO. </w:t>
      </w:r>
    </w:p>
    <w:p w14:paraId="6607CECA" w14:textId="77777777" w:rsidR="00B87A13" w:rsidRDefault="00385E57" w:rsidP="00B87A13">
      <w:r>
        <w:lastRenderedPageBreak/>
        <w:t xml:space="preserve">Male patients with female partners of childbearing potential </w:t>
      </w:r>
      <w:r w:rsidR="00853459">
        <w:t>must</w:t>
      </w:r>
      <w:r>
        <w:t xml:space="preserve"> use barrier contraception during TEPMETKO treatment</w:t>
      </w:r>
      <w:r w:rsidR="00432247">
        <w:t xml:space="preserve"> and</w:t>
      </w:r>
      <w:r>
        <w:t xml:space="preserve"> for at least 1 week after the last dose.  </w:t>
      </w:r>
    </w:p>
    <w:bookmarkEnd w:id="6"/>
    <w:p w14:paraId="6607CECB" w14:textId="619C4B17" w:rsidR="008509A1" w:rsidRDefault="00385E57" w:rsidP="00756296">
      <w:pPr>
        <w:pStyle w:val="Heading3"/>
        <w:spacing w:before="0" w:after="120"/>
        <w:ind w:left="0"/>
        <w:rPr>
          <w:b w:val="0"/>
        </w:rPr>
      </w:pPr>
      <w:r w:rsidRPr="00B878CC">
        <w:t>Use in hepatic impairment</w:t>
      </w:r>
      <w:r w:rsidR="009065C9">
        <w:fldChar w:fldCharType="begin"/>
      </w:r>
      <w:r w:rsidR="009065C9">
        <w:instrText xml:space="preserve"> DOCVARIABLE vault_nd_c21cf76f-cd90-4ef4-b58b-b623d50b5885 \* MERGEFORMAT </w:instrText>
      </w:r>
      <w:r w:rsidR="009065C9">
        <w:fldChar w:fldCharType="separate"/>
      </w:r>
      <w:r w:rsidR="008F4DF0">
        <w:t xml:space="preserve"> </w:t>
      </w:r>
      <w:r w:rsidR="009065C9">
        <w:fldChar w:fldCharType="end"/>
      </w:r>
    </w:p>
    <w:p w14:paraId="6607CECC" w14:textId="77777777" w:rsidR="001A3992" w:rsidRPr="00343CF5" w:rsidRDefault="00385E57" w:rsidP="00B4774F">
      <w:pPr>
        <w:rPr>
          <w:bCs/>
        </w:rPr>
      </w:pPr>
      <w:r w:rsidRPr="00343CF5">
        <w:rPr>
          <w:bCs/>
        </w:rPr>
        <w:t>See Section 4.2 Dose and Method of Administration.</w:t>
      </w:r>
    </w:p>
    <w:p w14:paraId="6607CECD" w14:textId="5B9501D6" w:rsidR="00343CF5" w:rsidRDefault="00385E57" w:rsidP="00756296">
      <w:pPr>
        <w:pStyle w:val="Heading3"/>
        <w:spacing w:before="0" w:after="120"/>
        <w:ind w:left="0"/>
        <w:rPr>
          <w:b w:val="0"/>
        </w:rPr>
      </w:pPr>
      <w:r w:rsidRPr="00B878CC">
        <w:t>Use in renal impairment</w:t>
      </w:r>
      <w:r w:rsidR="009065C9">
        <w:fldChar w:fldCharType="begin"/>
      </w:r>
      <w:r w:rsidR="009065C9">
        <w:instrText xml:space="preserve"> DOCVARIABLE vault_nd_c547b65a-8b32-48cb-9f27-10146a0fbb83 \* MERGEFORMAT </w:instrText>
      </w:r>
      <w:r w:rsidR="009065C9">
        <w:fldChar w:fldCharType="separate"/>
      </w:r>
      <w:r w:rsidR="008F4DF0">
        <w:t xml:space="preserve"> </w:t>
      </w:r>
      <w:r w:rsidR="009065C9">
        <w:fldChar w:fldCharType="end"/>
      </w:r>
    </w:p>
    <w:p w14:paraId="6607CECE" w14:textId="77777777" w:rsidR="001A3992" w:rsidRDefault="00385E57" w:rsidP="00B4774F">
      <w:r>
        <w:t>See Section 4.2 Dose and Method of Administration</w:t>
      </w:r>
    </w:p>
    <w:p w14:paraId="6607CECF" w14:textId="4184B787" w:rsidR="001A3992" w:rsidRDefault="00385E57" w:rsidP="00756296">
      <w:pPr>
        <w:pStyle w:val="Heading3"/>
        <w:spacing w:before="0" w:after="120"/>
        <w:ind w:left="0"/>
      </w:pPr>
      <w:r w:rsidRPr="00B878CC">
        <w:t>Use in the elderly</w:t>
      </w:r>
      <w:r w:rsidR="009065C9">
        <w:fldChar w:fldCharType="begin"/>
      </w:r>
      <w:r w:rsidR="009065C9">
        <w:instrText xml:space="preserve"> DOCVARIABLE vault_nd_f7ba4284-b9d8-4bae-bfcf-a166b5d4beac \* MERGEFORMAT </w:instrText>
      </w:r>
      <w:r w:rsidR="009065C9">
        <w:fldChar w:fldCharType="separate"/>
      </w:r>
      <w:r w:rsidR="008F4DF0">
        <w:t xml:space="preserve"> </w:t>
      </w:r>
      <w:r w:rsidR="009065C9">
        <w:fldChar w:fldCharType="end"/>
      </w:r>
    </w:p>
    <w:p w14:paraId="6607CED0" w14:textId="77777777" w:rsidR="006951B6" w:rsidRPr="00115F6D" w:rsidRDefault="00385E57" w:rsidP="00115F6D">
      <w:r w:rsidRPr="00115F6D">
        <w:t xml:space="preserve">Of </w:t>
      </w:r>
      <w:r w:rsidR="00D16AAB">
        <w:t>255</w:t>
      </w:r>
      <w:r w:rsidRPr="00115F6D">
        <w:t xml:space="preserve"> patients with </w:t>
      </w:r>
      <w:r w:rsidRPr="00A4035D">
        <w:rPr>
          <w:i/>
          <w:iCs/>
        </w:rPr>
        <w:t>MET</w:t>
      </w:r>
      <w:r w:rsidRPr="00115F6D">
        <w:t xml:space="preserve">ex14 skipping alterations in the VISION study who received 450 mg TEPMETKO once daily, </w:t>
      </w:r>
      <w:r w:rsidR="00D16AAB">
        <w:t>79</w:t>
      </w:r>
      <w:r w:rsidRPr="00115F6D">
        <w:t xml:space="preserve">% were 65 years or older, and 8% were 85 years or older. </w:t>
      </w:r>
      <w:r w:rsidR="00922B23">
        <w:t>N</w:t>
      </w:r>
      <w:r>
        <w:t xml:space="preserve">o clinically important differences in safety or efficacy were observed between patients aged 65 or older and younger patients in VISION study. </w:t>
      </w:r>
    </w:p>
    <w:p w14:paraId="6607CED1" w14:textId="37B025F5" w:rsidR="001A3992" w:rsidRDefault="00385E57" w:rsidP="00756296">
      <w:pPr>
        <w:pStyle w:val="Heading3"/>
        <w:spacing w:before="0" w:after="120"/>
        <w:ind w:left="0"/>
      </w:pPr>
      <w:r w:rsidRPr="00B878CC">
        <w:t>Paediatric use</w:t>
      </w:r>
      <w:r w:rsidR="009065C9">
        <w:fldChar w:fldCharType="begin"/>
      </w:r>
      <w:r w:rsidR="009065C9">
        <w:instrText xml:space="preserve"> DOCVARIABLE vault_nd_9c444a4a-7910-4dcf-878f-8f2a77e341ed \* MERGEFORMAT </w:instrText>
      </w:r>
      <w:r w:rsidR="009065C9">
        <w:fldChar w:fldCharType="separate"/>
      </w:r>
      <w:r w:rsidR="008F4DF0">
        <w:t xml:space="preserve"> </w:t>
      </w:r>
      <w:r w:rsidR="009065C9">
        <w:fldChar w:fldCharType="end"/>
      </w:r>
    </w:p>
    <w:p w14:paraId="6607CED2" w14:textId="77777777" w:rsidR="006951B6" w:rsidRPr="006951B6" w:rsidRDefault="00385E57" w:rsidP="006951B6">
      <w:r>
        <w:t xml:space="preserve">The safety and efficacy of TEPMETKO in paediatric patients below the age of 18 years have not been studied. </w:t>
      </w:r>
    </w:p>
    <w:p w14:paraId="6607CED3" w14:textId="0A44E76A" w:rsidR="001A3992" w:rsidRDefault="00385E57" w:rsidP="00756296">
      <w:pPr>
        <w:pStyle w:val="Heading3"/>
        <w:spacing w:before="0" w:after="120"/>
        <w:ind w:left="0"/>
      </w:pPr>
      <w:r w:rsidRPr="00B878CC">
        <w:t>Effects on</w:t>
      </w:r>
      <w:r w:rsidRPr="00CC0D90">
        <w:t xml:space="preserve"> laboratory tests</w:t>
      </w:r>
      <w:r w:rsidR="009065C9">
        <w:fldChar w:fldCharType="begin"/>
      </w:r>
      <w:r w:rsidR="009065C9">
        <w:instrText xml:space="preserve"> DOCVARIABLE vault_nd_efea2de9-6e38-415c-ba34-fea72aa332f8 \* MERGEFORMAT </w:instrText>
      </w:r>
      <w:r w:rsidR="009065C9">
        <w:fldChar w:fldCharType="separate"/>
      </w:r>
      <w:r w:rsidR="008F4DF0">
        <w:t xml:space="preserve"> </w:t>
      </w:r>
      <w:r w:rsidR="009065C9">
        <w:fldChar w:fldCharType="end"/>
      </w:r>
    </w:p>
    <w:p w14:paraId="6607CED4" w14:textId="77777777" w:rsidR="00F36CF3" w:rsidRPr="00F36CF3" w:rsidRDefault="00385E57" w:rsidP="00F36CF3">
      <w:r w:rsidRPr="00F36CF3">
        <w:t xml:space="preserve">Nonclinical studies suggest that tepotinib or its main metabolite inhibit the renal tubular transporter proteins </w:t>
      </w:r>
      <w:r w:rsidR="00E86E99">
        <w:t>organic cation transporter (</w:t>
      </w:r>
      <w:r w:rsidRPr="00F36CF3">
        <w:t>OCT</w:t>
      </w:r>
      <w:r w:rsidR="00E86E99">
        <w:t xml:space="preserve">) </w:t>
      </w:r>
      <w:r w:rsidRPr="00F36CF3">
        <w:t>2</w:t>
      </w:r>
      <w:r w:rsidR="009A2B78">
        <w:t xml:space="preserve">, </w:t>
      </w:r>
      <w:r w:rsidR="00E86E99">
        <w:t>multidrug and toxin extrusion transporters (</w:t>
      </w:r>
      <w:r w:rsidR="009A2B78">
        <w:t>MATE</w:t>
      </w:r>
      <w:r w:rsidR="00E86E99">
        <w:t xml:space="preserve">) </w:t>
      </w:r>
      <w:r w:rsidRPr="00F36CF3">
        <w:t>2</w:t>
      </w:r>
      <w:r w:rsidR="00FF67D1">
        <w:t>K</w:t>
      </w:r>
      <w:r w:rsidRPr="00F36CF3">
        <w:t xml:space="preserve"> (see </w:t>
      </w:r>
      <w:r>
        <w:t>Section</w:t>
      </w:r>
      <w:r w:rsidR="00395EB5">
        <w:t xml:space="preserve"> </w:t>
      </w:r>
      <w:r w:rsidR="00FF67D1">
        <w:t>4.5</w:t>
      </w:r>
      <w:r w:rsidR="00395EB5">
        <w:t xml:space="preserve"> </w:t>
      </w:r>
      <w:r w:rsidR="00FF67D1">
        <w:t xml:space="preserve">Interactions </w:t>
      </w:r>
      <w:r w:rsidR="0011467F">
        <w:t>w</w:t>
      </w:r>
      <w:r w:rsidR="00FF67D1">
        <w:t>ith Other Medicines or Other Forms of Interactions</w:t>
      </w:r>
      <w:r w:rsidRPr="00F36CF3">
        <w:t>). Creatinine is a substrate of these transporters, and the observed increases in creatinine (see Section 4.8 Adverse Effects</w:t>
      </w:r>
      <w:r>
        <w:t xml:space="preserve"> (Undesirable Effects</w:t>
      </w:r>
      <w:r w:rsidR="004810CC">
        <w:t>)</w:t>
      </w:r>
      <w:r w:rsidR="004810CC" w:rsidRPr="00F36CF3">
        <w:t>)</w:t>
      </w:r>
      <w:r w:rsidRPr="00F36CF3">
        <w:t xml:space="preserve"> may be the result of inhibition of active tubular secretion rather than actual renal injury. Renal function estimates that rely on serum creatinine (creatinine clearance or estimated glomerular filtration rate) should be interpreted with caution considering this effect. </w:t>
      </w:r>
    </w:p>
    <w:p w14:paraId="6607CED5" w14:textId="46B8C277" w:rsidR="001A3992" w:rsidRDefault="00385E57" w:rsidP="001A3992">
      <w:pPr>
        <w:pStyle w:val="Heading2"/>
        <w:keepNext/>
        <w:keepLines/>
        <w:spacing w:before="0" w:after="120"/>
      </w:pPr>
      <w:r>
        <w:t>Interactions with other medicines and other forms of interactions</w:t>
      </w:r>
      <w:r w:rsidR="009065C9">
        <w:fldChar w:fldCharType="begin"/>
      </w:r>
      <w:r w:rsidR="009065C9">
        <w:instrText xml:space="preserve"> DOCVARIABLE vault_nd_5a92753c-931d-4963-8fd4-0edbe3476744 \* MERGEFORMAT </w:instrText>
      </w:r>
      <w:r w:rsidR="009065C9">
        <w:fldChar w:fldCharType="separate"/>
      </w:r>
      <w:r w:rsidR="008F4DF0">
        <w:t xml:space="preserve"> </w:t>
      </w:r>
      <w:r w:rsidR="009065C9">
        <w:fldChar w:fldCharType="end"/>
      </w:r>
    </w:p>
    <w:p w14:paraId="6607CED6" w14:textId="77777777" w:rsidR="00010B59" w:rsidRPr="00AE7466" w:rsidRDefault="00385E57" w:rsidP="00C51EA5">
      <w:r w:rsidRPr="00756296">
        <w:rPr>
          <w:b/>
          <w:bCs/>
        </w:rPr>
        <w:t>Effects of other medicines on tepotinib</w:t>
      </w:r>
    </w:p>
    <w:p w14:paraId="6607CED7" w14:textId="77777777" w:rsidR="00010B59" w:rsidRPr="008E2077" w:rsidRDefault="00385E57" w:rsidP="00010B59">
      <w:pPr>
        <w:rPr>
          <w:u w:val="single"/>
        </w:rPr>
      </w:pPr>
      <w:r w:rsidRPr="008E2077">
        <w:rPr>
          <w:u w:val="single"/>
        </w:rPr>
        <w:t xml:space="preserve">Strong CYP3A </w:t>
      </w:r>
      <w:r w:rsidR="00C46CD8">
        <w:rPr>
          <w:u w:val="single"/>
        </w:rPr>
        <w:t xml:space="preserve">and/or P-gp </w:t>
      </w:r>
      <w:r w:rsidR="00A51911" w:rsidRPr="008E2077">
        <w:rPr>
          <w:u w:val="single"/>
        </w:rPr>
        <w:t>i</w:t>
      </w:r>
      <w:r w:rsidRPr="008E2077">
        <w:rPr>
          <w:u w:val="single"/>
        </w:rPr>
        <w:t>nducers</w:t>
      </w:r>
      <w:r w:rsidR="00A51911" w:rsidRPr="008E2077">
        <w:rPr>
          <w:u w:val="single"/>
        </w:rPr>
        <w:t xml:space="preserve"> </w:t>
      </w:r>
    </w:p>
    <w:p w14:paraId="6607CED8" w14:textId="77777777" w:rsidR="00010B59" w:rsidRDefault="00385E57" w:rsidP="00010B59">
      <w:r>
        <w:t xml:space="preserve">Tepotinib is a substrate for P-glycoprotein (P-gp). </w:t>
      </w:r>
      <w:r w:rsidR="009555AD">
        <w:t xml:space="preserve">The effect of strong CYP3A </w:t>
      </w:r>
      <w:r>
        <w:t xml:space="preserve">and/or P-gp </w:t>
      </w:r>
      <w:r w:rsidR="009555AD">
        <w:t xml:space="preserve">inducers on TEPMETKO has not been studied clinically. However, metabolism and </w:t>
      </w:r>
      <w:r w:rsidR="009555AD" w:rsidRPr="008C1442">
        <w:rPr>
          <w:i/>
          <w:iCs/>
        </w:rPr>
        <w:t>in vitro</w:t>
      </w:r>
      <w:r w:rsidR="009555AD">
        <w:t xml:space="preserve"> data suggest concomitant use may decrease tepotinib exposure, which may reduce TEPMETKO efficacy. </w:t>
      </w:r>
      <w:r w:rsidR="009503CA">
        <w:t>C</w:t>
      </w:r>
      <w:r w:rsidR="009555AD">
        <w:t xml:space="preserve">oncomitant use of TEPMETKO with strong CYP3A </w:t>
      </w:r>
      <w:r>
        <w:t xml:space="preserve">and/or P-gp </w:t>
      </w:r>
      <w:r w:rsidR="009555AD">
        <w:t>inducers</w:t>
      </w:r>
      <w:r w:rsidR="009503CA">
        <w:t xml:space="preserve"> should be avoided</w:t>
      </w:r>
      <w:r w:rsidR="00A51911">
        <w:t xml:space="preserve"> (</w:t>
      </w:r>
      <w:r w:rsidR="00455F32">
        <w:t xml:space="preserve">e.g. </w:t>
      </w:r>
      <w:r w:rsidR="00A51911">
        <w:t>carbamazepine, phenytoin, rifampicin, St.John’s wort)</w:t>
      </w:r>
      <w:r w:rsidR="009555AD">
        <w:t>.</w:t>
      </w:r>
    </w:p>
    <w:p w14:paraId="6607CED9" w14:textId="77777777" w:rsidR="00853459" w:rsidRDefault="00385E57" w:rsidP="00115F6D">
      <w:pPr>
        <w:rPr>
          <w:u w:val="single"/>
        </w:rPr>
      </w:pPr>
      <w:r>
        <w:rPr>
          <w:u w:val="single"/>
        </w:rPr>
        <w:t xml:space="preserve">Dual strong CYP3A inhibitors and </w:t>
      </w:r>
      <w:r w:rsidR="00AC1ADD">
        <w:rPr>
          <w:u w:val="single"/>
        </w:rPr>
        <w:t>P-gp inhibitors</w:t>
      </w:r>
    </w:p>
    <w:p w14:paraId="338DC370" w14:textId="67F9D8FA" w:rsidR="000566AD" w:rsidRDefault="00385E57" w:rsidP="00115F6D">
      <w:r>
        <w:t xml:space="preserve">The effect of strong CYP3A inhibitors or P-gp inhibitors on TEPMETKO has not been studied clinically. However, metabolism and </w:t>
      </w:r>
      <w:r w:rsidRPr="008E2077">
        <w:rPr>
          <w:i/>
          <w:iCs/>
        </w:rPr>
        <w:t>in vitro</w:t>
      </w:r>
      <w:r>
        <w:t xml:space="preserve"> data suggest concomitant use of drugs that are strong CYP3A inhibitors and P-gp inhibitors may increase tepotinib exposure, which may increase the incidence and severity of adverse reactions of TEPMETKO. Concomitant use of </w:t>
      </w:r>
      <w:r>
        <w:lastRenderedPageBreak/>
        <w:t xml:space="preserve">TEPMETKO with dual strong CYP3A inhibitors and P-gp inhibitors </w:t>
      </w:r>
      <w:r w:rsidR="00EC434F">
        <w:t xml:space="preserve">(e.g. ketoconazole, </w:t>
      </w:r>
      <w:r w:rsidR="008219DC">
        <w:t>itraconazole</w:t>
      </w:r>
      <w:r w:rsidR="00EC434F">
        <w:t xml:space="preserve">) </w:t>
      </w:r>
      <w:r>
        <w:t xml:space="preserve">should be avoided. </w:t>
      </w:r>
    </w:p>
    <w:p w14:paraId="7705CB5B" w14:textId="77777777" w:rsidR="00B33895" w:rsidRDefault="00B33895" w:rsidP="00115F6D"/>
    <w:p w14:paraId="6607CEDB" w14:textId="77777777" w:rsidR="002920B1" w:rsidRPr="00674E4A" w:rsidRDefault="00385E57" w:rsidP="002920B1">
      <w:pPr>
        <w:rPr>
          <w:u w:val="single"/>
        </w:rPr>
      </w:pPr>
      <w:r>
        <w:rPr>
          <w:u w:val="single"/>
        </w:rPr>
        <w:t>A</w:t>
      </w:r>
      <w:r w:rsidRPr="00674E4A">
        <w:rPr>
          <w:u w:val="single"/>
        </w:rPr>
        <w:t>cid-reducing agents</w:t>
      </w:r>
    </w:p>
    <w:p w14:paraId="6607CEDC" w14:textId="77777777" w:rsidR="003D25E8" w:rsidRDefault="00385E57" w:rsidP="002920B1">
      <w:r>
        <w:t xml:space="preserve">Co-administration of omeprazole had no marked effect on the pharmacokinetic profile of tepotinib and its metabolites when administered under fed conditions. </w:t>
      </w:r>
    </w:p>
    <w:p w14:paraId="6607CEDD" w14:textId="77777777" w:rsidR="00853459" w:rsidRPr="007608A9" w:rsidRDefault="00385E57" w:rsidP="00597821">
      <w:pPr>
        <w:rPr>
          <w:b/>
          <w:bCs/>
        </w:rPr>
      </w:pPr>
      <w:r w:rsidRPr="007608A9">
        <w:rPr>
          <w:b/>
          <w:bCs/>
        </w:rPr>
        <w:t>Effects of tepotinib on other medicines</w:t>
      </w:r>
    </w:p>
    <w:p w14:paraId="6607CEDE" w14:textId="77777777" w:rsidR="00115F6D" w:rsidRPr="00115F6D" w:rsidRDefault="00385E57" w:rsidP="00115F6D">
      <w:pPr>
        <w:rPr>
          <w:u w:val="single"/>
        </w:rPr>
      </w:pPr>
      <w:r w:rsidRPr="00115F6D">
        <w:rPr>
          <w:u w:val="single"/>
        </w:rPr>
        <w:t>P-gp substrates</w:t>
      </w:r>
    </w:p>
    <w:p w14:paraId="3E20B43B" w14:textId="4B980FAD" w:rsidR="00357088" w:rsidRPr="00080395" w:rsidRDefault="00385E57" w:rsidP="00115F6D">
      <w:r>
        <w:t xml:space="preserve">Tepotinib is an inhibitor of P-gp </w:t>
      </w:r>
      <w:r w:rsidRPr="00674E4A">
        <w:rPr>
          <w:i/>
          <w:iCs/>
        </w:rPr>
        <w:t>in vitro</w:t>
      </w:r>
      <w:r>
        <w:t xml:space="preserve">. </w:t>
      </w:r>
      <w:r w:rsidR="00C3545C">
        <w:t>Tepotinib can inhibit the transport of sensitive substrates of P-gp</w:t>
      </w:r>
      <w:r w:rsidR="004810CC">
        <w:t>.</w:t>
      </w:r>
      <w:r w:rsidR="00C3545C">
        <w:t xml:space="preserve"> </w:t>
      </w:r>
      <w:r>
        <w:t>Multiple administrations of TE</w:t>
      </w:r>
      <w:r w:rsidR="001E2EAD">
        <w:t>PM</w:t>
      </w:r>
      <w:r>
        <w:t xml:space="preserve">ETKO 450 mg orally </w:t>
      </w:r>
      <w:r w:rsidR="00F72704">
        <w:t>once daily had a mild effect on the pharmacokinetics of the sensitive P-gp substrate dabigatran</w:t>
      </w:r>
      <w:r w:rsidR="00464E0D">
        <w:t xml:space="preserve"> etexilate</w:t>
      </w:r>
      <w:r w:rsidR="00F72704">
        <w:t>, increasing its AUC</w:t>
      </w:r>
      <w:r w:rsidR="00F72704" w:rsidRPr="00674E4A">
        <w:rPr>
          <w:vertAlign w:val="subscript"/>
        </w:rPr>
        <w:t xml:space="preserve">t </w:t>
      </w:r>
      <w:r w:rsidR="00F72704">
        <w:t>by approximately 50% and C</w:t>
      </w:r>
      <w:r w:rsidR="00F72704" w:rsidRPr="00674E4A">
        <w:rPr>
          <w:vertAlign w:val="subscript"/>
        </w:rPr>
        <w:t>max</w:t>
      </w:r>
      <w:r w:rsidR="00F72704">
        <w:t xml:space="preserve"> by approximately 40%. </w:t>
      </w:r>
      <w:r w:rsidR="00C3545C">
        <w:t xml:space="preserve">Monitoring of the clinical effects of P-gp-dependent substances with a narrow therapeutic index (e.g. digoxin) is recommended during co-administration with TEPMETKO. </w:t>
      </w:r>
    </w:p>
    <w:p w14:paraId="6607CEE0" w14:textId="773818EA" w:rsidR="00115F6D" w:rsidRPr="00115F6D" w:rsidRDefault="00385E57" w:rsidP="00115F6D">
      <w:pPr>
        <w:rPr>
          <w:u w:val="single"/>
        </w:rPr>
      </w:pPr>
      <w:r w:rsidRPr="00115F6D">
        <w:rPr>
          <w:u w:val="single"/>
        </w:rPr>
        <w:t>BCRP substrates</w:t>
      </w:r>
    </w:p>
    <w:p w14:paraId="6607CEE1" w14:textId="77777777" w:rsidR="00115F6D" w:rsidRDefault="00385E57" w:rsidP="00115F6D">
      <w:r>
        <w:t xml:space="preserve">Tepotinib is an inhibitor of BCRP </w:t>
      </w:r>
      <w:r w:rsidRPr="00674E4A">
        <w:rPr>
          <w:i/>
          <w:iCs/>
        </w:rPr>
        <w:t>in vitro</w:t>
      </w:r>
      <w:r>
        <w:t xml:space="preserve">. </w:t>
      </w:r>
      <w:r w:rsidR="00C3545C">
        <w:t>Tepotinib can inhibit the transport of sensitive substrates of the breast cancer resistance protein (BCRP)</w:t>
      </w:r>
      <w:r w:rsidR="004810CC">
        <w:t>.</w:t>
      </w:r>
      <w:r w:rsidR="00C3545C">
        <w:t xml:space="preserve"> Monitoring of the clinical effects of sensitive BCRP substrates is recommended during co-administration with TEPMETKO. </w:t>
      </w:r>
    </w:p>
    <w:p w14:paraId="6607CEE2" w14:textId="77777777" w:rsidR="00115F6D" w:rsidRDefault="00385E57" w:rsidP="00115F6D">
      <w:pPr>
        <w:rPr>
          <w:u w:val="single"/>
        </w:rPr>
      </w:pPr>
      <w:r>
        <w:rPr>
          <w:u w:val="single"/>
        </w:rPr>
        <w:t>Other transporters</w:t>
      </w:r>
    </w:p>
    <w:p w14:paraId="6607CEE3" w14:textId="77777777" w:rsidR="00F72704" w:rsidRPr="0036260B" w:rsidRDefault="00385E57" w:rsidP="00115F6D">
      <w:r w:rsidRPr="0036260B">
        <w:t>Tepotinib or its major circulating metabolite inhibited OCT2 and MATE2</w:t>
      </w:r>
      <w:r w:rsidR="00FF67D1">
        <w:t>K</w:t>
      </w:r>
      <w:r w:rsidRPr="0036260B">
        <w:t xml:space="preserve"> </w:t>
      </w:r>
      <w:r w:rsidRPr="0036260B">
        <w:rPr>
          <w:i/>
          <w:iCs/>
        </w:rPr>
        <w:t>in vitro</w:t>
      </w:r>
      <w:r w:rsidRPr="0036260B">
        <w:t xml:space="preserve"> at clinically relevant concentrations. </w:t>
      </w:r>
    </w:p>
    <w:p w14:paraId="6607CEE4" w14:textId="77777777" w:rsidR="00115F6D" w:rsidRDefault="00385E57" w:rsidP="00115F6D">
      <w:r>
        <w:t xml:space="preserve">Based on </w:t>
      </w:r>
      <w:r w:rsidRPr="00FA2422">
        <w:rPr>
          <w:i/>
          <w:iCs/>
        </w:rPr>
        <w:t>in vitro</w:t>
      </w:r>
      <w:r>
        <w:t xml:space="preserve"> data, tepotinib or its metabolite may have the potential to increase the AUC of co-administered metformin in humans through inhibition of </w:t>
      </w:r>
      <w:r w:rsidR="00C749DA">
        <w:t>metformin’s</w:t>
      </w:r>
      <w:r>
        <w:t xml:space="preserve"> renal excretion mediated via </w:t>
      </w:r>
      <w:r w:rsidR="00F72704">
        <w:t>OCT</w:t>
      </w:r>
      <w:r>
        <w:t>2</w:t>
      </w:r>
      <w:r w:rsidR="00731E7B">
        <w:t xml:space="preserve"> </w:t>
      </w:r>
      <w:r>
        <w:t xml:space="preserve">and </w:t>
      </w:r>
      <w:r w:rsidR="00605689">
        <w:t>MATE</w:t>
      </w:r>
      <w:r>
        <w:t>2</w:t>
      </w:r>
      <w:r w:rsidR="00FF67D1">
        <w:t>K</w:t>
      </w:r>
      <w:r>
        <w:t>.  Monitoring of the clinical effects of metformin is recommended during co-administration with TEPMETKO.</w:t>
      </w:r>
    </w:p>
    <w:p w14:paraId="6607CEE5" w14:textId="77777777" w:rsidR="00F72704" w:rsidRPr="00674E4A" w:rsidRDefault="00385E57" w:rsidP="00115F6D">
      <w:pPr>
        <w:rPr>
          <w:u w:val="single"/>
        </w:rPr>
      </w:pPr>
      <w:r w:rsidRPr="00674E4A">
        <w:rPr>
          <w:u w:val="single"/>
        </w:rPr>
        <w:t>CYP 450 substrate</w:t>
      </w:r>
      <w:r w:rsidR="00671237">
        <w:rPr>
          <w:u w:val="single"/>
        </w:rPr>
        <w:t>s</w:t>
      </w:r>
    </w:p>
    <w:p w14:paraId="6607CEE6" w14:textId="77777777" w:rsidR="00F72704" w:rsidRDefault="00385E57" w:rsidP="00115F6D">
      <w:r>
        <w:t>Multiple administrations of TE</w:t>
      </w:r>
      <w:r w:rsidR="00963CC5">
        <w:t>P</w:t>
      </w:r>
      <w:r>
        <w:t xml:space="preserve">METKO 450 mg orally once daily had no clinically relevant effect on the PK of the sensitive CYP3A substrate midazolam. Based on </w:t>
      </w:r>
      <w:r w:rsidRPr="00674E4A">
        <w:rPr>
          <w:i/>
          <w:iCs/>
        </w:rPr>
        <w:t>in vitro</w:t>
      </w:r>
      <w:r w:rsidR="000A3954">
        <w:rPr>
          <w:i/>
          <w:iCs/>
        </w:rPr>
        <w:t xml:space="preserve"> </w:t>
      </w:r>
      <w:r w:rsidR="000A3954" w:rsidRPr="000A3954">
        <w:t>data</w:t>
      </w:r>
      <w:r>
        <w:t xml:space="preserve">, neither tepotinib nor its major circulating metabolite present a perpetrator for </w:t>
      </w:r>
      <w:r w:rsidR="00EB1184">
        <w:t xml:space="preserve">other </w:t>
      </w:r>
      <w:r>
        <w:t xml:space="preserve">cytochrome P450 enzymes. </w:t>
      </w:r>
    </w:p>
    <w:p w14:paraId="6607CEE7" w14:textId="77777777" w:rsidR="00F72704" w:rsidRPr="00674E4A" w:rsidRDefault="00385E57" w:rsidP="00115F6D">
      <w:pPr>
        <w:rPr>
          <w:u w:val="single"/>
        </w:rPr>
      </w:pPr>
      <w:r>
        <w:rPr>
          <w:u w:val="single"/>
        </w:rPr>
        <w:t>U</w:t>
      </w:r>
      <w:r w:rsidR="00D60286" w:rsidRPr="00674E4A">
        <w:rPr>
          <w:u w:val="single"/>
        </w:rPr>
        <w:t>GT substrates</w:t>
      </w:r>
    </w:p>
    <w:p w14:paraId="6607CEE8" w14:textId="77777777" w:rsidR="00F72704" w:rsidRPr="00115F6D" w:rsidRDefault="00385E57" w:rsidP="00115F6D">
      <w:r w:rsidRPr="00674E4A">
        <w:rPr>
          <w:i/>
          <w:iCs/>
        </w:rPr>
        <w:t>In vitro</w:t>
      </w:r>
      <w:r>
        <w:t xml:space="preserve"> data do not predict clinically relevant effects on UGT substrates. </w:t>
      </w:r>
    </w:p>
    <w:p w14:paraId="6607CEE9" w14:textId="7AE2F0DD" w:rsidR="001A3992" w:rsidRDefault="00385E57" w:rsidP="001A3992">
      <w:pPr>
        <w:pStyle w:val="Heading2"/>
        <w:spacing w:before="0" w:after="120"/>
      </w:pPr>
      <w:r>
        <w:t>Fertility, pregnancy and lactation</w:t>
      </w:r>
      <w:r w:rsidR="009065C9">
        <w:fldChar w:fldCharType="begin"/>
      </w:r>
      <w:r w:rsidR="009065C9">
        <w:instrText xml:space="preserve"> DOCVARIABLE vault_nd_7366cc20-6360-432a-b8ad-d56fbd17a2af \* MERGEFORMAT </w:instrText>
      </w:r>
      <w:r w:rsidR="009065C9">
        <w:fldChar w:fldCharType="separate"/>
      </w:r>
      <w:r w:rsidR="008F4DF0">
        <w:t xml:space="preserve"> </w:t>
      </w:r>
      <w:r w:rsidR="009065C9">
        <w:fldChar w:fldCharType="end"/>
      </w:r>
    </w:p>
    <w:p w14:paraId="6607CEEA" w14:textId="764AA337" w:rsidR="001A3992" w:rsidRDefault="00385E57" w:rsidP="00756296">
      <w:pPr>
        <w:pStyle w:val="Heading3"/>
        <w:spacing w:before="0" w:after="120"/>
        <w:ind w:left="0"/>
      </w:pPr>
      <w:r w:rsidRPr="00B878CC">
        <w:lastRenderedPageBreak/>
        <w:t>Effects on fertility</w:t>
      </w:r>
      <w:r w:rsidR="009065C9">
        <w:fldChar w:fldCharType="begin"/>
      </w:r>
      <w:r w:rsidR="009065C9">
        <w:instrText xml:space="preserve"> DOCVARIABLE vault_nd_4d65bcab-3685-4b41-83f2-6e68a1ae6f49 \* MERGEFORMAT </w:instrText>
      </w:r>
      <w:r w:rsidR="009065C9">
        <w:fldChar w:fldCharType="separate"/>
      </w:r>
      <w:r w:rsidR="008F4DF0">
        <w:t xml:space="preserve"> </w:t>
      </w:r>
      <w:r w:rsidR="009065C9">
        <w:fldChar w:fldCharType="end"/>
      </w:r>
    </w:p>
    <w:p w14:paraId="6607CEEB" w14:textId="77777777" w:rsidR="00605689" w:rsidRPr="00605689" w:rsidRDefault="00385E57" w:rsidP="00605689">
      <w:r>
        <w:t>No human data on the effect of TEPMETKO on fertility are available</w:t>
      </w:r>
      <w:r w:rsidR="00A83EE8" w:rsidRPr="00605689">
        <w:t xml:space="preserve">. </w:t>
      </w:r>
      <w:r w:rsidR="00413141">
        <w:t xml:space="preserve">No specific studies with tepotinib have been conducted in animals to evaluate the effect on fertility. </w:t>
      </w:r>
      <w:r w:rsidR="00A83EE8" w:rsidRPr="00605689">
        <w:t xml:space="preserve">No morphological changes in male or female reproductive organs were seen in the repeat-dose toxicity studies in </w:t>
      </w:r>
      <w:r>
        <w:t xml:space="preserve">rats and </w:t>
      </w:r>
      <w:r w:rsidR="00A83EE8" w:rsidRPr="00605689">
        <w:t>dogs</w:t>
      </w:r>
      <w:r w:rsidR="00413141">
        <w:t>, except for reduced secretion in seminal vesicles of male rats in a 4-week repeat dose toxicity study at 450 mg/kg/day (comparable to human clinical exposure based on AUC)</w:t>
      </w:r>
      <w:r w:rsidR="00A83EE8" w:rsidRPr="00605689">
        <w:t>.</w:t>
      </w:r>
    </w:p>
    <w:p w14:paraId="6607CEEC" w14:textId="33540369" w:rsidR="001A3992" w:rsidRDefault="00385E57" w:rsidP="00756296">
      <w:pPr>
        <w:pStyle w:val="Heading3"/>
        <w:spacing w:before="0" w:after="120"/>
        <w:ind w:left="0"/>
        <w:rPr>
          <w:rFonts w:cstheme="minorHAnsi"/>
        </w:rPr>
      </w:pPr>
      <w:r w:rsidRPr="00B878CC">
        <w:t xml:space="preserve">Use in pregnancy </w:t>
      </w:r>
      <w:r w:rsidR="005B2812" w:rsidRPr="00497C85">
        <w:rPr>
          <w:rFonts w:cstheme="minorHAnsi"/>
        </w:rPr>
        <w:t xml:space="preserve">– Pregnancy Category </w:t>
      </w:r>
      <w:r w:rsidR="003260A1">
        <w:rPr>
          <w:rFonts w:cstheme="minorHAnsi"/>
        </w:rPr>
        <w:t>D</w:t>
      </w:r>
      <w:r w:rsidR="008F4DF0">
        <w:rPr>
          <w:rFonts w:cstheme="minorHAnsi"/>
        </w:rPr>
        <w:fldChar w:fldCharType="begin"/>
      </w:r>
      <w:r w:rsidR="008F4DF0">
        <w:rPr>
          <w:rFonts w:cstheme="minorHAnsi"/>
        </w:rPr>
        <w:instrText xml:space="preserve"> DOCVARIABLE vault_nd_69a97b43-99fa-43c8-a605-edbac4dd301b \* MERGEFORMAT </w:instrText>
      </w:r>
      <w:r w:rsidR="008F4DF0">
        <w:rPr>
          <w:rFonts w:cstheme="minorHAnsi"/>
        </w:rPr>
        <w:fldChar w:fldCharType="separate"/>
      </w:r>
      <w:r w:rsidR="008F4DF0">
        <w:rPr>
          <w:rFonts w:cstheme="minorHAnsi"/>
        </w:rPr>
        <w:t xml:space="preserve"> </w:t>
      </w:r>
      <w:r w:rsidR="008F4DF0">
        <w:rPr>
          <w:rFonts w:cstheme="minorHAnsi"/>
        </w:rPr>
        <w:fldChar w:fldCharType="end"/>
      </w:r>
    </w:p>
    <w:p w14:paraId="6607CEED" w14:textId="77777777" w:rsidR="00413141" w:rsidRDefault="00385E57" w:rsidP="00605689">
      <w:pPr>
        <w:rPr>
          <w:lang w:val="en-US"/>
        </w:rPr>
      </w:pPr>
      <w:r w:rsidRPr="00605689">
        <w:rPr>
          <w:lang w:val="en-CA"/>
        </w:rPr>
        <w:t>There are no clinical data on the use of TEPMETKO in pregnant women. Studies in animals have shown teratogenicity</w:t>
      </w:r>
      <w:r w:rsidR="00D47A32">
        <w:rPr>
          <w:lang w:val="en-CA"/>
        </w:rPr>
        <w:t xml:space="preserve"> (including malformations)</w:t>
      </w:r>
      <w:r w:rsidRPr="00605689">
        <w:rPr>
          <w:lang w:val="en-CA"/>
        </w:rPr>
        <w:t>. Based on the mechanism of action and findings in animals TEPMETKO can cause fetal harm when administered to pregnant women.</w:t>
      </w:r>
      <w:r w:rsidRPr="00605689">
        <w:rPr>
          <w:lang w:val="en-US"/>
        </w:rPr>
        <w:t xml:space="preserve"> </w:t>
      </w:r>
      <w:r w:rsidRPr="00605689">
        <w:rPr>
          <w:lang w:val="en-CA"/>
        </w:rPr>
        <w:t xml:space="preserve">TEPMETKO </w:t>
      </w:r>
      <w:r>
        <w:rPr>
          <w:lang w:val="en-CA"/>
        </w:rPr>
        <w:t>must</w:t>
      </w:r>
      <w:r w:rsidRPr="00605689">
        <w:rPr>
          <w:lang w:val="en-CA"/>
        </w:rPr>
        <w:t xml:space="preserve"> not be used during pregnancy</w:t>
      </w:r>
      <w:r>
        <w:rPr>
          <w:lang w:val="en-CA"/>
        </w:rPr>
        <w:t>.</w:t>
      </w:r>
      <w:r w:rsidRPr="00605689">
        <w:rPr>
          <w:lang w:val="en-CA"/>
        </w:rPr>
        <w:t xml:space="preserve"> Women of childbearing potential or male patients with female partners of childbearing potential should be advised of the potential risk to a fetus</w:t>
      </w:r>
      <w:r w:rsidR="000E4516">
        <w:rPr>
          <w:lang w:val="en-CA"/>
        </w:rPr>
        <w:t xml:space="preserve"> (see Section 4.4 Special Warnings and Precautions for Use)</w:t>
      </w:r>
      <w:r w:rsidRPr="00605689">
        <w:rPr>
          <w:lang w:val="en-CA"/>
        </w:rPr>
        <w:t>.</w:t>
      </w:r>
      <w:r w:rsidRPr="00605689">
        <w:rPr>
          <w:lang w:val="en-US"/>
        </w:rPr>
        <w:t xml:space="preserve"> </w:t>
      </w:r>
    </w:p>
    <w:p w14:paraId="6607CEEE" w14:textId="77777777" w:rsidR="00995A3A" w:rsidRPr="00995A3A" w:rsidRDefault="00385E57" w:rsidP="00605689">
      <w:pPr>
        <w:rPr>
          <w:lang w:val="en-CA"/>
        </w:rPr>
      </w:pPr>
      <w:r>
        <w:rPr>
          <w:lang w:val="en-US"/>
        </w:rPr>
        <w:t xml:space="preserve">A dose-dependent increase in malformed fetuses (hyperextension of limbs and malrotation of limbs along with concomitant misshapen scapula and/or malpositioned clavicle and/or calcaneous and/or talus) was observed after oral administration of tepotinib to pregnant rabbits at ≥ 5mg/kg/day (approximately 0.003 times the human exposure based on AUC). </w:t>
      </w:r>
    </w:p>
    <w:p w14:paraId="6607CEEF" w14:textId="1CAD6EF9" w:rsidR="001A3992" w:rsidRDefault="00385E57" w:rsidP="00756296">
      <w:pPr>
        <w:pStyle w:val="Heading3"/>
        <w:spacing w:before="0" w:after="120"/>
        <w:ind w:left="0"/>
      </w:pPr>
      <w:r w:rsidRPr="00B878CC">
        <w:t>Use in</w:t>
      </w:r>
      <w:r w:rsidRPr="00164864">
        <w:t xml:space="preserve"> lactation</w:t>
      </w:r>
      <w:r w:rsidR="009065C9">
        <w:fldChar w:fldCharType="begin"/>
      </w:r>
      <w:r w:rsidR="009065C9">
        <w:instrText xml:space="preserve"> DOCVARIABLE vault_nd_43e41ead-bbb4-45af-a953-9915f35c0d48 \* MERGEFORMAT </w:instrText>
      </w:r>
      <w:r w:rsidR="009065C9">
        <w:fldChar w:fldCharType="separate"/>
      </w:r>
      <w:r w:rsidR="008F4DF0">
        <w:t xml:space="preserve"> </w:t>
      </w:r>
      <w:r w:rsidR="009065C9">
        <w:fldChar w:fldCharType="end"/>
      </w:r>
    </w:p>
    <w:p w14:paraId="6607CEF0" w14:textId="77777777" w:rsidR="000E4516" w:rsidRPr="000E4516" w:rsidRDefault="00385E57" w:rsidP="000E4516">
      <w:r w:rsidRPr="000E4516">
        <w:t>There are no data regarding the secretion of tepotinib or its metabolites in human milk or its effects on the breast-fed infant or milk production. Breast-feeding should be discontinued during treatment with TEPMETKO.</w:t>
      </w:r>
    </w:p>
    <w:p w14:paraId="6607CEF1" w14:textId="218280B0" w:rsidR="001A3992" w:rsidRDefault="00385E57" w:rsidP="001A3992">
      <w:pPr>
        <w:pStyle w:val="Heading2"/>
        <w:spacing w:before="0" w:after="120"/>
      </w:pPr>
      <w:r w:rsidRPr="00EC3C40">
        <w:t>Effects</w:t>
      </w:r>
      <w:r>
        <w:t xml:space="preserve"> on ability to drive and use machines</w:t>
      </w:r>
      <w:r w:rsidR="009065C9">
        <w:fldChar w:fldCharType="begin"/>
      </w:r>
      <w:r w:rsidR="009065C9">
        <w:instrText xml:space="preserve"> DOCVARIABLE vault_nd_c9c7eec1-6a68-4cca-af3f-8876757881ab \* MERGEFORMAT </w:instrText>
      </w:r>
      <w:r w:rsidR="009065C9">
        <w:fldChar w:fldCharType="separate"/>
      </w:r>
      <w:r w:rsidR="008F4DF0">
        <w:t xml:space="preserve"> </w:t>
      </w:r>
      <w:r w:rsidR="009065C9">
        <w:fldChar w:fldCharType="end"/>
      </w:r>
    </w:p>
    <w:p w14:paraId="6607CEF2" w14:textId="1F35C3AB" w:rsidR="005B2812" w:rsidRPr="005B2812" w:rsidRDefault="005E553C" w:rsidP="005B2812">
      <w:r>
        <w:rPr>
          <w:rFonts w:cstheme="minorHAnsi"/>
          <w:lang w:val="en"/>
        </w:rPr>
        <w:t xml:space="preserve">TEPMETKO may have minor influence on the ability to drive and use machines, as during treatment with tepotinib, fatigue and asthenia have been reported. </w:t>
      </w:r>
    </w:p>
    <w:p w14:paraId="6607CEF3" w14:textId="21AF8495" w:rsidR="001A3992" w:rsidRDefault="00385E57" w:rsidP="001A3992">
      <w:pPr>
        <w:pStyle w:val="Heading2"/>
        <w:keepNext/>
        <w:keepLines/>
        <w:spacing w:before="0" w:after="120"/>
      </w:pPr>
      <w:r>
        <w:t>Adverse effects (Undesirable effects)</w:t>
      </w:r>
      <w:r w:rsidR="009065C9">
        <w:fldChar w:fldCharType="begin"/>
      </w:r>
      <w:r w:rsidR="009065C9">
        <w:instrText xml:space="preserve"> DOCVARIABLE vault_nd_06d9b26b-aff3-407a-b014-77384e37d2bf \* MERGEFORMAT </w:instrText>
      </w:r>
      <w:r w:rsidR="009065C9">
        <w:fldChar w:fldCharType="separate"/>
      </w:r>
      <w:r w:rsidR="008F4DF0">
        <w:t xml:space="preserve"> </w:t>
      </w:r>
      <w:r w:rsidR="009065C9">
        <w:fldChar w:fldCharType="end"/>
      </w:r>
    </w:p>
    <w:p w14:paraId="6607CEF4" w14:textId="53561AF7" w:rsidR="004E1734" w:rsidRPr="004E1734" w:rsidRDefault="00385E57" w:rsidP="00756296">
      <w:pPr>
        <w:pStyle w:val="Heading3"/>
        <w:spacing w:before="0" w:after="120"/>
        <w:ind w:left="0"/>
      </w:pPr>
      <w:r w:rsidRPr="004E1734">
        <w:t xml:space="preserve">Clinical Trial </w:t>
      </w:r>
      <w:r w:rsidR="00AA58EC">
        <w:t>Experience</w:t>
      </w:r>
      <w:r w:rsidR="009065C9">
        <w:fldChar w:fldCharType="begin"/>
      </w:r>
      <w:r w:rsidR="009065C9">
        <w:instrText xml:space="preserve"> DOCVARIABLE vault_nd_69a232c1-3047-447d-aa7e-779fef02bce9 \* MERGEFORMAT </w:instrText>
      </w:r>
      <w:r w:rsidR="009065C9">
        <w:fldChar w:fldCharType="separate"/>
      </w:r>
      <w:r w:rsidR="008F4DF0">
        <w:t xml:space="preserve"> </w:t>
      </w:r>
      <w:r w:rsidR="009065C9">
        <w:fldChar w:fldCharType="end"/>
      </w:r>
    </w:p>
    <w:p w14:paraId="6607CEF5" w14:textId="77777777" w:rsidR="00AD08F7" w:rsidRDefault="00385E57" w:rsidP="004E1734">
      <w:pPr>
        <w:widowControl w:val="0"/>
        <w:spacing w:line="240" w:lineRule="auto"/>
        <w:rPr>
          <w:rFonts w:eastAsia="Times New Roman" w:cs="Arial"/>
          <w:lang w:val="en-CA" w:eastAsia="en-CA"/>
        </w:rPr>
      </w:pPr>
      <w:r w:rsidRPr="000C3903">
        <w:rPr>
          <w:rFonts w:eastAsia="Times New Roman" w:cs="Arial"/>
          <w:lang w:val="en-CA" w:eastAsia="en-CA"/>
        </w:rPr>
        <w:t xml:space="preserve">The safety profile of </w:t>
      </w:r>
      <w:r>
        <w:rPr>
          <w:rFonts w:eastAsia="Times New Roman" w:cs="Arial"/>
          <w:lang w:val="en-CA" w:eastAsia="en-CA"/>
        </w:rPr>
        <w:t>TEPMETKO</w:t>
      </w:r>
      <w:r w:rsidRPr="000C3903">
        <w:rPr>
          <w:rFonts w:eastAsia="Times New Roman" w:cs="Arial"/>
          <w:lang w:val="en-CA" w:eastAsia="en-CA"/>
        </w:rPr>
        <w:t xml:space="preserve"> reflects exposure to tepotinib in </w:t>
      </w:r>
      <w:r w:rsidR="00C74449">
        <w:rPr>
          <w:rFonts w:eastAsia="Times New Roman" w:cs="Arial"/>
          <w:lang w:val="en-CA" w:eastAsia="en-CA"/>
        </w:rPr>
        <w:t>448</w:t>
      </w:r>
      <w:r w:rsidRPr="000C3903">
        <w:rPr>
          <w:rFonts w:eastAsia="Times New Roman" w:cs="Arial"/>
          <w:lang w:val="en-CA" w:eastAsia="en-CA"/>
        </w:rPr>
        <w:t xml:space="preserve"> patients with various solid tumours enrolled in five open-label, single-arm studies, in which patients received tepotinib as a single agent at a dose of</w:t>
      </w:r>
      <w:r w:rsidR="00803C25">
        <w:rPr>
          <w:rFonts w:eastAsia="Times New Roman" w:cs="Arial"/>
          <w:lang w:val="en-CA" w:eastAsia="en-CA"/>
        </w:rPr>
        <w:t xml:space="preserve"> </w:t>
      </w:r>
      <w:r w:rsidRPr="000C3903">
        <w:rPr>
          <w:rFonts w:eastAsia="Times New Roman" w:cs="Arial"/>
          <w:lang w:val="en-CA" w:eastAsia="en-CA"/>
        </w:rPr>
        <w:t xml:space="preserve">450 mg once daily.  This includes </w:t>
      </w:r>
      <w:r w:rsidR="00C74449">
        <w:rPr>
          <w:rFonts w:eastAsia="Times New Roman" w:cs="Arial"/>
          <w:lang w:val="en-CA" w:eastAsia="en-CA"/>
        </w:rPr>
        <w:t>255</w:t>
      </w:r>
      <w:r w:rsidRPr="000C3903">
        <w:rPr>
          <w:rFonts w:eastAsia="Times New Roman" w:cs="Arial"/>
          <w:lang w:val="en-CA" w:eastAsia="en-CA"/>
        </w:rPr>
        <w:t xml:space="preserve"> patients with advanced NSCLC harbouring </w:t>
      </w:r>
      <w:r w:rsidRPr="000C3903">
        <w:rPr>
          <w:rFonts w:eastAsia="Times New Roman" w:cs="Arial"/>
          <w:i/>
          <w:iCs/>
          <w:lang w:val="en-CA" w:eastAsia="en-CA"/>
        </w:rPr>
        <w:t>MET</w:t>
      </w:r>
      <w:r w:rsidRPr="000C3903">
        <w:rPr>
          <w:rFonts w:eastAsia="Times New Roman" w:cs="Arial"/>
          <w:lang w:val="en-CA" w:eastAsia="en-CA"/>
        </w:rPr>
        <w:t>ex14 skipping alterations included in the main clinical study (VISION).  The median duration of exposure in this study was 2</w:t>
      </w:r>
      <w:r w:rsidR="00C74449">
        <w:rPr>
          <w:rFonts w:eastAsia="Times New Roman" w:cs="Arial"/>
          <w:lang w:val="en-CA" w:eastAsia="en-CA"/>
        </w:rPr>
        <w:t>2.3</w:t>
      </w:r>
      <w:r w:rsidRPr="000C3903">
        <w:rPr>
          <w:rFonts w:eastAsia="Times New Roman" w:cs="Arial"/>
          <w:lang w:val="en-CA" w:eastAsia="en-CA"/>
        </w:rPr>
        <w:t xml:space="preserve"> weeks (range 0 to 1</w:t>
      </w:r>
      <w:r w:rsidR="00C74449">
        <w:rPr>
          <w:rFonts w:eastAsia="Times New Roman" w:cs="Arial"/>
          <w:lang w:val="en-CA" w:eastAsia="en-CA"/>
        </w:rPr>
        <w:t>88</w:t>
      </w:r>
      <w:r w:rsidRPr="000C3903">
        <w:rPr>
          <w:rFonts w:eastAsia="Times New Roman" w:cs="Arial"/>
          <w:lang w:val="en-CA" w:eastAsia="en-CA"/>
        </w:rPr>
        <w:t xml:space="preserve"> weeks).</w:t>
      </w:r>
    </w:p>
    <w:p w14:paraId="6607CEF6" w14:textId="77777777" w:rsidR="00AA58EC" w:rsidRDefault="00385E57" w:rsidP="004E1734">
      <w:pPr>
        <w:widowControl w:val="0"/>
        <w:spacing w:line="240" w:lineRule="auto"/>
        <w:rPr>
          <w:rFonts w:eastAsia="Times New Roman" w:cs="Arial"/>
          <w:lang w:val="en-CA" w:eastAsia="en-CA"/>
        </w:rPr>
      </w:pPr>
      <w:r>
        <w:rPr>
          <w:rFonts w:eastAsia="Times New Roman" w:cs="Arial"/>
          <w:lang w:val="en-CA" w:eastAsia="en-CA"/>
        </w:rPr>
        <w:t xml:space="preserve">The data described below reflect exposure to TEPMETKO 450 mg once daily in 255 patients with advanced NSCLC harbouring </w:t>
      </w:r>
      <w:r w:rsidRPr="008E54C9">
        <w:rPr>
          <w:rFonts w:eastAsia="Times New Roman" w:cs="Arial"/>
          <w:i/>
          <w:iCs/>
          <w:lang w:val="en-CA" w:eastAsia="en-CA"/>
        </w:rPr>
        <w:t>MET</w:t>
      </w:r>
      <w:r>
        <w:rPr>
          <w:rFonts w:eastAsia="Times New Roman" w:cs="Arial"/>
          <w:lang w:val="en-CA" w:eastAsia="en-CA"/>
        </w:rPr>
        <w:t xml:space="preserve">ex14 skipping alterations. </w:t>
      </w:r>
    </w:p>
    <w:p w14:paraId="6607CEF7" w14:textId="77777777" w:rsidR="002C52B0" w:rsidRDefault="00385E57" w:rsidP="004E1734">
      <w:pPr>
        <w:widowControl w:val="0"/>
        <w:spacing w:line="240" w:lineRule="auto"/>
        <w:rPr>
          <w:rFonts w:eastAsia="Times New Roman" w:cs="Arial"/>
          <w:lang w:val="en-CA" w:eastAsia="en-CA"/>
        </w:rPr>
      </w:pPr>
      <w:r>
        <w:rPr>
          <w:rFonts w:eastAsia="Times New Roman" w:cs="Arial"/>
          <w:lang w:val="en-CA" w:eastAsia="en-CA"/>
        </w:rPr>
        <w:t xml:space="preserve">Serious treatment emergent adverse events </w:t>
      </w:r>
      <w:r w:rsidR="008E0667">
        <w:rPr>
          <w:rFonts w:eastAsia="Times New Roman" w:cs="Arial"/>
          <w:lang w:val="en-CA" w:eastAsia="en-CA"/>
        </w:rPr>
        <w:t xml:space="preserve">(TEAEs) occurred in 45.1% of patients </w:t>
      </w:r>
      <w:r w:rsidR="00972F89">
        <w:rPr>
          <w:rFonts w:eastAsia="Times New Roman" w:cs="Arial"/>
          <w:lang w:val="en-CA" w:eastAsia="en-CA"/>
        </w:rPr>
        <w:t>who received TEPMETKO</w:t>
      </w:r>
      <w:r w:rsidR="008E0667">
        <w:rPr>
          <w:rFonts w:eastAsia="Times New Roman" w:cs="Arial"/>
          <w:lang w:val="en-CA" w:eastAsia="en-CA"/>
        </w:rPr>
        <w:t xml:space="preserve">. Serious TEAEs in </w:t>
      </w:r>
      <w:r w:rsidR="00AD08F7">
        <w:rPr>
          <w:rFonts w:eastAsia="Times New Roman" w:cs="Arial"/>
          <w:lang w:val="en-CA" w:eastAsia="en-CA"/>
        </w:rPr>
        <w:t>≥</w:t>
      </w:r>
      <w:r w:rsidR="008E0667">
        <w:rPr>
          <w:rFonts w:eastAsia="Times New Roman" w:cs="Arial"/>
          <w:lang w:val="en-CA" w:eastAsia="en-CA"/>
        </w:rPr>
        <w:t xml:space="preserve"> 2% of patients included </w:t>
      </w:r>
      <w:r w:rsidR="000462B0">
        <w:rPr>
          <w:rFonts w:eastAsia="Times New Roman" w:cs="Arial"/>
          <w:lang w:val="en-CA" w:eastAsia="en-CA"/>
        </w:rPr>
        <w:t xml:space="preserve">pleural effusion (6.7%), pneumonia (4.7%), dyspnoea (3.9%), </w:t>
      </w:r>
      <w:r w:rsidR="008E0667">
        <w:rPr>
          <w:rFonts w:eastAsia="Times New Roman" w:cs="Arial"/>
          <w:lang w:val="en-CA" w:eastAsia="en-CA"/>
        </w:rPr>
        <w:t>general health deterioration (3.5%), peripheral oedema (2.4%), generalised oedema (2.0%)</w:t>
      </w:r>
      <w:r w:rsidR="00FD0730">
        <w:rPr>
          <w:rFonts w:eastAsia="Times New Roman" w:cs="Arial"/>
          <w:lang w:val="en-CA" w:eastAsia="en-CA"/>
        </w:rPr>
        <w:t xml:space="preserve"> and</w:t>
      </w:r>
      <w:r w:rsidR="00F60B67">
        <w:rPr>
          <w:rFonts w:eastAsia="Times New Roman" w:cs="Arial"/>
          <w:lang w:val="en-CA" w:eastAsia="en-CA"/>
        </w:rPr>
        <w:t xml:space="preserve"> </w:t>
      </w:r>
      <w:r w:rsidR="008E0667">
        <w:rPr>
          <w:rFonts w:eastAsia="Times New Roman" w:cs="Arial"/>
          <w:lang w:val="en-CA" w:eastAsia="en-CA"/>
        </w:rPr>
        <w:t xml:space="preserve">pulmonary embolism (2.0%).  </w:t>
      </w:r>
    </w:p>
    <w:p w14:paraId="6607CEF8" w14:textId="77777777" w:rsidR="00126DEB" w:rsidRDefault="00385E57" w:rsidP="004E1734">
      <w:pPr>
        <w:widowControl w:val="0"/>
        <w:spacing w:line="240" w:lineRule="auto"/>
        <w:rPr>
          <w:rFonts w:eastAsia="Times New Roman" w:cs="Arial"/>
          <w:lang w:val="en-CA" w:eastAsia="en-CA"/>
        </w:rPr>
      </w:pPr>
      <w:r>
        <w:rPr>
          <w:rFonts w:eastAsia="Times New Roman" w:cs="Arial"/>
          <w:lang w:val="en-CA" w:eastAsia="en-CA"/>
        </w:rPr>
        <w:t>Permanent discontinuation due to TEAEs occurred in 20</w:t>
      </w:r>
      <w:r w:rsidR="00880493">
        <w:rPr>
          <w:rFonts w:eastAsia="Times New Roman" w:cs="Arial"/>
          <w:lang w:val="en-CA" w:eastAsia="en-CA"/>
        </w:rPr>
        <w:t>.4</w:t>
      </w:r>
      <w:r>
        <w:rPr>
          <w:rFonts w:eastAsia="Times New Roman" w:cs="Arial"/>
          <w:lang w:val="en-CA" w:eastAsia="en-CA"/>
        </w:rPr>
        <w:t xml:space="preserve">% of patients who received </w:t>
      </w:r>
      <w:r>
        <w:rPr>
          <w:rFonts w:eastAsia="Times New Roman" w:cs="Arial"/>
          <w:lang w:val="en-CA" w:eastAsia="en-CA"/>
        </w:rPr>
        <w:lastRenderedPageBreak/>
        <w:t xml:space="preserve">TEPMETKO. </w:t>
      </w:r>
      <w:r w:rsidR="00972F89">
        <w:rPr>
          <w:rFonts w:eastAsia="Times New Roman" w:cs="Arial"/>
          <w:lang w:val="en-CA" w:eastAsia="en-CA"/>
        </w:rPr>
        <w:t>Common</w:t>
      </w:r>
      <w:r>
        <w:rPr>
          <w:rFonts w:eastAsia="Times New Roman" w:cs="Arial"/>
          <w:lang w:val="en-CA" w:eastAsia="en-CA"/>
        </w:rPr>
        <w:t xml:space="preserve"> TEAEs </w:t>
      </w:r>
      <w:r w:rsidR="00880493">
        <w:rPr>
          <w:rFonts w:eastAsia="Times New Roman" w:cs="Arial"/>
          <w:lang w:val="en-CA" w:eastAsia="en-CA"/>
        </w:rPr>
        <w:t>(</w:t>
      </w:r>
      <w:r w:rsidR="00E3476A">
        <w:rPr>
          <w:rFonts w:eastAsia="Times New Roman" w:cs="Arial"/>
          <w:lang w:val="en-CA" w:eastAsia="en-CA"/>
        </w:rPr>
        <w:t>&gt;</w:t>
      </w:r>
      <w:r w:rsidR="00880493">
        <w:rPr>
          <w:rFonts w:eastAsia="Times New Roman" w:cs="Arial"/>
          <w:lang w:val="en-CA" w:eastAsia="en-CA"/>
        </w:rPr>
        <w:t xml:space="preserve"> </w:t>
      </w:r>
      <w:r w:rsidR="000462B0">
        <w:rPr>
          <w:rFonts w:eastAsia="Times New Roman" w:cs="Arial"/>
          <w:lang w:val="en-CA" w:eastAsia="en-CA"/>
        </w:rPr>
        <w:t>1</w:t>
      </w:r>
      <w:r w:rsidR="00880493">
        <w:rPr>
          <w:rFonts w:eastAsia="Times New Roman" w:cs="Arial"/>
          <w:lang w:val="en-CA" w:eastAsia="en-CA"/>
        </w:rPr>
        <w:t xml:space="preserve">.0%) </w:t>
      </w:r>
      <w:r>
        <w:rPr>
          <w:rFonts w:eastAsia="Times New Roman" w:cs="Arial"/>
          <w:lang w:val="en-CA" w:eastAsia="en-CA"/>
        </w:rPr>
        <w:t xml:space="preserve">leading to permanent discontinuation of TEPMETKO were </w:t>
      </w:r>
      <w:r w:rsidR="00F03E44">
        <w:rPr>
          <w:rFonts w:eastAsia="Times New Roman" w:cs="Arial"/>
          <w:lang w:val="en-CA" w:eastAsia="en-CA"/>
        </w:rPr>
        <w:t xml:space="preserve">peripheral oedema (3.5%), pleural effusion (2.0%), </w:t>
      </w:r>
      <w:r w:rsidR="000462B0">
        <w:rPr>
          <w:rFonts w:eastAsia="Times New Roman" w:cs="Arial"/>
          <w:lang w:val="en-CA" w:eastAsia="en-CA"/>
        </w:rPr>
        <w:t>general health deterioration (1.6%), dyspnoea (1.6%)</w:t>
      </w:r>
      <w:r w:rsidR="00564F81">
        <w:rPr>
          <w:rFonts w:eastAsia="Times New Roman" w:cs="Arial"/>
          <w:lang w:val="en-CA" w:eastAsia="en-CA"/>
        </w:rPr>
        <w:t>, genital oedema (1.2%)</w:t>
      </w:r>
      <w:r w:rsidR="000462B0">
        <w:rPr>
          <w:rFonts w:eastAsia="Times New Roman" w:cs="Arial"/>
          <w:lang w:val="en-CA" w:eastAsia="en-CA"/>
        </w:rPr>
        <w:t xml:space="preserve"> and pneumonitis (1.2%)</w:t>
      </w:r>
      <w:r>
        <w:rPr>
          <w:rFonts w:eastAsia="Times New Roman" w:cs="Arial"/>
          <w:lang w:val="en-CA" w:eastAsia="en-CA"/>
        </w:rPr>
        <w:t>.</w:t>
      </w:r>
    </w:p>
    <w:p w14:paraId="6607CEF9" w14:textId="77777777" w:rsidR="00573D03" w:rsidRDefault="00385E57" w:rsidP="004E1734">
      <w:pPr>
        <w:widowControl w:val="0"/>
        <w:spacing w:line="240" w:lineRule="auto"/>
        <w:rPr>
          <w:rFonts w:eastAsia="Times New Roman" w:cs="Arial"/>
          <w:lang w:val="en-CA" w:eastAsia="en-CA"/>
        </w:rPr>
      </w:pPr>
      <w:r>
        <w:rPr>
          <w:rFonts w:eastAsia="Times New Roman" w:cs="Arial"/>
          <w:lang w:val="en-CA" w:eastAsia="en-CA"/>
        </w:rPr>
        <w:t>Dosage interruptions due to TEAEs occurred in 4</w:t>
      </w:r>
      <w:r w:rsidR="00F01AD7">
        <w:rPr>
          <w:rFonts w:eastAsia="Times New Roman" w:cs="Arial"/>
          <w:lang w:val="en-CA" w:eastAsia="en-CA"/>
        </w:rPr>
        <w:t>3.9</w:t>
      </w:r>
      <w:r>
        <w:rPr>
          <w:rFonts w:eastAsia="Times New Roman" w:cs="Arial"/>
          <w:lang w:val="en-CA" w:eastAsia="en-CA"/>
        </w:rPr>
        <w:t xml:space="preserve">% of patients who received TEPMETKO. TEAEs which required dosage interruption in </w:t>
      </w:r>
      <w:r w:rsidR="003C6A5E">
        <w:rPr>
          <w:rFonts w:eastAsia="Times New Roman" w:cs="Arial"/>
          <w:lang w:val="en-CA" w:eastAsia="en-CA"/>
        </w:rPr>
        <w:t>&gt;</w:t>
      </w:r>
      <w:r w:rsidR="00543330">
        <w:rPr>
          <w:rFonts w:eastAsia="Times New Roman" w:cs="Arial"/>
          <w:lang w:val="en-CA" w:eastAsia="en-CA"/>
        </w:rPr>
        <w:t xml:space="preserve"> 2% of patients who received TEPMETKO included peripheral oedema (16.9%), generalised oedema (3.1%), oedema (2.7%), increased blood creatinine (6.3%), pleural effusion (4.3%), increased ALT (3.1%)</w:t>
      </w:r>
      <w:r w:rsidR="003C6A5E">
        <w:rPr>
          <w:rFonts w:eastAsia="Times New Roman" w:cs="Arial"/>
          <w:lang w:val="en-CA" w:eastAsia="en-CA"/>
        </w:rPr>
        <w:t xml:space="preserve"> and</w:t>
      </w:r>
      <w:r w:rsidR="00543330">
        <w:rPr>
          <w:rFonts w:eastAsia="Times New Roman" w:cs="Arial"/>
          <w:lang w:val="en-CA" w:eastAsia="en-CA"/>
        </w:rPr>
        <w:t xml:space="preserve"> pneumonia (2.4%)</w:t>
      </w:r>
      <w:r w:rsidR="003C6A5E">
        <w:rPr>
          <w:rFonts w:eastAsia="Times New Roman" w:cs="Arial"/>
          <w:lang w:val="en-CA" w:eastAsia="en-CA"/>
        </w:rPr>
        <w:t xml:space="preserve">. </w:t>
      </w:r>
    </w:p>
    <w:p w14:paraId="6607CEFA" w14:textId="77777777" w:rsidR="00977069" w:rsidRDefault="00385E57" w:rsidP="004E1734">
      <w:pPr>
        <w:widowControl w:val="0"/>
        <w:spacing w:line="240" w:lineRule="auto"/>
        <w:rPr>
          <w:rFonts w:eastAsia="Times New Roman" w:cs="Arial"/>
          <w:lang w:val="en-CA" w:eastAsia="en-CA"/>
        </w:rPr>
      </w:pPr>
      <w:r>
        <w:rPr>
          <w:rFonts w:eastAsia="Times New Roman" w:cs="Arial"/>
          <w:lang w:val="en-CA" w:eastAsia="en-CA"/>
        </w:rPr>
        <w:t>TEAEs leading to treatment dose reduction occurred in 29.8% of patients who received TEPMETKO. The most frequent TEAEs (</w:t>
      </w:r>
      <w:r w:rsidR="00E3476A">
        <w:rPr>
          <w:rFonts w:eastAsia="Times New Roman" w:cs="Arial"/>
          <w:lang w:val="en-CA" w:eastAsia="en-CA"/>
        </w:rPr>
        <w:t>&gt;</w:t>
      </w:r>
      <w:r>
        <w:rPr>
          <w:rFonts w:eastAsia="Times New Roman" w:cs="Arial"/>
          <w:lang w:val="en-CA" w:eastAsia="en-CA"/>
        </w:rPr>
        <w:t xml:space="preserve"> 2.0%) leading to treatment dose reduction included peripheral oedema (14.1%), </w:t>
      </w:r>
      <w:r w:rsidR="00972F89">
        <w:rPr>
          <w:rFonts w:eastAsia="Times New Roman" w:cs="Arial"/>
          <w:lang w:val="en-CA" w:eastAsia="en-CA"/>
        </w:rPr>
        <w:t xml:space="preserve">increased blood creatinine (2.7%), pleural effusion (2.7%), </w:t>
      </w:r>
      <w:r>
        <w:rPr>
          <w:rFonts w:eastAsia="Times New Roman" w:cs="Arial"/>
          <w:lang w:val="en-CA" w:eastAsia="en-CA"/>
        </w:rPr>
        <w:t>generalised oedema (2.4%)</w:t>
      </w:r>
      <w:r w:rsidR="00972F89">
        <w:rPr>
          <w:rFonts w:eastAsia="Times New Roman" w:cs="Arial"/>
          <w:lang w:val="en-CA" w:eastAsia="en-CA"/>
        </w:rPr>
        <w:t xml:space="preserve"> and</w:t>
      </w:r>
      <w:r>
        <w:rPr>
          <w:rFonts w:eastAsia="Times New Roman" w:cs="Arial"/>
          <w:lang w:val="en-CA" w:eastAsia="en-CA"/>
        </w:rPr>
        <w:t xml:space="preserve"> oedema (2.4%).</w:t>
      </w:r>
    </w:p>
    <w:p w14:paraId="6607CEFB" w14:textId="77777777" w:rsidR="004E1734" w:rsidRDefault="00385E57" w:rsidP="004E1734">
      <w:pPr>
        <w:widowControl w:val="0"/>
        <w:spacing w:line="240" w:lineRule="auto"/>
        <w:rPr>
          <w:rFonts w:eastAsia="Times New Roman" w:cs="Arial"/>
          <w:lang w:val="en-US" w:eastAsia="en-CA"/>
        </w:rPr>
      </w:pPr>
      <w:r w:rsidRPr="004E1734">
        <w:rPr>
          <w:rFonts w:eastAsia="Times New Roman" w:cs="Arial"/>
          <w:lang w:val="en-US" w:eastAsia="en-CA"/>
        </w:rPr>
        <w:t xml:space="preserve">Table </w:t>
      </w:r>
      <w:r w:rsidR="007E09A9">
        <w:rPr>
          <w:rFonts w:eastAsia="Times New Roman" w:cs="Arial"/>
          <w:lang w:val="en-US" w:eastAsia="en-CA"/>
        </w:rPr>
        <w:t>2</w:t>
      </w:r>
      <w:r w:rsidRPr="004E1734">
        <w:rPr>
          <w:rFonts w:eastAsia="Times New Roman" w:cs="Arial"/>
          <w:lang w:val="en-US" w:eastAsia="en-CA"/>
        </w:rPr>
        <w:t xml:space="preserve"> summari</w:t>
      </w:r>
      <w:r w:rsidR="00105A9F">
        <w:rPr>
          <w:rFonts w:eastAsia="Times New Roman" w:cs="Arial"/>
          <w:lang w:val="en-US" w:eastAsia="en-CA"/>
        </w:rPr>
        <w:t>s</w:t>
      </w:r>
      <w:r w:rsidRPr="004E1734">
        <w:rPr>
          <w:rFonts w:eastAsia="Times New Roman" w:cs="Arial"/>
          <w:lang w:val="en-US" w:eastAsia="en-CA"/>
        </w:rPr>
        <w:t>es the incidence of adverse reactions that occurred in</w:t>
      </w:r>
      <w:r w:rsidR="00972F89">
        <w:rPr>
          <w:rFonts w:eastAsia="Times New Roman" w:cs="Arial"/>
          <w:lang w:val="en-US" w:eastAsia="en-CA"/>
        </w:rPr>
        <w:t xml:space="preserve"> </w:t>
      </w:r>
      <w:r w:rsidRPr="004E1734">
        <w:rPr>
          <w:rFonts w:eastAsia="Times New Roman" w:cs="Arial"/>
          <w:lang w:val="en-US" w:eastAsia="en-CA"/>
        </w:rPr>
        <w:t>patients with NSCLC harbo</w:t>
      </w:r>
      <w:r w:rsidR="00105A9F">
        <w:rPr>
          <w:rFonts w:eastAsia="Times New Roman" w:cs="Arial"/>
          <w:lang w:val="en-US" w:eastAsia="en-CA"/>
        </w:rPr>
        <w:t>u</w:t>
      </w:r>
      <w:r w:rsidRPr="004E1734">
        <w:rPr>
          <w:rFonts w:eastAsia="Times New Roman" w:cs="Arial"/>
          <w:lang w:val="en-US" w:eastAsia="en-CA"/>
        </w:rPr>
        <w:t xml:space="preserve">ring </w:t>
      </w:r>
      <w:r w:rsidRPr="004E1734">
        <w:rPr>
          <w:rFonts w:eastAsia="Times New Roman" w:cs="Arial"/>
          <w:i/>
          <w:iCs/>
          <w:lang w:val="en-US" w:eastAsia="en-CA"/>
        </w:rPr>
        <w:t>MET</w:t>
      </w:r>
      <w:r w:rsidRPr="004E1734">
        <w:rPr>
          <w:rFonts w:eastAsia="Times New Roman" w:cs="Arial"/>
          <w:lang w:val="en-US" w:eastAsia="en-CA"/>
        </w:rPr>
        <w:t>ex14 skipping alterations</w:t>
      </w:r>
      <w:r w:rsidR="00105A9F">
        <w:rPr>
          <w:rFonts w:eastAsia="Times New Roman" w:cs="Arial"/>
          <w:lang w:val="en-US" w:eastAsia="en-CA"/>
        </w:rPr>
        <w:t xml:space="preserve"> in VISION </w:t>
      </w:r>
      <w:r w:rsidR="000C3903">
        <w:rPr>
          <w:rFonts w:eastAsia="Times New Roman" w:cs="Arial"/>
          <w:lang w:val="en-US" w:eastAsia="en-CA"/>
        </w:rPr>
        <w:t>study</w:t>
      </w:r>
      <w:r w:rsidRPr="004E1734">
        <w:rPr>
          <w:rFonts w:eastAsia="Times New Roman" w:cs="Arial"/>
          <w:lang w:val="en-US" w:eastAsia="en-CA"/>
        </w:rPr>
        <w:t xml:space="preserve">. </w:t>
      </w:r>
    </w:p>
    <w:p w14:paraId="6607CEFC" w14:textId="77777777" w:rsidR="004E1734" w:rsidRPr="004E1734" w:rsidRDefault="00385E57" w:rsidP="004E1734">
      <w:pPr>
        <w:widowControl w:val="0"/>
        <w:spacing w:line="240" w:lineRule="auto"/>
        <w:rPr>
          <w:rFonts w:eastAsia="Times New Roman" w:cs="Arial"/>
          <w:lang w:val="en-CA" w:eastAsia="en-CA"/>
        </w:rPr>
      </w:pPr>
      <w:r>
        <w:rPr>
          <w:rFonts w:eastAsia="Times New Roman" w:cs="Arial"/>
          <w:lang w:val="en-US" w:eastAsia="en-CA"/>
        </w:rPr>
        <w:t>The adverse drug reactions are listed by System Organ Class (SOC) and frequency categories, defined using the following conventions: very common (≥ 1/10), common (≥ 1/100 to &lt;1/10)</w:t>
      </w:r>
      <w:r w:rsidR="00477144">
        <w:rPr>
          <w:rFonts w:eastAsia="Times New Roman" w:cs="Arial"/>
          <w:lang w:val="en-US" w:eastAsia="en-CA"/>
        </w:rPr>
        <w:t xml:space="preserve">, uncommon (≥1/1000 to &lt;1/100), rare (≥1/10,000 to &lt;1/1,000), and very rare (&lt;1/10,000). </w:t>
      </w:r>
    </w:p>
    <w:tbl>
      <w:tblPr>
        <w:tblW w:w="9360" w:type="dxa"/>
        <w:tblInd w:w="101" w:type="dxa"/>
        <w:tblLayout w:type="fixed"/>
        <w:tblCellMar>
          <w:left w:w="101" w:type="dxa"/>
          <w:right w:w="101" w:type="dxa"/>
        </w:tblCellMar>
        <w:tblLook w:val="0000" w:firstRow="0" w:lastRow="0" w:firstColumn="0" w:lastColumn="0" w:noHBand="0" w:noVBand="0"/>
      </w:tblPr>
      <w:tblGrid>
        <w:gridCol w:w="9360"/>
      </w:tblGrid>
      <w:tr w:rsidR="009A289F" w14:paraId="6607CF69" w14:textId="77777777" w:rsidTr="00477144">
        <w:trPr>
          <w:cantSplit/>
        </w:trPr>
        <w:tc>
          <w:tcPr>
            <w:tcW w:w="9360" w:type="dxa"/>
          </w:tcPr>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072"/>
            </w:tblGrid>
            <w:tr w:rsidR="009A289F" w14:paraId="6607CF67" w14:textId="77777777" w:rsidTr="00597821">
              <w:tc>
                <w:tcPr>
                  <w:tcW w:w="9072" w:type="dxa"/>
                  <w:tcBorders>
                    <w:top w:val="nil"/>
                    <w:left w:val="nil"/>
                    <w:bottom w:val="single" w:sz="4" w:space="0" w:color="FFFFFF"/>
                    <w:right w:val="nil"/>
                  </w:tcBorders>
                  <w:shd w:val="clear" w:color="auto" w:fill="auto"/>
                </w:tcPr>
                <w:p w14:paraId="6607CEFD" w14:textId="77777777" w:rsidR="004E1734" w:rsidRPr="004E1734" w:rsidRDefault="00385E57" w:rsidP="00AE7466">
                  <w:pPr>
                    <w:widowControl w:val="0"/>
                    <w:spacing w:after="0" w:line="240" w:lineRule="auto"/>
                    <w:ind w:left="824" w:hanging="817"/>
                    <w:rPr>
                      <w:rFonts w:eastAsia="Times New Roman" w:cs="Arial"/>
                      <w:b/>
                      <w:lang w:val="en-CA" w:eastAsia="en-CA"/>
                    </w:rPr>
                  </w:pPr>
                  <w:r w:rsidRPr="004E1734">
                    <w:rPr>
                      <w:rFonts w:eastAsia="Times New Roman" w:cs="Arial"/>
                      <w:b/>
                      <w:lang w:val="en-CA" w:eastAsia="en-CA"/>
                    </w:rPr>
                    <w:lastRenderedPageBreak/>
                    <w:t>Table </w:t>
                  </w:r>
                  <w:r w:rsidR="007E09A9">
                    <w:rPr>
                      <w:rFonts w:eastAsia="Times New Roman" w:cs="Arial"/>
                      <w:b/>
                      <w:lang w:val="en-CA" w:eastAsia="en-CA"/>
                    </w:rPr>
                    <w:t>2:</w:t>
                  </w:r>
                  <w:r w:rsidRPr="004E1734">
                    <w:rPr>
                      <w:rFonts w:eastAsia="Times New Roman" w:cs="Arial"/>
                      <w:b/>
                      <w:lang w:val="en-CA" w:eastAsia="en-CA"/>
                    </w:rPr>
                    <w:t xml:space="preserve"> Adverse Reactions</w:t>
                  </w:r>
                  <w:r w:rsidR="00871414">
                    <w:rPr>
                      <w:rFonts w:eastAsia="Times New Roman" w:cs="Arial"/>
                      <w:b/>
                      <w:lang w:val="en-CA" w:eastAsia="en-CA"/>
                    </w:rPr>
                    <w:t xml:space="preserve"> </w:t>
                  </w:r>
                  <w:r w:rsidRPr="004E1734">
                    <w:rPr>
                      <w:rFonts w:eastAsia="Times New Roman" w:cs="Arial"/>
                      <w:b/>
                      <w:lang w:val="en-CA" w:eastAsia="en-CA"/>
                    </w:rPr>
                    <w:t xml:space="preserve">in ≥ 1% Patients with NSCLC Harboring </w:t>
                  </w:r>
                  <w:r w:rsidRPr="004E1734">
                    <w:rPr>
                      <w:rFonts w:eastAsia="Times New Roman" w:cs="Arial"/>
                      <w:b/>
                      <w:i/>
                      <w:iCs/>
                      <w:lang w:val="en-CA" w:eastAsia="en-CA"/>
                    </w:rPr>
                    <w:t>MET</w:t>
                  </w:r>
                  <w:r w:rsidRPr="004E1734">
                    <w:rPr>
                      <w:rFonts w:eastAsia="Times New Roman" w:cs="Arial"/>
                      <w:b/>
                      <w:lang w:val="en-CA" w:eastAsia="en-CA"/>
                    </w:rPr>
                    <w:t>ex14 Skipping Alterations in the VISION Study</w:t>
                  </w:r>
                  <w:r>
                    <w:rPr>
                      <w:rFonts w:eastAsia="Times New Roman" w:cs="Arial"/>
                      <w:b/>
                      <w:lang w:val="en-CA" w:eastAsia="en-CA"/>
                    </w:rPr>
                    <w:t xml:space="preserve"> </w:t>
                  </w:r>
                </w:p>
                <w:p w14:paraId="6607CEFE" w14:textId="77777777" w:rsidR="004E1734" w:rsidRPr="004E1734" w:rsidRDefault="004E1734" w:rsidP="004E1734">
                  <w:pPr>
                    <w:keepNext/>
                    <w:keepLines/>
                    <w:spacing w:after="0" w:line="240" w:lineRule="auto"/>
                    <w:ind w:left="1416" w:hanging="1416"/>
                    <w:rPr>
                      <w:rFonts w:ascii="Arial" w:eastAsia="Times New Roman" w:hAnsi="Arial" w:cs="Arial"/>
                      <w:b/>
                      <w:lang w:val="en-US" w:eastAsia="sv-SE"/>
                    </w:rPr>
                  </w:pP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04"/>
                    <w:gridCol w:w="16"/>
                    <w:gridCol w:w="2056"/>
                    <w:gridCol w:w="13"/>
                    <w:gridCol w:w="1829"/>
                  </w:tblGrid>
                  <w:tr w:rsidR="009A289F" w14:paraId="6607CF03" w14:textId="77777777" w:rsidTr="00597821">
                    <w:tc>
                      <w:tcPr>
                        <w:tcW w:w="4820" w:type="dxa"/>
                        <w:gridSpan w:val="2"/>
                        <w:shd w:val="clear" w:color="auto" w:fill="auto"/>
                      </w:tcPr>
                      <w:p w14:paraId="6607CEFF" w14:textId="77777777" w:rsidR="00477144" w:rsidRPr="00AE7466" w:rsidRDefault="00385E57" w:rsidP="004E1734">
                        <w:pPr>
                          <w:keepNext/>
                          <w:keepLines/>
                          <w:spacing w:after="0" w:line="240" w:lineRule="auto"/>
                          <w:jc w:val="center"/>
                          <w:rPr>
                            <w:rFonts w:eastAsia="Calibri" w:cs="Arial"/>
                            <w:b/>
                            <w:sz w:val="19"/>
                            <w:szCs w:val="19"/>
                            <w:lang w:val="en-US" w:eastAsia="en-CA"/>
                          </w:rPr>
                        </w:pPr>
                        <w:r w:rsidRPr="00AE7466">
                          <w:rPr>
                            <w:rFonts w:eastAsia="Calibri" w:cs="Arial"/>
                            <w:b/>
                            <w:sz w:val="19"/>
                            <w:szCs w:val="19"/>
                            <w:lang w:val="en-US" w:eastAsia="en-CA"/>
                          </w:rPr>
                          <w:t>System organ class (SOC)</w:t>
                        </w:r>
                      </w:p>
                      <w:p w14:paraId="6607CF00" w14:textId="77777777" w:rsidR="004E1734" w:rsidRPr="00AE7466" w:rsidRDefault="00385E57" w:rsidP="004E1734">
                        <w:pPr>
                          <w:keepNext/>
                          <w:keepLines/>
                          <w:spacing w:after="0" w:line="240" w:lineRule="auto"/>
                          <w:jc w:val="center"/>
                          <w:rPr>
                            <w:rFonts w:eastAsia="Calibri" w:cs="Arial"/>
                            <w:b/>
                            <w:sz w:val="19"/>
                            <w:szCs w:val="19"/>
                            <w:lang w:val="en-US" w:eastAsia="en-CA"/>
                          </w:rPr>
                        </w:pPr>
                        <w:r w:rsidRPr="00AE7466">
                          <w:rPr>
                            <w:rFonts w:eastAsia="Calibri" w:cs="Arial"/>
                            <w:b/>
                            <w:sz w:val="19"/>
                            <w:szCs w:val="19"/>
                            <w:lang w:val="en-US" w:eastAsia="en-CA"/>
                          </w:rPr>
                          <w:t>Adverse reaction</w:t>
                        </w:r>
                      </w:p>
                    </w:tc>
                    <w:tc>
                      <w:tcPr>
                        <w:tcW w:w="3898" w:type="dxa"/>
                        <w:gridSpan w:val="3"/>
                        <w:shd w:val="clear" w:color="auto" w:fill="auto"/>
                      </w:tcPr>
                      <w:p w14:paraId="6607CF01" w14:textId="77777777" w:rsidR="004E1734" w:rsidRPr="00AE7466" w:rsidRDefault="00385E57" w:rsidP="004E1734">
                        <w:pPr>
                          <w:keepNext/>
                          <w:keepLines/>
                          <w:spacing w:after="0" w:line="240" w:lineRule="auto"/>
                          <w:jc w:val="center"/>
                          <w:rPr>
                            <w:rFonts w:eastAsia="Calibri" w:cs="Arial"/>
                            <w:b/>
                            <w:sz w:val="19"/>
                            <w:szCs w:val="19"/>
                            <w:lang w:val="en-US" w:eastAsia="en-CA"/>
                          </w:rPr>
                        </w:pPr>
                        <w:r w:rsidRPr="00AE7466">
                          <w:rPr>
                            <w:rFonts w:eastAsia="Calibri" w:cs="Arial"/>
                            <w:b/>
                            <w:sz w:val="19"/>
                            <w:szCs w:val="19"/>
                            <w:lang w:val="en-US" w:eastAsia="en-CA"/>
                          </w:rPr>
                          <w:t>TEPMETKO</w:t>
                        </w:r>
                      </w:p>
                      <w:p w14:paraId="6607CF02" w14:textId="77777777" w:rsidR="004E1734" w:rsidRPr="00AE7466" w:rsidRDefault="00385E57" w:rsidP="004E1734">
                        <w:pPr>
                          <w:keepNext/>
                          <w:keepLines/>
                          <w:spacing w:after="0" w:line="240" w:lineRule="auto"/>
                          <w:jc w:val="center"/>
                          <w:rPr>
                            <w:rFonts w:eastAsia="Calibri" w:cs="Arial"/>
                            <w:b/>
                            <w:sz w:val="19"/>
                            <w:szCs w:val="19"/>
                            <w:lang w:val="en-US" w:eastAsia="en-CA"/>
                          </w:rPr>
                        </w:pPr>
                        <w:r w:rsidRPr="00AE7466">
                          <w:rPr>
                            <w:rFonts w:eastAsia="Calibri" w:cs="Arial"/>
                            <w:b/>
                            <w:sz w:val="19"/>
                            <w:szCs w:val="19"/>
                            <w:lang w:val="en-US" w:eastAsia="en-CA"/>
                          </w:rPr>
                          <w:t>N=</w:t>
                        </w:r>
                        <w:r w:rsidR="008219E2" w:rsidRPr="00AE7466">
                          <w:rPr>
                            <w:rFonts w:eastAsia="Calibri" w:cs="Arial"/>
                            <w:b/>
                            <w:sz w:val="19"/>
                            <w:szCs w:val="19"/>
                            <w:lang w:val="en-US" w:eastAsia="en-CA"/>
                          </w:rPr>
                          <w:t>255</w:t>
                        </w:r>
                      </w:p>
                    </w:tc>
                  </w:tr>
                  <w:tr w:rsidR="009A289F" w14:paraId="6607CF0B" w14:textId="77777777" w:rsidTr="00597821">
                    <w:tc>
                      <w:tcPr>
                        <w:tcW w:w="4820" w:type="dxa"/>
                        <w:gridSpan w:val="2"/>
                        <w:shd w:val="clear" w:color="auto" w:fill="auto"/>
                      </w:tcPr>
                      <w:p w14:paraId="6607CF04" w14:textId="77777777" w:rsidR="004E1734" w:rsidRPr="00AE7466" w:rsidRDefault="004E1734" w:rsidP="004E1734">
                        <w:pPr>
                          <w:keepNext/>
                          <w:keepLines/>
                          <w:spacing w:after="0" w:line="240" w:lineRule="auto"/>
                          <w:jc w:val="center"/>
                          <w:rPr>
                            <w:rFonts w:eastAsia="Calibri" w:cs="Arial"/>
                            <w:sz w:val="19"/>
                            <w:szCs w:val="19"/>
                            <w:lang w:val="en-US" w:eastAsia="en-CA"/>
                          </w:rPr>
                        </w:pPr>
                      </w:p>
                    </w:tc>
                    <w:tc>
                      <w:tcPr>
                        <w:tcW w:w="2056" w:type="dxa"/>
                        <w:shd w:val="clear" w:color="auto" w:fill="auto"/>
                      </w:tcPr>
                      <w:p w14:paraId="6607CF05" w14:textId="77777777" w:rsidR="004E1734" w:rsidRPr="00AE7466" w:rsidRDefault="00385E57" w:rsidP="004E1734">
                        <w:pPr>
                          <w:keepNext/>
                          <w:keepLines/>
                          <w:spacing w:after="0" w:line="240" w:lineRule="auto"/>
                          <w:jc w:val="center"/>
                          <w:rPr>
                            <w:rFonts w:eastAsia="Calibri" w:cs="Arial"/>
                            <w:b/>
                            <w:sz w:val="19"/>
                            <w:szCs w:val="19"/>
                            <w:lang w:val="en-US" w:eastAsia="en-CA"/>
                          </w:rPr>
                        </w:pPr>
                        <w:r w:rsidRPr="00AE7466">
                          <w:rPr>
                            <w:rFonts w:eastAsia="Calibri" w:cs="Arial"/>
                            <w:b/>
                            <w:sz w:val="19"/>
                            <w:szCs w:val="19"/>
                            <w:lang w:val="en-US" w:eastAsia="en-CA"/>
                          </w:rPr>
                          <w:t>All grades</w:t>
                        </w:r>
                      </w:p>
                      <w:p w14:paraId="6607CF06" w14:textId="77777777" w:rsidR="004E1734" w:rsidRPr="00AE7466" w:rsidRDefault="00385E57" w:rsidP="004E1734">
                        <w:pPr>
                          <w:keepNext/>
                          <w:keepLines/>
                          <w:spacing w:after="0" w:line="240" w:lineRule="auto"/>
                          <w:jc w:val="center"/>
                          <w:rPr>
                            <w:rFonts w:eastAsia="Calibri" w:cs="Arial"/>
                            <w:b/>
                            <w:sz w:val="19"/>
                            <w:szCs w:val="19"/>
                            <w:lang w:val="en-US" w:eastAsia="en-CA"/>
                          </w:rPr>
                        </w:pPr>
                        <w:r w:rsidRPr="00AE7466">
                          <w:rPr>
                            <w:rFonts w:eastAsia="Calibri" w:cs="Arial"/>
                            <w:b/>
                            <w:sz w:val="19"/>
                            <w:szCs w:val="19"/>
                            <w:lang w:val="en-US" w:eastAsia="en-CA"/>
                          </w:rPr>
                          <w:t>n (%)</w:t>
                        </w:r>
                      </w:p>
                      <w:p w14:paraId="6607CF07" w14:textId="77777777" w:rsidR="00C23538" w:rsidRPr="00AE7466" w:rsidRDefault="00385E57" w:rsidP="004E1734">
                        <w:pPr>
                          <w:keepNext/>
                          <w:keepLines/>
                          <w:spacing w:after="0" w:line="240" w:lineRule="auto"/>
                          <w:jc w:val="center"/>
                          <w:rPr>
                            <w:rFonts w:eastAsia="Calibri" w:cs="Arial"/>
                            <w:b/>
                            <w:sz w:val="19"/>
                            <w:szCs w:val="19"/>
                            <w:lang w:val="en-US" w:eastAsia="en-CA"/>
                          </w:rPr>
                        </w:pPr>
                        <w:r w:rsidRPr="00AE7466">
                          <w:rPr>
                            <w:rFonts w:eastAsia="Calibri" w:cs="Arial"/>
                            <w:b/>
                            <w:sz w:val="19"/>
                            <w:szCs w:val="19"/>
                            <w:lang w:val="en-US" w:eastAsia="en-CA"/>
                          </w:rPr>
                          <w:t>Frequency category</w:t>
                        </w:r>
                      </w:p>
                    </w:tc>
                    <w:tc>
                      <w:tcPr>
                        <w:tcW w:w="1842" w:type="dxa"/>
                        <w:gridSpan w:val="2"/>
                        <w:shd w:val="clear" w:color="auto" w:fill="auto"/>
                      </w:tcPr>
                      <w:p w14:paraId="6607CF08" w14:textId="77777777" w:rsidR="004E1734" w:rsidRPr="00AE7466" w:rsidRDefault="00385E57" w:rsidP="004E1734">
                        <w:pPr>
                          <w:keepNext/>
                          <w:keepLines/>
                          <w:spacing w:after="0" w:line="240" w:lineRule="auto"/>
                          <w:jc w:val="center"/>
                          <w:rPr>
                            <w:rFonts w:eastAsia="Calibri" w:cs="Arial"/>
                            <w:b/>
                            <w:sz w:val="19"/>
                            <w:szCs w:val="19"/>
                            <w:lang w:val="en-US" w:eastAsia="en-CA"/>
                          </w:rPr>
                        </w:pPr>
                        <w:r w:rsidRPr="00AE7466">
                          <w:rPr>
                            <w:rFonts w:eastAsia="Calibri" w:cs="Arial"/>
                            <w:b/>
                            <w:sz w:val="19"/>
                            <w:szCs w:val="19"/>
                            <w:lang w:val="en-US" w:eastAsia="en-CA"/>
                          </w:rPr>
                          <w:t>Grade ≥ 3</w:t>
                        </w:r>
                      </w:p>
                      <w:p w14:paraId="6607CF09" w14:textId="77777777" w:rsidR="004E1734" w:rsidRPr="00AE7466" w:rsidRDefault="00385E57" w:rsidP="004E1734">
                        <w:pPr>
                          <w:keepNext/>
                          <w:keepLines/>
                          <w:spacing w:after="0" w:line="240" w:lineRule="auto"/>
                          <w:jc w:val="center"/>
                          <w:rPr>
                            <w:rFonts w:eastAsia="Calibri" w:cs="Arial"/>
                            <w:b/>
                            <w:sz w:val="19"/>
                            <w:szCs w:val="19"/>
                            <w:lang w:val="en-US" w:eastAsia="en-CA"/>
                          </w:rPr>
                        </w:pPr>
                        <w:r w:rsidRPr="00AE7466">
                          <w:rPr>
                            <w:rFonts w:eastAsia="Calibri" w:cs="Arial"/>
                            <w:b/>
                            <w:sz w:val="19"/>
                            <w:szCs w:val="19"/>
                            <w:lang w:val="en-US" w:eastAsia="en-CA"/>
                          </w:rPr>
                          <w:t>n (%)</w:t>
                        </w:r>
                      </w:p>
                      <w:p w14:paraId="6607CF0A" w14:textId="77777777" w:rsidR="00C23538" w:rsidRPr="00AE7466" w:rsidRDefault="00385E57" w:rsidP="004E1734">
                        <w:pPr>
                          <w:keepNext/>
                          <w:keepLines/>
                          <w:spacing w:after="0" w:line="240" w:lineRule="auto"/>
                          <w:jc w:val="center"/>
                          <w:rPr>
                            <w:rFonts w:eastAsia="Calibri" w:cs="Arial"/>
                            <w:b/>
                            <w:sz w:val="19"/>
                            <w:szCs w:val="19"/>
                            <w:lang w:val="en-US" w:eastAsia="en-CA"/>
                          </w:rPr>
                        </w:pPr>
                        <w:r w:rsidRPr="00AE7466">
                          <w:rPr>
                            <w:rFonts w:eastAsia="Calibri" w:cs="Arial"/>
                            <w:b/>
                            <w:sz w:val="19"/>
                            <w:szCs w:val="19"/>
                            <w:lang w:val="en-US" w:eastAsia="en-CA"/>
                          </w:rPr>
                          <w:t>Frequency category</w:t>
                        </w:r>
                      </w:p>
                    </w:tc>
                  </w:tr>
                  <w:tr w:rsidR="009A289F" w14:paraId="6607CF0D" w14:textId="77777777" w:rsidTr="00597821">
                    <w:tc>
                      <w:tcPr>
                        <w:tcW w:w="8718" w:type="dxa"/>
                        <w:gridSpan w:val="5"/>
                        <w:shd w:val="clear" w:color="auto" w:fill="auto"/>
                      </w:tcPr>
                      <w:p w14:paraId="6607CF0C" w14:textId="77777777" w:rsidR="004E1734" w:rsidRPr="00AE7466" w:rsidRDefault="00385E57" w:rsidP="004E1734">
                        <w:pPr>
                          <w:keepNext/>
                          <w:keepLines/>
                          <w:spacing w:after="0" w:line="240" w:lineRule="auto"/>
                          <w:rPr>
                            <w:rFonts w:eastAsia="Calibri" w:cs="Arial"/>
                            <w:b/>
                            <w:bCs/>
                            <w:sz w:val="19"/>
                            <w:szCs w:val="19"/>
                            <w:lang w:val="en-US" w:eastAsia="en-CA"/>
                          </w:rPr>
                        </w:pPr>
                        <w:r w:rsidRPr="00AE7466">
                          <w:rPr>
                            <w:rFonts w:eastAsia="Calibri" w:cs="Arial"/>
                            <w:b/>
                            <w:bCs/>
                            <w:sz w:val="19"/>
                            <w:szCs w:val="19"/>
                            <w:lang w:val="en-US" w:eastAsia="en-CA"/>
                          </w:rPr>
                          <w:t>Gastrointestinal disorders</w:t>
                        </w:r>
                      </w:p>
                    </w:tc>
                  </w:tr>
                  <w:tr w:rsidR="009A289F" w14:paraId="6607CF13" w14:textId="77777777" w:rsidTr="00597821">
                    <w:tc>
                      <w:tcPr>
                        <w:tcW w:w="4820" w:type="dxa"/>
                        <w:gridSpan w:val="2"/>
                        <w:shd w:val="clear" w:color="auto" w:fill="auto"/>
                      </w:tcPr>
                      <w:p w14:paraId="6607CF0E" w14:textId="77777777" w:rsidR="004E1734" w:rsidRPr="00AE7466" w:rsidRDefault="00385E57" w:rsidP="004E1734">
                        <w:pPr>
                          <w:keepNext/>
                          <w:keepLines/>
                          <w:spacing w:after="0" w:line="240" w:lineRule="auto"/>
                          <w:rPr>
                            <w:rFonts w:eastAsia="Calibri" w:cs="Arial"/>
                            <w:sz w:val="19"/>
                            <w:szCs w:val="19"/>
                            <w:lang w:val="en-US" w:eastAsia="en-CA"/>
                          </w:rPr>
                        </w:pPr>
                        <w:r w:rsidRPr="00AE7466">
                          <w:rPr>
                            <w:rFonts w:eastAsia="Calibri" w:cs="Arial"/>
                            <w:sz w:val="19"/>
                            <w:szCs w:val="19"/>
                            <w:lang w:val="en-US" w:eastAsia="en-CA"/>
                          </w:rPr>
                          <w:t>Diarrh</w:t>
                        </w:r>
                        <w:r w:rsidR="00477144" w:rsidRPr="00AE7466">
                          <w:rPr>
                            <w:rFonts w:eastAsia="Calibri" w:cs="Arial"/>
                            <w:sz w:val="19"/>
                            <w:szCs w:val="19"/>
                            <w:lang w:val="en-US" w:eastAsia="en-CA"/>
                          </w:rPr>
                          <w:t>o</w:t>
                        </w:r>
                        <w:r w:rsidRPr="00AE7466">
                          <w:rPr>
                            <w:rFonts w:eastAsia="Calibri" w:cs="Arial"/>
                            <w:sz w:val="19"/>
                            <w:szCs w:val="19"/>
                            <w:lang w:val="en-US" w:eastAsia="en-CA"/>
                          </w:rPr>
                          <w:t>ea</w:t>
                        </w:r>
                      </w:p>
                    </w:tc>
                    <w:tc>
                      <w:tcPr>
                        <w:tcW w:w="2056" w:type="dxa"/>
                        <w:shd w:val="clear" w:color="auto" w:fill="auto"/>
                      </w:tcPr>
                      <w:p w14:paraId="6607CF0F"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67</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26.3</w:t>
                        </w:r>
                        <w:r w:rsidR="00A83EE8" w:rsidRPr="00AE7466">
                          <w:rPr>
                            <w:rFonts w:eastAsia="Calibri" w:cs="Arial"/>
                            <w:sz w:val="19"/>
                            <w:szCs w:val="19"/>
                            <w:lang w:val="en-US" w:eastAsia="en-CA"/>
                          </w:rPr>
                          <w:t>)</w:t>
                        </w:r>
                      </w:p>
                      <w:p w14:paraId="6607CF10" w14:textId="77777777" w:rsidR="007E3E26"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Very common</w:t>
                        </w:r>
                      </w:p>
                    </w:tc>
                    <w:tc>
                      <w:tcPr>
                        <w:tcW w:w="1842" w:type="dxa"/>
                        <w:gridSpan w:val="2"/>
                        <w:shd w:val="clear" w:color="auto" w:fill="auto"/>
                      </w:tcPr>
                      <w:p w14:paraId="6607CF11"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1 (</w:t>
                        </w:r>
                        <w:r w:rsidR="008219E2" w:rsidRPr="00AE7466">
                          <w:rPr>
                            <w:rFonts w:eastAsia="Calibri" w:cs="Arial"/>
                            <w:sz w:val="19"/>
                            <w:szCs w:val="19"/>
                            <w:lang w:val="en-US" w:eastAsia="en-CA"/>
                          </w:rPr>
                          <w:t>0.4</w:t>
                        </w:r>
                        <w:r w:rsidRPr="00AE7466">
                          <w:rPr>
                            <w:rFonts w:eastAsia="Calibri" w:cs="Arial"/>
                            <w:sz w:val="19"/>
                            <w:szCs w:val="19"/>
                            <w:lang w:val="en-US" w:eastAsia="en-CA"/>
                          </w:rPr>
                          <w:t>)</w:t>
                        </w:r>
                      </w:p>
                      <w:p w14:paraId="6607CF12" w14:textId="77777777" w:rsidR="007E3E26"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Uncommon</w:t>
                        </w:r>
                      </w:p>
                    </w:tc>
                  </w:tr>
                  <w:tr w:rsidR="009A289F" w14:paraId="6607CF19" w14:textId="77777777" w:rsidTr="00597821">
                    <w:tc>
                      <w:tcPr>
                        <w:tcW w:w="4820" w:type="dxa"/>
                        <w:gridSpan w:val="2"/>
                        <w:shd w:val="clear" w:color="auto" w:fill="auto"/>
                      </w:tcPr>
                      <w:p w14:paraId="6607CF14" w14:textId="77777777" w:rsidR="008219E2" w:rsidRPr="00AE7466" w:rsidRDefault="00385E57" w:rsidP="004E1734">
                        <w:pPr>
                          <w:keepNext/>
                          <w:keepLines/>
                          <w:spacing w:after="0" w:line="240" w:lineRule="auto"/>
                          <w:rPr>
                            <w:rFonts w:eastAsia="Calibri" w:cs="Arial"/>
                            <w:sz w:val="19"/>
                            <w:szCs w:val="19"/>
                            <w:lang w:val="en-US" w:eastAsia="en-CA"/>
                          </w:rPr>
                        </w:pPr>
                        <w:r w:rsidRPr="00AE7466">
                          <w:rPr>
                            <w:rFonts w:eastAsia="Calibri" w:cs="Arial"/>
                            <w:sz w:val="19"/>
                            <w:szCs w:val="19"/>
                            <w:lang w:val="en-US" w:eastAsia="en-CA"/>
                          </w:rPr>
                          <w:t>Nausea</w:t>
                        </w:r>
                      </w:p>
                    </w:tc>
                    <w:tc>
                      <w:tcPr>
                        <w:tcW w:w="2056" w:type="dxa"/>
                        <w:shd w:val="clear" w:color="auto" w:fill="auto"/>
                      </w:tcPr>
                      <w:p w14:paraId="6607CF15" w14:textId="77777777" w:rsidR="008219E2"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68 (26.7)</w:t>
                        </w:r>
                      </w:p>
                      <w:p w14:paraId="6607CF16" w14:textId="77777777" w:rsidR="008219E2"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Very common</w:t>
                        </w:r>
                      </w:p>
                    </w:tc>
                    <w:tc>
                      <w:tcPr>
                        <w:tcW w:w="1842" w:type="dxa"/>
                        <w:gridSpan w:val="2"/>
                        <w:shd w:val="clear" w:color="auto" w:fill="auto"/>
                      </w:tcPr>
                      <w:p w14:paraId="6607CF17" w14:textId="77777777" w:rsidR="008219E2"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2 (0.8)</w:t>
                        </w:r>
                      </w:p>
                      <w:p w14:paraId="6607CF18" w14:textId="77777777" w:rsidR="008219E2"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Uncommon</w:t>
                        </w:r>
                      </w:p>
                    </w:tc>
                  </w:tr>
                  <w:tr w:rsidR="009A289F" w14:paraId="6607CF1F" w14:textId="77777777" w:rsidTr="00597821">
                    <w:tc>
                      <w:tcPr>
                        <w:tcW w:w="4820" w:type="dxa"/>
                        <w:gridSpan w:val="2"/>
                        <w:shd w:val="clear" w:color="auto" w:fill="auto"/>
                      </w:tcPr>
                      <w:p w14:paraId="6607CF1A" w14:textId="77777777" w:rsidR="008219E2" w:rsidRPr="00AE7466" w:rsidRDefault="00385E57" w:rsidP="004E1734">
                        <w:pPr>
                          <w:keepNext/>
                          <w:keepLines/>
                          <w:spacing w:after="0" w:line="240" w:lineRule="auto"/>
                          <w:rPr>
                            <w:rFonts w:eastAsia="Calibri" w:cs="Arial"/>
                            <w:sz w:val="19"/>
                            <w:szCs w:val="19"/>
                            <w:lang w:val="en-US" w:eastAsia="en-CA"/>
                          </w:rPr>
                        </w:pPr>
                        <w:r w:rsidRPr="00AE7466">
                          <w:rPr>
                            <w:rFonts w:eastAsia="Calibri" w:cs="Arial"/>
                            <w:sz w:val="19"/>
                            <w:szCs w:val="19"/>
                            <w:lang w:val="en-US" w:eastAsia="en-CA"/>
                          </w:rPr>
                          <w:t>Vomiting</w:t>
                        </w:r>
                      </w:p>
                    </w:tc>
                    <w:tc>
                      <w:tcPr>
                        <w:tcW w:w="2056" w:type="dxa"/>
                        <w:shd w:val="clear" w:color="auto" w:fill="auto"/>
                      </w:tcPr>
                      <w:p w14:paraId="6607CF1B" w14:textId="77777777" w:rsidR="008219E2"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33 (12.9)</w:t>
                        </w:r>
                      </w:p>
                      <w:p w14:paraId="6607CF1C" w14:textId="77777777" w:rsidR="008219E2"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Very common</w:t>
                        </w:r>
                      </w:p>
                    </w:tc>
                    <w:tc>
                      <w:tcPr>
                        <w:tcW w:w="1842" w:type="dxa"/>
                        <w:gridSpan w:val="2"/>
                        <w:shd w:val="clear" w:color="auto" w:fill="auto"/>
                      </w:tcPr>
                      <w:p w14:paraId="6607CF1D" w14:textId="77777777" w:rsidR="008219E2"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3 (1.2)</w:t>
                        </w:r>
                      </w:p>
                      <w:p w14:paraId="6607CF1E" w14:textId="77777777" w:rsidR="008219E2"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Common</w:t>
                        </w:r>
                      </w:p>
                    </w:tc>
                  </w:tr>
                  <w:tr w:rsidR="005E553C" w14:paraId="226F6409" w14:textId="77777777" w:rsidTr="00597821">
                    <w:tc>
                      <w:tcPr>
                        <w:tcW w:w="4820" w:type="dxa"/>
                        <w:gridSpan w:val="2"/>
                        <w:shd w:val="clear" w:color="auto" w:fill="auto"/>
                      </w:tcPr>
                      <w:p w14:paraId="13DD26C8" w14:textId="266469A0" w:rsidR="005E553C" w:rsidRPr="00AE7466" w:rsidRDefault="00F31EB5" w:rsidP="004E1734">
                        <w:pPr>
                          <w:keepNext/>
                          <w:keepLines/>
                          <w:spacing w:after="0" w:line="240" w:lineRule="auto"/>
                          <w:rPr>
                            <w:rFonts w:eastAsia="Calibri" w:cs="Arial"/>
                            <w:sz w:val="19"/>
                            <w:szCs w:val="19"/>
                            <w:lang w:val="en-US" w:eastAsia="en-CA"/>
                          </w:rPr>
                        </w:pPr>
                        <w:r>
                          <w:rPr>
                            <w:rFonts w:eastAsia="Calibri" w:cs="Arial"/>
                            <w:sz w:val="19"/>
                            <w:szCs w:val="19"/>
                            <w:lang w:val="en-US" w:eastAsia="en-CA"/>
                          </w:rPr>
                          <w:t>Abdominal pain</w:t>
                        </w:r>
                        <w:r w:rsidRPr="00331BD8">
                          <w:rPr>
                            <w:rFonts w:eastAsia="Calibri" w:cs="Arial"/>
                            <w:sz w:val="19"/>
                            <w:szCs w:val="19"/>
                            <w:vertAlign w:val="superscript"/>
                            <w:lang w:val="en-US" w:eastAsia="en-CA"/>
                          </w:rPr>
                          <w:t>f</w:t>
                        </w:r>
                      </w:p>
                    </w:tc>
                    <w:tc>
                      <w:tcPr>
                        <w:tcW w:w="2056" w:type="dxa"/>
                        <w:shd w:val="clear" w:color="auto" w:fill="auto"/>
                      </w:tcPr>
                      <w:p w14:paraId="340FADC2" w14:textId="742DBD0E" w:rsidR="005E553C" w:rsidRDefault="008D0757" w:rsidP="004E1734">
                        <w:pPr>
                          <w:keepNext/>
                          <w:keepLines/>
                          <w:spacing w:after="0" w:line="240" w:lineRule="auto"/>
                          <w:jc w:val="center"/>
                          <w:rPr>
                            <w:rFonts w:eastAsia="Calibri" w:cs="Arial"/>
                            <w:sz w:val="19"/>
                            <w:szCs w:val="19"/>
                            <w:lang w:val="en-US" w:eastAsia="en-CA"/>
                          </w:rPr>
                        </w:pPr>
                        <w:r>
                          <w:rPr>
                            <w:rFonts w:eastAsia="Calibri" w:cs="Arial"/>
                            <w:sz w:val="19"/>
                            <w:szCs w:val="19"/>
                            <w:lang w:val="en-US" w:eastAsia="en-CA"/>
                          </w:rPr>
                          <w:t>42</w:t>
                        </w:r>
                        <w:r w:rsidR="00F31EB5">
                          <w:rPr>
                            <w:rFonts w:eastAsia="Calibri" w:cs="Arial"/>
                            <w:sz w:val="19"/>
                            <w:szCs w:val="19"/>
                            <w:lang w:val="en-US" w:eastAsia="en-CA"/>
                          </w:rPr>
                          <w:t xml:space="preserve"> (16.5)</w:t>
                        </w:r>
                      </w:p>
                      <w:p w14:paraId="26257198" w14:textId="76F9B3F3" w:rsidR="00F31EB5" w:rsidRPr="00AE7466" w:rsidRDefault="00F31EB5" w:rsidP="004E1734">
                        <w:pPr>
                          <w:keepNext/>
                          <w:keepLines/>
                          <w:spacing w:after="0" w:line="240" w:lineRule="auto"/>
                          <w:jc w:val="center"/>
                          <w:rPr>
                            <w:rFonts w:eastAsia="Calibri" w:cs="Arial"/>
                            <w:sz w:val="19"/>
                            <w:szCs w:val="19"/>
                            <w:lang w:val="en-US" w:eastAsia="en-CA"/>
                          </w:rPr>
                        </w:pPr>
                        <w:r>
                          <w:rPr>
                            <w:rFonts w:eastAsia="Calibri" w:cs="Arial"/>
                            <w:sz w:val="19"/>
                            <w:szCs w:val="19"/>
                            <w:lang w:val="en-US" w:eastAsia="en-CA"/>
                          </w:rPr>
                          <w:t>Very common</w:t>
                        </w:r>
                      </w:p>
                    </w:tc>
                    <w:tc>
                      <w:tcPr>
                        <w:tcW w:w="1842" w:type="dxa"/>
                        <w:gridSpan w:val="2"/>
                        <w:shd w:val="clear" w:color="auto" w:fill="auto"/>
                      </w:tcPr>
                      <w:p w14:paraId="2A51A6C7" w14:textId="6991BD04" w:rsidR="005E553C" w:rsidRDefault="008D0757" w:rsidP="004E1734">
                        <w:pPr>
                          <w:keepNext/>
                          <w:keepLines/>
                          <w:spacing w:after="0" w:line="240" w:lineRule="auto"/>
                          <w:jc w:val="center"/>
                          <w:rPr>
                            <w:rFonts w:eastAsia="Calibri" w:cs="Arial"/>
                            <w:sz w:val="19"/>
                            <w:szCs w:val="19"/>
                            <w:lang w:val="en-US" w:eastAsia="en-CA"/>
                          </w:rPr>
                        </w:pPr>
                        <w:r>
                          <w:rPr>
                            <w:rFonts w:eastAsia="Calibri" w:cs="Arial"/>
                            <w:sz w:val="19"/>
                            <w:szCs w:val="19"/>
                            <w:lang w:val="en-US" w:eastAsia="en-CA"/>
                          </w:rPr>
                          <w:t>2</w:t>
                        </w:r>
                        <w:r w:rsidR="00F31EB5">
                          <w:rPr>
                            <w:rFonts w:eastAsia="Calibri" w:cs="Arial"/>
                            <w:sz w:val="19"/>
                            <w:szCs w:val="19"/>
                            <w:lang w:val="en-US" w:eastAsia="en-CA"/>
                          </w:rPr>
                          <w:t xml:space="preserve"> (0.8)</w:t>
                        </w:r>
                      </w:p>
                      <w:p w14:paraId="05838AC5" w14:textId="504AF82F" w:rsidR="00F31EB5" w:rsidRPr="00AE7466" w:rsidRDefault="00F31EB5" w:rsidP="004E1734">
                        <w:pPr>
                          <w:keepNext/>
                          <w:keepLines/>
                          <w:spacing w:after="0" w:line="240" w:lineRule="auto"/>
                          <w:jc w:val="center"/>
                          <w:rPr>
                            <w:rFonts w:eastAsia="Calibri" w:cs="Arial"/>
                            <w:sz w:val="19"/>
                            <w:szCs w:val="19"/>
                            <w:lang w:val="en-US" w:eastAsia="en-CA"/>
                          </w:rPr>
                        </w:pPr>
                        <w:r>
                          <w:rPr>
                            <w:rFonts w:eastAsia="Calibri" w:cs="Arial"/>
                            <w:sz w:val="19"/>
                            <w:szCs w:val="19"/>
                            <w:lang w:val="en-US" w:eastAsia="en-CA"/>
                          </w:rPr>
                          <w:t>Uncommon</w:t>
                        </w:r>
                      </w:p>
                    </w:tc>
                  </w:tr>
                  <w:tr w:rsidR="00F31EB5" w14:paraId="4D0F3E39" w14:textId="77777777" w:rsidTr="00597821">
                    <w:tc>
                      <w:tcPr>
                        <w:tcW w:w="4820" w:type="dxa"/>
                        <w:gridSpan w:val="2"/>
                        <w:shd w:val="clear" w:color="auto" w:fill="auto"/>
                      </w:tcPr>
                      <w:p w14:paraId="4A36B53C" w14:textId="48742410" w:rsidR="00F31EB5" w:rsidRDefault="00F31EB5" w:rsidP="004E1734">
                        <w:pPr>
                          <w:keepNext/>
                          <w:keepLines/>
                          <w:spacing w:after="0" w:line="240" w:lineRule="auto"/>
                          <w:rPr>
                            <w:rFonts w:eastAsia="Calibri" w:cs="Arial"/>
                            <w:sz w:val="19"/>
                            <w:szCs w:val="19"/>
                            <w:lang w:val="en-US" w:eastAsia="en-CA"/>
                          </w:rPr>
                        </w:pPr>
                        <w:r>
                          <w:rPr>
                            <w:rFonts w:eastAsia="Calibri" w:cs="Arial"/>
                            <w:sz w:val="19"/>
                            <w:szCs w:val="19"/>
                            <w:lang w:val="en-US" w:eastAsia="en-CA"/>
                          </w:rPr>
                          <w:t>Constipation</w:t>
                        </w:r>
                      </w:p>
                    </w:tc>
                    <w:tc>
                      <w:tcPr>
                        <w:tcW w:w="2056" w:type="dxa"/>
                        <w:shd w:val="clear" w:color="auto" w:fill="auto"/>
                      </w:tcPr>
                      <w:p w14:paraId="24C1262B" w14:textId="6CF09A80" w:rsidR="00F31EB5" w:rsidRDefault="008D0757" w:rsidP="004E1734">
                        <w:pPr>
                          <w:keepNext/>
                          <w:keepLines/>
                          <w:spacing w:after="0" w:line="240" w:lineRule="auto"/>
                          <w:jc w:val="center"/>
                          <w:rPr>
                            <w:rFonts w:eastAsia="Calibri" w:cs="Arial"/>
                            <w:sz w:val="19"/>
                            <w:szCs w:val="19"/>
                            <w:lang w:val="en-US" w:eastAsia="en-CA"/>
                          </w:rPr>
                        </w:pPr>
                        <w:r>
                          <w:rPr>
                            <w:rFonts w:eastAsia="Calibri" w:cs="Arial"/>
                            <w:sz w:val="19"/>
                            <w:szCs w:val="19"/>
                            <w:lang w:val="en-US" w:eastAsia="en-CA"/>
                          </w:rPr>
                          <w:t>40</w:t>
                        </w:r>
                        <w:r w:rsidR="00F31EB5">
                          <w:rPr>
                            <w:rFonts w:eastAsia="Calibri" w:cs="Arial"/>
                            <w:sz w:val="19"/>
                            <w:szCs w:val="19"/>
                            <w:lang w:val="en-US" w:eastAsia="en-CA"/>
                          </w:rPr>
                          <w:t xml:space="preserve"> (1</w:t>
                        </w:r>
                        <w:r w:rsidR="000566AD">
                          <w:rPr>
                            <w:rFonts w:eastAsia="Calibri" w:cs="Arial"/>
                            <w:sz w:val="19"/>
                            <w:szCs w:val="19"/>
                            <w:lang w:val="en-US" w:eastAsia="en-CA"/>
                          </w:rPr>
                          <w:t>5.7</w:t>
                        </w:r>
                        <w:r w:rsidR="00F31EB5">
                          <w:rPr>
                            <w:rFonts w:eastAsia="Calibri" w:cs="Arial"/>
                            <w:sz w:val="19"/>
                            <w:szCs w:val="19"/>
                            <w:lang w:val="en-US" w:eastAsia="en-CA"/>
                          </w:rPr>
                          <w:t>)</w:t>
                        </w:r>
                      </w:p>
                      <w:p w14:paraId="2FD38C0D" w14:textId="5B5BFAA0" w:rsidR="00F31EB5" w:rsidRDefault="00F31EB5" w:rsidP="004E1734">
                        <w:pPr>
                          <w:keepNext/>
                          <w:keepLines/>
                          <w:spacing w:after="0" w:line="240" w:lineRule="auto"/>
                          <w:jc w:val="center"/>
                          <w:rPr>
                            <w:rFonts w:eastAsia="Calibri" w:cs="Arial"/>
                            <w:sz w:val="19"/>
                            <w:szCs w:val="19"/>
                            <w:lang w:val="en-US" w:eastAsia="en-CA"/>
                          </w:rPr>
                        </w:pPr>
                        <w:r>
                          <w:rPr>
                            <w:rFonts w:eastAsia="Calibri" w:cs="Arial"/>
                            <w:sz w:val="19"/>
                            <w:szCs w:val="19"/>
                            <w:lang w:val="en-US" w:eastAsia="en-CA"/>
                          </w:rPr>
                          <w:t>Very common</w:t>
                        </w:r>
                      </w:p>
                    </w:tc>
                    <w:tc>
                      <w:tcPr>
                        <w:tcW w:w="1842" w:type="dxa"/>
                        <w:gridSpan w:val="2"/>
                        <w:shd w:val="clear" w:color="auto" w:fill="auto"/>
                      </w:tcPr>
                      <w:p w14:paraId="327ED0EA" w14:textId="27A73F54" w:rsidR="00F31EB5" w:rsidRDefault="000566AD" w:rsidP="004E1734">
                        <w:pPr>
                          <w:keepNext/>
                          <w:keepLines/>
                          <w:spacing w:after="0" w:line="240" w:lineRule="auto"/>
                          <w:jc w:val="center"/>
                          <w:rPr>
                            <w:rFonts w:eastAsia="Calibri" w:cs="Arial"/>
                            <w:sz w:val="19"/>
                            <w:szCs w:val="19"/>
                            <w:lang w:val="en-US" w:eastAsia="en-CA"/>
                          </w:rPr>
                        </w:pPr>
                        <w:r>
                          <w:rPr>
                            <w:rFonts w:eastAsia="Calibri" w:cs="Arial"/>
                            <w:sz w:val="19"/>
                            <w:szCs w:val="19"/>
                            <w:lang w:val="en-US" w:eastAsia="en-CA"/>
                          </w:rPr>
                          <w:t>0</w:t>
                        </w:r>
                        <w:r w:rsidR="00F31EB5">
                          <w:rPr>
                            <w:rFonts w:eastAsia="Calibri" w:cs="Arial"/>
                            <w:sz w:val="19"/>
                            <w:szCs w:val="19"/>
                            <w:lang w:val="en-US" w:eastAsia="en-CA"/>
                          </w:rPr>
                          <w:t xml:space="preserve"> (</w:t>
                        </w:r>
                        <w:r>
                          <w:rPr>
                            <w:rFonts w:eastAsia="Calibri" w:cs="Arial"/>
                            <w:sz w:val="19"/>
                            <w:szCs w:val="19"/>
                            <w:lang w:val="en-US" w:eastAsia="en-CA"/>
                          </w:rPr>
                          <w:t>0</w:t>
                        </w:r>
                        <w:r w:rsidR="00F31EB5">
                          <w:rPr>
                            <w:rFonts w:eastAsia="Calibri" w:cs="Arial"/>
                            <w:sz w:val="19"/>
                            <w:szCs w:val="19"/>
                            <w:lang w:val="en-US" w:eastAsia="en-CA"/>
                          </w:rPr>
                          <w:t>)</w:t>
                        </w:r>
                      </w:p>
                      <w:p w14:paraId="61B08C9D" w14:textId="6B9C0B41" w:rsidR="00F31EB5" w:rsidRDefault="008D0757" w:rsidP="004E1734">
                        <w:pPr>
                          <w:keepNext/>
                          <w:keepLines/>
                          <w:spacing w:after="0" w:line="240" w:lineRule="auto"/>
                          <w:jc w:val="center"/>
                          <w:rPr>
                            <w:rFonts w:eastAsia="Calibri" w:cs="Arial"/>
                            <w:sz w:val="19"/>
                            <w:szCs w:val="19"/>
                            <w:lang w:val="en-US" w:eastAsia="en-CA"/>
                          </w:rPr>
                        </w:pPr>
                        <w:r>
                          <w:rPr>
                            <w:rFonts w:eastAsia="Calibri" w:cs="Arial"/>
                            <w:sz w:val="19"/>
                            <w:szCs w:val="19"/>
                            <w:lang w:val="en-US" w:eastAsia="en-CA"/>
                          </w:rPr>
                          <w:t>-</w:t>
                        </w:r>
                      </w:p>
                    </w:tc>
                  </w:tr>
                  <w:tr w:rsidR="009A289F" w14:paraId="6607CF21" w14:textId="77777777" w:rsidTr="00597821">
                    <w:tc>
                      <w:tcPr>
                        <w:tcW w:w="8718" w:type="dxa"/>
                        <w:gridSpan w:val="5"/>
                        <w:shd w:val="clear" w:color="auto" w:fill="auto"/>
                      </w:tcPr>
                      <w:p w14:paraId="6607CF20" w14:textId="77777777" w:rsidR="004E1734" w:rsidRPr="00AE7466" w:rsidRDefault="00385E57" w:rsidP="004E1734">
                        <w:pPr>
                          <w:keepNext/>
                          <w:keepLines/>
                          <w:spacing w:after="0" w:line="240" w:lineRule="auto"/>
                          <w:rPr>
                            <w:rFonts w:eastAsia="Calibri" w:cs="Arial"/>
                            <w:b/>
                            <w:bCs/>
                            <w:sz w:val="19"/>
                            <w:szCs w:val="19"/>
                            <w:lang w:val="en-US" w:eastAsia="en-CA"/>
                          </w:rPr>
                        </w:pPr>
                        <w:r w:rsidRPr="00AE7466">
                          <w:rPr>
                            <w:rFonts w:eastAsia="Calibri" w:cs="Arial"/>
                            <w:b/>
                            <w:bCs/>
                            <w:sz w:val="19"/>
                            <w:szCs w:val="19"/>
                            <w:lang w:val="en-US" w:eastAsia="en-CA"/>
                          </w:rPr>
                          <w:t>General disorders and administration site conditions</w:t>
                        </w:r>
                      </w:p>
                    </w:tc>
                  </w:tr>
                  <w:tr w:rsidR="009A289F" w14:paraId="6607CF27" w14:textId="77777777" w:rsidTr="00597821">
                    <w:tc>
                      <w:tcPr>
                        <w:tcW w:w="4804" w:type="dxa"/>
                        <w:shd w:val="clear" w:color="auto" w:fill="auto"/>
                      </w:tcPr>
                      <w:p w14:paraId="6607CF22" w14:textId="77777777" w:rsidR="004E1734" w:rsidRPr="00AE7466" w:rsidRDefault="00385E57" w:rsidP="004E1734">
                        <w:pPr>
                          <w:keepNext/>
                          <w:keepLines/>
                          <w:spacing w:after="0" w:line="240" w:lineRule="auto"/>
                          <w:rPr>
                            <w:rFonts w:eastAsia="Calibri" w:cs="Arial"/>
                            <w:sz w:val="19"/>
                            <w:szCs w:val="19"/>
                            <w:u w:val="single"/>
                            <w:lang w:val="en-US" w:eastAsia="en-CA"/>
                          </w:rPr>
                        </w:pPr>
                        <w:r w:rsidRPr="00AE7466">
                          <w:rPr>
                            <w:rFonts w:eastAsia="Calibri" w:cs="Arial"/>
                            <w:sz w:val="19"/>
                            <w:szCs w:val="19"/>
                            <w:lang w:val="en-US" w:eastAsia="en-CA"/>
                          </w:rPr>
                          <w:t>Oedema</w:t>
                        </w:r>
                        <w:r w:rsidRPr="00AE7466">
                          <w:rPr>
                            <w:rFonts w:eastAsia="Calibri" w:cs="Arial"/>
                            <w:sz w:val="19"/>
                            <w:szCs w:val="19"/>
                            <w:vertAlign w:val="superscript"/>
                            <w:lang w:val="en-US" w:eastAsia="en-CA"/>
                          </w:rPr>
                          <w:t xml:space="preserve">a </w:t>
                        </w:r>
                      </w:p>
                    </w:tc>
                    <w:tc>
                      <w:tcPr>
                        <w:tcW w:w="2085" w:type="dxa"/>
                        <w:gridSpan w:val="3"/>
                        <w:shd w:val="clear" w:color="auto" w:fill="auto"/>
                      </w:tcPr>
                      <w:p w14:paraId="6607CF23"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176</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69.0</w:t>
                        </w:r>
                        <w:r w:rsidR="00A83EE8" w:rsidRPr="00AE7466">
                          <w:rPr>
                            <w:rFonts w:eastAsia="Calibri" w:cs="Arial"/>
                            <w:sz w:val="19"/>
                            <w:szCs w:val="19"/>
                            <w:lang w:val="en-US" w:eastAsia="en-CA"/>
                          </w:rPr>
                          <w:t>)</w:t>
                        </w:r>
                      </w:p>
                      <w:p w14:paraId="6607CF24" w14:textId="77777777" w:rsidR="00CA576B" w:rsidRPr="00AE7466" w:rsidRDefault="00385E57" w:rsidP="009C1362">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Very common</w:t>
                        </w:r>
                      </w:p>
                    </w:tc>
                    <w:tc>
                      <w:tcPr>
                        <w:tcW w:w="1829" w:type="dxa"/>
                        <w:shd w:val="clear" w:color="auto" w:fill="auto"/>
                      </w:tcPr>
                      <w:p w14:paraId="6607CF25"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21</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8.2</w:t>
                        </w:r>
                        <w:r w:rsidR="00A83EE8" w:rsidRPr="00AE7466">
                          <w:rPr>
                            <w:rFonts w:eastAsia="Calibri" w:cs="Arial"/>
                            <w:sz w:val="19"/>
                            <w:szCs w:val="19"/>
                            <w:lang w:val="en-US" w:eastAsia="en-CA"/>
                          </w:rPr>
                          <w:t>)</w:t>
                        </w:r>
                      </w:p>
                      <w:p w14:paraId="6607CF26" w14:textId="77777777" w:rsidR="00CA576B"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Common</w:t>
                        </w:r>
                      </w:p>
                    </w:tc>
                  </w:tr>
                  <w:tr w:rsidR="009A289F" w14:paraId="6607CF2D" w14:textId="77777777" w:rsidTr="00597821">
                    <w:tc>
                      <w:tcPr>
                        <w:tcW w:w="4804" w:type="dxa"/>
                        <w:shd w:val="clear" w:color="auto" w:fill="FFFFFF"/>
                      </w:tcPr>
                      <w:p w14:paraId="6607CF28" w14:textId="77777777" w:rsidR="004E1734" w:rsidRPr="00AE7466" w:rsidRDefault="00385E57" w:rsidP="004E1734">
                        <w:pPr>
                          <w:keepNext/>
                          <w:keepLines/>
                          <w:spacing w:after="0" w:line="240" w:lineRule="auto"/>
                          <w:rPr>
                            <w:rFonts w:eastAsia="Calibri" w:cs="Arial"/>
                            <w:sz w:val="19"/>
                            <w:szCs w:val="19"/>
                            <w:u w:val="single"/>
                            <w:lang w:val="en-US" w:eastAsia="en-CA"/>
                          </w:rPr>
                        </w:pPr>
                        <w:r w:rsidRPr="00AE7466">
                          <w:rPr>
                            <w:rFonts w:eastAsia="Calibri" w:cs="Arial"/>
                            <w:sz w:val="19"/>
                            <w:szCs w:val="19"/>
                            <w:lang w:val="en-US" w:eastAsia="en-CA"/>
                          </w:rPr>
                          <w:t>Generali</w:t>
                        </w:r>
                        <w:r w:rsidR="00105A9F" w:rsidRPr="00AE7466">
                          <w:rPr>
                            <w:rFonts w:eastAsia="Calibri" w:cs="Arial"/>
                            <w:sz w:val="19"/>
                            <w:szCs w:val="19"/>
                            <w:lang w:val="en-US" w:eastAsia="en-CA"/>
                          </w:rPr>
                          <w:t>s</w:t>
                        </w:r>
                        <w:r w:rsidRPr="00AE7466">
                          <w:rPr>
                            <w:rFonts w:eastAsia="Calibri" w:cs="Arial"/>
                            <w:sz w:val="19"/>
                            <w:szCs w:val="19"/>
                            <w:lang w:val="en-US" w:eastAsia="en-CA"/>
                          </w:rPr>
                          <w:t xml:space="preserve">ed </w:t>
                        </w:r>
                        <w:r w:rsidR="00105A9F" w:rsidRPr="00AE7466">
                          <w:rPr>
                            <w:rFonts w:eastAsia="Calibri" w:cs="Arial"/>
                            <w:sz w:val="19"/>
                            <w:szCs w:val="19"/>
                            <w:lang w:val="en-US" w:eastAsia="en-CA"/>
                          </w:rPr>
                          <w:t>o</w:t>
                        </w:r>
                        <w:r w:rsidRPr="00AE7466">
                          <w:rPr>
                            <w:rFonts w:eastAsia="Calibri" w:cs="Arial"/>
                            <w:sz w:val="19"/>
                            <w:szCs w:val="19"/>
                            <w:lang w:val="en-US" w:eastAsia="en-CA"/>
                          </w:rPr>
                          <w:t>edema</w:t>
                        </w:r>
                      </w:p>
                    </w:tc>
                    <w:tc>
                      <w:tcPr>
                        <w:tcW w:w="2085" w:type="dxa"/>
                        <w:gridSpan w:val="3"/>
                        <w:shd w:val="clear" w:color="auto" w:fill="auto"/>
                      </w:tcPr>
                      <w:p w14:paraId="6607CF29"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13</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5.1</w:t>
                        </w:r>
                        <w:r w:rsidR="00A83EE8" w:rsidRPr="00AE7466">
                          <w:rPr>
                            <w:rFonts w:eastAsia="Calibri" w:cs="Arial"/>
                            <w:sz w:val="19"/>
                            <w:szCs w:val="19"/>
                            <w:lang w:val="en-US" w:eastAsia="en-CA"/>
                          </w:rPr>
                          <w:t>)</w:t>
                        </w:r>
                      </w:p>
                      <w:p w14:paraId="6607CF2A" w14:textId="77777777" w:rsidR="00CA576B"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Common</w:t>
                        </w:r>
                      </w:p>
                    </w:tc>
                    <w:tc>
                      <w:tcPr>
                        <w:tcW w:w="1829" w:type="dxa"/>
                        <w:shd w:val="clear" w:color="auto" w:fill="auto"/>
                      </w:tcPr>
                      <w:p w14:paraId="6607CF2B"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5 (</w:t>
                        </w:r>
                        <w:r w:rsidR="008219E2" w:rsidRPr="00AE7466">
                          <w:rPr>
                            <w:rFonts w:eastAsia="Calibri" w:cs="Arial"/>
                            <w:sz w:val="19"/>
                            <w:szCs w:val="19"/>
                            <w:lang w:val="en-US" w:eastAsia="en-CA"/>
                          </w:rPr>
                          <w:t>2.0</w:t>
                        </w:r>
                        <w:r w:rsidRPr="00AE7466">
                          <w:rPr>
                            <w:rFonts w:eastAsia="Calibri" w:cs="Arial"/>
                            <w:sz w:val="19"/>
                            <w:szCs w:val="19"/>
                            <w:lang w:val="en-US" w:eastAsia="en-CA"/>
                          </w:rPr>
                          <w:t>)</w:t>
                        </w:r>
                      </w:p>
                      <w:p w14:paraId="6607CF2C" w14:textId="77777777" w:rsidR="00CA576B"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Common</w:t>
                        </w:r>
                      </w:p>
                    </w:tc>
                  </w:tr>
                  <w:tr w:rsidR="00F31EB5" w14:paraId="209C00C4" w14:textId="77777777" w:rsidTr="00597821">
                    <w:tc>
                      <w:tcPr>
                        <w:tcW w:w="4804" w:type="dxa"/>
                        <w:shd w:val="clear" w:color="auto" w:fill="FFFFFF"/>
                      </w:tcPr>
                      <w:p w14:paraId="1363E9C0" w14:textId="4A6A91F0" w:rsidR="00F31EB5" w:rsidRPr="00AE7466" w:rsidRDefault="00F31EB5" w:rsidP="004E1734">
                        <w:pPr>
                          <w:keepNext/>
                          <w:keepLines/>
                          <w:spacing w:after="0" w:line="240" w:lineRule="auto"/>
                          <w:rPr>
                            <w:rFonts w:eastAsia="Calibri" w:cs="Arial"/>
                            <w:sz w:val="19"/>
                            <w:szCs w:val="19"/>
                            <w:lang w:val="en-US" w:eastAsia="en-CA"/>
                          </w:rPr>
                        </w:pPr>
                        <w:r>
                          <w:rPr>
                            <w:rFonts w:eastAsia="Calibri" w:cs="Arial"/>
                            <w:sz w:val="19"/>
                            <w:szCs w:val="19"/>
                            <w:lang w:val="en-US" w:eastAsia="en-CA"/>
                          </w:rPr>
                          <w:t>Fatigue/Asthenia</w:t>
                        </w:r>
                      </w:p>
                    </w:tc>
                    <w:tc>
                      <w:tcPr>
                        <w:tcW w:w="2085" w:type="dxa"/>
                        <w:gridSpan w:val="3"/>
                        <w:shd w:val="clear" w:color="auto" w:fill="auto"/>
                      </w:tcPr>
                      <w:p w14:paraId="13BE9168" w14:textId="76AFF91F" w:rsidR="00F31EB5" w:rsidRDefault="008D0757" w:rsidP="004E1734">
                        <w:pPr>
                          <w:keepNext/>
                          <w:keepLines/>
                          <w:spacing w:after="0" w:line="240" w:lineRule="auto"/>
                          <w:jc w:val="center"/>
                          <w:rPr>
                            <w:rFonts w:eastAsia="Calibri" w:cs="Arial"/>
                            <w:sz w:val="19"/>
                            <w:szCs w:val="19"/>
                            <w:lang w:val="en-US" w:eastAsia="en-CA"/>
                          </w:rPr>
                        </w:pPr>
                        <w:r>
                          <w:rPr>
                            <w:rFonts w:eastAsia="Calibri" w:cs="Arial"/>
                            <w:sz w:val="19"/>
                            <w:szCs w:val="19"/>
                            <w:lang w:val="en-US" w:eastAsia="en-CA"/>
                          </w:rPr>
                          <w:t>70</w:t>
                        </w:r>
                        <w:r w:rsidR="00F31EB5">
                          <w:rPr>
                            <w:rFonts w:eastAsia="Calibri" w:cs="Arial"/>
                            <w:sz w:val="19"/>
                            <w:szCs w:val="19"/>
                            <w:lang w:val="en-US" w:eastAsia="en-CA"/>
                          </w:rPr>
                          <w:t xml:space="preserve"> (</w:t>
                        </w:r>
                        <w:r w:rsidR="007D6DC1">
                          <w:rPr>
                            <w:rFonts w:eastAsia="Calibri" w:cs="Arial"/>
                            <w:sz w:val="19"/>
                            <w:szCs w:val="19"/>
                            <w:lang w:val="en-US" w:eastAsia="en-CA"/>
                          </w:rPr>
                          <w:t>27.5</w:t>
                        </w:r>
                        <w:r w:rsidR="00F31EB5">
                          <w:rPr>
                            <w:rFonts w:eastAsia="Calibri" w:cs="Arial"/>
                            <w:sz w:val="19"/>
                            <w:szCs w:val="19"/>
                            <w:lang w:val="en-US" w:eastAsia="en-CA"/>
                          </w:rPr>
                          <w:t>)</w:t>
                        </w:r>
                      </w:p>
                      <w:p w14:paraId="7B0B2D0F" w14:textId="73C92727" w:rsidR="00F31EB5" w:rsidRPr="00AE7466" w:rsidRDefault="007D6DC1" w:rsidP="004E1734">
                        <w:pPr>
                          <w:keepNext/>
                          <w:keepLines/>
                          <w:spacing w:after="0" w:line="240" w:lineRule="auto"/>
                          <w:jc w:val="center"/>
                          <w:rPr>
                            <w:rFonts w:eastAsia="Calibri" w:cs="Arial"/>
                            <w:sz w:val="19"/>
                            <w:szCs w:val="19"/>
                            <w:lang w:val="en-US" w:eastAsia="en-CA"/>
                          </w:rPr>
                        </w:pPr>
                        <w:r>
                          <w:rPr>
                            <w:rFonts w:eastAsia="Calibri" w:cs="Arial"/>
                            <w:sz w:val="19"/>
                            <w:szCs w:val="19"/>
                            <w:lang w:val="en-US" w:eastAsia="en-CA"/>
                          </w:rPr>
                          <w:t>Very c</w:t>
                        </w:r>
                        <w:r w:rsidR="00F31EB5">
                          <w:rPr>
                            <w:rFonts w:eastAsia="Calibri" w:cs="Arial"/>
                            <w:sz w:val="19"/>
                            <w:szCs w:val="19"/>
                            <w:lang w:val="en-US" w:eastAsia="en-CA"/>
                          </w:rPr>
                          <w:t>ommon</w:t>
                        </w:r>
                      </w:p>
                    </w:tc>
                    <w:tc>
                      <w:tcPr>
                        <w:tcW w:w="1829" w:type="dxa"/>
                        <w:shd w:val="clear" w:color="auto" w:fill="auto"/>
                      </w:tcPr>
                      <w:p w14:paraId="0D644BEE" w14:textId="2CCDBB6D" w:rsidR="00F31EB5" w:rsidRDefault="008D0757" w:rsidP="004E1734">
                        <w:pPr>
                          <w:keepNext/>
                          <w:keepLines/>
                          <w:spacing w:after="0" w:line="240" w:lineRule="auto"/>
                          <w:jc w:val="center"/>
                          <w:rPr>
                            <w:rFonts w:eastAsia="Calibri" w:cs="Arial"/>
                            <w:sz w:val="19"/>
                            <w:szCs w:val="19"/>
                            <w:lang w:val="en-US" w:eastAsia="en-CA"/>
                          </w:rPr>
                        </w:pPr>
                        <w:r>
                          <w:rPr>
                            <w:rFonts w:eastAsia="Calibri" w:cs="Arial"/>
                            <w:sz w:val="19"/>
                            <w:szCs w:val="19"/>
                            <w:lang w:val="en-US" w:eastAsia="en-CA"/>
                          </w:rPr>
                          <w:t>4</w:t>
                        </w:r>
                        <w:r w:rsidR="007D6DC1">
                          <w:rPr>
                            <w:rFonts w:eastAsia="Calibri" w:cs="Arial"/>
                            <w:sz w:val="19"/>
                            <w:szCs w:val="19"/>
                            <w:lang w:val="en-US" w:eastAsia="en-CA"/>
                          </w:rPr>
                          <w:t xml:space="preserve"> (1.6)</w:t>
                        </w:r>
                      </w:p>
                      <w:p w14:paraId="76CC8F22" w14:textId="0E62250A" w:rsidR="007D6DC1" w:rsidRPr="00AE7466" w:rsidRDefault="007D6DC1" w:rsidP="004E1734">
                        <w:pPr>
                          <w:keepNext/>
                          <w:keepLines/>
                          <w:spacing w:after="0" w:line="240" w:lineRule="auto"/>
                          <w:jc w:val="center"/>
                          <w:rPr>
                            <w:rFonts w:eastAsia="Calibri" w:cs="Arial"/>
                            <w:sz w:val="19"/>
                            <w:szCs w:val="19"/>
                            <w:lang w:val="en-US" w:eastAsia="en-CA"/>
                          </w:rPr>
                        </w:pPr>
                        <w:r>
                          <w:rPr>
                            <w:rFonts w:eastAsia="Calibri" w:cs="Arial"/>
                            <w:sz w:val="19"/>
                            <w:szCs w:val="19"/>
                            <w:lang w:val="en-US" w:eastAsia="en-CA"/>
                          </w:rPr>
                          <w:t>Common</w:t>
                        </w:r>
                      </w:p>
                    </w:tc>
                  </w:tr>
                  <w:tr w:rsidR="009A289F" w14:paraId="6607CF2F" w14:textId="77777777" w:rsidTr="00597821">
                    <w:tc>
                      <w:tcPr>
                        <w:tcW w:w="8718" w:type="dxa"/>
                        <w:gridSpan w:val="5"/>
                        <w:shd w:val="clear" w:color="auto" w:fill="auto"/>
                      </w:tcPr>
                      <w:p w14:paraId="6607CF2E" w14:textId="77777777" w:rsidR="004E1734" w:rsidRPr="00AE7466" w:rsidRDefault="00385E57" w:rsidP="004E1734">
                        <w:pPr>
                          <w:keepNext/>
                          <w:keepLines/>
                          <w:spacing w:after="0" w:line="240" w:lineRule="auto"/>
                          <w:rPr>
                            <w:rFonts w:eastAsia="Calibri" w:cs="Arial"/>
                            <w:b/>
                            <w:bCs/>
                            <w:sz w:val="19"/>
                            <w:szCs w:val="19"/>
                            <w:lang w:val="en-US" w:eastAsia="en-CA"/>
                          </w:rPr>
                        </w:pPr>
                        <w:r w:rsidRPr="00AE7466">
                          <w:rPr>
                            <w:rFonts w:eastAsia="Calibri" w:cs="Arial"/>
                            <w:b/>
                            <w:bCs/>
                            <w:sz w:val="19"/>
                            <w:szCs w:val="19"/>
                            <w:lang w:val="en-US" w:eastAsia="en-CA"/>
                          </w:rPr>
                          <w:t>Hepatobiliary disorders</w:t>
                        </w:r>
                      </w:p>
                    </w:tc>
                  </w:tr>
                  <w:tr w:rsidR="009A289F" w14:paraId="6607CF35" w14:textId="77777777" w:rsidTr="00597821">
                    <w:tc>
                      <w:tcPr>
                        <w:tcW w:w="4820" w:type="dxa"/>
                        <w:gridSpan w:val="2"/>
                        <w:shd w:val="clear" w:color="auto" w:fill="auto"/>
                      </w:tcPr>
                      <w:p w14:paraId="6607CF30" w14:textId="77777777" w:rsidR="004E1734" w:rsidRPr="00AE7466" w:rsidRDefault="00385E57" w:rsidP="004E1734">
                        <w:pPr>
                          <w:keepNext/>
                          <w:keepLines/>
                          <w:spacing w:after="0" w:line="240" w:lineRule="auto"/>
                          <w:rPr>
                            <w:rFonts w:eastAsia="Calibri" w:cs="Arial"/>
                            <w:sz w:val="19"/>
                            <w:szCs w:val="19"/>
                            <w:lang w:val="en-US" w:eastAsia="en-CA"/>
                          </w:rPr>
                        </w:pPr>
                        <w:r w:rsidRPr="00AE7466">
                          <w:rPr>
                            <w:rFonts w:eastAsia="Calibri" w:cs="Arial"/>
                            <w:sz w:val="19"/>
                            <w:szCs w:val="19"/>
                            <w:lang w:val="en-US" w:eastAsia="en-CA"/>
                          </w:rPr>
                          <w:t>Increase in alanine aminotransferase (ALT)</w:t>
                        </w:r>
                      </w:p>
                    </w:tc>
                    <w:tc>
                      <w:tcPr>
                        <w:tcW w:w="2056" w:type="dxa"/>
                        <w:shd w:val="clear" w:color="auto" w:fill="auto"/>
                      </w:tcPr>
                      <w:p w14:paraId="6607CF31"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29</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11.4</w:t>
                        </w:r>
                        <w:r w:rsidR="00A83EE8" w:rsidRPr="00AE7466">
                          <w:rPr>
                            <w:rFonts w:eastAsia="Calibri" w:cs="Arial"/>
                            <w:sz w:val="19"/>
                            <w:szCs w:val="19"/>
                            <w:lang w:val="en-US" w:eastAsia="en-CA"/>
                          </w:rPr>
                          <w:t>)</w:t>
                        </w:r>
                      </w:p>
                      <w:p w14:paraId="6607CF32"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Very c</w:t>
                        </w:r>
                        <w:r w:rsidR="00A83EE8" w:rsidRPr="00AE7466">
                          <w:rPr>
                            <w:rFonts w:eastAsia="Calibri" w:cs="Arial"/>
                            <w:sz w:val="19"/>
                            <w:szCs w:val="19"/>
                            <w:lang w:val="en-US" w:eastAsia="en-CA"/>
                          </w:rPr>
                          <w:t>ommon</w:t>
                        </w:r>
                      </w:p>
                    </w:tc>
                    <w:tc>
                      <w:tcPr>
                        <w:tcW w:w="1842" w:type="dxa"/>
                        <w:gridSpan w:val="2"/>
                        <w:shd w:val="clear" w:color="auto" w:fill="auto"/>
                      </w:tcPr>
                      <w:p w14:paraId="6607CF33"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8</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3.1</w:t>
                        </w:r>
                        <w:r w:rsidR="00A83EE8" w:rsidRPr="00AE7466">
                          <w:rPr>
                            <w:rFonts w:eastAsia="Calibri" w:cs="Arial"/>
                            <w:sz w:val="19"/>
                            <w:szCs w:val="19"/>
                            <w:lang w:val="en-US" w:eastAsia="en-CA"/>
                          </w:rPr>
                          <w:t>)</w:t>
                        </w:r>
                      </w:p>
                      <w:p w14:paraId="6607CF34"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Common</w:t>
                        </w:r>
                      </w:p>
                    </w:tc>
                  </w:tr>
                  <w:tr w:rsidR="009A289F" w14:paraId="6607CF3B" w14:textId="77777777" w:rsidTr="00597821">
                    <w:tc>
                      <w:tcPr>
                        <w:tcW w:w="4820" w:type="dxa"/>
                        <w:gridSpan w:val="2"/>
                        <w:shd w:val="clear" w:color="auto" w:fill="auto"/>
                      </w:tcPr>
                      <w:p w14:paraId="6607CF36" w14:textId="77777777" w:rsidR="004E1734" w:rsidRPr="00AE7466" w:rsidRDefault="00385E57" w:rsidP="004E1734">
                        <w:pPr>
                          <w:keepNext/>
                          <w:keepLines/>
                          <w:spacing w:after="0" w:line="240" w:lineRule="auto"/>
                          <w:rPr>
                            <w:rFonts w:eastAsia="Calibri" w:cs="Arial"/>
                            <w:sz w:val="19"/>
                            <w:szCs w:val="19"/>
                            <w:lang w:val="en-US" w:eastAsia="en-CA"/>
                          </w:rPr>
                        </w:pPr>
                        <w:r w:rsidRPr="00AE7466">
                          <w:rPr>
                            <w:rFonts w:eastAsia="Calibri" w:cs="Arial"/>
                            <w:sz w:val="19"/>
                            <w:szCs w:val="19"/>
                            <w:lang w:val="en-US" w:eastAsia="en-CA"/>
                          </w:rPr>
                          <w:t>Increase in aspartate aminotransferase (AST)</w:t>
                        </w:r>
                      </w:p>
                    </w:tc>
                    <w:tc>
                      <w:tcPr>
                        <w:tcW w:w="2056" w:type="dxa"/>
                        <w:shd w:val="clear" w:color="auto" w:fill="auto"/>
                      </w:tcPr>
                      <w:p w14:paraId="6607CF37"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 xml:space="preserve">19 </w:t>
                        </w:r>
                        <w:r w:rsidR="00C3545C" w:rsidRPr="00AE7466">
                          <w:rPr>
                            <w:rFonts w:eastAsia="Calibri" w:cs="Arial"/>
                            <w:sz w:val="19"/>
                            <w:szCs w:val="19"/>
                            <w:lang w:val="en-US" w:eastAsia="en-CA"/>
                          </w:rPr>
                          <w:t>(</w:t>
                        </w:r>
                        <w:r w:rsidRPr="00AE7466">
                          <w:rPr>
                            <w:rFonts w:eastAsia="Calibri" w:cs="Arial"/>
                            <w:sz w:val="19"/>
                            <w:szCs w:val="19"/>
                            <w:lang w:val="en-US" w:eastAsia="en-CA"/>
                          </w:rPr>
                          <w:t>7.5</w:t>
                        </w:r>
                        <w:r w:rsidR="00C3545C" w:rsidRPr="00AE7466">
                          <w:rPr>
                            <w:rFonts w:eastAsia="Calibri" w:cs="Arial"/>
                            <w:sz w:val="19"/>
                            <w:szCs w:val="19"/>
                            <w:lang w:val="en-US" w:eastAsia="en-CA"/>
                          </w:rPr>
                          <w:t>)</w:t>
                        </w:r>
                      </w:p>
                      <w:p w14:paraId="6607CF38"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Common</w:t>
                        </w:r>
                      </w:p>
                    </w:tc>
                    <w:tc>
                      <w:tcPr>
                        <w:tcW w:w="1842" w:type="dxa"/>
                        <w:gridSpan w:val="2"/>
                        <w:shd w:val="clear" w:color="auto" w:fill="auto"/>
                      </w:tcPr>
                      <w:p w14:paraId="6607CF39"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3 (</w:t>
                        </w:r>
                        <w:r w:rsidR="008219E2" w:rsidRPr="00AE7466">
                          <w:rPr>
                            <w:rFonts w:eastAsia="Calibri" w:cs="Arial"/>
                            <w:sz w:val="19"/>
                            <w:szCs w:val="19"/>
                            <w:lang w:val="en-US" w:eastAsia="en-CA"/>
                          </w:rPr>
                          <w:t>1.2</w:t>
                        </w:r>
                        <w:r w:rsidRPr="00AE7466">
                          <w:rPr>
                            <w:rFonts w:eastAsia="Calibri" w:cs="Arial"/>
                            <w:sz w:val="19"/>
                            <w:szCs w:val="19"/>
                            <w:lang w:val="en-US" w:eastAsia="en-CA"/>
                          </w:rPr>
                          <w:t>)</w:t>
                        </w:r>
                      </w:p>
                      <w:p w14:paraId="6607CF3A"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Common</w:t>
                        </w:r>
                      </w:p>
                    </w:tc>
                  </w:tr>
                  <w:tr w:rsidR="009A289F" w14:paraId="6607CF3D" w14:textId="77777777" w:rsidTr="00597821">
                    <w:tc>
                      <w:tcPr>
                        <w:tcW w:w="8718" w:type="dxa"/>
                        <w:gridSpan w:val="5"/>
                        <w:shd w:val="clear" w:color="auto" w:fill="auto"/>
                      </w:tcPr>
                      <w:p w14:paraId="6607CF3C" w14:textId="77777777" w:rsidR="004E1734" w:rsidRPr="00AE7466" w:rsidRDefault="00385E57" w:rsidP="004E1734">
                        <w:pPr>
                          <w:keepNext/>
                          <w:keepLines/>
                          <w:spacing w:after="0" w:line="240" w:lineRule="auto"/>
                          <w:rPr>
                            <w:rFonts w:eastAsia="Calibri" w:cs="Arial"/>
                            <w:b/>
                            <w:bCs/>
                            <w:sz w:val="19"/>
                            <w:szCs w:val="19"/>
                            <w:lang w:val="en-US" w:eastAsia="en-CA"/>
                          </w:rPr>
                        </w:pPr>
                        <w:r w:rsidRPr="00AE7466">
                          <w:rPr>
                            <w:rFonts w:eastAsia="Calibri" w:cs="Arial"/>
                            <w:b/>
                            <w:bCs/>
                            <w:sz w:val="19"/>
                            <w:szCs w:val="19"/>
                            <w:lang w:val="en-US" w:eastAsia="en-CA"/>
                          </w:rPr>
                          <w:t>Investigations</w:t>
                        </w:r>
                      </w:p>
                    </w:tc>
                  </w:tr>
                  <w:tr w:rsidR="009A289F" w14:paraId="6607CF43" w14:textId="77777777" w:rsidTr="00597821">
                    <w:tc>
                      <w:tcPr>
                        <w:tcW w:w="4820" w:type="dxa"/>
                        <w:gridSpan w:val="2"/>
                        <w:shd w:val="clear" w:color="auto" w:fill="auto"/>
                      </w:tcPr>
                      <w:p w14:paraId="6607CF3E" w14:textId="77777777" w:rsidR="004E1734" w:rsidRPr="00AE7466" w:rsidRDefault="00385E57" w:rsidP="004E1734">
                        <w:pPr>
                          <w:keepNext/>
                          <w:keepLines/>
                          <w:spacing w:after="0" w:line="240" w:lineRule="auto"/>
                          <w:rPr>
                            <w:rFonts w:eastAsia="Calibri" w:cs="Arial"/>
                            <w:sz w:val="19"/>
                            <w:szCs w:val="19"/>
                            <w:lang w:val="en-US" w:eastAsia="en-CA"/>
                          </w:rPr>
                        </w:pPr>
                        <w:r w:rsidRPr="00AE7466">
                          <w:rPr>
                            <w:rFonts w:eastAsia="Calibri" w:cs="Arial"/>
                            <w:sz w:val="19"/>
                            <w:szCs w:val="19"/>
                            <w:lang w:val="en-US" w:eastAsia="en-CA"/>
                          </w:rPr>
                          <w:t>Increase in creatinine</w:t>
                        </w:r>
                        <w:r w:rsidRPr="00AE7466">
                          <w:rPr>
                            <w:rFonts w:eastAsia="Calibri" w:cs="Arial"/>
                            <w:sz w:val="19"/>
                            <w:szCs w:val="19"/>
                            <w:vertAlign w:val="superscript"/>
                            <w:lang w:val="en-US" w:eastAsia="en-CA"/>
                          </w:rPr>
                          <w:t>b</w:t>
                        </w:r>
                      </w:p>
                    </w:tc>
                    <w:tc>
                      <w:tcPr>
                        <w:tcW w:w="2056" w:type="dxa"/>
                        <w:shd w:val="clear" w:color="auto" w:fill="auto"/>
                      </w:tcPr>
                      <w:p w14:paraId="6607CF3F"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66</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25.9</w:t>
                        </w:r>
                        <w:r w:rsidR="00A83EE8" w:rsidRPr="00AE7466">
                          <w:rPr>
                            <w:rFonts w:eastAsia="Calibri" w:cs="Arial"/>
                            <w:sz w:val="19"/>
                            <w:szCs w:val="19"/>
                            <w:lang w:val="en-US" w:eastAsia="en-CA"/>
                          </w:rPr>
                          <w:t>)</w:t>
                        </w:r>
                      </w:p>
                      <w:p w14:paraId="6607CF40"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Very common</w:t>
                        </w:r>
                      </w:p>
                    </w:tc>
                    <w:tc>
                      <w:tcPr>
                        <w:tcW w:w="1842" w:type="dxa"/>
                        <w:gridSpan w:val="2"/>
                        <w:shd w:val="clear" w:color="auto" w:fill="auto"/>
                      </w:tcPr>
                      <w:p w14:paraId="6607CF41"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1 (</w:t>
                        </w:r>
                        <w:r w:rsidR="008219E2" w:rsidRPr="00AE7466">
                          <w:rPr>
                            <w:rFonts w:eastAsia="Calibri" w:cs="Arial"/>
                            <w:sz w:val="19"/>
                            <w:szCs w:val="19"/>
                            <w:lang w:val="en-US" w:eastAsia="en-CA"/>
                          </w:rPr>
                          <w:t>0.4</w:t>
                        </w:r>
                        <w:r w:rsidRPr="00AE7466">
                          <w:rPr>
                            <w:rFonts w:eastAsia="Calibri" w:cs="Arial"/>
                            <w:sz w:val="19"/>
                            <w:szCs w:val="19"/>
                            <w:lang w:val="en-US" w:eastAsia="en-CA"/>
                          </w:rPr>
                          <w:t>)</w:t>
                        </w:r>
                      </w:p>
                      <w:p w14:paraId="6607CF42"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Uncommon</w:t>
                        </w:r>
                      </w:p>
                    </w:tc>
                  </w:tr>
                  <w:tr w:rsidR="009A289F" w14:paraId="6607CF49" w14:textId="77777777" w:rsidTr="00597821">
                    <w:tc>
                      <w:tcPr>
                        <w:tcW w:w="4820" w:type="dxa"/>
                        <w:gridSpan w:val="2"/>
                        <w:shd w:val="clear" w:color="auto" w:fill="auto"/>
                      </w:tcPr>
                      <w:p w14:paraId="6607CF44" w14:textId="77777777" w:rsidR="004E1734" w:rsidRPr="00AE7466" w:rsidRDefault="00385E57" w:rsidP="004E1734">
                        <w:pPr>
                          <w:keepNext/>
                          <w:keepLines/>
                          <w:spacing w:after="0" w:line="240" w:lineRule="auto"/>
                          <w:rPr>
                            <w:rFonts w:eastAsia="Calibri" w:cs="Arial"/>
                            <w:sz w:val="19"/>
                            <w:szCs w:val="19"/>
                            <w:lang w:val="en-US" w:eastAsia="en-CA"/>
                          </w:rPr>
                        </w:pPr>
                        <w:r w:rsidRPr="00AE7466">
                          <w:rPr>
                            <w:rFonts w:eastAsia="Calibri" w:cs="Arial"/>
                            <w:sz w:val="19"/>
                            <w:szCs w:val="19"/>
                            <w:lang w:val="en-US" w:eastAsia="en-CA"/>
                          </w:rPr>
                          <w:t>Increase in amylase</w:t>
                        </w:r>
                        <w:r w:rsidRPr="00AE7466">
                          <w:rPr>
                            <w:rFonts w:eastAsia="Calibri" w:cs="Arial"/>
                            <w:sz w:val="19"/>
                            <w:szCs w:val="19"/>
                            <w:vertAlign w:val="superscript"/>
                            <w:lang w:val="en-US" w:eastAsia="en-CA"/>
                          </w:rPr>
                          <w:t>c</w:t>
                        </w:r>
                      </w:p>
                    </w:tc>
                    <w:tc>
                      <w:tcPr>
                        <w:tcW w:w="2056" w:type="dxa"/>
                        <w:shd w:val="clear" w:color="auto" w:fill="auto"/>
                      </w:tcPr>
                      <w:p w14:paraId="6607CF45"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22</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8.6</w:t>
                        </w:r>
                        <w:r w:rsidR="00A83EE8" w:rsidRPr="00AE7466">
                          <w:rPr>
                            <w:rFonts w:eastAsia="Calibri" w:cs="Arial"/>
                            <w:sz w:val="19"/>
                            <w:szCs w:val="19"/>
                            <w:lang w:val="en-US" w:eastAsia="en-CA"/>
                          </w:rPr>
                          <w:t>)</w:t>
                        </w:r>
                      </w:p>
                      <w:p w14:paraId="6607CF46"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C</w:t>
                        </w:r>
                        <w:r w:rsidR="000E3327" w:rsidRPr="00AE7466">
                          <w:rPr>
                            <w:rFonts w:eastAsia="Calibri" w:cs="Arial"/>
                            <w:sz w:val="19"/>
                            <w:szCs w:val="19"/>
                            <w:lang w:val="en-US" w:eastAsia="en-CA"/>
                          </w:rPr>
                          <w:t>ommon</w:t>
                        </w:r>
                      </w:p>
                    </w:tc>
                    <w:tc>
                      <w:tcPr>
                        <w:tcW w:w="1842" w:type="dxa"/>
                        <w:gridSpan w:val="2"/>
                        <w:shd w:val="clear" w:color="auto" w:fill="auto"/>
                      </w:tcPr>
                      <w:p w14:paraId="6607CF47"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8</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3.1</w:t>
                        </w:r>
                        <w:r w:rsidR="00A83EE8" w:rsidRPr="00AE7466">
                          <w:rPr>
                            <w:rFonts w:eastAsia="Calibri" w:cs="Arial"/>
                            <w:sz w:val="19"/>
                            <w:szCs w:val="19"/>
                            <w:lang w:val="en-US" w:eastAsia="en-CA"/>
                          </w:rPr>
                          <w:t>)</w:t>
                        </w:r>
                      </w:p>
                      <w:p w14:paraId="6607CF48"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Common</w:t>
                        </w:r>
                      </w:p>
                    </w:tc>
                  </w:tr>
                  <w:tr w:rsidR="009A289F" w14:paraId="6607CF4F" w14:textId="77777777" w:rsidTr="00597821">
                    <w:tc>
                      <w:tcPr>
                        <w:tcW w:w="4820" w:type="dxa"/>
                        <w:gridSpan w:val="2"/>
                        <w:shd w:val="clear" w:color="auto" w:fill="auto"/>
                      </w:tcPr>
                      <w:p w14:paraId="6607CF4A" w14:textId="77777777" w:rsidR="004E1734" w:rsidRPr="00AE7466" w:rsidRDefault="00385E57" w:rsidP="004E1734">
                        <w:pPr>
                          <w:keepNext/>
                          <w:keepLines/>
                          <w:spacing w:after="0" w:line="240" w:lineRule="auto"/>
                          <w:rPr>
                            <w:rFonts w:eastAsia="Calibri" w:cs="Arial"/>
                            <w:sz w:val="19"/>
                            <w:szCs w:val="19"/>
                            <w:lang w:val="en-US" w:eastAsia="en-CA"/>
                          </w:rPr>
                        </w:pPr>
                        <w:r w:rsidRPr="00AE7466">
                          <w:rPr>
                            <w:rFonts w:eastAsia="Calibri" w:cs="Arial"/>
                            <w:sz w:val="19"/>
                            <w:szCs w:val="19"/>
                            <w:lang w:val="en-US" w:eastAsia="en-CA"/>
                          </w:rPr>
                          <w:t>Increase in lipase</w:t>
                        </w:r>
                      </w:p>
                    </w:tc>
                    <w:tc>
                      <w:tcPr>
                        <w:tcW w:w="2056" w:type="dxa"/>
                        <w:shd w:val="clear" w:color="auto" w:fill="auto"/>
                      </w:tcPr>
                      <w:p w14:paraId="6607CF4B"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18</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7.1</w:t>
                        </w:r>
                        <w:r w:rsidR="00A83EE8" w:rsidRPr="00AE7466">
                          <w:rPr>
                            <w:rFonts w:eastAsia="Calibri" w:cs="Arial"/>
                            <w:sz w:val="19"/>
                            <w:szCs w:val="19"/>
                            <w:lang w:val="en-US" w:eastAsia="en-CA"/>
                          </w:rPr>
                          <w:t>)</w:t>
                        </w:r>
                      </w:p>
                      <w:p w14:paraId="6607CF4C"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Common</w:t>
                        </w:r>
                      </w:p>
                    </w:tc>
                    <w:tc>
                      <w:tcPr>
                        <w:tcW w:w="1842" w:type="dxa"/>
                        <w:gridSpan w:val="2"/>
                        <w:shd w:val="clear" w:color="auto" w:fill="auto"/>
                      </w:tcPr>
                      <w:p w14:paraId="6607CF4D"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9</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3.5</w:t>
                        </w:r>
                        <w:r w:rsidR="00A83EE8" w:rsidRPr="00AE7466">
                          <w:rPr>
                            <w:rFonts w:eastAsia="Calibri" w:cs="Arial"/>
                            <w:sz w:val="19"/>
                            <w:szCs w:val="19"/>
                            <w:lang w:val="en-US" w:eastAsia="en-CA"/>
                          </w:rPr>
                          <w:t>)</w:t>
                        </w:r>
                      </w:p>
                      <w:p w14:paraId="6607CF4E"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Common</w:t>
                        </w:r>
                      </w:p>
                    </w:tc>
                  </w:tr>
                  <w:tr w:rsidR="009A289F" w14:paraId="6607CF51" w14:textId="77777777" w:rsidTr="00597821">
                    <w:tc>
                      <w:tcPr>
                        <w:tcW w:w="8718" w:type="dxa"/>
                        <w:gridSpan w:val="5"/>
                        <w:shd w:val="clear" w:color="auto" w:fill="auto"/>
                      </w:tcPr>
                      <w:p w14:paraId="6607CF50" w14:textId="77777777" w:rsidR="004E1734" w:rsidRPr="00AE7466" w:rsidRDefault="00385E57" w:rsidP="004E1734">
                        <w:pPr>
                          <w:keepNext/>
                          <w:keepLines/>
                          <w:spacing w:after="0" w:line="240" w:lineRule="auto"/>
                          <w:rPr>
                            <w:rFonts w:eastAsia="Calibri" w:cs="Arial"/>
                            <w:b/>
                            <w:bCs/>
                            <w:sz w:val="19"/>
                            <w:szCs w:val="19"/>
                            <w:lang w:val="en-US" w:eastAsia="en-CA"/>
                          </w:rPr>
                        </w:pPr>
                        <w:r w:rsidRPr="00AE7466">
                          <w:rPr>
                            <w:rFonts w:eastAsia="Calibri" w:cs="Arial"/>
                            <w:b/>
                            <w:bCs/>
                            <w:sz w:val="19"/>
                            <w:szCs w:val="19"/>
                            <w:lang w:val="en-US" w:eastAsia="en-CA"/>
                          </w:rPr>
                          <w:t>Metabolism and nutrition disorders</w:t>
                        </w:r>
                      </w:p>
                    </w:tc>
                  </w:tr>
                  <w:tr w:rsidR="009A289F" w14:paraId="6607CF57" w14:textId="77777777" w:rsidTr="00597821">
                    <w:tc>
                      <w:tcPr>
                        <w:tcW w:w="4820" w:type="dxa"/>
                        <w:gridSpan w:val="2"/>
                        <w:shd w:val="clear" w:color="auto" w:fill="auto"/>
                      </w:tcPr>
                      <w:p w14:paraId="6607CF52" w14:textId="77777777" w:rsidR="004E1734" w:rsidRPr="00AE7466" w:rsidRDefault="00385E57" w:rsidP="004E1734">
                        <w:pPr>
                          <w:keepNext/>
                          <w:keepLines/>
                          <w:spacing w:after="0" w:line="240" w:lineRule="auto"/>
                          <w:rPr>
                            <w:rFonts w:eastAsia="Calibri" w:cs="Arial"/>
                            <w:sz w:val="19"/>
                            <w:szCs w:val="19"/>
                            <w:lang w:val="en-US" w:eastAsia="en-CA"/>
                          </w:rPr>
                        </w:pPr>
                        <w:r w:rsidRPr="00AE7466">
                          <w:rPr>
                            <w:rFonts w:eastAsia="Calibri" w:cs="Arial"/>
                            <w:sz w:val="19"/>
                            <w:szCs w:val="19"/>
                            <w:lang w:val="en-US" w:eastAsia="en-CA"/>
                          </w:rPr>
                          <w:t>Hypoalbuminemia</w:t>
                        </w:r>
                        <w:r w:rsidRPr="00AE7466">
                          <w:rPr>
                            <w:rFonts w:eastAsia="Calibri" w:cs="Arial"/>
                            <w:sz w:val="19"/>
                            <w:szCs w:val="19"/>
                            <w:vertAlign w:val="superscript"/>
                            <w:lang w:val="en-US" w:eastAsia="en-CA"/>
                          </w:rPr>
                          <w:t>d</w:t>
                        </w:r>
                      </w:p>
                    </w:tc>
                    <w:tc>
                      <w:tcPr>
                        <w:tcW w:w="2056" w:type="dxa"/>
                        <w:shd w:val="clear" w:color="auto" w:fill="auto"/>
                      </w:tcPr>
                      <w:p w14:paraId="6607CF53"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61</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23.9</w:t>
                        </w:r>
                        <w:r w:rsidR="00A83EE8" w:rsidRPr="00AE7466">
                          <w:rPr>
                            <w:rFonts w:eastAsia="Calibri" w:cs="Arial"/>
                            <w:sz w:val="19"/>
                            <w:szCs w:val="19"/>
                            <w:lang w:val="en-US" w:eastAsia="en-CA"/>
                          </w:rPr>
                          <w:t>)</w:t>
                        </w:r>
                      </w:p>
                      <w:p w14:paraId="6607CF54"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Very common</w:t>
                        </w:r>
                      </w:p>
                    </w:tc>
                    <w:tc>
                      <w:tcPr>
                        <w:tcW w:w="1842" w:type="dxa"/>
                        <w:gridSpan w:val="2"/>
                        <w:shd w:val="clear" w:color="auto" w:fill="auto"/>
                      </w:tcPr>
                      <w:p w14:paraId="6607CF55"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14</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5.5</w:t>
                        </w:r>
                        <w:r w:rsidR="00A83EE8" w:rsidRPr="00AE7466">
                          <w:rPr>
                            <w:rFonts w:eastAsia="Calibri" w:cs="Arial"/>
                            <w:sz w:val="19"/>
                            <w:szCs w:val="19"/>
                            <w:lang w:val="en-US" w:eastAsia="en-CA"/>
                          </w:rPr>
                          <w:t>)</w:t>
                        </w:r>
                      </w:p>
                      <w:p w14:paraId="6607CF56"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Common</w:t>
                        </w:r>
                      </w:p>
                    </w:tc>
                  </w:tr>
                  <w:tr w:rsidR="009A289F" w14:paraId="6607CF59" w14:textId="77777777" w:rsidTr="00597821">
                    <w:tc>
                      <w:tcPr>
                        <w:tcW w:w="8718" w:type="dxa"/>
                        <w:gridSpan w:val="5"/>
                        <w:shd w:val="clear" w:color="auto" w:fill="auto"/>
                      </w:tcPr>
                      <w:p w14:paraId="6607CF58" w14:textId="77777777" w:rsidR="004E1734" w:rsidRPr="00AE7466" w:rsidRDefault="00385E57" w:rsidP="004E1734">
                        <w:pPr>
                          <w:keepNext/>
                          <w:keepLines/>
                          <w:spacing w:after="0" w:line="240" w:lineRule="auto"/>
                          <w:rPr>
                            <w:rFonts w:eastAsia="Calibri" w:cs="Arial"/>
                            <w:b/>
                            <w:bCs/>
                            <w:sz w:val="19"/>
                            <w:szCs w:val="19"/>
                            <w:lang w:val="en-US" w:eastAsia="en-CA"/>
                          </w:rPr>
                        </w:pPr>
                        <w:r w:rsidRPr="00AE7466">
                          <w:rPr>
                            <w:rFonts w:eastAsia="Calibri" w:cs="Arial"/>
                            <w:b/>
                            <w:bCs/>
                            <w:sz w:val="19"/>
                            <w:szCs w:val="19"/>
                            <w:lang w:val="en-US" w:eastAsia="en-CA"/>
                          </w:rPr>
                          <w:t>Respiratory, thoracic and mediastinal disorders</w:t>
                        </w:r>
                      </w:p>
                    </w:tc>
                  </w:tr>
                  <w:tr w:rsidR="009A289F" w14:paraId="6607CF5F" w14:textId="77777777" w:rsidTr="00597821">
                    <w:tc>
                      <w:tcPr>
                        <w:tcW w:w="4820" w:type="dxa"/>
                        <w:gridSpan w:val="2"/>
                        <w:shd w:val="clear" w:color="auto" w:fill="auto"/>
                      </w:tcPr>
                      <w:p w14:paraId="6607CF5A" w14:textId="77777777" w:rsidR="004E1734" w:rsidRPr="00AE7466" w:rsidRDefault="00385E57" w:rsidP="004E1734">
                        <w:pPr>
                          <w:keepNext/>
                          <w:keepLines/>
                          <w:spacing w:after="0" w:line="240" w:lineRule="auto"/>
                          <w:rPr>
                            <w:rFonts w:eastAsia="Calibri" w:cs="Arial"/>
                            <w:sz w:val="19"/>
                            <w:szCs w:val="19"/>
                            <w:lang w:val="en-US" w:eastAsia="en-CA"/>
                          </w:rPr>
                        </w:pPr>
                        <w:r w:rsidRPr="00AE7466">
                          <w:rPr>
                            <w:rFonts w:eastAsia="Calibri" w:cs="Arial"/>
                            <w:sz w:val="19"/>
                            <w:szCs w:val="19"/>
                            <w:lang w:val="en-US" w:eastAsia="en-CA"/>
                          </w:rPr>
                          <w:t xml:space="preserve">Interstitial Lung Disease </w:t>
                        </w:r>
                        <w:r w:rsidR="00472C91" w:rsidRPr="00AE7466">
                          <w:rPr>
                            <w:rFonts w:eastAsia="Calibri" w:cs="Arial"/>
                            <w:sz w:val="19"/>
                            <w:szCs w:val="19"/>
                            <w:lang w:val="en-US" w:eastAsia="en-CA"/>
                          </w:rPr>
                          <w:t>(</w:t>
                        </w:r>
                        <w:r w:rsidRPr="00AE7466">
                          <w:rPr>
                            <w:rFonts w:eastAsia="Calibri" w:cs="Arial"/>
                            <w:sz w:val="19"/>
                            <w:szCs w:val="19"/>
                            <w:lang w:val="en-US" w:eastAsia="en-CA"/>
                          </w:rPr>
                          <w:t>ILD</w:t>
                        </w:r>
                        <w:r w:rsidR="00472C91" w:rsidRPr="00AE7466">
                          <w:rPr>
                            <w:rFonts w:eastAsia="Calibri" w:cs="Arial"/>
                            <w:sz w:val="19"/>
                            <w:szCs w:val="19"/>
                            <w:lang w:val="en-US" w:eastAsia="en-CA"/>
                          </w:rPr>
                          <w:t>)</w:t>
                        </w:r>
                        <w:r w:rsidRPr="00AE7466">
                          <w:rPr>
                            <w:rFonts w:eastAsia="Calibri" w:cs="Arial"/>
                            <w:sz w:val="19"/>
                            <w:szCs w:val="19"/>
                            <w:vertAlign w:val="superscript"/>
                            <w:lang w:val="en-US" w:eastAsia="en-CA"/>
                          </w:rPr>
                          <w:t>e</w:t>
                        </w:r>
                      </w:p>
                    </w:tc>
                    <w:tc>
                      <w:tcPr>
                        <w:tcW w:w="2056" w:type="dxa"/>
                        <w:shd w:val="clear" w:color="auto" w:fill="auto"/>
                      </w:tcPr>
                      <w:p w14:paraId="6607CF5B"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6</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2.4</w:t>
                        </w:r>
                        <w:r w:rsidR="00A83EE8" w:rsidRPr="00AE7466">
                          <w:rPr>
                            <w:rFonts w:eastAsia="Calibri" w:cs="Arial"/>
                            <w:sz w:val="19"/>
                            <w:szCs w:val="19"/>
                            <w:lang w:val="en-US" w:eastAsia="en-CA"/>
                          </w:rPr>
                          <w:t>)</w:t>
                        </w:r>
                      </w:p>
                      <w:p w14:paraId="6607CF5C"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 xml:space="preserve">Common </w:t>
                        </w:r>
                      </w:p>
                    </w:tc>
                    <w:tc>
                      <w:tcPr>
                        <w:tcW w:w="1842" w:type="dxa"/>
                        <w:gridSpan w:val="2"/>
                        <w:shd w:val="clear" w:color="auto" w:fill="auto"/>
                      </w:tcPr>
                      <w:p w14:paraId="6607CF5D" w14:textId="77777777" w:rsidR="004E1734"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1</w:t>
                        </w:r>
                        <w:r w:rsidR="00A83EE8" w:rsidRPr="00AE7466">
                          <w:rPr>
                            <w:rFonts w:eastAsia="Calibri" w:cs="Arial"/>
                            <w:sz w:val="19"/>
                            <w:szCs w:val="19"/>
                            <w:lang w:val="en-US" w:eastAsia="en-CA"/>
                          </w:rPr>
                          <w:t xml:space="preserve"> (</w:t>
                        </w:r>
                        <w:r w:rsidRPr="00AE7466">
                          <w:rPr>
                            <w:rFonts w:eastAsia="Calibri" w:cs="Arial"/>
                            <w:sz w:val="19"/>
                            <w:szCs w:val="19"/>
                            <w:lang w:val="en-US" w:eastAsia="en-CA"/>
                          </w:rPr>
                          <w:t>0.4</w:t>
                        </w:r>
                        <w:r w:rsidR="00A83EE8" w:rsidRPr="00AE7466">
                          <w:rPr>
                            <w:rFonts w:eastAsia="Calibri" w:cs="Arial"/>
                            <w:sz w:val="19"/>
                            <w:szCs w:val="19"/>
                            <w:lang w:val="en-US" w:eastAsia="en-CA"/>
                          </w:rPr>
                          <w:t>)</w:t>
                        </w:r>
                      </w:p>
                      <w:p w14:paraId="6607CF5E" w14:textId="77777777" w:rsidR="00C23538" w:rsidRPr="00AE7466" w:rsidRDefault="00385E57" w:rsidP="004E1734">
                        <w:pPr>
                          <w:keepNext/>
                          <w:keepLines/>
                          <w:spacing w:after="0" w:line="240" w:lineRule="auto"/>
                          <w:jc w:val="center"/>
                          <w:rPr>
                            <w:rFonts w:eastAsia="Calibri" w:cs="Arial"/>
                            <w:sz w:val="19"/>
                            <w:szCs w:val="19"/>
                            <w:lang w:val="en-US" w:eastAsia="en-CA"/>
                          </w:rPr>
                        </w:pPr>
                        <w:r w:rsidRPr="00AE7466">
                          <w:rPr>
                            <w:rFonts w:eastAsia="Calibri" w:cs="Arial"/>
                            <w:sz w:val="19"/>
                            <w:szCs w:val="19"/>
                            <w:lang w:val="en-US" w:eastAsia="en-CA"/>
                          </w:rPr>
                          <w:t>Unc</w:t>
                        </w:r>
                        <w:r w:rsidR="00E6433A" w:rsidRPr="00AE7466">
                          <w:rPr>
                            <w:rFonts w:eastAsia="Calibri" w:cs="Arial"/>
                            <w:sz w:val="19"/>
                            <w:szCs w:val="19"/>
                            <w:lang w:val="en-US" w:eastAsia="en-CA"/>
                          </w:rPr>
                          <w:t>ommon</w:t>
                        </w:r>
                      </w:p>
                    </w:tc>
                  </w:tr>
                  <w:tr w:rsidR="009A289F" w14:paraId="6607CF65" w14:textId="77777777" w:rsidTr="00597821">
                    <w:tc>
                      <w:tcPr>
                        <w:tcW w:w="8718" w:type="dxa"/>
                        <w:gridSpan w:val="5"/>
                        <w:shd w:val="clear" w:color="auto" w:fill="auto"/>
                      </w:tcPr>
                      <w:p w14:paraId="6607CF60" w14:textId="77777777" w:rsidR="004E1734" w:rsidRPr="00AE7466" w:rsidRDefault="00385E57" w:rsidP="004E1734">
                        <w:pPr>
                          <w:keepNext/>
                          <w:keepLines/>
                          <w:tabs>
                            <w:tab w:val="left" w:pos="232"/>
                          </w:tabs>
                          <w:spacing w:after="0" w:line="240" w:lineRule="auto"/>
                          <w:ind w:left="232" w:hanging="232"/>
                          <w:rPr>
                            <w:rFonts w:eastAsia="Times New Roman" w:cs="Arial"/>
                            <w:sz w:val="19"/>
                            <w:szCs w:val="19"/>
                            <w:lang w:val="en-US" w:eastAsia="en-CA"/>
                          </w:rPr>
                        </w:pPr>
                        <w:r w:rsidRPr="00AE7466">
                          <w:rPr>
                            <w:rFonts w:ascii="Arial" w:eastAsia="Calibri" w:hAnsi="Arial" w:cs="Arial"/>
                            <w:sz w:val="19"/>
                            <w:szCs w:val="19"/>
                            <w:vertAlign w:val="superscript"/>
                            <w:lang w:val="en-US" w:eastAsia="en-CA"/>
                          </w:rPr>
                          <w:lastRenderedPageBreak/>
                          <w:t>a</w:t>
                        </w:r>
                        <w:r w:rsidRPr="00AE7466">
                          <w:rPr>
                            <w:rFonts w:ascii="Arial" w:eastAsia="Calibri" w:hAnsi="Arial" w:cs="Arial"/>
                            <w:sz w:val="19"/>
                            <w:szCs w:val="19"/>
                            <w:lang w:val="en-US" w:eastAsia="en-CA"/>
                          </w:rPr>
                          <w:tab/>
                        </w:r>
                        <w:r w:rsidRPr="00AE7466">
                          <w:rPr>
                            <w:rFonts w:eastAsia="Calibri" w:cs="Arial"/>
                            <w:sz w:val="19"/>
                            <w:szCs w:val="19"/>
                            <w:lang w:val="en-US" w:eastAsia="en-CA"/>
                          </w:rPr>
                          <w:t xml:space="preserve">includes terms </w:t>
                        </w:r>
                        <w:r w:rsidR="00105A9F" w:rsidRPr="00AE7466">
                          <w:rPr>
                            <w:rFonts w:eastAsia="Calibri" w:cs="Arial"/>
                            <w:sz w:val="19"/>
                            <w:szCs w:val="19"/>
                            <w:lang w:val="en-US" w:eastAsia="en-CA"/>
                          </w:rPr>
                          <w:t>o</w:t>
                        </w:r>
                        <w:r w:rsidRPr="00AE7466">
                          <w:rPr>
                            <w:rFonts w:eastAsia="Times New Roman" w:cs="Arial"/>
                            <w:sz w:val="19"/>
                            <w:szCs w:val="19"/>
                            <w:lang w:val="en-US" w:eastAsia="en-CA"/>
                          </w:rPr>
                          <w:t xml:space="preserve">edema peripheral, </w:t>
                        </w:r>
                        <w:r w:rsidR="00105A9F" w:rsidRPr="00AE7466">
                          <w:rPr>
                            <w:rFonts w:eastAsia="Times New Roman" w:cs="Arial"/>
                            <w:sz w:val="19"/>
                            <w:szCs w:val="19"/>
                            <w:lang w:val="en-US" w:eastAsia="en-CA"/>
                          </w:rPr>
                          <w:t>o</w:t>
                        </w:r>
                        <w:r w:rsidRPr="00AE7466">
                          <w:rPr>
                            <w:rFonts w:eastAsia="Times New Roman" w:cs="Arial"/>
                            <w:sz w:val="19"/>
                            <w:szCs w:val="19"/>
                            <w:lang w:val="en-US" w:eastAsia="en-CA"/>
                          </w:rPr>
                          <w:t xml:space="preserve">edema, </w:t>
                        </w:r>
                        <w:r w:rsidR="00105A9F" w:rsidRPr="00AE7466">
                          <w:rPr>
                            <w:rFonts w:eastAsia="Times New Roman" w:cs="Arial"/>
                            <w:sz w:val="19"/>
                            <w:szCs w:val="19"/>
                            <w:lang w:val="en-US" w:eastAsia="en-CA"/>
                          </w:rPr>
                          <w:t>o</w:t>
                        </w:r>
                        <w:r w:rsidRPr="00AE7466">
                          <w:rPr>
                            <w:rFonts w:eastAsia="Times New Roman" w:cs="Arial"/>
                            <w:sz w:val="19"/>
                            <w:szCs w:val="19"/>
                            <w:lang w:val="en-US" w:eastAsia="en-CA"/>
                          </w:rPr>
                          <w:t xml:space="preserve">edema genital, face </w:t>
                        </w:r>
                        <w:r w:rsidR="00105A9F" w:rsidRPr="00AE7466">
                          <w:rPr>
                            <w:rFonts w:eastAsia="Times New Roman" w:cs="Arial"/>
                            <w:sz w:val="19"/>
                            <w:szCs w:val="19"/>
                            <w:lang w:val="en-US" w:eastAsia="en-CA"/>
                          </w:rPr>
                          <w:t>o</w:t>
                        </w:r>
                        <w:r w:rsidRPr="00AE7466">
                          <w:rPr>
                            <w:rFonts w:eastAsia="Times New Roman" w:cs="Arial"/>
                            <w:sz w:val="19"/>
                            <w:szCs w:val="19"/>
                            <w:lang w:val="en-US" w:eastAsia="en-CA"/>
                          </w:rPr>
                          <w:t>edema, locali</w:t>
                        </w:r>
                        <w:r w:rsidR="00105A9F" w:rsidRPr="00AE7466">
                          <w:rPr>
                            <w:rFonts w:eastAsia="Times New Roman" w:cs="Arial"/>
                            <w:sz w:val="19"/>
                            <w:szCs w:val="19"/>
                            <w:lang w:val="en-US" w:eastAsia="en-CA"/>
                          </w:rPr>
                          <w:t>s</w:t>
                        </w:r>
                        <w:r w:rsidRPr="00AE7466">
                          <w:rPr>
                            <w:rFonts w:eastAsia="Times New Roman" w:cs="Arial"/>
                            <w:sz w:val="19"/>
                            <w:szCs w:val="19"/>
                            <w:lang w:val="en-US" w:eastAsia="en-CA"/>
                          </w:rPr>
                          <w:t xml:space="preserve">ed </w:t>
                        </w:r>
                        <w:r w:rsidR="00105A9F" w:rsidRPr="00AE7466">
                          <w:rPr>
                            <w:rFonts w:eastAsia="Times New Roman" w:cs="Arial"/>
                            <w:sz w:val="19"/>
                            <w:szCs w:val="19"/>
                            <w:lang w:val="en-US" w:eastAsia="en-CA"/>
                          </w:rPr>
                          <w:t>o</w:t>
                        </w:r>
                        <w:r w:rsidRPr="00AE7466">
                          <w:rPr>
                            <w:rFonts w:eastAsia="Times New Roman" w:cs="Arial"/>
                            <w:sz w:val="19"/>
                            <w:szCs w:val="19"/>
                            <w:lang w:val="en-US" w:eastAsia="en-CA"/>
                          </w:rPr>
                          <w:t xml:space="preserve">edema, periorbital </w:t>
                        </w:r>
                        <w:r w:rsidR="00105A9F" w:rsidRPr="00AE7466">
                          <w:rPr>
                            <w:rFonts w:eastAsia="Times New Roman" w:cs="Arial"/>
                            <w:sz w:val="19"/>
                            <w:szCs w:val="19"/>
                            <w:lang w:val="en-US" w:eastAsia="en-CA"/>
                          </w:rPr>
                          <w:t>o</w:t>
                        </w:r>
                        <w:r w:rsidRPr="00AE7466">
                          <w:rPr>
                            <w:rFonts w:eastAsia="Times New Roman" w:cs="Arial"/>
                            <w:sz w:val="19"/>
                            <w:szCs w:val="19"/>
                            <w:lang w:val="en-US" w:eastAsia="en-CA"/>
                          </w:rPr>
                          <w:t>edema</w:t>
                        </w:r>
                        <w:r w:rsidR="00B91F30" w:rsidRPr="00AE7466">
                          <w:rPr>
                            <w:rFonts w:eastAsia="Times New Roman" w:cs="Arial"/>
                            <w:sz w:val="19"/>
                            <w:szCs w:val="19"/>
                            <w:lang w:val="en-US" w:eastAsia="en-CA"/>
                          </w:rPr>
                          <w:t>, peripheral swelling, scrotal oedema</w:t>
                        </w:r>
                        <w:r w:rsidRPr="00AE7466">
                          <w:rPr>
                            <w:rFonts w:eastAsia="Calibri" w:cs="Arial"/>
                            <w:sz w:val="19"/>
                            <w:szCs w:val="19"/>
                            <w:lang w:val="en-US" w:eastAsia="en-CA"/>
                          </w:rPr>
                          <w:t xml:space="preserve"> </w:t>
                        </w:r>
                      </w:p>
                      <w:p w14:paraId="6607CF61" w14:textId="77777777" w:rsidR="004E1734" w:rsidRPr="00AE7466" w:rsidRDefault="00385E57" w:rsidP="004E1734">
                        <w:pPr>
                          <w:keepNext/>
                          <w:keepLines/>
                          <w:tabs>
                            <w:tab w:val="left" w:pos="232"/>
                          </w:tabs>
                          <w:spacing w:after="0" w:line="240" w:lineRule="auto"/>
                          <w:ind w:left="232" w:hanging="232"/>
                          <w:rPr>
                            <w:rFonts w:eastAsia="Times New Roman" w:cs="Arial"/>
                            <w:sz w:val="19"/>
                            <w:szCs w:val="19"/>
                            <w:lang w:val="en-US" w:eastAsia="en-CA"/>
                          </w:rPr>
                        </w:pPr>
                        <w:r w:rsidRPr="00AE7466">
                          <w:rPr>
                            <w:rFonts w:eastAsia="Times New Roman" w:cs="Arial"/>
                            <w:sz w:val="19"/>
                            <w:szCs w:val="19"/>
                            <w:vertAlign w:val="superscript"/>
                            <w:lang w:val="en-US" w:eastAsia="en-CA"/>
                          </w:rPr>
                          <w:t>b</w:t>
                        </w:r>
                        <w:r w:rsidRPr="00AE7466">
                          <w:rPr>
                            <w:rFonts w:eastAsia="Times New Roman" w:cs="Arial"/>
                            <w:sz w:val="19"/>
                            <w:szCs w:val="19"/>
                            <w:lang w:val="en-US" w:eastAsia="en-CA"/>
                          </w:rPr>
                          <w:tab/>
                        </w:r>
                        <w:r w:rsidRPr="00AE7466">
                          <w:rPr>
                            <w:rFonts w:eastAsia="Calibri" w:cs="Arial"/>
                            <w:sz w:val="19"/>
                            <w:szCs w:val="19"/>
                            <w:lang w:val="en-US" w:eastAsia="en-CA"/>
                          </w:rPr>
                          <w:t>includes terms blood creatinine increased, hyper</w:t>
                        </w:r>
                        <w:r w:rsidR="00B91F30" w:rsidRPr="00AE7466">
                          <w:rPr>
                            <w:rFonts w:eastAsia="Calibri" w:cs="Arial"/>
                            <w:sz w:val="19"/>
                            <w:szCs w:val="19"/>
                            <w:lang w:val="en-US" w:eastAsia="en-CA"/>
                          </w:rPr>
                          <w:t>creatinaemia</w:t>
                        </w:r>
                      </w:p>
                      <w:p w14:paraId="6607CF62" w14:textId="77777777" w:rsidR="004E1734" w:rsidRPr="00AE7466" w:rsidRDefault="00385E57" w:rsidP="004E1734">
                        <w:pPr>
                          <w:keepNext/>
                          <w:keepLines/>
                          <w:tabs>
                            <w:tab w:val="left" w:pos="232"/>
                          </w:tabs>
                          <w:spacing w:after="0" w:line="240" w:lineRule="auto"/>
                          <w:ind w:left="232" w:hanging="232"/>
                          <w:rPr>
                            <w:rFonts w:eastAsia="Times New Roman" w:cs="Arial"/>
                            <w:sz w:val="19"/>
                            <w:szCs w:val="19"/>
                            <w:lang w:val="en-US" w:eastAsia="en-CA"/>
                          </w:rPr>
                        </w:pPr>
                        <w:r w:rsidRPr="00AE7466">
                          <w:rPr>
                            <w:rFonts w:eastAsia="Calibri" w:cs="Arial"/>
                            <w:sz w:val="19"/>
                            <w:szCs w:val="19"/>
                            <w:vertAlign w:val="superscript"/>
                            <w:lang w:val="en-US" w:eastAsia="en-CA"/>
                          </w:rPr>
                          <w:t>c</w:t>
                        </w:r>
                        <w:r w:rsidRPr="00AE7466">
                          <w:rPr>
                            <w:rFonts w:eastAsia="Calibri" w:cs="Arial"/>
                            <w:sz w:val="19"/>
                            <w:szCs w:val="19"/>
                            <w:lang w:val="en-US" w:eastAsia="en-CA"/>
                          </w:rPr>
                          <w:tab/>
                          <w:t>amylase increased, hyperamylasemia</w:t>
                        </w:r>
                      </w:p>
                      <w:p w14:paraId="6607CF63" w14:textId="77777777" w:rsidR="004E1734" w:rsidRPr="00AE7466" w:rsidRDefault="00385E57" w:rsidP="004E1734">
                        <w:pPr>
                          <w:keepNext/>
                          <w:keepLines/>
                          <w:tabs>
                            <w:tab w:val="left" w:pos="232"/>
                          </w:tabs>
                          <w:spacing w:after="0" w:line="240" w:lineRule="auto"/>
                          <w:ind w:left="232" w:hanging="232"/>
                          <w:rPr>
                            <w:rFonts w:eastAsia="Times New Roman" w:cs="Arial"/>
                            <w:sz w:val="19"/>
                            <w:szCs w:val="19"/>
                            <w:lang w:val="en-US" w:eastAsia="en-CA"/>
                          </w:rPr>
                        </w:pPr>
                        <w:r w:rsidRPr="00AE7466">
                          <w:rPr>
                            <w:rFonts w:eastAsia="Times New Roman" w:cs="Arial"/>
                            <w:sz w:val="19"/>
                            <w:szCs w:val="19"/>
                            <w:vertAlign w:val="superscript"/>
                            <w:lang w:val="en-US" w:eastAsia="en-CA"/>
                          </w:rPr>
                          <w:t>d</w:t>
                        </w:r>
                        <w:r w:rsidRPr="00AE7466">
                          <w:rPr>
                            <w:rFonts w:eastAsia="Times New Roman" w:cs="Arial"/>
                            <w:sz w:val="19"/>
                            <w:szCs w:val="19"/>
                            <w:lang w:val="en-US" w:eastAsia="en-CA"/>
                          </w:rPr>
                          <w:tab/>
                        </w:r>
                        <w:r w:rsidRPr="00AE7466">
                          <w:rPr>
                            <w:rFonts w:eastAsia="Calibri" w:cs="Arial"/>
                            <w:sz w:val="19"/>
                            <w:szCs w:val="19"/>
                            <w:lang w:val="en-US" w:eastAsia="en-CA"/>
                          </w:rPr>
                          <w:t>includes terms</w:t>
                        </w:r>
                        <w:r w:rsidRPr="00AE7466">
                          <w:rPr>
                            <w:rFonts w:eastAsia="Times New Roman" w:cs="Arial"/>
                            <w:sz w:val="19"/>
                            <w:szCs w:val="19"/>
                            <w:lang w:val="en-US" w:eastAsia="en-CA"/>
                          </w:rPr>
                          <w:t xml:space="preserve"> hypoalbuminemia, blood albumin decreased </w:t>
                        </w:r>
                      </w:p>
                      <w:p w14:paraId="29D40CEF" w14:textId="77777777" w:rsidR="004E1734" w:rsidRDefault="00385E57" w:rsidP="004E1734">
                        <w:pPr>
                          <w:keepNext/>
                          <w:keepLines/>
                          <w:tabs>
                            <w:tab w:val="left" w:pos="232"/>
                          </w:tabs>
                          <w:spacing w:after="0" w:line="240" w:lineRule="auto"/>
                          <w:ind w:left="232" w:hanging="232"/>
                          <w:rPr>
                            <w:rFonts w:eastAsia="Calibri" w:cs="Arial"/>
                            <w:sz w:val="19"/>
                            <w:szCs w:val="19"/>
                            <w:lang w:val="en-US" w:eastAsia="en-CA"/>
                          </w:rPr>
                        </w:pPr>
                        <w:r w:rsidRPr="00AE7466">
                          <w:rPr>
                            <w:rFonts w:eastAsia="Times New Roman" w:cs="Arial"/>
                            <w:sz w:val="19"/>
                            <w:szCs w:val="19"/>
                            <w:vertAlign w:val="superscript"/>
                            <w:lang w:val="en-US" w:eastAsia="en-CA"/>
                          </w:rPr>
                          <w:t>e</w:t>
                        </w:r>
                        <w:r w:rsidRPr="00AE7466">
                          <w:rPr>
                            <w:rFonts w:eastAsia="Times New Roman" w:cs="Arial"/>
                            <w:sz w:val="19"/>
                            <w:szCs w:val="19"/>
                            <w:lang w:val="en-US" w:eastAsia="en-CA"/>
                          </w:rPr>
                          <w:t xml:space="preserve">   </w:t>
                        </w:r>
                        <w:r w:rsidRPr="00AE7466">
                          <w:rPr>
                            <w:rFonts w:eastAsia="Calibri" w:cs="Arial"/>
                            <w:sz w:val="19"/>
                            <w:szCs w:val="19"/>
                            <w:lang w:val="en-US" w:eastAsia="en-CA"/>
                          </w:rPr>
                          <w:t xml:space="preserve">includes terms interstitial lung disease, pneumonitis, acute respiratory failure </w:t>
                        </w:r>
                      </w:p>
                      <w:p w14:paraId="6607CF64" w14:textId="7F6F2329" w:rsidR="00F31EB5" w:rsidRPr="00AE7466" w:rsidRDefault="00F31EB5" w:rsidP="004E1734">
                        <w:pPr>
                          <w:keepNext/>
                          <w:keepLines/>
                          <w:tabs>
                            <w:tab w:val="left" w:pos="232"/>
                          </w:tabs>
                          <w:spacing w:after="0" w:line="240" w:lineRule="auto"/>
                          <w:ind w:left="232" w:hanging="232"/>
                          <w:rPr>
                            <w:rFonts w:ascii="Arial" w:eastAsia="Calibri" w:hAnsi="Arial" w:cs="Arial"/>
                            <w:sz w:val="19"/>
                            <w:szCs w:val="19"/>
                            <w:lang w:val="en-US" w:eastAsia="en-CA"/>
                          </w:rPr>
                        </w:pPr>
                        <w:r w:rsidRPr="00331BD8">
                          <w:rPr>
                            <w:rFonts w:eastAsia="Calibri" w:cs="Arial"/>
                            <w:sz w:val="19"/>
                            <w:szCs w:val="19"/>
                            <w:vertAlign w:val="superscript"/>
                            <w:lang w:val="en-US" w:eastAsia="en-CA"/>
                          </w:rPr>
                          <w:t>f</w:t>
                        </w:r>
                        <w:r>
                          <w:rPr>
                            <w:rFonts w:eastAsia="Calibri" w:cs="Arial"/>
                            <w:sz w:val="19"/>
                            <w:szCs w:val="19"/>
                            <w:lang w:val="en-US" w:eastAsia="en-CA"/>
                          </w:rPr>
                          <w:t xml:space="preserve">   includes abdominal discomfort, abdominal pain, abdominal pain lower, abdominal pain upper, gastrointestinal pain and hepatic pain</w:t>
                        </w:r>
                      </w:p>
                    </w:tc>
                  </w:tr>
                </w:tbl>
                <w:p w14:paraId="6607CF66" w14:textId="77777777" w:rsidR="004E1734" w:rsidRPr="004E1734" w:rsidRDefault="004E1734" w:rsidP="004E1734">
                  <w:pPr>
                    <w:keepNext/>
                    <w:keepLines/>
                    <w:spacing w:after="0" w:line="240" w:lineRule="auto"/>
                    <w:ind w:left="1416" w:hanging="1416"/>
                    <w:rPr>
                      <w:rFonts w:ascii="Arial" w:eastAsia="Calibri" w:hAnsi="Arial" w:cs="Arial"/>
                      <w:b/>
                      <w:lang w:val="en-US" w:eastAsia="en-CA"/>
                    </w:rPr>
                  </w:pPr>
                </w:p>
              </w:tc>
            </w:tr>
          </w:tbl>
          <w:p w14:paraId="6607CF68" w14:textId="77777777" w:rsidR="004E1734" w:rsidRPr="004E1734" w:rsidRDefault="004E1734" w:rsidP="004E1734">
            <w:pPr>
              <w:widowControl w:val="0"/>
              <w:spacing w:before="95" w:after="45" w:line="240" w:lineRule="auto"/>
              <w:rPr>
                <w:rFonts w:ascii="Arial" w:eastAsia="Times New Roman" w:hAnsi="Arial" w:cs="Arial"/>
                <w:lang w:val="en-CA" w:eastAsia="en-CA"/>
              </w:rPr>
            </w:pPr>
          </w:p>
        </w:tc>
      </w:tr>
    </w:tbl>
    <w:p w14:paraId="6607CF6A" w14:textId="24ABD024" w:rsidR="0021200F" w:rsidRPr="00597821" w:rsidRDefault="00385E57" w:rsidP="00756296">
      <w:pPr>
        <w:pStyle w:val="Heading3"/>
        <w:ind w:left="0"/>
      </w:pPr>
      <w:r w:rsidRPr="00597821">
        <w:lastRenderedPageBreak/>
        <w:t>Reporting suspected adverse effects</w:t>
      </w:r>
      <w:r w:rsidR="009065C9">
        <w:fldChar w:fldCharType="begin"/>
      </w:r>
      <w:r w:rsidR="009065C9">
        <w:instrText xml:space="preserve"> DOCVARIABLE vault_nd_977214c9-ba55-4de3-b0aa-e590f3c149cf \* MERGEFORMAT </w:instrText>
      </w:r>
      <w:r w:rsidR="009065C9">
        <w:fldChar w:fldCharType="separate"/>
      </w:r>
      <w:r w:rsidR="008F4DF0">
        <w:t xml:space="preserve"> </w:t>
      </w:r>
      <w:r w:rsidR="009065C9">
        <w:fldChar w:fldCharType="end"/>
      </w:r>
    </w:p>
    <w:p w14:paraId="6607CF6B" w14:textId="77777777" w:rsidR="004E1734" w:rsidRPr="004E1734" w:rsidRDefault="00385E57" w:rsidP="00597821">
      <w:pPr>
        <w:rPr>
          <w:lang w:val="en"/>
        </w:rPr>
      </w:pPr>
      <w:r w:rsidRPr="00497C85">
        <w:rPr>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497C85">
          <w:rPr>
            <w:rStyle w:val="Hyperlink"/>
            <w:rFonts w:cstheme="minorHAnsi"/>
            <w:lang w:val="en"/>
          </w:rPr>
          <w:t>www.tga.gov.au/reporting-problems</w:t>
        </w:r>
      </w:hyperlink>
      <w:r w:rsidRPr="00497C85">
        <w:rPr>
          <w:lang w:val="en"/>
        </w:rPr>
        <w:t>.</w:t>
      </w:r>
    </w:p>
    <w:p w14:paraId="6607CF6C" w14:textId="62B8C17B" w:rsidR="001A3992" w:rsidRDefault="00385E57" w:rsidP="001A3992">
      <w:pPr>
        <w:pStyle w:val="Heading2"/>
        <w:keepNext/>
        <w:keepLines/>
        <w:spacing w:before="0" w:after="120"/>
      </w:pPr>
      <w:r>
        <w:t>Overdose</w:t>
      </w:r>
      <w:r w:rsidR="009065C9">
        <w:fldChar w:fldCharType="begin"/>
      </w:r>
      <w:r w:rsidR="009065C9">
        <w:instrText xml:space="preserve"> DOCVARIABLE vault_nd_840b471a-267b-47cd-aa8f-a2d5bd24c030 \* MERGEFORMAT </w:instrText>
      </w:r>
      <w:r w:rsidR="009065C9">
        <w:fldChar w:fldCharType="separate"/>
      </w:r>
      <w:r w:rsidR="008F4DF0">
        <w:t xml:space="preserve"> </w:t>
      </w:r>
      <w:r w:rsidR="009065C9">
        <w:fldChar w:fldCharType="end"/>
      </w:r>
    </w:p>
    <w:p w14:paraId="6607CF6D" w14:textId="77777777" w:rsidR="005B2812" w:rsidRPr="005B2812" w:rsidRDefault="00385E57" w:rsidP="005B2812">
      <w:r w:rsidRPr="00497C85">
        <w:rPr>
          <w:rFonts w:cstheme="minorHAnsi"/>
          <w:lang w:val="en"/>
        </w:rPr>
        <w:t>For information on the management of overdose, contact the Poisons Information Centre on 13 11 26 (Australia).</w:t>
      </w:r>
    </w:p>
    <w:p w14:paraId="6607CF6E" w14:textId="0C04E1D2" w:rsidR="001A3992" w:rsidRPr="008F4DF0" w:rsidRDefault="00385E57" w:rsidP="001A3992">
      <w:pPr>
        <w:pStyle w:val="Heading1"/>
        <w:spacing w:before="0" w:after="120"/>
        <w:rPr>
          <w:lang w:val="en-US"/>
        </w:rPr>
      </w:pPr>
      <w:r w:rsidRPr="008F4DF0">
        <w:rPr>
          <w:lang w:val="en-US"/>
        </w:rPr>
        <w:t>Pharmacological properties</w:t>
      </w:r>
      <w:r w:rsidR="008F4DF0">
        <w:rPr>
          <w:lang w:val="en-US"/>
        </w:rPr>
        <w:fldChar w:fldCharType="begin"/>
      </w:r>
      <w:r w:rsidR="008F4DF0">
        <w:rPr>
          <w:lang w:val="en-US"/>
        </w:rPr>
        <w:instrText xml:space="preserve"> DOCVARIABLE VAULT_ND_ac5f4110-8979-442c-aacb-41e138e12dcf \* MERGEFORMAT </w:instrText>
      </w:r>
      <w:r w:rsidR="008F4DF0">
        <w:rPr>
          <w:lang w:val="en-US"/>
        </w:rPr>
        <w:fldChar w:fldCharType="separate"/>
      </w:r>
      <w:r w:rsidR="008F4DF0">
        <w:rPr>
          <w:lang w:val="en-US"/>
        </w:rPr>
        <w:t xml:space="preserve"> </w:t>
      </w:r>
      <w:r w:rsidR="008F4DF0">
        <w:rPr>
          <w:lang w:val="en-US"/>
        </w:rPr>
        <w:fldChar w:fldCharType="end"/>
      </w:r>
    </w:p>
    <w:p w14:paraId="6607CF6F" w14:textId="7B9CB5FA" w:rsidR="001A3992" w:rsidRPr="00EC3C40" w:rsidRDefault="00385E57" w:rsidP="001A3992">
      <w:pPr>
        <w:pStyle w:val="Heading2"/>
        <w:spacing w:before="0" w:after="120"/>
        <w:rPr>
          <w:lang w:val="en-US"/>
        </w:rPr>
      </w:pPr>
      <w:r w:rsidRPr="00EC3C40">
        <w:rPr>
          <w:lang w:val="en-US"/>
        </w:rPr>
        <w:t>Pharmacodynamic properties</w:t>
      </w:r>
      <w:r w:rsidR="008F4DF0">
        <w:rPr>
          <w:lang w:val="en-US"/>
        </w:rPr>
        <w:fldChar w:fldCharType="begin"/>
      </w:r>
      <w:r w:rsidR="008F4DF0">
        <w:rPr>
          <w:lang w:val="en-US"/>
        </w:rPr>
        <w:instrText xml:space="preserve"> DOCVARIABLE vault_nd_bcc7eeb2-67e2-4138-b4f2-bf55142f6a9e \* MERGEFORMAT </w:instrText>
      </w:r>
      <w:r w:rsidR="008F4DF0">
        <w:rPr>
          <w:lang w:val="en-US"/>
        </w:rPr>
        <w:fldChar w:fldCharType="separate"/>
      </w:r>
      <w:r w:rsidR="008F4DF0">
        <w:rPr>
          <w:lang w:val="en-US"/>
        </w:rPr>
        <w:t xml:space="preserve"> </w:t>
      </w:r>
      <w:r w:rsidR="008F4DF0">
        <w:rPr>
          <w:lang w:val="en-US"/>
        </w:rPr>
        <w:fldChar w:fldCharType="end"/>
      </w:r>
    </w:p>
    <w:p w14:paraId="6607CF70" w14:textId="6A9436FA" w:rsidR="001A3992" w:rsidRDefault="00385E57" w:rsidP="00756296">
      <w:pPr>
        <w:pStyle w:val="Heading3"/>
        <w:spacing w:before="0" w:after="120"/>
        <w:ind w:left="0"/>
      </w:pPr>
      <w:r w:rsidRPr="00B878CC">
        <w:t>Mechanism of action</w:t>
      </w:r>
      <w:r w:rsidR="009065C9">
        <w:fldChar w:fldCharType="begin"/>
      </w:r>
      <w:r w:rsidR="009065C9">
        <w:instrText xml:space="preserve"> DOCVARIABLE vault_nd_4ba9a968-eee2-4b3f-9746-3037f344c102 \* MERGEFORMAT </w:instrText>
      </w:r>
      <w:r w:rsidR="009065C9">
        <w:fldChar w:fldCharType="separate"/>
      </w:r>
      <w:r w:rsidR="008F4DF0">
        <w:t xml:space="preserve"> </w:t>
      </w:r>
      <w:r w:rsidR="009065C9">
        <w:fldChar w:fldCharType="end"/>
      </w:r>
    </w:p>
    <w:p w14:paraId="6607CF71" w14:textId="6CA0486A" w:rsidR="007256B0" w:rsidRDefault="00385E57" w:rsidP="00D61BF5">
      <w:r>
        <w:t>Tepotinib is a Type I adenosine triphosphate (ATP)-competitive small molecule inhibitor of MET. Tepotinib inhibits HGF-dependent and independent MET phosphorylation and MET-dependent downstream signalling including the phosphatidylinositol 3-kinase/protein kinase B and mitogen-activated protein kinase/extracellular-signal regulated kinase pathways in a dose-dependent manner.</w:t>
      </w:r>
    </w:p>
    <w:p w14:paraId="6607CF72" w14:textId="58E725D0" w:rsidR="001A3992" w:rsidRDefault="00385E57" w:rsidP="00756296">
      <w:pPr>
        <w:pStyle w:val="Heading3"/>
        <w:spacing w:before="0" w:after="120"/>
        <w:ind w:left="0"/>
        <w:rPr>
          <w:lang w:val="en-US"/>
        </w:rPr>
      </w:pPr>
      <w:r w:rsidRPr="00B878CC">
        <w:t>Clinical</w:t>
      </w:r>
      <w:r w:rsidRPr="00B878CC">
        <w:rPr>
          <w:lang w:val="en-US"/>
        </w:rPr>
        <w:t xml:space="preserve"> trials</w:t>
      </w:r>
      <w:r w:rsidR="008F4DF0">
        <w:rPr>
          <w:lang w:val="en-US"/>
        </w:rPr>
        <w:fldChar w:fldCharType="begin"/>
      </w:r>
      <w:r w:rsidR="008F4DF0">
        <w:rPr>
          <w:lang w:val="en-US"/>
        </w:rPr>
        <w:instrText xml:space="preserve"> DOCVARIABLE vault_nd_22f1c225-459c-4c63-ada2-8bf4bb430ab6 \* MERGEFORMAT </w:instrText>
      </w:r>
      <w:r w:rsidR="008F4DF0">
        <w:rPr>
          <w:lang w:val="en-US"/>
        </w:rPr>
        <w:fldChar w:fldCharType="separate"/>
      </w:r>
      <w:r w:rsidR="008F4DF0">
        <w:rPr>
          <w:lang w:val="en-US"/>
        </w:rPr>
        <w:t xml:space="preserve"> </w:t>
      </w:r>
      <w:r w:rsidR="008F4DF0">
        <w:rPr>
          <w:lang w:val="en-US"/>
        </w:rPr>
        <w:fldChar w:fldCharType="end"/>
      </w:r>
    </w:p>
    <w:p w14:paraId="6607CF73" w14:textId="77777777" w:rsidR="00474D86" w:rsidRDefault="00385E57" w:rsidP="00D61BF5">
      <w:pPr>
        <w:rPr>
          <w:iCs/>
          <w:lang w:val="en-US"/>
        </w:rPr>
      </w:pPr>
      <w:r w:rsidRPr="00D61BF5">
        <w:rPr>
          <w:iCs/>
          <w:lang w:val="en-US"/>
        </w:rPr>
        <w:t>The efficacy of TEPMETKO was evaluated in a single-arm, open-label, multicenter study (VISION) in adult patients with locally advanced or metastatic non-small cell lung cancer (NSCLC) harbo</w:t>
      </w:r>
      <w:r>
        <w:rPr>
          <w:iCs/>
          <w:lang w:val="en-US"/>
        </w:rPr>
        <w:t>u</w:t>
      </w:r>
      <w:r w:rsidRPr="00D61BF5">
        <w:rPr>
          <w:iCs/>
          <w:lang w:val="en-US"/>
        </w:rPr>
        <w:t xml:space="preserve">ring </w:t>
      </w:r>
      <w:r w:rsidRPr="00D61BF5">
        <w:rPr>
          <w:i/>
          <w:iCs/>
          <w:lang w:val="en-US"/>
        </w:rPr>
        <w:t>MET</w:t>
      </w:r>
      <w:r w:rsidRPr="00D61BF5">
        <w:rPr>
          <w:lang w:val="en-US"/>
        </w:rPr>
        <w:t>ex14</w:t>
      </w:r>
      <w:r w:rsidRPr="00D61BF5">
        <w:rPr>
          <w:iCs/>
          <w:lang w:val="en-US"/>
        </w:rPr>
        <w:t xml:space="preserve"> skipping alterations</w:t>
      </w:r>
      <w:r>
        <w:rPr>
          <w:iCs/>
          <w:lang w:val="en-US"/>
        </w:rPr>
        <w:t xml:space="preserve"> (MS200095-0022)</w:t>
      </w:r>
      <w:r w:rsidRPr="00D61BF5">
        <w:rPr>
          <w:iCs/>
          <w:lang w:val="en-US"/>
        </w:rPr>
        <w:t xml:space="preserve">. </w:t>
      </w:r>
    </w:p>
    <w:p w14:paraId="6607CF74" w14:textId="77777777" w:rsidR="00D61BF5" w:rsidRPr="00474D86" w:rsidRDefault="00385E57" w:rsidP="00D61BF5">
      <w:pPr>
        <w:rPr>
          <w:iCs/>
          <w:lang w:val="en-US"/>
        </w:rPr>
      </w:pPr>
      <w:r>
        <w:rPr>
          <w:iCs/>
          <w:lang w:val="en-US"/>
        </w:rPr>
        <w:t xml:space="preserve">The study included patients with measurable disease according to response evaluation criteria in solid tumours (RECIST 1.1) and an Eastern Cooperative Oncology Group (ECOG) Performance Status of 0 or 1. Patients were to have histologically or cytologically confirmed advanced NSCLC (all types including squamous and sarcomatoid) and </w:t>
      </w:r>
      <w:r w:rsidRPr="00D61BF5">
        <w:rPr>
          <w:iCs/>
          <w:lang w:val="en-US"/>
        </w:rPr>
        <w:t>were either treatment-naïve or had</w:t>
      </w:r>
      <w:r w:rsidR="00470D6F">
        <w:rPr>
          <w:iCs/>
          <w:lang w:val="en-US"/>
        </w:rPr>
        <w:t xml:space="preserve"> </w:t>
      </w:r>
      <w:r w:rsidRPr="00D61BF5">
        <w:rPr>
          <w:iCs/>
          <w:lang w:val="en-US"/>
        </w:rPr>
        <w:t>progressed on up to 2 lines prior systemic therapies.</w:t>
      </w:r>
      <w:bookmarkStart w:id="9" w:name="_Hlk18069086"/>
      <w:r w:rsidRPr="00D61BF5">
        <w:rPr>
          <w:iCs/>
          <w:lang w:val="en-US"/>
        </w:rPr>
        <w:t xml:space="preserve"> Neurologically stable patients with central nervous system metastases were permitted</w:t>
      </w:r>
      <w:bookmarkEnd w:id="9"/>
      <w:r w:rsidRPr="00D61BF5">
        <w:rPr>
          <w:iCs/>
          <w:lang w:val="en-US"/>
        </w:rPr>
        <w:t>.</w:t>
      </w:r>
      <w:r w:rsidRPr="00D61BF5">
        <w:rPr>
          <w:lang w:val="en-US"/>
        </w:rPr>
        <w:t xml:space="preserve"> Patients with epidermal growth factor receptor (EGFR) or anaplastic lymphoma kinase (ALK) activating alterations were excluded. </w:t>
      </w:r>
      <w:r>
        <w:rPr>
          <w:lang w:val="en-US"/>
        </w:rPr>
        <w:t xml:space="preserve">Before entering the study, eligible patients were required to have confirmed </w:t>
      </w:r>
      <w:r w:rsidRPr="00474D86">
        <w:rPr>
          <w:i/>
          <w:iCs/>
          <w:lang w:val="en-US"/>
        </w:rPr>
        <w:t>MET</w:t>
      </w:r>
      <w:r>
        <w:rPr>
          <w:lang w:val="en-US"/>
        </w:rPr>
        <w:t xml:space="preserve">ex14 skipping alterations status </w:t>
      </w:r>
      <w:r w:rsidR="007A7DC5">
        <w:rPr>
          <w:lang w:val="en-US"/>
        </w:rPr>
        <w:t>by</w:t>
      </w:r>
      <w:r>
        <w:rPr>
          <w:lang w:val="en-US"/>
        </w:rPr>
        <w:t xml:space="preserve"> </w:t>
      </w:r>
      <w:r w:rsidR="007A7DC5">
        <w:rPr>
          <w:lang w:val="en-US"/>
        </w:rPr>
        <w:t xml:space="preserve">next-generation sequencing assay using </w:t>
      </w:r>
      <w:r>
        <w:rPr>
          <w:lang w:val="en-US"/>
        </w:rPr>
        <w:t xml:space="preserve">tissue and/or liquid biopsy samples. </w:t>
      </w:r>
    </w:p>
    <w:p w14:paraId="6607CF75" w14:textId="77777777" w:rsidR="00D61BF5" w:rsidRPr="00D61BF5" w:rsidRDefault="00385E57" w:rsidP="00D61BF5">
      <w:pPr>
        <w:rPr>
          <w:iCs/>
          <w:lang w:val="en-US"/>
        </w:rPr>
      </w:pPr>
      <w:r>
        <w:rPr>
          <w:iCs/>
          <w:lang w:val="en-US"/>
        </w:rPr>
        <w:lastRenderedPageBreak/>
        <w:t xml:space="preserve">Up to 01 </w:t>
      </w:r>
      <w:r w:rsidR="003C3B63">
        <w:rPr>
          <w:iCs/>
          <w:lang w:val="en-US"/>
        </w:rPr>
        <w:t xml:space="preserve">July </w:t>
      </w:r>
      <w:r>
        <w:rPr>
          <w:iCs/>
          <w:lang w:val="en-US"/>
        </w:rPr>
        <w:t xml:space="preserve">2020 cutoff, a total of </w:t>
      </w:r>
      <w:r w:rsidR="003C3B63">
        <w:rPr>
          <w:iCs/>
          <w:lang w:val="en-US"/>
        </w:rPr>
        <w:t xml:space="preserve">146 </w:t>
      </w:r>
      <w:r>
        <w:rPr>
          <w:iCs/>
          <w:lang w:val="en-US"/>
        </w:rPr>
        <w:t xml:space="preserve">patients in VISION Cohort A </w:t>
      </w:r>
      <w:r w:rsidR="00996BBF">
        <w:rPr>
          <w:iCs/>
          <w:lang w:val="en-US"/>
        </w:rPr>
        <w:t>had received treatment with tepotinib</w:t>
      </w:r>
      <w:r w:rsidR="00395EB5">
        <w:rPr>
          <w:iCs/>
          <w:lang w:val="en-US"/>
        </w:rPr>
        <w:t>.</w:t>
      </w:r>
      <w:r w:rsidR="00066CB7">
        <w:rPr>
          <w:iCs/>
          <w:lang w:val="en-US"/>
        </w:rPr>
        <w:t xml:space="preserve"> </w:t>
      </w:r>
      <w:r w:rsidRPr="00D61BF5">
        <w:rPr>
          <w:iCs/>
          <w:lang w:val="en-US"/>
        </w:rPr>
        <w:t xml:space="preserve">Patients had a median age of 73 years (range 41 to 94), 48% were female and 52% male. The majority of patients were </w:t>
      </w:r>
      <w:r w:rsidR="00705B82">
        <w:rPr>
          <w:iCs/>
          <w:lang w:val="en-US"/>
        </w:rPr>
        <w:t>Caucasians</w:t>
      </w:r>
      <w:r w:rsidRPr="00D61BF5">
        <w:rPr>
          <w:iCs/>
          <w:lang w:val="en-US"/>
        </w:rPr>
        <w:t xml:space="preserve"> (</w:t>
      </w:r>
      <w:r w:rsidR="003C3B63">
        <w:rPr>
          <w:iCs/>
          <w:lang w:val="en-US"/>
        </w:rPr>
        <w:t>70</w:t>
      </w:r>
      <w:r w:rsidRPr="00D61BF5">
        <w:rPr>
          <w:iCs/>
          <w:lang w:val="en-US"/>
        </w:rPr>
        <w:t>%), followed by Asian patients (</w:t>
      </w:r>
      <w:r w:rsidR="003C3B63">
        <w:rPr>
          <w:iCs/>
          <w:lang w:val="en-US"/>
        </w:rPr>
        <w:t>26</w:t>
      </w:r>
      <w:r w:rsidRPr="00D61BF5">
        <w:rPr>
          <w:iCs/>
          <w:lang w:val="en-US"/>
        </w:rPr>
        <w:t>%) and were never (</w:t>
      </w:r>
      <w:r w:rsidR="003C3B63">
        <w:rPr>
          <w:iCs/>
          <w:lang w:val="en-US"/>
        </w:rPr>
        <w:t>42</w:t>
      </w:r>
      <w:r w:rsidRPr="00D61BF5">
        <w:rPr>
          <w:iCs/>
          <w:lang w:val="en-US"/>
        </w:rPr>
        <w:t>%) or former smokers (</w:t>
      </w:r>
      <w:r w:rsidRPr="00D61BF5">
        <w:rPr>
          <w:bCs/>
          <w:iCs/>
          <w:lang w:val="en-US"/>
        </w:rPr>
        <w:t>50</w:t>
      </w:r>
      <w:r w:rsidRPr="00D61BF5">
        <w:rPr>
          <w:iCs/>
          <w:lang w:val="en-US"/>
        </w:rPr>
        <w:t>%). Most patients were ≥ 65 years of age (82%) and 45% of patients were ≥ 75 years of age. The majority of patients had stage IV disease (</w:t>
      </w:r>
      <w:r w:rsidR="003C3B63">
        <w:rPr>
          <w:iCs/>
          <w:lang w:val="en-US"/>
        </w:rPr>
        <w:t>98</w:t>
      </w:r>
      <w:r w:rsidRPr="00D61BF5">
        <w:rPr>
          <w:iCs/>
          <w:lang w:val="en-US"/>
        </w:rPr>
        <w:t xml:space="preserve">%) and </w:t>
      </w:r>
      <w:r w:rsidR="003C3B63">
        <w:rPr>
          <w:iCs/>
          <w:lang w:val="en-US"/>
        </w:rPr>
        <w:t xml:space="preserve">87% had </w:t>
      </w:r>
      <w:r w:rsidRPr="00D61BF5">
        <w:rPr>
          <w:iCs/>
          <w:lang w:val="en-US"/>
        </w:rPr>
        <w:t xml:space="preserve">adenocarcinoma histology. Ten percent of the patients had stable brain metastases. Patients received TEPMETKO as first-line (45%) or second- or later line (55%) therapy. </w:t>
      </w:r>
    </w:p>
    <w:p w14:paraId="6607CF76" w14:textId="77777777" w:rsidR="00D61BF5" w:rsidRDefault="00385E57" w:rsidP="00D61BF5">
      <w:pPr>
        <w:rPr>
          <w:lang w:val="en-US"/>
        </w:rPr>
      </w:pPr>
      <w:r w:rsidRPr="00D61BF5">
        <w:rPr>
          <w:iCs/>
          <w:lang w:val="en-US"/>
        </w:rPr>
        <w:t xml:space="preserve">Patients received 450 mg TEPMETKO once daily until disease progression or unacceptable toxicity. </w:t>
      </w:r>
    </w:p>
    <w:p w14:paraId="6607CF77" w14:textId="77777777" w:rsidR="00066CB7" w:rsidRDefault="00385E57" w:rsidP="00D61BF5">
      <w:pPr>
        <w:rPr>
          <w:lang w:val="en-US"/>
        </w:rPr>
      </w:pPr>
      <w:r w:rsidRPr="00066CB7">
        <w:rPr>
          <w:lang w:val="en-US"/>
        </w:rPr>
        <w:t>The primary efficacy outcome measure was confirmed objective response (complete response or partial response) according to Response Evaluation Criteria in Solid Tumours (RECIST v1.1) as evaluated by an Independent Review Committee (IRC). Additional efficacy outcome measures included duration of response</w:t>
      </w:r>
      <w:r>
        <w:rPr>
          <w:lang w:val="en-US"/>
        </w:rPr>
        <w:t xml:space="preserve">, objective disease control, </w:t>
      </w:r>
      <w:r w:rsidRPr="00066CB7">
        <w:rPr>
          <w:lang w:val="en-US"/>
        </w:rPr>
        <w:t>progression-free survival</w:t>
      </w:r>
      <w:r>
        <w:rPr>
          <w:lang w:val="en-US"/>
        </w:rPr>
        <w:t>, o</w:t>
      </w:r>
      <w:r w:rsidRPr="00066CB7">
        <w:rPr>
          <w:lang w:val="en-US"/>
        </w:rPr>
        <w:t>verall survival</w:t>
      </w:r>
      <w:r>
        <w:rPr>
          <w:lang w:val="en-US"/>
        </w:rPr>
        <w:t xml:space="preserve"> as well as patient-reported outcomes of quality of life</w:t>
      </w:r>
      <w:r w:rsidRPr="00066CB7">
        <w:rPr>
          <w:lang w:val="en-US"/>
        </w:rPr>
        <w:t>.</w:t>
      </w:r>
    </w:p>
    <w:p w14:paraId="6607CF78" w14:textId="77777777" w:rsidR="00983BE2" w:rsidRPr="00B836C2" w:rsidRDefault="00385E57" w:rsidP="00D61BF5">
      <w:pPr>
        <w:rPr>
          <w:lang w:val="en-US"/>
        </w:rPr>
      </w:pPr>
      <w:r>
        <w:rPr>
          <w:lang w:val="en-US"/>
        </w:rPr>
        <w:t xml:space="preserve">The efficacy analyses focused on 146 patients with at least 9 months of follow-up from the start of treatment </w:t>
      </w:r>
      <w:r w:rsidR="00AC1ADD" w:rsidRPr="00066CB7">
        <w:rPr>
          <w:lang w:val="en-US"/>
        </w:rPr>
        <w:t>(N = 146</w:t>
      </w:r>
      <w:r w:rsidR="00BA141E">
        <w:rPr>
          <w:lang w:val="en-US"/>
        </w:rPr>
        <w:t xml:space="preserve">; referred as </w:t>
      </w:r>
      <w:r w:rsidR="00AC1ADD" w:rsidRPr="00066CB7">
        <w:rPr>
          <w:lang w:val="en-US"/>
        </w:rPr>
        <w:t>the ITT</w:t>
      </w:r>
      <w:r w:rsidR="00931930">
        <w:rPr>
          <w:lang w:val="en-US"/>
        </w:rPr>
        <w:t xml:space="preserve"> population</w:t>
      </w:r>
      <w:r w:rsidR="00AC1ADD" w:rsidRPr="00066CB7">
        <w:rPr>
          <w:lang w:val="en-US"/>
        </w:rPr>
        <w:t>)</w:t>
      </w:r>
      <w:r w:rsidR="00931930">
        <w:rPr>
          <w:lang w:val="en-US"/>
        </w:rPr>
        <w:t xml:space="preserve"> (see Table </w:t>
      </w:r>
      <w:r w:rsidR="007E09A9">
        <w:rPr>
          <w:lang w:val="en-US"/>
        </w:rPr>
        <w:t>3</w:t>
      </w:r>
      <w:r w:rsidR="00931930">
        <w:rPr>
          <w:lang w:val="en-US"/>
        </w:rPr>
        <w:t>)</w:t>
      </w:r>
      <w:r w:rsidR="00AC1ADD" w:rsidRPr="00066CB7">
        <w:rPr>
          <w:lang w:val="en-US"/>
        </w:rPr>
        <w:t xml:space="preserve">. </w:t>
      </w:r>
      <w:r w:rsidR="0073698B">
        <w:rPr>
          <w:lang w:val="en-US"/>
        </w:rPr>
        <w:t>For</w:t>
      </w:r>
      <w:r w:rsidR="0073698B" w:rsidRPr="00066CB7">
        <w:rPr>
          <w:lang w:val="en-US"/>
        </w:rPr>
        <w:t xml:space="preserve"> </w:t>
      </w:r>
      <w:r w:rsidR="00AC1ADD" w:rsidRPr="00066CB7">
        <w:rPr>
          <w:lang w:val="en-US"/>
        </w:rPr>
        <w:t xml:space="preserve">the patients with an </w:t>
      </w:r>
      <w:r w:rsidR="00BA141E">
        <w:rPr>
          <w:lang w:val="en-US"/>
        </w:rPr>
        <w:t>objective response</w:t>
      </w:r>
      <w:r w:rsidR="00AC1ADD" w:rsidRPr="00066CB7">
        <w:rPr>
          <w:lang w:val="en-US"/>
        </w:rPr>
        <w:t xml:space="preserve">, </w:t>
      </w:r>
      <w:r w:rsidR="00983061">
        <w:rPr>
          <w:lang w:val="en-US"/>
        </w:rPr>
        <w:t>all patients</w:t>
      </w:r>
      <w:r w:rsidR="00AC1ADD" w:rsidRPr="00066CB7">
        <w:rPr>
          <w:lang w:val="en-US"/>
        </w:rPr>
        <w:t xml:space="preserve"> had ≥ 6 months follow-up from onset of response or event (progressive disease or death) or discontinued treatment &lt; 6 months after onset of response</w:t>
      </w:r>
      <w:r w:rsidR="0073698B">
        <w:rPr>
          <w:lang w:val="en-US"/>
        </w:rPr>
        <w:t>, and 84.8% had ≥ 12 months follow-up from onset of response or event or discontinued treatment &lt; 12 months after onset of response</w:t>
      </w:r>
      <w:r w:rsidR="00AC1ADD">
        <w:rPr>
          <w:lang w:val="en-US"/>
        </w:rPr>
        <w:t xml:space="preserve">. </w:t>
      </w:r>
    </w:p>
    <w:tbl>
      <w:tblPr>
        <w:tblW w:w="4947" w:type="pct"/>
        <w:tblLayout w:type="fixed"/>
        <w:tblCellMar>
          <w:top w:w="28" w:type="dxa"/>
          <w:left w:w="0" w:type="dxa"/>
          <w:bottom w:w="28" w:type="dxa"/>
          <w:right w:w="0" w:type="dxa"/>
        </w:tblCellMar>
        <w:tblLook w:val="0620" w:firstRow="1" w:lastRow="0" w:firstColumn="0" w:lastColumn="0" w:noHBand="1" w:noVBand="1"/>
      </w:tblPr>
      <w:tblGrid>
        <w:gridCol w:w="4935"/>
        <w:gridCol w:w="3995"/>
      </w:tblGrid>
      <w:tr w:rsidR="009A289F" w14:paraId="6607CF7A" w14:textId="77777777" w:rsidTr="00826793">
        <w:trPr>
          <w:cantSplit/>
          <w:trHeight w:val="347"/>
        </w:trPr>
        <w:tc>
          <w:tcPr>
            <w:tcW w:w="8930" w:type="dxa"/>
            <w:gridSpan w:val="2"/>
            <w:shd w:val="clear" w:color="auto" w:fill="auto"/>
            <w:tcMar>
              <w:top w:w="15" w:type="dxa"/>
              <w:left w:w="15" w:type="dxa"/>
              <w:bottom w:w="0" w:type="dxa"/>
              <w:right w:w="15" w:type="dxa"/>
            </w:tcMar>
            <w:vAlign w:val="center"/>
          </w:tcPr>
          <w:p w14:paraId="6607CF79" w14:textId="77777777" w:rsidR="009E0372" w:rsidRPr="009E0372" w:rsidRDefault="00385E57" w:rsidP="004317F1">
            <w:pPr>
              <w:keepLines/>
              <w:spacing w:after="0" w:line="240" w:lineRule="auto"/>
              <w:rPr>
                <w:rFonts w:ascii="Arial" w:eastAsia="Times New Roman" w:hAnsi="Arial" w:cs="Arial"/>
                <w:lang w:val="en-CA" w:eastAsia="en-CA"/>
              </w:rPr>
            </w:pPr>
            <w:bookmarkStart w:id="10" w:name="_Hlk44609808"/>
            <w:bookmarkStart w:id="11" w:name="_Hlk44610032"/>
            <w:r w:rsidRPr="009E0372">
              <w:rPr>
                <w:rFonts w:eastAsia="Times New Roman" w:cs="Arial"/>
                <w:b/>
                <w:lang w:val="en-US" w:eastAsia="en-CA"/>
              </w:rPr>
              <w:t>Table</w:t>
            </w:r>
            <w:r w:rsidRPr="009E0372">
              <w:rPr>
                <w:rFonts w:eastAsia="Times New Roman" w:cs="Arial"/>
                <w:lang w:val="en-US" w:eastAsia="en-CA"/>
              </w:rPr>
              <w:t> </w:t>
            </w:r>
            <w:r w:rsidR="007E09A9">
              <w:rPr>
                <w:rFonts w:eastAsia="Times New Roman" w:cs="Arial"/>
                <w:b/>
                <w:lang w:val="en-US" w:eastAsia="en-CA"/>
              </w:rPr>
              <w:t>3</w:t>
            </w:r>
            <w:r w:rsidR="007E09A9" w:rsidRPr="009E0372">
              <w:rPr>
                <w:rFonts w:eastAsia="Times New Roman" w:cs="Arial"/>
                <w:b/>
                <w:lang w:val="en-US" w:eastAsia="en-CA"/>
              </w:rPr>
              <w:t xml:space="preserve">  </w:t>
            </w:r>
            <w:r w:rsidR="007E09A9">
              <w:rPr>
                <w:rFonts w:eastAsia="Times New Roman" w:cs="Arial"/>
                <w:b/>
                <w:lang w:val="en-US" w:eastAsia="en-CA"/>
              </w:rPr>
              <w:t xml:space="preserve">        </w:t>
            </w:r>
            <w:r w:rsidRPr="009E0372">
              <w:rPr>
                <w:rFonts w:eastAsia="Times New Roman" w:cs="Arial"/>
                <w:b/>
                <w:lang w:val="en-US" w:eastAsia="en-CA"/>
              </w:rPr>
              <w:t>Clinical Outcomes in the VISION Study by IRC Assessment in ITT Population</w:t>
            </w:r>
            <w:r w:rsidR="00ED12EB">
              <w:rPr>
                <w:rFonts w:eastAsia="Times New Roman" w:cs="Arial"/>
                <w:b/>
                <w:lang w:val="en-US" w:eastAsia="en-CA"/>
              </w:rPr>
              <w:t xml:space="preserve"> </w:t>
            </w:r>
            <w:r w:rsidRPr="009E0372">
              <w:rPr>
                <w:rFonts w:ascii="Arial" w:eastAsia="Times New Roman" w:hAnsi="Arial" w:cs="Arial"/>
                <w:lang w:val="en-CA" w:eastAsia="en-CA"/>
              </w:rPr>
              <w:br w:type="page"/>
            </w:r>
            <w:bookmarkEnd w:id="10"/>
          </w:p>
        </w:tc>
      </w:tr>
      <w:tr w:rsidR="009A289F" w14:paraId="6607CF7E" w14:textId="77777777" w:rsidTr="0008392F">
        <w:trPr>
          <w:cantSplit/>
          <w:trHeight w:val="374"/>
        </w:trPr>
        <w:tc>
          <w:tcPr>
            <w:tcW w:w="4935" w:type="dxa"/>
            <w:tcBorders>
              <w:top w:val="single" w:sz="4" w:space="0" w:color="auto"/>
              <w:left w:val="single" w:sz="4" w:space="0" w:color="auto"/>
              <w:bottom w:val="single" w:sz="4" w:space="0" w:color="auto"/>
            </w:tcBorders>
            <w:shd w:val="clear" w:color="auto" w:fill="auto"/>
            <w:tcMar>
              <w:top w:w="15" w:type="dxa"/>
              <w:left w:w="15" w:type="dxa"/>
              <w:bottom w:w="0" w:type="dxa"/>
              <w:right w:w="15" w:type="dxa"/>
            </w:tcMar>
            <w:vAlign w:val="center"/>
          </w:tcPr>
          <w:p w14:paraId="6607CF7B" w14:textId="77777777" w:rsidR="009E0372" w:rsidRPr="009E0372" w:rsidRDefault="00385E57" w:rsidP="009E0372">
            <w:pPr>
              <w:keepNext/>
              <w:keepLines/>
              <w:spacing w:after="0" w:line="240" w:lineRule="auto"/>
              <w:rPr>
                <w:rFonts w:eastAsia="Times New Roman" w:cs="Arial"/>
                <w:b/>
                <w:lang w:val="en-US" w:eastAsia="en-CA"/>
              </w:rPr>
            </w:pPr>
            <w:r w:rsidRPr="009E0372">
              <w:rPr>
                <w:rFonts w:eastAsia="Times New Roman" w:cs="Arial"/>
                <w:b/>
                <w:lang w:val="en-US" w:eastAsia="en-CA"/>
              </w:rPr>
              <w:t>Efficacy parameter</w:t>
            </w:r>
          </w:p>
        </w:tc>
        <w:tc>
          <w:tcPr>
            <w:tcW w:w="3995" w:type="dxa"/>
            <w:tcBorders>
              <w:top w:val="single" w:sz="4" w:space="0" w:color="auto"/>
              <w:left w:val="nil"/>
              <w:bottom w:val="single" w:sz="4" w:space="0" w:color="auto"/>
              <w:right w:val="single" w:sz="4" w:space="0" w:color="auto"/>
            </w:tcBorders>
            <w:shd w:val="clear" w:color="auto" w:fill="auto"/>
            <w:vAlign w:val="center"/>
          </w:tcPr>
          <w:p w14:paraId="6607CF7C" w14:textId="77777777" w:rsidR="009E0372" w:rsidRPr="009E0372" w:rsidRDefault="00385E57" w:rsidP="009E0372">
            <w:pPr>
              <w:keepNext/>
              <w:keepLines/>
              <w:spacing w:after="0" w:line="240" w:lineRule="auto"/>
              <w:jc w:val="center"/>
              <w:rPr>
                <w:rFonts w:eastAsia="Times New Roman" w:cs="Arial"/>
                <w:b/>
                <w:lang w:val="en-US" w:eastAsia="en-CA"/>
              </w:rPr>
            </w:pPr>
            <w:r w:rsidRPr="009E0372">
              <w:rPr>
                <w:rFonts w:eastAsia="Times New Roman" w:cs="Arial"/>
                <w:b/>
                <w:lang w:val="en-US" w:eastAsia="en-CA"/>
              </w:rPr>
              <w:t>ITT</w:t>
            </w:r>
          </w:p>
          <w:p w14:paraId="6607CF7D" w14:textId="77777777" w:rsidR="009E0372" w:rsidRPr="009E0372" w:rsidRDefault="00385E57" w:rsidP="009E0372">
            <w:pPr>
              <w:keepNext/>
              <w:keepLines/>
              <w:spacing w:after="0" w:line="240" w:lineRule="auto"/>
              <w:jc w:val="center"/>
              <w:rPr>
                <w:rFonts w:eastAsia="Times New Roman" w:cs="Arial"/>
                <w:b/>
                <w:lang w:val="en-US" w:eastAsia="en-CA"/>
              </w:rPr>
            </w:pPr>
            <w:r w:rsidRPr="009E0372">
              <w:rPr>
                <w:rFonts w:eastAsia="Times New Roman" w:cs="Arial"/>
                <w:b/>
                <w:lang w:val="en-US" w:eastAsia="en-CA"/>
              </w:rPr>
              <w:t>N = 146</w:t>
            </w:r>
          </w:p>
        </w:tc>
      </w:tr>
      <w:tr w:rsidR="009A289F" w14:paraId="6607CF82" w14:textId="77777777" w:rsidTr="00826793">
        <w:trPr>
          <w:cantSplit/>
          <w:trHeight w:val="567"/>
        </w:trPr>
        <w:tc>
          <w:tcPr>
            <w:tcW w:w="4935" w:type="dxa"/>
            <w:tcBorders>
              <w:top w:val="single" w:sz="4" w:space="0" w:color="auto"/>
              <w:left w:val="single" w:sz="4" w:space="0" w:color="auto"/>
            </w:tcBorders>
            <w:shd w:val="clear" w:color="auto" w:fill="auto"/>
            <w:tcMar>
              <w:top w:w="15" w:type="dxa"/>
              <w:left w:w="15" w:type="dxa"/>
              <w:bottom w:w="0" w:type="dxa"/>
              <w:right w:w="15" w:type="dxa"/>
            </w:tcMar>
            <w:vAlign w:val="center"/>
          </w:tcPr>
          <w:p w14:paraId="6607CF7F" w14:textId="77777777" w:rsidR="009E0372" w:rsidRPr="009E0372" w:rsidRDefault="00385E57" w:rsidP="009E0372">
            <w:pPr>
              <w:keepNext/>
              <w:keepLines/>
              <w:spacing w:after="0" w:line="240" w:lineRule="auto"/>
              <w:ind w:left="19"/>
              <w:rPr>
                <w:rFonts w:eastAsia="Times New Roman" w:cs="Arial"/>
                <w:b/>
                <w:lang w:val="en-US" w:eastAsia="en-CA"/>
              </w:rPr>
            </w:pPr>
            <w:r w:rsidRPr="009E0372">
              <w:rPr>
                <w:rFonts w:eastAsia="Times New Roman" w:cs="Arial"/>
                <w:b/>
                <w:lang w:val="en-US" w:eastAsia="en-CA"/>
              </w:rPr>
              <w:t>Objective response rate, %</w:t>
            </w:r>
          </w:p>
          <w:p w14:paraId="6607CF80" w14:textId="77777777" w:rsidR="009E0372" w:rsidRPr="009E0372" w:rsidRDefault="00385E57" w:rsidP="009E0372">
            <w:pPr>
              <w:keepNext/>
              <w:keepLines/>
              <w:spacing w:after="0" w:line="240" w:lineRule="auto"/>
              <w:ind w:left="284"/>
              <w:rPr>
                <w:rFonts w:eastAsia="Times New Roman" w:cs="Arial"/>
                <w:b/>
                <w:lang w:val="en-US" w:eastAsia="en-CA"/>
              </w:rPr>
            </w:pPr>
            <w:r w:rsidRPr="009E0372">
              <w:rPr>
                <w:rFonts w:eastAsia="Times New Roman" w:cs="Arial"/>
                <w:lang w:val="en-US" w:eastAsia="en-CA"/>
              </w:rPr>
              <w:t>[95% CI]</w:t>
            </w:r>
          </w:p>
        </w:tc>
        <w:tc>
          <w:tcPr>
            <w:tcW w:w="3995" w:type="dxa"/>
            <w:tcBorders>
              <w:top w:val="single" w:sz="4" w:space="0" w:color="auto"/>
              <w:left w:val="nil"/>
              <w:right w:val="single" w:sz="4" w:space="0" w:color="auto"/>
            </w:tcBorders>
            <w:shd w:val="clear" w:color="auto" w:fill="auto"/>
            <w:vAlign w:val="center"/>
          </w:tcPr>
          <w:p w14:paraId="6607CF81" w14:textId="77777777" w:rsidR="009E0372" w:rsidRPr="009E0372" w:rsidRDefault="00385E57" w:rsidP="009E0372">
            <w:pPr>
              <w:keepNext/>
              <w:keepLines/>
              <w:spacing w:after="0" w:line="240" w:lineRule="auto"/>
              <w:jc w:val="center"/>
              <w:rPr>
                <w:rFonts w:eastAsia="Times New Roman" w:cs="Arial"/>
                <w:lang w:val="en-US" w:eastAsia="en-CA"/>
              </w:rPr>
            </w:pPr>
            <w:r>
              <w:rPr>
                <w:rFonts w:eastAsia="Times New Roman" w:cs="Arial"/>
                <w:lang w:val="en-US" w:eastAsia="en-CA"/>
              </w:rPr>
              <w:t>45.2</w:t>
            </w:r>
            <w:r w:rsidR="00A83EE8" w:rsidRPr="009E0372">
              <w:rPr>
                <w:rFonts w:eastAsia="Times New Roman" w:cs="Arial"/>
                <w:lang w:val="en-US" w:eastAsia="en-CA"/>
              </w:rPr>
              <w:br/>
              <w:t>[</w:t>
            </w:r>
            <w:r>
              <w:rPr>
                <w:rFonts w:eastAsia="Times New Roman" w:cs="Arial"/>
                <w:lang w:val="en-US" w:eastAsia="en-CA"/>
              </w:rPr>
              <w:t>37.0, 53.6</w:t>
            </w:r>
            <w:r w:rsidR="00A83EE8" w:rsidRPr="009E0372">
              <w:rPr>
                <w:rFonts w:eastAsia="Times New Roman" w:cs="Arial"/>
                <w:lang w:val="en-US" w:eastAsia="en-CA"/>
              </w:rPr>
              <w:t>]</w:t>
            </w:r>
          </w:p>
        </w:tc>
      </w:tr>
      <w:tr w:rsidR="009A289F" w14:paraId="6607CF87" w14:textId="77777777" w:rsidTr="0008392F">
        <w:trPr>
          <w:cantSplit/>
          <w:trHeight w:val="567"/>
        </w:trPr>
        <w:tc>
          <w:tcPr>
            <w:tcW w:w="4935" w:type="dxa"/>
            <w:tcBorders>
              <w:top w:val="single" w:sz="4" w:space="0" w:color="auto"/>
              <w:left w:val="single" w:sz="4" w:space="0" w:color="auto"/>
              <w:bottom w:val="single" w:sz="4" w:space="0" w:color="auto"/>
            </w:tcBorders>
            <w:shd w:val="clear" w:color="auto" w:fill="auto"/>
            <w:tcMar>
              <w:top w:w="15" w:type="dxa"/>
              <w:left w:w="15" w:type="dxa"/>
              <w:bottom w:w="0" w:type="dxa"/>
              <w:right w:w="15" w:type="dxa"/>
            </w:tcMar>
            <w:vAlign w:val="center"/>
          </w:tcPr>
          <w:p w14:paraId="6607CF83" w14:textId="77777777" w:rsidR="009E0372" w:rsidRPr="009E0372" w:rsidRDefault="00385E57" w:rsidP="009E0372">
            <w:pPr>
              <w:keepNext/>
              <w:keepLines/>
              <w:spacing w:after="0" w:line="240" w:lineRule="auto"/>
              <w:ind w:left="44"/>
              <w:rPr>
                <w:rFonts w:eastAsia="Times New Roman" w:cs="Arial"/>
                <w:lang w:val="en-US" w:eastAsia="en-CA"/>
              </w:rPr>
            </w:pPr>
            <w:r w:rsidRPr="009E0372">
              <w:rPr>
                <w:rFonts w:eastAsia="Times New Roman" w:cs="Arial"/>
                <w:b/>
                <w:lang w:val="en-US" w:eastAsia="en-CA"/>
              </w:rPr>
              <w:t>Median duration of response,</w:t>
            </w:r>
            <w:r w:rsidRPr="009E0372">
              <w:rPr>
                <w:rFonts w:eastAsia="Times New Roman" w:cs="Arial"/>
                <w:vertAlign w:val="superscript"/>
                <w:lang w:val="en-US" w:eastAsia="en-CA"/>
              </w:rPr>
              <w:t xml:space="preserve"> </w:t>
            </w:r>
            <w:r w:rsidRPr="009E0372">
              <w:rPr>
                <w:rFonts w:eastAsia="Times New Roman" w:cs="Arial"/>
                <w:b/>
                <w:lang w:val="en-US" w:eastAsia="en-CA"/>
              </w:rPr>
              <w:t>months</w:t>
            </w:r>
            <w:r w:rsidR="0073698B">
              <w:rPr>
                <w:rFonts w:eastAsia="Times New Roman" w:cs="Arial"/>
                <w:b/>
                <w:vertAlign w:val="superscript"/>
                <w:lang w:val="en-US" w:eastAsia="en-CA"/>
              </w:rPr>
              <w:t>a</w:t>
            </w:r>
          </w:p>
          <w:p w14:paraId="6607CF84" w14:textId="77777777" w:rsidR="009E0372" w:rsidRPr="009E0372" w:rsidRDefault="00385E57" w:rsidP="009E0372">
            <w:pPr>
              <w:keepNext/>
              <w:keepLines/>
              <w:spacing w:after="0" w:line="240" w:lineRule="auto"/>
              <w:ind w:left="269"/>
              <w:rPr>
                <w:rFonts w:eastAsia="Times New Roman" w:cs="Arial"/>
                <w:b/>
                <w:lang w:val="en-US" w:eastAsia="en-CA"/>
              </w:rPr>
            </w:pPr>
            <w:r w:rsidRPr="009E0372">
              <w:rPr>
                <w:rFonts w:eastAsia="Times New Roman" w:cs="Arial"/>
                <w:lang w:val="en-US" w:eastAsia="en-CA"/>
              </w:rPr>
              <w:t>[95% CI]</w:t>
            </w:r>
          </w:p>
        </w:tc>
        <w:tc>
          <w:tcPr>
            <w:tcW w:w="3995" w:type="dxa"/>
            <w:tcBorders>
              <w:top w:val="single" w:sz="4" w:space="0" w:color="auto"/>
              <w:left w:val="nil"/>
              <w:bottom w:val="single" w:sz="4" w:space="0" w:color="auto"/>
              <w:right w:val="single" w:sz="4" w:space="0" w:color="auto"/>
            </w:tcBorders>
            <w:shd w:val="clear" w:color="auto" w:fill="auto"/>
            <w:vAlign w:val="center"/>
          </w:tcPr>
          <w:p w14:paraId="6607CF85" w14:textId="77777777" w:rsidR="009E0372" w:rsidRPr="009E0372" w:rsidRDefault="00385E57" w:rsidP="009E0372">
            <w:pPr>
              <w:keepNext/>
              <w:keepLines/>
              <w:spacing w:after="0" w:line="240" w:lineRule="auto"/>
              <w:jc w:val="center"/>
              <w:rPr>
                <w:rFonts w:eastAsia="Times New Roman" w:cs="Arial"/>
                <w:lang w:val="en-US" w:eastAsia="en-CA"/>
              </w:rPr>
            </w:pPr>
            <w:r>
              <w:rPr>
                <w:rFonts w:eastAsia="Times New Roman" w:cs="Arial"/>
                <w:lang w:val="en-US" w:eastAsia="en-CA"/>
              </w:rPr>
              <w:t>11.1</w:t>
            </w:r>
          </w:p>
          <w:p w14:paraId="6607CF86" w14:textId="77777777" w:rsidR="009E0372" w:rsidRPr="009E0372" w:rsidRDefault="00385E57" w:rsidP="009E0372">
            <w:pPr>
              <w:keepNext/>
              <w:keepLines/>
              <w:spacing w:after="0" w:line="240" w:lineRule="auto"/>
              <w:jc w:val="center"/>
              <w:rPr>
                <w:rFonts w:eastAsia="Times New Roman" w:cs="Arial"/>
                <w:lang w:val="en-US" w:eastAsia="en-CA"/>
              </w:rPr>
            </w:pPr>
            <w:r w:rsidRPr="009E0372">
              <w:rPr>
                <w:rFonts w:eastAsia="Times New Roman" w:cs="Arial"/>
                <w:lang w:val="en-US" w:eastAsia="en-CA"/>
              </w:rPr>
              <w:t>[</w:t>
            </w:r>
            <w:r w:rsidR="0073698B">
              <w:rPr>
                <w:rFonts w:eastAsia="Times New Roman" w:cs="Arial"/>
                <w:lang w:val="en-US" w:eastAsia="en-CA"/>
              </w:rPr>
              <w:t>8.4, 18.5</w:t>
            </w:r>
            <w:r w:rsidRPr="009E0372">
              <w:rPr>
                <w:rFonts w:eastAsia="Times New Roman" w:cs="Arial"/>
                <w:lang w:val="en-US" w:eastAsia="en-CA"/>
              </w:rPr>
              <w:t>]</w:t>
            </w:r>
          </w:p>
        </w:tc>
      </w:tr>
      <w:tr w:rsidR="009A289F" w14:paraId="6607CF8A" w14:textId="77777777" w:rsidTr="00826793">
        <w:trPr>
          <w:cantSplit/>
          <w:trHeight w:val="374"/>
        </w:trPr>
        <w:tc>
          <w:tcPr>
            <w:tcW w:w="4935" w:type="dxa"/>
            <w:tcBorders>
              <w:left w:val="single" w:sz="4" w:space="0" w:color="auto"/>
            </w:tcBorders>
            <w:shd w:val="clear" w:color="auto" w:fill="auto"/>
            <w:tcMar>
              <w:top w:w="15" w:type="dxa"/>
              <w:left w:w="15" w:type="dxa"/>
              <w:bottom w:w="0" w:type="dxa"/>
              <w:right w:w="15" w:type="dxa"/>
            </w:tcMar>
            <w:vAlign w:val="center"/>
          </w:tcPr>
          <w:p w14:paraId="6607CF88" w14:textId="77777777" w:rsidR="009E0372" w:rsidRPr="009E0372" w:rsidRDefault="00385E57" w:rsidP="009E0372">
            <w:pPr>
              <w:keepNext/>
              <w:keepLines/>
              <w:spacing w:after="0" w:line="240" w:lineRule="auto"/>
              <w:rPr>
                <w:rFonts w:eastAsia="Times New Roman" w:cs="Arial"/>
                <w:b/>
                <w:lang w:val="en-US" w:eastAsia="en-CA"/>
              </w:rPr>
            </w:pPr>
            <w:r w:rsidRPr="009E0372">
              <w:rPr>
                <w:rFonts w:eastAsia="Times New Roman" w:cs="Arial"/>
                <w:b/>
                <w:lang w:val="en-US" w:eastAsia="en-CA"/>
              </w:rPr>
              <w:t>Duration of response</w:t>
            </w:r>
          </w:p>
        </w:tc>
        <w:tc>
          <w:tcPr>
            <w:tcW w:w="3995" w:type="dxa"/>
            <w:tcBorders>
              <w:left w:val="nil"/>
              <w:right w:val="single" w:sz="4" w:space="0" w:color="auto"/>
            </w:tcBorders>
            <w:shd w:val="clear" w:color="auto" w:fill="auto"/>
            <w:vAlign w:val="center"/>
          </w:tcPr>
          <w:p w14:paraId="6607CF89" w14:textId="77777777" w:rsidR="009E0372" w:rsidRPr="009E0372" w:rsidRDefault="009E0372" w:rsidP="009E0372">
            <w:pPr>
              <w:keepNext/>
              <w:keepLines/>
              <w:spacing w:after="0" w:line="240" w:lineRule="auto"/>
              <w:jc w:val="center"/>
              <w:rPr>
                <w:rFonts w:eastAsia="Times New Roman" w:cs="Arial"/>
                <w:lang w:val="en-US" w:eastAsia="en-CA"/>
              </w:rPr>
            </w:pPr>
          </w:p>
        </w:tc>
      </w:tr>
      <w:tr w:rsidR="009A289F" w14:paraId="6607CF8D" w14:textId="77777777" w:rsidTr="00826793">
        <w:trPr>
          <w:cantSplit/>
          <w:trHeight w:val="374"/>
        </w:trPr>
        <w:tc>
          <w:tcPr>
            <w:tcW w:w="4935" w:type="dxa"/>
            <w:tcBorders>
              <w:left w:val="single" w:sz="4" w:space="0" w:color="auto"/>
            </w:tcBorders>
            <w:shd w:val="clear" w:color="auto" w:fill="auto"/>
            <w:tcMar>
              <w:top w:w="15" w:type="dxa"/>
              <w:left w:w="15" w:type="dxa"/>
              <w:bottom w:w="0" w:type="dxa"/>
              <w:right w:w="15" w:type="dxa"/>
            </w:tcMar>
            <w:vAlign w:val="center"/>
          </w:tcPr>
          <w:p w14:paraId="6607CF8B" w14:textId="77777777" w:rsidR="009E0372" w:rsidRPr="009E0372" w:rsidRDefault="00385E57" w:rsidP="009E0372">
            <w:pPr>
              <w:keepNext/>
              <w:keepLines/>
              <w:spacing w:after="0" w:line="240" w:lineRule="auto"/>
              <w:ind w:left="269"/>
              <w:rPr>
                <w:rFonts w:eastAsia="Times New Roman" w:cs="Arial"/>
                <w:b/>
                <w:lang w:val="en-US" w:eastAsia="en-CA"/>
              </w:rPr>
            </w:pPr>
            <w:r w:rsidRPr="009E0372">
              <w:rPr>
                <w:rFonts w:eastAsia="Times New Roman" w:cs="Arial"/>
                <w:lang w:val="en-US" w:eastAsia="en-CA"/>
              </w:rPr>
              <w:t>≥ 6 months, % of responders</w:t>
            </w:r>
          </w:p>
        </w:tc>
        <w:tc>
          <w:tcPr>
            <w:tcW w:w="3995" w:type="dxa"/>
            <w:tcBorders>
              <w:left w:val="nil"/>
              <w:right w:val="single" w:sz="4" w:space="0" w:color="auto"/>
            </w:tcBorders>
            <w:shd w:val="clear" w:color="auto" w:fill="auto"/>
            <w:vAlign w:val="center"/>
          </w:tcPr>
          <w:p w14:paraId="6607CF8C" w14:textId="77777777" w:rsidR="009E0372" w:rsidRPr="009E0372" w:rsidRDefault="00385E57" w:rsidP="009E0372">
            <w:pPr>
              <w:keepNext/>
              <w:keepLines/>
              <w:spacing w:after="0" w:line="240" w:lineRule="auto"/>
              <w:jc w:val="center"/>
              <w:rPr>
                <w:rFonts w:eastAsia="Times New Roman" w:cs="Arial"/>
                <w:lang w:val="en-US" w:eastAsia="en-CA"/>
              </w:rPr>
            </w:pPr>
            <w:r>
              <w:rPr>
                <w:rFonts w:eastAsia="Times New Roman" w:cs="Arial"/>
                <w:lang w:val="en-US" w:eastAsia="en-CA"/>
              </w:rPr>
              <w:t>74.2</w:t>
            </w:r>
          </w:p>
        </w:tc>
      </w:tr>
      <w:tr w:rsidR="009A289F" w14:paraId="6607CF90" w14:textId="77777777" w:rsidTr="00826793">
        <w:trPr>
          <w:cantSplit/>
          <w:trHeight w:val="374"/>
        </w:trPr>
        <w:tc>
          <w:tcPr>
            <w:tcW w:w="4935" w:type="dxa"/>
            <w:tcBorders>
              <w:left w:val="single" w:sz="4" w:space="0" w:color="auto"/>
            </w:tcBorders>
            <w:shd w:val="clear" w:color="auto" w:fill="auto"/>
            <w:tcMar>
              <w:top w:w="15" w:type="dxa"/>
              <w:left w:w="15" w:type="dxa"/>
              <w:bottom w:w="0" w:type="dxa"/>
              <w:right w:w="15" w:type="dxa"/>
            </w:tcMar>
            <w:vAlign w:val="center"/>
          </w:tcPr>
          <w:p w14:paraId="6607CF8E" w14:textId="77777777" w:rsidR="009E0372" w:rsidRPr="009E0372" w:rsidRDefault="00385E57" w:rsidP="009E0372">
            <w:pPr>
              <w:keepNext/>
              <w:keepLines/>
              <w:spacing w:after="0" w:line="240" w:lineRule="auto"/>
              <w:ind w:left="269"/>
              <w:rPr>
                <w:rFonts w:eastAsia="Times New Roman" w:cs="Arial"/>
                <w:b/>
                <w:lang w:val="en-US" w:eastAsia="en-CA"/>
              </w:rPr>
            </w:pPr>
            <w:r w:rsidRPr="009E0372">
              <w:rPr>
                <w:rFonts w:eastAsia="Times New Roman" w:cs="Arial"/>
                <w:lang w:val="en-US" w:eastAsia="en-CA"/>
              </w:rPr>
              <w:t>≥ 9 months, % of responders</w:t>
            </w:r>
          </w:p>
        </w:tc>
        <w:tc>
          <w:tcPr>
            <w:tcW w:w="3995" w:type="dxa"/>
            <w:tcBorders>
              <w:left w:val="nil"/>
              <w:right w:val="single" w:sz="4" w:space="0" w:color="auto"/>
            </w:tcBorders>
            <w:shd w:val="clear" w:color="auto" w:fill="auto"/>
            <w:vAlign w:val="center"/>
          </w:tcPr>
          <w:p w14:paraId="6607CF8F" w14:textId="77777777" w:rsidR="009E0372" w:rsidRPr="009E0372" w:rsidRDefault="00385E57" w:rsidP="009E0372">
            <w:pPr>
              <w:keepNext/>
              <w:keepLines/>
              <w:spacing w:after="0" w:line="240" w:lineRule="auto"/>
              <w:jc w:val="center"/>
              <w:rPr>
                <w:rFonts w:eastAsia="Times New Roman" w:cs="Arial"/>
                <w:lang w:val="en-US" w:eastAsia="en-CA"/>
              </w:rPr>
            </w:pPr>
            <w:r>
              <w:rPr>
                <w:rFonts w:eastAsia="Times New Roman" w:cs="Arial"/>
                <w:lang w:val="en-US" w:eastAsia="en-CA"/>
              </w:rPr>
              <w:t>43.9</w:t>
            </w:r>
          </w:p>
        </w:tc>
      </w:tr>
      <w:tr w:rsidR="009A289F" w14:paraId="6607CF93" w14:textId="77777777" w:rsidTr="00826793">
        <w:trPr>
          <w:cantSplit/>
          <w:trHeight w:val="374"/>
        </w:trPr>
        <w:tc>
          <w:tcPr>
            <w:tcW w:w="4935" w:type="dxa"/>
            <w:tcBorders>
              <w:left w:val="single" w:sz="4" w:space="0" w:color="auto"/>
              <w:bottom w:val="single" w:sz="4" w:space="0" w:color="auto"/>
            </w:tcBorders>
            <w:shd w:val="clear" w:color="auto" w:fill="auto"/>
            <w:tcMar>
              <w:top w:w="15" w:type="dxa"/>
              <w:left w:w="15" w:type="dxa"/>
              <w:bottom w:w="0" w:type="dxa"/>
              <w:right w:w="15" w:type="dxa"/>
            </w:tcMar>
            <w:vAlign w:val="center"/>
          </w:tcPr>
          <w:p w14:paraId="6607CF91" w14:textId="77777777" w:rsidR="009E0372" w:rsidRPr="009E0372" w:rsidRDefault="00385E57" w:rsidP="009E0372">
            <w:pPr>
              <w:keepNext/>
              <w:keepLines/>
              <w:spacing w:after="0" w:line="240" w:lineRule="auto"/>
              <w:ind w:left="269"/>
              <w:rPr>
                <w:rFonts w:eastAsia="Times New Roman" w:cs="Arial"/>
                <w:b/>
                <w:lang w:val="en-US" w:eastAsia="en-CA"/>
              </w:rPr>
            </w:pPr>
            <w:r w:rsidRPr="009E0372">
              <w:rPr>
                <w:rFonts w:eastAsia="Times New Roman" w:cs="Arial"/>
                <w:lang w:val="en-US" w:eastAsia="en-CA"/>
              </w:rPr>
              <w:t>≥ 12 months, % of responders</w:t>
            </w:r>
          </w:p>
        </w:tc>
        <w:tc>
          <w:tcPr>
            <w:tcW w:w="3995" w:type="dxa"/>
            <w:tcBorders>
              <w:left w:val="nil"/>
              <w:bottom w:val="single" w:sz="4" w:space="0" w:color="auto"/>
              <w:right w:val="single" w:sz="4" w:space="0" w:color="auto"/>
            </w:tcBorders>
            <w:shd w:val="clear" w:color="auto" w:fill="auto"/>
            <w:vAlign w:val="center"/>
          </w:tcPr>
          <w:p w14:paraId="6607CF92" w14:textId="77777777" w:rsidR="009E0372" w:rsidRPr="009E0372" w:rsidRDefault="00385E57" w:rsidP="009E0372">
            <w:pPr>
              <w:keepNext/>
              <w:keepLines/>
              <w:spacing w:after="0" w:line="240" w:lineRule="auto"/>
              <w:jc w:val="center"/>
              <w:rPr>
                <w:rFonts w:eastAsia="Times New Roman" w:cs="Arial"/>
                <w:lang w:val="en-US" w:eastAsia="en-CA"/>
              </w:rPr>
            </w:pPr>
            <w:r>
              <w:rPr>
                <w:rFonts w:eastAsia="Times New Roman" w:cs="Arial"/>
                <w:lang w:val="en-US" w:eastAsia="en-CA"/>
              </w:rPr>
              <w:t>21.2</w:t>
            </w:r>
          </w:p>
        </w:tc>
      </w:tr>
      <w:tr w:rsidR="009A289F" w14:paraId="6607CF98" w14:textId="77777777" w:rsidTr="00826793">
        <w:trPr>
          <w:cantSplit/>
          <w:trHeight w:val="567"/>
        </w:trPr>
        <w:tc>
          <w:tcPr>
            <w:tcW w:w="4935" w:type="dxa"/>
            <w:tcBorders>
              <w:top w:val="single" w:sz="4" w:space="0" w:color="auto"/>
              <w:left w:val="single" w:sz="4" w:space="0" w:color="auto"/>
              <w:bottom w:val="single" w:sz="4" w:space="0" w:color="auto"/>
            </w:tcBorders>
            <w:shd w:val="clear" w:color="auto" w:fill="auto"/>
            <w:tcMar>
              <w:top w:w="15" w:type="dxa"/>
              <w:left w:w="15" w:type="dxa"/>
              <w:bottom w:w="0" w:type="dxa"/>
              <w:right w:w="15" w:type="dxa"/>
            </w:tcMar>
            <w:vAlign w:val="center"/>
          </w:tcPr>
          <w:p w14:paraId="6607CF94" w14:textId="77777777" w:rsidR="009E0372" w:rsidRPr="009E0372" w:rsidRDefault="00385E57" w:rsidP="009E0372">
            <w:pPr>
              <w:keepNext/>
              <w:keepLines/>
              <w:spacing w:after="0" w:line="240" w:lineRule="auto"/>
              <w:rPr>
                <w:rFonts w:eastAsia="Times New Roman" w:cs="Arial"/>
                <w:b/>
                <w:lang w:val="en-US" w:eastAsia="en-CA"/>
              </w:rPr>
            </w:pPr>
            <w:r w:rsidRPr="009E0372">
              <w:rPr>
                <w:rFonts w:eastAsia="Times New Roman" w:cs="Arial"/>
                <w:b/>
                <w:lang w:val="en-US" w:eastAsia="en-CA"/>
              </w:rPr>
              <w:t>Median progression</w:t>
            </w:r>
            <w:r w:rsidRPr="009E0372">
              <w:rPr>
                <w:rFonts w:eastAsia="Times New Roman" w:cs="Arial"/>
                <w:b/>
                <w:lang w:val="en-US" w:eastAsia="en-CA"/>
              </w:rPr>
              <w:noBreakHyphen/>
              <w:t>free survival, months</w:t>
            </w:r>
            <w:r w:rsidR="00D12CF6">
              <w:rPr>
                <w:rFonts w:eastAsia="Times New Roman" w:cs="Arial"/>
                <w:b/>
                <w:vertAlign w:val="superscript"/>
                <w:lang w:val="en-US" w:eastAsia="en-CA"/>
              </w:rPr>
              <w:t>a</w:t>
            </w:r>
          </w:p>
          <w:p w14:paraId="6607CF95" w14:textId="77777777" w:rsidR="009E0372" w:rsidRPr="009E0372" w:rsidRDefault="00385E57" w:rsidP="009E0372">
            <w:pPr>
              <w:keepNext/>
              <w:keepLines/>
              <w:spacing w:after="0" w:line="240" w:lineRule="auto"/>
              <w:ind w:left="269"/>
              <w:rPr>
                <w:rFonts w:eastAsia="Times New Roman" w:cs="Arial"/>
                <w:lang w:val="en-US" w:eastAsia="en-CA"/>
              </w:rPr>
            </w:pPr>
            <w:r w:rsidRPr="009E0372">
              <w:rPr>
                <w:rFonts w:eastAsia="Times New Roman" w:cs="Arial"/>
                <w:lang w:val="en-US" w:eastAsia="en-CA"/>
              </w:rPr>
              <w:t>[95% CI]</w:t>
            </w:r>
          </w:p>
        </w:tc>
        <w:tc>
          <w:tcPr>
            <w:tcW w:w="3995" w:type="dxa"/>
            <w:tcBorders>
              <w:top w:val="single" w:sz="4" w:space="0" w:color="auto"/>
              <w:left w:val="nil"/>
              <w:bottom w:val="single" w:sz="4" w:space="0" w:color="auto"/>
              <w:right w:val="single" w:sz="4" w:space="0" w:color="auto"/>
            </w:tcBorders>
            <w:shd w:val="clear" w:color="auto" w:fill="auto"/>
            <w:vAlign w:val="center"/>
          </w:tcPr>
          <w:p w14:paraId="6607CF96" w14:textId="77777777" w:rsidR="009E0372" w:rsidRPr="009E0372" w:rsidRDefault="00385E57" w:rsidP="009E0372">
            <w:pPr>
              <w:keepNext/>
              <w:keepLines/>
              <w:spacing w:after="0" w:line="240" w:lineRule="auto"/>
              <w:jc w:val="center"/>
              <w:rPr>
                <w:rFonts w:eastAsia="Times New Roman" w:cs="Arial"/>
                <w:lang w:val="en-US" w:eastAsia="en-CA"/>
              </w:rPr>
            </w:pPr>
            <w:r>
              <w:rPr>
                <w:rFonts w:eastAsia="Times New Roman" w:cs="Arial"/>
                <w:lang w:val="en-US" w:eastAsia="en-CA"/>
              </w:rPr>
              <w:t>8.9</w:t>
            </w:r>
          </w:p>
          <w:p w14:paraId="6607CF97" w14:textId="77777777" w:rsidR="009E0372" w:rsidRPr="009E0372" w:rsidRDefault="00385E57" w:rsidP="009E0372">
            <w:pPr>
              <w:keepNext/>
              <w:keepLines/>
              <w:spacing w:after="0" w:line="240" w:lineRule="auto"/>
              <w:jc w:val="center"/>
              <w:rPr>
                <w:rFonts w:eastAsia="Times New Roman" w:cs="Arial"/>
                <w:lang w:val="en-US" w:eastAsia="en-CA"/>
              </w:rPr>
            </w:pPr>
            <w:r w:rsidRPr="009E0372">
              <w:rPr>
                <w:rFonts w:eastAsia="Times New Roman" w:cs="Arial"/>
                <w:lang w:val="en-US" w:eastAsia="en-CA"/>
              </w:rPr>
              <w:t>[</w:t>
            </w:r>
            <w:r w:rsidR="00D12CF6">
              <w:rPr>
                <w:rFonts w:eastAsia="Times New Roman" w:cs="Arial"/>
                <w:lang w:val="en-US" w:eastAsia="en-CA"/>
              </w:rPr>
              <w:t>8.2</w:t>
            </w:r>
            <w:r w:rsidRPr="009E0372">
              <w:rPr>
                <w:rFonts w:eastAsia="Times New Roman" w:cs="Arial"/>
                <w:lang w:val="en-US" w:eastAsia="en-CA"/>
              </w:rPr>
              <w:t>, 11.0]</w:t>
            </w:r>
          </w:p>
        </w:tc>
      </w:tr>
      <w:tr w:rsidR="009A289F" w14:paraId="6607CF9D" w14:textId="77777777" w:rsidTr="00826793">
        <w:trPr>
          <w:cantSplit/>
          <w:trHeight w:val="567"/>
        </w:trPr>
        <w:tc>
          <w:tcPr>
            <w:tcW w:w="4935" w:type="dxa"/>
            <w:tcBorders>
              <w:top w:val="single" w:sz="4" w:space="0" w:color="auto"/>
              <w:left w:val="single" w:sz="4" w:space="0" w:color="auto"/>
              <w:bottom w:val="single" w:sz="4" w:space="0" w:color="auto"/>
            </w:tcBorders>
            <w:shd w:val="clear" w:color="auto" w:fill="auto"/>
            <w:tcMar>
              <w:top w:w="15" w:type="dxa"/>
              <w:left w:w="15" w:type="dxa"/>
              <w:bottom w:w="0" w:type="dxa"/>
              <w:right w:w="15" w:type="dxa"/>
            </w:tcMar>
            <w:vAlign w:val="center"/>
          </w:tcPr>
          <w:p w14:paraId="6607CF99" w14:textId="77777777" w:rsidR="009E0372" w:rsidRPr="009E0372" w:rsidRDefault="00385E57" w:rsidP="009E0372">
            <w:pPr>
              <w:keepNext/>
              <w:keepLines/>
              <w:spacing w:after="0" w:line="240" w:lineRule="auto"/>
              <w:rPr>
                <w:rFonts w:eastAsia="Times New Roman" w:cs="Arial"/>
                <w:b/>
                <w:lang w:val="en-US" w:eastAsia="en-CA"/>
              </w:rPr>
            </w:pPr>
            <w:r w:rsidRPr="009E0372">
              <w:rPr>
                <w:rFonts w:eastAsia="Times New Roman" w:cs="Arial"/>
                <w:b/>
                <w:lang w:val="en-US" w:eastAsia="en-CA"/>
              </w:rPr>
              <w:t>Median overall survival time, months</w:t>
            </w:r>
            <w:r w:rsidR="00D12CF6">
              <w:rPr>
                <w:rFonts w:eastAsia="Times New Roman" w:cs="Arial"/>
                <w:b/>
                <w:vertAlign w:val="superscript"/>
                <w:lang w:val="en-US" w:eastAsia="en-CA"/>
              </w:rPr>
              <w:t>a</w:t>
            </w:r>
          </w:p>
          <w:p w14:paraId="6607CF9A" w14:textId="77777777" w:rsidR="009E0372" w:rsidRPr="009E0372" w:rsidRDefault="00385E57" w:rsidP="009E0372">
            <w:pPr>
              <w:keepNext/>
              <w:keepLines/>
              <w:spacing w:after="0" w:line="240" w:lineRule="auto"/>
              <w:ind w:left="269"/>
              <w:rPr>
                <w:rFonts w:eastAsia="Times New Roman" w:cs="Arial"/>
                <w:lang w:val="en-US" w:eastAsia="en-CA"/>
              </w:rPr>
            </w:pPr>
            <w:r w:rsidRPr="009E0372">
              <w:rPr>
                <w:rFonts w:eastAsia="Times New Roman" w:cs="Arial"/>
                <w:lang w:val="en-US" w:eastAsia="en-CA"/>
              </w:rPr>
              <w:t>[95% CI]</w:t>
            </w:r>
          </w:p>
        </w:tc>
        <w:tc>
          <w:tcPr>
            <w:tcW w:w="3995" w:type="dxa"/>
            <w:tcBorders>
              <w:top w:val="single" w:sz="4" w:space="0" w:color="auto"/>
              <w:left w:val="nil"/>
              <w:bottom w:val="single" w:sz="4" w:space="0" w:color="auto"/>
              <w:right w:val="single" w:sz="4" w:space="0" w:color="auto"/>
            </w:tcBorders>
            <w:shd w:val="clear" w:color="auto" w:fill="auto"/>
            <w:vAlign w:val="center"/>
          </w:tcPr>
          <w:p w14:paraId="6607CF9B" w14:textId="77777777" w:rsidR="009E0372" w:rsidRPr="009E0372" w:rsidRDefault="00385E57" w:rsidP="009E0372">
            <w:pPr>
              <w:keepNext/>
              <w:keepLines/>
              <w:spacing w:after="0" w:line="240" w:lineRule="auto"/>
              <w:jc w:val="center"/>
              <w:rPr>
                <w:rFonts w:eastAsia="Times New Roman" w:cs="Arial"/>
                <w:lang w:val="en-US" w:eastAsia="en-CA"/>
              </w:rPr>
            </w:pPr>
            <w:r>
              <w:rPr>
                <w:rFonts w:eastAsia="Times New Roman" w:cs="Arial"/>
                <w:lang w:val="en-US" w:eastAsia="en-CA"/>
              </w:rPr>
              <w:t>17.6</w:t>
            </w:r>
          </w:p>
          <w:p w14:paraId="6607CF9C" w14:textId="77777777" w:rsidR="009E0372" w:rsidRPr="009E0372" w:rsidRDefault="00385E57" w:rsidP="009E0372">
            <w:pPr>
              <w:keepNext/>
              <w:keepLines/>
              <w:spacing w:after="0" w:line="240" w:lineRule="auto"/>
              <w:jc w:val="center"/>
              <w:rPr>
                <w:rFonts w:eastAsia="Times New Roman" w:cs="Arial"/>
                <w:lang w:val="en-US" w:eastAsia="en-CA"/>
              </w:rPr>
            </w:pPr>
            <w:r w:rsidRPr="009E0372">
              <w:rPr>
                <w:rFonts w:eastAsia="Times New Roman" w:cs="Arial"/>
                <w:lang w:val="en-US" w:eastAsia="en-CA"/>
              </w:rPr>
              <w:t>[</w:t>
            </w:r>
            <w:r w:rsidR="00D12CF6">
              <w:rPr>
                <w:rFonts w:eastAsia="Times New Roman" w:cs="Arial"/>
                <w:lang w:val="en-US" w:eastAsia="en-CA"/>
              </w:rPr>
              <w:t>15.0, 21.0</w:t>
            </w:r>
            <w:r w:rsidRPr="009E0372">
              <w:rPr>
                <w:rFonts w:eastAsia="Times New Roman" w:cs="Arial"/>
                <w:lang w:val="en-US" w:eastAsia="en-CA"/>
              </w:rPr>
              <w:t>]</w:t>
            </w:r>
          </w:p>
        </w:tc>
      </w:tr>
      <w:tr w:rsidR="009A289F" w14:paraId="6607CFA1" w14:textId="77777777" w:rsidTr="00826793">
        <w:trPr>
          <w:cantSplit/>
          <w:trHeight w:val="374"/>
        </w:trPr>
        <w:tc>
          <w:tcPr>
            <w:tcW w:w="8930" w:type="dxa"/>
            <w:gridSpan w:val="2"/>
            <w:tcBorders>
              <w:top w:val="single" w:sz="4" w:space="0" w:color="auto"/>
            </w:tcBorders>
            <w:shd w:val="clear" w:color="auto" w:fill="auto"/>
            <w:tcMar>
              <w:top w:w="15" w:type="dxa"/>
              <w:left w:w="15" w:type="dxa"/>
              <w:bottom w:w="0" w:type="dxa"/>
              <w:right w:w="15" w:type="dxa"/>
            </w:tcMar>
            <w:vAlign w:val="center"/>
          </w:tcPr>
          <w:p w14:paraId="6607CF9E" w14:textId="77777777" w:rsidR="009E0372" w:rsidRPr="009E0372" w:rsidRDefault="00385E57" w:rsidP="009E0372">
            <w:pPr>
              <w:keepLines/>
              <w:spacing w:after="0" w:line="240" w:lineRule="auto"/>
              <w:rPr>
                <w:rFonts w:eastAsia="Times New Roman" w:cs="Arial"/>
                <w:sz w:val="20"/>
                <w:szCs w:val="20"/>
                <w:lang w:val="en-GB" w:eastAsia="sv-SE"/>
              </w:rPr>
            </w:pPr>
            <w:r w:rsidRPr="009E0372">
              <w:rPr>
                <w:rFonts w:eastAsia="Times New Roman" w:cs="Arial"/>
                <w:sz w:val="20"/>
                <w:szCs w:val="20"/>
                <w:lang w:val="en-GB" w:eastAsia="sv-SE"/>
              </w:rPr>
              <w:t>IRC=</w:t>
            </w:r>
            <w:r w:rsidRPr="009E0372">
              <w:rPr>
                <w:rFonts w:eastAsia="Times New Roman" w:cs="Arial"/>
                <w:iCs/>
                <w:sz w:val="20"/>
                <w:szCs w:val="20"/>
                <w:lang w:val="en-GB" w:eastAsia="sv-SE"/>
              </w:rPr>
              <w:t>Independent Review Committee, ITT=Intent-to-treat, CI</w:t>
            </w:r>
            <w:r w:rsidRPr="009E0372">
              <w:rPr>
                <w:rFonts w:eastAsia="Times New Roman" w:cs="Arial"/>
                <w:sz w:val="20"/>
                <w:szCs w:val="20"/>
                <w:lang w:val="en-GB" w:eastAsia="sv-SE"/>
              </w:rPr>
              <w:t>=confidence interval</w:t>
            </w:r>
          </w:p>
          <w:p w14:paraId="6607CF9F" w14:textId="77777777" w:rsidR="009E0372" w:rsidRPr="009E0372" w:rsidRDefault="00385E57" w:rsidP="00A32B82">
            <w:pPr>
              <w:keepLines/>
              <w:tabs>
                <w:tab w:val="left" w:pos="225"/>
              </w:tabs>
              <w:spacing w:after="0" w:line="240" w:lineRule="auto"/>
              <w:ind w:left="225" w:hanging="225"/>
              <w:rPr>
                <w:rFonts w:eastAsia="Times New Roman" w:cs="Arial"/>
                <w:bCs/>
                <w:sz w:val="20"/>
                <w:szCs w:val="20"/>
                <w:lang w:val="en-GB" w:eastAsia="sv-SE"/>
              </w:rPr>
            </w:pPr>
            <w:r w:rsidRPr="009E0372">
              <w:rPr>
                <w:rFonts w:eastAsia="Times New Roman" w:cs="Arial"/>
                <w:sz w:val="20"/>
                <w:szCs w:val="20"/>
                <w:lang w:val="en-US" w:eastAsia="sv-SE"/>
              </w:rPr>
              <w:t>a</w:t>
            </w:r>
            <w:r w:rsidRPr="009E0372">
              <w:rPr>
                <w:rFonts w:eastAsia="Times New Roman" w:cs="Arial"/>
                <w:sz w:val="20"/>
                <w:szCs w:val="20"/>
                <w:lang w:val="en-US" w:eastAsia="sv-SE"/>
              </w:rPr>
              <w:tab/>
            </w:r>
            <w:r w:rsidRPr="009E0372">
              <w:rPr>
                <w:rFonts w:eastAsia="Times New Roman" w:cs="Arial"/>
                <w:bCs/>
                <w:sz w:val="20"/>
                <w:szCs w:val="20"/>
                <w:lang w:val="en-GB" w:eastAsia="sv-SE"/>
              </w:rPr>
              <w:t>Product-limit (Kaplan-Meier) estimates, 95% CI for the median using the Brookmeyer and Crowley method</w:t>
            </w:r>
          </w:p>
          <w:p w14:paraId="6607CFA0" w14:textId="77777777" w:rsidR="009E0372" w:rsidRPr="009E0372" w:rsidRDefault="009E0372" w:rsidP="009E0372">
            <w:pPr>
              <w:keepLines/>
              <w:spacing w:after="0" w:line="240" w:lineRule="auto"/>
              <w:rPr>
                <w:rFonts w:ascii="Arial" w:eastAsia="Times New Roman" w:hAnsi="Arial" w:cs="Arial"/>
                <w:sz w:val="20"/>
                <w:szCs w:val="20"/>
                <w:lang w:val="en-GB" w:eastAsia="sv-SE"/>
              </w:rPr>
            </w:pPr>
          </w:p>
        </w:tc>
      </w:tr>
    </w:tbl>
    <w:bookmarkEnd w:id="11"/>
    <w:p w14:paraId="6607CFA2" w14:textId="77777777" w:rsidR="00DE5E1E" w:rsidRDefault="00385E57" w:rsidP="0008392F">
      <w:pPr>
        <w:rPr>
          <w:i/>
          <w:iCs/>
        </w:rPr>
      </w:pPr>
      <w:r>
        <w:rPr>
          <w:rFonts w:eastAsia="Times New Roman" w:cs="Arial"/>
          <w:lang w:val="en-US" w:eastAsia="en-CA"/>
        </w:rPr>
        <w:lastRenderedPageBreak/>
        <w:t>The Kaplan-Mei</w:t>
      </w:r>
      <w:r w:rsidR="00415E32">
        <w:rPr>
          <w:rFonts w:eastAsia="Times New Roman" w:cs="Arial"/>
          <w:lang w:val="en-US" w:eastAsia="en-CA"/>
        </w:rPr>
        <w:t>e</w:t>
      </w:r>
      <w:r>
        <w:rPr>
          <w:rFonts w:eastAsia="Times New Roman" w:cs="Arial"/>
          <w:lang w:val="en-US" w:eastAsia="en-CA"/>
        </w:rPr>
        <w:t xml:space="preserve">r curves for </w:t>
      </w:r>
      <w:r w:rsidR="00395EB5">
        <w:rPr>
          <w:rFonts w:eastAsia="Times New Roman" w:cs="Arial"/>
          <w:lang w:val="en-US" w:eastAsia="en-CA"/>
        </w:rPr>
        <w:t>Progression-free Survival (</w:t>
      </w:r>
      <w:r>
        <w:rPr>
          <w:rFonts w:eastAsia="Times New Roman" w:cs="Arial"/>
          <w:lang w:val="en-US" w:eastAsia="en-CA"/>
        </w:rPr>
        <w:t>PFS</w:t>
      </w:r>
      <w:r w:rsidR="00395EB5">
        <w:rPr>
          <w:rFonts w:eastAsia="Times New Roman" w:cs="Arial"/>
          <w:lang w:val="en-US" w:eastAsia="en-CA"/>
        </w:rPr>
        <w:t>)</w:t>
      </w:r>
      <w:r>
        <w:rPr>
          <w:rFonts w:eastAsia="Times New Roman" w:cs="Arial"/>
          <w:lang w:val="en-US" w:eastAsia="en-CA"/>
        </w:rPr>
        <w:t xml:space="preserve"> and </w:t>
      </w:r>
      <w:r w:rsidR="00395EB5">
        <w:rPr>
          <w:rFonts w:eastAsia="Times New Roman" w:cs="Arial"/>
          <w:lang w:val="en-US" w:eastAsia="en-CA"/>
        </w:rPr>
        <w:t>Overall Survival (</w:t>
      </w:r>
      <w:r>
        <w:rPr>
          <w:rFonts w:eastAsia="Times New Roman" w:cs="Arial"/>
          <w:lang w:val="en-US" w:eastAsia="en-CA"/>
        </w:rPr>
        <w:t>OS</w:t>
      </w:r>
      <w:r w:rsidR="00395EB5">
        <w:rPr>
          <w:rFonts w:eastAsia="Times New Roman" w:cs="Arial"/>
          <w:lang w:val="en-US" w:eastAsia="en-CA"/>
        </w:rPr>
        <w:t>)</w:t>
      </w:r>
      <w:r>
        <w:rPr>
          <w:rFonts w:eastAsia="Times New Roman" w:cs="Arial"/>
          <w:lang w:val="en-US" w:eastAsia="en-CA"/>
        </w:rPr>
        <w:t xml:space="preserve"> are shown in Figure 1</w:t>
      </w:r>
      <w:r w:rsidR="00931930">
        <w:rPr>
          <w:rFonts w:eastAsia="Times New Roman" w:cs="Arial"/>
          <w:lang w:val="en-US" w:eastAsia="en-CA"/>
        </w:rPr>
        <w:t xml:space="preserve"> and</w:t>
      </w:r>
      <w:r>
        <w:rPr>
          <w:rFonts w:eastAsia="Times New Roman" w:cs="Arial"/>
          <w:lang w:val="en-US" w:eastAsia="en-CA"/>
        </w:rPr>
        <w:t xml:space="preserve"> 2, respectively. </w:t>
      </w:r>
    </w:p>
    <w:p w14:paraId="6607CFAA" w14:textId="77777777" w:rsidR="00B836C2" w:rsidRDefault="00385E57" w:rsidP="008D65DC">
      <w:pPr>
        <w:pStyle w:val="Caption"/>
        <w:ind w:left="1418" w:hanging="1418"/>
        <w:rPr>
          <w:b/>
          <w:bCs/>
          <w:i w:val="0"/>
          <w:iCs w:val="0"/>
          <w:color w:val="auto"/>
          <w:sz w:val="22"/>
          <w:szCs w:val="22"/>
        </w:rPr>
      </w:pPr>
      <w:r w:rsidRPr="00B836C2">
        <w:rPr>
          <w:b/>
          <w:bCs/>
          <w:i w:val="0"/>
          <w:iCs w:val="0"/>
          <w:color w:val="auto"/>
          <w:sz w:val="22"/>
          <w:szCs w:val="22"/>
        </w:rPr>
        <w:t xml:space="preserve">Figure </w:t>
      </w:r>
      <w:r w:rsidR="00931930">
        <w:rPr>
          <w:b/>
          <w:bCs/>
          <w:i w:val="0"/>
          <w:iCs w:val="0"/>
          <w:color w:val="auto"/>
          <w:sz w:val="22"/>
          <w:szCs w:val="22"/>
        </w:rPr>
        <w:t>1</w:t>
      </w:r>
      <w:r w:rsidR="00A606B1" w:rsidRPr="00B836C2">
        <w:rPr>
          <w:b/>
          <w:bCs/>
          <w:i w:val="0"/>
          <w:iCs w:val="0"/>
          <w:color w:val="auto"/>
        </w:rPr>
        <w:t xml:space="preserve"> </w:t>
      </w:r>
      <w:r>
        <w:rPr>
          <w:b/>
          <w:bCs/>
          <w:i w:val="0"/>
          <w:iCs w:val="0"/>
          <w:color w:val="auto"/>
        </w:rPr>
        <w:tab/>
      </w:r>
      <w:r w:rsidRPr="00B836C2">
        <w:rPr>
          <w:b/>
          <w:bCs/>
          <w:i w:val="0"/>
          <w:iCs w:val="0"/>
          <w:color w:val="auto"/>
          <w:sz w:val="22"/>
          <w:szCs w:val="22"/>
        </w:rPr>
        <w:t>Kaplan-Meier Curve Showing Progression-free Survival, Independent Evaluation, VISION –</w:t>
      </w:r>
      <w:r w:rsidR="00F0033B">
        <w:rPr>
          <w:b/>
          <w:bCs/>
          <w:i w:val="0"/>
          <w:iCs w:val="0"/>
          <w:color w:val="auto"/>
          <w:sz w:val="22"/>
          <w:szCs w:val="22"/>
        </w:rPr>
        <w:t xml:space="preserve"> </w:t>
      </w:r>
      <w:r w:rsidRPr="00B836C2">
        <w:rPr>
          <w:b/>
          <w:bCs/>
          <w:i w:val="0"/>
          <w:iCs w:val="0"/>
          <w:color w:val="auto"/>
          <w:sz w:val="22"/>
          <w:szCs w:val="22"/>
        </w:rPr>
        <w:t xml:space="preserve">ITT </w:t>
      </w:r>
      <w:r w:rsidR="001F0F3E">
        <w:rPr>
          <w:b/>
          <w:bCs/>
          <w:i w:val="0"/>
          <w:iCs w:val="0"/>
          <w:color w:val="auto"/>
          <w:sz w:val="22"/>
          <w:szCs w:val="22"/>
        </w:rPr>
        <w:t xml:space="preserve">population </w:t>
      </w:r>
    </w:p>
    <w:p w14:paraId="6607CFAB" w14:textId="77777777" w:rsidR="00B836C2" w:rsidRDefault="00385E57" w:rsidP="00D61BF5">
      <w:pPr>
        <w:rPr>
          <w:noProof/>
        </w:rPr>
      </w:pPr>
      <w:r>
        <w:rPr>
          <w:noProof/>
          <w:lang w:eastAsia="en-AU"/>
        </w:rPr>
        <w:drawing>
          <wp:inline distT="0" distB="0" distL="0" distR="0" wp14:anchorId="5249935F" wp14:editId="6BA77628">
            <wp:extent cx="5922010" cy="269557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96338" name=""/>
                    <pic:cNvPicPr/>
                  </pic:nvPicPr>
                  <pic:blipFill>
                    <a:blip r:embed="rId13"/>
                    <a:stretch>
                      <a:fillRect/>
                    </a:stretch>
                  </pic:blipFill>
                  <pic:spPr>
                    <a:xfrm>
                      <a:off x="0" y="0"/>
                      <a:ext cx="5922010" cy="2695575"/>
                    </a:xfrm>
                    <a:prstGeom prst="rect">
                      <a:avLst/>
                    </a:prstGeom>
                  </pic:spPr>
                </pic:pic>
              </a:graphicData>
            </a:graphic>
          </wp:inline>
        </w:drawing>
      </w:r>
    </w:p>
    <w:p w14:paraId="6607CFAC" w14:textId="77777777" w:rsidR="00494568" w:rsidRPr="008D65DC" w:rsidRDefault="00385E57" w:rsidP="008D65DC">
      <w:pPr>
        <w:rPr>
          <w:i/>
          <w:iCs/>
          <w:sz w:val="20"/>
          <w:szCs w:val="20"/>
          <w:lang w:val="en-US"/>
        </w:rPr>
      </w:pPr>
      <w:r w:rsidRPr="003E742D">
        <w:rPr>
          <w:sz w:val="20"/>
          <w:szCs w:val="20"/>
          <w:lang w:val="en-US"/>
        </w:rPr>
        <w:t>CI = confidence interval, ITT = intention-to-treat</w:t>
      </w:r>
    </w:p>
    <w:p w14:paraId="6607CFAD" w14:textId="77777777" w:rsidR="00A45BAC" w:rsidRDefault="00385E57" w:rsidP="00DD1FA1">
      <w:pPr>
        <w:pStyle w:val="Caption"/>
        <w:ind w:left="1440" w:hanging="1440"/>
        <w:rPr>
          <w:b/>
          <w:bCs/>
          <w:i w:val="0"/>
          <w:iCs w:val="0"/>
          <w:color w:val="auto"/>
          <w:sz w:val="22"/>
          <w:szCs w:val="22"/>
        </w:rPr>
      </w:pPr>
      <w:r w:rsidRPr="00A45BAC">
        <w:rPr>
          <w:b/>
          <w:bCs/>
          <w:i w:val="0"/>
          <w:iCs w:val="0"/>
          <w:color w:val="auto"/>
          <w:sz w:val="22"/>
          <w:szCs w:val="22"/>
        </w:rPr>
        <w:t xml:space="preserve">Figure </w:t>
      </w:r>
      <w:r w:rsidR="00931930">
        <w:rPr>
          <w:b/>
          <w:bCs/>
          <w:i w:val="0"/>
          <w:iCs w:val="0"/>
          <w:color w:val="auto"/>
          <w:sz w:val="22"/>
          <w:szCs w:val="22"/>
        </w:rPr>
        <w:t>2</w:t>
      </w:r>
      <w:r w:rsidRPr="00A45BAC">
        <w:rPr>
          <w:b/>
          <w:bCs/>
          <w:i w:val="0"/>
          <w:iCs w:val="0"/>
          <w:color w:val="auto"/>
          <w:sz w:val="22"/>
          <w:szCs w:val="22"/>
        </w:rPr>
        <w:tab/>
        <w:t>Kaplan-Meier Curve Showing Overall Survival, Independent Evaluation, VISION</w:t>
      </w:r>
      <w:r w:rsidR="00F0033B">
        <w:rPr>
          <w:b/>
          <w:bCs/>
          <w:i w:val="0"/>
          <w:iCs w:val="0"/>
          <w:color w:val="auto"/>
          <w:sz w:val="22"/>
          <w:szCs w:val="22"/>
        </w:rPr>
        <w:t xml:space="preserve"> </w:t>
      </w:r>
      <w:r w:rsidRPr="00A45BAC">
        <w:rPr>
          <w:b/>
          <w:bCs/>
          <w:i w:val="0"/>
          <w:iCs w:val="0"/>
          <w:color w:val="auto"/>
          <w:sz w:val="22"/>
          <w:szCs w:val="22"/>
        </w:rPr>
        <w:t>–</w:t>
      </w:r>
      <w:r w:rsidR="00F0033B">
        <w:rPr>
          <w:b/>
          <w:bCs/>
          <w:i w:val="0"/>
          <w:iCs w:val="0"/>
          <w:color w:val="auto"/>
          <w:sz w:val="22"/>
          <w:szCs w:val="22"/>
        </w:rPr>
        <w:t xml:space="preserve"> </w:t>
      </w:r>
      <w:r w:rsidRPr="00A45BAC">
        <w:rPr>
          <w:b/>
          <w:bCs/>
          <w:i w:val="0"/>
          <w:iCs w:val="0"/>
          <w:color w:val="auto"/>
          <w:sz w:val="22"/>
          <w:szCs w:val="22"/>
        </w:rPr>
        <w:t xml:space="preserve">ITT </w:t>
      </w:r>
      <w:r w:rsidR="001F0F3E">
        <w:rPr>
          <w:b/>
          <w:bCs/>
          <w:i w:val="0"/>
          <w:iCs w:val="0"/>
          <w:color w:val="auto"/>
          <w:sz w:val="22"/>
          <w:szCs w:val="22"/>
        </w:rPr>
        <w:t>population</w:t>
      </w:r>
      <w:r w:rsidRPr="00A45BAC">
        <w:rPr>
          <w:b/>
          <w:bCs/>
          <w:i w:val="0"/>
          <w:iCs w:val="0"/>
          <w:color w:val="auto"/>
          <w:sz w:val="22"/>
          <w:szCs w:val="22"/>
        </w:rPr>
        <w:t xml:space="preserve"> </w:t>
      </w:r>
    </w:p>
    <w:p w14:paraId="6607CFAE" w14:textId="77777777" w:rsidR="00A45BAC" w:rsidRPr="00A45BAC" w:rsidRDefault="00385E57">
      <w:pPr>
        <w:rPr>
          <w:lang w:val="en-US"/>
        </w:rPr>
      </w:pPr>
      <w:r>
        <w:rPr>
          <w:noProof/>
          <w:lang w:eastAsia="en-AU"/>
        </w:rPr>
        <w:drawing>
          <wp:inline distT="0" distB="0" distL="0" distR="0" wp14:anchorId="126CC3C9" wp14:editId="719FB52E">
            <wp:extent cx="5962650" cy="2809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01023" name=""/>
                    <pic:cNvPicPr/>
                  </pic:nvPicPr>
                  <pic:blipFill>
                    <a:blip r:embed="rId14"/>
                    <a:stretch>
                      <a:fillRect/>
                    </a:stretch>
                  </pic:blipFill>
                  <pic:spPr>
                    <a:xfrm>
                      <a:off x="0" y="0"/>
                      <a:ext cx="5962650" cy="2809875"/>
                    </a:xfrm>
                    <a:prstGeom prst="rect">
                      <a:avLst/>
                    </a:prstGeom>
                  </pic:spPr>
                </pic:pic>
              </a:graphicData>
            </a:graphic>
          </wp:inline>
        </w:drawing>
      </w:r>
    </w:p>
    <w:p w14:paraId="6607CFAF" w14:textId="77777777" w:rsidR="0025355D" w:rsidRDefault="00385E57" w:rsidP="0025355D">
      <w:pPr>
        <w:rPr>
          <w:sz w:val="20"/>
          <w:szCs w:val="20"/>
          <w:lang w:val="en-US"/>
        </w:rPr>
      </w:pPr>
      <w:bookmarkStart w:id="12" w:name="_Hlk46740977"/>
      <w:r w:rsidRPr="003E742D">
        <w:rPr>
          <w:sz w:val="20"/>
          <w:szCs w:val="20"/>
          <w:lang w:val="en-US"/>
        </w:rPr>
        <w:t>CI = confidence interval</w:t>
      </w:r>
      <w:r w:rsidR="003E742D" w:rsidRPr="003E742D">
        <w:rPr>
          <w:sz w:val="20"/>
          <w:szCs w:val="20"/>
          <w:lang w:val="en-US"/>
        </w:rPr>
        <w:t>, ITT = intention-to-treat</w:t>
      </w:r>
    </w:p>
    <w:p w14:paraId="6607CFB0" w14:textId="77777777" w:rsidR="007979BE" w:rsidRDefault="00385E57" w:rsidP="00861006">
      <w:pPr>
        <w:rPr>
          <w:lang w:val="en-US"/>
        </w:rPr>
      </w:pPr>
      <w:bookmarkStart w:id="13" w:name="_Hlk46319223"/>
      <w:bookmarkEnd w:id="12"/>
      <w:r>
        <w:rPr>
          <w:lang w:val="en-US"/>
        </w:rPr>
        <w:t xml:space="preserve">Data from patients with at least </w:t>
      </w:r>
      <w:r w:rsidR="00D12CF6">
        <w:rPr>
          <w:lang w:val="en-US"/>
        </w:rPr>
        <w:t>15</w:t>
      </w:r>
      <w:r>
        <w:rPr>
          <w:lang w:val="en-US"/>
        </w:rPr>
        <w:t xml:space="preserve"> </w:t>
      </w:r>
      <w:r w:rsidR="004810CC">
        <w:rPr>
          <w:lang w:val="en-US"/>
        </w:rPr>
        <w:t>mo</w:t>
      </w:r>
      <w:r w:rsidR="00575E60">
        <w:rPr>
          <w:lang w:val="en-US"/>
        </w:rPr>
        <w:t>n</w:t>
      </w:r>
      <w:r w:rsidR="004810CC">
        <w:rPr>
          <w:lang w:val="en-US"/>
        </w:rPr>
        <w:t>ths</w:t>
      </w:r>
      <w:r>
        <w:rPr>
          <w:lang w:val="en-US"/>
        </w:rPr>
        <w:t xml:space="preserve"> of follow-up from the start of treatment (N=99)</w:t>
      </w:r>
      <w:r w:rsidR="00861006">
        <w:rPr>
          <w:lang w:val="en-US"/>
        </w:rPr>
        <w:t xml:space="preserve"> showed similar results with ORR of </w:t>
      </w:r>
      <w:r w:rsidR="00D12CF6">
        <w:rPr>
          <w:lang w:val="en-US"/>
        </w:rPr>
        <w:t>45.5</w:t>
      </w:r>
      <w:r w:rsidR="00861006">
        <w:rPr>
          <w:lang w:val="en-US"/>
        </w:rPr>
        <w:t xml:space="preserve">% (95% CI: </w:t>
      </w:r>
      <w:r w:rsidR="00D12CF6">
        <w:rPr>
          <w:lang w:val="en-US"/>
        </w:rPr>
        <w:t>35.4, 55.8</w:t>
      </w:r>
      <w:r w:rsidR="00861006">
        <w:rPr>
          <w:lang w:val="en-US"/>
        </w:rPr>
        <w:t>),</w:t>
      </w:r>
      <w:r w:rsidR="00861006" w:rsidRPr="00861006">
        <w:t xml:space="preserve"> </w:t>
      </w:r>
      <w:r w:rsidR="00861006" w:rsidRPr="00861006">
        <w:rPr>
          <w:lang w:val="en-US"/>
        </w:rPr>
        <w:t xml:space="preserve">PFS (median of 8.5 months [95% CI: </w:t>
      </w:r>
      <w:r w:rsidR="00D12CF6">
        <w:rPr>
          <w:lang w:val="en-US"/>
        </w:rPr>
        <w:t>6.8</w:t>
      </w:r>
      <w:r w:rsidR="00861006" w:rsidRPr="00861006">
        <w:rPr>
          <w:lang w:val="en-US"/>
        </w:rPr>
        <w:t>, 11.0]) and OS (median of 17.</w:t>
      </w:r>
      <w:r w:rsidR="00D12CF6">
        <w:rPr>
          <w:lang w:val="en-US"/>
        </w:rPr>
        <w:t>0</w:t>
      </w:r>
      <w:r w:rsidR="00861006" w:rsidRPr="00861006">
        <w:rPr>
          <w:lang w:val="en-US"/>
        </w:rPr>
        <w:t xml:space="preserve"> months [95% CI: 12.0, </w:t>
      </w:r>
      <w:r w:rsidR="00D12CF6">
        <w:rPr>
          <w:lang w:val="en-US"/>
        </w:rPr>
        <w:t>20.4</w:t>
      </w:r>
      <w:r w:rsidR="00861006" w:rsidRPr="00861006">
        <w:rPr>
          <w:lang w:val="en-US"/>
        </w:rPr>
        <w:t>]</w:t>
      </w:r>
      <w:r w:rsidR="00235E4C">
        <w:rPr>
          <w:lang w:val="en-US"/>
        </w:rPr>
        <w:t xml:space="preserve">. </w:t>
      </w:r>
      <w:bookmarkEnd w:id="13"/>
    </w:p>
    <w:p w14:paraId="6607CFB1" w14:textId="77777777" w:rsidR="00B422F4" w:rsidRPr="00735452" w:rsidRDefault="00385E57" w:rsidP="00861006">
      <w:pPr>
        <w:rPr>
          <w:lang w:val="en-US"/>
        </w:rPr>
      </w:pPr>
      <w:r w:rsidRPr="009E0372">
        <w:rPr>
          <w:rFonts w:eastAsia="Times New Roman" w:cs="Arial"/>
          <w:lang w:val="en-US" w:eastAsia="en-CA"/>
        </w:rPr>
        <w:lastRenderedPageBreak/>
        <w:t xml:space="preserve">Efficacy outcome was independent of the testing modality (liquid biopsy or tumour biopsy) used to establish the </w:t>
      </w:r>
      <w:r w:rsidRPr="009E0372">
        <w:rPr>
          <w:rFonts w:eastAsia="Times New Roman" w:cs="Arial"/>
          <w:i/>
          <w:lang w:val="en-US" w:eastAsia="en-CA"/>
        </w:rPr>
        <w:t>MET</w:t>
      </w:r>
      <w:r w:rsidRPr="009E0372">
        <w:rPr>
          <w:rFonts w:eastAsia="Times New Roman" w:cs="Arial"/>
          <w:lang w:val="en-US" w:eastAsia="en-CA"/>
        </w:rPr>
        <w:t>ex14 skipping status. Consistent efficacy results in subgroups by prior therapy, presence of brain metastasis or age were observed.</w:t>
      </w:r>
    </w:p>
    <w:p w14:paraId="6607CFB2" w14:textId="440E841A" w:rsidR="001A3992" w:rsidRDefault="00385E57" w:rsidP="001A3992">
      <w:pPr>
        <w:pStyle w:val="Heading2"/>
        <w:keepNext/>
        <w:spacing w:before="0" w:after="120"/>
        <w:rPr>
          <w:lang w:val="en-US"/>
        </w:rPr>
      </w:pPr>
      <w:r w:rsidRPr="00EC3C40">
        <w:rPr>
          <w:lang w:val="en-US"/>
        </w:rPr>
        <w:t>Pharmacokinetic properties</w:t>
      </w:r>
      <w:r w:rsidR="008F4DF0">
        <w:rPr>
          <w:lang w:val="en-US"/>
        </w:rPr>
        <w:fldChar w:fldCharType="begin"/>
      </w:r>
      <w:r w:rsidR="008F4DF0">
        <w:rPr>
          <w:lang w:val="en-US"/>
        </w:rPr>
        <w:instrText xml:space="preserve"> DOCVARIABLE vault_nd_848c73ae-90cc-4c75-9939-28a5556c5ffe \* MERGEFORMAT </w:instrText>
      </w:r>
      <w:r w:rsidR="008F4DF0">
        <w:rPr>
          <w:lang w:val="en-US"/>
        </w:rPr>
        <w:fldChar w:fldCharType="separate"/>
      </w:r>
      <w:r w:rsidR="008F4DF0">
        <w:rPr>
          <w:lang w:val="en-US"/>
        </w:rPr>
        <w:t xml:space="preserve"> </w:t>
      </w:r>
      <w:r w:rsidR="008F4DF0">
        <w:rPr>
          <w:lang w:val="en-US"/>
        </w:rPr>
        <w:fldChar w:fldCharType="end"/>
      </w:r>
    </w:p>
    <w:p w14:paraId="6607CFB3" w14:textId="6611BF11" w:rsidR="0021200F" w:rsidRDefault="00385E57" w:rsidP="00756296">
      <w:pPr>
        <w:pStyle w:val="Heading3"/>
        <w:spacing w:before="0" w:after="120"/>
        <w:ind w:left="0"/>
        <w:rPr>
          <w:rFonts w:cstheme="minorHAnsi"/>
        </w:rPr>
      </w:pPr>
      <w:r w:rsidRPr="00497C85">
        <w:rPr>
          <w:rFonts w:cstheme="minorHAnsi"/>
        </w:rPr>
        <w:t>Absorption</w:t>
      </w:r>
      <w:r w:rsidR="008F4DF0">
        <w:rPr>
          <w:rFonts w:cstheme="minorHAnsi"/>
        </w:rPr>
        <w:fldChar w:fldCharType="begin"/>
      </w:r>
      <w:r w:rsidR="008F4DF0">
        <w:rPr>
          <w:rFonts w:cstheme="minorHAnsi"/>
        </w:rPr>
        <w:instrText xml:space="preserve"> DOCVARIABLE vault_nd_b7ec545d-0b71-4021-990c-56c10fc87072 \* MERGEFORMAT </w:instrText>
      </w:r>
      <w:r w:rsidR="008F4DF0">
        <w:rPr>
          <w:rFonts w:cstheme="minorHAnsi"/>
        </w:rPr>
        <w:fldChar w:fldCharType="separate"/>
      </w:r>
      <w:r w:rsidR="008F4DF0">
        <w:rPr>
          <w:rFonts w:cstheme="minorHAnsi"/>
        </w:rPr>
        <w:t xml:space="preserve"> </w:t>
      </w:r>
      <w:r w:rsidR="008F4DF0">
        <w:rPr>
          <w:rFonts w:cstheme="minorHAnsi"/>
        </w:rPr>
        <w:fldChar w:fldCharType="end"/>
      </w:r>
    </w:p>
    <w:p w14:paraId="6607CFB4" w14:textId="77777777" w:rsidR="00DF5F19" w:rsidRDefault="00385E57" w:rsidP="00DF5F19">
      <w:r>
        <w:t>A mean absolute bioavailability of 71.6% was observed for a single 450 mg dose of tepotinib administered in the fed state; the median time to C</w:t>
      </w:r>
      <w:r w:rsidRPr="00DF5F19">
        <w:rPr>
          <w:vertAlign w:val="subscript"/>
        </w:rPr>
        <w:t>max</w:t>
      </w:r>
      <w:r>
        <w:t xml:space="preserve"> was 8 hours (range from 6 to 12 hours).</w:t>
      </w:r>
    </w:p>
    <w:p w14:paraId="6607CFB5" w14:textId="77777777" w:rsidR="00DF5F19" w:rsidRPr="00DF5F19" w:rsidRDefault="00385E57" w:rsidP="00DF5F19">
      <w:r>
        <w:t>The presence of food (standard high-fat, high-calorie breakfast) increased the AUC of tepotinib by about 1.6 fold and C</w:t>
      </w:r>
      <w:r w:rsidRPr="00DF5F19">
        <w:rPr>
          <w:vertAlign w:val="subscript"/>
        </w:rPr>
        <w:t>max</w:t>
      </w:r>
      <w:r>
        <w:t xml:space="preserve"> by 2 fold. </w:t>
      </w:r>
    </w:p>
    <w:p w14:paraId="6607CFB6" w14:textId="591A40B1" w:rsidR="0021200F" w:rsidRDefault="00385E57" w:rsidP="00756296">
      <w:pPr>
        <w:pStyle w:val="Heading3"/>
        <w:spacing w:before="0" w:after="120"/>
        <w:ind w:left="0"/>
        <w:rPr>
          <w:rFonts w:cstheme="minorHAnsi"/>
        </w:rPr>
      </w:pPr>
      <w:r w:rsidRPr="00497C85">
        <w:rPr>
          <w:rFonts w:cstheme="minorHAnsi"/>
        </w:rPr>
        <w:t>Distribution</w:t>
      </w:r>
      <w:r w:rsidR="008F4DF0">
        <w:rPr>
          <w:rFonts w:cstheme="minorHAnsi"/>
        </w:rPr>
        <w:fldChar w:fldCharType="begin"/>
      </w:r>
      <w:r w:rsidR="008F4DF0">
        <w:rPr>
          <w:rFonts w:cstheme="minorHAnsi"/>
        </w:rPr>
        <w:instrText xml:space="preserve"> DOCVARIABLE vault_nd_a37a9143-b097-4f75-b50b-0d6fb5570adb \* MERGEFORMAT </w:instrText>
      </w:r>
      <w:r w:rsidR="008F4DF0">
        <w:rPr>
          <w:rFonts w:cstheme="minorHAnsi"/>
        </w:rPr>
        <w:fldChar w:fldCharType="separate"/>
      </w:r>
      <w:r w:rsidR="008F4DF0">
        <w:rPr>
          <w:rFonts w:cstheme="minorHAnsi"/>
        </w:rPr>
        <w:t xml:space="preserve"> </w:t>
      </w:r>
      <w:r w:rsidR="008F4DF0">
        <w:rPr>
          <w:rFonts w:cstheme="minorHAnsi"/>
        </w:rPr>
        <w:fldChar w:fldCharType="end"/>
      </w:r>
    </w:p>
    <w:p w14:paraId="6607CFB7" w14:textId="77777777" w:rsidR="00DF5F19" w:rsidRDefault="00385E57" w:rsidP="00DF5F19">
      <w:r>
        <w:t xml:space="preserve">In human plasma, tepotinib is highly protein bound (98%).  The mean volume of distribution (Vz) of tepotinib after an intravenous tracer dose (geometric mean and geoCV%) was 574 L (14.4%).  </w:t>
      </w:r>
    </w:p>
    <w:p w14:paraId="6607CFB8" w14:textId="4287C70D" w:rsidR="0021200F" w:rsidRDefault="00385E57" w:rsidP="00756296">
      <w:pPr>
        <w:pStyle w:val="Heading3"/>
        <w:spacing w:before="0" w:after="120"/>
        <w:ind w:left="0"/>
        <w:rPr>
          <w:rFonts w:cstheme="minorHAnsi"/>
        </w:rPr>
      </w:pPr>
      <w:r w:rsidRPr="00497C85">
        <w:rPr>
          <w:rFonts w:cstheme="minorHAnsi"/>
        </w:rPr>
        <w:t>Metabolism</w:t>
      </w:r>
      <w:r w:rsidR="008F4DF0">
        <w:rPr>
          <w:rFonts w:cstheme="minorHAnsi"/>
        </w:rPr>
        <w:fldChar w:fldCharType="begin"/>
      </w:r>
      <w:r w:rsidR="008F4DF0">
        <w:rPr>
          <w:rFonts w:cstheme="minorHAnsi"/>
        </w:rPr>
        <w:instrText xml:space="preserve"> DOCVARIABLE vault_nd_a4f5e57c-c2c7-493e-aa1a-f3b398534c7c \* MERGEFORMAT </w:instrText>
      </w:r>
      <w:r w:rsidR="008F4DF0">
        <w:rPr>
          <w:rFonts w:cstheme="minorHAnsi"/>
        </w:rPr>
        <w:fldChar w:fldCharType="separate"/>
      </w:r>
      <w:r w:rsidR="008F4DF0">
        <w:rPr>
          <w:rFonts w:cstheme="minorHAnsi"/>
        </w:rPr>
        <w:t xml:space="preserve"> </w:t>
      </w:r>
      <w:r w:rsidR="008F4DF0">
        <w:rPr>
          <w:rFonts w:cstheme="minorHAnsi"/>
        </w:rPr>
        <w:fldChar w:fldCharType="end"/>
      </w:r>
    </w:p>
    <w:p w14:paraId="6607CFB9" w14:textId="77777777" w:rsidR="00DF5F19" w:rsidRPr="00DF5F19" w:rsidRDefault="00385E57" w:rsidP="00DF5F19">
      <w:r w:rsidRPr="00DF5F19">
        <w:t>Metabolism is not the major route of elimination. No metabolic pathway accounted for more than 25% of tepotinib elimination</w:t>
      </w:r>
      <w:r w:rsidR="00BB4175">
        <w:t xml:space="preserve"> in humans</w:t>
      </w:r>
      <w:r w:rsidRPr="00DF5F19">
        <w:t xml:space="preserve">. Only one major circulating plasma metabolite </w:t>
      </w:r>
      <w:r w:rsidR="00BB4175">
        <w:t xml:space="preserve">(MSC2571109A) </w:t>
      </w:r>
      <w:r w:rsidRPr="00DF5F19">
        <w:t xml:space="preserve">has been identified. There is only a minor contribution of the major circulating metabolite to the overall efficacy of tepotinib in humans. </w:t>
      </w:r>
    </w:p>
    <w:p w14:paraId="6607CFBA" w14:textId="747A1E08" w:rsidR="0021200F" w:rsidRDefault="00385E57" w:rsidP="00756296">
      <w:pPr>
        <w:pStyle w:val="Heading3"/>
        <w:spacing w:before="0" w:after="120"/>
        <w:ind w:left="0"/>
        <w:rPr>
          <w:rFonts w:cstheme="minorHAnsi"/>
          <w:b w:val="0"/>
        </w:rPr>
      </w:pPr>
      <w:r w:rsidRPr="00497C85">
        <w:rPr>
          <w:rFonts w:cstheme="minorHAnsi"/>
        </w:rPr>
        <w:t>Excretion</w:t>
      </w:r>
      <w:r w:rsidR="008F4DF0">
        <w:rPr>
          <w:rFonts w:cstheme="minorHAnsi"/>
        </w:rPr>
        <w:fldChar w:fldCharType="begin"/>
      </w:r>
      <w:r w:rsidR="008F4DF0">
        <w:rPr>
          <w:rFonts w:cstheme="minorHAnsi"/>
        </w:rPr>
        <w:instrText xml:space="preserve"> DOCVARIABLE vault_nd_7bbd59b1-6a92-46bf-bb68-0fed66905e5d \* MERGEFORMAT </w:instrText>
      </w:r>
      <w:r w:rsidR="008F4DF0">
        <w:rPr>
          <w:rFonts w:cstheme="minorHAnsi"/>
        </w:rPr>
        <w:fldChar w:fldCharType="separate"/>
      </w:r>
      <w:r w:rsidR="008F4DF0">
        <w:rPr>
          <w:rFonts w:cstheme="minorHAnsi"/>
        </w:rPr>
        <w:t xml:space="preserve"> </w:t>
      </w:r>
      <w:r w:rsidR="008F4DF0">
        <w:rPr>
          <w:rFonts w:cstheme="minorHAnsi"/>
        </w:rPr>
        <w:fldChar w:fldCharType="end"/>
      </w:r>
    </w:p>
    <w:p w14:paraId="6607CFBB" w14:textId="77777777" w:rsidR="00DF5F19" w:rsidRPr="00DF5F19" w:rsidRDefault="00385E57" w:rsidP="00DF5F19">
      <w:pPr>
        <w:rPr>
          <w:lang w:val="en-CA"/>
        </w:rPr>
      </w:pPr>
      <w:r w:rsidRPr="00DF5F19">
        <w:rPr>
          <w:lang w:val="en-CA"/>
        </w:rPr>
        <w:t xml:space="preserve">After intravenous administration of single doses, a total systemic clearance (geometric mean and geoCV%) of 12.8 L/h was observed.  </w:t>
      </w:r>
    </w:p>
    <w:p w14:paraId="6607CFBC" w14:textId="77777777" w:rsidR="00DF5F19" w:rsidRPr="00DF5F19" w:rsidRDefault="00385E57" w:rsidP="00DF5F19">
      <w:pPr>
        <w:rPr>
          <w:lang w:val="en-CA"/>
        </w:rPr>
      </w:pPr>
      <w:r w:rsidRPr="00DF5F19">
        <w:rPr>
          <w:lang w:val="en-CA"/>
        </w:rPr>
        <w:t>Tepotinib is mainly excreted via the f</w:t>
      </w:r>
      <w:r w:rsidR="00AD397D">
        <w:rPr>
          <w:lang w:val="en-CA"/>
        </w:rPr>
        <w:t>a</w:t>
      </w:r>
      <w:r w:rsidRPr="00DF5F19">
        <w:rPr>
          <w:lang w:val="en-CA"/>
        </w:rPr>
        <w:t>eces (approximately 85% total recovery of radioactivity), with urinary excretion being a minor excretion pathway. After a single oral administration of a radiolabelled dose of 450 mg tepotinib, the unchanged tepotinib represented 45% and 7% of the total radioactivity in faeces and urine, respectively.  The major circulating metabolite accounted for only about 3% of the total radioactivity in the f</w:t>
      </w:r>
      <w:r w:rsidR="00AD397D">
        <w:rPr>
          <w:lang w:val="en-CA"/>
        </w:rPr>
        <w:t>a</w:t>
      </w:r>
      <w:r w:rsidRPr="00DF5F19">
        <w:rPr>
          <w:lang w:val="en-CA"/>
        </w:rPr>
        <w:t xml:space="preserve">eces. </w:t>
      </w:r>
    </w:p>
    <w:p w14:paraId="6607CFBD" w14:textId="5C070DC8" w:rsidR="00DF5F19" w:rsidRDefault="00385E57" w:rsidP="00DF5F19">
      <w:pPr>
        <w:rPr>
          <w:lang w:val="en-US"/>
        </w:rPr>
      </w:pPr>
      <w:r w:rsidRPr="00DF5F19">
        <w:rPr>
          <w:lang w:val="en-CA"/>
        </w:rPr>
        <w:t>The effective half-life for tepotinib is approximately 32 hours. After multiple daily administrations of 450 mg tepotinib, median accumulation was 2.5 fold for C</w:t>
      </w:r>
      <w:r w:rsidRPr="00DF5F19">
        <w:rPr>
          <w:vertAlign w:val="subscript"/>
          <w:lang w:val="en-CA"/>
        </w:rPr>
        <w:t>max</w:t>
      </w:r>
      <w:r w:rsidRPr="00DF5F19">
        <w:rPr>
          <w:lang w:val="en-CA"/>
        </w:rPr>
        <w:t xml:space="preserve"> and 3.3 fold for AUC</w:t>
      </w:r>
      <w:r w:rsidRPr="00DF5F19">
        <w:rPr>
          <w:vertAlign w:val="subscript"/>
          <w:lang w:val="en-CA"/>
        </w:rPr>
        <w:t>0-24h.</w:t>
      </w:r>
      <w:r w:rsidRPr="00DF5F19">
        <w:rPr>
          <w:lang w:val="en-US"/>
        </w:rPr>
        <w:t xml:space="preserve"> </w:t>
      </w:r>
    </w:p>
    <w:p w14:paraId="6607CFBE" w14:textId="786E47EA" w:rsidR="00AD397D" w:rsidRPr="00AD397D" w:rsidRDefault="00385E57" w:rsidP="00756296">
      <w:pPr>
        <w:pStyle w:val="Heading3"/>
        <w:spacing w:before="0" w:after="120"/>
        <w:ind w:left="0"/>
        <w:rPr>
          <w:lang w:val="en-CA"/>
        </w:rPr>
      </w:pPr>
      <w:r w:rsidRPr="00AD397D">
        <w:rPr>
          <w:lang w:val="en-CA"/>
        </w:rPr>
        <w:t>Special populations</w:t>
      </w:r>
      <w:r w:rsidR="00C83B29">
        <w:rPr>
          <w:lang w:val="en-CA"/>
        </w:rPr>
        <w:t xml:space="preserve"> and conditions</w:t>
      </w:r>
      <w:r w:rsidR="008F4DF0">
        <w:rPr>
          <w:lang w:val="en-CA"/>
        </w:rPr>
        <w:fldChar w:fldCharType="begin"/>
      </w:r>
      <w:r w:rsidR="008F4DF0">
        <w:rPr>
          <w:lang w:val="en-CA"/>
        </w:rPr>
        <w:instrText xml:space="preserve"> DOCVARIABLE vault_nd_d4c12f87-4754-4a30-a351-4be5922b21e9 \* MERGEFORMAT </w:instrText>
      </w:r>
      <w:r w:rsidR="008F4DF0">
        <w:rPr>
          <w:lang w:val="en-CA"/>
        </w:rPr>
        <w:fldChar w:fldCharType="separate"/>
      </w:r>
      <w:r w:rsidR="008F4DF0">
        <w:rPr>
          <w:lang w:val="en-CA"/>
        </w:rPr>
        <w:t xml:space="preserve"> </w:t>
      </w:r>
      <w:r w:rsidR="008F4DF0">
        <w:rPr>
          <w:lang w:val="en-CA"/>
        </w:rPr>
        <w:fldChar w:fldCharType="end"/>
      </w:r>
    </w:p>
    <w:p w14:paraId="6607CFBF" w14:textId="77777777" w:rsidR="00AD397D" w:rsidRPr="00AD397D" w:rsidRDefault="00385E57" w:rsidP="00AD397D">
      <w:pPr>
        <w:rPr>
          <w:lang w:val="en-CA"/>
        </w:rPr>
      </w:pPr>
      <w:r w:rsidRPr="00AD397D">
        <w:rPr>
          <w:lang w:val="en-CA"/>
        </w:rPr>
        <w:t>A population kinetic analysis did not show any effect of age (range 18 to 89 years), race, sex, body weight, or mild to moderate renal impairment (CLcr 30 to 89 mL/min) on the pharmacokinetics of tepotinib.</w:t>
      </w:r>
    </w:p>
    <w:p w14:paraId="6607CFC0" w14:textId="77777777" w:rsidR="00AD397D" w:rsidRPr="00AD397D" w:rsidRDefault="00385E57" w:rsidP="00AD397D">
      <w:pPr>
        <w:rPr>
          <w:u w:val="single"/>
          <w:lang w:val="en-CA"/>
        </w:rPr>
      </w:pPr>
      <w:r w:rsidRPr="00AD397D">
        <w:rPr>
          <w:u w:val="single"/>
          <w:lang w:val="en-CA"/>
        </w:rPr>
        <w:t xml:space="preserve">Patients with </w:t>
      </w:r>
      <w:r w:rsidR="00C83B29">
        <w:rPr>
          <w:u w:val="single"/>
          <w:lang w:val="en-CA"/>
        </w:rPr>
        <w:t>h</w:t>
      </w:r>
      <w:r w:rsidRPr="00AD397D">
        <w:rPr>
          <w:u w:val="single"/>
          <w:lang w:val="en-CA"/>
        </w:rPr>
        <w:t xml:space="preserve">epatic </w:t>
      </w:r>
      <w:r w:rsidR="00C83B29">
        <w:rPr>
          <w:u w:val="single"/>
          <w:lang w:val="en-CA"/>
        </w:rPr>
        <w:t>i</w:t>
      </w:r>
      <w:r w:rsidRPr="00AD397D">
        <w:rPr>
          <w:u w:val="single"/>
          <w:lang w:val="en-CA"/>
        </w:rPr>
        <w:t>mpairment</w:t>
      </w:r>
    </w:p>
    <w:p w14:paraId="6607CFC1" w14:textId="77777777" w:rsidR="00AD397D" w:rsidRDefault="00385E57" w:rsidP="00AD397D">
      <w:pPr>
        <w:rPr>
          <w:lang w:val="en-CA"/>
        </w:rPr>
      </w:pPr>
      <w:r w:rsidRPr="00AD397D">
        <w:rPr>
          <w:lang w:val="en-CA"/>
        </w:rPr>
        <w:t>Following a single oral dose of 450 mg TEPMETKO, the exposure was similar in healthy subjects and patients with mild hepatic impairment (Child-Pugh Class A) and was slightly lower (</w:t>
      </w:r>
      <w:r w:rsidR="001C7B13">
        <w:rPr>
          <w:lang w:val="en-CA"/>
        </w:rPr>
        <w:t>-</w:t>
      </w:r>
      <w:r w:rsidRPr="00AD397D">
        <w:rPr>
          <w:lang w:val="en-CA"/>
        </w:rPr>
        <w:t xml:space="preserve">13% </w:t>
      </w:r>
      <w:r w:rsidRPr="00AD397D">
        <w:rPr>
          <w:lang w:val="en-CA"/>
        </w:rPr>
        <w:lastRenderedPageBreak/>
        <w:t xml:space="preserve">AUC and </w:t>
      </w:r>
      <w:r w:rsidR="001C7B13">
        <w:rPr>
          <w:lang w:val="en-CA"/>
        </w:rPr>
        <w:t>-</w:t>
      </w:r>
      <w:r w:rsidRPr="00AD397D">
        <w:rPr>
          <w:lang w:val="en-CA"/>
        </w:rPr>
        <w:t>29% C</w:t>
      </w:r>
      <w:r w:rsidRPr="001C7B13">
        <w:rPr>
          <w:vertAlign w:val="subscript"/>
          <w:lang w:val="en-CA"/>
        </w:rPr>
        <w:t>max</w:t>
      </w:r>
      <w:r w:rsidRPr="00AD397D">
        <w:rPr>
          <w:lang w:val="en-CA"/>
        </w:rPr>
        <w:t>) in patients with moderate hepatic impairment (Child-Pugh Class B) compared to healthy subjects. However, the free plasma concentrations of tepotinib were in a similar range in the healthy subjects, patients with mild hepatic impairment and in patients with moderate hepatic impairment. The pharmacokinetics of TEPMETKO have not been studied in patients with severe (Child Pugh Class C) hepatic impairment.</w:t>
      </w:r>
    </w:p>
    <w:p w14:paraId="6607CFC2" w14:textId="77777777" w:rsidR="00C83B29" w:rsidRPr="00C83B29" w:rsidRDefault="00385E57" w:rsidP="00AD397D">
      <w:pPr>
        <w:rPr>
          <w:u w:val="single"/>
          <w:lang w:val="en-CA"/>
        </w:rPr>
      </w:pPr>
      <w:r w:rsidRPr="00C83B29">
        <w:rPr>
          <w:u w:val="single"/>
          <w:lang w:val="en-CA"/>
        </w:rPr>
        <w:t>Patients with renal impairment</w:t>
      </w:r>
    </w:p>
    <w:p w14:paraId="6607CFC3" w14:textId="77777777" w:rsidR="00C83B29" w:rsidRDefault="00385E57" w:rsidP="00AD397D">
      <w:pPr>
        <w:rPr>
          <w:lang w:val="en-CA"/>
        </w:rPr>
      </w:pPr>
      <w:r w:rsidRPr="00C83B29">
        <w:rPr>
          <w:lang w:val="en-CA"/>
        </w:rPr>
        <w:t xml:space="preserve">There was no clinically meaningful change in exposure in patients with mild and moderate renal impairment. Patients with severe renal impairment (creatinine clearance less than 30 mL/min) were not included in clinical trials. </w:t>
      </w:r>
    </w:p>
    <w:p w14:paraId="6607CFC4" w14:textId="77777777" w:rsidR="00C83B29" w:rsidRPr="00C83B29" w:rsidRDefault="00385E57" w:rsidP="00AD397D">
      <w:pPr>
        <w:rPr>
          <w:u w:val="single"/>
          <w:lang w:val="en-CA"/>
        </w:rPr>
      </w:pPr>
      <w:r w:rsidRPr="00C83B29">
        <w:rPr>
          <w:u w:val="single"/>
          <w:lang w:val="en-CA"/>
        </w:rPr>
        <w:t>Dose and time dependence</w:t>
      </w:r>
    </w:p>
    <w:p w14:paraId="6607CFC5" w14:textId="77777777" w:rsidR="00C83B29" w:rsidRDefault="00385E57" w:rsidP="00AD397D">
      <w:pPr>
        <w:rPr>
          <w:lang w:val="en-CA"/>
        </w:rPr>
      </w:pPr>
      <w:r w:rsidRPr="00C83B29">
        <w:rPr>
          <w:lang w:val="en-CA"/>
        </w:rPr>
        <w:t>Tepotinib exposure increases dose-proportionally over the clinically relevant dose range up to 450 mg. The pharmacokinetics of tepotinib did not change with respect to time.</w:t>
      </w:r>
    </w:p>
    <w:p w14:paraId="6607CFC6" w14:textId="77777777" w:rsidR="00620570" w:rsidRPr="00CC7483" w:rsidRDefault="00385E57" w:rsidP="00DF023D">
      <w:pPr>
        <w:rPr>
          <w:u w:val="single"/>
        </w:rPr>
      </w:pPr>
      <w:bookmarkStart w:id="14" w:name="_Hlk46326304"/>
      <w:r w:rsidRPr="00CC7483">
        <w:rPr>
          <w:u w:val="single"/>
        </w:rPr>
        <w:t>Cardiac electrophysiology</w:t>
      </w:r>
    </w:p>
    <w:p w14:paraId="6607CFC7" w14:textId="77777777" w:rsidR="00DF023D" w:rsidRDefault="00385E57" w:rsidP="00DF023D">
      <w:r>
        <w:t xml:space="preserve">In the VISION study (patients with </w:t>
      </w:r>
      <w:r w:rsidRPr="00CC7483">
        <w:rPr>
          <w:i/>
          <w:iCs/>
        </w:rPr>
        <w:t>MET</w:t>
      </w:r>
      <w:r>
        <w:t xml:space="preserve">ex14 skipping alterations; n = 181), 4 patients (2.2%) experienced a QTcF prolonged to &gt; 500 ms and 10 patients (5.5%) had a QTcF prolonged by at least 60 ms from baseline. </w:t>
      </w:r>
    </w:p>
    <w:p w14:paraId="6607CFC8" w14:textId="7F554949" w:rsidR="00DF023D" w:rsidRPr="00754B01" w:rsidRDefault="00385E57" w:rsidP="005B0B0A">
      <w:r w:rsidRPr="002A165A">
        <w:t>In an exposure-QTc analysis, the QTcF interval prolongation potential of TEPMETKO was assessed in 392 patients with various solid tumo</w:t>
      </w:r>
      <w:r w:rsidR="00705B82">
        <w:t>u</w:t>
      </w:r>
      <w:r w:rsidRPr="002A165A">
        <w:t>rs following single or multiple daily doses of TEPMETKO ranging from 27 mg to 1,261 mg.</w:t>
      </w:r>
      <w:r w:rsidR="007D6DC1">
        <w:t xml:space="preserve"> At the recommended dose, no large mean increases in QTc (i.e. &gt; 20 ms) were detected. A concentration-dependent increase in QTc inter</w:t>
      </w:r>
      <w:r w:rsidR="001B5EFF">
        <w:t>v</w:t>
      </w:r>
      <w:r w:rsidR="007D6DC1">
        <w:t>al was observed. The QTc effect of tepotinib at high clinical exposure</w:t>
      </w:r>
      <w:r w:rsidR="00CE0688">
        <w:t>s</w:t>
      </w:r>
      <w:r w:rsidR="007D6DC1">
        <w:t xml:space="preserve"> has not been evaluated. </w:t>
      </w:r>
      <w:r w:rsidRPr="002A165A">
        <w:t xml:space="preserve"> </w:t>
      </w:r>
    </w:p>
    <w:bookmarkEnd w:id="14"/>
    <w:p w14:paraId="6607CFC9" w14:textId="04EB2B70" w:rsidR="001A3992" w:rsidRPr="00EC3C40" w:rsidRDefault="00385E57" w:rsidP="001A3992">
      <w:pPr>
        <w:pStyle w:val="Heading2"/>
        <w:spacing w:before="0" w:after="120"/>
        <w:rPr>
          <w:lang w:val="en-US"/>
        </w:rPr>
      </w:pPr>
      <w:r w:rsidRPr="00EC3C40">
        <w:rPr>
          <w:lang w:val="en-US"/>
        </w:rPr>
        <w:t>Preclinical safety data</w:t>
      </w:r>
      <w:r w:rsidR="008F4DF0">
        <w:rPr>
          <w:lang w:val="en-US"/>
        </w:rPr>
        <w:fldChar w:fldCharType="begin"/>
      </w:r>
      <w:r w:rsidR="008F4DF0">
        <w:rPr>
          <w:lang w:val="en-US"/>
        </w:rPr>
        <w:instrText xml:space="preserve"> DOCVARIABLE vault_nd_33450e19-38f1-46b7-bc80-737447db5d4a \* MERGEFORMAT </w:instrText>
      </w:r>
      <w:r w:rsidR="008F4DF0">
        <w:rPr>
          <w:lang w:val="en-US"/>
        </w:rPr>
        <w:fldChar w:fldCharType="separate"/>
      </w:r>
      <w:r w:rsidR="008F4DF0">
        <w:rPr>
          <w:lang w:val="en-US"/>
        </w:rPr>
        <w:t xml:space="preserve"> </w:t>
      </w:r>
      <w:r w:rsidR="008F4DF0">
        <w:rPr>
          <w:lang w:val="en-US"/>
        </w:rPr>
        <w:fldChar w:fldCharType="end"/>
      </w:r>
    </w:p>
    <w:p w14:paraId="6607CFCA" w14:textId="23B9F9BA" w:rsidR="001A3992" w:rsidRDefault="00385E57" w:rsidP="00756296">
      <w:pPr>
        <w:pStyle w:val="Heading3"/>
        <w:spacing w:before="0" w:after="120"/>
        <w:ind w:left="0"/>
      </w:pPr>
      <w:r w:rsidRPr="00B878CC">
        <w:t>Genotoxicity</w:t>
      </w:r>
      <w:r w:rsidR="009065C9">
        <w:fldChar w:fldCharType="begin"/>
      </w:r>
      <w:r w:rsidR="009065C9">
        <w:instrText xml:space="preserve"> DOCVARIABLE vault_nd_3e43b652-feae-4994-8205-4f04e249dd5e \* MERGEFORMAT </w:instrText>
      </w:r>
      <w:r w:rsidR="009065C9">
        <w:fldChar w:fldCharType="separate"/>
      </w:r>
      <w:r w:rsidR="008F4DF0">
        <w:t xml:space="preserve"> </w:t>
      </w:r>
      <w:r w:rsidR="009065C9">
        <w:fldChar w:fldCharType="end"/>
      </w:r>
    </w:p>
    <w:p w14:paraId="6607CFCB" w14:textId="77777777" w:rsidR="00D63B9C" w:rsidRDefault="00385E57" w:rsidP="00D63B9C">
      <w:r>
        <w:t>No mutagenic or genotoxic effects of tepotinib were observed in</w:t>
      </w:r>
      <w:r w:rsidR="005562CE">
        <w:t xml:space="preserve"> the bacterial reverse mutation assay and mouse lymphoma assay</w:t>
      </w:r>
      <w:r>
        <w:t xml:space="preserve"> </w:t>
      </w:r>
      <w:r w:rsidRPr="00FA2422">
        <w:rPr>
          <w:i/>
          <w:iCs/>
        </w:rPr>
        <w:t>in vitro</w:t>
      </w:r>
      <w:r>
        <w:t xml:space="preserve"> and</w:t>
      </w:r>
      <w:r w:rsidR="005562CE">
        <w:t xml:space="preserve"> a rat micronucleus test</w:t>
      </w:r>
      <w:r>
        <w:t xml:space="preserve"> </w:t>
      </w:r>
      <w:r w:rsidRPr="00FA2422">
        <w:rPr>
          <w:i/>
          <w:iCs/>
        </w:rPr>
        <w:t>in vivo</w:t>
      </w:r>
      <w:r>
        <w:t>.</w:t>
      </w:r>
      <w:r w:rsidR="005562CE">
        <w:t xml:space="preserve"> </w:t>
      </w:r>
    </w:p>
    <w:p w14:paraId="6607CFCC" w14:textId="77777777" w:rsidR="00D63B9C" w:rsidRPr="00D63B9C" w:rsidRDefault="00385E57" w:rsidP="00D63B9C">
      <w:r>
        <w:t>The major circulating metabolite was also shown to be non-mutagenic</w:t>
      </w:r>
      <w:r w:rsidR="005562CE">
        <w:t xml:space="preserve"> in the bacterial reverse mutation assay and mouse lymphoma assay </w:t>
      </w:r>
      <w:r w:rsidR="005562CE" w:rsidRPr="005562CE">
        <w:rPr>
          <w:i/>
          <w:iCs/>
        </w:rPr>
        <w:t>in vitro</w:t>
      </w:r>
      <w:r>
        <w:t>.</w:t>
      </w:r>
    </w:p>
    <w:p w14:paraId="6607CFCD" w14:textId="4DD36683" w:rsidR="001A3992" w:rsidRDefault="00385E57" w:rsidP="00756296">
      <w:pPr>
        <w:pStyle w:val="Heading3"/>
        <w:spacing w:before="0" w:after="120"/>
        <w:ind w:left="0"/>
        <w:rPr>
          <w:lang w:val="en-US"/>
        </w:rPr>
      </w:pPr>
      <w:r w:rsidRPr="00B878CC">
        <w:t>Carcin</w:t>
      </w:r>
      <w:r w:rsidRPr="00B878CC">
        <w:rPr>
          <w:lang w:val="en-US"/>
        </w:rPr>
        <w:t>ogenicity</w:t>
      </w:r>
      <w:r w:rsidR="008F4DF0">
        <w:rPr>
          <w:lang w:val="en-US"/>
        </w:rPr>
        <w:fldChar w:fldCharType="begin"/>
      </w:r>
      <w:r w:rsidR="008F4DF0">
        <w:rPr>
          <w:lang w:val="en-US"/>
        </w:rPr>
        <w:instrText xml:space="preserve"> DOCVARIABLE vault_nd_6bf408c3-8955-431c-8459-0df13669fa1d \* MERGEFORMAT </w:instrText>
      </w:r>
      <w:r w:rsidR="008F4DF0">
        <w:rPr>
          <w:lang w:val="en-US"/>
        </w:rPr>
        <w:fldChar w:fldCharType="separate"/>
      </w:r>
      <w:r w:rsidR="008F4DF0">
        <w:rPr>
          <w:lang w:val="en-US"/>
        </w:rPr>
        <w:t xml:space="preserve"> </w:t>
      </w:r>
      <w:r w:rsidR="008F4DF0">
        <w:rPr>
          <w:lang w:val="en-US"/>
        </w:rPr>
        <w:fldChar w:fldCharType="end"/>
      </w:r>
    </w:p>
    <w:p w14:paraId="6607CFCE" w14:textId="77777777" w:rsidR="00D63B9C" w:rsidRPr="00D63B9C" w:rsidRDefault="00385E57" w:rsidP="00D63B9C">
      <w:pPr>
        <w:rPr>
          <w:lang w:val="en-US"/>
        </w:rPr>
      </w:pPr>
      <w:r w:rsidRPr="00D63B9C">
        <w:rPr>
          <w:lang w:val="en-US"/>
        </w:rPr>
        <w:t>No studies have been performed to evaluate the carcinogenic potential of tepotinib</w:t>
      </w:r>
      <w:r>
        <w:rPr>
          <w:lang w:val="en-US"/>
        </w:rPr>
        <w:t>.</w:t>
      </w:r>
    </w:p>
    <w:p w14:paraId="6607CFCF" w14:textId="77598588" w:rsidR="001A3992" w:rsidRPr="008F4DF0" w:rsidRDefault="00385E57" w:rsidP="001A3992">
      <w:pPr>
        <w:pStyle w:val="Heading1"/>
        <w:spacing w:before="0" w:after="120"/>
        <w:rPr>
          <w:lang w:val="en-US"/>
        </w:rPr>
      </w:pPr>
      <w:r w:rsidRPr="008F4DF0">
        <w:rPr>
          <w:lang w:val="en-US"/>
        </w:rPr>
        <w:t>Pharmaceutical particulars</w:t>
      </w:r>
      <w:r w:rsidR="008F4DF0">
        <w:rPr>
          <w:lang w:val="en-US"/>
        </w:rPr>
        <w:fldChar w:fldCharType="begin"/>
      </w:r>
      <w:r w:rsidR="008F4DF0">
        <w:rPr>
          <w:lang w:val="en-US"/>
        </w:rPr>
        <w:instrText xml:space="preserve"> DOCVARIABLE VAULT_ND_4437afad-6b52-4740-b42e-70dbaf2b8c75 \* MERGEFORMAT </w:instrText>
      </w:r>
      <w:r w:rsidR="008F4DF0">
        <w:rPr>
          <w:lang w:val="en-US"/>
        </w:rPr>
        <w:fldChar w:fldCharType="separate"/>
      </w:r>
      <w:r w:rsidR="008F4DF0">
        <w:rPr>
          <w:lang w:val="en-US"/>
        </w:rPr>
        <w:t xml:space="preserve"> </w:t>
      </w:r>
      <w:r w:rsidR="008F4DF0">
        <w:rPr>
          <w:lang w:val="en-US"/>
        </w:rPr>
        <w:fldChar w:fldCharType="end"/>
      </w:r>
    </w:p>
    <w:p w14:paraId="6607CFD0" w14:textId="5F6C9311" w:rsidR="005B2812" w:rsidRPr="00497C85" w:rsidRDefault="00385E57" w:rsidP="005B2812">
      <w:pPr>
        <w:pStyle w:val="Heading2"/>
        <w:spacing w:before="0" w:after="120"/>
        <w:rPr>
          <w:rFonts w:cstheme="minorHAnsi"/>
          <w:lang w:val="en-US"/>
        </w:rPr>
      </w:pPr>
      <w:r w:rsidRPr="00497C85">
        <w:rPr>
          <w:rFonts w:cstheme="minorHAnsi"/>
          <w:lang w:val="en-US"/>
        </w:rPr>
        <w:t>List of excipients</w:t>
      </w:r>
      <w:r w:rsidR="008F4DF0">
        <w:rPr>
          <w:rFonts w:cstheme="minorHAnsi"/>
          <w:lang w:val="en-US"/>
        </w:rPr>
        <w:fldChar w:fldCharType="begin"/>
      </w:r>
      <w:r w:rsidR="008F4DF0">
        <w:rPr>
          <w:rFonts w:cstheme="minorHAnsi"/>
          <w:lang w:val="en-US"/>
        </w:rPr>
        <w:instrText xml:space="preserve"> DOCVARIABLE vault_nd_4be7fdba-9572-48fc-8d00-b296020840c3 \* MERGEFORMAT </w:instrText>
      </w:r>
      <w:r w:rsidR="008F4DF0">
        <w:rPr>
          <w:rFonts w:cstheme="minorHAnsi"/>
          <w:lang w:val="en-US"/>
        </w:rPr>
        <w:fldChar w:fldCharType="separate"/>
      </w:r>
      <w:r w:rsidR="008F4DF0">
        <w:rPr>
          <w:rFonts w:cstheme="minorHAnsi"/>
          <w:lang w:val="en-US"/>
        </w:rPr>
        <w:t xml:space="preserve"> </w:t>
      </w:r>
      <w:r w:rsidR="008F4DF0">
        <w:rPr>
          <w:rFonts w:cstheme="minorHAnsi"/>
          <w:lang w:val="en-US"/>
        </w:rPr>
        <w:fldChar w:fldCharType="end"/>
      </w:r>
    </w:p>
    <w:p w14:paraId="6607CFD1" w14:textId="77777777" w:rsidR="005B2812" w:rsidRDefault="00385E57" w:rsidP="005B2812">
      <w:pPr>
        <w:rPr>
          <w:rFonts w:cstheme="minorHAnsi"/>
          <w:lang w:val="en"/>
        </w:rPr>
      </w:pPr>
      <w:r>
        <w:rPr>
          <w:rFonts w:cstheme="minorHAnsi"/>
          <w:lang w:val="en"/>
        </w:rPr>
        <w:t xml:space="preserve">Tablet core: Mannitol, </w:t>
      </w:r>
      <w:r w:rsidR="00A27F7C">
        <w:rPr>
          <w:rFonts w:cstheme="minorHAnsi"/>
          <w:lang w:val="en"/>
        </w:rPr>
        <w:t>colloidal anhydrous silica</w:t>
      </w:r>
      <w:r>
        <w:rPr>
          <w:rFonts w:cstheme="minorHAnsi"/>
          <w:lang w:val="en"/>
        </w:rPr>
        <w:t xml:space="preserve">, crospovidone, magnesium stearate, microcrystalline cellulose. </w:t>
      </w:r>
    </w:p>
    <w:p w14:paraId="6607CFD2" w14:textId="77777777" w:rsidR="00514F7A" w:rsidRPr="00497C85" w:rsidRDefault="00385E57" w:rsidP="005B2812">
      <w:pPr>
        <w:rPr>
          <w:rFonts w:cstheme="minorHAnsi"/>
          <w:lang w:val="en-US"/>
        </w:rPr>
      </w:pPr>
      <w:r>
        <w:rPr>
          <w:rFonts w:cstheme="minorHAnsi"/>
          <w:lang w:val="en"/>
        </w:rPr>
        <w:lastRenderedPageBreak/>
        <w:t xml:space="preserve">Film coating: Hypromellose, lactose monohydrate, </w:t>
      </w:r>
      <w:r w:rsidR="003035D0">
        <w:rPr>
          <w:rFonts w:cstheme="minorHAnsi"/>
          <w:lang w:val="en"/>
        </w:rPr>
        <w:t>macrogol 3350</w:t>
      </w:r>
      <w:r w:rsidR="00620570">
        <w:rPr>
          <w:rFonts w:cstheme="minorHAnsi"/>
          <w:lang w:val="en"/>
        </w:rPr>
        <w:t>,</w:t>
      </w:r>
      <w:r>
        <w:rPr>
          <w:rFonts w:cstheme="minorHAnsi"/>
          <w:lang w:val="en"/>
        </w:rPr>
        <w:t xml:space="preserve"> triacetin, iron oxide</w:t>
      </w:r>
      <w:r w:rsidR="00166C4C">
        <w:rPr>
          <w:rFonts w:cstheme="minorHAnsi"/>
          <w:lang w:val="en"/>
        </w:rPr>
        <w:t xml:space="preserve"> red</w:t>
      </w:r>
      <w:r>
        <w:rPr>
          <w:rFonts w:cstheme="minorHAnsi"/>
          <w:lang w:val="en"/>
        </w:rPr>
        <w:t xml:space="preserve">, titanium dioxide. </w:t>
      </w:r>
    </w:p>
    <w:p w14:paraId="6607CFD3" w14:textId="64A93983" w:rsidR="005B2812" w:rsidRPr="00497C85" w:rsidRDefault="00385E57" w:rsidP="005B2812">
      <w:pPr>
        <w:pStyle w:val="Heading2"/>
        <w:keepNext/>
        <w:keepLines/>
        <w:spacing w:before="0" w:after="120"/>
        <w:rPr>
          <w:rFonts w:cstheme="minorHAnsi"/>
          <w:lang w:val="en-US"/>
        </w:rPr>
      </w:pPr>
      <w:r w:rsidRPr="00497C85">
        <w:rPr>
          <w:rFonts w:cstheme="minorHAnsi"/>
          <w:lang w:val="en-US"/>
        </w:rPr>
        <w:t>Incompatibilities</w:t>
      </w:r>
      <w:r w:rsidR="008F4DF0">
        <w:rPr>
          <w:rFonts w:cstheme="minorHAnsi"/>
          <w:lang w:val="en-US"/>
        </w:rPr>
        <w:fldChar w:fldCharType="begin"/>
      </w:r>
      <w:r w:rsidR="008F4DF0">
        <w:rPr>
          <w:rFonts w:cstheme="minorHAnsi"/>
          <w:lang w:val="en-US"/>
        </w:rPr>
        <w:instrText xml:space="preserve"> DOCVARIABLE vault_nd_3b6f8da6-fe56-4b65-9727-e445992f259b \* MERGEFORMAT </w:instrText>
      </w:r>
      <w:r w:rsidR="008F4DF0">
        <w:rPr>
          <w:rFonts w:cstheme="minorHAnsi"/>
          <w:lang w:val="en-US"/>
        </w:rPr>
        <w:fldChar w:fldCharType="separate"/>
      </w:r>
      <w:r w:rsidR="008F4DF0">
        <w:rPr>
          <w:rFonts w:cstheme="minorHAnsi"/>
          <w:lang w:val="en-US"/>
        </w:rPr>
        <w:t xml:space="preserve"> </w:t>
      </w:r>
      <w:r w:rsidR="008F4DF0">
        <w:rPr>
          <w:rFonts w:cstheme="minorHAnsi"/>
          <w:lang w:val="en-US"/>
        </w:rPr>
        <w:fldChar w:fldCharType="end"/>
      </w:r>
    </w:p>
    <w:p w14:paraId="6607CFD4" w14:textId="77777777" w:rsidR="005B2812" w:rsidRDefault="00385E57" w:rsidP="005B2812">
      <w:pPr>
        <w:rPr>
          <w:rFonts w:cstheme="minorHAnsi"/>
          <w:lang w:val="en"/>
        </w:rPr>
      </w:pPr>
      <w:r w:rsidRPr="00497C85">
        <w:rPr>
          <w:rFonts w:cstheme="minorHAnsi"/>
          <w:lang w:val="en"/>
        </w:rPr>
        <w:t xml:space="preserve">Incompatibilities were either not assessed or not identified as part of the registration of this medicine. </w:t>
      </w:r>
    </w:p>
    <w:p w14:paraId="6607CFD6" w14:textId="77777777" w:rsidR="005056EA" w:rsidRPr="00497C85" w:rsidRDefault="005056EA" w:rsidP="005B2812">
      <w:pPr>
        <w:rPr>
          <w:rFonts w:cstheme="minorHAnsi"/>
          <w:lang w:val="en-US"/>
        </w:rPr>
      </w:pPr>
    </w:p>
    <w:p w14:paraId="6607CFD7" w14:textId="3351D8A2" w:rsidR="005B2812" w:rsidRPr="00497C85" w:rsidRDefault="00385E57" w:rsidP="005B2812">
      <w:pPr>
        <w:pStyle w:val="Heading2"/>
        <w:spacing w:before="0" w:after="120"/>
        <w:rPr>
          <w:rFonts w:cstheme="minorHAnsi"/>
          <w:lang w:val="en-US"/>
        </w:rPr>
      </w:pPr>
      <w:r w:rsidRPr="00497C85">
        <w:rPr>
          <w:rFonts w:cstheme="minorHAnsi"/>
          <w:lang w:val="en-US"/>
        </w:rPr>
        <w:t>Shelf life</w:t>
      </w:r>
      <w:r w:rsidR="008F4DF0">
        <w:rPr>
          <w:rFonts w:cstheme="minorHAnsi"/>
          <w:lang w:val="en-US"/>
        </w:rPr>
        <w:fldChar w:fldCharType="begin"/>
      </w:r>
      <w:r w:rsidR="008F4DF0">
        <w:rPr>
          <w:rFonts w:cstheme="minorHAnsi"/>
          <w:lang w:val="en-US"/>
        </w:rPr>
        <w:instrText xml:space="preserve"> DOCVARIABLE vault_nd_eed1deb8-10e4-49a4-b473-2a4b448cb0ee \* MERGEFORMAT </w:instrText>
      </w:r>
      <w:r w:rsidR="008F4DF0">
        <w:rPr>
          <w:rFonts w:cstheme="minorHAnsi"/>
          <w:lang w:val="en-US"/>
        </w:rPr>
        <w:fldChar w:fldCharType="separate"/>
      </w:r>
      <w:r w:rsidR="008F4DF0">
        <w:rPr>
          <w:rFonts w:cstheme="minorHAnsi"/>
          <w:lang w:val="en-US"/>
        </w:rPr>
        <w:t xml:space="preserve"> </w:t>
      </w:r>
      <w:r w:rsidR="008F4DF0">
        <w:rPr>
          <w:rFonts w:cstheme="minorHAnsi"/>
          <w:lang w:val="en-US"/>
        </w:rPr>
        <w:fldChar w:fldCharType="end"/>
      </w:r>
    </w:p>
    <w:p w14:paraId="6607CFD8" w14:textId="77777777" w:rsidR="005B2812" w:rsidRPr="00497C85" w:rsidRDefault="00385E57" w:rsidP="005B2812">
      <w:pPr>
        <w:rPr>
          <w:rFonts w:cstheme="minorHAnsi"/>
          <w:lang w:val="en-US"/>
        </w:rPr>
      </w:pPr>
      <w:r w:rsidRPr="00497C85">
        <w:rPr>
          <w:rFonts w:cstheme="minorHAnsi"/>
          <w:lang w:val="en"/>
        </w:rPr>
        <w:t xml:space="preserve">In Australia, information on the shelf life can be found on the public summary of the Australian Register of Therapeutic Goods (ARTG). The expiry date can be found on the packaging. </w:t>
      </w:r>
    </w:p>
    <w:p w14:paraId="6607CFD9" w14:textId="1704E50B" w:rsidR="005B2812" w:rsidRDefault="00385E57" w:rsidP="005B2812">
      <w:pPr>
        <w:pStyle w:val="Heading2"/>
        <w:keepNext/>
        <w:keepLines/>
        <w:spacing w:before="0" w:after="120"/>
        <w:rPr>
          <w:rFonts w:cstheme="minorHAnsi"/>
          <w:lang w:val="en-US"/>
        </w:rPr>
      </w:pPr>
      <w:r w:rsidRPr="00497C85">
        <w:rPr>
          <w:rFonts w:cstheme="minorHAnsi"/>
          <w:lang w:val="en-US"/>
        </w:rPr>
        <w:t>Special precautions for storage</w:t>
      </w:r>
      <w:r w:rsidR="008F4DF0">
        <w:rPr>
          <w:rFonts w:cstheme="minorHAnsi"/>
          <w:lang w:val="en-US"/>
        </w:rPr>
        <w:fldChar w:fldCharType="begin"/>
      </w:r>
      <w:r w:rsidR="008F4DF0">
        <w:rPr>
          <w:rFonts w:cstheme="minorHAnsi"/>
          <w:lang w:val="en-US"/>
        </w:rPr>
        <w:instrText xml:space="preserve"> DOCVARIABLE vault_nd_313343fa-3b15-46e5-93c7-5ce77baaf7b0 \* MERGEFORMAT </w:instrText>
      </w:r>
      <w:r w:rsidR="008F4DF0">
        <w:rPr>
          <w:rFonts w:cstheme="minorHAnsi"/>
          <w:lang w:val="en-US"/>
        </w:rPr>
        <w:fldChar w:fldCharType="separate"/>
      </w:r>
      <w:r w:rsidR="008F4DF0">
        <w:rPr>
          <w:rFonts w:cstheme="minorHAnsi"/>
          <w:lang w:val="en-US"/>
        </w:rPr>
        <w:t xml:space="preserve"> </w:t>
      </w:r>
      <w:r w:rsidR="008F4DF0">
        <w:rPr>
          <w:rFonts w:cstheme="minorHAnsi"/>
          <w:lang w:val="en-US"/>
        </w:rPr>
        <w:fldChar w:fldCharType="end"/>
      </w:r>
    </w:p>
    <w:p w14:paraId="6607CFDA" w14:textId="77777777" w:rsidR="00514F7A" w:rsidRPr="00514F7A" w:rsidRDefault="00385E57" w:rsidP="00514F7A">
      <w:pPr>
        <w:rPr>
          <w:lang w:val="en-US"/>
        </w:rPr>
      </w:pPr>
      <w:bookmarkStart w:id="15" w:name="_Hlk46744819"/>
      <w:r w:rsidRPr="00D7456F">
        <w:rPr>
          <w:lang w:val="en-US"/>
        </w:rPr>
        <w:t>Store</w:t>
      </w:r>
      <w:r>
        <w:rPr>
          <w:lang w:val="en-US"/>
        </w:rPr>
        <w:t xml:space="preserve"> below 30⁰C in the </w:t>
      </w:r>
      <w:r w:rsidRPr="00D7456F">
        <w:rPr>
          <w:lang w:val="en-US"/>
        </w:rPr>
        <w:t>original package</w:t>
      </w:r>
      <w:r w:rsidR="00310E2E">
        <w:rPr>
          <w:lang w:val="en-US"/>
        </w:rPr>
        <w:t xml:space="preserve"> in order to protect from moisture</w:t>
      </w:r>
      <w:r w:rsidRPr="00D7456F">
        <w:rPr>
          <w:lang w:val="en-US"/>
        </w:rPr>
        <w:t>.</w:t>
      </w:r>
    </w:p>
    <w:bookmarkEnd w:id="15"/>
    <w:p w14:paraId="6607CFDB" w14:textId="1A3E9824" w:rsidR="005B2812" w:rsidRDefault="00385E57" w:rsidP="005B2812">
      <w:pPr>
        <w:pStyle w:val="Heading2"/>
        <w:spacing w:before="0" w:after="120"/>
        <w:rPr>
          <w:rFonts w:cstheme="minorHAnsi"/>
          <w:lang w:val="en-US"/>
        </w:rPr>
      </w:pPr>
      <w:r w:rsidRPr="00497C85">
        <w:rPr>
          <w:rFonts w:cstheme="minorHAnsi"/>
          <w:lang w:val="en-US"/>
        </w:rPr>
        <w:t>Nature and contents of container</w:t>
      </w:r>
      <w:r w:rsidR="008F4DF0">
        <w:rPr>
          <w:rFonts w:cstheme="minorHAnsi"/>
          <w:lang w:val="en-US"/>
        </w:rPr>
        <w:fldChar w:fldCharType="begin"/>
      </w:r>
      <w:r w:rsidR="008F4DF0">
        <w:rPr>
          <w:rFonts w:cstheme="minorHAnsi"/>
          <w:lang w:val="en-US"/>
        </w:rPr>
        <w:instrText xml:space="preserve"> DOCVARIABLE vault_nd_3a426cb0-5675-4195-a239-e6a3c0680c38 \* MERGEFORMAT </w:instrText>
      </w:r>
      <w:r w:rsidR="008F4DF0">
        <w:rPr>
          <w:rFonts w:cstheme="minorHAnsi"/>
          <w:lang w:val="en-US"/>
        </w:rPr>
        <w:fldChar w:fldCharType="separate"/>
      </w:r>
      <w:r w:rsidR="008F4DF0">
        <w:rPr>
          <w:rFonts w:cstheme="minorHAnsi"/>
          <w:lang w:val="en-US"/>
        </w:rPr>
        <w:t xml:space="preserve"> </w:t>
      </w:r>
      <w:r w:rsidR="008F4DF0">
        <w:rPr>
          <w:rFonts w:cstheme="minorHAnsi"/>
          <w:lang w:val="en-US"/>
        </w:rPr>
        <w:fldChar w:fldCharType="end"/>
      </w:r>
    </w:p>
    <w:p w14:paraId="6607CFDC" w14:textId="77777777" w:rsidR="00D7456F" w:rsidRDefault="00385E57" w:rsidP="00D7456F">
      <w:pPr>
        <w:rPr>
          <w:lang w:val="en-US"/>
        </w:rPr>
      </w:pPr>
      <w:r>
        <w:rPr>
          <w:lang w:val="en-US"/>
        </w:rPr>
        <w:t xml:space="preserve">Blister foil: </w:t>
      </w:r>
      <w:r w:rsidRPr="001C2FDF">
        <w:rPr>
          <w:lang w:val="en-US"/>
        </w:rPr>
        <w:t>Multilayer composite, consisting of polyvinylchloride-polyethylene-polyvinylidenechloride-polyethylene-polyvinylchloride</w:t>
      </w:r>
      <w:r>
        <w:rPr>
          <w:lang w:val="en-US"/>
        </w:rPr>
        <w:t xml:space="preserve">. </w:t>
      </w:r>
    </w:p>
    <w:p w14:paraId="6607CFDD" w14:textId="77777777" w:rsidR="001C2FDF" w:rsidRDefault="00385E57" w:rsidP="00D7456F">
      <w:pPr>
        <w:rPr>
          <w:lang w:val="en-US"/>
        </w:rPr>
      </w:pPr>
      <w:r>
        <w:rPr>
          <w:lang w:val="en-US"/>
        </w:rPr>
        <w:t xml:space="preserve">Lidding foil (child-resistant): </w:t>
      </w:r>
      <w:r w:rsidRPr="001C2FDF">
        <w:rPr>
          <w:lang w:val="en-US"/>
        </w:rPr>
        <w:t>aluminum-polyethylene terephthalate</w:t>
      </w:r>
    </w:p>
    <w:p w14:paraId="6607CFDE" w14:textId="77777777" w:rsidR="001C2FDF" w:rsidRPr="00D7456F" w:rsidRDefault="00385E57" w:rsidP="00D7456F">
      <w:pPr>
        <w:rPr>
          <w:lang w:val="en-US"/>
        </w:rPr>
      </w:pPr>
      <w:r>
        <w:rPr>
          <w:lang w:val="en-US"/>
        </w:rPr>
        <w:t xml:space="preserve">Each pack contains 6 blister foils, each containing 10 TEPMETKO tablets. </w:t>
      </w:r>
    </w:p>
    <w:p w14:paraId="6607CFDF" w14:textId="79D4B737" w:rsidR="005B2812" w:rsidRPr="00497C85" w:rsidRDefault="00385E57" w:rsidP="005B2812">
      <w:pPr>
        <w:pStyle w:val="Heading2"/>
        <w:spacing w:before="0" w:after="120"/>
        <w:rPr>
          <w:rFonts w:cstheme="minorHAnsi"/>
          <w:lang w:val="en-US"/>
        </w:rPr>
      </w:pPr>
      <w:r w:rsidRPr="00497C85">
        <w:rPr>
          <w:rFonts w:cstheme="minorHAnsi"/>
          <w:lang w:val="en-US"/>
        </w:rPr>
        <w:t>Special precautions for disposal</w:t>
      </w:r>
      <w:r w:rsidR="008F4DF0">
        <w:rPr>
          <w:rFonts w:cstheme="minorHAnsi"/>
          <w:lang w:val="en-US"/>
        </w:rPr>
        <w:fldChar w:fldCharType="begin"/>
      </w:r>
      <w:r w:rsidR="008F4DF0">
        <w:rPr>
          <w:rFonts w:cstheme="minorHAnsi"/>
          <w:lang w:val="en-US"/>
        </w:rPr>
        <w:instrText xml:space="preserve"> DOCVARIABLE vault_nd_4242df41-7079-4e8f-96bd-da831fe7e9d9 \* MERGEFORMAT </w:instrText>
      </w:r>
      <w:r w:rsidR="008F4DF0">
        <w:rPr>
          <w:rFonts w:cstheme="minorHAnsi"/>
          <w:lang w:val="en-US"/>
        </w:rPr>
        <w:fldChar w:fldCharType="separate"/>
      </w:r>
      <w:r w:rsidR="008F4DF0">
        <w:rPr>
          <w:rFonts w:cstheme="minorHAnsi"/>
          <w:lang w:val="en-US"/>
        </w:rPr>
        <w:t xml:space="preserve"> </w:t>
      </w:r>
      <w:r w:rsidR="008F4DF0">
        <w:rPr>
          <w:rFonts w:cstheme="minorHAnsi"/>
          <w:lang w:val="en-US"/>
        </w:rPr>
        <w:fldChar w:fldCharType="end"/>
      </w:r>
    </w:p>
    <w:p w14:paraId="6607CFE0" w14:textId="77777777" w:rsidR="005B2812" w:rsidRPr="00497C85" w:rsidRDefault="00385E57" w:rsidP="0021200F">
      <w:pPr>
        <w:rPr>
          <w:rFonts w:cstheme="minorHAnsi"/>
          <w:lang w:val="en-US"/>
        </w:rPr>
      </w:pPr>
      <w:r w:rsidRPr="00497C85">
        <w:rPr>
          <w:rFonts w:cstheme="minorHAnsi"/>
          <w:lang w:val="en"/>
        </w:rPr>
        <w:t>In Australia, any unused medicine or waste material should be disposed of</w:t>
      </w:r>
      <w:r>
        <w:rPr>
          <w:rFonts w:cstheme="minorHAnsi"/>
          <w:lang w:val="en"/>
        </w:rPr>
        <w:t xml:space="preserve"> in accordance with local requirements.</w:t>
      </w:r>
    </w:p>
    <w:p w14:paraId="6607CFE1" w14:textId="69ADB72B" w:rsidR="001A3992" w:rsidRPr="00EC3C40" w:rsidRDefault="00385E57" w:rsidP="001A3992">
      <w:pPr>
        <w:pStyle w:val="Heading2"/>
        <w:spacing w:before="0" w:after="120"/>
        <w:rPr>
          <w:lang w:val="en-US"/>
        </w:rPr>
      </w:pPr>
      <w:r w:rsidRPr="00EC3C40">
        <w:rPr>
          <w:lang w:val="en-US"/>
        </w:rPr>
        <w:t>Physicochemical properties</w:t>
      </w:r>
      <w:r w:rsidR="008F4DF0">
        <w:rPr>
          <w:lang w:val="en-US"/>
        </w:rPr>
        <w:fldChar w:fldCharType="begin"/>
      </w:r>
      <w:r w:rsidR="008F4DF0">
        <w:rPr>
          <w:lang w:val="en-US"/>
        </w:rPr>
        <w:instrText xml:space="preserve"> DOCVARIABLE vault_nd_270e19c7-438e-48d1-a4ca-c259ac564feb \* MERGEFORMAT </w:instrText>
      </w:r>
      <w:r w:rsidR="008F4DF0">
        <w:rPr>
          <w:lang w:val="en-US"/>
        </w:rPr>
        <w:fldChar w:fldCharType="separate"/>
      </w:r>
      <w:r w:rsidR="008F4DF0">
        <w:rPr>
          <w:lang w:val="en-US"/>
        </w:rPr>
        <w:t xml:space="preserve"> </w:t>
      </w:r>
      <w:r w:rsidR="008F4DF0">
        <w:rPr>
          <w:lang w:val="en-US"/>
        </w:rPr>
        <w:fldChar w:fldCharType="end"/>
      </w:r>
    </w:p>
    <w:p w14:paraId="6607CFE2" w14:textId="1374E7A0" w:rsidR="001A3992" w:rsidRDefault="00385E57" w:rsidP="00756296">
      <w:pPr>
        <w:pStyle w:val="Heading3"/>
        <w:spacing w:before="0" w:after="120"/>
        <w:ind w:left="0"/>
        <w:rPr>
          <w:lang w:val="en-US"/>
        </w:rPr>
      </w:pPr>
      <w:r>
        <w:rPr>
          <w:lang w:val="en-US"/>
        </w:rPr>
        <w:t>Chemical structure</w:t>
      </w:r>
      <w:r w:rsidR="008F4DF0">
        <w:rPr>
          <w:lang w:val="en-US"/>
        </w:rPr>
        <w:fldChar w:fldCharType="begin"/>
      </w:r>
      <w:r w:rsidR="008F4DF0">
        <w:rPr>
          <w:lang w:val="en-US"/>
        </w:rPr>
        <w:instrText xml:space="preserve"> DOCVARIABLE vault_nd_593059d7-2e33-4358-b258-83ba51e72a4c \* MERGEFORMAT </w:instrText>
      </w:r>
      <w:r w:rsidR="008F4DF0">
        <w:rPr>
          <w:lang w:val="en-US"/>
        </w:rPr>
        <w:fldChar w:fldCharType="separate"/>
      </w:r>
      <w:r w:rsidR="008F4DF0">
        <w:rPr>
          <w:lang w:val="en-US"/>
        </w:rPr>
        <w:t xml:space="preserve"> </w:t>
      </w:r>
      <w:r w:rsidR="008F4DF0">
        <w:rPr>
          <w:lang w:val="en-US"/>
        </w:rPr>
        <w:fldChar w:fldCharType="end"/>
      </w:r>
    </w:p>
    <w:p w14:paraId="6607CFE3" w14:textId="77777777" w:rsidR="001C2FDF" w:rsidRDefault="00385E57" w:rsidP="001C2FDF">
      <w:pPr>
        <w:rPr>
          <w:lang w:val="en-US"/>
        </w:rPr>
      </w:pPr>
      <w:r w:rsidRPr="00FD784D">
        <w:rPr>
          <w:rFonts w:ascii="Times New Roman" w:hAnsi="Times New Roman" w:cs="Times New Roman"/>
          <w:noProof/>
          <w:lang w:eastAsia="en-AU"/>
        </w:rPr>
        <w:drawing>
          <wp:inline distT="0" distB="0" distL="0" distR="0" wp14:anchorId="16F6AAA3" wp14:editId="0FFCEBAF">
            <wp:extent cx="4086225" cy="1304925"/>
            <wp:effectExtent l="0" t="0" r="0" b="0"/>
            <wp:docPr id="2"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71963" name="Grafik 4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086225" cy="1304925"/>
                    </a:xfrm>
                    <a:prstGeom prst="rect">
                      <a:avLst/>
                    </a:prstGeom>
                    <a:noFill/>
                    <a:ln>
                      <a:noFill/>
                    </a:ln>
                  </pic:spPr>
                </pic:pic>
              </a:graphicData>
            </a:graphic>
          </wp:inline>
        </w:drawing>
      </w:r>
    </w:p>
    <w:p w14:paraId="6607CFE4" w14:textId="77777777" w:rsidR="00510E6A" w:rsidRPr="001C2FDF" w:rsidRDefault="00385E57" w:rsidP="001C2FDF">
      <w:pPr>
        <w:rPr>
          <w:lang w:val="en-US"/>
        </w:rPr>
      </w:pPr>
      <w:r>
        <w:rPr>
          <w:lang w:val="en-US"/>
        </w:rPr>
        <w:t>Chemical name:</w:t>
      </w:r>
      <w:r w:rsidR="00D761FC">
        <w:rPr>
          <w:lang w:val="en-US"/>
        </w:rPr>
        <w:t xml:space="preserve"> 3-(1-(3-(5-(1-Methylpiperidin-4-ylmethoxy</w:t>
      </w:r>
      <w:r w:rsidR="00705680">
        <w:rPr>
          <w:lang w:val="en-US"/>
        </w:rPr>
        <w:t>)-pyrimidin-2-yl-benzyl)-1,6-dihydro-6-</w:t>
      </w:r>
      <w:r w:rsidR="00AB187B">
        <w:rPr>
          <w:lang w:val="en-US"/>
        </w:rPr>
        <w:t>oxo</w:t>
      </w:r>
      <w:r w:rsidR="00705680">
        <w:rPr>
          <w:lang w:val="en-US"/>
        </w:rPr>
        <w:t>-pyridazin-3-yl)-benzonitrile hydrochloride hydrate</w:t>
      </w:r>
      <w:r>
        <w:rPr>
          <w:lang w:val="en-US"/>
        </w:rPr>
        <w:t xml:space="preserve"> </w:t>
      </w:r>
    </w:p>
    <w:p w14:paraId="6607CFE5" w14:textId="6BF900B0" w:rsidR="001A3992" w:rsidRDefault="00385E57" w:rsidP="00756296">
      <w:pPr>
        <w:pStyle w:val="Heading3"/>
        <w:spacing w:before="0" w:after="120"/>
        <w:ind w:left="0"/>
        <w:rPr>
          <w:lang w:val="en-US"/>
        </w:rPr>
      </w:pPr>
      <w:r w:rsidRPr="00EC3C40">
        <w:rPr>
          <w:lang w:val="en-US"/>
        </w:rPr>
        <w:t>CAS number</w:t>
      </w:r>
      <w:r w:rsidR="00D761FC">
        <w:rPr>
          <w:lang w:val="en-US"/>
        </w:rPr>
        <w:t xml:space="preserve">: </w:t>
      </w:r>
      <w:r w:rsidR="00D761FC" w:rsidRPr="00705680">
        <w:rPr>
          <w:b w:val="0"/>
          <w:bCs w:val="0"/>
          <w:lang w:val="en-US"/>
        </w:rPr>
        <w:t>1100598-30-8</w:t>
      </w:r>
      <w:r w:rsidR="008F4DF0">
        <w:rPr>
          <w:b w:val="0"/>
          <w:bCs w:val="0"/>
          <w:lang w:val="en-US"/>
        </w:rPr>
        <w:fldChar w:fldCharType="begin"/>
      </w:r>
      <w:r w:rsidR="008F4DF0">
        <w:rPr>
          <w:b w:val="0"/>
          <w:bCs w:val="0"/>
          <w:lang w:val="en-US"/>
        </w:rPr>
        <w:instrText xml:space="preserve"> DOCVARIABLE vault_nd_3b87a568-6380-4991-bd66-89ef92b0e97f \* MERGEFORMAT </w:instrText>
      </w:r>
      <w:r w:rsidR="008F4DF0">
        <w:rPr>
          <w:b w:val="0"/>
          <w:bCs w:val="0"/>
          <w:lang w:val="en-US"/>
        </w:rPr>
        <w:fldChar w:fldCharType="separate"/>
      </w:r>
      <w:r w:rsidR="008F4DF0">
        <w:rPr>
          <w:b w:val="0"/>
          <w:bCs w:val="0"/>
          <w:lang w:val="en-US"/>
        </w:rPr>
        <w:t xml:space="preserve"> </w:t>
      </w:r>
      <w:r w:rsidR="008F4DF0">
        <w:rPr>
          <w:b w:val="0"/>
          <w:bCs w:val="0"/>
          <w:lang w:val="en-US"/>
        </w:rPr>
        <w:fldChar w:fldCharType="end"/>
      </w:r>
    </w:p>
    <w:p w14:paraId="6607CFE6" w14:textId="3921FD86" w:rsidR="001A3992" w:rsidRPr="008F4DF0" w:rsidRDefault="00385E57" w:rsidP="001A3992">
      <w:pPr>
        <w:pStyle w:val="Heading1"/>
        <w:spacing w:before="0" w:after="120"/>
        <w:rPr>
          <w:lang w:val="en-US"/>
        </w:rPr>
      </w:pPr>
      <w:r w:rsidRPr="008F4DF0">
        <w:rPr>
          <w:lang w:val="en-US"/>
        </w:rPr>
        <w:t>Medicine schedule (Poisons Standard)</w:t>
      </w:r>
      <w:r w:rsidR="008F4DF0">
        <w:rPr>
          <w:lang w:val="en-US"/>
        </w:rPr>
        <w:fldChar w:fldCharType="begin"/>
      </w:r>
      <w:r w:rsidR="008F4DF0">
        <w:rPr>
          <w:lang w:val="en-US"/>
        </w:rPr>
        <w:instrText xml:space="preserve"> DOCVARIABLE VAULT_ND_62201e91-fe19-47a3-8467-34836b35865a \* MERGEFORMAT </w:instrText>
      </w:r>
      <w:r w:rsidR="008F4DF0">
        <w:rPr>
          <w:lang w:val="en-US"/>
        </w:rPr>
        <w:fldChar w:fldCharType="separate"/>
      </w:r>
      <w:r w:rsidR="008F4DF0">
        <w:rPr>
          <w:lang w:val="en-US"/>
        </w:rPr>
        <w:t xml:space="preserve"> </w:t>
      </w:r>
      <w:r w:rsidR="008F4DF0">
        <w:rPr>
          <w:lang w:val="en-US"/>
        </w:rPr>
        <w:fldChar w:fldCharType="end"/>
      </w:r>
    </w:p>
    <w:p w14:paraId="6607CFE7" w14:textId="77777777" w:rsidR="003A6F95" w:rsidRPr="003A6F95" w:rsidRDefault="00385E57" w:rsidP="003A6F95">
      <w:pPr>
        <w:rPr>
          <w:lang w:val="en-US"/>
        </w:rPr>
      </w:pPr>
      <w:r>
        <w:rPr>
          <w:lang w:val="en-US"/>
        </w:rPr>
        <w:t>S4 (Prescription Only Medicine)</w:t>
      </w:r>
    </w:p>
    <w:p w14:paraId="6607CFE8" w14:textId="556F8BE5" w:rsidR="00285173" w:rsidRPr="008F4DF0" w:rsidRDefault="00385E57" w:rsidP="00285173">
      <w:pPr>
        <w:pStyle w:val="Heading1"/>
        <w:spacing w:before="0" w:after="120"/>
        <w:rPr>
          <w:lang w:val="en-US"/>
        </w:rPr>
      </w:pPr>
      <w:r w:rsidRPr="008F4DF0">
        <w:rPr>
          <w:lang w:val="en-US"/>
        </w:rPr>
        <w:lastRenderedPageBreak/>
        <w:t>Sponsor</w:t>
      </w:r>
      <w:r w:rsidR="008F4DF0">
        <w:rPr>
          <w:lang w:val="en-US"/>
        </w:rPr>
        <w:fldChar w:fldCharType="begin"/>
      </w:r>
      <w:r w:rsidR="008F4DF0">
        <w:rPr>
          <w:lang w:val="en-US"/>
        </w:rPr>
        <w:instrText xml:space="preserve"> DOCVARIABLE VAULT_ND_7207da08-6c34-44c3-a476-015dc0f91c44 \* MERGEFORMAT </w:instrText>
      </w:r>
      <w:r w:rsidR="008F4DF0">
        <w:rPr>
          <w:lang w:val="en-US"/>
        </w:rPr>
        <w:fldChar w:fldCharType="separate"/>
      </w:r>
      <w:r w:rsidR="008F4DF0">
        <w:rPr>
          <w:lang w:val="en-US"/>
        </w:rPr>
        <w:t xml:space="preserve"> </w:t>
      </w:r>
      <w:r w:rsidR="008F4DF0">
        <w:rPr>
          <w:lang w:val="en-US"/>
        </w:rPr>
        <w:fldChar w:fldCharType="end"/>
      </w:r>
    </w:p>
    <w:p w14:paraId="6607CFE9" w14:textId="77777777" w:rsidR="003A6F95" w:rsidRDefault="00385E57" w:rsidP="003A6F95">
      <w:pPr>
        <w:rPr>
          <w:lang w:val="en-US"/>
        </w:rPr>
      </w:pPr>
      <w:r>
        <w:rPr>
          <w:lang w:val="en-US"/>
        </w:rPr>
        <w:t>Merck Healthcare Pty Ltd</w:t>
      </w:r>
    </w:p>
    <w:p w14:paraId="6607CFEA" w14:textId="77777777" w:rsidR="003A6F95" w:rsidRDefault="00385E57" w:rsidP="003A6F95">
      <w:pPr>
        <w:rPr>
          <w:lang w:val="en-US"/>
        </w:rPr>
      </w:pPr>
      <w:r>
        <w:rPr>
          <w:lang w:val="en-US"/>
        </w:rPr>
        <w:t>Suite 1, Level 1, Building B</w:t>
      </w:r>
    </w:p>
    <w:p w14:paraId="6607CFEB" w14:textId="77777777" w:rsidR="003A6F95" w:rsidRDefault="00385E57" w:rsidP="003A6F95">
      <w:pPr>
        <w:rPr>
          <w:lang w:val="en-US"/>
        </w:rPr>
      </w:pPr>
      <w:r>
        <w:rPr>
          <w:lang w:val="en-US"/>
        </w:rPr>
        <w:t>11 Talavera Road</w:t>
      </w:r>
    </w:p>
    <w:p w14:paraId="6607CFEC" w14:textId="77777777" w:rsidR="003A6F95" w:rsidRDefault="00385E57" w:rsidP="003A6F95">
      <w:pPr>
        <w:rPr>
          <w:lang w:val="en-US"/>
        </w:rPr>
      </w:pPr>
      <w:r>
        <w:rPr>
          <w:lang w:val="en-US"/>
        </w:rPr>
        <w:t>Macquarie Park NSW 2113</w:t>
      </w:r>
    </w:p>
    <w:p w14:paraId="6607CFED" w14:textId="77777777" w:rsidR="003A6F95" w:rsidRDefault="00385E57" w:rsidP="003A6F95">
      <w:pPr>
        <w:rPr>
          <w:lang w:val="en-US"/>
        </w:rPr>
      </w:pPr>
      <w:r>
        <w:rPr>
          <w:lang w:val="en-US"/>
        </w:rPr>
        <w:t>Australia</w:t>
      </w:r>
    </w:p>
    <w:p w14:paraId="6607CFEE" w14:textId="77777777" w:rsidR="003A6F95" w:rsidRPr="0008392F" w:rsidRDefault="00385E57" w:rsidP="003A6F95">
      <w:pPr>
        <w:rPr>
          <w:lang w:val="it-IT"/>
        </w:rPr>
      </w:pPr>
      <w:r w:rsidRPr="0008392F">
        <w:rPr>
          <w:lang w:val="it-IT"/>
        </w:rPr>
        <w:t xml:space="preserve">E-mail: </w:t>
      </w:r>
      <w:hyperlink r:id="rId16" w:history="1">
        <w:r w:rsidRPr="0008392F">
          <w:rPr>
            <w:rStyle w:val="Hyperlink"/>
            <w:color w:val="auto"/>
            <w:u w:val="none"/>
            <w:lang w:val="it-IT"/>
          </w:rPr>
          <w:t>Medinfo.australia@merckgroup.com</w:t>
        </w:r>
      </w:hyperlink>
    </w:p>
    <w:p w14:paraId="6607CFEF" w14:textId="77777777" w:rsidR="003A6F95" w:rsidRPr="003A6F95" w:rsidRDefault="00385E57" w:rsidP="003A6F95">
      <w:pPr>
        <w:rPr>
          <w:lang w:val="en-US"/>
        </w:rPr>
      </w:pPr>
      <w:r>
        <w:rPr>
          <w:lang w:val="en-US"/>
        </w:rPr>
        <w:t>Phone: 1800 633 463</w:t>
      </w:r>
    </w:p>
    <w:p w14:paraId="6607CFF0" w14:textId="7FF7A00E" w:rsidR="00285173" w:rsidRPr="008F4DF0" w:rsidRDefault="00385E57" w:rsidP="00285173">
      <w:pPr>
        <w:pStyle w:val="Heading1"/>
        <w:spacing w:before="0" w:after="120"/>
        <w:rPr>
          <w:lang w:val="en-US"/>
        </w:rPr>
      </w:pPr>
      <w:r w:rsidRPr="008F4DF0">
        <w:rPr>
          <w:lang w:val="en-US"/>
        </w:rPr>
        <w:t xml:space="preserve">Date of first approval </w:t>
      </w:r>
      <w:r w:rsidR="008F4DF0">
        <w:rPr>
          <w:lang w:val="en-US"/>
        </w:rPr>
        <w:fldChar w:fldCharType="begin"/>
      </w:r>
      <w:r w:rsidR="008F4DF0">
        <w:rPr>
          <w:lang w:val="en-US"/>
        </w:rPr>
        <w:instrText xml:space="preserve"> DOCVARIABLE VAULT_ND_fb4d9417-8841-412e-9af6-8a130ab596ae \* MERGEFORMAT </w:instrText>
      </w:r>
      <w:r w:rsidR="008F4DF0">
        <w:rPr>
          <w:lang w:val="en-US"/>
        </w:rPr>
        <w:fldChar w:fldCharType="separate"/>
      </w:r>
      <w:r w:rsidR="008F4DF0">
        <w:rPr>
          <w:lang w:val="en-US"/>
        </w:rPr>
        <w:t xml:space="preserve"> </w:t>
      </w:r>
      <w:r w:rsidR="008F4DF0">
        <w:rPr>
          <w:lang w:val="en-US"/>
        </w:rPr>
        <w:fldChar w:fldCharType="end"/>
      </w:r>
    </w:p>
    <w:p w14:paraId="6607CFF1" w14:textId="4E814CC9" w:rsidR="003A6F95" w:rsidRPr="003A6F95" w:rsidRDefault="006B1AE7" w:rsidP="003A6F95">
      <w:pPr>
        <w:rPr>
          <w:lang w:val="en-US"/>
        </w:rPr>
      </w:pPr>
      <w:r>
        <w:rPr>
          <w:lang w:val="en-US"/>
        </w:rPr>
        <w:t>17 January 2022</w:t>
      </w:r>
    </w:p>
    <w:p w14:paraId="6607CFF2" w14:textId="595A1F25" w:rsidR="00285173" w:rsidRPr="008F4DF0" w:rsidRDefault="00385E57" w:rsidP="00285173">
      <w:pPr>
        <w:pStyle w:val="Heading1"/>
        <w:spacing w:before="0" w:after="120"/>
        <w:rPr>
          <w:lang w:val="en-US"/>
        </w:rPr>
      </w:pPr>
      <w:r w:rsidRPr="008F4DF0">
        <w:rPr>
          <w:lang w:val="en-US"/>
        </w:rPr>
        <w:t>Date of revision</w:t>
      </w:r>
      <w:r w:rsidR="008F4DF0">
        <w:rPr>
          <w:lang w:val="en-US"/>
        </w:rPr>
        <w:fldChar w:fldCharType="begin"/>
      </w:r>
      <w:r w:rsidR="008F4DF0">
        <w:rPr>
          <w:lang w:val="en-US"/>
        </w:rPr>
        <w:instrText xml:space="preserve"> DOCVARIABLE VAULT_ND_aa56ab87-661a-48c1-be66-bb6bf731800d \* MERGEFORMAT </w:instrText>
      </w:r>
      <w:r w:rsidR="008F4DF0">
        <w:rPr>
          <w:lang w:val="en-US"/>
        </w:rPr>
        <w:fldChar w:fldCharType="separate"/>
      </w:r>
      <w:r w:rsidR="008F4DF0">
        <w:rPr>
          <w:lang w:val="en-US"/>
        </w:rPr>
        <w:t xml:space="preserve"> </w:t>
      </w:r>
      <w:r w:rsidR="008F4DF0">
        <w:rPr>
          <w:lang w:val="en-US"/>
        </w:rPr>
        <w:fldChar w:fldCharType="end"/>
      </w:r>
    </w:p>
    <w:p w14:paraId="6607CFF3" w14:textId="77777777" w:rsidR="003A6F95" w:rsidRPr="003A6F95" w:rsidRDefault="00385E57" w:rsidP="003A6F95">
      <w:pPr>
        <w:rPr>
          <w:lang w:val="en-US"/>
        </w:rPr>
      </w:pPr>
      <w:r>
        <w:rPr>
          <w:lang w:val="en-US"/>
        </w:rPr>
        <w:t>N/A</w:t>
      </w:r>
    </w:p>
    <w:p w14:paraId="6607CFF4" w14:textId="523B957E" w:rsidR="00285173" w:rsidRDefault="00385E57" w:rsidP="00285173">
      <w:pPr>
        <w:pStyle w:val="Heading2"/>
        <w:numPr>
          <w:ilvl w:val="0"/>
          <w:numId w:val="0"/>
        </w:numPr>
        <w:spacing w:before="0" w:after="120"/>
        <w:rPr>
          <w:lang w:val="en-US"/>
        </w:rPr>
      </w:pPr>
      <w:r w:rsidRPr="007D497E">
        <w:rPr>
          <w:lang w:val="en-US"/>
        </w:rPr>
        <w:t>Summary table of changes</w:t>
      </w:r>
      <w:r w:rsidR="008F4DF0">
        <w:rPr>
          <w:lang w:val="en-US"/>
        </w:rPr>
        <w:fldChar w:fldCharType="begin"/>
      </w:r>
      <w:r w:rsidR="008F4DF0">
        <w:rPr>
          <w:lang w:val="en-US"/>
        </w:rPr>
        <w:instrText xml:space="preserve"> DOCVARIABLE vault_nd_cf47b477-9511-4d3d-bdf7-55d97ad5dd8f \* MERGEFORMAT </w:instrText>
      </w:r>
      <w:r w:rsidR="008F4DF0">
        <w:rPr>
          <w:lang w:val="en-US"/>
        </w:rPr>
        <w:fldChar w:fldCharType="separate"/>
      </w:r>
      <w:r w:rsidR="008F4DF0">
        <w:rPr>
          <w:lang w:val="en-US"/>
        </w:rPr>
        <w:t xml:space="preserve"> </w:t>
      </w:r>
      <w:r w:rsidR="008F4DF0">
        <w:rPr>
          <w:lang w:val="en-US"/>
        </w:rPr>
        <w:fldChar w:fldCharType="end"/>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9A289F" w14:paraId="6607CFF7" w14:textId="77777777" w:rsidTr="009A28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6607CFF5" w14:textId="77777777" w:rsidR="00285173" w:rsidRPr="002E277D" w:rsidRDefault="00385E57" w:rsidP="006E7986">
            <w:pPr>
              <w:rPr>
                <w:sz w:val="20"/>
                <w:lang w:val="en-US"/>
              </w:rPr>
            </w:pPr>
            <w:r w:rsidRPr="002E277D">
              <w:rPr>
                <w:sz w:val="20"/>
                <w:lang w:val="en-US"/>
              </w:rPr>
              <w:t>Section Changed</w:t>
            </w:r>
          </w:p>
        </w:tc>
        <w:tc>
          <w:tcPr>
            <w:tcW w:w="7635" w:type="dxa"/>
            <w:shd w:val="clear" w:color="auto" w:fill="F2F2F2" w:themeFill="background1" w:themeFillShade="F2"/>
            <w:vAlign w:val="center"/>
          </w:tcPr>
          <w:p w14:paraId="6607CFF6" w14:textId="77777777" w:rsidR="00285173" w:rsidRPr="002E277D" w:rsidRDefault="00385E57" w:rsidP="006E7986">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9A289F" w14:paraId="6607CFFA" w14:textId="77777777" w:rsidTr="009A289F">
        <w:tc>
          <w:tcPr>
            <w:cnfStyle w:val="001000000000" w:firstRow="0" w:lastRow="0" w:firstColumn="1" w:lastColumn="0" w:oddVBand="0" w:evenVBand="0" w:oddHBand="0" w:evenHBand="0" w:firstRowFirstColumn="0" w:firstRowLastColumn="0" w:lastRowFirstColumn="0" w:lastRowLastColumn="0"/>
            <w:tcW w:w="1371" w:type="dxa"/>
            <w:vAlign w:val="center"/>
          </w:tcPr>
          <w:p w14:paraId="6607CFF8" w14:textId="77777777" w:rsidR="00285173" w:rsidRDefault="00385E57" w:rsidP="006E7986">
            <w:pPr>
              <w:rPr>
                <w:lang w:val="en-US"/>
              </w:rPr>
            </w:pPr>
            <w:r>
              <w:rPr>
                <w:lang w:val="en-US"/>
              </w:rPr>
              <w:t>N/A</w:t>
            </w:r>
          </w:p>
        </w:tc>
        <w:tc>
          <w:tcPr>
            <w:tcW w:w="7635" w:type="dxa"/>
            <w:vAlign w:val="center"/>
          </w:tcPr>
          <w:p w14:paraId="6607CFF9" w14:textId="77777777" w:rsidR="00285173" w:rsidRDefault="00385E57" w:rsidP="006E7986">
            <w:pPr>
              <w:cnfStyle w:val="000000000000" w:firstRow="0" w:lastRow="0" w:firstColumn="0" w:lastColumn="0" w:oddVBand="0" w:evenVBand="0" w:oddHBand="0" w:evenHBand="0" w:firstRowFirstColumn="0" w:firstRowLastColumn="0" w:lastRowFirstColumn="0" w:lastRowLastColumn="0"/>
              <w:rPr>
                <w:lang w:val="en-US"/>
              </w:rPr>
            </w:pPr>
            <w:r>
              <w:rPr>
                <w:lang w:val="en-US"/>
              </w:rPr>
              <w:t>N/A</w:t>
            </w:r>
          </w:p>
        </w:tc>
      </w:tr>
    </w:tbl>
    <w:p w14:paraId="6607CFFB" w14:textId="77777777" w:rsidR="00960CD5" w:rsidRDefault="00960CD5" w:rsidP="00357088"/>
    <w:sectPr w:rsidR="00960CD5">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2142" w14:textId="77777777" w:rsidR="00581F52" w:rsidRDefault="00581F52">
      <w:pPr>
        <w:spacing w:after="0" w:line="240" w:lineRule="auto"/>
      </w:pPr>
      <w:r>
        <w:separator/>
      </w:r>
    </w:p>
  </w:endnote>
  <w:endnote w:type="continuationSeparator" w:id="0">
    <w:p w14:paraId="000B3719" w14:textId="77777777" w:rsidR="00581F52" w:rsidRDefault="0058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93163430"/>
      <w:docPartObj>
        <w:docPartGallery w:val="Page Numbers (Bottom of Page)"/>
        <w:docPartUnique/>
      </w:docPartObj>
    </w:sdtPr>
    <w:sdtEndPr>
      <w:rPr>
        <w:noProof/>
      </w:rPr>
    </w:sdtEndPr>
    <w:sdtContent>
      <w:p w14:paraId="6607D008" w14:textId="68E13C26" w:rsidR="00581F52" w:rsidRPr="006B1AE7" w:rsidRDefault="006B1AE7" w:rsidP="006B1AE7">
        <w:pPr>
          <w:pStyle w:val="Footer"/>
          <w:rPr>
            <w:sz w:val="20"/>
            <w:szCs w:val="20"/>
          </w:rPr>
        </w:pPr>
        <w:r w:rsidRPr="006B1AE7">
          <w:rPr>
            <w:sz w:val="20"/>
            <w:szCs w:val="20"/>
          </w:rPr>
          <w:t>Version: A001-0122</w:t>
        </w:r>
        <w:r w:rsidRPr="006B1AE7">
          <w:rPr>
            <w:sz w:val="20"/>
            <w:szCs w:val="20"/>
          </w:rPr>
          <w:tab/>
        </w:r>
        <w:r w:rsidR="00581F52" w:rsidRPr="006B1AE7">
          <w:rPr>
            <w:sz w:val="20"/>
            <w:szCs w:val="20"/>
          </w:rPr>
          <w:fldChar w:fldCharType="begin"/>
        </w:r>
        <w:r w:rsidR="00581F52" w:rsidRPr="006B1AE7">
          <w:rPr>
            <w:sz w:val="20"/>
            <w:szCs w:val="20"/>
          </w:rPr>
          <w:instrText xml:space="preserve"> PAGE   \* MERGEFORMAT </w:instrText>
        </w:r>
        <w:r w:rsidR="00581F52" w:rsidRPr="006B1AE7">
          <w:rPr>
            <w:sz w:val="20"/>
            <w:szCs w:val="20"/>
          </w:rPr>
          <w:fldChar w:fldCharType="separate"/>
        </w:r>
        <w:r w:rsidR="00581F52" w:rsidRPr="006B1AE7">
          <w:rPr>
            <w:noProof/>
            <w:sz w:val="20"/>
            <w:szCs w:val="20"/>
          </w:rPr>
          <w:t>15</w:t>
        </w:r>
        <w:r w:rsidR="00581F52" w:rsidRPr="006B1AE7">
          <w:rPr>
            <w:noProof/>
            <w:sz w:val="20"/>
            <w:szCs w:val="20"/>
          </w:rPr>
          <w:fldChar w:fldCharType="end"/>
        </w:r>
        <w:r w:rsidRPr="006B1AE7">
          <w:rPr>
            <w:noProof/>
            <w:sz w:val="20"/>
            <w:szCs w:val="20"/>
          </w:rPr>
          <w:tab/>
          <w:t>Supersedes: 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F0C0" w14:textId="77777777" w:rsidR="00581F52" w:rsidRDefault="00581F52">
      <w:pPr>
        <w:spacing w:after="0" w:line="240" w:lineRule="auto"/>
      </w:pPr>
      <w:r>
        <w:separator/>
      </w:r>
    </w:p>
  </w:footnote>
  <w:footnote w:type="continuationSeparator" w:id="0">
    <w:p w14:paraId="78BC1159" w14:textId="77777777" w:rsidR="00581F52" w:rsidRDefault="00581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7E16AE" w:rsidRPr="000B2145" w14:paraId="3AEAD4D8" w14:textId="77777777" w:rsidTr="00F304F9">
      <w:trPr>
        <w:trHeight w:val="1012"/>
      </w:trPr>
      <w:tc>
        <w:tcPr>
          <w:tcW w:w="9039" w:type="dxa"/>
          <w:shd w:val="clear" w:color="auto" w:fill="E4F2E0"/>
        </w:tcPr>
        <w:p w14:paraId="6FBCD957" w14:textId="77777777" w:rsidR="007E16AE" w:rsidRPr="000E4791" w:rsidRDefault="007E16AE" w:rsidP="007E16AE">
          <w:pPr>
            <w:pStyle w:val="Footer"/>
            <w:rPr>
              <w:b/>
              <w:sz w:val="18"/>
              <w:szCs w:val="18"/>
            </w:rPr>
          </w:pPr>
          <w:bookmarkStart w:id="16" w:name="_Hlk110255651"/>
          <w:r w:rsidRPr="00E74845">
            <w:rPr>
              <w:b/>
              <w:sz w:val="18"/>
              <w:szCs w:val="18"/>
            </w:rPr>
            <w:t xml:space="preserve">Attachment </w:t>
          </w:r>
          <w:r w:rsidRPr="00C12BCA">
            <w:rPr>
              <w:b/>
            </w:rPr>
            <w:t>AusPAR - Tepmetko – tepotinib – Merck Healthcare Pty Ltd – PM-2021-03109-1-4</w:t>
          </w:r>
          <w:r>
            <w:rPr>
              <w:b/>
            </w:rPr>
            <w:t xml:space="preserve"> </w:t>
          </w:r>
          <w:r w:rsidRPr="00C12BCA">
            <w:rPr>
              <w:b/>
            </w:rPr>
            <w:t>FINAL 2 August 2022</w:t>
          </w:r>
          <w:r w:rsidRPr="00E74845">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6"/>
  </w:tbl>
  <w:p w14:paraId="64ABC9E3" w14:textId="77777777" w:rsidR="006B1AE7" w:rsidRDefault="006B1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6E1CAE30">
      <w:start w:val="1"/>
      <w:numFmt w:val="bullet"/>
      <w:lvlText w:val=""/>
      <w:lvlJc w:val="left"/>
      <w:pPr>
        <w:ind w:left="720" w:hanging="360"/>
      </w:pPr>
      <w:rPr>
        <w:rFonts w:ascii="Symbol" w:hAnsi="Symbol" w:hint="default"/>
      </w:rPr>
    </w:lvl>
    <w:lvl w:ilvl="1" w:tplc="132E328E">
      <w:start w:val="1"/>
      <w:numFmt w:val="bullet"/>
      <w:lvlText w:val="o"/>
      <w:lvlJc w:val="left"/>
      <w:pPr>
        <w:ind w:left="1440" w:hanging="360"/>
      </w:pPr>
      <w:rPr>
        <w:rFonts w:ascii="Courier New" w:hAnsi="Courier New" w:cs="Courier New" w:hint="default"/>
      </w:rPr>
    </w:lvl>
    <w:lvl w:ilvl="2" w:tplc="CC6CC86C" w:tentative="1">
      <w:start w:val="1"/>
      <w:numFmt w:val="bullet"/>
      <w:lvlText w:val=""/>
      <w:lvlJc w:val="left"/>
      <w:pPr>
        <w:ind w:left="2160" w:hanging="360"/>
      </w:pPr>
      <w:rPr>
        <w:rFonts w:ascii="Wingdings" w:hAnsi="Wingdings" w:hint="default"/>
      </w:rPr>
    </w:lvl>
    <w:lvl w:ilvl="3" w:tplc="644E967E" w:tentative="1">
      <w:start w:val="1"/>
      <w:numFmt w:val="bullet"/>
      <w:lvlText w:val=""/>
      <w:lvlJc w:val="left"/>
      <w:pPr>
        <w:ind w:left="2880" w:hanging="360"/>
      </w:pPr>
      <w:rPr>
        <w:rFonts w:ascii="Symbol" w:hAnsi="Symbol" w:hint="default"/>
      </w:rPr>
    </w:lvl>
    <w:lvl w:ilvl="4" w:tplc="F6B29986" w:tentative="1">
      <w:start w:val="1"/>
      <w:numFmt w:val="bullet"/>
      <w:lvlText w:val="o"/>
      <w:lvlJc w:val="left"/>
      <w:pPr>
        <w:ind w:left="3600" w:hanging="360"/>
      </w:pPr>
      <w:rPr>
        <w:rFonts w:ascii="Courier New" w:hAnsi="Courier New" w:cs="Courier New" w:hint="default"/>
      </w:rPr>
    </w:lvl>
    <w:lvl w:ilvl="5" w:tplc="0E4A8258" w:tentative="1">
      <w:start w:val="1"/>
      <w:numFmt w:val="bullet"/>
      <w:lvlText w:val=""/>
      <w:lvlJc w:val="left"/>
      <w:pPr>
        <w:ind w:left="4320" w:hanging="360"/>
      </w:pPr>
      <w:rPr>
        <w:rFonts w:ascii="Wingdings" w:hAnsi="Wingdings" w:hint="default"/>
      </w:rPr>
    </w:lvl>
    <w:lvl w:ilvl="6" w:tplc="F12CBC5E" w:tentative="1">
      <w:start w:val="1"/>
      <w:numFmt w:val="bullet"/>
      <w:lvlText w:val=""/>
      <w:lvlJc w:val="left"/>
      <w:pPr>
        <w:ind w:left="5040" w:hanging="360"/>
      </w:pPr>
      <w:rPr>
        <w:rFonts w:ascii="Symbol" w:hAnsi="Symbol" w:hint="default"/>
      </w:rPr>
    </w:lvl>
    <w:lvl w:ilvl="7" w:tplc="144E3260" w:tentative="1">
      <w:start w:val="1"/>
      <w:numFmt w:val="bullet"/>
      <w:lvlText w:val="o"/>
      <w:lvlJc w:val="left"/>
      <w:pPr>
        <w:ind w:left="5760" w:hanging="360"/>
      </w:pPr>
      <w:rPr>
        <w:rFonts w:ascii="Courier New" w:hAnsi="Courier New" w:cs="Courier New" w:hint="default"/>
      </w:rPr>
    </w:lvl>
    <w:lvl w:ilvl="8" w:tplc="048A8A3A"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986D7D4">
      <w:start w:val="1"/>
      <w:numFmt w:val="bullet"/>
      <w:lvlText w:val=""/>
      <w:lvlJc w:val="left"/>
      <w:pPr>
        <w:ind w:left="720" w:hanging="360"/>
      </w:pPr>
      <w:rPr>
        <w:rFonts w:ascii="Symbol" w:hAnsi="Symbol" w:hint="default"/>
      </w:rPr>
    </w:lvl>
    <w:lvl w:ilvl="1" w:tplc="96F857D2" w:tentative="1">
      <w:start w:val="1"/>
      <w:numFmt w:val="bullet"/>
      <w:lvlText w:val="o"/>
      <w:lvlJc w:val="left"/>
      <w:pPr>
        <w:ind w:left="1440" w:hanging="360"/>
      </w:pPr>
      <w:rPr>
        <w:rFonts w:ascii="Courier New" w:hAnsi="Courier New" w:cs="Courier New" w:hint="default"/>
      </w:rPr>
    </w:lvl>
    <w:lvl w:ilvl="2" w:tplc="7C2627C2" w:tentative="1">
      <w:start w:val="1"/>
      <w:numFmt w:val="bullet"/>
      <w:lvlText w:val=""/>
      <w:lvlJc w:val="left"/>
      <w:pPr>
        <w:ind w:left="2160" w:hanging="360"/>
      </w:pPr>
      <w:rPr>
        <w:rFonts w:ascii="Wingdings" w:hAnsi="Wingdings" w:hint="default"/>
      </w:rPr>
    </w:lvl>
    <w:lvl w:ilvl="3" w:tplc="AF66657C" w:tentative="1">
      <w:start w:val="1"/>
      <w:numFmt w:val="bullet"/>
      <w:lvlText w:val=""/>
      <w:lvlJc w:val="left"/>
      <w:pPr>
        <w:ind w:left="2880" w:hanging="360"/>
      </w:pPr>
      <w:rPr>
        <w:rFonts w:ascii="Symbol" w:hAnsi="Symbol" w:hint="default"/>
      </w:rPr>
    </w:lvl>
    <w:lvl w:ilvl="4" w:tplc="AF54ABFA" w:tentative="1">
      <w:start w:val="1"/>
      <w:numFmt w:val="bullet"/>
      <w:lvlText w:val="o"/>
      <w:lvlJc w:val="left"/>
      <w:pPr>
        <w:ind w:left="3600" w:hanging="360"/>
      </w:pPr>
      <w:rPr>
        <w:rFonts w:ascii="Courier New" w:hAnsi="Courier New" w:cs="Courier New" w:hint="default"/>
      </w:rPr>
    </w:lvl>
    <w:lvl w:ilvl="5" w:tplc="40E4E264" w:tentative="1">
      <w:start w:val="1"/>
      <w:numFmt w:val="bullet"/>
      <w:lvlText w:val=""/>
      <w:lvlJc w:val="left"/>
      <w:pPr>
        <w:ind w:left="4320" w:hanging="360"/>
      </w:pPr>
      <w:rPr>
        <w:rFonts w:ascii="Wingdings" w:hAnsi="Wingdings" w:hint="default"/>
      </w:rPr>
    </w:lvl>
    <w:lvl w:ilvl="6" w:tplc="927E8EF6" w:tentative="1">
      <w:start w:val="1"/>
      <w:numFmt w:val="bullet"/>
      <w:lvlText w:val=""/>
      <w:lvlJc w:val="left"/>
      <w:pPr>
        <w:ind w:left="5040" w:hanging="360"/>
      </w:pPr>
      <w:rPr>
        <w:rFonts w:ascii="Symbol" w:hAnsi="Symbol" w:hint="default"/>
      </w:rPr>
    </w:lvl>
    <w:lvl w:ilvl="7" w:tplc="D44E6362" w:tentative="1">
      <w:start w:val="1"/>
      <w:numFmt w:val="bullet"/>
      <w:lvlText w:val="o"/>
      <w:lvlJc w:val="left"/>
      <w:pPr>
        <w:ind w:left="5760" w:hanging="360"/>
      </w:pPr>
      <w:rPr>
        <w:rFonts w:ascii="Courier New" w:hAnsi="Courier New" w:cs="Courier New" w:hint="default"/>
      </w:rPr>
    </w:lvl>
    <w:lvl w:ilvl="8" w:tplc="209439C2" w:tentative="1">
      <w:start w:val="1"/>
      <w:numFmt w:val="bullet"/>
      <w:lvlText w:val=""/>
      <w:lvlJc w:val="left"/>
      <w:pPr>
        <w:ind w:left="6480" w:hanging="360"/>
      </w:pPr>
      <w:rPr>
        <w:rFonts w:ascii="Wingdings" w:hAnsi="Wingdings" w:hint="default"/>
      </w:rPr>
    </w:lvl>
  </w:abstractNum>
  <w:abstractNum w:abstractNumId="2" w15:restartNumberingAfterBreak="0">
    <w:nsid w:val="24435439"/>
    <w:multiLevelType w:val="hybridMultilevel"/>
    <w:tmpl w:val="D23AB816"/>
    <w:lvl w:ilvl="0" w:tplc="2C46D220">
      <w:start w:val="1"/>
      <w:numFmt w:val="bullet"/>
      <w:lvlText w:val=""/>
      <w:lvlJc w:val="left"/>
      <w:pPr>
        <w:ind w:left="720" w:hanging="360"/>
      </w:pPr>
      <w:rPr>
        <w:rFonts w:ascii="Symbol" w:hAnsi="Symbol" w:hint="default"/>
      </w:rPr>
    </w:lvl>
    <w:lvl w:ilvl="1" w:tplc="A366FDC0" w:tentative="1">
      <w:start w:val="1"/>
      <w:numFmt w:val="bullet"/>
      <w:lvlText w:val="o"/>
      <w:lvlJc w:val="left"/>
      <w:pPr>
        <w:ind w:left="1440" w:hanging="360"/>
      </w:pPr>
      <w:rPr>
        <w:rFonts w:ascii="Courier New" w:hAnsi="Courier New" w:cs="Courier New" w:hint="default"/>
      </w:rPr>
    </w:lvl>
    <w:lvl w:ilvl="2" w:tplc="58867B86" w:tentative="1">
      <w:start w:val="1"/>
      <w:numFmt w:val="bullet"/>
      <w:lvlText w:val=""/>
      <w:lvlJc w:val="left"/>
      <w:pPr>
        <w:ind w:left="2160" w:hanging="360"/>
      </w:pPr>
      <w:rPr>
        <w:rFonts w:ascii="Wingdings" w:hAnsi="Wingdings" w:hint="default"/>
      </w:rPr>
    </w:lvl>
    <w:lvl w:ilvl="3" w:tplc="29B46B3E" w:tentative="1">
      <w:start w:val="1"/>
      <w:numFmt w:val="bullet"/>
      <w:lvlText w:val=""/>
      <w:lvlJc w:val="left"/>
      <w:pPr>
        <w:ind w:left="2880" w:hanging="360"/>
      </w:pPr>
      <w:rPr>
        <w:rFonts w:ascii="Symbol" w:hAnsi="Symbol" w:hint="default"/>
      </w:rPr>
    </w:lvl>
    <w:lvl w:ilvl="4" w:tplc="885CDA2A" w:tentative="1">
      <w:start w:val="1"/>
      <w:numFmt w:val="bullet"/>
      <w:lvlText w:val="o"/>
      <w:lvlJc w:val="left"/>
      <w:pPr>
        <w:ind w:left="3600" w:hanging="360"/>
      </w:pPr>
      <w:rPr>
        <w:rFonts w:ascii="Courier New" w:hAnsi="Courier New" w:cs="Courier New" w:hint="default"/>
      </w:rPr>
    </w:lvl>
    <w:lvl w:ilvl="5" w:tplc="2BC0CCA8" w:tentative="1">
      <w:start w:val="1"/>
      <w:numFmt w:val="bullet"/>
      <w:lvlText w:val=""/>
      <w:lvlJc w:val="left"/>
      <w:pPr>
        <w:ind w:left="4320" w:hanging="360"/>
      </w:pPr>
      <w:rPr>
        <w:rFonts w:ascii="Wingdings" w:hAnsi="Wingdings" w:hint="default"/>
      </w:rPr>
    </w:lvl>
    <w:lvl w:ilvl="6" w:tplc="F484021C" w:tentative="1">
      <w:start w:val="1"/>
      <w:numFmt w:val="bullet"/>
      <w:lvlText w:val=""/>
      <w:lvlJc w:val="left"/>
      <w:pPr>
        <w:ind w:left="5040" w:hanging="360"/>
      </w:pPr>
      <w:rPr>
        <w:rFonts w:ascii="Symbol" w:hAnsi="Symbol" w:hint="default"/>
      </w:rPr>
    </w:lvl>
    <w:lvl w:ilvl="7" w:tplc="486E1E84" w:tentative="1">
      <w:start w:val="1"/>
      <w:numFmt w:val="bullet"/>
      <w:lvlText w:val="o"/>
      <w:lvlJc w:val="left"/>
      <w:pPr>
        <w:ind w:left="5760" w:hanging="360"/>
      </w:pPr>
      <w:rPr>
        <w:rFonts w:ascii="Courier New" w:hAnsi="Courier New" w:cs="Courier New" w:hint="default"/>
      </w:rPr>
    </w:lvl>
    <w:lvl w:ilvl="8" w:tplc="3582414E" w:tentative="1">
      <w:start w:val="1"/>
      <w:numFmt w:val="bullet"/>
      <w:lvlText w:val=""/>
      <w:lvlJc w:val="left"/>
      <w:pPr>
        <w:ind w:left="6480" w:hanging="360"/>
      </w:pPr>
      <w:rPr>
        <w:rFonts w:ascii="Wingdings" w:hAnsi="Wingdings" w:hint="default"/>
      </w:rPr>
    </w:lvl>
  </w:abstractNum>
  <w:abstractNum w:abstractNumId="3" w15:restartNumberingAfterBreak="0">
    <w:nsid w:val="4C7A1E6F"/>
    <w:multiLevelType w:val="hybridMultilevel"/>
    <w:tmpl w:val="2D604858"/>
    <w:lvl w:ilvl="0" w:tplc="3CCCC610">
      <w:start w:val="1"/>
      <w:numFmt w:val="decimal"/>
      <w:lvlText w:val="%1."/>
      <w:lvlJc w:val="left"/>
      <w:pPr>
        <w:ind w:left="720" w:hanging="360"/>
      </w:pPr>
      <w:rPr>
        <w:rFonts w:hint="default"/>
      </w:rPr>
    </w:lvl>
    <w:lvl w:ilvl="1" w:tplc="CECC104C" w:tentative="1">
      <w:start w:val="1"/>
      <w:numFmt w:val="lowerLetter"/>
      <w:lvlText w:val="%2."/>
      <w:lvlJc w:val="left"/>
      <w:pPr>
        <w:ind w:left="1440" w:hanging="360"/>
      </w:pPr>
    </w:lvl>
    <w:lvl w:ilvl="2" w:tplc="957E6C24" w:tentative="1">
      <w:start w:val="1"/>
      <w:numFmt w:val="lowerRoman"/>
      <w:lvlText w:val="%3."/>
      <w:lvlJc w:val="right"/>
      <w:pPr>
        <w:ind w:left="2160" w:hanging="180"/>
      </w:pPr>
    </w:lvl>
    <w:lvl w:ilvl="3" w:tplc="3F44866A" w:tentative="1">
      <w:start w:val="1"/>
      <w:numFmt w:val="decimal"/>
      <w:lvlText w:val="%4."/>
      <w:lvlJc w:val="left"/>
      <w:pPr>
        <w:ind w:left="2880" w:hanging="360"/>
      </w:pPr>
    </w:lvl>
    <w:lvl w:ilvl="4" w:tplc="0EA090BA" w:tentative="1">
      <w:start w:val="1"/>
      <w:numFmt w:val="lowerLetter"/>
      <w:lvlText w:val="%5."/>
      <w:lvlJc w:val="left"/>
      <w:pPr>
        <w:ind w:left="3600" w:hanging="360"/>
      </w:pPr>
    </w:lvl>
    <w:lvl w:ilvl="5" w:tplc="92B4AD36" w:tentative="1">
      <w:start w:val="1"/>
      <w:numFmt w:val="lowerRoman"/>
      <w:lvlText w:val="%6."/>
      <w:lvlJc w:val="right"/>
      <w:pPr>
        <w:ind w:left="4320" w:hanging="180"/>
      </w:pPr>
    </w:lvl>
    <w:lvl w:ilvl="6" w:tplc="7340F04C" w:tentative="1">
      <w:start w:val="1"/>
      <w:numFmt w:val="decimal"/>
      <w:lvlText w:val="%7."/>
      <w:lvlJc w:val="left"/>
      <w:pPr>
        <w:ind w:left="5040" w:hanging="360"/>
      </w:pPr>
    </w:lvl>
    <w:lvl w:ilvl="7" w:tplc="1BBECD08" w:tentative="1">
      <w:start w:val="1"/>
      <w:numFmt w:val="lowerLetter"/>
      <w:lvlText w:val="%8."/>
      <w:lvlJc w:val="left"/>
      <w:pPr>
        <w:ind w:left="5760" w:hanging="360"/>
      </w:pPr>
    </w:lvl>
    <w:lvl w:ilvl="8" w:tplc="2FB0C106" w:tentative="1">
      <w:start w:val="1"/>
      <w:numFmt w:val="lowerRoman"/>
      <w:lvlText w:val="%9."/>
      <w:lvlJc w:val="right"/>
      <w:pPr>
        <w:ind w:left="6480" w:hanging="180"/>
      </w:pPr>
    </w:lvl>
  </w:abstractNum>
  <w:abstractNum w:abstractNumId="4" w15:restartNumberingAfterBreak="0">
    <w:nsid w:val="57507084"/>
    <w:multiLevelType w:val="hybridMultilevel"/>
    <w:tmpl w:val="B916056E"/>
    <w:lvl w:ilvl="0" w:tplc="E7A691E4">
      <w:start w:val="1"/>
      <w:numFmt w:val="bullet"/>
      <w:lvlText w:val=""/>
      <w:lvlJc w:val="left"/>
      <w:pPr>
        <w:ind w:left="720" w:hanging="360"/>
      </w:pPr>
      <w:rPr>
        <w:rFonts w:ascii="Symbol" w:hAnsi="Symbol" w:hint="default"/>
      </w:rPr>
    </w:lvl>
    <w:lvl w:ilvl="1" w:tplc="82625456">
      <w:start w:val="1"/>
      <w:numFmt w:val="bullet"/>
      <w:lvlText w:val="o"/>
      <w:lvlJc w:val="left"/>
      <w:pPr>
        <w:ind w:left="1440" w:hanging="360"/>
      </w:pPr>
      <w:rPr>
        <w:rFonts w:ascii="Courier New" w:hAnsi="Courier New" w:cs="Courier New" w:hint="default"/>
      </w:rPr>
    </w:lvl>
    <w:lvl w:ilvl="2" w:tplc="C3227A66" w:tentative="1">
      <w:start w:val="1"/>
      <w:numFmt w:val="bullet"/>
      <w:lvlText w:val=""/>
      <w:lvlJc w:val="left"/>
      <w:pPr>
        <w:ind w:left="2160" w:hanging="360"/>
      </w:pPr>
      <w:rPr>
        <w:rFonts w:ascii="Wingdings" w:hAnsi="Wingdings" w:hint="default"/>
      </w:rPr>
    </w:lvl>
    <w:lvl w:ilvl="3" w:tplc="FC500D68" w:tentative="1">
      <w:start w:val="1"/>
      <w:numFmt w:val="bullet"/>
      <w:lvlText w:val=""/>
      <w:lvlJc w:val="left"/>
      <w:pPr>
        <w:ind w:left="2880" w:hanging="360"/>
      </w:pPr>
      <w:rPr>
        <w:rFonts w:ascii="Symbol" w:hAnsi="Symbol" w:hint="default"/>
      </w:rPr>
    </w:lvl>
    <w:lvl w:ilvl="4" w:tplc="BAEEE02C" w:tentative="1">
      <w:start w:val="1"/>
      <w:numFmt w:val="bullet"/>
      <w:lvlText w:val="o"/>
      <w:lvlJc w:val="left"/>
      <w:pPr>
        <w:ind w:left="3600" w:hanging="360"/>
      </w:pPr>
      <w:rPr>
        <w:rFonts w:ascii="Courier New" w:hAnsi="Courier New" w:cs="Courier New" w:hint="default"/>
      </w:rPr>
    </w:lvl>
    <w:lvl w:ilvl="5" w:tplc="B1605E6C" w:tentative="1">
      <w:start w:val="1"/>
      <w:numFmt w:val="bullet"/>
      <w:lvlText w:val=""/>
      <w:lvlJc w:val="left"/>
      <w:pPr>
        <w:ind w:left="4320" w:hanging="360"/>
      </w:pPr>
      <w:rPr>
        <w:rFonts w:ascii="Wingdings" w:hAnsi="Wingdings" w:hint="default"/>
      </w:rPr>
    </w:lvl>
    <w:lvl w:ilvl="6" w:tplc="EF3E9C2A" w:tentative="1">
      <w:start w:val="1"/>
      <w:numFmt w:val="bullet"/>
      <w:lvlText w:val=""/>
      <w:lvlJc w:val="left"/>
      <w:pPr>
        <w:ind w:left="5040" w:hanging="360"/>
      </w:pPr>
      <w:rPr>
        <w:rFonts w:ascii="Symbol" w:hAnsi="Symbol" w:hint="default"/>
      </w:rPr>
    </w:lvl>
    <w:lvl w:ilvl="7" w:tplc="6CDE1BDC" w:tentative="1">
      <w:start w:val="1"/>
      <w:numFmt w:val="bullet"/>
      <w:lvlText w:val="o"/>
      <w:lvlJc w:val="left"/>
      <w:pPr>
        <w:ind w:left="5760" w:hanging="360"/>
      </w:pPr>
      <w:rPr>
        <w:rFonts w:ascii="Courier New" w:hAnsi="Courier New" w:cs="Courier New" w:hint="default"/>
      </w:rPr>
    </w:lvl>
    <w:lvl w:ilvl="8" w:tplc="0E16C02E" w:tentative="1">
      <w:start w:val="1"/>
      <w:numFmt w:val="bullet"/>
      <w:lvlText w:val=""/>
      <w:lvlJc w:val="left"/>
      <w:pPr>
        <w:ind w:left="6480" w:hanging="360"/>
      </w:pPr>
      <w:rPr>
        <w:rFonts w:ascii="Wingdings" w:hAnsi="Wingdings" w:hint="default"/>
      </w:rPr>
    </w:lvl>
  </w:abstractNum>
  <w:abstractNum w:abstractNumId="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6F49FC"/>
    <w:multiLevelType w:val="hybridMultilevel"/>
    <w:tmpl w:val="76C6F65E"/>
    <w:lvl w:ilvl="0" w:tplc="1076FFA0">
      <w:start w:val="1"/>
      <w:numFmt w:val="bullet"/>
      <w:lvlText w:val=""/>
      <w:lvlJc w:val="left"/>
      <w:pPr>
        <w:ind w:left="720" w:hanging="360"/>
      </w:pPr>
      <w:rPr>
        <w:rFonts w:ascii="Symbol" w:hAnsi="Symbol" w:hint="default"/>
      </w:rPr>
    </w:lvl>
    <w:lvl w:ilvl="1" w:tplc="68B67ED0" w:tentative="1">
      <w:start w:val="1"/>
      <w:numFmt w:val="bullet"/>
      <w:lvlText w:val="o"/>
      <w:lvlJc w:val="left"/>
      <w:pPr>
        <w:ind w:left="1440" w:hanging="360"/>
      </w:pPr>
      <w:rPr>
        <w:rFonts w:ascii="Courier New" w:hAnsi="Courier New" w:cs="Courier New" w:hint="default"/>
      </w:rPr>
    </w:lvl>
    <w:lvl w:ilvl="2" w:tplc="8F46F866" w:tentative="1">
      <w:start w:val="1"/>
      <w:numFmt w:val="bullet"/>
      <w:lvlText w:val=""/>
      <w:lvlJc w:val="left"/>
      <w:pPr>
        <w:ind w:left="2160" w:hanging="360"/>
      </w:pPr>
      <w:rPr>
        <w:rFonts w:ascii="Wingdings" w:hAnsi="Wingdings" w:hint="default"/>
      </w:rPr>
    </w:lvl>
    <w:lvl w:ilvl="3" w:tplc="E3945C6A" w:tentative="1">
      <w:start w:val="1"/>
      <w:numFmt w:val="bullet"/>
      <w:lvlText w:val=""/>
      <w:lvlJc w:val="left"/>
      <w:pPr>
        <w:ind w:left="2880" w:hanging="360"/>
      </w:pPr>
      <w:rPr>
        <w:rFonts w:ascii="Symbol" w:hAnsi="Symbol" w:hint="default"/>
      </w:rPr>
    </w:lvl>
    <w:lvl w:ilvl="4" w:tplc="DBE8E50C" w:tentative="1">
      <w:start w:val="1"/>
      <w:numFmt w:val="bullet"/>
      <w:lvlText w:val="o"/>
      <w:lvlJc w:val="left"/>
      <w:pPr>
        <w:ind w:left="3600" w:hanging="360"/>
      </w:pPr>
      <w:rPr>
        <w:rFonts w:ascii="Courier New" w:hAnsi="Courier New" w:cs="Courier New" w:hint="default"/>
      </w:rPr>
    </w:lvl>
    <w:lvl w:ilvl="5" w:tplc="BBF0945C" w:tentative="1">
      <w:start w:val="1"/>
      <w:numFmt w:val="bullet"/>
      <w:lvlText w:val=""/>
      <w:lvlJc w:val="left"/>
      <w:pPr>
        <w:ind w:left="4320" w:hanging="360"/>
      </w:pPr>
      <w:rPr>
        <w:rFonts w:ascii="Wingdings" w:hAnsi="Wingdings" w:hint="default"/>
      </w:rPr>
    </w:lvl>
    <w:lvl w:ilvl="6" w:tplc="3696847A" w:tentative="1">
      <w:start w:val="1"/>
      <w:numFmt w:val="bullet"/>
      <w:lvlText w:val=""/>
      <w:lvlJc w:val="left"/>
      <w:pPr>
        <w:ind w:left="5040" w:hanging="360"/>
      </w:pPr>
      <w:rPr>
        <w:rFonts w:ascii="Symbol" w:hAnsi="Symbol" w:hint="default"/>
      </w:rPr>
    </w:lvl>
    <w:lvl w:ilvl="7" w:tplc="C4404134" w:tentative="1">
      <w:start w:val="1"/>
      <w:numFmt w:val="bullet"/>
      <w:lvlText w:val="o"/>
      <w:lvlJc w:val="left"/>
      <w:pPr>
        <w:ind w:left="5760" w:hanging="360"/>
      </w:pPr>
      <w:rPr>
        <w:rFonts w:ascii="Courier New" w:hAnsi="Courier New" w:cs="Courier New" w:hint="default"/>
      </w:rPr>
    </w:lvl>
    <w:lvl w:ilvl="8" w:tplc="E8E65E9A" w:tentative="1">
      <w:start w:val="1"/>
      <w:numFmt w:val="bullet"/>
      <w:lvlText w:val=""/>
      <w:lvlJc w:val="left"/>
      <w:pPr>
        <w:ind w:left="6480" w:hanging="360"/>
      </w:pPr>
      <w:rPr>
        <w:rFonts w:ascii="Wingdings" w:hAnsi="Wingdings" w:hint="default"/>
      </w:rPr>
    </w:lvl>
  </w:abstractNum>
  <w:abstractNum w:abstractNumId="7"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2613446"/>
    <w:multiLevelType w:val="hybridMultilevel"/>
    <w:tmpl w:val="D384F4F4"/>
    <w:lvl w:ilvl="0" w:tplc="B0A065B2">
      <w:start w:val="1"/>
      <w:numFmt w:val="bullet"/>
      <w:lvlText w:val=""/>
      <w:lvlJc w:val="left"/>
      <w:pPr>
        <w:ind w:left="720" w:hanging="360"/>
      </w:pPr>
      <w:rPr>
        <w:rFonts w:ascii="Symbol" w:hAnsi="Symbol" w:hint="default"/>
      </w:rPr>
    </w:lvl>
    <w:lvl w:ilvl="1" w:tplc="DDE431B6">
      <w:start w:val="1"/>
      <w:numFmt w:val="bullet"/>
      <w:lvlText w:val="o"/>
      <w:lvlJc w:val="left"/>
      <w:pPr>
        <w:ind w:left="1440" w:hanging="360"/>
      </w:pPr>
      <w:rPr>
        <w:rFonts w:ascii="Courier New" w:hAnsi="Courier New" w:cs="Courier New" w:hint="default"/>
      </w:rPr>
    </w:lvl>
    <w:lvl w:ilvl="2" w:tplc="87BA499C" w:tentative="1">
      <w:start w:val="1"/>
      <w:numFmt w:val="bullet"/>
      <w:lvlText w:val=""/>
      <w:lvlJc w:val="left"/>
      <w:pPr>
        <w:ind w:left="2160" w:hanging="360"/>
      </w:pPr>
      <w:rPr>
        <w:rFonts w:ascii="Wingdings" w:hAnsi="Wingdings" w:hint="default"/>
      </w:rPr>
    </w:lvl>
    <w:lvl w:ilvl="3" w:tplc="68BEDA26" w:tentative="1">
      <w:start w:val="1"/>
      <w:numFmt w:val="bullet"/>
      <w:lvlText w:val=""/>
      <w:lvlJc w:val="left"/>
      <w:pPr>
        <w:ind w:left="2880" w:hanging="360"/>
      </w:pPr>
      <w:rPr>
        <w:rFonts w:ascii="Symbol" w:hAnsi="Symbol" w:hint="default"/>
      </w:rPr>
    </w:lvl>
    <w:lvl w:ilvl="4" w:tplc="96E68698" w:tentative="1">
      <w:start w:val="1"/>
      <w:numFmt w:val="bullet"/>
      <w:lvlText w:val="o"/>
      <w:lvlJc w:val="left"/>
      <w:pPr>
        <w:ind w:left="3600" w:hanging="360"/>
      </w:pPr>
      <w:rPr>
        <w:rFonts w:ascii="Courier New" w:hAnsi="Courier New" w:cs="Courier New" w:hint="default"/>
      </w:rPr>
    </w:lvl>
    <w:lvl w:ilvl="5" w:tplc="EDEE6EDA" w:tentative="1">
      <w:start w:val="1"/>
      <w:numFmt w:val="bullet"/>
      <w:lvlText w:val=""/>
      <w:lvlJc w:val="left"/>
      <w:pPr>
        <w:ind w:left="4320" w:hanging="360"/>
      </w:pPr>
      <w:rPr>
        <w:rFonts w:ascii="Wingdings" w:hAnsi="Wingdings" w:hint="default"/>
      </w:rPr>
    </w:lvl>
    <w:lvl w:ilvl="6" w:tplc="11DA4254" w:tentative="1">
      <w:start w:val="1"/>
      <w:numFmt w:val="bullet"/>
      <w:lvlText w:val=""/>
      <w:lvlJc w:val="left"/>
      <w:pPr>
        <w:ind w:left="5040" w:hanging="360"/>
      </w:pPr>
      <w:rPr>
        <w:rFonts w:ascii="Symbol" w:hAnsi="Symbol" w:hint="default"/>
      </w:rPr>
    </w:lvl>
    <w:lvl w:ilvl="7" w:tplc="E20808AC" w:tentative="1">
      <w:start w:val="1"/>
      <w:numFmt w:val="bullet"/>
      <w:lvlText w:val="o"/>
      <w:lvlJc w:val="left"/>
      <w:pPr>
        <w:ind w:left="5760" w:hanging="360"/>
      </w:pPr>
      <w:rPr>
        <w:rFonts w:ascii="Courier New" w:hAnsi="Courier New" w:cs="Courier New" w:hint="default"/>
      </w:rPr>
    </w:lvl>
    <w:lvl w:ilvl="8" w:tplc="EB5EFA6A" w:tentative="1">
      <w:start w:val="1"/>
      <w:numFmt w:val="bullet"/>
      <w:lvlText w:val=""/>
      <w:lvlJc w:val="left"/>
      <w:pPr>
        <w:ind w:left="6480" w:hanging="360"/>
      </w:pPr>
      <w:rPr>
        <w:rFonts w:ascii="Wingdings" w:hAnsi="Wingdings" w:hint="default"/>
      </w:rPr>
    </w:lvl>
  </w:abstractNum>
  <w:abstractNum w:abstractNumId="9" w15:restartNumberingAfterBreak="0">
    <w:nsid w:val="7311220D"/>
    <w:multiLevelType w:val="hybridMultilevel"/>
    <w:tmpl w:val="E814E93A"/>
    <w:lvl w:ilvl="0" w:tplc="F522D3CE">
      <w:start w:val="1"/>
      <w:numFmt w:val="bullet"/>
      <w:lvlText w:val=""/>
      <w:lvlJc w:val="left"/>
      <w:pPr>
        <w:ind w:left="720" w:hanging="360"/>
      </w:pPr>
      <w:rPr>
        <w:rFonts w:ascii="Symbol" w:hAnsi="Symbol" w:hint="default"/>
      </w:rPr>
    </w:lvl>
    <w:lvl w:ilvl="1" w:tplc="43E4EF04" w:tentative="1">
      <w:start w:val="1"/>
      <w:numFmt w:val="bullet"/>
      <w:lvlText w:val="o"/>
      <w:lvlJc w:val="left"/>
      <w:pPr>
        <w:ind w:left="1440" w:hanging="360"/>
      </w:pPr>
      <w:rPr>
        <w:rFonts w:ascii="Courier New" w:hAnsi="Courier New" w:cs="Courier New" w:hint="default"/>
      </w:rPr>
    </w:lvl>
    <w:lvl w:ilvl="2" w:tplc="0A5CD420" w:tentative="1">
      <w:start w:val="1"/>
      <w:numFmt w:val="bullet"/>
      <w:lvlText w:val=""/>
      <w:lvlJc w:val="left"/>
      <w:pPr>
        <w:ind w:left="2160" w:hanging="360"/>
      </w:pPr>
      <w:rPr>
        <w:rFonts w:ascii="Wingdings" w:hAnsi="Wingdings" w:hint="default"/>
      </w:rPr>
    </w:lvl>
    <w:lvl w:ilvl="3" w:tplc="8638B7BA" w:tentative="1">
      <w:start w:val="1"/>
      <w:numFmt w:val="bullet"/>
      <w:lvlText w:val=""/>
      <w:lvlJc w:val="left"/>
      <w:pPr>
        <w:ind w:left="2880" w:hanging="360"/>
      </w:pPr>
      <w:rPr>
        <w:rFonts w:ascii="Symbol" w:hAnsi="Symbol" w:hint="default"/>
      </w:rPr>
    </w:lvl>
    <w:lvl w:ilvl="4" w:tplc="F39895A8" w:tentative="1">
      <w:start w:val="1"/>
      <w:numFmt w:val="bullet"/>
      <w:lvlText w:val="o"/>
      <w:lvlJc w:val="left"/>
      <w:pPr>
        <w:ind w:left="3600" w:hanging="360"/>
      </w:pPr>
      <w:rPr>
        <w:rFonts w:ascii="Courier New" w:hAnsi="Courier New" w:cs="Courier New" w:hint="default"/>
      </w:rPr>
    </w:lvl>
    <w:lvl w:ilvl="5" w:tplc="B29445F4" w:tentative="1">
      <w:start w:val="1"/>
      <w:numFmt w:val="bullet"/>
      <w:lvlText w:val=""/>
      <w:lvlJc w:val="left"/>
      <w:pPr>
        <w:ind w:left="4320" w:hanging="360"/>
      </w:pPr>
      <w:rPr>
        <w:rFonts w:ascii="Wingdings" w:hAnsi="Wingdings" w:hint="default"/>
      </w:rPr>
    </w:lvl>
    <w:lvl w:ilvl="6" w:tplc="EF705AAC" w:tentative="1">
      <w:start w:val="1"/>
      <w:numFmt w:val="bullet"/>
      <w:lvlText w:val=""/>
      <w:lvlJc w:val="left"/>
      <w:pPr>
        <w:ind w:left="5040" w:hanging="360"/>
      </w:pPr>
      <w:rPr>
        <w:rFonts w:ascii="Symbol" w:hAnsi="Symbol" w:hint="default"/>
      </w:rPr>
    </w:lvl>
    <w:lvl w:ilvl="7" w:tplc="155E1482" w:tentative="1">
      <w:start w:val="1"/>
      <w:numFmt w:val="bullet"/>
      <w:lvlText w:val="o"/>
      <w:lvlJc w:val="left"/>
      <w:pPr>
        <w:ind w:left="5760" w:hanging="360"/>
      </w:pPr>
      <w:rPr>
        <w:rFonts w:ascii="Courier New" w:hAnsi="Courier New" w:cs="Courier New" w:hint="default"/>
      </w:rPr>
    </w:lvl>
    <w:lvl w:ilvl="8" w:tplc="44C0EF1E" w:tentative="1">
      <w:start w:val="1"/>
      <w:numFmt w:val="bullet"/>
      <w:lvlText w:val=""/>
      <w:lvlJc w:val="left"/>
      <w:pPr>
        <w:ind w:left="6480" w:hanging="360"/>
      </w:pPr>
      <w:rPr>
        <w:rFonts w:ascii="Wingdings" w:hAnsi="Wingdings" w:hint="default"/>
      </w:rPr>
    </w:lvl>
  </w:abstractNum>
  <w:abstractNum w:abstractNumId="10" w15:restartNumberingAfterBreak="0">
    <w:nsid w:val="7FB401D6"/>
    <w:multiLevelType w:val="hybridMultilevel"/>
    <w:tmpl w:val="270C463E"/>
    <w:lvl w:ilvl="0" w:tplc="2E8066FE">
      <w:start w:val="1"/>
      <w:numFmt w:val="bullet"/>
      <w:lvlText w:val=""/>
      <w:lvlJc w:val="left"/>
      <w:pPr>
        <w:ind w:left="720" w:hanging="360"/>
      </w:pPr>
      <w:rPr>
        <w:rFonts w:ascii="Symbol" w:hAnsi="Symbol" w:hint="default"/>
      </w:rPr>
    </w:lvl>
    <w:lvl w:ilvl="1" w:tplc="84925794">
      <w:start w:val="1"/>
      <w:numFmt w:val="bullet"/>
      <w:lvlText w:val="o"/>
      <w:lvlJc w:val="left"/>
      <w:pPr>
        <w:ind w:left="1440" w:hanging="360"/>
      </w:pPr>
      <w:rPr>
        <w:rFonts w:ascii="Courier New" w:hAnsi="Courier New" w:cs="Courier New" w:hint="default"/>
      </w:rPr>
    </w:lvl>
    <w:lvl w:ilvl="2" w:tplc="5380B762">
      <w:start w:val="1"/>
      <w:numFmt w:val="bullet"/>
      <w:lvlText w:val=""/>
      <w:lvlJc w:val="left"/>
      <w:pPr>
        <w:ind w:left="2160" w:hanging="360"/>
      </w:pPr>
      <w:rPr>
        <w:rFonts w:ascii="Wingdings" w:hAnsi="Wingdings" w:hint="default"/>
      </w:rPr>
    </w:lvl>
    <w:lvl w:ilvl="3" w:tplc="D7462BF4" w:tentative="1">
      <w:start w:val="1"/>
      <w:numFmt w:val="bullet"/>
      <w:lvlText w:val=""/>
      <w:lvlJc w:val="left"/>
      <w:pPr>
        <w:ind w:left="2880" w:hanging="360"/>
      </w:pPr>
      <w:rPr>
        <w:rFonts w:ascii="Symbol" w:hAnsi="Symbol" w:hint="default"/>
      </w:rPr>
    </w:lvl>
    <w:lvl w:ilvl="4" w:tplc="88ACA7BC" w:tentative="1">
      <w:start w:val="1"/>
      <w:numFmt w:val="bullet"/>
      <w:lvlText w:val="o"/>
      <w:lvlJc w:val="left"/>
      <w:pPr>
        <w:ind w:left="3600" w:hanging="360"/>
      </w:pPr>
      <w:rPr>
        <w:rFonts w:ascii="Courier New" w:hAnsi="Courier New" w:cs="Courier New" w:hint="default"/>
      </w:rPr>
    </w:lvl>
    <w:lvl w:ilvl="5" w:tplc="67B4FC6C" w:tentative="1">
      <w:start w:val="1"/>
      <w:numFmt w:val="bullet"/>
      <w:lvlText w:val=""/>
      <w:lvlJc w:val="left"/>
      <w:pPr>
        <w:ind w:left="4320" w:hanging="360"/>
      </w:pPr>
      <w:rPr>
        <w:rFonts w:ascii="Wingdings" w:hAnsi="Wingdings" w:hint="default"/>
      </w:rPr>
    </w:lvl>
    <w:lvl w:ilvl="6" w:tplc="5B32238E" w:tentative="1">
      <w:start w:val="1"/>
      <w:numFmt w:val="bullet"/>
      <w:lvlText w:val=""/>
      <w:lvlJc w:val="left"/>
      <w:pPr>
        <w:ind w:left="5040" w:hanging="360"/>
      </w:pPr>
      <w:rPr>
        <w:rFonts w:ascii="Symbol" w:hAnsi="Symbol" w:hint="default"/>
      </w:rPr>
    </w:lvl>
    <w:lvl w:ilvl="7" w:tplc="6B32B930" w:tentative="1">
      <w:start w:val="1"/>
      <w:numFmt w:val="bullet"/>
      <w:lvlText w:val="o"/>
      <w:lvlJc w:val="left"/>
      <w:pPr>
        <w:ind w:left="5760" w:hanging="360"/>
      </w:pPr>
      <w:rPr>
        <w:rFonts w:ascii="Courier New" w:hAnsi="Courier New" w:cs="Courier New" w:hint="default"/>
      </w:rPr>
    </w:lvl>
    <w:lvl w:ilvl="8" w:tplc="F21A754C"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10"/>
  </w:num>
  <w:num w:numId="6">
    <w:abstractNumId w:val="8"/>
  </w:num>
  <w:num w:numId="7">
    <w:abstractNumId w:val="6"/>
  </w:num>
  <w:num w:numId="8">
    <w:abstractNumId w:val="9"/>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0923e0-bc4b-4969-a9e8-ab39309f785f" w:val=" "/>
    <w:docVar w:name="vault_nd_01e39377-7eeb-42f1-b716-6644e68dbf3f" w:val=" "/>
    <w:docVar w:name="vault_nd_06d9b26b-aff3-407a-b014-77384e37d2bf" w:val=" "/>
    <w:docVar w:name="vault_nd_22f1c225-459c-4c63-ada2-8bf4bb430ab6" w:val=" "/>
    <w:docVar w:name="vault_nd_270e19c7-438e-48d1-a4ca-c259ac564feb" w:val=" "/>
    <w:docVar w:name="vault_nd_2abe76c6-44c2-4cec-a01b-2d361106db5d" w:val=" "/>
    <w:docVar w:name="vault_nd_313343fa-3b15-46e5-93c7-5ce77baaf7b0" w:val=" "/>
    <w:docVar w:name="vault_nd_33450e19-38f1-46b7-bc80-737447db5d4a" w:val=" "/>
    <w:docVar w:name="vault_nd_3a426cb0-5675-4195-a239-e6a3c0680c38" w:val=" "/>
    <w:docVar w:name="vault_nd_3b6f8da6-fe56-4b65-9727-e445992f259b" w:val=" "/>
    <w:docVar w:name="vault_nd_3b87a568-6380-4991-bd66-89ef92b0e97f" w:val=" "/>
    <w:docVar w:name="vault_nd_3e43b652-feae-4994-8205-4f04e249dd5e" w:val=" "/>
    <w:docVar w:name="vault_nd_4242df41-7079-4e8f-96bd-da831fe7e9d9" w:val=" "/>
    <w:docVar w:name="vault_nd_43e41ead-bbb4-45af-a953-9915f35c0d48" w:val=" "/>
    <w:docVar w:name="VAULT_ND_4437afad-6b52-4740-b42e-70dbaf2b8c75" w:val=" "/>
    <w:docVar w:name="vault_nd_45885adb-09ac-4950-bc6d-477298132e0f" w:val=" "/>
    <w:docVar w:name="VAULT_ND_4ba5824f-72ac-4a1a-9ae4-d8e565b49c5c" w:val=" "/>
    <w:docVar w:name="vault_nd_4ba9a968-eee2-4b3f-9746-3037f344c102" w:val=" "/>
    <w:docVar w:name="vault_nd_4be7fdba-9572-48fc-8d00-b296020840c3" w:val=" "/>
    <w:docVar w:name="vault_nd_4d65bcab-3685-4b41-83f2-6e68a1ae6f49" w:val=" "/>
    <w:docVar w:name="vault_nd_593059d7-2e33-4358-b258-83ba51e72a4c" w:val=" "/>
    <w:docVar w:name="vault_nd_5a92753c-931d-4963-8fd4-0edbe3476744" w:val=" "/>
    <w:docVar w:name="vault_nd_5de333c9-f63f-456e-8d02-b20e307464a4" w:val=" "/>
    <w:docVar w:name="VAULT_ND_62201e91-fe19-47a3-8467-34836b35865a" w:val=" "/>
    <w:docVar w:name="VAULT_ND_68336480-829a-4aa2-8e68-fec23b54929b" w:val=" "/>
    <w:docVar w:name="vault_nd_69a232c1-3047-447d-aa7e-779fef02bce9" w:val=" "/>
    <w:docVar w:name="vault_nd_69a97b43-99fa-43c8-a605-edbac4dd301b" w:val=" "/>
    <w:docVar w:name="vault_nd_6bf408c3-8955-431c-8459-0df13669fa1d" w:val=" "/>
    <w:docVar w:name="VAULT_ND_7207da08-6c34-44c3-a476-015dc0f91c44" w:val=" "/>
    <w:docVar w:name="vault_nd_7366cc20-6360-432a-b8ad-d56fbd17a2af" w:val=" "/>
    <w:docVar w:name="vault_nd_7bbd59b1-6a92-46bf-bb68-0fed66905e5d" w:val=" "/>
    <w:docVar w:name="vault_nd_840b471a-267b-47cd-aa8f-a2d5bd24c030" w:val=" "/>
    <w:docVar w:name="vault_nd_848c73ae-90cc-4c75-9939-28a5556c5ffe" w:val=" "/>
    <w:docVar w:name="vault_nd_977214c9-ba55-4de3-b0aa-e590f3c149cf" w:val=" "/>
    <w:docVar w:name="vault_nd_9c444a4a-7910-4dcf-878f-8f2a77e341ed" w:val=" "/>
    <w:docVar w:name="vault_nd_a37a9143-b097-4f75-b50b-0d6fb5570adb" w:val=" "/>
    <w:docVar w:name="vault_nd_a4f5e57c-c2c7-493e-aa1a-f3b398534c7c" w:val=" "/>
    <w:docVar w:name="VAULT_ND_aa56ab87-661a-48c1-be66-bb6bf731800d" w:val=" "/>
    <w:docVar w:name="VAULT_ND_ac5f4110-8979-442c-aacb-41e138e12dcf" w:val=" "/>
    <w:docVar w:name="VAULT_ND_b4ed7475-fdc1-427d-82b2-dfbb7c8f8113" w:val=" "/>
    <w:docVar w:name="vault_nd_b7ec545d-0b71-4021-990c-56c10fc87072" w:val=" "/>
    <w:docVar w:name="VAULT_ND_b8ec4f1d-868b-43eb-a5ee-13501f1bbf4c" w:val=" "/>
    <w:docVar w:name="vault_nd_bcc7eeb2-67e2-4138-b4f2-bf55142f6a9e" w:val=" "/>
    <w:docVar w:name="vault_nd_c21cf76f-cd90-4ef4-b58b-b623d50b5885" w:val=" "/>
    <w:docVar w:name="vault_nd_c547b65a-8b32-48cb-9f27-10146a0fbb83" w:val=" "/>
    <w:docVar w:name="vault_nd_c9c7eec1-6a68-4cca-af3f-8876757881ab" w:val=" "/>
    <w:docVar w:name="vault_nd_cf47b477-9511-4d3d-bdf7-55d97ad5dd8f" w:val=" "/>
    <w:docVar w:name="vault_nd_d36b62c9-6f1a-41c8-927a-fc2242b7b64d" w:val=" "/>
    <w:docVar w:name="vault_nd_d4c12f87-4754-4a30-a351-4be5922b21e9" w:val=" "/>
    <w:docVar w:name="vault_nd_daf66e34-2684-4968-8aef-f546f227ab6f" w:val=" "/>
    <w:docVar w:name="vault_nd_df9f5bdc-e887-40da-afe2-26059de8001c" w:val=" "/>
    <w:docVar w:name="vault_nd_eed1deb8-10e4-49a4-b473-2a4b448cb0ee" w:val=" "/>
    <w:docVar w:name="vault_nd_efea2de9-6e38-415c-ba34-fea72aa332f8" w:val=" "/>
    <w:docVar w:name="vault_nd_f7ba4284-b9d8-4bae-bfcf-a166b5d4beac" w:val=" "/>
    <w:docVar w:name="VAULT_ND_fb4d9417-8841-412e-9af6-8a130ab596ae" w:val=" "/>
    <w:docVar w:name="vault_nd_fbc7886e-1078-45e6-8cbe-62199f4b80aa" w:val=" "/>
  </w:docVars>
  <w:rsids>
    <w:rsidRoot w:val="0098630B"/>
    <w:rsid w:val="00001B57"/>
    <w:rsid w:val="00003499"/>
    <w:rsid w:val="00004B4C"/>
    <w:rsid w:val="00005FD7"/>
    <w:rsid w:val="000103A3"/>
    <w:rsid w:val="00010B59"/>
    <w:rsid w:val="00011FC8"/>
    <w:rsid w:val="00013BC4"/>
    <w:rsid w:val="000157FA"/>
    <w:rsid w:val="000169C2"/>
    <w:rsid w:val="00016F34"/>
    <w:rsid w:val="00020A25"/>
    <w:rsid w:val="0002701D"/>
    <w:rsid w:val="0003033C"/>
    <w:rsid w:val="0003316D"/>
    <w:rsid w:val="00033984"/>
    <w:rsid w:val="0003535C"/>
    <w:rsid w:val="00035C95"/>
    <w:rsid w:val="000409EB"/>
    <w:rsid w:val="000415CB"/>
    <w:rsid w:val="00042302"/>
    <w:rsid w:val="000462B0"/>
    <w:rsid w:val="00050CBD"/>
    <w:rsid w:val="000566AD"/>
    <w:rsid w:val="000643E3"/>
    <w:rsid w:val="00066CB7"/>
    <w:rsid w:val="0007058A"/>
    <w:rsid w:val="0007162A"/>
    <w:rsid w:val="000724A5"/>
    <w:rsid w:val="00080395"/>
    <w:rsid w:val="0008193D"/>
    <w:rsid w:val="0008392F"/>
    <w:rsid w:val="00096D86"/>
    <w:rsid w:val="000A165B"/>
    <w:rsid w:val="000A309F"/>
    <w:rsid w:val="000A3954"/>
    <w:rsid w:val="000A4570"/>
    <w:rsid w:val="000B0878"/>
    <w:rsid w:val="000B0F20"/>
    <w:rsid w:val="000B262E"/>
    <w:rsid w:val="000C0587"/>
    <w:rsid w:val="000C3484"/>
    <w:rsid w:val="000C3903"/>
    <w:rsid w:val="000C39D0"/>
    <w:rsid w:val="000C4226"/>
    <w:rsid w:val="000C5890"/>
    <w:rsid w:val="000C7E21"/>
    <w:rsid w:val="000D0924"/>
    <w:rsid w:val="000D5E69"/>
    <w:rsid w:val="000E3327"/>
    <w:rsid w:val="000E4516"/>
    <w:rsid w:val="000E6073"/>
    <w:rsid w:val="000F1223"/>
    <w:rsid w:val="000F2A57"/>
    <w:rsid w:val="000F6AA8"/>
    <w:rsid w:val="001045F3"/>
    <w:rsid w:val="00105A9F"/>
    <w:rsid w:val="00106F0A"/>
    <w:rsid w:val="001126A7"/>
    <w:rsid w:val="0011467F"/>
    <w:rsid w:val="00115F6D"/>
    <w:rsid w:val="0012212B"/>
    <w:rsid w:val="0012242B"/>
    <w:rsid w:val="00122BC0"/>
    <w:rsid w:val="00126DEB"/>
    <w:rsid w:val="001314EE"/>
    <w:rsid w:val="0013417F"/>
    <w:rsid w:val="001346AE"/>
    <w:rsid w:val="001371F4"/>
    <w:rsid w:val="001404FD"/>
    <w:rsid w:val="00153F4A"/>
    <w:rsid w:val="00164864"/>
    <w:rsid w:val="00164950"/>
    <w:rsid w:val="00165B22"/>
    <w:rsid w:val="00166C4C"/>
    <w:rsid w:val="00172425"/>
    <w:rsid w:val="00174126"/>
    <w:rsid w:val="00175631"/>
    <w:rsid w:val="00176F7C"/>
    <w:rsid w:val="00191EA9"/>
    <w:rsid w:val="00194CFA"/>
    <w:rsid w:val="001977A6"/>
    <w:rsid w:val="001A0A10"/>
    <w:rsid w:val="001A3992"/>
    <w:rsid w:val="001A4675"/>
    <w:rsid w:val="001A556D"/>
    <w:rsid w:val="001A5F30"/>
    <w:rsid w:val="001A65B8"/>
    <w:rsid w:val="001B3091"/>
    <w:rsid w:val="001B5EFF"/>
    <w:rsid w:val="001C04D2"/>
    <w:rsid w:val="001C159A"/>
    <w:rsid w:val="001C1B18"/>
    <w:rsid w:val="001C2B4A"/>
    <w:rsid w:val="001C2FDF"/>
    <w:rsid w:val="001C5018"/>
    <w:rsid w:val="001C7B13"/>
    <w:rsid w:val="001D0155"/>
    <w:rsid w:val="001D0668"/>
    <w:rsid w:val="001D5274"/>
    <w:rsid w:val="001E144A"/>
    <w:rsid w:val="001E2EAD"/>
    <w:rsid w:val="001E4F6E"/>
    <w:rsid w:val="001E7597"/>
    <w:rsid w:val="001F0F3E"/>
    <w:rsid w:val="001F3EEF"/>
    <w:rsid w:val="001F6EC8"/>
    <w:rsid w:val="00202D4A"/>
    <w:rsid w:val="00207F2E"/>
    <w:rsid w:val="00210146"/>
    <w:rsid w:val="00210239"/>
    <w:rsid w:val="00211348"/>
    <w:rsid w:val="0021200F"/>
    <w:rsid w:val="0021677E"/>
    <w:rsid w:val="002232F5"/>
    <w:rsid w:val="002238B0"/>
    <w:rsid w:val="00223A90"/>
    <w:rsid w:val="00224F58"/>
    <w:rsid w:val="0022587C"/>
    <w:rsid w:val="002300B5"/>
    <w:rsid w:val="002310C9"/>
    <w:rsid w:val="00235E4C"/>
    <w:rsid w:val="00236A60"/>
    <w:rsid w:val="002526DA"/>
    <w:rsid w:val="00253151"/>
    <w:rsid w:val="0025355D"/>
    <w:rsid w:val="00254EA3"/>
    <w:rsid w:val="002662FA"/>
    <w:rsid w:val="00266A2E"/>
    <w:rsid w:val="002809E1"/>
    <w:rsid w:val="00285173"/>
    <w:rsid w:val="002920B1"/>
    <w:rsid w:val="002939F9"/>
    <w:rsid w:val="00294A80"/>
    <w:rsid w:val="00295734"/>
    <w:rsid w:val="002A05BF"/>
    <w:rsid w:val="002A165A"/>
    <w:rsid w:val="002B424E"/>
    <w:rsid w:val="002C2E43"/>
    <w:rsid w:val="002C393B"/>
    <w:rsid w:val="002C52B0"/>
    <w:rsid w:val="002E277D"/>
    <w:rsid w:val="002E5AEA"/>
    <w:rsid w:val="002F215A"/>
    <w:rsid w:val="003031B7"/>
    <w:rsid w:val="003035D0"/>
    <w:rsid w:val="00310E2E"/>
    <w:rsid w:val="00313A79"/>
    <w:rsid w:val="003216A3"/>
    <w:rsid w:val="00321A4C"/>
    <w:rsid w:val="00321ACF"/>
    <w:rsid w:val="003260A1"/>
    <w:rsid w:val="003304EE"/>
    <w:rsid w:val="0033096A"/>
    <w:rsid w:val="00331BD8"/>
    <w:rsid w:val="00332FAB"/>
    <w:rsid w:val="0033738A"/>
    <w:rsid w:val="0034061E"/>
    <w:rsid w:val="00343C44"/>
    <w:rsid w:val="00343CF5"/>
    <w:rsid w:val="003449AF"/>
    <w:rsid w:val="00357088"/>
    <w:rsid w:val="0036007F"/>
    <w:rsid w:val="00361B9B"/>
    <w:rsid w:val="00362252"/>
    <w:rsid w:val="0036260B"/>
    <w:rsid w:val="00365484"/>
    <w:rsid w:val="00370A3F"/>
    <w:rsid w:val="003714B1"/>
    <w:rsid w:val="00372406"/>
    <w:rsid w:val="00373C9E"/>
    <w:rsid w:val="00375DF3"/>
    <w:rsid w:val="0038177F"/>
    <w:rsid w:val="00383ABB"/>
    <w:rsid w:val="00385E57"/>
    <w:rsid w:val="00386682"/>
    <w:rsid w:val="0038690E"/>
    <w:rsid w:val="00387B19"/>
    <w:rsid w:val="003924A7"/>
    <w:rsid w:val="00392F1E"/>
    <w:rsid w:val="00395EB5"/>
    <w:rsid w:val="003968C4"/>
    <w:rsid w:val="003A2C7B"/>
    <w:rsid w:val="003A6F95"/>
    <w:rsid w:val="003B44E6"/>
    <w:rsid w:val="003C0D33"/>
    <w:rsid w:val="003C3B63"/>
    <w:rsid w:val="003C4EEE"/>
    <w:rsid w:val="003C6A5E"/>
    <w:rsid w:val="003C7ACD"/>
    <w:rsid w:val="003D076A"/>
    <w:rsid w:val="003D2225"/>
    <w:rsid w:val="003D25E8"/>
    <w:rsid w:val="003D38CD"/>
    <w:rsid w:val="003D6109"/>
    <w:rsid w:val="003E37AA"/>
    <w:rsid w:val="003E6489"/>
    <w:rsid w:val="003E742D"/>
    <w:rsid w:val="003F0277"/>
    <w:rsid w:val="003F29FC"/>
    <w:rsid w:val="003F2B85"/>
    <w:rsid w:val="003F2C19"/>
    <w:rsid w:val="003F6CA9"/>
    <w:rsid w:val="00401A76"/>
    <w:rsid w:val="00402AE1"/>
    <w:rsid w:val="00403B62"/>
    <w:rsid w:val="0040455C"/>
    <w:rsid w:val="00407A47"/>
    <w:rsid w:val="00413141"/>
    <w:rsid w:val="00413D98"/>
    <w:rsid w:val="00415E32"/>
    <w:rsid w:val="00420969"/>
    <w:rsid w:val="0042324A"/>
    <w:rsid w:val="004251FD"/>
    <w:rsid w:val="004267C6"/>
    <w:rsid w:val="00427737"/>
    <w:rsid w:val="004317F1"/>
    <w:rsid w:val="00431ACD"/>
    <w:rsid w:val="00432247"/>
    <w:rsid w:val="0044070C"/>
    <w:rsid w:val="004423DE"/>
    <w:rsid w:val="00445332"/>
    <w:rsid w:val="004455F9"/>
    <w:rsid w:val="004514BB"/>
    <w:rsid w:val="00452CE2"/>
    <w:rsid w:val="00455F32"/>
    <w:rsid w:val="00457DB3"/>
    <w:rsid w:val="00464098"/>
    <w:rsid w:val="00464E0D"/>
    <w:rsid w:val="00466322"/>
    <w:rsid w:val="00470D6F"/>
    <w:rsid w:val="00472C91"/>
    <w:rsid w:val="004731D5"/>
    <w:rsid w:val="00474D86"/>
    <w:rsid w:val="00477144"/>
    <w:rsid w:val="004777DE"/>
    <w:rsid w:val="004810CC"/>
    <w:rsid w:val="00482227"/>
    <w:rsid w:val="004849C0"/>
    <w:rsid w:val="00486073"/>
    <w:rsid w:val="00494568"/>
    <w:rsid w:val="004949FC"/>
    <w:rsid w:val="00497C85"/>
    <w:rsid w:val="004A0CEF"/>
    <w:rsid w:val="004A6F18"/>
    <w:rsid w:val="004B4810"/>
    <w:rsid w:val="004B5957"/>
    <w:rsid w:val="004B6B19"/>
    <w:rsid w:val="004B7C13"/>
    <w:rsid w:val="004D0317"/>
    <w:rsid w:val="004D086D"/>
    <w:rsid w:val="004D350D"/>
    <w:rsid w:val="004E1734"/>
    <w:rsid w:val="0050148E"/>
    <w:rsid w:val="005046BE"/>
    <w:rsid w:val="005056EA"/>
    <w:rsid w:val="0050665D"/>
    <w:rsid w:val="00506B72"/>
    <w:rsid w:val="00506D08"/>
    <w:rsid w:val="00510E6A"/>
    <w:rsid w:val="00513F80"/>
    <w:rsid w:val="00514F7A"/>
    <w:rsid w:val="00526A9C"/>
    <w:rsid w:val="00532745"/>
    <w:rsid w:val="00543330"/>
    <w:rsid w:val="00543A13"/>
    <w:rsid w:val="00546575"/>
    <w:rsid w:val="005522B6"/>
    <w:rsid w:val="00556108"/>
    <w:rsid w:val="005562CE"/>
    <w:rsid w:val="00562384"/>
    <w:rsid w:val="00564F81"/>
    <w:rsid w:val="00567FF7"/>
    <w:rsid w:val="0057310E"/>
    <w:rsid w:val="00573D03"/>
    <w:rsid w:val="00575E60"/>
    <w:rsid w:val="00581F52"/>
    <w:rsid w:val="0059084F"/>
    <w:rsid w:val="00592135"/>
    <w:rsid w:val="005954DC"/>
    <w:rsid w:val="00597821"/>
    <w:rsid w:val="005A5B05"/>
    <w:rsid w:val="005A7DFA"/>
    <w:rsid w:val="005B0B0A"/>
    <w:rsid w:val="005B0B46"/>
    <w:rsid w:val="005B2812"/>
    <w:rsid w:val="005B3524"/>
    <w:rsid w:val="005C1FF0"/>
    <w:rsid w:val="005C6F62"/>
    <w:rsid w:val="005D671F"/>
    <w:rsid w:val="005E4C1F"/>
    <w:rsid w:val="005E5455"/>
    <w:rsid w:val="005E553C"/>
    <w:rsid w:val="005F0B3A"/>
    <w:rsid w:val="005F2AAB"/>
    <w:rsid w:val="006018AE"/>
    <w:rsid w:val="00603123"/>
    <w:rsid w:val="00605689"/>
    <w:rsid w:val="00610F77"/>
    <w:rsid w:val="00620570"/>
    <w:rsid w:val="00622B10"/>
    <w:rsid w:val="00623901"/>
    <w:rsid w:val="006349C4"/>
    <w:rsid w:val="00637CFA"/>
    <w:rsid w:val="0064080F"/>
    <w:rsid w:val="00652721"/>
    <w:rsid w:val="00663A60"/>
    <w:rsid w:val="00671237"/>
    <w:rsid w:val="00674E4A"/>
    <w:rsid w:val="006765CB"/>
    <w:rsid w:val="00682A6D"/>
    <w:rsid w:val="0069381D"/>
    <w:rsid w:val="006938FA"/>
    <w:rsid w:val="006951B6"/>
    <w:rsid w:val="006B1AE7"/>
    <w:rsid w:val="006B49F5"/>
    <w:rsid w:val="006B590D"/>
    <w:rsid w:val="006C6230"/>
    <w:rsid w:val="006E3727"/>
    <w:rsid w:val="006E7986"/>
    <w:rsid w:val="006F2AAF"/>
    <w:rsid w:val="006F67CC"/>
    <w:rsid w:val="006F7D80"/>
    <w:rsid w:val="00701AFF"/>
    <w:rsid w:val="00704A10"/>
    <w:rsid w:val="007053E2"/>
    <w:rsid w:val="00705680"/>
    <w:rsid w:val="00705B82"/>
    <w:rsid w:val="007109D9"/>
    <w:rsid w:val="00714853"/>
    <w:rsid w:val="007256B0"/>
    <w:rsid w:val="007267EF"/>
    <w:rsid w:val="00727002"/>
    <w:rsid w:val="00730CD4"/>
    <w:rsid w:val="00731666"/>
    <w:rsid w:val="00731E7B"/>
    <w:rsid w:val="00733049"/>
    <w:rsid w:val="00735452"/>
    <w:rsid w:val="00735F7E"/>
    <w:rsid w:val="0073698B"/>
    <w:rsid w:val="00741D31"/>
    <w:rsid w:val="007446CB"/>
    <w:rsid w:val="007538F8"/>
    <w:rsid w:val="00754B01"/>
    <w:rsid w:val="00756296"/>
    <w:rsid w:val="007608A9"/>
    <w:rsid w:val="00760AB8"/>
    <w:rsid w:val="00771239"/>
    <w:rsid w:val="00774AE8"/>
    <w:rsid w:val="00782009"/>
    <w:rsid w:val="0078247B"/>
    <w:rsid w:val="00786651"/>
    <w:rsid w:val="00787A27"/>
    <w:rsid w:val="00792AAD"/>
    <w:rsid w:val="007979BE"/>
    <w:rsid w:val="007A171D"/>
    <w:rsid w:val="007A2D84"/>
    <w:rsid w:val="007A487C"/>
    <w:rsid w:val="007A5342"/>
    <w:rsid w:val="007A7D8F"/>
    <w:rsid w:val="007A7DC5"/>
    <w:rsid w:val="007B2921"/>
    <w:rsid w:val="007B5CDA"/>
    <w:rsid w:val="007B76A0"/>
    <w:rsid w:val="007C66C8"/>
    <w:rsid w:val="007D497E"/>
    <w:rsid w:val="007D6DC1"/>
    <w:rsid w:val="007E09A9"/>
    <w:rsid w:val="007E0D56"/>
    <w:rsid w:val="007E16AE"/>
    <w:rsid w:val="007E3260"/>
    <w:rsid w:val="007E3E26"/>
    <w:rsid w:val="007E59AD"/>
    <w:rsid w:val="007E5AAD"/>
    <w:rsid w:val="007E734D"/>
    <w:rsid w:val="007F19A7"/>
    <w:rsid w:val="007F63C5"/>
    <w:rsid w:val="008021C0"/>
    <w:rsid w:val="00803C25"/>
    <w:rsid w:val="00805C53"/>
    <w:rsid w:val="008068DE"/>
    <w:rsid w:val="00810772"/>
    <w:rsid w:val="00814392"/>
    <w:rsid w:val="00814741"/>
    <w:rsid w:val="0081546A"/>
    <w:rsid w:val="00815DBD"/>
    <w:rsid w:val="008219DC"/>
    <w:rsid w:val="008219E2"/>
    <w:rsid w:val="0082413E"/>
    <w:rsid w:val="008241A1"/>
    <w:rsid w:val="00826793"/>
    <w:rsid w:val="008332F2"/>
    <w:rsid w:val="008509A1"/>
    <w:rsid w:val="00853459"/>
    <w:rsid w:val="00861006"/>
    <w:rsid w:val="008614A7"/>
    <w:rsid w:val="0086172D"/>
    <w:rsid w:val="00862A99"/>
    <w:rsid w:val="00871414"/>
    <w:rsid w:val="00871E11"/>
    <w:rsid w:val="00874FBD"/>
    <w:rsid w:val="008760BE"/>
    <w:rsid w:val="00880493"/>
    <w:rsid w:val="00884D4E"/>
    <w:rsid w:val="00886A49"/>
    <w:rsid w:val="00887076"/>
    <w:rsid w:val="00891707"/>
    <w:rsid w:val="008B145E"/>
    <w:rsid w:val="008B5B30"/>
    <w:rsid w:val="008C08A5"/>
    <w:rsid w:val="008C1442"/>
    <w:rsid w:val="008C3977"/>
    <w:rsid w:val="008C7843"/>
    <w:rsid w:val="008D0757"/>
    <w:rsid w:val="008D5EE3"/>
    <w:rsid w:val="008D65DC"/>
    <w:rsid w:val="008E0442"/>
    <w:rsid w:val="008E0667"/>
    <w:rsid w:val="008E2077"/>
    <w:rsid w:val="008E2593"/>
    <w:rsid w:val="008E495C"/>
    <w:rsid w:val="008E54C9"/>
    <w:rsid w:val="008F1432"/>
    <w:rsid w:val="008F4DF0"/>
    <w:rsid w:val="00905FE6"/>
    <w:rsid w:val="009065C9"/>
    <w:rsid w:val="00916BD3"/>
    <w:rsid w:val="00917B93"/>
    <w:rsid w:val="00922B23"/>
    <w:rsid w:val="00925A2E"/>
    <w:rsid w:val="00925B73"/>
    <w:rsid w:val="00931930"/>
    <w:rsid w:val="00933581"/>
    <w:rsid w:val="00934C67"/>
    <w:rsid w:val="00934D02"/>
    <w:rsid w:val="00935B3E"/>
    <w:rsid w:val="00940E13"/>
    <w:rsid w:val="009454C9"/>
    <w:rsid w:val="009503CA"/>
    <w:rsid w:val="00953CAC"/>
    <w:rsid w:val="009555AD"/>
    <w:rsid w:val="00956FDE"/>
    <w:rsid w:val="00957CFE"/>
    <w:rsid w:val="00960CD5"/>
    <w:rsid w:val="00963CC5"/>
    <w:rsid w:val="00967C7E"/>
    <w:rsid w:val="00972F89"/>
    <w:rsid w:val="00977069"/>
    <w:rsid w:val="00983061"/>
    <w:rsid w:val="00983BE2"/>
    <w:rsid w:val="00983D26"/>
    <w:rsid w:val="0098630B"/>
    <w:rsid w:val="00987580"/>
    <w:rsid w:val="00987994"/>
    <w:rsid w:val="00995A3A"/>
    <w:rsid w:val="009964B1"/>
    <w:rsid w:val="00996BBF"/>
    <w:rsid w:val="00997CAE"/>
    <w:rsid w:val="009A1077"/>
    <w:rsid w:val="009A289F"/>
    <w:rsid w:val="009A2B78"/>
    <w:rsid w:val="009A55A6"/>
    <w:rsid w:val="009B2434"/>
    <w:rsid w:val="009B3801"/>
    <w:rsid w:val="009B3B80"/>
    <w:rsid w:val="009C053C"/>
    <w:rsid w:val="009C1193"/>
    <w:rsid w:val="009C1362"/>
    <w:rsid w:val="009C1F50"/>
    <w:rsid w:val="009C3D88"/>
    <w:rsid w:val="009D12EC"/>
    <w:rsid w:val="009D3F22"/>
    <w:rsid w:val="009E0372"/>
    <w:rsid w:val="009F0D32"/>
    <w:rsid w:val="009F7CF7"/>
    <w:rsid w:val="00A01A4A"/>
    <w:rsid w:val="00A10354"/>
    <w:rsid w:val="00A135A7"/>
    <w:rsid w:val="00A24D04"/>
    <w:rsid w:val="00A265C4"/>
    <w:rsid w:val="00A27F7C"/>
    <w:rsid w:val="00A31A8E"/>
    <w:rsid w:val="00A32B82"/>
    <w:rsid w:val="00A35869"/>
    <w:rsid w:val="00A4035D"/>
    <w:rsid w:val="00A45BAC"/>
    <w:rsid w:val="00A51885"/>
    <w:rsid w:val="00A51911"/>
    <w:rsid w:val="00A523E7"/>
    <w:rsid w:val="00A579FE"/>
    <w:rsid w:val="00A606B1"/>
    <w:rsid w:val="00A64129"/>
    <w:rsid w:val="00A64655"/>
    <w:rsid w:val="00A66A8D"/>
    <w:rsid w:val="00A66D12"/>
    <w:rsid w:val="00A7474B"/>
    <w:rsid w:val="00A77371"/>
    <w:rsid w:val="00A806CD"/>
    <w:rsid w:val="00A806F6"/>
    <w:rsid w:val="00A81B89"/>
    <w:rsid w:val="00A82FBE"/>
    <w:rsid w:val="00A83BB2"/>
    <w:rsid w:val="00A83EE8"/>
    <w:rsid w:val="00A84CBF"/>
    <w:rsid w:val="00A945E0"/>
    <w:rsid w:val="00A960A7"/>
    <w:rsid w:val="00AA212D"/>
    <w:rsid w:val="00AA3F6A"/>
    <w:rsid w:val="00AA47D2"/>
    <w:rsid w:val="00AA58EC"/>
    <w:rsid w:val="00AB187B"/>
    <w:rsid w:val="00AC1ADD"/>
    <w:rsid w:val="00AC59A7"/>
    <w:rsid w:val="00AC7569"/>
    <w:rsid w:val="00AC78D0"/>
    <w:rsid w:val="00AC7FD3"/>
    <w:rsid w:val="00AD08F7"/>
    <w:rsid w:val="00AD3551"/>
    <w:rsid w:val="00AD397D"/>
    <w:rsid w:val="00AE0AF4"/>
    <w:rsid w:val="00AE25D5"/>
    <w:rsid w:val="00AE5FBC"/>
    <w:rsid w:val="00AE6985"/>
    <w:rsid w:val="00AE7466"/>
    <w:rsid w:val="00AF238D"/>
    <w:rsid w:val="00AF3328"/>
    <w:rsid w:val="00B00F00"/>
    <w:rsid w:val="00B042AA"/>
    <w:rsid w:val="00B1186A"/>
    <w:rsid w:val="00B11FCA"/>
    <w:rsid w:val="00B13580"/>
    <w:rsid w:val="00B17973"/>
    <w:rsid w:val="00B23BE9"/>
    <w:rsid w:val="00B24E05"/>
    <w:rsid w:val="00B33895"/>
    <w:rsid w:val="00B422F4"/>
    <w:rsid w:val="00B42CAA"/>
    <w:rsid w:val="00B4774F"/>
    <w:rsid w:val="00B4797B"/>
    <w:rsid w:val="00B53CA5"/>
    <w:rsid w:val="00B553DD"/>
    <w:rsid w:val="00B55CA1"/>
    <w:rsid w:val="00B55D7F"/>
    <w:rsid w:val="00B561E5"/>
    <w:rsid w:val="00B57C22"/>
    <w:rsid w:val="00B62005"/>
    <w:rsid w:val="00B63CE0"/>
    <w:rsid w:val="00B64878"/>
    <w:rsid w:val="00B74B81"/>
    <w:rsid w:val="00B8074A"/>
    <w:rsid w:val="00B836C2"/>
    <w:rsid w:val="00B8427C"/>
    <w:rsid w:val="00B878CC"/>
    <w:rsid w:val="00B87A13"/>
    <w:rsid w:val="00B87A89"/>
    <w:rsid w:val="00B91A10"/>
    <w:rsid w:val="00B91F30"/>
    <w:rsid w:val="00B95F19"/>
    <w:rsid w:val="00B96A33"/>
    <w:rsid w:val="00BA141E"/>
    <w:rsid w:val="00BA2B38"/>
    <w:rsid w:val="00BA305D"/>
    <w:rsid w:val="00BA36CF"/>
    <w:rsid w:val="00BA7B86"/>
    <w:rsid w:val="00BB0EF1"/>
    <w:rsid w:val="00BB385C"/>
    <w:rsid w:val="00BB4175"/>
    <w:rsid w:val="00BC0F8E"/>
    <w:rsid w:val="00BC23FA"/>
    <w:rsid w:val="00BC2483"/>
    <w:rsid w:val="00BC257A"/>
    <w:rsid w:val="00BC2F13"/>
    <w:rsid w:val="00BC4753"/>
    <w:rsid w:val="00BD0938"/>
    <w:rsid w:val="00BD0C89"/>
    <w:rsid w:val="00BD2E5A"/>
    <w:rsid w:val="00BD7E62"/>
    <w:rsid w:val="00BE2A26"/>
    <w:rsid w:val="00BE5420"/>
    <w:rsid w:val="00BF1CAE"/>
    <w:rsid w:val="00BF3A1E"/>
    <w:rsid w:val="00BF4160"/>
    <w:rsid w:val="00BF6DBD"/>
    <w:rsid w:val="00C0442F"/>
    <w:rsid w:val="00C06800"/>
    <w:rsid w:val="00C102DF"/>
    <w:rsid w:val="00C13F81"/>
    <w:rsid w:val="00C23538"/>
    <w:rsid w:val="00C23E37"/>
    <w:rsid w:val="00C253C8"/>
    <w:rsid w:val="00C31AB2"/>
    <w:rsid w:val="00C3398B"/>
    <w:rsid w:val="00C3545C"/>
    <w:rsid w:val="00C456A4"/>
    <w:rsid w:val="00C46CD8"/>
    <w:rsid w:val="00C47B46"/>
    <w:rsid w:val="00C50130"/>
    <w:rsid w:val="00C505C2"/>
    <w:rsid w:val="00C51EA5"/>
    <w:rsid w:val="00C53B86"/>
    <w:rsid w:val="00C54124"/>
    <w:rsid w:val="00C558FD"/>
    <w:rsid w:val="00C563EF"/>
    <w:rsid w:val="00C629A0"/>
    <w:rsid w:val="00C6363E"/>
    <w:rsid w:val="00C670BE"/>
    <w:rsid w:val="00C74449"/>
    <w:rsid w:val="00C74533"/>
    <w:rsid w:val="00C749DA"/>
    <w:rsid w:val="00C758BB"/>
    <w:rsid w:val="00C76F1A"/>
    <w:rsid w:val="00C77AB4"/>
    <w:rsid w:val="00C80912"/>
    <w:rsid w:val="00C81CC8"/>
    <w:rsid w:val="00C83B29"/>
    <w:rsid w:val="00C84296"/>
    <w:rsid w:val="00C86753"/>
    <w:rsid w:val="00CA1F4C"/>
    <w:rsid w:val="00CA22B4"/>
    <w:rsid w:val="00CA576B"/>
    <w:rsid w:val="00CB3E1B"/>
    <w:rsid w:val="00CB5BA6"/>
    <w:rsid w:val="00CB6057"/>
    <w:rsid w:val="00CB7F69"/>
    <w:rsid w:val="00CC0D90"/>
    <w:rsid w:val="00CC7483"/>
    <w:rsid w:val="00CC780D"/>
    <w:rsid w:val="00CD1592"/>
    <w:rsid w:val="00CD1651"/>
    <w:rsid w:val="00CD410B"/>
    <w:rsid w:val="00CD570A"/>
    <w:rsid w:val="00CD6423"/>
    <w:rsid w:val="00CE0688"/>
    <w:rsid w:val="00CE0BF6"/>
    <w:rsid w:val="00CE5D53"/>
    <w:rsid w:val="00CE6937"/>
    <w:rsid w:val="00CF1CE9"/>
    <w:rsid w:val="00CF1E73"/>
    <w:rsid w:val="00D00601"/>
    <w:rsid w:val="00D06094"/>
    <w:rsid w:val="00D12CF6"/>
    <w:rsid w:val="00D16AAB"/>
    <w:rsid w:val="00D239B1"/>
    <w:rsid w:val="00D25ADE"/>
    <w:rsid w:val="00D27B89"/>
    <w:rsid w:val="00D3016A"/>
    <w:rsid w:val="00D335CC"/>
    <w:rsid w:val="00D33728"/>
    <w:rsid w:val="00D345AF"/>
    <w:rsid w:val="00D37C34"/>
    <w:rsid w:val="00D40880"/>
    <w:rsid w:val="00D4276B"/>
    <w:rsid w:val="00D447D8"/>
    <w:rsid w:val="00D45706"/>
    <w:rsid w:val="00D4667F"/>
    <w:rsid w:val="00D47A32"/>
    <w:rsid w:val="00D526B0"/>
    <w:rsid w:val="00D60286"/>
    <w:rsid w:val="00D61BF5"/>
    <w:rsid w:val="00D61F33"/>
    <w:rsid w:val="00D63B9C"/>
    <w:rsid w:val="00D73E65"/>
    <w:rsid w:val="00D7456F"/>
    <w:rsid w:val="00D7506E"/>
    <w:rsid w:val="00D761FC"/>
    <w:rsid w:val="00D76909"/>
    <w:rsid w:val="00D77D3B"/>
    <w:rsid w:val="00D80B42"/>
    <w:rsid w:val="00D83A10"/>
    <w:rsid w:val="00D95AF5"/>
    <w:rsid w:val="00DA4C06"/>
    <w:rsid w:val="00DA6946"/>
    <w:rsid w:val="00DB00A1"/>
    <w:rsid w:val="00DB1D62"/>
    <w:rsid w:val="00DB470C"/>
    <w:rsid w:val="00DB64E3"/>
    <w:rsid w:val="00DB6F46"/>
    <w:rsid w:val="00DC33E3"/>
    <w:rsid w:val="00DD1FA1"/>
    <w:rsid w:val="00DD5B8D"/>
    <w:rsid w:val="00DE37A8"/>
    <w:rsid w:val="00DE5A80"/>
    <w:rsid w:val="00DE5E1E"/>
    <w:rsid w:val="00DE68BB"/>
    <w:rsid w:val="00DF023D"/>
    <w:rsid w:val="00DF1855"/>
    <w:rsid w:val="00DF1FBC"/>
    <w:rsid w:val="00DF5F19"/>
    <w:rsid w:val="00DF5FF9"/>
    <w:rsid w:val="00DF6BE3"/>
    <w:rsid w:val="00E00EED"/>
    <w:rsid w:val="00E07F5D"/>
    <w:rsid w:val="00E26A95"/>
    <w:rsid w:val="00E30AE9"/>
    <w:rsid w:val="00E32D39"/>
    <w:rsid w:val="00E3476A"/>
    <w:rsid w:val="00E34AB5"/>
    <w:rsid w:val="00E3525A"/>
    <w:rsid w:val="00E41F4D"/>
    <w:rsid w:val="00E43A0A"/>
    <w:rsid w:val="00E46B04"/>
    <w:rsid w:val="00E46CB2"/>
    <w:rsid w:val="00E46F11"/>
    <w:rsid w:val="00E47A4A"/>
    <w:rsid w:val="00E5077E"/>
    <w:rsid w:val="00E539E5"/>
    <w:rsid w:val="00E6433A"/>
    <w:rsid w:val="00E67546"/>
    <w:rsid w:val="00E706A8"/>
    <w:rsid w:val="00E72136"/>
    <w:rsid w:val="00E7307A"/>
    <w:rsid w:val="00E74A56"/>
    <w:rsid w:val="00E7511F"/>
    <w:rsid w:val="00E81A2F"/>
    <w:rsid w:val="00E8420D"/>
    <w:rsid w:val="00E85C1A"/>
    <w:rsid w:val="00E86E99"/>
    <w:rsid w:val="00E9469D"/>
    <w:rsid w:val="00E968E4"/>
    <w:rsid w:val="00E96BE8"/>
    <w:rsid w:val="00EB1184"/>
    <w:rsid w:val="00EC2A59"/>
    <w:rsid w:val="00EC3C40"/>
    <w:rsid w:val="00EC42E0"/>
    <w:rsid w:val="00EC434F"/>
    <w:rsid w:val="00EC7DFE"/>
    <w:rsid w:val="00ED12EB"/>
    <w:rsid w:val="00EE0278"/>
    <w:rsid w:val="00EE0F6A"/>
    <w:rsid w:val="00EE2A4F"/>
    <w:rsid w:val="00EE5EAB"/>
    <w:rsid w:val="00F0033B"/>
    <w:rsid w:val="00F01AD7"/>
    <w:rsid w:val="00F02622"/>
    <w:rsid w:val="00F03C27"/>
    <w:rsid w:val="00F03E44"/>
    <w:rsid w:val="00F11E8F"/>
    <w:rsid w:val="00F16D01"/>
    <w:rsid w:val="00F2270D"/>
    <w:rsid w:val="00F22774"/>
    <w:rsid w:val="00F26340"/>
    <w:rsid w:val="00F301F6"/>
    <w:rsid w:val="00F308A9"/>
    <w:rsid w:val="00F31EB5"/>
    <w:rsid w:val="00F36CF3"/>
    <w:rsid w:val="00F4192A"/>
    <w:rsid w:val="00F44926"/>
    <w:rsid w:val="00F50C42"/>
    <w:rsid w:val="00F536AB"/>
    <w:rsid w:val="00F60B67"/>
    <w:rsid w:val="00F67C08"/>
    <w:rsid w:val="00F716E5"/>
    <w:rsid w:val="00F72704"/>
    <w:rsid w:val="00F7551F"/>
    <w:rsid w:val="00F75646"/>
    <w:rsid w:val="00F77BA1"/>
    <w:rsid w:val="00F8171D"/>
    <w:rsid w:val="00F85CB4"/>
    <w:rsid w:val="00F91104"/>
    <w:rsid w:val="00F92A53"/>
    <w:rsid w:val="00F952C2"/>
    <w:rsid w:val="00F96A36"/>
    <w:rsid w:val="00FA0D0D"/>
    <w:rsid w:val="00FA2422"/>
    <w:rsid w:val="00FA25AE"/>
    <w:rsid w:val="00FA41CA"/>
    <w:rsid w:val="00FB03E4"/>
    <w:rsid w:val="00FB2F91"/>
    <w:rsid w:val="00FC4D2D"/>
    <w:rsid w:val="00FC7A51"/>
    <w:rsid w:val="00FD0730"/>
    <w:rsid w:val="00FE1563"/>
    <w:rsid w:val="00FE2128"/>
    <w:rsid w:val="00FE21CE"/>
    <w:rsid w:val="00FF67D1"/>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59A61C"/>
  <w15:docId w15:val="{40A769FA-326D-4B00-8A36-2A86251F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86"/>
    <w:rPr>
      <w:rFonts w:asciiTheme="majorHAnsi" w:hAnsiTheme="majorHAnsi"/>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0278"/>
    <w:rPr>
      <w:rFonts w:asciiTheme="majorHAnsi" w:hAnsiTheme="majorHAnsi"/>
      <w:b/>
      <w:bCs/>
    </w:rPr>
  </w:style>
  <w:style w:type="character" w:customStyle="1" w:styleId="CommentSubjectChar">
    <w:name w:val="Comment Subject Char"/>
    <w:basedOn w:val="CommentTextChar"/>
    <w:link w:val="CommentSubject"/>
    <w:uiPriority w:val="99"/>
    <w:semiHidden/>
    <w:rsid w:val="00EE0278"/>
    <w:rPr>
      <w:rFonts w:asciiTheme="majorHAnsi" w:hAnsiTheme="majorHAnsi"/>
      <w:b/>
      <w:bCs/>
      <w:sz w:val="20"/>
      <w:szCs w:val="20"/>
    </w:rPr>
  </w:style>
  <w:style w:type="table" w:styleId="TableGrid">
    <w:name w:val="Table Grid"/>
    <w:basedOn w:val="TableNormal"/>
    <w:uiPriority w:val="59"/>
    <w:unhideWhenUsed/>
    <w:rsid w:val="0045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256B0"/>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3A6F95"/>
    <w:rPr>
      <w:color w:val="605E5C"/>
      <w:shd w:val="clear" w:color="auto" w:fill="E1DFDD"/>
    </w:rPr>
  </w:style>
  <w:style w:type="paragraph" w:styleId="Header">
    <w:name w:val="header"/>
    <w:basedOn w:val="Normal"/>
    <w:link w:val="HeaderChar"/>
    <w:uiPriority w:val="99"/>
    <w:unhideWhenUsed/>
    <w:rsid w:val="003A6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F95"/>
    <w:rPr>
      <w:rFonts w:asciiTheme="majorHAnsi" w:hAnsiTheme="majorHAnsi"/>
    </w:rPr>
  </w:style>
  <w:style w:type="paragraph" w:customStyle="1" w:styleId="Default">
    <w:name w:val="Default"/>
    <w:rsid w:val="00E46CB2"/>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Revision">
    <w:name w:val="Revision"/>
    <w:hidden/>
    <w:uiPriority w:val="99"/>
    <w:semiHidden/>
    <w:rsid w:val="00A4035D"/>
    <w:pPr>
      <w:spacing w:after="0" w:line="240" w:lineRule="auto"/>
    </w:pPr>
    <w:rPr>
      <w:rFonts w:asciiTheme="majorHAnsi" w:hAnsiTheme="majorHAnsi"/>
    </w:rPr>
  </w:style>
  <w:style w:type="character" w:customStyle="1" w:styleId="docsum-journal-citation">
    <w:name w:val="docsum-journal-citation"/>
    <w:basedOn w:val="DefaultParagraphFont"/>
    <w:rsid w:val="00D27B89"/>
  </w:style>
  <w:style w:type="character" w:customStyle="1" w:styleId="UnresolvedMention2">
    <w:name w:val="Unresolved Mention2"/>
    <w:basedOn w:val="DefaultParagraphFont"/>
    <w:uiPriority w:val="99"/>
    <w:rsid w:val="008068DE"/>
    <w:rPr>
      <w:color w:val="605E5C"/>
      <w:shd w:val="clear" w:color="auto" w:fill="E1DFDD"/>
    </w:rPr>
  </w:style>
  <w:style w:type="paragraph" w:styleId="Title">
    <w:name w:val="Title"/>
    <w:basedOn w:val="Normal"/>
    <w:next w:val="Normal"/>
    <w:link w:val="TitleChar"/>
    <w:uiPriority w:val="10"/>
    <w:qFormat/>
    <w:rsid w:val="008F4DF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F4DF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dinfo.australia@merckgrou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ce13bf6-1ea7-4350-b9c6-29d849d65de7">
      <UserInfo>
        <DisplayName>Barbara Lachmann</DisplayName>
        <AccountId>164</AccountId>
        <AccountType/>
      </UserInfo>
      <UserInfo>
        <DisplayName>Georgios Amexis</DisplayName>
        <AccountId>1249</AccountId>
        <AccountType/>
      </UserInfo>
      <UserInfo>
        <DisplayName>Shelfi Liana</DisplayName>
        <AccountId>864</AccountId>
        <AccountType/>
      </UserInfo>
    </SharedWithUsers>
    <TaxCatchAll xmlns="ece13bf6-1ea7-4350-b9c6-29d849d65de7" xsi:nil="true"/>
    <lcf76f155ced4ddcb4097134ff3c332f xmlns="56654ff6-edc8-499b-aade-12364780d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06862AB3959C4EACD12CEFCD436243" ma:contentTypeVersion="15" ma:contentTypeDescription="Create a new document." ma:contentTypeScope="" ma:versionID="962a1b9525a91f1540712593e69c9aa4">
  <xsd:schema xmlns:xsd="http://www.w3.org/2001/XMLSchema" xmlns:xs="http://www.w3.org/2001/XMLSchema" xmlns:p="http://schemas.microsoft.com/office/2006/metadata/properties" xmlns:ns2="56654ff6-edc8-499b-aade-12364780df5d" xmlns:ns3="ece13bf6-1ea7-4350-b9c6-29d849d65de7" targetNamespace="http://schemas.microsoft.com/office/2006/metadata/properties" ma:root="true" ma:fieldsID="9d5f26020bfe9156496e312769dcedc1" ns2:_="" ns3:_="">
    <xsd:import namespace="56654ff6-edc8-499b-aade-12364780df5d"/>
    <xsd:import namespace="ece13bf6-1ea7-4350-b9c6-29d849d65d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54ff6-edc8-499b-aade-12364780d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ce2f110-134e-491c-b1fb-b64789dc5c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e13bf6-1ea7-4350-b9c6-29d849d65d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09a91e-83f2-4be9-85b0-84873111aa2c}" ma:internalName="TaxCatchAll" ma:showField="CatchAllData" ma:web="ece13bf6-1ea7-4350-b9c6-29d849d65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09689-CCBC-4F98-9142-8A2781DF4F5A}">
  <ds:schemaRefs>
    <ds:schemaRef ds:uri="http://schemas.openxmlformats.org/officeDocument/2006/bibliography"/>
  </ds:schemaRefs>
</ds:datastoreItem>
</file>

<file path=customXml/itemProps2.xml><?xml version="1.0" encoding="utf-8"?>
<ds:datastoreItem xmlns:ds="http://schemas.openxmlformats.org/officeDocument/2006/customXml" ds:itemID="{279DB3CA-4CCE-48D9-B482-F665A1D0BCCA}">
  <ds:schemaRefs>
    <ds:schemaRef ds:uri="http://schemas.microsoft.com/sharepoint/v3/contenttype/forms"/>
  </ds:schemaRefs>
</ds:datastoreItem>
</file>

<file path=customXml/itemProps3.xml><?xml version="1.0" encoding="utf-8"?>
<ds:datastoreItem xmlns:ds="http://schemas.openxmlformats.org/officeDocument/2006/customXml" ds:itemID="{ADF04ACA-845A-4A67-AAA9-EA5A9C5FFEFC}">
  <ds:schemaRefs>
    <ds:schemaRef ds:uri="http://schemas.microsoft.com/office/2006/metadata/properties"/>
    <ds:schemaRef ds:uri="http://schemas.microsoft.com/office/infopath/2007/PartnerControls"/>
    <ds:schemaRef ds:uri="dfb993cf-ba35-4c9a-bf74-e6a6ffc8659a"/>
    <ds:schemaRef ds:uri="ece13bf6-1ea7-4350-b9c6-29d849d65de7"/>
    <ds:schemaRef ds:uri="56654ff6-edc8-499b-aade-12364780df5d"/>
  </ds:schemaRefs>
</ds:datastoreItem>
</file>

<file path=customXml/itemProps4.xml><?xml version="1.0" encoding="utf-8"?>
<ds:datastoreItem xmlns:ds="http://schemas.openxmlformats.org/officeDocument/2006/customXml" ds:itemID="{0716B34E-D65F-4677-A13C-E3DE05F77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54ff6-edc8-499b-aade-12364780df5d"/>
    <ds:schemaRef ds:uri="ece13bf6-1ea7-4350-b9c6-29d849d65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4354</Words>
  <Characters>30142</Characters>
  <Application>Microsoft Office Word</Application>
  <DocSecurity>0</DocSecurity>
  <Lines>251</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Attachment-Product information for Tepmetko</vt:lpstr>
      <vt:lpstr/>
    </vt:vector>
  </TitlesOfParts>
  <Company>Merck Healthcare Pty Ltd</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Tepmetko</dc:title>
  <dc:creator>Merck Healthcare Pty Ltd</dc:creator>
  <cp:lastModifiedBy>LACK, Janet</cp:lastModifiedBy>
  <cp:revision>3</cp:revision>
  <cp:lastPrinted>2021-11-10T00:41:00Z</cp:lastPrinted>
  <dcterms:created xsi:type="dcterms:W3CDTF">2022-09-01T06:40:00Z</dcterms:created>
  <dcterms:modified xsi:type="dcterms:W3CDTF">2022-09-01T06:42:00Z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0x0101006E06862AB3959C4EACD12CEFCD436243</vt:lpwstr>
  </property>
</Properties>
</file>