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6F403B1" w14:textId="77777777" w:rsidTr="00BF1190">
        <w:trPr>
          <w:trHeight w:val="1863"/>
        </w:trPr>
        <w:tc>
          <w:tcPr>
            <w:tcW w:w="3652" w:type="dxa"/>
            <w:tcBorders>
              <w:top w:val="nil"/>
              <w:left w:val="nil"/>
              <w:bottom w:val="nil"/>
              <w:right w:val="nil"/>
            </w:tcBorders>
          </w:tcPr>
          <w:p w14:paraId="32753EB9" w14:textId="00348A5B" w:rsidR="008E7846" w:rsidRPr="00096AA7" w:rsidRDefault="0068181F" w:rsidP="00F931CE">
            <w:pPr>
              <w:pStyle w:val="Date"/>
              <w:framePr w:hSpace="0" w:wrap="auto" w:vAnchor="margin" w:hAnchor="text" w:yAlign="inline"/>
              <w:suppressOverlap w:val="0"/>
            </w:pPr>
            <w:r>
              <w:t>August</w:t>
            </w:r>
            <w:r w:rsidR="00C346AB">
              <w:t xml:space="preserve"> </w:t>
            </w:r>
            <w:r w:rsidR="005B3718">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98A3074" w14:textId="77777777" w:rsidTr="0032583B">
        <w:trPr>
          <w:trHeight w:val="868"/>
        </w:trPr>
        <w:tc>
          <w:tcPr>
            <w:tcW w:w="9079" w:type="dxa"/>
          </w:tcPr>
          <w:p w14:paraId="6A3E77E3" w14:textId="0736D32E" w:rsidR="0032583B" w:rsidRPr="00A964D1" w:rsidRDefault="0032583B" w:rsidP="00F931CE">
            <w:pPr>
              <w:pStyle w:val="Title"/>
              <w:framePr w:hSpace="0" w:wrap="auto" w:vAnchor="margin" w:yAlign="inline"/>
            </w:pPr>
            <w:r w:rsidRPr="00A964D1">
              <w:t>Australian Public Assessment Report for</w:t>
            </w:r>
            <w:r w:rsidR="00AF2313">
              <w:t xml:space="preserve"> </w:t>
            </w:r>
            <w:proofErr w:type="spellStart"/>
            <w:r w:rsidR="005B3718">
              <w:t>Tepmetko</w:t>
            </w:r>
            <w:proofErr w:type="spellEnd"/>
            <w:r w:rsidR="005974F7">
              <w:fldChar w:fldCharType="begin"/>
            </w:r>
            <w:r w:rsidR="005974F7">
              <w:instrText xml:space="preserve"> DOCVARIABLE vault_nd_a8a54efb-3dca-4b95-bdfa-73fa5101b952 \* MERGEFORMAT </w:instrText>
            </w:r>
            <w:r w:rsidR="005974F7">
              <w:fldChar w:fldCharType="separate"/>
            </w:r>
            <w:r w:rsidR="006F6B07">
              <w:t xml:space="preserve"> </w:t>
            </w:r>
            <w:r w:rsidR="005974F7">
              <w:fldChar w:fldCharType="end"/>
            </w:r>
          </w:p>
        </w:tc>
      </w:tr>
      <w:tr w:rsidR="0032583B" w:rsidRPr="00B64760" w14:paraId="3A20D168" w14:textId="77777777" w:rsidTr="0032583B">
        <w:tc>
          <w:tcPr>
            <w:tcW w:w="9079" w:type="dxa"/>
          </w:tcPr>
          <w:p w14:paraId="4571CF0C" w14:textId="050A6AEB" w:rsidR="0032583B" w:rsidRPr="008E7846" w:rsidRDefault="00BB75D6" w:rsidP="00F931CE">
            <w:pPr>
              <w:pStyle w:val="Subtitle"/>
              <w:framePr w:hSpace="0" w:wrap="auto" w:vAnchor="margin" w:yAlign="inline"/>
            </w:pPr>
            <w:r>
              <w:t>Active ingredients</w:t>
            </w:r>
            <w:r w:rsidR="0032583B" w:rsidRPr="008E7846">
              <w:t xml:space="preserve">: </w:t>
            </w:r>
            <w:proofErr w:type="spellStart"/>
            <w:r w:rsidR="005B3718">
              <w:t>Tepotinib</w:t>
            </w:r>
            <w:proofErr w:type="spellEnd"/>
          </w:p>
        </w:tc>
      </w:tr>
      <w:tr w:rsidR="0032583B" w:rsidRPr="00B64760" w14:paraId="796BB849" w14:textId="77777777" w:rsidTr="0032583B">
        <w:trPr>
          <w:trHeight w:val="486"/>
        </w:trPr>
        <w:tc>
          <w:tcPr>
            <w:tcW w:w="9079" w:type="dxa"/>
          </w:tcPr>
          <w:p w14:paraId="180E58A7" w14:textId="336BD3B4" w:rsidR="0032583B" w:rsidRPr="008E7846" w:rsidRDefault="00460036" w:rsidP="009556D7">
            <w:pPr>
              <w:pStyle w:val="Subtitle"/>
              <w:framePr w:hSpace="0" w:wrap="auto" w:vAnchor="margin" w:yAlign="inline"/>
            </w:pPr>
            <w:r>
              <w:t>Sponsor:</w:t>
            </w:r>
            <w:r w:rsidR="005B3718">
              <w:t xml:space="preserve"> Merck Healthcare Pty Ltd</w:t>
            </w:r>
          </w:p>
        </w:tc>
      </w:tr>
    </w:tbl>
    <w:p w14:paraId="3489BC82" w14:textId="77777777" w:rsidR="008E7846" w:rsidRPr="0085156D" w:rsidRDefault="008E7846" w:rsidP="0085156D">
      <w:r w:rsidRPr="0085156D">
        <w:br w:type="page"/>
      </w:r>
    </w:p>
    <w:p w14:paraId="2311A7F6" w14:textId="6816C2D1" w:rsidR="008E7846" w:rsidRPr="001F6CBA" w:rsidRDefault="008E7846" w:rsidP="008E7846">
      <w:pPr>
        <w:pStyle w:val="NonTOCHeading2"/>
      </w:pPr>
      <w:r w:rsidRPr="001F6CBA">
        <w:lastRenderedPageBreak/>
        <w:t>About the Therapeutic Goods Administration (TGA)</w:t>
      </w:r>
      <w:r w:rsidR="00CF1281">
        <w:fldChar w:fldCharType="begin"/>
      </w:r>
      <w:r w:rsidR="00CF1281">
        <w:instrText>DOCVARIABLE vault_nd_0780a20a-043b-4d89-b062-620e8c6fbba6 \* MERGEFORMAT</w:instrText>
      </w:r>
      <w:r w:rsidR="00CF1281">
        <w:fldChar w:fldCharType="separate"/>
      </w:r>
      <w:r w:rsidR="006F6B07">
        <w:t xml:space="preserve"> </w:t>
      </w:r>
      <w:r w:rsidR="00CF1281">
        <w:fldChar w:fldCharType="end"/>
      </w:r>
    </w:p>
    <w:p w14:paraId="77654EF2" w14:textId="77777777" w:rsidR="00AF2313" w:rsidRPr="00391B0C" w:rsidRDefault="00AF2313" w:rsidP="00AF2313">
      <w:pPr>
        <w:pStyle w:val="ListBullet"/>
      </w:pPr>
      <w:r w:rsidRPr="00391B0C">
        <w:t>The Therapeutic Goods Administration (TGA) is part of the Australian Government Department of Health and is responsible for regulating therapeutic goods, including medicines, medical devices, and biologicals.</w:t>
      </w:r>
    </w:p>
    <w:p w14:paraId="04929E2B"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07CA7BAA"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DF6EA64"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048B0308" w14:textId="4C3CC5D5"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11" w:history="1">
        <w:r w:rsidRPr="000F15B4">
          <w:rPr>
            <w:rStyle w:val="Hyperlink"/>
          </w:rPr>
          <w:t>TGA website</w:t>
        </w:r>
      </w:hyperlink>
      <w:r w:rsidRPr="003C6D1F">
        <w:t>.</w:t>
      </w:r>
    </w:p>
    <w:p w14:paraId="63FFF164" w14:textId="56C970F8" w:rsidR="008E7846" w:rsidRDefault="008E7846" w:rsidP="00875A6B">
      <w:pPr>
        <w:pStyle w:val="NonTOCHeading2"/>
      </w:pPr>
      <w:r>
        <w:t xml:space="preserve">About </w:t>
      </w:r>
      <w:proofErr w:type="spellStart"/>
      <w:r>
        <w:t>AusPARs</w:t>
      </w:r>
      <w:proofErr w:type="spellEnd"/>
      <w:r w:rsidR="005974F7">
        <w:fldChar w:fldCharType="begin"/>
      </w:r>
      <w:r w:rsidR="005974F7">
        <w:instrText xml:space="preserve"> DOCVARIABLE vault_nd_62a880a3-b0ae-4d28-bd6a-77126897afcf \* MERGEFORMAT </w:instrText>
      </w:r>
      <w:r w:rsidR="005974F7">
        <w:fldChar w:fldCharType="separate"/>
      </w:r>
      <w:r w:rsidR="006F6B07">
        <w:t xml:space="preserve"> </w:t>
      </w:r>
      <w:r w:rsidR="005974F7">
        <w:fldChar w:fldCharType="end"/>
      </w:r>
    </w:p>
    <w:p w14:paraId="6CDC7EF7" w14:textId="08FFAF37" w:rsidR="00AF2313" w:rsidRPr="003C6D1F" w:rsidRDefault="00AF2313" w:rsidP="00AF2313">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2">
        <w:r w:rsidRPr="27B716BF">
          <w:rPr>
            <w:rStyle w:val="Hyperlink"/>
          </w:rPr>
          <w:t>Australian Public Assessment Report (</w:t>
        </w:r>
        <w:proofErr w:type="spellStart"/>
        <w:r w:rsidRPr="27B716BF">
          <w:rPr>
            <w:rStyle w:val="Hyperlink"/>
          </w:rPr>
          <w:t>AusPAR</w:t>
        </w:r>
        <w:proofErr w:type="spellEnd"/>
        <w:r w:rsidRPr="27B716BF">
          <w:rPr>
            <w:rStyle w:val="Hyperlink"/>
          </w:rPr>
          <w:t>) guidance</w:t>
        </w:r>
      </w:hyperlink>
      <w:r>
        <w:t>.</w:t>
      </w:r>
    </w:p>
    <w:p w14:paraId="61FFAA50" w14:textId="77777777" w:rsidR="00AF2313" w:rsidRPr="003C6D1F" w:rsidRDefault="00AF2313" w:rsidP="00AF2313">
      <w:pPr>
        <w:pStyle w:val="ListBullet"/>
      </w:pPr>
      <w:proofErr w:type="spellStart"/>
      <w:r w:rsidRPr="003C6D1F">
        <w:t>AusPARs</w:t>
      </w:r>
      <w:proofErr w:type="spellEnd"/>
      <w:r w:rsidRPr="003C6D1F">
        <w:t xml:space="preserve"> are prepared and published by the TGA.</w:t>
      </w:r>
    </w:p>
    <w:p w14:paraId="28359E26" w14:textId="77777777" w:rsidR="00AF2313" w:rsidRPr="003C6D1F" w:rsidRDefault="00AF2313" w:rsidP="00AF2313">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rsidR="008110BC">
        <w:t xml:space="preserve"> The publication of an </w:t>
      </w:r>
      <w:proofErr w:type="spellStart"/>
      <w:r w:rsidR="008110BC">
        <w:t>AusPAR</w:t>
      </w:r>
      <w:proofErr w:type="spellEnd"/>
      <w:r w:rsidR="008110BC">
        <w:t xml:space="preserve"> is an important part of the transparency of the TGA’s decision-making process.</w:t>
      </w:r>
    </w:p>
    <w:p w14:paraId="2C00DE8A" w14:textId="77777777" w:rsidR="00AF2313" w:rsidRPr="003C6D1F" w:rsidRDefault="00AF2313" w:rsidP="00AF2313">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38661998" w14:textId="756D3769" w:rsidR="00924482" w:rsidRPr="00DF1D7F" w:rsidRDefault="00924482" w:rsidP="00F54B65">
      <w:pPr>
        <w:pStyle w:val="LegalSubheading"/>
        <w:spacing w:before="3120"/>
      </w:pPr>
      <w:r w:rsidRPr="00DF1D7F">
        <w:t>Copyright</w:t>
      </w:r>
      <w:r w:rsidR="00CF1281">
        <w:fldChar w:fldCharType="begin"/>
      </w:r>
      <w:r w:rsidR="00CF1281">
        <w:instrText>DOCVARIABLE vau</w:instrText>
      </w:r>
      <w:r w:rsidR="00CF1281">
        <w:instrText>lt_nd_289bff50-5b26-4b25-9442-162daf6879a5 \* MERGEFORMAT</w:instrText>
      </w:r>
      <w:r w:rsidR="00CF1281">
        <w:fldChar w:fldCharType="separate"/>
      </w:r>
      <w:r w:rsidR="006F6B07">
        <w:t xml:space="preserve"> </w:t>
      </w:r>
      <w:r w:rsidR="00CF1281">
        <w:fldChar w:fldCharType="end"/>
      </w:r>
    </w:p>
    <w:p w14:paraId="3FF09E4E" w14:textId="79F3BA7E"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F231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3" w:history="1">
        <w:r w:rsidRPr="00191B3B">
          <w:rPr>
            <w:rStyle w:val="Hyperlink"/>
            <w:rFonts w:cs="Arial"/>
            <w:lang w:val="en-GB"/>
          </w:rPr>
          <w:t>tga.copyright@tga.gov.au</w:t>
        </w:r>
      </w:hyperlink>
      <w:r w:rsidRPr="00191B3B">
        <w:rPr>
          <w:rFonts w:cs="Arial"/>
        </w:rPr>
        <w:t>&gt;.</w:t>
      </w:r>
    </w:p>
    <w:p w14:paraId="0CF5F81F" w14:textId="77777777" w:rsidR="00924482" w:rsidRDefault="00924482" w:rsidP="00924482">
      <w:pPr>
        <w:pStyle w:val="LegalCopy"/>
        <w:sectPr w:rsidR="00924482" w:rsidSect="003D1E62">
          <w:headerReference w:type="default" r:id="rId14"/>
          <w:footerReference w:type="default" r:id="rId15"/>
          <w:headerReference w:type="first" r:id="rId16"/>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533C724F" w14:textId="7209C139" w:rsidR="0089635C" w:rsidRPr="0089635C" w:rsidRDefault="0089635C" w:rsidP="0010788A">
          <w:pPr>
            <w:pStyle w:val="Contents"/>
          </w:pPr>
          <w:r w:rsidRPr="0010788A">
            <w:t>Contents</w:t>
          </w:r>
          <w:r w:rsidR="00CF1281">
            <w:fldChar w:fldCharType="begin"/>
          </w:r>
          <w:r w:rsidR="00CF1281">
            <w:instrText>DOCVARIABLE vault_nd_ebb94a98-6d64-4d1f-8f8d-a94b1f2cd3f9 \* MERGEFORMAT</w:instrText>
          </w:r>
          <w:r w:rsidR="00CF1281">
            <w:fldChar w:fldCharType="separate"/>
          </w:r>
          <w:r w:rsidR="006F6B07">
            <w:t xml:space="preserve"> </w:t>
          </w:r>
          <w:r w:rsidR="00CF1281">
            <w:fldChar w:fldCharType="end"/>
          </w:r>
        </w:p>
        <w:p w14:paraId="1DF8523C" w14:textId="00DD3C2A" w:rsidR="00AD00F0"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07841972" w:history="1">
            <w:r w:rsidR="00AD00F0" w:rsidRPr="00563764">
              <w:rPr>
                <w:rStyle w:val="Hyperlink"/>
                <w:noProof/>
              </w:rPr>
              <w:t>List of abbreviations</w:t>
            </w:r>
            <w:r w:rsidR="00AD00F0">
              <w:rPr>
                <w:noProof/>
                <w:webHidden/>
              </w:rPr>
              <w:tab/>
            </w:r>
            <w:r w:rsidR="00AD00F0">
              <w:rPr>
                <w:noProof/>
                <w:webHidden/>
              </w:rPr>
              <w:fldChar w:fldCharType="begin"/>
            </w:r>
            <w:r w:rsidR="00AD00F0">
              <w:rPr>
                <w:noProof/>
                <w:webHidden/>
              </w:rPr>
              <w:instrText xml:space="preserve"> PAGEREF _Toc107841972 \h </w:instrText>
            </w:r>
            <w:r w:rsidR="00AD00F0">
              <w:rPr>
                <w:noProof/>
                <w:webHidden/>
              </w:rPr>
            </w:r>
            <w:r w:rsidR="00AD00F0">
              <w:rPr>
                <w:noProof/>
                <w:webHidden/>
              </w:rPr>
              <w:fldChar w:fldCharType="separate"/>
            </w:r>
            <w:r w:rsidR="006F6B07">
              <w:rPr>
                <w:noProof/>
                <w:webHidden/>
              </w:rPr>
              <w:t>4</w:t>
            </w:r>
            <w:r w:rsidR="00AD00F0">
              <w:rPr>
                <w:noProof/>
                <w:webHidden/>
              </w:rPr>
              <w:fldChar w:fldCharType="end"/>
            </w:r>
          </w:hyperlink>
        </w:p>
        <w:p w14:paraId="5A777D72" w14:textId="487482C8" w:rsidR="00AD00F0" w:rsidRDefault="00CF1281">
          <w:pPr>
            <w:pStyle w:val="TOC1"/>
            <w:rPr>
              <w:rFonts w:asciiTheme="minorHAnsi" w:eastAsiaTheme="minorEastAsia" w:hAnsiTheme="minorHAnsi" w:cstheme="minorBidi"/>
              <w:b w:val="0"/>
              <w:noProof/>
              <w:sz w:val="22"/>
              <w:lang w:eastAsia="en-AU"/>
            </w:rPr>
          </w:pPr>
          <w:hyperlink w:anchor="_Toc107841973" w:history="1">
            <w:r w:rsidR="00AD00F0" w:rsidRPr="00563764">
              <w:rPr>
                <w:rStyle w:val="Hyperlink"/>
                <w:noProof/>
              </w:rPr>
              <w:t>Product submission</w:t>
            </w:r>
            <w:r w:rsidR="00AD00F0">
              <w:rPr>
                <w:noProof/>
                <w:webHidden/>
              </w:rPr>
              <w:tab/>
            </w:r>
            <w:r w:rsidR="00AD00F0">
              <w:rPr>
                <w:noProof/>
                <w:webHidden/>
              </w:rPr>
              <w:fldChar w:fldCharType="begin"/>
            </w:r>
            <w:r w:rsidR="00AD00F0">
              <w:rPr>
                <w:noProof/>
                <w:webHidden/>
              </w:rPr>
              <w:instrText xml:space="preserve"> PAGEREF _Toc107841973 \h </w:instrText>
            </w:r>
            <w:r w:rsidR="00AD00F0">
              <w:rPr>
                <w:noProof/>
                <w:webHidden/>
              </w:rPr>
            </w:r>
            <w:r w:rsidR="00AD00F0">
              <w:rPr>
                <w:noProof/>
                <w:webHidden/>
              </w:rPr>
              <w:fldChar w:fldCharType="separate"/>
            </w:r>
            <w:r w:rsidR="006F6B07">
              <w:rPr>
                <w:noProof/>
                <w:webHidden/>
              </w:rPr>
              <w:t>6</w:t>
            </w:r>
            <w:r w:rsidR="00AD00F0">
              <w:rPr>
                <w:noProof/>
                <w:webHidden/>
              </w:rPr>
              <w:fldChar w:fldCharType="end"/>
            </w:r>
          </w:hyperlink>
        </w:p>
        <w:p w14:paraId="35145A5A" w14:textId="2279AC63" w:rsidR="00AD00F0" w:rsidRDefault="00CF1281">
          <w:pPr>
            <w:pStyle w:val="TOC2"/>
            <w:rPr>
              <w:rFonts w:asciiTheme="minorHAnsi" w:eastAsiaTheme="minorEastAsia" w:hAnsiTheme="minorHAnsi" w:cstheme="minorBidi"/>
              <w:b w:val="0"/>
              <w:noProof/>
              <w:sz w:val="22"/>
              <w:lang w:eastAsia="en-AU"/>
            </w:rPr>
          </w:pPr>
          <w:hyperlink w:anchor="_Toc107841974" w:history="1">
            <w:r w:rsidR="00AD00F0" w:rsidRPr="00563764">
              <w:rPr>
                <w:rStyle w:val="Hyperlink"/>
                <w:noProof/>
                <w:lang w:eastAsia="en-AU"/>
              </w:rPr>
              <w:t>Submission details</w:t>
            </w:r>
            <w:r w:rsidR="00AD00F0">
              <w:rPr>
                <w:noProof/>
                <w:webHidden/>
              </w:rPr>
              <w:tab/>
            </w:r>
            <w:r w:rsidR="00AD00F0">
              <w:rPr>
                <w:noProof/>
                <w:webHidden/>
              </w:rPr>
              <w:fldChar w:fldCharType="begin"/>
            </w:r>
            <w:r w:rsidR="00AD00F0">
              <w:rPr>
                <w:noProof/>
                <w:webHidden/>
              </w:rPr>
              <w:instrText xml:space="preserve"> PAGEREF _Toc107841974 \h </w:instrText>
            </w:r>
            <w:r w:rsidR="00AD00F0">
              <w:rPr>
                <w:noProof/>
                <w:webHidden/>
              </w:rPr>
            </w:r>
            <w:r w:rsidR="00AD00F0">
              <w:rPr>
                <w:noProof/>
                <w:webHidden/>
              </w:rPr>
              <w:fldChar w:fldCharType="separate"/>
            </w:r>
            <w:r w:rsidR="006F6B07">
              <w:rPr>
                <w:noProof/>
                <w:webHidden/>
              </w:rPr>
              <w:t>6</w:t>
            </w:r>
            <w:r w:rsidR="00AD00F0">
              <w:rPr>
                <w:noProof/>
                <w:webHidden/>
              </w:rPr>
              <w:fldChar w:fldCharType="end"/>
            </w:r>
          </w:hyperlink>
        </w:p>
        <w:p w14:paraId="68DB03A9" w14:textId="2B4DAA8D" w:rsidR="00AD00F0" w:rsidRDefault="00CF1281">
          <w:pPr>
            <w:pStyle w:val="TOC2"/>
            <w:rPr>
              <w:rFonts w:asciiTheme="minorHAnsi" w:eastAsiaTheme="minorEastAsia" w:hAnsiTheme="minorHAnsi" w:cstheme="minorBidi"/>
              <w:b w:val="0"/>
              <w:noProof/>
              <w:sz w:val="22"/>
              <w:lang w:eastAsia="en-AU"/>
            </w:rPr>
          </w:pPr>
          <w:hyperlink w:anchor="_Toc107841975" w:history="1">
            <w:r w:rsidR="00AD00F0" w:rsidRPr="00563764">
              <w:rPr>
                <w:rStyle w:val="Hyperlink"/>
                <w:noProof/>
              </w:rPr>
              <w:t>Product background</w:t>
            </w:r>
            <w:r w:rsidR="00AD00F0">
              <w:rPr>
                <w:noProof/>
                <w:webHidden/>
              </w:rPr>
              <w:tab/>
            </w:r>
            <w:r w:rsidR="00AD00F0">
              <w:rPr>
                <w:noProof/>
                <w:webHidden/>
              </w:rPr>
              <w:fldChar w:fldCharType="begin"/>
            </w:r>
            <w:r w:rsidR="00AD00F0">
              <w:rPr>
                <w:noProof/>
                <w:webHidden/>
              </w:rPr>
              <w:instrText xml:space="preserve"> PAGEREF _Toc107841975 \h </w:instrText>
            </w:r>
            <w:r w:rsidR="00AD00F0">
              <w:rPr>
                <w:noProof/>
                <w:webHidden/>
              </w:rPr>
            </w:r>
            <w:r w:rsidR="00AD00F0">
              <w:rPr>
                <w:noProof/>
                <w:webHidden/>
              </w:rPr>
              <w:fldChar w:fldCharType="separate"/>
            </w:r>
            <w:r w:rsidR="006F6B07">
              <w:rPr>
                <w:noProof/>
                <w:webHidden/>
              </w:rPr>
              <w:t>7</w:t>
            </w:r>
            <w:r w:rsidR="00AD00F0">
              <w:rPr>
                <w:noProof/>
                <w:webHidden/>
              </w:rPr>
              <w:fldChar w:fldCharType="end"/>
            </w:r>
          </w:hyperlink>
        </w:p>
        <w:p w14:paraId="352869D9" w14:textId="64CCA812" w:rsidR="00AD00F0" w:rsidRDefault="00CF1281">
          <w:pPr>
            <w:pStyle w:val="TOC2"/>
            <w:rPr>
              <w:rFonts w:asciiTheme="minorHAnsi" w:eastAsiaTheme="minorEastAsia" w:hAnsiTheme="minorHAnsi" w:cstheme="minorBidi"/>
              <w:b w:val="0"/>
              <w:noProof/>
              <w:sz w:val="22"/>
              <w:lang w:eastAsia="en-AU"/>
            </w:rPr>
          </w:pPr>
          <w:hyperlink w:anchor="_Toc107841976" w:history="1">
            <w:r w:rsidR="00AD00F0" w:rsidRPr="00563764">
              <w:rPr>
                <w:rStyle w:val="Hyperlink"/>
                <w:noProof/>
              </w:rPr>
              <w:t>Regulatory status</w:t>
            </w:r>
            <w:r w:rsidR="00AD00F0">
              <w:rPr>
                <w:noProof/>
                <w:webHidden/>
              </w:rPr>
              <w:tab/>
            </w:r>
            <w:r w:rsidR="00AD00F0">
              <w:rPr>
                <w:noProof/>
                <w:webHidden/>
              </w:rPr>
              <w:fldChar w:fldCharType="begin"/>
            </w:r>
            <w:r w:rsidR="00AD00F0">
              <w:rPr>
                <w:noProof/>
                <w:webHidden/>
              </w:rPr>
              <w:instrText xml:space="preserve"> PAGEREF _Toc107841976 \h </w:instrText>
            </w:r>
            <w:r w:rsidR="00AD00F0">
              <w:rPr>
                <w:noProof/>
                <w:webHidden/>
              </w:rPr>
            </w:r>
            <w:r w:rsidR="00AD00F0">
              <w:rPr>
                <w:noProof/>
                <w:webHidden/>
              </w:rPr>
              <w:fldChar w:fldCharType="separate"/>
            </w:r>
            <w:r w:rsidR="006F6B07">
              <w:rPr>
                <w:noProof/>
                <w:webHidden/>
              </w:rPr>
              <w:t>9</w:t>
            </w:r>
            <w:r w:rsidR="00AD00F0">
              <w:rPr>
                <w:noProof/>
                <w:webHidden/>
              </w:rPr>
              <w:fldChar w:fldCharType="end"/>
            </w:r>
          </w:hyperlink>
        </w:p>
        <w:p w14:paraId="6A71828B" w14:textId="5AA75D32" w:rsidR="00AD00F0" w:rsidRDefault="00CF1281">
          <w:pPr>
            <w:pStyle w:val="TOC2"/>
            <w:rPr>
              <w:rFonts w:asciiTheme="minorHAnsi" w:eastAsiaTheme="minorEastAsia" w:hAnsiTheme="minorHAnsi" w:cstheme="minorBidi"/>
              <w:b w:val="0"/>
              <w:noProof/>
              <w:sz w:val="22"/>
              <w:lang w:eastAsia="en-AU"/>
            </w:rPr>
          </w:pPr>
          <w:hyperlink w:anchor="_Toc107841977" w:history="1">
            <w:r w:rsidR="00AD00F0" w:rsidRPr="00563764">
              <w:rPr>
                <w:rStyle w:val="Hyperlink"/>
                <w:noProof/>
              </w:rPr>
              <w:t>Product Information</w:t>
            </w:r>
            <w:r w:rsidR="00AD00F0">
              <w:rPr>
                <w:noProof/>
                <w:webHidden/>
              </w:rPr>
              <w:tab/>
            </w:r>
            <w:r w:rsidR="00AD00F0">
              <w:rPr>
                <w:noProof/>
                <w:webHidden/>
              </w:rPr>
              <w:fldChar w:fldCharType="begin"/>
            </w:r>
            <w:r w:rsidR="00AD00F0">
              <w:rPr>
                <w:noProof/>
                <w:webHidden/>
              </w:rPr>
              <w:instrText xml:space="preserve"> PAGEREF _Toc107841977 \h </w:instrText>
            </w:r>
            <w:r w:rsidR="00AD00F0">
              <w:rPr>
                <w:noProof/>
                <w:webHidden/>
              </w:rPr>
            </w:r>
            <w:r w:rsidR="00AD00F0">
              <w:rPr>
                <w:noProof/>
                <w:webHidden/>
              </w:rPr>
              <w:fldChar w:fldCharType="separate"/>
            </w:r>
            <w:r w:rsidR="006F6B07">
              <w:rPr>
                <w:noProof/>
                <w:webHidden/>
              </w:rPr>
              <w:t>12</w:t>
            </w:r>
            <w:r w:rsidR="00AD00F0">
              <w:rPr>
                <w:noProof/>
                <w:webHidden/>
              </w:rPr>
              <w:fldChar w:fldCharType="end"/>
            </w:r>
          </w:hyperlink>
        </w:p>
        <w:p w14:paraId="1FAA1119" w14:textId="56C6CE65" w:rsidR="00AD00F0" w:rsidRDefault="00CF1281">
          <w:pPr>
            <w:pStyle w:val="TOC1"/>
            <w:rPr>
              <w:rFonts w:asciiTheme="minorHAnsi" w:eastAsiaTheme="minorEastAsia" w:hAnsiTheme="minorHAnsi" w:cstheme="minorBidi"/>
              <w:b w:val="0"/>
              <w:noProof/>
              <w:sz w:val="22"/>
              <w:lang w:eastAsia="en-AU"/>
            </w:rPr>
          </w:pPr>
          <w:hyperlink w:anchor="_Toc107841978" w:history="1">
            <w:r w:rsidR="00AD00F0" w:rsidRPr="00563764">
              <w:rPr>
                <w:rStyle w:val="Hyperlink"/>
                <w:noProof/>
              </w:rPr>
              <w:t>Registration timeline</w:t>
            </w:r>
            <w:r w:rsidR="00AD00F0">
              <w:rPr>
                <w:noProof/>
                <w:webHidden/>
              </w:rPr>
              <w:tab/>
            </w:r>
            <w:r w:rsidR="00AD00F0">
              <w:rPr>
                <w:noProof/>
                <w:webHidden/>
              </w:rPr>
              <w:fldChar w:fldCharType="begin"/>
            </w:r>
            <w:r w:rsidR="00AD00F0">
              <w:rPr>
                <w:noProof/>
                <w:webHidden/>
              </w:rPr>
              <w:instrText xml:space="preserve"> PAGEREF _Toc107841978 \h </w:instrText>
            </w:r>
            <w:r w:rsidR="00AD00F0">
              <w:rPr>
                <w:noProof/>
                <w:webHidden/>
              </w:rPr>
            </w:r>
            <w:r w:rsidR="00AD00F0">
              <w:rPr>
                <w:noProof/>
                <w:webHidden/>
              </w:rPr>
              <w:fldChar w:fldCharType="separate"/>
            </w:r>
            <w:r w:rsidR="006F6B07">
              <w:rPr>
                <w:noProof/>
                <w:webHidden/>
              </w:rPr>
              <w:t>12</w:t>
            </w:r>
            <w:r w:rsidR="00AD00F0">
              <w:rPr>
                <w:noProof/>
                <w:webHidden/>
              </w:rPr>
              <w:fldChar w:fldCharType="end"/>
            </w:r>
          </w:hyperlink>
        </w:p>
        <w:p w14:paraId="5A5EB68F" w14:textId="398D2A4B" w:rsidR="00AD00F0" w:rsidRDefault="00CF1281">
          <w:pPr>
            <w:pStyle w:val="TOC1"/>
            <w:rPr>
              <w:rFonts w:asciiTheme="minorHAnsi" w:eastAsiaTheme="minorEastAsia" w:hAnsiTheme="minorHAnsi" w:cstheme="minorBidi"/>
              <w:b w:val="0"/>
              <w:noProof/>
              <w:sz w:val="22"/>
              <w:lang w:eastAsia="en-AU"/>
            </w:rPr>
          </w:pPr>
          <w:hyperlink w:anchor="_Toc107841979" w:history="1">
            <w:r w:rsidR="00AD00F0" w:rsidRPr="00563764">
              <w:rPr>
                <w:rStyle w:val="Hyperlink"/>
                <w:noProof/>
              </w:rPr>
              <w:t>Submission overview and risk/benefit assessment</w:t>
            </w:r>
            <w:r w:rsidR="00AD00F0">
              <w:rPr>
                <w:noProof/>
                <w:webHidden/>
              </w:rPr>
              <w:tab/>
            </w:r>
            <w:r w:rsidR="00AD00F0">
              <w:rPr>
                <w:noProof/>
                <w:webHidden/>
              </w:rPr>
              <w:fldChar w:fldCharType="begin"/>
            </w:r>
            <w:r w:rsidR="00AD00F0">
              <w:rPr>
                <w:noProof/>
                <w:webHidden/>
              </w:rPr>
              <w:instrText xml:space="preserve"> PAGEREF _Toc107841979 \h </w:instrText>
            </w:r>
            <w:r w:rsidR="00AD00F0">
              <w:rPr>
                <w:noProof/>
                <w:webHidden/>
              </w:rPr>
            </w:r>
            <w:r w:rsidR="00AD00F0">
              <w:rPr>
                <w:noProof/>
                <w:webHidden/>
              </w:rPr>
              <w:fldChar w:fldCharType="separate"/>
            </w:r>
            <w:r w:rsidR="006F6B07">
              <w:rPr>
                <w:noProof/>
                <w:webHidden/>
              </w:rPr>
              <w:t>13</w:t>
            </w:r>
            <w:r w:rsidR="00AD00F0">
              <w:rPr>
                <w:noProof/>
                <w:webHidden/>
              </w:rPr>
              <w:fldChar w:fldCharType="end"/>
            </w:r>
          </w:hyperlink>
        </w:p>
        <w:p w14:paraId="7E8E7AEA" w14:textId="06C0D34F" w:rsidR="00AD00F0" w:rsidRDefault="00CF1281">
          <w:pPr>
            <w:pStyle w:val="TOC2"/>
            <w:rPr>
              <w:rFonts w:asciiTheme="minorHAnsi" w:eastAsiaTheme="minorEastAsia" w:hAnsiTheme="minorHAnsi" w:cstheme="minorBidi"/>
              <w:b w:val="0"/>
              <w:noProof/>
              <w:sz w:val="22"/>
              <w:lang w:eastAsia="en-AU"/>
            </w:rPr>
          </w:pPr>
          <w:hyperlink w:anchor="_Toc107841980" w:history="1">
            <w:r w:rsidR="00AD00F0" w:rsidRPr="00563764">
              <w:rPr>
                <w:rStyle w:val="Hyperlink"/>
                <w:noProof/>
              </w:rPr>
              <w:t>Quality</w:t>
            </w:r>
            <w:r w:rsidR="00AD00F0">
              <w:rPr>
                <w:noProof/>
                <w:webHidden/>
              </w:rPr>
              <w:tab/>
            </w:r>
            <w:r w:rsidR="00AD00F0">
              <w:rPr>
                <w:noProof/>
                <w:webHidden/>
              </w:rPr>
              <w:fldChar w:fldCharType="begin"/>
            </w:r>
            <w:r w:rsidR="00AD00F0">
              <w:rPr>
                <w:noProof/>
                <w:webHidden/>
              </w:rPr>
              <w:instrText xml:space="preserve"> PAGEREF _Toc107841980 \h </w:instrText>
            </w:r>
            <w:r w:rsidR="00AD00F0">
              <w:rPr>
                <w:noProof/>
                <w:webHidden/>
              </w:rPr>
            </w:r>
            <w:r w:rsidR="00AD00F0">
              <w:rPr>
                <w:noProof/>
                <w:webHidden/>
              </w:rPr>
              <w:fldChar w:fldCharType="separate"/>
            </w:r>
            <w:r w:rsidR="006F6B07">
              <w:rPr>
                <w:noProof/>
                <w:webHidden/>
              </w:rPr>
              <w:t>13</w:t>
            </w:r>
            <w:r w:rsidR="00AD00F0">
              <w:rPr>
                <w:noProof/>
                <w:webHidden/>
              </w:rPr>
              <w:fldChar w:fldCharType="end"/>
            </w:r>
          </w:hyperlink>
        </w:p>
        <w:p w14:paraId="3B0E6396" w14:textId="64516360" w:rsidR="00AD00F0" w:rsidRDefault="00CF1281">
          <w:pPr>
            <w:pStyle w:val="TOC2"/>
            <w:rPr>
              <w:rFonts w:asciiTheme="minorHAnsi" w:eastAsiaTheme="minorEastAsia" w:hAnsiTheme="minorHAnsi" w:cstheme="minorBidi"/>
              <w:b w:val="0"/>
              <w:noProof/>
              <w:sz w:val="22"/>
              <w:lang w:eastAsia="en-AU"/>
            </w:rPr>
          </w:pPr>
          <w:hyperlink w:anchor="_Toc107841981" w:history="1">
            <w:r w:rsidR="00AD00F0" w:rsidRPr="00563764">
              <w:rPr>
                <w:rStyle w:val="Hyperlink"/>
                <w:noProof/>
              </w:rPr>
              <w:t>Nonclinical</w:t>
            </w:r>
            <w:r w:rsidR="00AD00F0">
              <w:rPr>
                <w:noProof/>
                <w:webHidden/>
              </w:rPr>
              <w:tab/>
            </w:r>
            <w:r w:rsidR="00AD00F0">
              <w:rPr>
                <w:noProof/>
                <w:webHidden/>
              </w:rPr>
              <w:fldChar w:fldCharType="begin"/>
            </w:r>
            <w:r w:rsidR="00AD00F0">
              <w:rPr>
                <w:noProof/>
                <w:webHidden/>
              </w:rPr>
              <w:instrText xml:space="preserve"> PAGEREF _Toc107841981 \h </w:instrText>
            </w:r>
            <w:r w:rsidR="00AD00F0">
              <w:rPr>
                <w:noProof/>
                <w:webHidden/>
              </w:rPr>
            </w:r>
            <w:r w:rsidR="00AD00F0">
              <w:rPr>
                <w:noProof/>
                <w:webHidden/>
              </w:rPr>
              <w:fldChar w:fldCharType="separate"/>
            </w:r>
            <w:r w:rsidR="006F6B07">
              <w:rPr>
                <w:noProof/>
                <w:webHidden/>
              </w:rPr>
              <w:t>14</w:t>
            </w:r>
            <w:r w:rsidR="00AD00F0">
              <w:rPr>
                <w:noProof/>
                <w:webHidden/>
              </w:rPr>
              <w:fldChar w:fldCharType="end"/>
            </w:r>
          </w:hyperlink>
        </w:p>
        <w:p w14:paraId="320F3FA5" w14:textId="0FD1F362" w:rsidR="00AD00F0" w:rsidRDefault="00CF1281">
          <w:pPr>
            <w:pStyle w:val="TOC2"/>
            <w:rPr>
              <w:rFonts w:asciiTheme="minorHAnsi" w:eastAsiaTheme="minorEastAsia" w:hAnsiTheme="minorHAnsi" w:cstheme="minorBidi"/>
              <w:b w:val="0"/>
              <w:noProof/>
              <w:sz w:val="22"/>
              <w:lang w:eastAsia="en-AU"/>
            </w:rPr>
          </w:pPr>
          <w:hyperlink w:anchor="_Toc107841982" w:history="1">
            <w:r w:rsidR="00AD00F0" w:rsidRPr="00563764">
              <w:rPr>
                <w:rStyle w:val="Hyperlink"/>
                <w:noProof/>
              </w:rPr>
              <w:t>Clinical</w:t>
            </w:r>
            <w:r w:rsidR="00AD00F0">
              <w:rPr>
                <w:noProof/>
                <w:webHidden/>
              </w:rPr>
              <w:tab/>
            </w:r>
            <w:r w:rsidR="00AD00F0">
              <w:rPr>
                <w:noProof/>
                <w:webHidden/>
              </w:rPr>
              <w:fldChar w:fldCharType="begin"/>
            </w:r>
            <w:r w:rsidR="00AD00F0">
              <w:rPr>
                <w:noProof/>
                <w:webHidden/>
              </w:rPr>
              <w:instrText xml:space="preserve"> PAGEREF _Toc107841982 \h </w:instrText>
            </w:r>
            <w:r w:rsidR="00AD00F0">
              <w:rPr>
                <w:noProof/>
                <w:webHidden/>
              </w:rPr>
            </w:r>
            <w:r w:rsidR="00AD00F0">
              <w:rPr>
                <w:noProof/>
                <w:webHidden/>
              </w:rPr>
              <w:fldChar w:fldCharType="separate"/>
            </w:r>
            <w:r w:rsidR="006F6B07">
              <w:rPr>
                <w:noProof/>
                <w:webHidden/>
              </w:rPr>
              <w:t>14</w:t>
            </w:r>
            <w:r w:rsidR="00AD00F0">
              <w:rPr>
                <w:noProof/>
                <w:webHidden/>
              </w:rPr>
              <w:fldChar w:fldCharType="end"/>
            </w:r>
          </w:hyperlink>
        </w:p>
        <w:p w14:paraId="0E0961BB" w14:textId="019DA198" w:rsidR="00AD00F0" w:rsidRDefault="00CF1281">
          <w:pPr>
            <w:pStyle w:val="TOC2"/>
            <w:rPr>
              <w:rFonts w:asciiTheme="minorHAnsi" w:eastAsiaTheme="minorEastAsia" w:hAnsiTheme="minorHAnsi" w:cstheme="minorBidi"/>
              <w:b w:val="0"/>
              <w:noProof/>
              <w:sz w:val="22"/>
              <w:lang w:eastAsia="en-AU"/>
            </w:rPr>
          </w:pPr>
          <w:hyperlink w:anchor="_Toc107841983" w:history="1">
            <w:r w:rsidR="00AD00F0" w:rsidRPr="00563764">
              <w:rPr>
                <w:rStyle w:val="Hyperlink"/>
                <w:noProof/>
                <w:lang w:eastAsia="en-AU"/>
              </w:rPr>
              <w:t>Risk management plan</w:t>
            </w:r>
            <w:r w:rsidR="00AD00F0">
              <w:rPr>
                <w:noProof/>
                <w:webHidden/>
              </w:rPr>
              <w:tab/>
            </w:r>
            <w:r w:rsidR="00AD00F0">
              <w:rPr>
                <w:noProof/>
                <w:webHidden/>
              </w:rPr>
              <w:fldChar w:fldCharType="begin"/>
            </w:r>
            <w:r w:rsidR="00AD00F0">
              <w:rPr>
                <w:noProof/>
                <w:webHidden/>
              </w:rPr>
              <w:instrText xml:space="preserve"> PAGEREF _Toc107841983 \h </w:instrText>
            </w:r>
            <w:r w:rsidR="00AD00F0">
              <w:rPr>
                <w:noProof/>
                <w:webHidden/>
              </w:rPr>
            </w:r>
            <w:r w:rsidR="00AD00F0">
              <w:rPr>
                <w:noProof/>
                <w:webHidden/>
              </w:rPr>
              <w:fldChar w:fldCharType="separate"/>
            </w:r>
            <w:r w:rsidR="006F6B07">
              <w:rPr>
                <w:noProof/>
                <w:webHidden/>
              </w:rPr>
              <w:t>22</w:t>
            </w:r>
            <w:r w:rsidR="00AD00F0">
              <w:rPr>
                <w:noProof/>
                <w:webHidden/>
              </w:rPr>
              <w:fldChar w:fldCharType="end"/>
            </w:r>
          </w:hyperlink>
        </w:p>
        <w:p w14:paraId="18F6ECAC" w14:textId="36790B28" w:rsidR="00AD00F0" w:rsidRDefault="00CF1281">
          <w:pPr>
            <w:pStyle w:val="TOC2"/>
            <w:rPr>
              <w:rFonts w:asciiTheme="minorHAnsi" w:eastAsiaTheme="minorEastAsia" w:hAnsiTheme="minorHAnsi" w:cstheme="minorBidi"/>
              <w:b w:val="0"/>
              <w:noProof/>
              <w:sz w:val="22"/>
              <w:lang w:eastAsia="en-AU"/>
            </w:rPr>
          </w:pPr>
          <w:hyperlink w:anchor="_Toc107841984" w:history="1">
            <w:r w:rsidR="00AD00F0" w:rsidRPr="00563764">
              <w:rPr>
                <w:rStyle w:val="Hyperlink"/>
                <w:noProof/>
              </w:rPr>
              <w:t>Risk-benefit analysis</w:t>
            </w:r>
            <w:r w:rsidR="00AD00F0">
              <w:rPr>
                <w:noProof/>
                <w:webHidden/>
              </w:rPr>
              <w:tab/>
            </w:r>
            <w:r w:rsidR="00AD00F0">
              <w:rPr>
                <w:noProof/>
                <w:webHidden/>
              </w:rPr>
              <w:fldChar w:fldCharType="begin"/>
            </w:r>
            <w:r w:rsidR="00AD00F0">
              <w:rPr>
                <w:noProof/>
                <w:webHidden/>
              </w:rPr>
              <w:instrText xml:space="preserve"> PAGEREF _Toc107841984 \h </w:instrText>
            </w:r>
            <w:r w:rsidR="00AD00F0">
              <w:rPr>
                <w:noProof/>
                <w:webHidden/>
              </w:rPr>
            </w:r>
            <w:r w:rsidR="00AD00F0">
              <w:rPr>
                <w:noProof/>
                <w:webHidden/>
              </w:rPr>
              <w:fldChar w:fldCharType="separate"/>
            </w:r>
            <w:r w:rsidR="006F6B07">
              <w:rPr>
                <w:noProof/>
                <w:webHidden/>
              </w:rPr>
              <w:t>24</w:t>
            </w:r>
            <w:r w:rsidR="00AD00F0">
              <w:rPr>
                <w:noProof/>
                <w:webHidden/>
              </w:rPr>
              <w:fldChar w:fldCharType="end"/>
            </w:r>
          </w:hyperlink>
        </w:p>
        <w:p w14:paraId="53E23CA1" w14:textId="13197F06" w:rsidR="00AD00F0" w:rsidRDefault="00CF1281">
          <w:pPr>
            <w:pStyle w:val="TOC1"/>
            <w:rPr>
              <w:rFonts w:asciiTheme="minorHAnsi" w:eastAsiaTheme="minorEastAsia" w:hAnsiTheme="minorHAnsi" w:cstheme="minorBidi"/>
              <w:b w:val="0"/>
              <w:noProof/>
              <w:sz w:val="22"/>
              <w:lang w:eastAsia="en-AU"/>
            </w:rPr>
          </w:pPr>
          <w:hyperlink w:anchor="_Toc107841985" w:history="1">
            <w:r w:rsidR="00AD00F0" w:rsidRPr="00563764">
              <w:rPr>
                <w:rStyle w:val="Hyperlink"/>
                <w:noProof/>
              </w:rPr>
              <w:t>Outcome</w:t>
            </w:r>
            <w:r w:rsidR="00AD00F0">
              <w:rPr>
                <w:noProof/>
                <w:webHidden/>
              </w:rPr>
              <w:tab/>
            </w:r>
            <w:r w:rsidR="00AD00F0">
              <w:rPr>
                <w:noProof/>
                <w:webHidden/>
              </w:rPr>
              <w:fldChar w:fldCharType="begin"/>
            </w:r>
            <w:r w:rsidR="00AD00F0">
              <w:rPr>
                <w:noProof/>
                <w:webHidden/>
              </w:rPr>
              <w:instrText xml:space="preserve"> PAGEREF _Toc107841985 \h </w:instrText>
            </w:r>
            <w:r w:rsidR="00AD00F0">
              <w:rPr>
                <w:noProof/>
                <w:webHidden/>
              </w:rPr>
            </w:r>
            <w:r w:rsidR="00AD00F0">
              <w:rPr>
                <w:noProof/>
                <w:webHidden/>
              </w:rPr>
              <w:fldChar w:fldCharType="separate"/>
            </w:r>
            <w:r w:rsidR="006F6B07">
              <w:rPr>
                <w:noProof/>
                <w:webHidden/>
              </w:rPr>
              <w:t>27</w:t>
            </w:r>
            <w:r w:rsidR="00AD00F0">
              <w:rPr>
                <w:noProof/>
                <w:webHidden/>
              </w:rPr>
              <w:fldChar w:fldCharType="end"/>
            </w:r>
          </w:hyperlink>
        </w:p>
        <w:p w14:paraId="293CC488" w14:textId="447FB38E" w:rsidR="00AD00F0" w:rsidRDefault="00CF1281">
          <w:pPr>
            <w:pStyle w:val="TOC2"/>
            <w:rPr>
              <w:rFonts w:asciiTheme="minorHAnsi" w:eastAsiaTheme="minorEastAsia" w:hAnsiTheme="minorHAnsi" w:cstheme="minorBidi"/>
              <w:b w:val="0"/>
              <w:noProof/>
              <w:sz w:val="22"/>
              <w:lang w:eastAsia="en-AU"/>
            </w:rPr>
          </w:pPr>
          <w:hyperlink w:anchor="_Toc107841986" w:history="1">
            <w:r w:rsidR="00AD00F0" w:rsidRPr="00563764">
              <w:rPr>
                <w:rStyle w:val="Hyperlink"/>
                <w:noProof/>
              </w:rPr>
              <w:t>Specific conditions of registration applying to these goods</w:t>
            </w:r>
            <w:r w:rsidR="00AD00F0">
              <w:rPr>
                <w:noProof/>
                <w:webHidden/>
              </w:rPr>
              <w:tab/>
            </w:r>
            <w:r w:rsidR="00AD00F0">
              <w:rPr>
                <w:noProof/>
                <w:webHidden/>
              </w:rPr>
              <w:fldChar w:fldCharType="begin"/>
            </w:r>
            <w:r w:rsidR="00AD00F0">
              <w:rPr>
                <w:noProof/>
                <w:webHidden/>
              </w:rPr>
              <w:instrText xml:space="preserve"> PAGEREF _Toc107841986 \h </w:instrText>
            </w:r>
            <w:r w:rsidR="00AD00F0">
              <w:rPr>
                <w:noProof/>
                <w:webHidden/>
              </w:rPr>
            </w:r>
            <w:r w:rsidR="00AD00F0">
              <w:rPr>
                <w:noProof/>
                <w:webHidden/>
              </w:rPr>
              <w:fldChar w:fldCharType="separate"/>
            </w:r>
            <w:r w:rsidR="006F6B07">
              <w:rPr>
                <w:noProof/>
                <w:webHidden/>
              </w:rPr>
              <w:t>27</w:t>
            </w:r>
            <w:r w:rsidR="00AD00F0">
              <w:rPr>
                <w:noProof/>
                <w:webHidden/>
              </w:rPr>
              <w:fldChar w:fldCharType="end"/>
            </w:r>
          </w:hyperlink>
        </w:p>
        <w:p w14:paraId="1B4C594B" w14:textId="791F103D" w:rsidR="00AD00F0" w:rsidRDefault="00CF1281">
          <w:pPr>
            <w:pStyle w:val="TOC1"/>
            <w:rPr>
              <w:rFonts w:asciiTheme="minorHAnsi" w:eastAsiaTheme="minorEastAsia" w:hAnsiTheme="minorHAnsi" w:cstheme="minorBidi"/>
              <w:b w:val="0"/>
              <w:noProof/>
              <w:sz w:val="22"/>
              <w:lang w:eastAsia="en-AU"/>
            </w:rPr>
          </w:pPr>
          <w:hyperlink w:anchor="_Toc107841987" w:history="1">
            <w:r w:rsidR="00AD00F0" w:rsidRPr="00563764">
              <w:rPr>
                <w:rStyle w:val="Hyperlink"/>
                <w:noProof/>
              </w:rPr>
              <w:t>Attachment 1. Product Information</w:t>
            </w:r>
            <w:r w:rsidR="00AD00F0">
              <w:rPr>
                <w:noProof/>
                <w:webHidden/>
              </w:rPr>
              <w:tab/>
            </w:r>
            <w:r w:rsidR="00AD00F0">
              <w:rPr>
                <w:noProof/>
                <w:webHidden/>
              </w:rPr>
              <w:fldChar w:fldCharType="begin"/>
            </w:r>
            <w:r w:rsidR="00AD00F0">
              <w:rPr>
                <w:noProof/>
                <w:webHidden/>
              </w:rPr>
              <w:instrText xml:space="preserve"> PAGEREF _Toc107841987 \h </w:instrText>
            </w:r>
            <w:r w:rsidR="00AD00F0">
              <w:rPr>
                <w:noProof/>
                <w:webHidden/>
              </w:rPr>
            </w:r>
            <w:r w:rsidR="00AD00F0">
              <w:rPr>
                <w:noProof/>
                <w:webHidden/>
              </w:rPr>
              <w:fldChar w:fldCharType="separate"/>
            </w:r>
            <w:r w:rsidR="006F6B07">
              <w:rPr>
                <w:noProof/>
                <w:webHidden/>
              </w:rPr>
              <w:t>28</w:t>
            </w:r>
            <w:r w:rsidR="00AD00F0">
              <w:rPr>
                <w:noProof/>
                <w:webHidden/>
              </w:rPr>
              <w:fldChar w:fldCharType="end"/>
            </w:r>
          </w:hyperlink>
        </w:p>
        <w:p w14:paraId="54C8D178" w14:textId="5B0A5B73" w:rsidR="003A7F6C" w:rsidRPr="00B811C6" w:rsidRDefault="00C525A2" w:rsidP="00EB36D6">
          <w:r>
            <w:fldChar w:fldCharType="end"/>
          </w:r>
        </w:p>
      </w:sdtContent>
    </w:sdt>
    <w:bookmarkStart w:id="2" w:name="_Toc314842482" w:displacedByCustomXml="prev"/>
    <w:p w14:paraId="3718D072" w14:textId="77777777" w:rsidR="00FD119B" w:rsidRDefault="00FD119B">
      <w:pPr>
        <w:spacing w:before="0" w:after="200" w:line="0" w:lineRule="auto"/>
      </w:pPr>
      <w:r>
        <w:br w:type="page"/>
      </w:r>
    </w:p>
    <w:p w14:paraId="55EBB221" w14:textId="2FE8B131" w:rsidR="00833ED8" w:rsidRDefault="00AF2313" w:rsidP="005B3718">
      <w:pPr>
        <w:pStyle w:val="Heading2"/>
      </w:pPr>
      <w:bookmarkStart w:id="3" w:name="_Toc98931917"/>
      <w:bookmarkStart w:id="4" w:name="_Toc107841972"/>
      <w:r>
        <w:lastRenderedPageBreak/>
        <w:t>List of abbreviations</w:t>
      </w:r>
      <w:bookmarkEnd w:id="3"/>
      <w:bookmarkEnd w:id="4"/>
      <w:r w:rsidR="00A45587">
        <w:fldChar w:fldCharType="begin"/>
      </w:r>
      <w:r w:rsidR="00A45587">
        <w:instrText xml:space="preserve"> DOCVARIABLE vault_nd_546c997e-f16f-45c1-b2da-91f72913c2eb \* MERGEFORMAT </w:instrText>
      </w:r>
      <w:r w:rsidR="00A45587">
        <w:fldChar w:fldCharType="separate"/>
      </w:r>
      <w:r w:rsidR="006F6B07">
        <w:t xml:space="preserve"> </w:t>
      </w:r>
      <w:r w:rsidR="00A45587">
        <w:fldChar w:fldCharType="end"/>
      </w:r>
    </w:p>
    <w:tbl>
      <w:tblPr>
        <w:tblStyle w:val="TableTGAblue"/>
        <w:tblW w:w="5000" w:type="pct"/>
        <w:tblLook w:val="04A0" w:firstRow="1" w:lastRow="0" w:firstColumn="1" w:lastColumn="0" w:noHBand="0" w:noVBand="1"/>
      </w:tblPr>
      <w:tblGrid>
        <w:gridCol w:w="1719"/>
        <w:gridCol w:w="1196"/>
        <w:gridCol w:w="5569"/>
      </w:tblGrid>
      <w:tr w:rsidR="00F75CD2" w14:paraId="54767135" w14:textId="77777777" w:rsidTr="000B186F">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7E970352" w14:textId="77777777" w:rsidR="00F75CD2" w:rsidRDefault="00F75CD2" w:rsidP="000B186F">
            <w:pPr>
              <w:rPr>
                <w:color w:val="FFFFFF"/>
              </w:rPr>
            </w:pPr>
            <w:r>
              <w:t>Abbreviation</w:t>
            </w:r>
          </w:p>
        </w:tc>
        <w:tc>
          <w:tcPr>
            <w:tcW w:w="3282" w:type="pct"/>
            <w:hideMark/>
          </w:tcPr>
          <w:p w14:paraId="02676ABC" w14:textId="77777777" w:rsidR="00F75CD2" w:rsidRDefault="00F75CD2" w:rsidP="000B186F">
            <w:r>
              <w:t>Meaning</w:t>
            </w:r>
          </w:p>
        </w:tc>
      </w:tr>
      <w:tr w:rsidR="00F75CD2" w14:paraId="01ECD68A"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hideMark/>
          </w:tcPr>
          <w:p w14:paraId="5EE1DFF6" w14:textId="77777777" w:rsidR="00F75CD2" w:rsidRDefault="00F75CD2" w:rsidP="000B186F">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A59CBD1" w14:textId="77777777" w:rsidR="00F75CD2" w:rsidRDefault="00F75CD2" w:rsidP="000B186F">
            <w:r>
              <w:t>Advisory Committee on Medicines</w:t>
            </w:r>
          </w:p>
        </w:tc>
      </w:tr>
      <w:tr w:rsidR="00F75CD2" w14:paraId="2C4671B0"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75EF15CA" w14:textId="77777777" w:rsidR="00F75CD2" w:rsidRDefault="00F75CD2" w:rsidP="000B186F">
            <w:pPr>
              <w:rPr>
                <w:color w:val="000000"/>
              </w:rPr>
            </w:pPr>
            <w:r>
              <w:rPr>
                <w:color w:val="000000"/>
              </w:rPr>
              <w:t>AE</w:t>
            </w:r>
          </w:p>
        </w:tc>
        <w:tc>
          <w:tcPr>
            <w:tcW w:w="3987" w:type="pct"/>
            <w:gridSpan w:val="2"/>
            <w:tcBorders>
              <w:top w:val="single" w:sz="8" w:space="0" w:color="002C47"/>
              <w:left w:val="single" w:sz="8" w:space="0" w:color="002C47"/>
              <w:bottom w:val="single" w:sz="8" w:space="0" w:color="002C47"/>
              <w:right w:val="single" w:sz="8" w:space="0" w:color="002C47"/>
            </w:tcBorders>
          </w:tcPr>
          <w:p w14:paraId="7023E649" w14:textId="77777777" w:rsidR="00F75CD2" w:rsidRDefault="00F75CD2" w:rsidP="000B186F">
            <w:pPr>
              <w:rPr>
                <w:color w:val="000000"/>
              </w:rPr>
            </w:pPr>
            <w:r>
              <w:rPr>
                <w:color w:val="000000"/>
              </w:rPr>
              <w:t>Adverse event</w:t>
            </w:r>
          </w:p>
        </w:tc>
      </w:tr>
      <w:tr w:rsidR="00F75CD2" w14:paraId="157123D3"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25842775" w14:textId="77777777" w:rsidR="00F75CD2" w:rsidRDefault="00F75CD2" w:rsidP="000B186F">
            <w:pPr>
              <w:rPr>
                <w:color w:val="000000"/>
              </w:rPr>
            </w:pPr>
            <w:r>
              <w:rPr>
                <w:color w:val="000000"/>
              </w:rPr>
              <w:t>ALK</w:t>
            </w:r>
          </w:p>
        </w:tc>
        <w:tc>
          <w:tcPr>
            <w:tcW w:w="3987" w:type="pct"/>
            <w:gridSpan w:val="2"/>
            <w:tcBorders>
              <w:top w:val="single" w:sz="8" w:space="0" w:color="002C47"/>
              <w:left w:val="single" w:sz="8" w:space="0" w:color="002C47"/>
              <w:bottom w:val="single" w:sz="8" w:space="0" w:color="002C47"/>
              <w:right w:val="single" w:sz="8" w:space="0" w:color="002C47"/>
            </w:tcBorders>
          </w:tcPr>
          <w:p w14:paraId="59EA8806" w14:textId="77777777" w:rsidR="00F75CD2" w:rsidRDefault="00F75CD2" w:rsidP="000B186F">
            <w:pPr>
              <w:rPr>
                <w:color w:val="000000"/>
              </w:rPr>
            </w:pPr>
            <w:r>
              <w:t>A</w:t>
            </w:r>
            <w:r w:rsidRPr="008D158B">
              <w:t>naplastic lymphoma kinase</w:t>
            </w:r>
          </w:p>
        </w:tc>
      </w:tr>
      <w:tr w:rsidR="00F75CD2" w14:paraId="28146058"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07820BB" w14:textId="77777777" w:rsidR="00F75CD2" w:rsidRDefault="00F75CD2" w:rsidP="000B186F">
            <w:pPr>
              <w:rPr>
                <w:color w:val="000000"/>
              </w:rPr>
            </w:pPr>
            <w:r>
              <w:rPr>
                <w:color w:val="000000"/>
              </w:rPr>
              <w:t>ALT</w:t>
            </w:r>
          </w:p>
        </w:tc>
        <w:tc>
          <w:tcPr>
            <w:tcW w:w="3987" w:type="pct"/>
            <w:gridSpan w:val="2"/>
            <w:tcBorders>
              <w:top w:val="single" w:sz="8" w:space="0" w:color="002C47"/>
              <w:left w:val="single" w:sz="8" w:space="0" w:color="002C47"/>
              <w:bottom w:val="single" w:sz="8" w:space="0" w:color="002C47"/>
              <w:right w:val="single" w:sz="8" w:space="0" w:color="002C47"/>
            </w:tcBorders>
          </w:tcPr>
          <w:p w14:paraId="0B8C7FED" w14:textId="1095394B" w:rsidR="00F75CD2" w:rsidRDefault="00F75CD2" w:rsidP="00446C63">
            <w:r>
              <w:t>A</w:t>
            </w:r>
            <w:r w:rsidRPr="00B54981">
              <w:t xml:space="preserve">lanine </w:t>
            </w:r>
            <w:r w:rsidR="00446C63">
              <w:t>transaminase</w:t>
            </w:r>
          </w:p>
        </w:tc>
      </w:tr>
      <w:tr w:rsidR="00F75CD2" w14:paraId="0E72F816"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0C0E11E" w14:textId="77777777" w:rsidR="00F75CD2" w:rsidRDefault="00F75CD2" w:rsidP="000B186F">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72890ADF" w14:textId="77777777" w:rsidR="00F75CD2" w:rsidRDefault="00F75CD2" w:rsidP="000B186F">
            <w:r>
              <w:t>Australian Register of Therapeutic Goods</w:t>
            </w:r>
          </w:p>
        </w:tc>
      </w:tr>
      <w:tr w:rsidR="00F75CD2" w14:paraId="454A8663"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BA42D32" w14:textId="77777777" w:rsidR="00F75CD2" w:rsidRDefault="00F75CD2" w:rsidP="000B186F">
            <w:r>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466C2C4" w14:textId="77777777" w:rsidR="00F75CD2" w:rsidRDefault="00F75CD2" w:rsidP="000B186F">
            <w:r>
              <w:t>Australia specific annex</w:t>
            </w:r>
          </w:p>
        </w:tc>
      </w:tr>
      <w:tr w:rsidR="00F75CD2" w14:paraId="74E999F7"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57124BBF" w14:textId="77777777" w:rsidR="00F75CD2" w:rsidRDefault="00F75CD2" w:rsidP="000B186F">
            <w:pPr>
              <w:rPr>
                <w:color w:val="000000"/>
              </w:rPr>
            </w:pPr>
            <w:r>
              <w:rPr>
                <w:color w:val="000000"/>
              </w:rPr>
              <w:t>AST</w:t>
            </w:r>
          </w:p>
        </w:tc>
        <w:tc>
          <w:tcPr>
            <w:tcW w:w="3987" w:type="pct"/>
            <w:gridSpan w:val="2"/>
            <w:tcBorders>
              <w:top w:val="single" w:sz="8" w:space="0" w:color="002C47"/>
              <w:left w:val="single" w:sz="8" w:space="0" w:color="002C47"/>
              <w:bottom w:val="single" w:sz="8" w:space="0" w:color="002C47"/>
              <w:right w:val="single" w:sz="8" w:space="0" w:color="002C47"/>
            </w:tcBorders>
          </w:tcPr>
          <w:p w14:paraId="73F0B8AC" w14:textId="77777777" w:rsidR="00F75CD2" w:rsidRDefault="00F75CD2" w:rsidP="000B186F">
            <w:r>
              <w:t>A</w:t>
            </w:r>
            <w:r w:rsidRPr="00B54981">
              <w:t>spartate transaminase</w:t>
            </w:r>
          </w:p>
        </w:tc>
      </w:tr>
      <w:tr w:rsidR="00F75CD2" w14:paraId="5E01F822"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40C47FC2" w14:textId="77777777" w:rsidR="00F75CD2" w:rsidRDefault="00F75CD2" w:rsidP="000B186F">
            <w:pPr>
              <w:rPr>
                <w:color w:val="000000"/>
              </w:rPr>
            </w:pPr>
            <w:r>
              <w:rPr>
                <w:color w:val="000000"/>
              </w:rPr>
              <w:t>AUC</w:t>
            </w:r>
          </w:p>
        </w:tc>
        <w:tc>
          <w:tcPr>
            <w:tcW w:w="3987" w:type="pct"/>
            <w:gridSpan w:val="2"/>
            <w:tcBorders>
              <w:top w:val="single" w:sz="8" w:space="0" w:color="002C47"/>
              <w:left w:val="single" w:sz="8" w:space="0" w:color="002C47"/>
              <w:bottom w:val="single" w:sz="8" w:space="0" w:color="002C47"/>
              <w:right w:val="single" w:sz="8" w:space="0" w:color="002C47"/>
            </w:tcBorders>
          </w:tcPr>
          <w:p w14:paraId="4D660606" w14:textId="3529A63B" w:rsidR="00F75CD2" w:rsidRDefault="00F75CD2" w:rsidP="000B186F">
            <w:pPr>
              <w:rPr>
                <w:color w:val="000000"/>
              </w:rPr>
            </w:pPr>
            <w:r>
              <w:t xml:space="preserve">Area under </w:t>
            </w:r>
            <w:r w:rsidR="006632F6">
              <w:t xml:space="preserve">the </w:t>
            </w:r>
            <w:r>
              <w:rPr>
                <w:rFonts w:cs="Calibri"/>
                <w:color w:val="000000"/>
              </w:rPr>
              <w:t xml:space="preserve">concentration </w:t>
            </w:r>
            <w:r w:rsidR="006632F6">
              <w:rPr>
                <w:rFonts w:cs="Calibri"/>
                <w:color w:val="000000"/>
              </w:rPr>
              <w:t xml:space="preserve">versus </w:t>
            </w:r>
            <w:r>
              <w:rPr>
                <w:rFonts w:cs="Calibri"/>
                <w:color w:val="000000"/>
              </w:rPr>
              <w:t>time curve</w:t>
            </w:r>
          </w:p>
        </w:tc>
      </w:tr>
      <w:tr w:rsidR="00F75CD2" w14:paraId="55881512"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0C991608" w14:textId="77777777" w:rsidR="00F75CD2" w:rsidRDefault="00F75CD2" w:rsidP="000B186F">
            <w:pPr>
              <w:rPr>
                <w:color w:val="000000"/>
              </w:rPr>
            </w:pPr>
            <w:r>
              <w:t>AUC</w:t>
            </w:r>
            <w:r>
              <w:rPr>
                <w:vertAlign w:val="subscript"/>
              </w:rPr>
              <w:t>0-inf</w:t>
            </w:r>
          </w:p>
        </w:tc>
        <w:tc>
          <w:tcPr>
            <w:tcW w:w="3987" w:type="pct"/>
            <w:gridSpan w:val="2"/>
            <w:tcBorders>
              <w:top w:val="single" w:sz="8" w:space="0" w:color="002C47"/>
              <w:left w:val="single" w:sz="8" w:space="0" w:color="002C47"/>
              <w:bottom w:val="single" w:sz="8" w:space="0" w:color="002C47"/>
              <w:right w:val="single" w:sz="8" w:space="0" w:color="002C47"/>
            </w:tcBorders>
          </w:tcPr>
          <w:p w14:paraId="67EEF709" w14:textId="563F3039" w:rsidR="00F75CD2" w:rsidRDefault="00F75CD2" w:rsidP="000B186F">
            <w:pPr>
              <w:rPr>
                <w:color w:val="000000"/>
              </w:rPr>
            </w:pPr>
            <w:r>
              <w:rPr>
                <w:rFonts w:cs="Calibri"/>
                <w:color w:val="000000"/>
              </w:rPr>
              <w:t xml:space="preserve">Area under the concentration </w:t>
            </w:r>
            <w:r w:rsidR="006632F6">
              <w:rPr>
                <w:rFonts w:cs="Calibri"/>
                <w:color w:val="000000"/>
              </w:rPr>
              <w:t xml:space="preserve">versus </w:t>
            </w:r>
            <w:r>
              <w:rPr>
                <w:rFonts w:cs="Calibri"/>
                <w:color w:val="000000"/>
              </w:rPr>
              <w:t>time curve from time zero to infinity</w:t>
            </w:r>
          </w:p>
        </w:tc>
      </w:tr>
      <w:tr w:rsidR="00F75CD2" w14:paraId="77F1AB95"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609D3698" w14:textId="77777777" w:rsidR="00F75CD2" w:rsidRDefault="00F75CD2" w:rsidP="000B186F">
            <w:pPr>
              <w:rPr>
                <w:color w:val="000000"/>
              </w:rPr>
            </w:pPr>
            <w:r>
              <w:rPr>
                <w:color w:val="000000"/>
              </w:rPr>
              <w:t>BIRC</w:t>
            </w:r>
          </w:p>
        </w:tc>
        <w:tc>
          <w:tcPr>
            <w:tcW w:w="3987" w:type="pct"/>
            <w:gridSpan w:val="2"/>
            <w:tcBorders>
              <w:top w:val="single" w:sz="8" w:space="0" w:color="002C47"/>
              <w:left w:val="single" w:sz="8" w:space="0" w:color="002C47"/>
              <w:bottom w:val="single" w:sz="8" w:space="0" w:color="002C47"/>
              <w:right w:val="single" w:sz="8" w:space="0" w:color="002C47"/>
            </w:tcBorders>
          </w:tcPr>
          <w:p w14:paraId="0A444402" w14:textId="77777777" w:rsidR="00F75CD2" w:rsidRDefault="00F75CD2" w:rsidP="000B186F">
            <w:pPr>
              <w:rPr>
                <w:color w:val="000000"/>
              </w:rPr>
            </w:pPr>
            <w:r>
              <w:t>Blinded independent review committee</w:t>
            </w:r>
          </w:p>
        </w:tc>
      </w:tr>
      <w:tr w:rsidR="00F75CD2" w14:paraId="7E45392A"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0D506F70" w14:textId="77777777" w:rsidR="00F75CD2" w:rsidRDefault="00F75CD2" w:rsidP="000B186F">
            <w:pPr>
              <w:rPr>
                <w:color w:val="000000"/>
              </w:rPr>
            </w:pPr>
            <w:r>
              <w:rPr>
                <w:color w:val="000000"/>
              </w:rPr>
              <w:t>CI</w:t>
            </w:r>
          </w:p>
        </w:tc>
        <w:tc>
          <w:tcPr>
            <w:tcW w:w="3987" w:type="pct"/>
            <w:gridSpan w:val="2"/>
            <w:tcBorders>
              <w:top w:val="single" w:sz="8" w:space="0" w:color="002C47"/>
              <w:left w:val="single" w:sz="8" w:space="0" w:color="002C47"/>
              <w:bottom w:val="single" w:sz="8" w:space="0" w:color="002C47"/>
              <w:right w:val="single" w:sz="8" w:space="0" w:color="002C47"/>
            </w:tcBorders>
          </w:tcPr>
          <w:p w14:paraId="61CFDC59" w14:textId="77777777" w:rsidR="00F75CD2" w:rsidRDefault="00F75CD2" w:rsidP="000B186F">
            <w:pPr>
              <w:rPr>
                <w:color w:val="000000"/>
              </w:rPr>
            </w:pPr>
            <w:r>
              <w:rPr>
                <w:color w:val="000000"/>
              </w:rPr>
              <w:t>Confidence interval</w:t>
            </w:r>
          </w:p>
        </w:tc>
      </w:tr>
      <w:tr w:rsidR="00F75CD2" w14:paraId="102D46CE"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40AF039B" w14:textId="77777777" w:rsidR="00F75CD2" w:rsidRDefault="00F75CD2" w:rsidP="000B186F">
            <w:pPr>
              <w:rPr>
                <w:color w:val="000000"/>
              </w:rPr>
            </w:pPr>
            <w:r>
              <w:rPr>
                <w:color w:val="000000"/>
              </w:rPr>
              <w:t>CL/F</w:t>
            </w:r>
          </w:p>
        </w:tc>
        <w:tc>
          <w:tcPr>
            <w:tcW w:w="3987" w:type="pct"/>
            <w:gridSpan w:val="2"/>
            <w:tcBorders>
              <w:top w:val="single" w:sz="8" w:space="0" w:color="002C47"/>
              <w:left w:val="single" w:sz="8" w:space="0" w:color="002C47"/>
              <w:bottom w:val="single" w:sz="8" w:space="0" w:color="002C47"/>
              <w:right w:val="single" w:sz="8" w:space="0" w:color="002C47"/>
            </w:tcBorders>
          </w:tcPr>
          <w:p w14:paraId="152A3B2F" w14:textId="47C3BE73" w:rsidR="00F75CD2" w:rsidRDefault="006632F6" w:rsidP="000B186F">
            <w:pPr>
              <w:rPr>
                <w:color w:val="000000"/>
              </w:rPr>
            </w:pPr>
            <w:r>
              <w:t>Apparent c</w:t>
            </w:r>
            <w:r w:rsidR="00F75CD2">
              <w:t>learance</w:t>
            </w:r>
          </w:p>
        </w:tc>
      </w:tr>
      <w:tr w:rsidR="00F75CD2" w14:paraId="7151DBAF"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4020050" w14:textId="3B6E1134" w:rsidR="00F75CD2" w:rsidRDefault="00F75CD2" w:rsidP="000B186F">
            <w:pPr>
              <w:rPr>
                <w:color w:val="000000"/>
              </w:rPr>
            </w:pPr>
            <w:r>
              <w:t>C</w:t>
            </w:r>
            <w:r w:rsidR="00253AD4">
              <w:t>L</w:t>
            </w:r>
            <w:r w:rsidR="00253AD4">
              <w:rPr>
                <w:vertAlign w:val="subscript"/>
              </w:rPr>
              <w:t>CR</w:t>
            </w:r>
          </w:p>
        </w:tc>
        <w:tc>
          <w:tcPr>
            <w:tcW w:w="3987" w:type="pct"/>
            <w:gridSpan w:val="2"/>
            <w:tcBorders>
              <w:top w:val="single" w:sz="8" w:space="0" w:color="002C47"/>
              <w:left w:val="single" w:sz="8" w:space="0" w:color="002C47"/>
              <w:bottom w:val="single" w:sz="8" w:space="0" w:color="002C47"/>
              <w:right w:val="single" w:sz="8" w:space="0" w:color="002C47"/>
            </w:tcBorders>
          </w:tcPr>
          <w:p w14:paraId="4BD2CEBC" w14:textId="0896C00D" w:rsidR="00F75CD2" w:rsidRDefault="006632F6" w:rsidP="000B186F">
            <w:pPr>
              <w:rPr>
                <w:color w:val="000000"/>
              </w:rPr>
            </w:pPr>
            <w:r>
              <w:t>C</w:t>
            </w:r>
            <w:r w:rsidR="00F75CD2" w:rsidRPr="00FC5559">
              <w:t xml:space="preserve">reatinine </w:t>
            </w:r>
            <w:r w:rsidR="00F75CD2">
              <w:t>c</w:t>
            </w:r>
            <w:r w:rsidR="00F75CD2" w:rsidRPr="00FC5559">
              <w:t>learance</w:t>
            </w:r>
          </w:p>
        </w:tc>
      </w:tr>
      <w:tr w:rsidR="00F75CD2" w14:paraId="01D0FF25"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6C65BD29" w14:textId="77777777" w:rsidR="00F75CD2" w:rsidRDefault="00F75CD2" w:rsidP="000B186F">
            <w:pPr>
              <w:rPr>
                <w:color w:val="000000"/>
              </w:rPr>
            </w:pPr>
            <w:proofErr w:type="spellStart"/>
            <w:r>
              <w:rPr>
                <w:color w:val="000000"/>
              </w:rPr>
              <w:t>C</w:t>
            </w:r>
            <w:r w:rsidRPr="00A9031A">
              <w:rPr>
                <w:color w:val="000000"/>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1616C003" w14:textId="1A526321" w:rsidR="00F75CD2" w:rsidRDefault="00F75CD2">
            <w:pPr>
              <w:rPr>
                <w:color w:val="000000"/>
              </w:rPr>
            </w:pPr>
            <w:r>
              <w:rPr>
                <w:rFonts w:cs="Calibri"/>
                <w:color w:val="000000"/>
              </w:rPr>
              <w:t>Maximum concentration</w:t>
            </w:r>
          </w:p>
        </w:tc>
      </w:tr>
      <w:tr w:rsidR="00F75CD2" w14:paraId="22ACDDF2"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49D8EFEE" w14:textId="77777777" w:rsidR="00F75CD2" w:rsidRDefault="00F75CD2" w:rsidP="000B186F">
            <w:pPr>
              <w:rPr>
                <w:color w:val="000000"/>
              </w:rPr>
            </w:pPr>
            <w:r>
              <w:rPr>
                <w:color w:val="000000"/>
              </w:rPr>
              <w:t>CMI</w:t>
            </w:r>
          </w:p>
        </w:tc>
        <w:tc>
          <w:tcPr>
            <w:tcW w:w="3987" w:type="pct"/>
            <w:gridSpan w:val="2"/>
            <w:tcBorders>
              <w:top w:val="single" w:sz="8" w:space="0" w:color="002C47"/>
              <w:left w:val="single" w:sz="8" w:space="0" w:color="002C47"/>
              <w:bottom w:val="single" w:sz="8" w:space="0" w:color="002C47"/>
              <w:right w:val="single" w:sz="8" w:space="0" w:color="002C47"/>
            </w:tcBorders>
          </w:tcPr>
          <w:p w14:paraId="22794DDD" w14:textId="77777777" w:rsidR="00F75CD2" w:rsidRDefault="00F75CD2" w:rsidP="000B186F">
            <w:r w:rsidRPr="00E429C0">
              <w:t>Consumer Medicines Information</w:t>
            </w:r>
          </w:p>
        </w:tc>
      </w:tr>
      <w:tr w:rsidR="00F75CD2" w14:paraId="10FEBD52"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5CCB4B67" w14:textId="77777777" w:rsidR="00F75CD2" w:rsidRDefault="00F75CD2" w:rsidP="000B186F">
            <w:pPr>
              <w:rPr>
                <w:color w:val="000000"/>
              </w:rPr>
            </w:pPr>
            <w:r>
              <w:rPr>
                <w:color w:val="000000"/>
              </w:rPr>
              <w:t>CR</w:t>
            </w:r>
          </w:p>
        </w:tc>
        <w:tc>
          <w:tcPr>
            <w:tcW w:w="3987" w:type="pct"/>
            <w:gridSpan w:val="2"/>
            <w:tcBorders>
              <w:top w:val="single" w:sz="8" w:space="0" w:color="002C47"/>
              <w:left w:val="single" w:sz="8" w:space="0" w:color="002C47"/>
              <w:bottom w:val="single" w:sz="8" w:space="0" w:color="002C47"/>
              <w:right w:val="single" w:sz="8" w:space="0" w:color="002C47"/>
            </w:tcBorders>
          </w:tcPr>
          <w:p w14:paraId="7E189AFC" w14:textId="77777777" w:rsidR="00F75CD2" w:rsidRDefault="00F75CD2" w:rsidP="000B186F">
            <w:pPr>
              <w:rPr>
                <w:color w:val="000000"/>
              </w:rPr>
            </w:pPr>
            <w:r>
              <w:t>Complete response</w:t>
            </w:r>
          </w:p>
        </w:tc>
      </w:tr>
      <w:tr w:rsidR="00F75CD2" w14:paraId="43806CD4"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17B1AB5D" w14:textId="77777777" w:rsidR="00F75CD2" w:rsidRDefault="00F75CD2" w:rsidP="000B186F">
            <w:pPr>
              <w:rPr>
                <w:color w:val="000000"/>
              </w:rPr>
            </w:pPr>
            <w:r>
              <w:rPr>
                <w:color w:val="000000"/>
              </w:rPr>
              <w:t>CV</w:t>
            </w:r>
          </w:p>
        </w:tc>
        <w:tc>
          <w:tcPr>
            <w:tcW w:w="3987" w:type="pct"/>
            <w:gridSpan w:val="2"/>
            <w:tcBorders>
              <w:top w:val="single" w:sz="8" w:space="0" w:color="002C47"/>
              <w:left w:val="single" w:sz="8" w:space="0" w:color="002C47"/>
              <w:bottom w:val="single" w:sz="8" w:space="0" w:color="002C47"/>
              <w:right w:val="single" w:sz="8" w:space="0" w:color="002C47"/>
            </w:tcBorders>
          </w:tcPr>
          <w:p w14:paraId="1607C795" w14:textId="77777777" w:rsidR="00F75CD2" w:rsidRDefault="00F75CD2" w:rsidP="000B186F">
            <w:pPr>
              <w:rPr>
                <w:color w:val="000000"/>
              </w:rPr>
            </w:pPr>
            <w:r>
              <w:t>C</w:t>
            </w:r>
            <w:r w:rsidRPr="003A3078">
              <w:t>oefficient of variation</w:t>
            </w:r>
          </w:p>
        </w:tc>
      </w:tr>
      <w:tr w:rsidR="00F75CD2" w14:paraId="444E9799"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0DBE8B8" w14:textId="77777777" w:rsidR="00F75CD2" w:rsidRDefault="00F75CD2" w:rsidP="000B186F">
            <w:r>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7F7B9D4D" w14:textId="77777777" w:rsidR="00F75CD2" w:rsidRDefault="00F75CD2" w:rsidP="000B186F">
            <w:r>
              <w:t>Data lock point</w:t>
            </w:r>
          </w:p>
        </w:tc>
      </w:tr>
      <w:tr w:rsidR="00F75CD2" w14:paraId="17EB933A"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161A8F8B" w14:textId="77777777" w:rsidR="00F75CD2" w:rsidRDefault="00F75CD2" w:rsidP="000B186F">
            <w:pPr>
              <w:rPr>
                <w:color w:val="000000"/>
              </w:rPr>
            </w:pPr>
            <w:r>
              <w:rPr>
                <w:color w:val="000000"/>
              </w:rPr>
              <w:t>DOR</w:t>
            </w:r>
          </w:p>
        </w:tc>
        <w:tc>
          <w:tcPr>
            <w:tcW w:w="3987" w:type="pct"/>
            <w:gridSpan w:val="2"/>
            <w:tcBorders>
              <w:top w:val="single" w:sz="8" w:space="0" w:color="002C47"/>
              <w:left w:val="single" w:sz="8" w:space="0" w:color="002C47"/>
              <w:bottom w:val="single" w:sz="8" w:space="0" w:color="002C47"/>
              <w:right w:val="single" w:sz="8" w:space="0" w:color="002C47"/>
            </w:tcBorders>
          </w:tcPr>
          <w:p w14:paraId="14017B80" w14:textId="77777777" w:rsidR="00F75CD2" w:rsidRDefault="00F75CD2" w:rsidP="000B186F">
            <w:pPr>
              <w:rPr>
                <w:color w:val="000000"/>
              </w:rPr>
            </w:pPr>
            <w:r>
              <w:rPr>
                <w:color w:val="000000"/>
              </w:rPr>
              <w:t>D</w:t>
            </w:r>
            <w:r w:rsidRPr="00755CE3">
              <w:rPr>
                <w:color w:val="000000"/>
              </w:rPr>
              <w:t>uration of response</w:t>
            </w:r>
          </w:p>
        </w:tc>
      </w:tr>
      <w:tr w:rsidR="00F75CD2" w14:paraId="7009C690"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437BD49D" w14:textId="77777777" w:rsidR="00F75CD2" w:rsidRDefault="00F75CD2" w:rsidP="000B186F">
            <w:pPr>
              <w:rPr>
                <w:color w:val="000000"/>
              </w:rPr>
            </w:pPr>
            <w:r>
              <w:rPr>
                <w:color w:val="000000"/>
              </w:rPr>
              <w:t>ECOG</w:t>
            </w:r>
          </w:p>
        </w:tc>
        <w:tc>
          <w:tcPr>
            <w:tcW w:w="3987" w:type="pct"/>
            <w:gridSpan w:val="2"/>
            <w:tcBorders>
              <w:top w:val="single" w:sz="8" w:space="0" w:color="002C47"/>
              <w:left w:val="single" w:sz="8" w:space="0" w:color="002C47"/>
              <w:bottom w:val="single" w:sz="8" w:space="0" w:color="002C47"/>
              <w:right w:val="single" w:sz="8" w:space="0" w:color="002C47"/>
            </w:tcBorders>
          </w:tcPr>
          <w:p w14:paraId="00985BE3" w14:textId="77777777" w:rsidR="00F75CD2" w:rsidRDefault="00F75CD2" w:rsidP="000B186F">
            <w:pPr>
              <w:rPr>
                <w:color w:val="000000"/>
              </w:rPr>
            </w:pPr>
            <w:r>
              <w:t>Eastern Cooperative Oncology Group</w:t>
            </w:r>
          </w:p>
        </w:tc>
      </w:tr>
      <w:tr w:rsidR="00F75CD2" w14:paraId="5FAD613F"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42137DDF" w14:textId="77777777" w:rsidR="00F75CD2" w:rsidRDefault="00F75CD2" w:rsidP="000B186F">
            <w:pPr>
              <w:rPr>
                <w:color w:val="000000"/>
              </w:rPr>
            </w:pPr>
            <w:r>
              <w:rPr>
                <w:color w:val="000000"/>
              </w:rPr>
              <w:t>EGFR</w:t>
            </w:r>
          </w:p>
        </w:tc>
        <w:tc>
          <w:tcPr>
            <w:tcW w:w="3987" w:type="pct"/>
            <w:gridSpan w:val="2"/>
            <w:tcBorders>
              <w:top w:val="single" w:sz="8" w:space="0" w:color="002C47"/>
              <w:left w:val="single" w:sz="8" w:space="0" w:color="002C47"/>
              <w:bottom w:val="single" w:sz="8" w:space="0" w:color="002C47"/>
              <w:right w:val="single" w:sz="8" w:space="0" w:color="002C47"/>
            </w:tcBorders>
          </w:tcPr>
          <w:p w14:paraId="00D0A743" w14:textId="77777777" w:rsidR="00F75CD2" w:rsidRDefault="00F75CD2" w:rsidP="000B186F">
            <w:pPr>
              <w:rPr>
                <w:color w:val="000000"/>
              </w:rPr>
            </w:pPr>
            <w:r>
              <w:t>E</w:t>
            </w:r>
            <w:r w:rsidRPr="00242C3E">
              <w:t>pidermal growth factor receptor</w:t>
            </w:r>
          </w:p>
        </w:tc>
      </w:tr>
      <w:tr w:rsidR="00F75CD2" w14:paraId="1352B76B"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197898AA" w14:textId="77777777" w:rsidR="00F75CD2" w:rsidRDefault="00F75CD2" w:rsidP="000B186F">
            <w:pPr>
              <w:rPr>
                <w:color w:val="000000"/>
              </w:rPr>
            </w:pPr>
            <w:r>
              <w:rPr>
                <w:color w:val="000000"/>
              </w:rPr>
              <w:t>E-R</w:t>
            </w:r>
          </w:p>
        </w:tc>
        <w:tc>
          <w:tcPr>
            <w:tcW w:w="3987" w:type="pct"/>
            <w:gridSpan w:val="2"/>
            <w:tcBorders>
              <w:top w:val="single" w:sz="8" w:space="0" w:color="002C47"/>
              <w:left w:val="single" w:sz="8" w:space="0" w:color="002C47"/>
              <w:bottom w:val="single" w:sz="8" w:space="0" w:color="002C47"/>
              <w:right w:val="single" w:sz="8" w:space="0" w:color="002C47"/>
            </w:tcBorders>
          </w:tcPr>
          <w:p w14:paraId="42856A7B" w14:textId="77777777" w:rsidR="00F75CD2" w:rsidRDefault="00F75CD2" w:rsidP="000B186F">
            <w:pPr>
              <w:rPr>
                <w:color w:val="000000"/>
              </w:rPr>
            </w:pPr>
            <w:r>
              <w:t>Exposure-response</w:t>
            </w:r>
          </w:p>
        </w:tc>
      </w:tr>
      <w:tr w:rsidR="00F75CD2" w14:paraId="5071FC83"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67534954" w14:textId="77777777" w:rsidR="00F75CD2" w:rsidRDefault="00F75CD2" w:rsidP="000B186F">
            <w:pPr>
              <w:rPr>
                <w:color w:val="000000"/>
              </w:rPr>
            </w:pPr>
            <w:r>
              <w:rPr>
                <w:color w:val="000000"/>
              </w:rPr>
              <w:t>FDA</w:t>
            </w:r>
          </w:p>
        </w:tc>
        <w:tc>
          <w:tcPr>
            <w:tcW w:w="3987" w:type="pct"/>
            <w:gridSpan w:val="2"/>
            <w:tcBorders>
              <w:top w:val="single" w:sz="8" w:space="0" w:color="002C47"/>
              <w:left w:val="single" w:sz="8" w:space="0" w:color="002C47"/>
              <w:bottom w:val="single" w:sz="8" w:space="0" w:color="002C47"/>
              <w:right w:val="single" w:sz="8" w:space="0" w:color="002C47"/>
            </w:tcBorders>
          </w:tcPr>
          <w:p w14:paraId="013103F8" w14:textId="44D410CF" w:rsidR="00F75CD2" w:rsidRDefault="00F75CD2" w:rsidP="000B186F">
            <w:pPr>
              <w:rPr>
                <w:color w:val="000000"/>
              </w:rPr>
            </w:pPr>
            <w:r w:rsidRPr="000A4A42">
              <w:t>Food and Drug Administration</w:t>
            </w:r>
            <w:r>
              <w:t xml:space="preserve"> (United States</w:t>
            </w:r>
            <w:r w:rsidR="006632F6">
              <w:t xml:space="preserve"> of America</w:t>
            </w:r>
            <w:r>
              <w:t>)</w:t>
            </w:r>
          </w:p>
        </w:tc>
      </w:tr>
      <w:tr w:rsidR="00F75CD2" w14:paraId="3B201429"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FF10901" w14:textId="77777777" w:rsidR="00F75CD2" w:rsidRDefault="00F75CD2" w:rsidP="000B186F">
            <w:pPr>
              <w:rPr>
                <w:color w:val="000000"/>
              </w:rPr>
            </w:pPr>
            <w:r>
              <w:rPr>
                <w:color w:val="000000"/>
              </w:rPr>
              <w:t>ICH</w:t>
            </w:r>
          </w:p>
        </w:tc>
        <w:tc>
          <w:tcPr>
            <w:tcW w:w="3987" w:type="pct"/>
            <w:gridSpan w:val="2"/>
            <w:tcBorders>
              <w:top w:val="single" w:sz="8" w:space="0" w:color="002C47"/>
              <w:left w:val="single" w:sz="8" w:space="0" w:color="002C47"/>
              <w:bottom w:val="single" w:sz="8" w:space="0" w:color="002C47"/>
              <w:right w:val="single" w:sz="8" w:space="0" w:color="002C47"/>
            </w:tcBorders>
          </w:tcPr>
          <w:p w14:paraId="1CF34162" w14:textId="77777777" w:rsidR="00F75CD2" w:rsidRDefault="00F75CD2" w:rsidP="000B186F">
            <w:pPr>
              <w:rPr>
                <w:color w:val="000000"/>
              </w:rPr>
            </w:pPr>
            <w:r w:rsidRPr="00A9031A">
              <w:rPr>
                <w:color w:val="000000"/>
              </w:rPr>
              <w:t>International Council for Harmonisation of Technical Requirements for Pharmaceuticals for Human Use</w:t>
            </w:r>
          </w:p>
        </w:tc>
      </w:tr>
      <w:tr w:rsidR="00F75CD2" w14:paraId="723CD254"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58B22E47" w14:textId="77777777" w:rsidR="00F75CD2" w:rsidRDefault="00F75CD2" w:rsidP="000B186F">
            <w:pPr>
              <w:rPr>
                <w:color w:val="000000"/>
              </w:rPr>
            </w:pPr>
            <w:r>
              <w:rPr>
                <w:color w:val="000000"/>
              </w:rPr>
              <w:lastRenderedPageBreak/>
              <w:t>ILD</w:t>
            </w:r>
          </w:p>
        </w:tc>
        <w:tc>
          <w:tcPr>
            <w:tcW w:w="3987" w:type="pct"/>
            <w:gridSpan w:val="2"/>
            <w:tcBorders>
              <w:top w:val="single" w:sz="8" w:space="0" w:color="002C47"/>
              <w:left w:val="single" w:sz="8" w:space="0" w:color="002C47"/>
              <w:bottom w:val="single" w:sz="8" w:space="0" w:color="002C47"/>
              <w:right w:val="single" w:sz="8" w:space="0" w:color="002C47"/>
            </w:tcBorders>
          </w:tcPr>
          <w:p w14:paraId="46A63B46" w14:textId="77777777" w:rsidR="00F75CD2" w:rsidRDefault="00F75CD2" w:rsidP="000B186F">
            <w:r>
              <w:t>Interstitial lung disease</w:t>
            </w:r>
          </w:p>
        </w:tc>
      </w:tr>
      <w:tr w:rsidR="00F75CD2" w14:paraId="46235377"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225DE1EB" w14:textId="77777777" w:rsidR="00F75CD2" w:rsidRDefault="00F75CD2" w:rsidP="000B186F">
            <w:pPr>
              <w:rPr>
                <w:color w:val="000000"/>
              </w:rPr>
            </w:pPr>
            <w:r>
              <w:rPr>
                <w:color w:val="000000"/>
              </w:rPr>
              <w:t>MET</w:t>
            </w:r>
          </w:p>
        </w:tc>
        <w:tc>
          <w:tcPr>
            <w:tcW w:w="3987" w:type="pct"/>
            <w:gridSpan w:val="2"/>
            <w:tcBorders>
              <w:top w:val="single" w:sz="8" w:space="0" w:color="002C47"/>
              <w:left w:val="single" w:sz="8" w:space="0" w:color="002C47"/>
              <w:bottom w:val="single" w:sz="8" w:space="0" w:color="002C47"/>
              <w:right w:val="single" w:sz="8" w:space="0" w:color="002C47"/>
            </w:tcBorders>
          </w:tcPr>
          <w:p w14:paraId="06B0C286" w14:textId="77777777" w:rsidR="00F75CD2" w:rsidRDefault="00F75CD2" w:rsidP="000B186F">
            <w:pPr>
              <w:rPr>
                <w:color w:val="000000"/>
              </w:rPr>
            </w:pPr>
            <w:r>
              <w:rPr>
                <w:color w:val="000000"/>
              </w:rPr>
              <w:t>M</w:t>
            </w:r>
            <w:r w:rsidRPr="00755CE3">
              <w:rPr>
                <w:color w:val="000000"/>
              </w:rPr>
              <w:t>esenchymal-epithelial transition</w:t>
            </w:r>
          </w:p>
        </w:tc>
      </w:tr>
      <w:tr w:rsidR="00F75CD2" w14:paraId="21612539"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5445CC54" w14:textId="77777777" w:rsidR="00F75CD2" w:rsidRDefault="00F75CD2" w:rsidP="000B186F">
            <w:pPr>
              <w:rPr>
                <w:color w:val="000000"/>
              </w:rPr>
            </w:pPr>
            <w:r>
              <w:rPr>
                <w:color w:val="000000"/>
              </w:rPr>
              <w:t>NCCN</w:t>
            </w:r>
          </w:p>
        </w:tc>
        <w:tc>
          <w:tcPr>
            <w:tcW w:w="3987" w:type="pct"/>
            <w:gridSpan w:val="2"/>
            <w:tcBorders>
              <w:top w:val="single" w:sz="8" w:space="0" w:color="002C47"/>
              <w:left w:val="single" w:sz="8" w:space="0" w:color="002C47"/>
              <w:bottom w:val="single" w:sz="8" w:space="0" w:color="002C47"/>
              <w:right w:val="single" w:sz="8" w:space="0" w:color="002C47"/>
            </w:tcBorders>
          </w:tcPr>
          <w:p w14:paraId="14BC9307" w14:textId="2AC21A42" w:rsidR="00F75CD2" w:rsidRDefault="00F75CD2" w:rsidP="000B186F">
            <w:pPr>
              <w:rPr>
                <w:color w:val="000000"/>
              </w:rPr>
            </w:pPr>
            <w:r w:rsidRPr="00755CE3">
              <w:rPr>
                <w:color w:val="000000"/>
              </w:rPr>
              <w:t>National Comprehensive Cancer Network</w:t>
            </w:r>
            <w:r>
              <w:rPr>
                <w:color w:val="000000"/>
              </w:rPr>
              <w:t xml:space="preserve"> (United States</w:t>
            </w:r>
            <w:r w:rsidR="006632F6">
              <w:rPr>
                <w:color w:val="000000"/>
              </w:rPr>
              <w:t xml:space="preserve"> of America</w:t>
            </w:r>
            <w:r>
              <w:rPr>
                <w:color w:val="000000"/>
              </w:rPr>
              <w:t>)</w:t>
            </w:r>
          </w:p>
        </w:tc>
      </w:tr>
      <w:tr w:rsidR="00F75CD2" w14:paraId="798661D4"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26DDBF98" w14:textId="77777777" w:rsidR="00F75CD2" w:rsidRDefault="00F75CD2" w:rsidP="000B186F">
            <w:pPr>
              <w:rPr>
                <w:color w:val="000000"/>
              </w:rPr>
            </w:pPr>
            <w:r>
              <w:rPr>
                <w:color w:val="000000"/>
              </w:rPr>
              <w:t>NSCLC</w:t>
            </w:r>
          </w:p>
        </w:tc>
        <w:tc>
          <w:tcPr>
            <w:tcW w:w="3987" w:type="pct"/>
            <w:gridSpan w:val="2"/>
            <w:tcBorders>
              <w:top w:val="single" w:sz="8" w:space="0" w:color="002C47"/>
              <w:left w:val="single" w:sz="8" w:space="0" w:color="002C47"/>
              <w:bottom w:val="single" w:sz="8" w:space="0" w:color="002C47"/>
              <w:right w:val="single" w:sz="8" w:space="0" w:color="002C47"/>
            </w:tcBorders>
          </w:tcPr>
          <w:p w14:paraId="240BF36D" w14:textId="77777777" w:rsidR="00F75CD2" w:rsidRDefault="00F75CD2" w:rsidP="000B186F">
            <w:pPr>
              <w:rPr>
                <w:color w:val="000000"/>
              </w:rPr>
            </w:pPr>
            <w:r>
              <w:rPr>
                <w:color w:val="000000"/>
              </w:rPr>
              <w:t>N</w:t>
            </w:r>
            <w:r w:rsidRPr="00755CE3">
              <w:rPr>
                <w:color w:val="000000"/>
              </w:rPr>
              <w:t>on</w:t>
            </w:r>
            <w:r>
              <w:rPr>
                <w:color w:val="000000"/>
              </w:rPr>
              <w:t>-</w:t>
            </w:r>
            <w:r w:rsidRPr="00755CE3">
              <w:rPr>
                <w:color w:val="000000"/>
              </w:rPr>
              <w:t>small cell lung cancer</w:t>
            </w:r>
          </w:p>
        </w:tc>
      </w:tr>
      <w:tr w:rsidR="00F75CD2" w14:paraId="15ADC3E7"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363FBED" w14:textId="77777777" w:rsidR="00F75CD2" w:rsidRDefault="00F75CD2" w:rsidP="000B186F">
            <w:pPr>
              <w:rPr>
                <w:color w:val="000000"/>
              </w:rPr>
            </w:pPr>
            <w:r>
              <w:rPr>
                <w:color w:val="000000"/>
              </w:rPr>
              <w:t>OCE</w:t>
            </w:r>
          </w:p>
        </w:tc>
        <w:tc>
          <w:tcPr>
            <w:tcW w:w="3987" w:type="pct"/>
            <w:gridSpan w:val="2"/>
            <w:tcBorders>
              <w:top w:val="single" w:sz="8" w:space="0" w:color="002C47"/>
              <w:left w:val="single" w:sz="8" w:space="0" w:color="002C47"/>
              <w:bottom w:val="single" w:sz="8" w:space="0" w:color="002C47"/>
              <w:right w:val="single" w:sz="8" w:space="0" w:color="002C47"/>
            </w:tcBorders>
          </w:tcPr>
          <w:p w14:paraId="1DC47AF5" w14:textId="65B1A980" w:rsidR="00F75CD2" w:rsidRDefault="00F75CD2" w:rsidP="000B186F">
            <w:pPr>
              <w:rPr>
                <w:color w:val="000000"/>
              </w:rPr>
            </w:pPr>
            <w:r w:rsidRPr="000A4A42">
              <w:t xml:space="preserve">Oncology </w:t>
            </w:r>
            <w:proofErr w:type="spellStart"/>
            <w:r w:rsidRPr="000A4A42">
              <w:t>Center</w:t>
            </w:r>
            <w:proofErr w:type="spellEnd"/>
            <w:r w:rsidRPr="000A4A42">
              <w:t xml:space="preserve"> of Excellence</w:t>
            </w:r>
            <w:r w:rsidR="006632F6">
              <w:t xml:space="preserve"> (</w:t>
            </w:r>
            <w:r w:rsidR="0057330F" w:rsidRPr="000A4A42">
              <w:t>Food and Drug Administration</w:t>
            </w:r>
            <w:r w:rsidR="006632F6">
              <w:t>,</w:t>
            </w:r>
            <w:r>
              <w:t xml:space="preserve"> (United States</w:t>
            </w:r>
            <w:r w:rsidR="006632F6">
              <w:t xml:space="preserve"> of America</w:t>
            </w:r>
            <w:r>
              <w:t>)</w:t>
            </w:r>
          </w:p>
        </w:tc>
      </w:tr>
      <w:tr w:rsidR="00F75CD2" w14:paraId="61B60613"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46411F8D" w14:textId="77777777" w:rsidR="00F75CD2" w:rsidRDefault="00F75CD2" w:rsidP="000B186F">
            <w:pPr>
              <w:rPr>
                <w:color w:val="000000"/>
              </w:rPr>
            </w:pPr>
            <w:r>
              <w:rPr>
                <w:color w:val="000000"/>
              </w:rPr>
              <w:t>ORR</w:t>
            </w:r>
          </w:p>
        </w:tc>
        <w:tc>
          <w:tcPr>
            <w:tcW w:w="3987" w:type="pct"/>
            <w:gridSpan w:val="2"/>
            <w:tcBorders>
              <w:top w:val="single" w:sz="8" w:space="0" w:color="002C47"/>
              <w:left w:val="single" w:sz="8" w:space="0" w:color="002C47"/>
              <w:bottom w:val="single" w:sz="8" w:space="0" w:color="002C47"/>
              <w:right w:val="single" w:sz="8" w:space="0" w:color="002C47"/>
            </w:tcBorders>
          </w:tcPr>
          <w:p w14:paraId="4B644BA0" w14:textId="77777777" w:rsidR="00F75CD2" w:rsidRDefault="00F75CD2" w:rsidP="000B186F">
            <w:pPr>
              <w:rPr>
                <w:color w:val="000000"/>
              </w:rPr>
            </w:pPr>
            <w:r>
              <w:rPr>
                <w:color w:val="000000"/>
              </w:rPr>
              <w:t>O</w:t>
            </w:r>
            <w:r w:rsidRPr="00755CE3">
              <w:rPr>
                <w:color w:val="000000"/>
              </w:rPr>
              <w:t>verall response rate</w:t>
            </w:r>
          </w:p>
        </w:tc>
      </w:tr>
      <w:tr w:rsidR="00F75CD2" w14:paraId="7BDBAF8C"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1F13F5A6" w14:textId="77777777" w:rsidR="00F75CD2" w:rsidRDefault="00F75CD2" w:rsidP="000B186F">
            <w:pPr>
              <w:rPr>
                <w:color w:val="000000"/>
              </w:rPr>
            </w:pPr>
            <w:r>
              <w:rPr>
                <w:color w:val="000000"/>
              </w:rPr>
              <w:t>OS</w:t>
            </w:r>
          </w:p>
        </w:tc>
        <w:tc>
          <w:tcPr>
            <w:tcW w:w="3987" w:type="pct"/>
            <w:gridSpan w:val="2"/>
            <w:tcBorders>
              <w:top w:val="single" w:sz="8" w:space="0" w:color="002C47"/>
              <w:left w:val="single" w:sz="8" w:space="0" w:color="002C47"/>
              <w:bottom w:val="single" w:sz="8" w:space="0" w:color="002C47"/>
              <w:right w:val="single" w:sz="8" w:space="0" w:color="002C47"/>
            </w:tcBorders>
          </w:tcPr>
          <w:p w14:paraId="5BC3A69D" w14:textId="77777777" w:rsidR="00F75CD2" w:rsidRDefault="00F75CD2" w:rsidP="000B186F">
            <w:pPr>
              <w:rPr>
                <w:color w:val="000000"/>
              </w:rPr>
            </w:pPr>
            <w:r>
              <w:t>Overall survival</w:t>
            </w:r>
          </w:p>
        </w:tc>
      </w:tr>
      <w:tr w:rsidR="00F75CD2" w14:paraId="226857AC"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5EA77E2" w14:textId="77777777" w:rsidR="00F75CD2" w:rsidRDefault="00F75CD2" w:rsidP="000B186F">
            <w:pPr>
              <w:rPr>
                <w:color w:val="000000"/>
              </w:rPr>
            </w:pPr>
            <w:r>
              <w:rPr>
                <w:color w:val="000000"/>
              </w:rPr>
              <w:t>PD</w:t>
            </w:r>
          </w:p>
        </w:tc>
        <w:tc>
          <w:tcPr>
            <w:tcW w:w="3987" w:type="pct"/>
            <w:gridSpan w:val="2"/>
            <w:tcBorders>
              <w:top w:val="single" w:sz="8" w:space="0" w:color="002C47"/>
              <w:left w:val="single" w:sz="8" w:space="0" w:color="002C47"/>
              <w:bottom w:val="single" w:sz="8" w:space="0" w:color="002C47"/>
              <w:right w:val="single" w:sz="8" w:space="0" w:color="002C47"/>
            </w:tcBorders>
          </w:tcPr>
          <w:p w14:paraId="7F05F3D6" w14:textId="77777777" w:rsidR="00F75CD2" w:rsidRDefault="00F75CD2" w:rsidP="000B186F">
            <w:pPr>
              <w:rPr>
                <w:color w:val="000000"/>
              </w:rPr>
            </w:pPr>
            <w:r>
              <w:rPr>
                <w:color w:val="000000"/>
              </w:rPr>
              <w:t>Pharmacodynamic(s)</w:t>
            </w:r>
          </w:p>
        </w:tc>
      </w:tr>
      <w:tr w:rsidR="00F75CD2" w14:paraId="53A588A9"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17F82FF0" w14:textId="77777777" w:rsidR="00F75CD2" w:rsidRDefault="00F75CD2" w:rsidP="000B186F">
            <w:pPr>
              <w:rPr>
                <w:color w:val="000000"/>
              </w:rPr>
            </w:pPr>
            <w:r>
              <w:rPr>
                <w:color w:val="000000"/>
              </w:rPr>
              <w:t>PD-L1</w:t>
            </w:r>
          </w:p>
        </w:tc>
        <w:tc>
          <w:tcPr>
            <w:tcW w:w="3987" w:type="pct"/>
            <w:gridSpan w:val="2"/>
            <w:tcBorders>
              <w:top w:val="single" w:sz="8" w:space="0" w:color="002C47"/>
              <w:left w:val="single" w:sz="8" w:space="0" w:color="002C47"/>
              <w:bottom w:val="single" w:sz="8" w:space="0" w:color="002C47"/>
              <w:right w:val="single" w:sz="8" w:space="0" w:color="002C47"/>
            </w:tcBorders>
          </w:tcPr>
          <w:p w14:paraId="2753C47C" w14:textId="6BC07C66" w:rsidR="00F75CD2" w:rsidRDefault="00F75CD2" w:rsidP="000B186F">
            <w:pPr>
              <w:rPr>
                <w:color w:val="000000"/>
              </w:rPr>
            </w:pPr>
            <w:r>
              <w:t>P</w:t>
            </w:r>
            <w:r w:rsidRPr="00C64BAE">
              <w:t>rogrammed death</w:t>
            </w:r>
            <w:r w:rsidR="00253AD4">
              <w:t>-</w:t>
            </w:r>
            <w:r w:rsidRPr="00C64BAE">
              <w:t>ligand</w:t>
            </w:r>
            <w:r>
              <w:t xml:space="preserve"> 1</w:t>
            </w:r>
          </w:p>
        </w:tc>
      </w:tr>
      <w:tr w:rsidR="00F75CD2" w14:paraId="426E1B11"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10789D67" w14:textId="77777777" w:rsidR="00F75CD2" w:rsidRDefault="00F75CD2" w:rsidP="000B186F">
            <w:pPr>
              <w:rPr>
                <w:color w:val="000000"/>
              </w:rPr>
            </w:pPr>
            <w:r>
              <w:rPr>
                <w:color w:val="000000"/>
              </w:rPr>
              <w:t>PFS</w:t>
            </w:r>
          </w:p>
        </w:tc>
        <w:tc>
          <w:tcPr>
            <w:tcW w:w="3987" w:type="pct"/>
            <w:gridSpan w:val="2"/>
            <w:tcBorders>
              <w:top w:val="single" w:sz="8" w:space="0" w:color="002C47"/>
              <w:left w:val="single" w:sz="8" w:space="0" w:color="002C47"/>
              <w:bottom w:val="single" w:sz="8" w:space="0" w:color="002C47"/>
              <w:right w:val="single" w:sz="8" w:space="0" w:color="002C47"/>
            </w:tcBorders>
          </w:tcPr>
          <w:p w14:paraId="7E3B425E" w14:textId="77777777" w:rsidR="00F75CD2" w:rsidRDefault="00F75CD2" w:rsidP="000B186F">
            <w:pPr>
              <w:rPr>
                <w:color w:val="000000"/>
              </w:rPr>
            </w:pPr>
            <w:r>
              <w:t>Progression free survival</w:t>
            </w:r>
          </w:p>
        </w:tc>
      </w:tr>
      <w:tr w:rsidR="00F75CD2" w14:paraId="05757E24"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15112C07" w14:textId="77777777" w:rsidR="00F75CD2" w:rsidRDefault="00F75CD2" w:rsidP="000B186F">
            <w:pPr>
              <w:rPr>
                <w:color w:val="000000"/>
              </w:rPr>
            </w:pPr>
            <w:r>
              <w:rPr>
                <w:color w:val="000000"/>
              </w:rP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4ED2BBA5" w14:textId="77777777" w:rsidR="00F75CD2" w:rsidRDefault="00F75CD2" w:rsidP="000B186F">
            <w:pPr>
              <w:rPr>
                <w:color w:val="000000"/>
              </w:rPr>
            </w:pPr>
            <w:r>
              <w:rPr>
                <w:color w:val="000000"/>
              </w:rPr>
              <w:t>Product Information</w:t>
            </w:r>
          </w:p>
        </w:tc>
      </w:tr>
      <w:tr w:rsidR="00F75CD2" w14:paraId="1E019CF0"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0774CC5A" w14:textId="77777777" w:rsidR="00F75CD2" w:rsidRDefault="00F75CD2" w:rsidP="000B186F">
            <w:pPr>
              <w:rPr>
                <w:color w:val="000000"/>
              </w:rPr>
            </w:pPr>
            <w:r>
              <w:rPr>
                <w:color w:val="000000"/>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26D03EB0" w14:textId="77777777" w:rsidR="00F75CD2" w:rsidRDefault="00F75CD2" w:rsidP="000B186F">
            <w:pPr>
              <w:rPr>
                <w:color w:val="000000"/>
              </w:rPr>
            </w:pPr>
            <w:r>
              <w:rPr>
                <w:color w:val="000000"/>
              </w:rPr>
              <w:t>Pharmacokinetic(s)</w:t>
            </w:r>
          </w:p>
        </w:tc>
      </w:tr>
      <w:tr w:rsidR="00F75CD2" w14:paraId="3170C434"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EEE631A" w14:textId="77777777" w:rsidR="00F75CD2" w:rsidRDefault="00F75CD2" w:rsidP="000B186F">
            <w:pPr>
              <w:rPr>
                <w:color w:val="000000"/>
              </w:rPr>
            </w:pPr>
            <w:r>
              <w:rPr>
                <w:color w:val="000000"/>
              </w:rPr>
              <w:t>PR</w:t>
            </w:r>
          </w:p>
        </w:tc>
        <w:tc>
          <w:tcPr>
            <w:tcW w:w="3987" w:type="pct"/>
            <w:gridSpan w:val="2"/>
            <w:tcBorders>
              <w:top w:val="single" w:sz="8" w:space="0" w:color="002C47"/>
              <w:left w:val="single" w:sz="8" w:space="0" w:color="002C47"/>
              <w:bottom w:val="single" w:sz="8" w:space="0" w:color="002C47"/>
              <w:right w:val="single" w:sz="8" w:space="0" w:color="002C47"/>
            </w:tcBorders>
          </w:tcPr>
          <w:p w14:paraId="5A5CB3F6" w14:textId="77777777" w:rsidR="00F75CD2" w:rsidRDefault="00F75CD2" w:rsidP="000B186F">
            <w:pPr>
              <w:rPr>
                <w:color w:val="000000"/>
              </w:rPr>
            </w:pPr>
            <w:r>
              <w:t>Partial response</w:t>
            </w:r>
          </w:p>
        </w:tc>
      </w:tr>
      <w:tr w:rsidR="00F75CD2" w14:paraId="2B826ADC"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4E23BE94" w14:textId="77777777" w:rsidR="00F75CD2" w:rsidRDefault="00F75CD2" w:rsidP="000B186F">
            <w:pPr>
              <w:rPr>
                <w:color w:val="000000"/>
              </w:rPr>
            </w:pPr>
            <w:r>
              <w:rPr>
                <w:color w:val="000000"/>
              </w:rPr>
              <w:t>PRO</w:t>
            </w:r>
          </w:p>
        </w:tc>
        <w:tc>
          <w:tcPr>
            <w:tcW w:w="3987" w:type="pct"/>
            <w:gridSpan w:val="2"/>
            <w:tcBorders>
              <w:top w:val="single" w:sz="8" w:space="0" w:color="002C47"/>
              <w:left w:val="single" w:sz="8" w:space="0" w:color="002C47"/>
              <w:bottom w:val="single" w:sz="8" w:space="0" w:color="002C47"/>
              <w:right w:val="single" w:sz="8" w:space="0" w:color="002C47"/>
            </w:tcBorders>
          </w:tcPr>
          <w:p w14:paraId="4C531CBD" w14:textId="77777777" w:rsidR="00F75CD2" w:rsidRDefault="00F75CD2" w:rsidP="000B186F">
            <w:pPr>
              <w:rPr>
                <w:color w:val="000000"/>
              </w:rPr>
            </w:pPr>
            <w:r>
              <w:rPr>
                <w:color w:val="000000"/>
              </w:rPr>
              <w:t>Patient reported outcome</w:t>
            </w:r>
          </w:p>
        </w:tc>
      </w:tr>
      <w:tr w:rsidR="00F75CD2" w14:paraId="1E65B7C8"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454A387D" w14:textId="77777777" w:rsidR="00F75CD2" w:rsidRDefault="00F75CD2" w:rsidP="000B186F">
            <w:pPr>
              <w:rPr>
                <w:color w:val="000000"/>
              </w:rPr>
            </w:pPr>
            <w:r>
              <w:rPr>
                <w:color w:val="000000"/>
              </w:rPr>
              <w:t>RECIST</w:t>
            </w:r>
          </w:p>
        </w:tc>
        <w:tc>
          <w:tcPr>
            <w:tcW w:w="3987" w:type="pct"/>
            <w:gridSpan w:val="2"/>
            <w:tcBorders>
              <w:top w:val="single" w:sz="8" w:space="0" w:color="002C47"/>
              <w:left w:val="single" w:sz="8" w:space="0" w:color="002C47"/>
              <w:bottom w:val="single" w:sz="8" w:space="0" w:color="002C47"/>
              <w:right w:val="single" w:sz="8" w:space="0" w:color="002C47"/>
            </w:tcBorders>
          </w:tcPr>
          <w:p w14:paraId="4B65E096" w14:textId="77777777" w:rsidR="00F75CD2" w:rsidRDefault="00F75CD2" w:rsidP="000B186F">
            <w:pPr>
              <w:rPr>
                <w:color w:val="000000"/>
              </w:rPr>
            </w:pPr>
            <w:r>
              <w:t>Response evaluation criteria in solid tumours</w:t>
            </w:r>
          </w:p>
        </w:tc>
      </w:tr>
      <w:tr w:rsidR="00F75CD2" w14:paraId="18D19297"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F482C9A" w14:textId="77777777" w:rsidR="00F75CD2" w:rsidRDefault="00F75CD2" w:rsidP="000B186F">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4EE3EB95" w14:textId="77777777" w:rsidR="00F75CD2" w:rsidRDefault="00F75CD2" w:rsidP="000B186F">
            <w:r>
              <w:t>Risk management plan</w:t>
            </w:r>
          </w:p>
        </w:tc>
      </w:tr>
      <w:tr w:rsidR="00F75CD2" w14:paraId="502A3BA7"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AF16E11" w14:textId="77777777" w:rsidR="00F75CD2" w:rsidRDefault="00F75CD2" w:rsidP="000B186F">
            <w:pPr>
              <w:rPr>
                <w:color w:val="000000"/>
              </w:rPr>
            </w:pPr>
            <w:r>
              <w:rPr>
                <w:color w:val="000000"/>
              </w:rPr>
              <w:t>ROS1</w:t>
            </w:r>
          </w:p>
        </w:tc>
        <w:tc>
          <w:tcPr>
            <w:tcW w:w="3987" w:type="pct"/>
            <w:gridSpan w:val="2"/>
            <w:tcBorders>
              <w:top w:val="single" w:sz="8" w:space="0" w:color="002C47"/>
              <w:left w:val="single" w:sz="8" w:space="0" w:color="002C47"/>
              <w:bottom w:val="single" w:sz="8" w:space="0" w:color="002C47"/>
              <w:right w:val="single" w:sz="8" w:space="0" w:color="002C47"/>
            </w:tcBorders>
          </w:tcPr>
          <w:p w14:paraId="5B185964" w14:textId="77777777" w:rsidR="00F75CD2" w:rsidRDefault="00F75CD2" w:rsidP="000B186F">
            <w:pPr>
              <w:rPr>
                <w:color w:val="000000"/>
              </w:rPr>
            </w:pPr>
            <w:r>
              <w:t>R</w:t>
            </w:r>
            <w:r w:rsidRPr="00242C3E">
              <w:t xml:space="preserve">eceptor </w:t>
            </w:r>
            <w:r>
              <w:t>t</w:t>
            </w:r>
            <w:r w:rsidRPr="00242C3E">
              <w:t xml:space="preserve">yrosine </w:t>
            </w:r>
            <w:r>
              <w:t>k</w:t>
            </w:r>
            <w:r w:rsidRPr="00242C3E">
              <w:t>inase</w:t>
            </w:r>
            <w:r>
              <w:t xml:space="preserve"> 1</w:t>
            </w:r>
          </w:p>
        </w:tc>
      </w:tr>
      <w:tr w:rsidR="00F75CD2" w14:paraId="46BF9820"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7F3F45D6" w14:textId="77777777" w:rsidR="00F75CD2" w:rsidRDefault="00F75CD2" w:rsidP="000B186F">
            <w:pPr>
              <w:rPr>
                <w:color w:val="000000"/>
              </w:rPr>
            </w:pPr>
            <w:r>
              <w:rPr>
                <w:color w:val="000000"/>
              </w:rPr>
              <w:t>SAE</w:t>
            </w:r>
          </w:p>
        </w:tc>
        <w:tc>
          <w:tcPr>
            <w:tcW w:w="3987" w:type="pct"/>
            <w:gridSpan w:val="2"/>
            <w:tcBorders>
              <w:top w:val="single" w:sz="8" w:space="0" w:color="002C47"/>
              <w:left w:val="single" w:sz="8" w:space="0" w:color="002C47"/>
              <w:bottom w:val="single" w:sz="8" w:space="0" w:color="002C47"/>
              <w:right w:val="single" w:sz="8" w:space="0" w:color="002C47"/>
            </w:tcBorders>
          </w:tcPr>
          <w:p w14:paraId="39673095" w14:textId="77777777" w:rsidR="00F75CD2" w:rsidRDefault="00F75CD2" w:rsidP="000B186F">
            <w:pPr>
              <w:rPr>
                <w:color w:val="000000"/>
              </w:rPr>
            </w:pPr>
            <w:r>
              <w:t>Serious adverse event</w:t>
            </w:r>
          </w:p>
        </w:tc>
      </w:tr>
      <w:tr w:rsidR="00F75CD2" w14:paraId="3D7CA1A1"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F3BCEDA" w14:textId="77777777" w:rsidR="00F75CD2" w:rsidRDefault="00F75CD2" w:rsidP="000B186F">
            <w:pPr>
              <w:rPr>
                <w:color w:val="000000"/>
              </w:rPr>
            </w:pPr>
            <w:r>
              <w:rPr>
                <w:color w:val="000000"/>
              </w:rPr>
              <w:t>TEAE</w:t>
            </w:r>
          </w:p>
        </w:tc>
        <w:tc>
          <w:tcPr>
            <w:tcW w:w="3987" w:type="pct"/>
            <w:gridSpan w:val="2"/>
            <w:tcBorders>
              <w:top w:val="single" w:sz="8" w:space="0" w:color="002C47"/>
              <w:left w:val="single" w:sz="8" w:space="0" w:color="002C47"/>
              <w:bottom w:val="single" w:sz="8" w:space="0" w:color="002C47"/>
              <w:right w:val="single" w:sz="8" w:space="0" w:color="002C47"/>
            </w:tcBorders>
          </w:tcPr>
          <w:p w14:paraId="747B691E" w14:textId="52713A48" w:rsidR="00F75CD2" w:rsidRDefault="00F75CD2" w:rsidP="000B186F">
            <w:pPr>
              <w:rPr>
                <w:color w:val="000000"/>
              </w:rPr>
            </w:pPr>
            <w:r w:rsidRPr="000F3166">
              <w:t>Treatment</w:t>
            </w:r>
            <w:r w:rsidR="006632F6">
              <w:noBreakHyphen/>
            </w:r>
            <w:r w:rsidRPr="000F3166">
              <w:t>emergent adverse event</w:t>
            </w:r>
          </w:p>
        </w:tc>
      </w:tr>
      <w:tr w:rsidR="00F75CD2" w14:paraId="52F53D59"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hideMark/>
          </w:tcPr>
          <w:p w14:paraId="71516F88" w14:textId="77777777" w:rsidR="00F75CD2" w:rsidRDefault="00F75CD2" w:rsidP="000B186F">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5C30B0A3" w14:textId="77777777" w:rsidR="00F75CD2" w:rsidRDefault="00F75CD2" w:rsidP="000B186F">
            <w:r>
              <w:t>Therapeutic Goods Administration</w:t>
            </w:r>
          </w:p>
        </w:tc>
      </w:tr>
      <w:tr w:rsidR="00F75CD2" w14:paraId="258E8FE8"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253F5AE5" w14:textId="77777777" w:rsidR="00F75CD2" w:rsidRDefault="00F75CD2" w:rsidP="000B186F">
            <w:pPr>
              <w:rPr>
                <w:color w:val="000000"/>
              </w:rPr>
            </w:pPr>
            <w:r>
              <w:rPr>
                <w:color w:val="000000"/>
              </w:rPr>
              <w:t>TKI</w:t>
            </w:r>
          </w:p>
        </w:tc>
        <w:tc>
          <w:tcPr>
            <w:tcW w:w="3987" w:type="pct"/>
            <w:gridSpan w:val="2"/>
            <w:tcBorders>
              <w:top w:val="single" w:sz="8" w:space="0" w:color="002C47"/>
              <w:left w:val="single" w:sz="8" w:space="0" w:color="002C47"/>
              <w:bottom w:val="single" w:sz="8" w:space="0" w:color="002C47"/>
              <w:right w:val="single" w:sz="8" w:space="0" w:color="002C47"/>
            </w:tcBorders>
          </w:tcPr>
          <w:p w14:paraId="0A8EDBAF" w14:textId="5CD5C547" w:rsidR="00F75CD2" w:rsidRDefault="00F75CD2" w:rsidP="000B186F">
            <w:pPr>
              <w:rPr>
                <w:color w:val="000000"/>
              </w:rPr>
            </w:pPr>
            <w:r>
              <w:t>T</w:t>
            </w:r>
            <w:r w:rsidRPr="00C64BAE">
              <w:t>yrosine kinase inhibitor</w:t>
            </w:r>
          </w:p>
        </w:tc>
      </w:tr>
      <w:tr w:rsidR="00F75CD2" w14:paraId="2795D597"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69338E1F" w14:textId="77777777" w:rsidR="00F75CD2" w:rsidRDefault="00F75CD2" w:rsidP="000B186F">
            <w:pPr>
              <w:rPr>
                <w:color w:val="000000"/>
              </w:rPr>
            </w:pPr>
            <w:proofErr w:type="spellStart"/>
            <w:r>
              <w:rPr>
                <w:color w:val="000000"/>
              </w:rPr>
              <w:t>T</w:t>
            </w:r>
            <w:r w:rsidRPr="00A9031A">
              <w:rPr>
                <w:color w:val="000000"/>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79E0291A" w14:textId="255B16C9" w:rsidR="00F75CD2" w:rsidRDefault="005872BF" w:rsidP="000B186F">
            <w:pPr>
              <w:rPr>
                <w:color w:val="000000"/>
              </w:rPr>
            </w:pPr>
            <w:r>
              <w:rPr>
                <w:rFonts w:cs="Calibri"/>
                <w:color w:val="000000"/>
              </w:rPr>
              <w:t>Time of maximum concentration</w:t>
            </w:r>
          </w:p>
        </w:tc>
      </w:tr>
      <w:tr w:rsidR="00F75CD2" w14:paraId="410A0856" w14:textId="77777777" w:rsidTr="000B186F">
        <w:trPr>
          <w:cantSplit/>
        </w:trPr>
        <w:tc>
          <w:tcPr>
            <w:tcW w:w="1013" w:type="pct"/>
            <w:tcBorders>
              <w:top w:val="single" w:sz="8" w:space="0" w:color="002C47"/>
              <w:left w:val="single" w:sz="8" w:space="0" w:color="002C47"/>
              <w:bottom w:val="single" w:sz="8" w:space="0" w:color="002C47"/>
              <w:right w:val="single" w:sz="8" w:space="0" w:color="002C47"/>
            </w:tcBorders>
          </w:tcPr>
          <w:p w14:paraId="3A2FC12C" w14:textId="77777777" w:rsidR="00F75CD2" w:rsidRDefault="00F75CD2" w:rsidP="000B186F">
            <w:pPr>
              <w:rPr>
                <w:color w:val="000000"/>
              </w:rPr>
            </w:pPr>
            <w:r>
              <w:rPr>
                <w:color w:val="000000"/>
              </w:rPr>
              <w:t>US(A)</w:t>
            </w:r>
          </w:p>
        </w:tc>
        <w:tc>
          <w:tcPr>
            <w:tcW w:w="3987" w:type="pct"/>
            <w:gridSpan w:val="2"/>
            <w:tcBorders>
              <w:top w:val="single" w:sz="8" w:space="0" w:color="002C47"/>
              <w:left w:val="single" w:sz="8" w:space="0" w:color="002C47"/>
              <w:bottom w:val="single" w:sz="8" w:space="0" w:color="002C47"/>
              <w:right w:val="single" w:sz="8" w:space="0" w:color="002C47"/>
            </w:tcBorders>
          </w:tcPr>
          <w:p w14:paraId="55127B1E" w14:textId="77777777" w:rsidR="00F75CD2" w:rsidRDefault="00F75CD2" w:rsidP="000B186F">
            <w:pPr>
              <w:rPr>
                <w:color w:val="000000"/>
              </w:rPr>
            </w:pPr>
            <w:r>
              <w:rPr>
                <w:color w:val="000000"/>
              </w:rPr>
              <w:t>United States of (America)</w:t>
            </w:r>
          </w:p>
        </w:tc>
      </w:tr>
    </w:tbl>
    <w:p w14:paraId="2A0EE6F0" w14:textId="77777777" w:rsidR="00FD119B" w:rsidRPr="00FD119B" w:rsidRDefault="00FD119B" w:rsidP="00FD119B">
      <w:pPr>
        <w:spacing w:before="0" w:after="200" w:line="0" w:lineRule="auto"/>
        <w:rPr>
          <w:b/>
          <w:i/>
          <w:sz w:val="24"/>
          <w:szCs w:val="24"/>
        </w:rPr>
      </w:pPr>
      <w:r w:rsidRPr="00FD119B">
        <w:rPr>
          <w:b/>
          <w:i/>
          <w:sz w:val="24"/>
          <w:szCs w:val="24"/>
        </w:rPr>
        <w:br w:type="page"/>
      </w:r>
    </w:p>
    <w:p w14:paraId="08074D67" w14:textId="658EE8DD" w:rsidR="008E7846" w:rsidRDefault="009F2673" w:rsidP="008E7846">
      <w:pPr>
        <w:pStyle w:val="Heading2"/>
      </w:pPr>
      <w:bookmarkStart w:id="5" w:name="_Toc107841973"/>
      <w:r>
        <w:lastRenderedPageBreak/>
        <w:t>Pr</w:t>
      </w:r>
      <w:r w:rsidR="008E7846">
        <w:t>oduct submission</w:t>
      </w:r>
      <w:bookmarkEnd w:id="5"/>
      <w:bookmarkEnd w:id="0"/>
      <w:bookmarkEnd w:id="2"/>
      <w:r w:rsidR="00A45587">
        <w:fldChar w:fldCharType="begin"/>
      </w:r>
      <w:r w:rsidR="00A45587">
        <w:instrText xml:space="preserve"> DOCVARIABLE vault_nd_43cd9cce-c686-4de7-8335-8620c01d89c7 \* MERGEFORMAT </w:instrText>
      </w:r>
      <w:r w:rsidR="00A45587">
        <w:fldChar w:fldCharType="separate"/>
      </w:r>
      <w:r w:rsidR="006F6B07">
        <w:t xml:space="preserve"> </w:t>
      </w:r>
      <w:r w:rsidR="00A45587">
        <w:fldChar w:fldCharType="end"/>
      </w:r>
    </w:p>
    <w:p w14:paraId="47750170" w14:textId="2772165F" w:rsidR="008E7846" w:rsidRDefault="008E7846" w:rsidP="009E5A87">
      <w:pPr>
        <w:pStyle w:val="Heading3"/>
        <w:rPr>
          <w:lang w:eastAsia="en-AU"/>
        </w:rPr>
      </w:pPr>
      <w:bookmarkStart w:id="6" w:name="_Toc247691502"/>
      <w:bookmarkStart w:id="7" w:name="_Toc314842483"/>
      <w:bookmarkStart w:id="8" w:name="_Toc107841974"/>
      <w:r>
        <w:rPr>
          <w:lang w:eastAsia="en-AU"/>
        </w:rPr>
        <w:t>Submission details</w:t>
      </w:r>
      <w:bookmarkEnd w:id="6"/>
      <w:bookmarkEnd w:id="7"/>
      <w:bookmarkEnd w:id="8"/>
      <w:r w:rsidR="00A45587">
        <w:rPr>
          <w:lang w:eastAsia="en-AU"/>
        </w:rPr>
        <w:fldChar w:fldCharType="begin"/>
      </w:r>
      <w:r w:rsidR="00A45587">
        <w:rPr>
          <w:lang w:eastAsia="en-AU"/>
        </w:rPr>
        <w:instrText xml:space="preserve"> DOCVARIABLE vault_nd_01d935d0-924f-42f4-9e39-6a5b861f2893 \* MERGEFORMAT </w:instrText>
      </w:r>
      <w:r w:rsidR="00A45587">
        <w:rPr>
          <w:lang w:eastAsia="en-AU"/>
        </w:rPr>
        <w:fldChar w:fldCharType="separate"/>
      </w:r>
      <w:r w:rsidR="006F6B07">
        <w:rPr>
          <w:lang w:eastAsia="en-AU"/>
        </w:rPr>
        <w:t xml:space="preserve"> </w:t>
      </w:r>
      <w:r w:rsidR="00A45587">
        <w:rPr>
          <w:lang w:eastAsia="en-AU"/>
        </w:rPr>
        <w:fldChar w:fldCharType="end"/>
      </w:r>
    </w:p>
    <w:tbl>
      <w:tblPr>
        <w:tblW w:w="5000" w:type="pct"/>
        <w:tblLook w:val="01E0" w:firstRow="1" w:lastRow="1" w:firstColumn="1" w:lastColumn="1" w:noHBand="0" w:noVBand="0"/>
      </w:tblPr>
      <w:tblGrid>
        <w:gridCol w:w="2682"/>
        <w:gridCol w:w="5822"/>
      </w:tblGrid>
      <w:tr w:rsidR="009F2673" w:rsidRPr="003D1E62" w14:paraId="46900F98" w14:textId="77777777" w:rsidTr="005B3718">
        <w:tc>
          <w:tcPr>
            <w:tcW w:w="1577" w:type="pct"/>
          </w:tcPr>
          <w:p w14:paraId="6EC50CC9" w14:textId="77777777" w:rsidR="009F2673" w:rsidRPr="003D1E62" w:rsidRDefault="009F2673" w:rsidP="009E5A87">
            <w:pPr>
              <w:rPr>
                <w:i/>
              </w:rPr>
            </w:pPr>
            <w:r>
              <w:rPr>
                <w:i/>
              </w:rPr>
              <w:t>Type of s</w:t>
            </w:r>
            <w:r w:rsidRPr="003D1E62">
              <w:rPr>
                <w:i/>
              </w:rPr>
              <w:t>ubmission</w:t>
            </w:r>
            <w:r>
              <w:rPr>
                <w:i/>
              </w:rPr>
              <w:t>:</w:t>
            </w:r>
          </w:p>
        </w:tc>
        <w:tc>
          <w:tcPr>
            <w:tcW w:w="3423" w:type="pct"/>
          </w:tcPr>
          <w:p w14:paraId="188878D4" w14:textId="0BEA0BEA" w:rsidR="009F2673" w:rsidRPr="003D1E62" w:rsidRDefault="009F2673" w:rsidP="009E5A87">
            <w:r w:rsidRPr="003D1E62">
              <w:t xml:space="preserve">New </w:t>
            </w:r>
            <w:r>
              <w:t>c</w:t>
            </w:r>
            <w:r w:rsidRPr="003D1E62">
              <w:t xml:space="preserve">hemical </w:t>
            </w:r>
            <w:r>
              <w:t>e</w:t>
            </w:r>
            <w:r w:rsidRPr="003D1E62">
              <w:t>ntity</w:t>
            </w:r>
          </w:p>
        </w:tc>
      </w:tr>
      <w:tr w:rsidR="009F2673" w:rsidRPr="003D1E62" w14:paraId="1C263BA1" w14:textId="77777777" w:rsidTr="005B3718">
        <w:tc>
          <w:tcPr>
            <w:tcW w:w="1577" w:type="pct"/>
          </w:tcPr>
          <w:p w14:paraId="1FB30500" w14:textId="4F97ADB6" w:rsidR="009F2673" w:rsidRPr="003D1E62" w:rsidRDefault="009F2673" w:rsidP="009E5A87">
            <w:pPr>
              <w:rPr>
                <w:i/>
              </w:rPr>
            </w:pPr>
            <w:r w:rsidRPr="00460036">
              <w:rPr>
                <w:i/>
              </w:rPr>
              <w:t>Product name:</w:t>
            </w:r>
          </w:p>
        </w:tc>
        <w:tc>
          <w:tcPr>
            <w:tcW w:w="3423" w:type="pct"/>
          </w:tcPr>
          <w:p w14:paraId="31D38F1E" w14:textId="6C5CEF86" w:rsidR="009F2673" w:rsidRPr="003D1E62" w:rsidRDefault="005B3718" w:rsidP="009E5A87">
            <w:proofErr w:type="spellStart"/>
            <w:r>
              <w:t>Tepmetko</w:t>
            </w:r>
            <w:proofErr w:type="spellEnd"/>
          </w:p>
        </w:tc>
      </w:tr>
      <w:tr w:rsidR="009F2673" w:rsidRPr="003D1E62" w14:paraId="51C802B3" w14:textId="77777777" w:rsidTr="005B3718">
        <w:tc>
          <w:tcPr>
            <w:tcW w:w="1577" w:type="pct"/>
          </w:tcPr>
          <w:p w14:paraId="01CA5F24" w14:textId="6370D39C" w:rsidR="009F2673" w:rsidRPr="003D1E62" w:rsidRDefault="009F2673" w:rsidP="009E5A87">
            <w:pPr>
              <w:rPr>
                <w:i/>
              </w:rPr>
            </w:pPr>
            <w:r w:rsidRPr="00460036">
              <w:rPr>
                <w:i/>
              </w:rPr>
              <w:t>Active ingredient:</w:t>
            </w:r>
          </w:p>
        </w:tc>
        <w:tc>
          <w:tcPr>
            <w:tcW w:w="3423" w:type="pct"/>
          </w:tcPr>
          <w:p w14:paraId="4BB09EC7" w14:textId="37AE3457" w:rsidR="009F2673" w:rsidRPr="003D1E62" w:rsidRDefault="005B3718" w:rsidP="009E5A87">
            <w:proofErr w:type="spellStart"/>
            <w:r>
              <w:t>Tepotinib</w:t>
            </w:r>
            <w:proofErr w:type="spellEnd"/>
            <w:r>
              <w:t xml:space="preserve"> (as hydrochloride monohydrate)</w:t>
            </w:r>
          </w:p>
        </w:tc>
      </w:tr>
      <w:tr w:rsidR="009F2673" w:rsidRPr="003D1E62" w14:paraId="5E4E98ED" w14:textId="77777777" w:rsidTr="005B3718">
        <w:tc>
          <w:tcPr>
            <w:tcW w:w="1577" w:type="pct"/>
          </w:tcPr>
          <w:p w14:paraId="011C65AC" w14:textId="77777777" w:rsidR="009F2673" w:rsidRPr="009F2673" w:rsidRDefault="009F2673" w:rsidP="009E5A87">
            <w:pPr>
              <w:rPr>
                <w:i/>
              </w:rPr>
            </w:pPr>
            <w:r w:rsidRPr="003D1E62">
              <w:rPr>
                <w:i/>
              </w:rPr>
              <w:t>Decision</w:t>
            </w:r>
            <w:r w:rsidRPr="009F2673">
              <w:rPr>
                <w:i/>
              </w:rPr>
              <w:t>:</w:t>
            </w:r>
          </w:p>
        </w:tc>
        <w:tc>
          <w:tcPr>
            <w:tcW w:w="3423" w:type="pct"/>
          </w:tcPr>
          <w:p w14:paraId="39752664" w14:textId="699C11FB" w:rsidR="009F2673" w:rsidRPr="003D1E62" w:rsidRDefault="009F2673" w:rsidP="009E5A87">
            <w:r w:rsidRPr="00460036">
              <w:t>Approved for provisional registration</w:t>
            </w:r>
          </w:p>
        </w:tc>
      </w:tr>
      <w:tr w:rsidR="009F2673" w:rsidRPr="003D1E62" w14:paraId="6AC7534B" w14:textId="77777777" w:rsidTr="005B3718">
        <w:tc>
          <w:tcPr>
            <w:tcW w:w="1577" w:type="pct"/>
          </w:tcPr>
          <w:p w14:paraId="084DB629"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2851F240" w14:textId="7DE7415E" w:rsidR="009F2673" w:rsidRPr="003D1E62" w:rsidRDefault="005B3718" w:rsidP="009E5A87">
            <w:r>
              <w:t>11 January 2022</w:t>
            </w:r>
          </w:p>
        </w:tc>
      </w:tr>
      <w:tr w:rsidR="009F2673" w:rsidRPr="003D1E62" w14:paraId="7C3625C6" w14:textId="77777777" w:rsidTr="005B3718">
        <w:tc>
          <w:tcPr>
            <w:tcW w:w="1577" w:type="pct"/>
          </w:tcPr>
          <w:p w14:paraId="7BD36079" w14:textId="77777777" w:rsidR="009F2673" w:rsidRPr="00441C3F" w:rsidRDefault="009F2673" w:rsidP="009E5A87">
            <w:pPr>
              <w:rPr>
                <w:i/>
              </w:rPr>
            </w:pPr>
            <w:r w:rsidRPr="00441C3F">
              <w:rPr>
                <w:i/>
              </w:rPr>
              <w:t>Date of entry onto ARTG</w:t>
            </w:r>
            <w:r>
              <w:rPr>
                <w:i/>
              </w:rPr>
              <w:t>:</w:t>
            </w:r>
          </w:p>
        </w:tc>
        <w:tc>
          <w:tcPr>
            <w:tcW w:w="3423" w:type="pct"/>
          </w:tcPr>
          <w:p w14:paraId="77290873" w14:textId="3F2EA5E8" w:rsidR="009F2673" w:rsidRPr="009F2673" w:rsidRDefault="005B3718" w:rsidP="009E5A87">
            <w:r>
              <w:t>17 January 2022</w:t>
            </w:r>
          </w:p>
        </w:tc>
      </w:tr>
      <w:tr w:rsidR="009F2673" w:rsidRPr="003D1E62" w14:paraId="38A9D622" w14:textId="77777777" w:rsidTr="005B3718">
        <w:tc>
          <w:tcPr>
            <w:tcW w:w="1577" w:type="pct"/>
          </w:tcPr>
          <w:p w14:paraId="445422D4" w14:textId="0F2D8813" w:rsidR="009F2673" w:rsidRPr="00441C3F" w:rsidRDefault="009F2673" w:rsidP="009E5A87">
            <w:pPr>
              <w:rPr>
                <w:i/>
              </w:rPr>
            </w:pPr>
            <w:r>
              <w:rPr>
                <w:i/>
              </w:rPr>
              <w:t>ARTG number:</w:t>
            </w:r>
          </w:p>
        </w:tc>
        <w:tc>
          <w:tcPr>
            <w:tcW w:w="3423" w:type="pct"/>
          </w:tcPr>
          <w:p w14:paraId="6AC8E944" w14:textId="4BCFE940" w:rsidR="009F2673" w:rsidRPr="00441C3F" w:rsidRDefault="005B3718" w:rsidP="009E5A87">
            <w:r>
              <w:t>370977</w:t>
            </w:r>
          </w:p>
        </w:tc>
      </w:tr>
      <w:tr w:rsidR="009F2673" w:rsidRPr="003D1E62" w14:paraId="35C8322E" w14:textId="77777777" w:rsidTr="005B3718">
        <w:tc>
          <w:tcPr>
            <w:tcW w:w="1577" w:type="pct"/>
          </w:tcPr>
          <w:p w14:paraId="668896B7" w14:textId="5ED10716" w:rsidR="009F2673" w:rsidRDefault="001B1DA4" w:rsidP="009E5A87">
            <w:pPr>
              <w:rPr>
                <w:i/>
              </w:rPr>
            </w:pPr>
            <w:r>
              <w:rPr>
                <w:rFonts w:ascii="Wingdings 3" w:hAnsi="Wingdings 3"/>
                <w:sz w:val="34"/>
                <w:szCs w:val="34"/>
                <w:lang w:eastAsia="en-AU"/>
              </w:rPr>
              <w:t></w:t>
            </w:r>
            <w:hyperlink r:id="rId17" w:history="1">
              <w:r w:rsidR="009F2673" w:rsidRPr="009F2673">
                <w:rPr>
                  <w:rStyle w:val="Hyperlink"/>
                  <w:i/>
                </w:rPr>
                <w:t>Black Triangle Scheme</w:t>
              </w:r>
            </w:hyperlink>
            <w:r w:rsidR="009F2673">
              <w:rPr>
                <w:i/>
              </w:rPr>
              <w:t>:</w:t>
            </w:r>
          </w:p>
        </w:tc>
        <w:tc>
          <w:tcPr>
            <w:tcW w:w="3423" w:type="pct"/>
          </w:tcPr>
          <w:p w14:paraId="210AC572" w14:textId="36F2C0B0" w:rsidR="009F2673" w:rsidRDefault="009F2673" w:rsidP="009E5A87">
            <w:r>
              <w:t>Yes</w:t>
            </w:r>
          </w:p>
          <w:p w14:paraId="3DD1D43E" w14:textId="2F48369A" w:rsidR="009F2673" w:rsidRPr="00487162" w:rsidRDefault="009F2673" w:rsidP="009E5A87">
            <w:r>
              <w:t>As a provisionally registered product, this medicine will remain in the Black Triangle Scheme for the duration of its provisional registration</w:t>
            </w:r>
          </w:p>
        </w:tc>
      </w:tr>
      <w:tr w:rsidR="009F2673" w:rsidRPr="003D1E62" w14:paraId="1352B7FB" w14:textId="77777777" w:rsidTr="005B3718">
        <w:tc>
          <w:tcPr>
            <w:tcW w:w="1577" w:type="pct"/>
          </w:tcPr>
          <w:p w14:paraId="5C39D884"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675801E5" w14:textId="77777777" w:rsidR="009F2673" w:rsidRDefault="005B3718" w:rsidP="009E5A87">
            <w:pPr>
              <w:rPr>
                <w:lang w:val="es-ES"/>
              </w:rPr>
            </w:pPr>
            <w:r>
              <w:rPr>
                <w:lang w:val="es-ES"/>
              </w:rPr>
              <w:t xml:space="preserve">Merck </w:t>
            </w:r>
            <w:proofErr w:type="spellStart"/>
            <w:r>
              <w:rPr>
                <w:lang w:val="es-ES"/>
              </w:rPr>
              <w:t>Healthcare</w:t>
            </w:r>
            <w:proofErr w:type="spellEnd"/>
            <w:r>
              <w:rPr>
                <w:lang w:val="es-ES"/>
              </w:rPr>
              <w:t xml:space="preserve"> </w:t>
            </w:r>
            <w:proofErr w:type="spellStart"/>
            <w:r>
              <w:rPr>
                <w:lang w:val="es-ES"/>
              </w:rPr>
              <w:t>Pty</w:t>
            </w:r>
            <w:proofErr w:type="spellEnd"/>
            <w:r>
              <w:rPr>
                <w:lang w:val="es-ES"/>
              </w:rPr>
              <w:t xml:space="preserve"> </w:t>
            </w:r>
            <w:proofErr w:type="spellStart"/>
            <w:r>
              <w:rPr>
                <w:lang w:val="es-ES"/>
              </w:rPr>
              <w:t>Ltd</w:t>
            </w:r>
            <w:proofErr w:type="spellEnd"/>
          </w:p>
          <w:p w14:paraId="4A0D2F84" w14:textId="77777777" w:rsidR="005872BF" w:rsidRDefault="005B3718" w:rsidP="005B3718">
            <w:pPr>
              <w:rPr>
                <w:lang w:val="es-ES"/>
              </w:rPr>
            </w:pPr>
            <w:r w:rsidRPr="00041F77">
              <w:rPr>
                <w:lang w:val="es-ES"/>
              </w:rPr>
              <w:t xml:space="preserve">Suite 1, </w:t>
            </w:r>
            <w:proofErr w:type="spellStart"/>
            <w:r w:rsidRPr="00041F77">
              <w:rPr>
                <w:lang w:val="es-ES"/>
              </w:rPr>
              <w:t>Level</w:t>
            </w:r>
            <w:proofErr w:type="spellEnd"/>
            <w:r w:rsidRPr="00041F77">
              <w:rPr>
                <w:lang w:val="es-ES"/>
              </w:rPr>
              <w:t xml:space="preserve"> 1, </w:t>
            </w:r>
            <w:proofErr w:type="spellStart"/>
            <w:r w:rsidRPr="00041F77">
              <w:rPr>
                <w:lang w:val="es-ES"/>
              </w:rPr>
              <w:t>Building</w:t>
            </w:r>
            <w:proofErr w:type="spellEnd"/>
            <w:r w:rsidRPr="00041F77">
              <w:rPr>
                <w:lang w:val="es-ES"/>
              </w:rPr>
              <w:t xml:space="preserve"> B</w:t>
            </w:r>
            <w:r>
              <w:rPr>
                <w:lang w:val="es-ES"/>
              </w:rPr>
              <w:t xml:space="preserve">, </w:t>
            </w:r>
            <w:r w:rsidRPr="00041F77">
              <w:rPr>
                <w:lang w:val="es-ES"/>
              </w:rPr>
              <w:t>11 Talavera Road,</w:t>
            </w:r>
          </w:p>
          <w:p w14:paraId="32341692" w14:textId="4F5CE4BB" w:rsidR="005B3718" w:rsidRPr="005B3718" w:rsidRDefault="005B3718" w:rsidP="005B3718">
            <w:pPr>
              <w:rPr>
                <w:lang w:val="es-ES"/>
              </w:rPr>
            </w:pPr>
            <w:r w:rsidRPr="00041F77">
              <w:rPr>
                <w:lang w:val="es-ES"/>
              </w:rPr>
              <w:t>Macquarie Park, NSW 2113</w:t>
            </w:r>
          </w:p>
        </w:tc>
      </w:tr>
      <w:tr w:rsidR="009F2673" w:rsidRPr="003D1E62" w14:paraId="1D19DD90" w14:textId="77777777" w:rsidTr="005B3718">
        <w:tc>
          <w:tcPr>
            <w:tcW w:w="1577" w:type="pct"/>
          </w:tcPr>
          <w:p w14:paraId="6768E2F6" w14:textId="31484F31" w:rsidR="009F2673" w:rsidRPr="00487162" w:rsidRDefault="009F2673" w:rsidP="009E5A87">
            <w:pPr>
              <w:rPr>
                <w:i/>
              </w:rPr>
            </w:pPr>
            <w:r>
              <w:rPr>
                <w:i/>
              </w:rPr>
              <w:t>Dose form:</w:t>
            </w:r>
          </w:p>
        </w:tc>
        <w:tc>
          <w:tcPr>
            <w:tcW w:w="3423" w:type="pct"/>
          </w:tcPr>
          <w:p w14:paraId="3DD7DBD9" w14:textId="3E482770" w:rsidR="009F2673" w:rsidRDefault="005B3718" w:rsidP="009E5A87">
            <w:r>
              <w:t>Film coated tablet</w:t>
            </w:r>
          </w:p>
        </w:tc>
      </w:tr>
      <w:tr w:rsidR="009F2673" w:rsidRPr="003D1E62" w14:paraId="5909E45D" w14:textId="77777777" w:rsidTr="005B3718">
        <w:tc>
          <w:tcPr>
            <w:tcW w:w="1577" w:type="pct"/>
          </w:tcPr>
          <w:p w14:paraId="0455ACF7" w14:textId="71AE424F" w:rsidR="009F2673" w:rsidRPr="00487162" w:rsidRDefault="009F2673" w:rsidP="009E5A87">
            <w:pPr>
              <w:rPr>
                <w:i/>
              </w:rPr>
            </w:pPr>
            <w:r w:rsidRPr="00487162">
              <w:rPr>
                <w:i/>
              </w:rPr>
              <w:t>Strength:</w:t>
            </w:r>
          </w:p>
        </w:tc>
        <w:tc>
          <w:tcPr>
            <w:tcW w:w="3423" w:type="pct"/>
          </w:tcPr>
          <w:p w14:paraId="65D9366D" w14:textId="39BFB9C5" w:rsidR="009F2673" w:rsidRDefault="005B3718" w:rsidP="009E5A87">
            <w:r>
              <w:t xml:space="preserve">225 mg </w:t>
            </w:r>
            <w:proofErr w:type="spellStart"/>
            <w:r>
              <w:t>tepotinib</w:t>
            </w:r>
            <w:proofErr w:type="spellEnd"/>
            <w:r w:rsidR="005872BF">
              <w:t xml:space="preserve"> </w:t>
            </w:r>
            <w:r w:rsidRPr="00006F4F">
              <w:t xml:space="preserve">(equivalent to 250 mg </w:t>
            </w:r>
            <w:proofErr w:type="spellStart"/>
            <w:r w:rsidRPr="00006F4F">
              <w:t>tepotinib</w:t>
            </w:r>
            <w:proofErr w:type="spellEnd"/>
            <w:r w:rsidRPr="00006F4F">
              <w:t xml:space="preserve"> hydrochloride monohydrate)</w:t>
            </w:r>
          </w:p>
        </w:tc>
      </w:tr>
      <w:tr w:rsidR="009F2673" w:rsidRPr="003D1E62" w14:paraId="40659CE9" w14:textId="77777777" w:rsidTr="005B3718">
        <w:tc>
          <w:tcPr>
            <w:tcW w:w="1577" w:type="pct"/>
          </w:tcPr>
          <w:p w14:paraId="6B8AABC9" w14:textId="02E7A4BD" w:rsidR="009F2673" w:rsidRPr="00487162" w:rsidRDefault="009F2673" w:rsidP="009E5A87">
            <w:pPr>
              <w:rPr>
                <w:i/>
              </w:rPr>
            </w:pPr>
            <w:r w:rsidRPr="00487162">
              <w:rPr>
                <w:i/>
              </w:rPr>
              <w:t>Container:</w:t>
            </w:r>
          </w:p>
        </w:tc>
        <w:tc>
          <w:tcPr>
            <w:tcW w:w="3423" w:type="pct"/>
          </w:tcPr>
          <w:p w14:paraId="41ED1C5B" w14:textId="7F7950E5" w:rsidR="009F2673" w:rsidRDefault="005B3718" w:rsidP="009E5A87">
            <w:r>
              <w:t>Blister pack</w:t>
            </w:r>
          </w:p>
        </w:tc>
      </w:tr>
      <w:tr w:rsidR="009F2673" w:rsidRPr="003D1E62" w14:paraId="71FD17A6" w14:textId="77777777" w:rsidTr="005B3718">
        <w:tc>
          <w:tcPr>
            <w:tcW w:w="1577" w:type="pct"/>
          </w:tcPr>
          <w:p w14:paraId="154165EC" w14:textId="298D492B" w:rsidR="009F2673" w:rsidRPr="00487162" w:rsidRDefault="009F2673" w:rsidP="009E5A87">
            <w:pPr>
              <w:rPr>
                <w:i/>
              </w:rPr>
            </w:pPr>
            <w:r w:rsidRPr="00487162">
              <w:rPr>
                <w:i/>
              </w:rPr>
              <w:t>Pack size:</w:t>
            </w:r>
          </w:p>
        </w:tc>
        <w:tc>
          <w:tcPr>
            <w:tcW w:w="3423" w:type="pct"/>
          </w:tcPr>
          <w:p w14:paraId="08EFC8F5" w14:textId="2792EED7" w:rsidR="009F2673" w:rsidRDefault="005B3718" w:rsidP="009E5A87">
            <w:r>
              <w:t>60 tablets</w:t>
            </w:r>
          </w:p>
        </w:tc>
      </w:tr>
      <w:tr w:rsidR="009F2673" w:rsidRPr="003D1E62" w14:paraId="29842DDE" w14:textId="77777777" w:rsidTr="005B3718">
        <w:tc>
          <w:tcPr>
            <w:tcW w:w="1577" w:type="pct"/>
          </w:tcPr>
          <w:p w14:paraId="1581216F"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40F06798" w14:textId="77777777" w:rsidR="005B3718" w:rsidRPr="005B3718" w:rsidRDefault="005B3718" w:rsidP="005B3718">
            <w:pPr>
              <w:rPr>
                <w:i/>
              </w:rPr>
            </w:pPr>
            <w:proofErr w:type="spellStart"/>
            <w:r w:rsidRPr="005B3718">
              <w:rPr>
                <w:i/>
              </w:rPr>
              <w:t>Tepmetko</w:t>
            </w:r>
            <w:proofErr w:type="spellEnd"/>
            <w:r w:rsidRPr="005B3718">
              <w:rPr>
                <w:i/>
              </w:rPr>
              <w:t xml:space="preserve"> has provisional approval in Australia for the treatment of adult patients with locally advanced or metastatic non-small cell lung cancer (NSCLC) harbouring mesenchymal-epithelial transition (MET) exon 14 skipping alterations.</w:t>
            </w:r>
          </w:p>
          <w:p w14:paraId="15EC68FB" w14:textId="61C2F6ED" w:rsidR="009F2673" w:rsidRPr="00487162" w:rsidRDefault="005B3718" w:rsidP="005B3718">
            <w:r w:rsidRPr="005B3718">
              <w:rPr>
                <w:i/>
              </w:rPr>
              <w:t xml:space="preserve">The decision to approve this indication has been made </w:t>
            </w:r>
            <w:proofErr w:type="gramStart"/>
            <w:r w:rsidRPr="005B3718">
              <w:rPr>
                <w:i/>
              </w:rPr>
              <w:t>on the basis of</w:t>
            </w:r>
            <w:proofErr w:type="gramEnd"/>
            <w:r w:rsidRPr="005B3718">
              <w:rPr>
                <w:i/>
              </w:rPr>
              <w:t xml:space="preserve"> </w:t>
            </w:r>
            <w:bookmarkStart w:id="9" w:name="_Hlk106959992"/>
            <w:r w:rsidRPr="005B3718">
              <w:rPr>
                <w:i/>
              </w:rPr>
              <w:t xml:space="preserve">overall response rate </w:t>
            </w:r>
            <w:bookmarkEnd w:id="9"/>
            <w:r w:rsidRPr="005B3718">
              <w:rPr>
                <w:i/>
              </w:rPr>
              <w:t>(ORR) and duration of response (DOR). Continued approval of this indication depends on verification and description of benefit in confirmatory trial(s).</w:t>
            </w:r>
          </w:p>
        </w:tc>
      </w:tr>
      <w:tr w:rsidR="009F2673" w:rsidRPr="003D1E62" w14:paraId="3DAD6849" w14:textId="77777777" w:rsidTr="005B3718">
        <w:tc>
          <w:tcPr>
            <w:tcW w:w="1577" w:type="pct"/>
          </w:tcPr>
          <w:p w14:paraId="4EE05877" w14:textId="4D6D6E42" w:rsidR="009F2673" w:rsidRPr="00487162" w:rsidRDefault="009F2673" w:rsidP="009E5A87">
            <w:pPr>
              <w:rPr>
                <w:i/>
              </w:rPr>
            </w:pPr>
            <w:r w:rsidRPr="00487162">
              <w:rPr>
                <w:i/>
              </w:rPr>
              <w:t>Route of administration:</w:t>
            </w:r>
          </w:p>
        </w:tc>
        <w:tc>
          <w:tcPr>
            <w:tcW w:w="3423" w:type="pct"/>
          </w:tcPr>
          <w:p w14:paraId="0FAEBDA0" w14:textId="4EE44F52" w:rsidR="009F2673" w:rsidRPr="00487162" w:rsidRDefault="005B3718" w:rsidP="009E5A87">
            <w:r>
              <w:t>Oral</w:t>
            </w:r>
          </w:p>
        </w:tc>
      </w:tr>
      <w:tr w:rsidR="009F2673" w:rsidRPr="003D1E62" w14:paraId="65368381" w14:textId="77777777" w:rsidTr="005B3718">
        <w:tc>
          <w:tcPr>
            <w:tcW w:w="1577" w:type="pct"/>
          </w:tcPr>
          <w:p w14:paraId="40868519" w14:textId="77777777" w:rsidR="009F2673" w:rsidRPr="00487162" w:rsidRDefault="009F2673" w:rsidP="009E5A87">
            <w:pPr>
              <w:rPr>
                <w:i/>
              </w:rPr>
            </w:pPr>
            <w:r w:rsidRPr="00487162">
              <w:rPr>
                <w:i/>
              </w:rPr>
              <w:t>Dosage:</w:t>
            </w:r>
          </w:p>
        </w:tc>
        <w:tc>
          <w:tcPr>
            <w:tcW w:w="3423" w:type="pct"/>
          </w:tcPr>
          <w:p w14:paraId="601F15BC" w14:textId="3285EAF2" w:rsidR="005B3718" w:rsidRDefault="0079041B" w:rsidP="005B3718">
            <w:r>
              <w:t>T</w:t>
            </w:r>
            <w:r w:rsidR="005B3718">
              <w:t>reatment should be initiated and supervised by a physician experienced in the treatment of cancer.</w:t>
            </w:r>
          </w:p>
          <w:p w14:paraId="07922E6F" w14:textId="72866ED2" w:rsidR="0079041B" w:rsidRDefault="0079041B" w:rsidP="005B3718">
            <w:r>
              <w:lastRenderedPageBreak/>
              <w:t xml:space="preserve">The recommended dose of </w:t>
            </w:r>
            <w:proofErr w:type="spellStart"/>
            <w:r>
              <w:t>Tepmetko</w:t>
            </w:r>
            <w:proofErr w:type="spellEnd"/>
            <w:r>
              <w:t xml:space="preserve"> is 450 mg (two 225 mg tablets) taken orally once daily with food.</w:t>
            </w:r>
          </w:p>
          <w:p w14:paraId="43E533A8" w14:textId="76250CC0" w:rsidR="0079041B" w:rsidRDefault="0079041B" w:rsidP="005B3718">
            <w:r>
              <w:t xml:space="preserve">Treatment should continue </w:t>
            </w:r>
            <w:proofErr w:type="gramStart"/>
            <w:r>
              <w:t>as long as</w:t>
            </w:r>
            <w:proofErr w:type="gramEnd"/>
            <w:r>
              <w:t xml:space="preserve"> clinical benefit is observed.</w:t>
            </w:r>
          </w:p>
          <w:p w14:paraId="3236C2D2" w14:textId="134A242A" w:rsidR="005B3718" w:rsidRDefault="005B3718" w:rsidP="005B3718">
            <w:r>
              <w:t xml:space="preserve">When considering the use of </w:t>
            </w:r>
            <w:proofErr w:type="spellStart"/>
            <w:r>
              <w:t>Tepmetko</w:t>
            </w:r>
            <w:proofErr w:type="spellEnd"/>
            <w:r>
              <w:t xml:space="preserve"> </w:t>
            </w:r>
            <w:r w:rsidR="005872BF">
              <w:t>(</w:t>
            </w:r>
            <w:proofErr w:type="spellStart"/>
            <w:r w:rsidR="005872BF">
              <w:t>tepotinib</w:t>
            </w:r>
            <w:proofErr w:type="spellEnd"/>
            <w:r w:rsidR="005872BF">
              <w:t xml:space="preserve">) </w:t>
            </w:r>
            <w:r>
              <w:t xml:space="preserve">as a treatment for advanced NSCLC harbouring </w:t>
            </w:r>
            <w:r w:rsidRPr="005B3718">
              <w:rPr>
                <w:i/>
                <w:iCs/>
              </w:rPr>
              <w:t>MET</w:t>
            </w:r>
            <w:r w:rsidR="00242C3E">
              <w:rPr>
                <w:i/>
                <w:iCs/>
              </w:rPr>
              <w:t xml:space="preserve"> </w:t>
            </w:r>
            <w:r w:rsidRPr="005B3718">
              <w:rPr>
                <w:i/>
                <w:iCs/>
              </w:rPr>
              <w:t>ex</w:t>
            </w:r>
            <w:r w:rsidR="00242C3E">
              <w:rPr>
                <w:i/>
                <w:iCs/>
              </w:rPr>
              <w:t xml:space="preserve">on </w:t>
            </w:r>
            <w:r w:rsidRPr="005B3718">
              <w:rPr>
                <w:i/>
                <w:iCs/>
              </w:rPr>
              <w:t>14</w:t>
            </w:r>
            <w:r>
              <w:t xml:space="preserve"> skipping alterations, the </w:t>
            </w:r>
            <w:r w:rsidRPr="005B3718">
              <w:rPr>
                <w:i/>
                <w:iCs/>
              </w:rPr>
              <w:t>MET</w:t>
            </w:r>
            <w:r w:rsidR="00242C3E">
              <w:rPr>
                <w:i/>
                <w:iCs/>
              </w:rPr>
              <w:t xml:space="preserve"> </w:t>
            </w:r>
            <w:r w:rsidRPr="005B3718">
              <w:rPr>
                <w:i/>
                <w:iCs/>
              </w:rPr>
              <w:t>ex</w:t>
            </w:r>
            <w:r w:rsidR="00242C3E">
              <w:rPr>
                <w:i/>
                <w:iCs/>
              </w:rPr>
              <w:t xml:space="preserve">on </w:t>
            </w:r>
            <w:r w:rsidRPr="005B3718">
              <w:rPr>
                <w:i/>
                <w:iCs/>
              </w:rPr>
              <w:t>14</w:t>
            </w:r>
            <w:r>
              <w:t xml:space="preserve"> skipping status should be established prior to initiation of </w:t>
            </w:r>
            <w:proofErr w:type="spellStart"/>
            <w:r>
              <w:t>Tepmetko</w:t>
            </w:r>
            <w:proofErr w:type="spellEnd"/>
            <w:r>
              <w:t xml:space="preserve"> therapy.</w:t>
            </w:r>
          </w:p>
          <w:p w14:paraId="5E4CA38F" w14:textId="77777777" w:rsidR="0079041B" w:rsidRDefault="005872BF" w:rsidP="00151BFF">
            <w:r>
              <w:t xml:space="preserve">Monitoring </w:t>
            </w:r>
            <w:r w:rsidR="00B53A3B">
              <w:t>of liver function by</w:t>
            </w:r>
            <w:r>
              <w:t xml:space="preserve"> </w:t>
            </w:r>
            <w:r w:rsidRPr="005872BF">
              <w:t xml:space="preserve">liver function tests (including </w:t>
            </w:r>
            <w:r>
              <w:t>alanine transaminase (</w:t>
            </w:r>
            <w:r w:rsidRPr="005872BF">
              <w:t>ALT</w:t>
            </w:r>
            <w:r>
              <w:t>)</w:t>
            </w:r>
            <w:r w:rsidRPr="005872BF">
              <w:t xml:space="preserve">, </w:t>
            </w:r>
            <w:r>
              <w:t>aspartate transaminase (</w:t>
            </w:r>
            <w:r w:rsidRPr="005872BF">
              <w:t>AST</w:t>
            </w:r>
            <w:r>
              <w:t>)</w:t>
            </w:r>
            <w:r w:rsidRPr="005872BF">
              <w:t xml:space="preserve"> and total bilirubin) </w:t>
            </w:r>
            <w:r>
              <w:t xml:space="preserve">should be conducted </w:t>
            </w:r>
            <w:r w:rsidRPr="005872BF">
              <w:t>prior to</w:t>
            </w:r>
            <w:r>
              <w:t xml:space="preserve"> starting, and during </w:t>
            </w:r>
            <w:r w:rsidR="00B53A3B">
              <w:t xml:space="preserve">treatment with </w:t>
            </w:r>
            <w:proofErr w:type="spellStart"/>
            <w:r w:rsidR="00B53A3B">
              <w:t>tepotinib</w:t>
            </w:r>
            <w:proofErr w:type="spellEnd"/>
            <w:r w:rsidR="00B53A3B">
              <w:t>.</w:t>
            </w:r>
          </w:p>
          <w:p w14:paraId="4ED05414" w14:textId="6ED0E0CA" w:rsidR="0079041B" w:rsidRDefault="0079041B" w:rsidP="00151BFF">
            <w:r>
              <w:t>Patients should be monitored for pulmonary symptoms indicative of interstitial lung disease-like reactions during treatment.</w:t>
            </w:r>
          </w:p>
          <w:p w14:paraId="19802C77" w14:textId="08B210AF" w:rsidR="009F2673" w:rsidRPr="00487162" w:rsidRDefault="009F2673" w:rsidP="005B3718">
            <w:r w:rsidRPr="00460036">
              <w:t>For further information regarding dosage, refer to the Product Information.</w:t>
            </w:r>
          </w:p>
        </w:tc>
      </w:tr>
      <w:tr w:rsidR="009F2673" w:rsidRPr="003D1E62" w14:paraId="2782F3DB" w14:textId="77777777" w:rsidTr="005B3718">
        <w:tc>
          <w:tcPr>
            <w:tcW w:w="1577" w:type="pct"/>
          </w:tcPr>
          <w:p w14:paraId="775FE77E" w14:textId="77777777" w:rsidR="009F2673" w:rsidRPr="00487162" w:rsidRDefault="009F2673" w:rsidP="009E5A87">
            <w:pPr>
              <w:rPr>
                <w:i/>
              </w:rPr>
            </w:pPr>
            <w:r w:rsidRPr="00460036">
              <w:rPr>
                <w:i/>
              </w:rPr>
              <w:lastRenderedPageBreak/>
              <w:t>Pregnancy category</w:t>
            </w:r>
            <w:r>
              <w:rPr>
                <w:i/>
              </w:rPr>
              <w:t>:</w:t>
            </w:r>
          </w:p>
        </w:tc>
        <w:tc>
          <w:tcPr>
            <w:tcW w:w="3423" w:type="pct"/>
          </w:tcPr>
          <w:p w14:paraId="00852A10" w14:textId="77777777" w:rsidR="005B3718" w:rsidRPr="00AF648E" w:rsidRDefault="005B3718" w:rsidP="005B3718">
            <w:r w:rsidRPr="00AF648E">
              <w:t>D</w:t>
            </w:r>
          </w:p>
          <w:p w14:paraId="0FAB57C5" w14:textId="77777777" w:rsidR="005B3718" w:rsidRPr="00AF648E" w:rsidRDefault="005B3718" w:rsidP="005B3718">
            <w:r w:rsidRPr="00AF648E">
              <w:t xml:space="preserve">Drugs which have caused, are suspected to have caused or may be expected to cause, an increased incidence of human </w:t>
            </w:r>
            <w:proofErr w:type="spellStart"/>
            <w:r w:rsidRPr="00AF648E">
              <w:t>fetal</w:t>
            </w:r>
            <w:proofErr w:type="spellEnd"/>
            <w:r w:rsidRPr="00AF648E">
              <w:t xml:space="preserve"> malformations or irreversible damage. These drugs may also have adverse pharmacological effects. Accompanying texts should be consulted for further details.</w:t>
            </w:r>
          </w:p>
          <w:p w14:paraId="5A025BA7" w14:textId="214A738C" w:rsidR="009F2673" w:rsidRPr="00487162" w:rsidRDefault="009F2673" w:rsidP="009E5A87">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65D1D865" w14:textId="567AC2E4" w:rsidR="008E7846" w:rsidRDefault="008E7846" w:rsidP="008E7846">
      <w:pPr>
        <w:pStyle w:val="Heading3"/>
      </w:pPr>
      <w:bookmarkStart w:id="10" w:name="_Toc247691503"/>
      <w:bookmarkStart w:id="11" w:name="_Toc314842484"/>
      <w:bookmarkStart w:id="12" w:name="_Toc107841975"/>
      <w:r>
        <w:t>Product background</w:t>
      </w:r>
      <w:bookmarkEnd w:id="10"/>
      <w:bookmarkEnd w:id="11"/>
      <w:bookmarkEnd w:id="12"/>
      <w:r w:rsidR="00A45587">
        <w:fldChar w:fldCharType="begin"/>
      </w:r>
      <w:r w:rsidR="00A45587">
        <w:instrText xml:space="preserve"> DOCVARIABLE vault_nd_7d31c721-0111-46c2-9d78-071993aa7b29 \* MERGEFORMAT </w:instrText>
      </w:r>
      <w:r w:rsidR="00A45587">
        <w:fldChar w:fldCharType="separate"/>
      </w:r>
      <w:r w:rsidR="006F6B07">
        <w:t xml:space="preserve"> </w:t>
      </w:r>
      <w:r w:rsidR="00A45587">
        <w:fldChar w:fldCharType="end"/>
      </w:r>
    </w:p>
    <w:p w14:paraId="565BAE9A" w14:textId="6CA66543" w:rsidR="005B3718" w:rsidRDefault="009F2673" w:rsidP="00D46FF3">
      <w:r w:rsidRPr="000A4A42">
        <w:t xml:space="preserve">This </w:t>
      </w:r>
      <w:proofErr w:type="spellStart"/>
      <w:r w:rsidRPr="000A4A42">
        <w:t>AusPAR</w:t>
      </w:r>
      <w:proofErr w:type="spellEnd"/>
      <w:r w:rsidRPr="000A4A42">
        <w:t xml:space="preserve"> describes the </w:t>
      </w:r>
      <w:r w:rsidR="001E359E">
        <w:t>submission</w:t>
      </w:r>
      <w:r w:rsidRPr="000A4A42">
        <w:t xml:space="preserve"> by </w:t>
      </w:r>
      <w:r w:rsidR="005B3718">
        <w:t>Merck Healthcare Pty Ltd</w:t>
      </w:r>
      <w:r w:rsidRPr="000A4A42">
        <w:t xml:space="preserve"> (the sponsor) to register </w:t>
      </w:r>
      <w:proofErr w:type="spellStart"/>
      <w:r w:rsidR="005B3718">
        <w:t>Tepmetko</w:t>
      </w:r>
      <w:proofErr w:type="spellEnd"/>
      <w:r w:rsidR="005B3718">
        <w:t xml:space="preserve"> (</w:t>
      </w:r>
      <w:proofErr w:type="spellStart"/>
      <w:r w:rsidR="005B3718">
        <w:t>tepotinib</w:t>
      </w:r>
      <w:proofErr w:type="spellEnd"/>
      <w:r w:rsidRPr="000A4A42">
        <w:t xml:space="preserve">) </w:t>
      </w:r>
      <w:r w:rsidR="005B3718">
        <w:t>225 mg</w:t>
      </w:r>
      <w:r w:rsidRPr="000A4A42">
        <w:t xml:space="preserve">, </w:t>
      </w:r>
      <w:r w:rsidR="005B3718">
        <w:t>film coated tablet</w:t>
      </w:r>
      <w:r w:rsidRPr="000A4A42">
        <w:t xml:space="preserve"> for the following proposed indication:</w:t>
      </w:r>
    </w:p>
    <w:p w14:paraId="717E5DCA" w14:textId="5D143E49" w:rsidR="005B3718" w:rsidRPr="00D46FF3" w:rsidRDefault="00D46FF3" w:rsidP="00D46FF3">
      <w:pPr>
        <w:ind w:left="720"/>
        <w:rPr>
          <w:i/>
          <w:iCs/>
          <w:sz w:val="23"/>
          <w:szCs w:val="23"/>
        </w:rPr>
      </w:pPr>
      <w:r w:rsidRPr="00D46FF3">
        <w:rPr>
          <w:i/>
          <w:iCs/>
        </w:rPr>
        <w:t>T</w:t>
      </w:r>
      <w:r w:rsidR="005B3718" w:rsidRPr="00D46FF3">
        <w:rPr>
          <w:i/>
          <w:iCs/>
          <w:sz w:val="23"/>
          <w:szCs w:val="23"/>
        </w:rPr>
        <w:t>he treatment of adult patients with advanced non-small cell lung cancer (NSCLC) harbouring MET tyrosine kinase receptor exon 14 (METex14) skipping alterations.</w:t>
      </w:r>
    </w:p>
    <w:p w14:paraId="6B9F9A0B" w14:textId="003049B3" w:rsidR="00A35E40" w:rsidRPr="00A35E40" w:rsidRDefault="00A35E40" w:rsidP="00A35E40">
      <w:r w:rsidRPr="00A35E40">
        <w:t>In 2017, the age</w:t>
      </w:r>
      <w:r w:rsidR="0079041B">
        <w:t>-</w:t>
      </w:r>
      <w:r w:rsidRPr="00A35E40">
        <w:t>standardised incidence rate of lung cancer was 43 per 100,000 persons in Australia</w:t>
      </w:r>
      <w:r w:rsidR="00647D56">
        <w:t>. In 2021, there were estimated to be more than</w:t>
      </w:r>
      <w:r w:rsidR="00801899">
        <w:t xml:space="preserve"> </w:t>
      </w:r>
      <w:r w:rsidRPr="00A35E40">
        <w:t xml:space="preserve">13,800 new diagnoses of lung </w:t>
      </w:r>
      <w:r w:rsidRPr="00A35E40">
        <w:lastRenderedPageBreak/>
        <w:t>can</w:t>
      </w:r>
      <w:r w:rsidR="00647D56">
        <w:t>cer</w:t>
      </w:r>
      <w:r w:rsidRPr="00A35E40">
        <w:t>.</w:t>
      </w:r>
      <w:bookmarkStart w:id="13" w:name="_Ref110238416"/>
      <w:r w:rsidR="00801899">
        <w:rPr>
          <w:rStyle w:val="FootnoteReference"/>
        </w:rPr>
        <w:footnoteReference w:id="2"/>
      </w:r>
      <w:bookmarkEnd w:id="13"/>
      <w:r w:rsidR="00801899">
        <w:rPr>
          <w:vertAlign w:val="superscript"/>
        </w:rPr>
        <w:t>,</w:t>
      </w:r>
      <w:bookmarkStart w:id="14" w:name="_Ref110238419"/>
      <w:r w:rsidR="00801899">
        <w:rPr>
          <w:rStyle w:val="FootnoteReference"/>
        </w:rPr>
        <w:footnoteReference w:id="3"/>
      </w:r>
      <w:bookmarkEnd w:id="14"/>
      <w:r w:rsidRPr="00A35E40">
        <w:t xml:space="preserve"> Lung cancer was the most common cause of cancer death in Australia in 2019 with 8,739</w:t>
      </w:r>
      <w:r w:rsidR="008D7C38">
        <w:t> </w:t>
      </w:r>
      <w:r w:rsidRPr="00A35E40">
        <w:t>deaths reported.</w:t>
      </w:r>
      <w:r w:rsidR="00647D56" w:rsidRPr="00151BFF">
        <w:rPr>
          <w:vertAlign w:val="superscript"/>
        </w:rPr>
        <w:fldChar w:fldCharType="begin"/>
      </w:r>
      <w:r w:rsidR="00647D56" w:rsidRPr="00151BFF">
        <w:rPr>
          <w:vertAlign w:val="superscript"/>
        </w:rPr>
        <w:instrText xml:space="preserve"> NOTEREF _Ref110238416 \h </w:instrText>
      </w:r>
      <w:r w:rsidR="00647D56">
        <w:rPr>
          <w:vertAlign w:val="superscript"/>
        </w:rPr>
        <w:instrText xml:space="preserve"> \* MERGEFORMAT </w:instrText>
      </w:r>
      <w:r w:rsidR="00647D56" w:rsidRPr="00151BFF">
        <w:rPr>
          <w:vertAlign w:val="superscript"/>
        </w:rPr>
      </w:r>
      <w:r w:rsidR="00647D56" w:rsidRPr="00151BFF">
        <w:rPr>
          <w:vertAlign w:val="superscript"/>
        </w:rPr>
        <w:fldChar w:fldCharType="separate"/>
      </w:r>
      <w:r w:rsidR="006F6B07">
        <w:rPr>
          <w:vertAlign w:val="superscript"/>
        </w:rPr>
        <w:t>1</w:t>
      </w:r>
      <w:r w:rsidR="00647D56" w:rsidRPr="00151BFF">
        <w:rPr>
          <w:vertAlign w:val="superscript"/>
        </w:rPr>
        <w:fldChar w:fldCharType="end"/>
      </w:r>
      <w:r w:rsidR="00647D56" w:rsidRPr="0068181F">
        <w:rPr>
          <w:vertAlign w:val="superscript"/>
        </w:rPr>
        <w:t>,</w:t>
      </w:r>
      <w:r w:rsidR="00647D56" w:rsidRPr="0068181F">
        <w:rPr>
          <w:vertAlign w:val="superscript"/>
        </w:rPr>
        <w:fldChar w:fldCharType="begin"/>
      </w:r>
      <w:r w:rsidR="00647D56" w:rsidRPr="0068181F">
        <w:rPr>
          <w:vertAlign w:val="superscript"/>
        </w:rPr>
        <w:instrText xml:space="preserve"> NOTEREF _Ref110238419 \h </w:instrText>
      </w:r>
      <w:r w:rsidR="00647D56">
        <w:rPr>
          <w:vertAlign w:val="superscript"/>
        </w:rPr>
        <w:instrText xml:space="preserve"> \* MERGEFORMAT </w:instrText>
      </w:r>
      <w:r w:rsidR="00647D56" w:rsidRPr="0068181F">
        <w:rPr>
          <w:vertAlign w:val="superscript"/>
        </w:rPr>
      </w:r>
      <w:r w:rsidR="00647D56" w:rsidRPr="0068181F">
        <w:rPr>
          <w:vertAlign w:val="superscript"/>
        </w:rPr>
        <w:fldChar w:fldCharType="separate"/>
      </w:r>
      <w:r w:rsidR="006F6B07">
        <w:rPr>
          <w:vertAlign w:val="superscript"/>
        </w:rPr>
        <w:t>2</w:t>
      </w:r>
      <w:r w:rsidR="00647D56" w:rsidRPr="0068181F">
        <w:rPr>
          <w:vertAlign w:val="superscript"/>
        </w:rPr>
        <w:fldChar w:fldCharType="end"/>
      </w:r>
      <w:r w:rsidRPr="00A35E40">
        <w:t xml:space="preserve"> Although the five-year relative survival for lung cancer has improved in recent years to 16.8%, the five-year survival for those with </w:t>
      </w:r>
      <w:r>
        <w:t>S</w:t>
      </w:r>
      <w:r w:rsidRPr="00A35E40">
        <w:t xml:space="preserve">tage </w:t>
      </w:r>
      <w:r>
        <w:t>IV</w:t>
      </w:r>
      <w:r w:rsidRPr="00A35E40">
        <w:t xml:space="preserve"> disease remains poor at 3.2%.</w:t>
      </w:r>
      <w:bookmarkStart w:id="15" w:name="_Ref106877106"/>
      <w:r>
        <w:rPr>
          <w:rStyle w:val="FootnoteReference"/>
        </w:rPr>
        <w:footnoteReference w:id="4"/>
      </w:r>
      <w:bookmarkEnd w:id="15"/>
    </w:p>
    <w:p w14:paraId="64E577C1" w14:textId="19C39ED0" w:rsidR="00A35E40" w:rsidRPr="00A35E40" w:rsidRDefault="00A35E40" w:rsidP="00067C84">
      <w:r w:rsidRPr="00A35E40">
        <w:t>Non-small cell lung cancer (NSCLC) accounts for 80</w:t>
      </w:r>
      <w:r>
        <w:t xml:space="preserve"> to </w:t>
      </w:r>
      <w:r w:rsidRPr="00A35E40">
        <w:t>90% of lung cancers</w:t>
      </w:r>
      <w:r w:rsidR="008D7C38">
        <w:t>.</w:t>
      </w:r>
      <w:r w:rsidR="00806F29">
        <w:t xml:space="preserve"> </w:t>
      </w:r>
      <w:r w:rsidR="004A7C99">
        <w:t>Mesenchymal</w:t>
      </w:r>
      <w:r w:rsidR="004A7C99">
        <w:noBreakHyphen/>
        <w:t xml:space="preserve">epithelial transition factor receptor </w:t>
      </w:r>
      <w:r w:rsidR="00633D48">
        <w:t xml:space="preserve">tyrosine kinase </w:t>
      </w:r>
      <w:r w:rsidR="004A7C99">
        <w:t>(</w:t>
      </w:r>
      <w:r w:rsidR="009A5DAC">
        <w:t>MET</w:t>
      </w:r>
      <w:r w:rsidR="004A7C99">
        <w:t>)</w:t>
      </w:r>
      <w:r w:rsidR="00633D48">
        <w:t>, also called c</w:t>
      </w:r>
      <w:r w:rsidR="00633D48">
        <w:noBreakHyphen/>
      </w:r>
      <w:r w:rsidR="009A5DAC">
        <w:t xml:space="preserve">MET </w:t>
      </w:r>
      <w:r w:rsidR="00806F29" w:rsidRPr="00806F29">
        <w:t>or hepatocyte grow</w:t>
      </w:r>
      <w:r w:rsidR="00806F29">
        <w:t>th factor receptor (HGFR)</w:t>
      </w:r>
      <w:r w:rsidR="0024465D">
        <w:t xml:space="preserve"> is a receptor tyrosine kinase that, after binding with its ligand, hepatocyte growth factor, activates a wide range of different cellular signalling pathways, including those involved in proliferation, motility, </w:t>
      </w:r>
      <w:proofErr w:type="gramStart"/>
      <w:r w:rsidR="0024465D">
        <w:t>migration</w:t>
      </w:r>
      <w:proofErr w:type="gramEnd"/>
      <w:r w:rsidR="0024465D">
        <w:t xml:space="preserve"> and invasion.</w:t>
      </w:r>
      <w:bookmarkStart w:id="16" w:name="_Ref110238621"/>
      <w:r w:rsidR="0024465D">
        <w:rPr>
          <w:rStyle w:val="FootnoteReference"/>
        </w:rPr>
        <w:footnoteReference w:id="5"/>
      </w:r>
      <w:bookmarkEnd w:id="16"/>
      <w:r w:rsidR="0024465D">
        <w:t xml:space="preserve"> MET is </w:t>
      </w:r>
      <w:r w:rsidR="00806F29" w:rsidRPr="00806F29">
        <w:t xml:space="preserve">encoded </w:t>
      </w:r>
      <w:r w:rsidR="009A5DAC">
        <w:t xml:space="preserve">for </w:t>
      </w:r>
      <w:r w:rsidR="00806F29" w:rsidRPr="00806F29">
        <w:t xml:space="preserve">by the </w:t>
      </w:r>
      <w:r w:rsidR="0024465D">
        <w:t>proto</w:t>
      </w:r>
      <w:r w:rsidR="0024465D">
        <w:noBreakHyphen/>
      </w:r>
      <w:r w:rsidR="009A5DAC">
        <w:t xml:space="preserve">oncogene </w:t>
      </w:r>
      <w:r w:rsidR="00806F29" w:rsidRPr="00151BFF">
        <w:rPr>
          <w:i/>
        </w:rPr>
        <w:t>MET</w:t>
      </w:r>
      <w:r w:rsidR="0024465D">
        <w:t xml:space="preserve"> and </w:t>
      </w:r>
      <w:r w:rsidR="0024465D" w:rsidRPr="00151BFF">
        <w:rPr>
          <w:i/>
        </w:rPr>
        <w:t>MET</w:t>
      </w:r>
      <w:r w:rsidR="0024465D">
        <w:t xml:space="preserve"> </w:t>
      </w:r>
      <w:r w:rsidR="00806F29" w:rsidRPr="00806F29">
        <w:t>abnormalitie</w:t>
      </w:r>
      <w:r w:rsidR="004A7C99">
        <w:t xml:space="preserve">s include MET exon-14 </w:t>
      </w:r>
      <w:r w:rsidR="00806F29" w:rsidRPr="00806F29">
        <w:t>skipping mutations</w:t>
      </w:r>
      <w:r w:rsidR="0024465D">
        <w:t xml:space="preserve"> (</w:t>
      </w:r>
      <w:r w:rsidR="0024465D" w:rsidRPr="00151BFF">
        <w:rPr>
          <w:i/>
        </w:rPr>
        <w:t>METex14</w:t>
      </w:r>
      <w:r w:rsidR="0024465D">
        <w:t>)</w:t>
      </w:r>
      <w:r w:rsidR="00806F29">
        <w:t>.</w:t>
      </w:r>
      <w:r w:rsidR="0024465D">
        <w:t xml:space="preserve"> </w:t>
      </w:r>
      <w:r w:rsidR="0024465D" w:rsidRPr="00151BFF">
        <w:rPr>
          <w:i/>
        </w:rPr>
        <w:t>METex14</w:t>
      </w:r>
      <w:r w:rsidR="0024465D">
        <w:t xml:space="preserve"> </w:t>
      </w:r>
      <w:r w:rsidRPr="00A35E40">
        <w:t>mutations occur in approximately 2</w:t>
      </w:r>
      <w:r>
        <w:t xml:space="preserve"> to </w:t>
      </w:r>
      <w:r w:rsidRPr="00A35E40">
        <w:t>4% of NSCLC adenocarcinoma, and 1</w:t>
      </w:r>
      <w:r>
        <w:t xml:space="preserve"> to </w:t>
      </w:r>
      <w:r w:rsidRPr="00A35E40">
        <w:t xml:space="preserve">2% of patients with other NSCLC </w:t>
      </w:r>
      <w:proofErr w:type="spellStart"/>
      <w:r w:rsidRPr="00A35E40">
        <w:t>histologies</w:t>
      </w:r>
      <w:proofErr w:type="spellEnd"/>
      <w:r w:rsidRPr="00A35E40">
        <w:t>.</w:t>
      </w:r>
      <w:bookmarkStart w:id="17" w:name="_Ref106876982"/>
      <w:r w:rsidR="00C64BAE">
        <w:rPr>
          <w:rStyle w:val="FootnoteReference"/>
        </w:rPr>
        <w:footnoteReference w:id="6"/>
      </w:r>
      <w:bookmarkEnd w:id="17"/>
      <w:r w:rsidRPr="00151BFF">
        <w:rPr>
          <w:vertAlign w:val="superscript"/>
        </w:rPr>
        <w:t>,</w:t>
      </w:r>
      <w:bookmarkStart w:id="18" w:name="_Ref106876898"/>
      <w:r w:rsidR="00C64BAE">
        <w:rPr>
          <w:rStyle w:val="FootnoteReference"/>
        </w:rPr>
        <w:footnoteReference w:id="7"/>
      </w:r>
      <w:bookmarkEnd w:id="18"/>
      <w:r w:rsidRPr="00A35E40">
        <w:t xml:space="preserve"> </w:t>
      </w:r>
      <w:r w:rsidRPr="00C64BAE">
        <w:rPr>
          <w:i/>
          <w:iCs/>
        </w:rPr>
        <w:t>MET</w:t>
      </w:r>
      <w:r w:rsidR="0024465D">
        <w:rPr>
          <w:i/>
          <w:iCs/>
        </w:rPr>
        <w:t>ex</w:t>
      </w:r>
      <w:r w:rsidRPr="00C64BAE">
        <w:rPr>
          <w:i/>
          <w:iCs/>
        </w:rPr>
        <w:t>14</w:t>
      </w:r>
      <w:r w:rsidRPr="00A35E40">
        <w:t xml:space="preserve"> mutations are extremely diverse and result in aberrant splicing and exon 14 skipping</w:t>
      </w:r>
      <w:r w:rsidR="00067C84">
        <w:t xml:space="preserve">. The </w:t>
      </w:r>
      <w:proofErr w:type="spellStart"/>
      <w:r w:rsidR="00067C84">
        <w:t>juxtamembrane</w:t>
      </w:r>
      <w:proofErr w:type="spellEnd"/>
      <w:r w:rsidR="00067C84">
        <w:t xml:space="preserve"> tyrosine 1003 (Y1003) negatively regulates MET by recruiting the ubiquitin ligase casitas B-lineage lymphoma (c</w:t>
      </w:r>
      <w:r w:rsidR="00067C84">
        <w:noBreakHyphen/>
        <w:t xml:space="preserve">CBL). </w:t>
      </w:r>
      <w:r w:rsidR="00067C84" w:rsidRPr="00151BFF">
        <w:rPr>
          <w:i/>
        </w:rPr>
        <w:t>METex14</w:t>
      </w:r>
      <w:r w:rsidR="00067C84">
        <w:t xml:space="preserve"> mutations </w:t>
      </w:r>
      <w:r w:rsidRPr="00A35E40">
        <w:t xml:space="preserve">result in loss of the </w:t>
      </w:r>
      <w:r w:rsidRPr="00151BFF">
        <w:rPr>
          <w:iCs/>
        </w:rPr>
        <w:t>Y1003</w:t>
      </w:r>
      <w:r w:rsidRPr="00C64BAE">
        <w:rPr>
          <w:i/>
          <w:iCs/>
        </w:rPr>
        <w:t xml:space="preserve"> </w:t>
      </w:r>
      <w:r w:rsidR="00067C84" w:rsidRPr="0068181F">
        <w:rPr>
          <w:iCs/>
        </w:rPr>
        <w:t>c-CBL</w:t>
      </w:r>
      <w:r w:rsidRPr="00A35E40">
        <w:t xml:space="preserve"> binding site and reduced </w:t>
      </w:r>
      <w:r w:rsidRPr="008D158B">
        <w:t>MET</w:t>
      </w:r>
      <w:r w:rsidRPr="00A35E40">
        <w:t xml:space="preserve"> degradation.</w:t>
      </w:r>
      <w:r w:rsidR="00C75472" w:rsidRPr="0068181F">
        <w:rPr>
          <w:vertAlign w:val="superscript"/>
        </w:rPr>
        <w:fldChar w:fldCharType="begin"/>
      </w:r>
      <w:r w:rsidR="00C75472" w:rsidRPr="0068181F">
        <w:rPr>
          <w:vertAlign w:val="superscript"/>
        </w:rPr>
        <w:instrText xml:space="preserve"> NOTEREF _Ref110238621 \h </w:instrText>
      </w:r>
      <w:r w:rsidR="00C75472">
        <w:rPr>
          <w:vertAlign w:val="superscript"/>
        </w:rPr>
        <w:instrText xml:space="preserve"> \* MERGEFORMAT </w:instrText>
      </w:r>
      <w:r w:rsidR="00C75472" w:rsidRPr="0068181F">
        <w:rPr>
          <w:vertAlign w:val="superscript"/>
        </w:rPr>
      </w:r>
      <w:r w:rsidR="00C75472" w:rsidRPr="0068181F">
        <w:rPr>
          <w:vertAlign w:val="superscript"/>
        </w:rPr>
        <w:fldChar w:fldCharType="separate"/>
      </w:r>
      <w:r w:rsidR="006F6B07">
        <w:rPr>
          <w:vertAlign w:val="superscript"/>
        </w:rPr>
        <w:t>4</w:t>
      </w:r>
      <w:r w:rsidR="00C75472" w:rsidRPr="0068181F">
        <w:rPr>
          <w:vertAlign w:val="superscript"/>
        </w:rPr>
        <w:fldChar w:fldCharType="end"/>
      </w:r>
      <w:r w:rsidRPr="00A35E40">
        <w:t xml:space="preserve"> Patients with NSCLC harbouring </w:t>
      </w:r>
      <w:r w:rsidRPr="00C64BAE">
        <w:rPr>
          <w:i/>
          <w:iCs/>
        </w:rPr>
        <w:t>METex14</w:t>
      </w:r>
      <w:r w:rsidRPr="00A35E40">
        <w:t xml:space="preserve"> skipping alterations tend to be older (mean age around 70 years) in comparison to some other subpopulations with targetable driver mutations.</w:t>
      </w:r>
    </w:p>
    <w:p w14:paraId="0B3B59B5" w14:textId="09CD6ED6" w:rsidR="00067C84" w:rsidRDefault="00067C84" w:rsidP="00A35E40">
      <w:r w:rsidRPr="0068181F">
        <w:rPr>
          <w:i/>
          <w:color w:val="000000"/>
        </w:rPr>
        <w:t>MET</w:t>
      </w:r>
      <w:r w:rsidR="00A35E40" w:rsidRPr="00A35E40">
        <w:t xml:space="preserve"> genomic alterations do not typically overlap with </w:t>
      </w:r>
      <w:r w:rsidR="00242C3E" w:rsidRPr="00242C3E">
        <w:t>epidermal growth factor receptor</w:t>
      </w:r>
      <w:r w:rsidR="00A35E40" w:rsidRPr="00A35E40">
        <w:t xml:space="preserve">, </w:t>
      </w:r>
      <w:r w:rsidR="00242C3E">
        <w:t>r</w:t>
      </w:r>
      <w:r w:rsidR="00242C3E" w:rsidRPr="00242C3E">
        <w:t xml:space="preserve">eceptor </w:t>
      </w:r>
      <w:r w:rsidR="00242C3E">
        <w:t>t</w:t>
      </w:r>
      <w:r w:rsidR="00242C3E" w:rsidRPr="00242C3E">
        <w:t xml:space="preserve">yrosine </w:t>
      </w:r>
      <w:r w:rsidR="00242C3E">
        <w:t>k</w:t>
      </w:r>
      <w:r w:rsidR="00242C3E" w:rsidRPr="00242C3E">
        <w:t>inase</w:t>
      </w:r>
      <w:r w:rsidR="00242C3E">
        <w:t xml:space="preserve"> (</w:t>
      </w:r>
      <w:r w:rsidR="00A35E40" w:rsidRPr="00151BFF">
        <w:rPr>
          <w:i/>
        </w:rPr>
        <w:t>ROS1</w:t>
      </w:r>
      <w:r w:rsidR="00242C3E">
        <w:t>)</w:t>
      </w:r>
      <w:r w:rsidR="00A35E40" w:rsidRPr="00A35E40">
        <w:t xml:space="preserve">, </w:t>
      </w:r>
      <w:r w:rsidR="00A35E40" w:rsidRPr="00151BFF">
        <w:rPr>
          <w:i/>
        </w:rPr>
        <w:t>B</w:t>
      </w:r>
      <w:r w:rsidR="00242C3E" w:rsidRPr="00151BFF">
        <w:rPr>
          <w:i/>
        </w:rPr>
        <w:t>-</w:t>
      </w:r>
      <w:r w:rsidR="00A35E40" w:rsidRPr="00151BFF">
        <w:rPr>
          <w:i/>
        </w:rPr>
        <w:t>R</w:t>
      </w:r>
      <w:r w:rsidR="00242C3E" w:rsidRPr="00151BFF">
        <w:rPr>
          <w:i/>
        </w:rPr>
        <w:t>a</w:t>
      </w:r>
      <w:r w:rsidR="008D158B" w:rsidRPr="00151BFF">
        <w:rPr>
          <w:i/>
        </w:rPr>
        <w:t>f</w:t>
      </w:r>
      <w:r w:rsidR="008D158B">
        <w:t xml:space="preserve"> </w:t>
      </w:r>
      <w:r w:rsidR="00242C3E" w:rsidRPr="00242C3E">
        <w:t>proto</w:t>
      </w:r>
      <w:r w:rsidR="008D158B">
        <w:noBreakHyphen/>
      </w:r>
      <w:r w:rsidR="00242C3E" w:rsidRPr="00242C3E">
        <w:t>oncogene</w:t>
      </w:r>
      <w:r w:rsidR="00A35E40" w:rsidRPr="00A35E40">
        <w:t xml:space="preserve"> and </w:t>
      </w:r>
      <w:r w:rsidR="008D158B">
        <w:t>a</w:t>
      </w:r>
      <w:r w:rsidR="008D158B" w:rsidRPr="008D158B">
        <w:t xml:space="preserve">naplastic lymphoma kinase </w:t>
      </w:r>
      <w:r w:rsidR="008D158B">
        <w:t>(</w:t>
      </w:r>
      <w:r w:rsidR="00A35E40" w:rsidRPr="00151BFF">
        <w:rPr>
          <w:i/>
        </w:rPr>
        <w:t>ALK</w:t>
      </w:r>
      <w:r w:rsidR="008D158B">
        <w:t>)</w:t>
      </w:r>
      <w:r w:rsidR="00A35E40" w:rsidRPr="00A35E40">
        <w:t xml:space="preserve"> genetic variants, further reinforcing </w:t>
      </w:r>
      <w:r w:rsidR="00A35E40" w:rsidRPr="00151BFF">
        <w:rPr>
          <w:i/>
        </w:rPr>
        <w:t>MET</w:t>
      </w:r>
      <w:r w:rsidR="00A35E40" w:rsidRPr="00A35E40">
        <w:t xml:space="preserve"> status as an oncogenic driver.</w:t>
      </w:r>
      <w:r w:rsidR="00C64BAE">
        <w:fldChar w:fldCharType="begin"/>
      </w:r>
      <w:r w:rsidR="00C64BAE">
        <w:instrText xml:space="preserve"> NOTEREF _Ref106876898 \f \h </w:instrText>
      </w:r>
      <w:r w:rsidR="00C64BAE">
        <w:fldChar w:fldCharType="separate"/>
      </w:r>
      <w:r w:rsidR="006F6B07" w:rsidRPr="006F6B07">
        <w:rPr>
          <w:rStyle w:val="FootnoteReference"/>
        </w:rPr>
        <w:t>6</w:t>
      </w:r>
      <w:r w:rsidR="00C64BAE">
        <w:fldChar w:fldCharType="end"/>
      </w:r>
    </w:p>
    <w:p w14:paraId="52300659" w14:textId="0F712100" w:rsidR="00A35E40" w:rsidRPr="00A35E40" w:rsidRDefault="00A35E40" w:rsidP="00A35E40">
      <w:r w:rsidRPr="00A35E40">
        <w:t xml:space="preserve">Multiple case series and cohorts have now demonstrated durable </w:t>
      </w:r>
      <w:r w:rsidR="00067C84">
        <w:t>overall response rates</w:t>
      </w:r>
      <w:r w:rsidR="00067C84" w:rsidRPr="00A35E40">
        <w:t xml:space="preserve"> </w:t>
      </w:r>
      <w:r w:rsidRPr="00A35E40">
        <w:t xml:space="preserve">with MET-targeting tyrosine kinase inhibitors </w:t>
      </w:r>
      <w:r w:rsidR="00837019">
        <w:t xml:space="preserve">(MET-TKI’s) </w:t>
      </w:r>
      <w:r w:rsidRPr="00A35E40">
        <w:t xml:space="preserve">in patients with </w:t>
      </w:r>
      <w:r w:rsidR="00067C84">
        <w:t xml:space="preserve">advanced NSCLC with </w:t>
      </w:r>
      <w:r w:rsidRPr="008D158B">
        <w:rPr>
          <w:i/>
          <w:iCs/>
        </w:rPr>
        <w:t>METex14</w:t>
      </w:r>
      <w:r w:rsidRPr="00A35E40">
        <w:t xml:space="preserve"> </w:t>
      </w:r>
      <w:r w:rsidR="00067C84">
        <w:t>mutations</w:t>
      </w:r>
      <w:r w:rsidR="00837019">
        <w:t>.</w:t>
      </w:r>
      <w:r w:rsidRPr="00A35E40">
        <w:t xml:space="preserve"> </w:t>
      </w:r>
      <w:r w:rsidR="00837019">
        <w:t>In the</w:t>
      </w:r>
      <w:r w:rsidR="00067C84">
        <w:t xml:space="preserve"> </w:t>
      </w:r>
      <w:r w:rsidR="00067C84" w:rsidRPr="00151BFF">
        <w:rPr>
          <w:i/>
        </w:rPr>
        <w:t>METex14</w:t>
      </w:r>
      <w:r w:rsidR="00067C84">
        <w:t xml:space="preserve"> cohort in the</w:t>
      </w:r>
      <w:r w:rsidRPr="00A35E40">
        <w:t xml:space="preserve"> PROFILE 1001 trial an </w:t>
      </w:r>
      <w:r w:rsidR="00C64BAE" w:rsidRPr="00C64BAE">
        <w:t xml:space="preserve">overall response rate </w:t>
      </w:r>
      <w:r w:rsidRPr="00A35E40">
        <w:t>of 32%</w:t>
      </w:r>
      <w:r w:rsidR="00837019">
        <w:t xml:space="preserve"> was reported with a</w:t>
      </w:r>
      <w:r w:rsidRPr="00A35E40">
        <w:t xml:space="preserve"> median </w:t>
      </w:r>
      <w:r w:rsidR="00C64BAE">
        <w:t xml:space="preserve">duration of response </w:t>
      </w:r>
      <w:r w:rsidRPr="00A35E40">
        <w:t>of 9.1</w:t>
      </w:r>
      <w:r w:rsidR="00837019">
        <w:t> </w:t>
      </w:r>
      <w:r w:rsidRPr="00A35E40">
        <w:t xml:space="preserve">months (95% </w:t>
      </w:r>
      <w:r w:rsidR="00C64BAE">
        <w:t xml:space="preserve">confidence interval </w:t>
      </w:r>
      <w:r w:rsidR="00837019">
        <w:t>(</w:t>
      </w:r>
      <w:r w:rsidRPr="00A35E40">
        <w:t>CI</w:t>
      </w:r>
      <w:r w:rsidR="00837019">
        <w:t>)</w:t>
      </w:r>
      <w:r w:rsidRPr="00A35E40">
        <w:t xml:space="preserve">: 6.4, 12.7) and median </w:t>
      </w:r>
      <w:r w:rsidR="00C64BAE">
        <w:t>progression</w:t>
      </w:r>
      <w:r w:rsidR="00837019">
        <w:t>-</w:t>
      </w:r>
      <w:r w:rsidR="00C64BAE">
        <w:t xml:space="preserve">free survival </w:t>
      </w:r>
      <w:r w:rsidRPr="00A35E40">
        <w:t>of 7.3months (95% CI: 5.4, 9.1) with crizotinib.</w:t>
      </w:r>
      <w:r w:rsidR="00C64BAE">
        <w:fldChar w:fldCharType="begin"/>
      </w:r>
      <w:r w:rsidR="00C64BAE">
        <w:instrText xml:space="preserve"> NOTEREF _Ref106876982 \f \h </w:instrText>
      </w:r>
      <w:r w:rsidR="00C64BAE">
        <w:fldChar w:fldCharType="separate"/>
      </w:r>
      <w:r w:rsidR="006F6B07" w:rsidRPr="006F6B07">
        <w:rPr>
          <w:rStyle w:val="FootnoteReference"/>
        </w:rPr>
        <w:t>5</w:t>
      </w:r>
      <w:r w:rsidR="00C64BAE">
        <w:fldChar w:fldCharType="end"/>
      </w:r>
    </w:p>
    <w:p w14:paraId="17705901" w14:textId="4FA65ADA" w:rsidR="00A35E40" w:rsidRPr="00A35E40" w:rsidRDefault="00A35E40" w:rsidP="00A35E40">
      <w:r w:rsidRPr="00A35E40">
        <w:t xml:space="preserve">A variety of more specific </w:t>
      </w:r>
      <w:r w:rsidR="00837019">
        <w:t>MET-</w:t>
      </w:r>
      <w:r w:rsidRPr="00A35E40">
        <w:t>TKI</w:t>
      </w:r>
      <w:r w:rsidR="00837019">
        <w:t>s</w:t>
      </w:r>
      <w:r w:rsidRPr="00A35E40">
        <w:t xml:space="preserve"> are under development against this target (</w:t>
      </w:r>
      <w:r w:rsidR="00C64BAE">
        <w:t>for example,</w:t>
      </w:r>
      <w:r w:rsidRPr="00A35E40">
        <w:t xml:space="preserve"> </w:t>
      </w:r>
      <w:proofErr w:type="spellStart"/>
      <w:r w:rsidRPr="00A35E40">
        <w:t>capmatinib</w:t>
      </w:r>
      <w:proofErr w:type="spellEnd"/>
      <w:r w:rsidRPr="00A35E40">
        <w:t xml:space="preserve">, </w:t>
      </w:r>
      <w:proofErr w:type="spellStart"/>
      <w:r w:rsidRPr="00A35E40">
        <w:t>tepotinib</w:t>
      </w:r>
      <w:proofErr w:type="spellEnd"/>
      <w:r w:rsidRPr="00A35E40">
        <w:t xml:space="preserve">, </w:t>
      </w:r>
      <w:r w:rsidR="00837019">
        <w:t xml:space="preserve">and </w:t>
      </w:r>
      <w:proofErr w:type="spellStart"/>
      <w:r w:rsidRPr="00A35E40">
        <w:t>savolitinib</w:t>
      </w:r>
      <w:proofErr w:type="spellEnd"/>
      <w:r w:rsidRPr="00A35E40">
        <w:t>), with single</w:t>
      </w:r>
      <w:r w:rsidR="00C64BAE">
        <w:t xml:space="preserve"> </w:t>
      </w:r>
      <w:r w:rsidRPr="00A35E40">
        <w:t xml:space="preserve">arm </w:t>
      </w:r>
      <w:r w:rsidR="00C64BAE">
        <w:t>P</w:t>
      </w:r>
      <w:r w:rsidRPr="00A35E40">
        <w:t xml:space="preserve">hase II trials of </w:t>
      </w:r>
      <w:proofErr w:type="spellStart"/>
      <w:r w:rsidRPr="00A35E40">
        <w:t>tepotinib</w:t>
      </w:r>
      <w:proofErr w:type="spellEnd"/>
      <w:r w:rsidRPr="00A35E40">
        <w:t xml:space="preserve"> or </w:t>
      </w:r>
      <w:proofErr w:type="spellStart"/>
      <w:r w:rsidRPr="00A35E40">
        <w:t>capmatinib</w:t>
      </w:r>
      <w:proofErr w:type="spellEnd"/>
      <w:r w:rsidRPr="00A35E40">
        <w:t xml:space="preserve"> demonstrating efficacy in patients with </w:t>
      </w:r>
      <w:r w:rsidRPr="00C64BAE">
        <w:rPr>
          <w:i/>
          <w:iCs/>
        </w:rPr>
        <w:t>MET</w:t>
      </w:r>
      <w:r w:rsidR="00837019">
        <w:rPr>
          <w:i/>
          <w:iCs/>
        </w:rPr>
        <w:t>ex</w:t>
      </w:r>
      <w:r w:rsidRPr="00C64BAE">
        <w:rPr>
          <w:i/>
          <w:iCs/>
        </w:rPr>
        <w:t>14</w:t>
      </w:r>
      <w:r w:rsidR="00837019">
        <w:t>-</w:t>
      </w:r>
      <w:r w:rsidRPr="00A35E40">
        <w:t>mutated NSCLC</w:t>
      </w:r>
      <w:r w:rsidR="004A7C99">
        <w:t>.</w:t>
      </w:r>
      <w:bookmarkStart w:id="19" w:name="_Ref106877221"/>
      <w:r w:rsidR="00C64BAE">
        <w:rPr>
          <w:rStyle w:val="FootnoteReference"/>
        </w:rPr>
        <w:footnoteReference w:id="8"/>
      </w:r>
      <w:bookmarkEnd w:id="19"/>
      <w:r w:rsidR="00C64BAE" w:rsidRPr="00C64BAE">
        <w:rPr>
          <w:vertAlign w:val="superscript"/>
        </w:rPr>
        <w:t>,</w:t>
      </w:r>
      <w:bookmarkStart w:id="20" w:name="_Ref106877344"/>
      <w:r w:rsidR="00C64BAE">
        <w:rPr>
          <w:rStyle w:val="FootnoteReference"/>
        </w:rPr>
        <w:footnoteReference w:id="9"/>
      </w:r>
      <w:bookmarkEnd w:id="20"/>
    </w:p>
    <w:p w14:paraId="186E6EF8" w14:textId="7747CB7B" w:rsidR="00A35E40" w:rsidRPr="00A35E40" w:rsidRDefault="00A35E40" w:rsidP="00A35E40">
      <w:r w:rsidRPr="00A35E40">
        <w:t xml:space="preserve">In recent years, improvements in systemic therapy for advanced </w:t>
      </w:r>
      <w:r w:rsidR="00C64BAE">
        <w:t>NSCLC</w:t>
      </w:r>
      <w:r w:rsidRPr="00A35E40">
        <w:t>, including checkpoint inhibitors with or without chemotherapy, and targeted therapies (for those with specific oncogenic driver mutations), have led to a significant reduction in mortality.</w:t>
      </w:r>
      <w:r w:rsidR="00C64BAE">
        <w:fldChar w:fldCharType="begin"/>
      </w:r>
      <w:r w:rsidR="00C64BAE">
        <w:instrText xml:space="preserve"> NOTEREF _Ref106877102 \f \h </w:instrText>
      </w:r>
      <w:r w:rsidR="00C64BAE">
        <w:fldChar w:fldCharType="separate"/>
      </w:r>
      <w:r w:rsidR="006F6B07">
        <w:rPr>
          <w:b/>
          <w:bCs/>
          <w:lang w:val="en-US"/>
        </w:rPr>
        <w:t>Error! Bookmark not defined.</w:t>
      </w:r>
      <w:r w:rsidR="00C64BAE">
        <w:fldChar w:fldCharType="end"/>
      </w:r>
      <w:r w:rsidR="00C64BAE" w:rsidRPr="00C64BAE">
        <w:rPr>
          <w:vertAlign w:val="superscript"/>
        </w:rPr>
        <w:t>,</w:t>
      </w:r>
      <w:r w:rsidR="00C64BAE">
        <w:fldChar w:fldCharType="begin"/>
      </w:r>
      <w:r w:rsidR="00C64BAE">
        <w:instrText xml:space="preserve"> NOTEREF _Ref106877106 \f \h </w:instrText>
      </w:r>
      <w:r w:rsidR="00C64BAE">
        <w:fldChar w:fldCharType="separate"/>
      </w:r>
      <w:r w:rsidR="006F6B07" w:rsidRPr="006F6B07">
        <w:rPr>
          <w:rStyle w:val="FootnoteReference"/>
        </w:rPr>
        <w:t>3</w:t>
      </w:r>
      <w:r w:rsidR="00C64BAE">
        <w:fldChar w:fldCharType="end"/>
      </w:r>
      <w:r w:rsidR="00837019">
        <w:t xml:space="preserve"> </w:t>
      </w:r>
      <w:r w:rsidRPr="00A35E40">
        <w:t xml:space="preserve">However, the prognosis in patients with </w:t>
      </w:r>
      <w:r w:rsidRPr="00A35E40">
        <w:lastRenderedPageBreak/>
        <w:t>advanced NSCLC receiving therapy in the second line setting or beyond remains poor, with response rates of 6</w:t>
      </w:r>
      <w:r w:rsidR="00C64BAE">
        <w:t xml:space="preserve"> to </w:t>
      </w:r>
      <w:r w:rsidRPr="00A35E40">
        <w:t>20% and median PFS of 2</w:t>
      </w:r>
      <w:r w:rsidR="00C64BAE">
        <w:t xml:space="preserve"> to </w:t>
      </w:r>
      <w:r w:rsidRPr="00A35E40">
        <w:t>4 months associated with chemotherapy or checkpoint inhibitors.</w:t>
      </w:r>
      <w:r w:rsidR="00C64BAE">
        <w:fldChar w:fldCharType="begin"/>
      </w:r>
      <w:r w:rsidR="00C64BAE">
        <w:instrText xml:space="preserve"> NOTEREF _Ref106876982 \f \h </w:instrText>
      </w:r>
      <w:r w:rsidR="00C64BAE">
        <w:fldChar w:fldCharType="separate"/>
      </w:r>
      <w:r w:rsidR="006F6B07" w:rsidRPr="006F6B07">
        <w:rPr>
          <w:rStyle w:val="FootnoteReference"/>
        </w:rPr>
        <w:t>5</w:t>
      </w:r>
      <w:r w:rsidR="00C64BAE">
        <w:fldChar w:fldCharType="end"/>
      </w:r>
      <w:r w:rsidR="00C64BAE" w:rsidRPr="00C64BAE">
        <w:rPr>
          <w:vertAlign w:val="superscript"/>
        </w:rPr>
        <w:t>,</w:t>
      </w:r>
      <w:r w:rsidR="00C64BAE">
        <w:fldChar w:fldCharType="begin"/>
      </w:r>
      <w:r w:rsidR="00C64BAE">
        <w:instrText xml:space="preserve"> NOTEREF _Ref106876898 \f \h </w:instrText>
      </w:r>
      <w:r w:rsidR="00C64BAE">
        <w:fldChar w:fldCharType="separate"/>
      </w:r>
      <w:r w:rsidR="006F6B07" w:rsidRPr="006F6B07">
        <w:rPr>
          <w:rStyle w:val="FootnoteReference"/>
        </w:rPr>
        <w:t>6</w:t>
      </w:r>
      <w:r w:rsidR="00C64BAE">
        <w:fldChar w:fldCharType="end"/>
      </w:r>
    </w:p>
    <w:p w14:paraId="5FA3D478" w14:textId="031D66CC" w:rsidR="00A35E40" w:rsidRPr="00A35E40" w:rsidRDefault="00A35E40" w:rsidP="00A35E40">
      <w:r w:rsidRPr="00A35E40">
        <w:t>In patients lacking oncogenic driver mutations, first</w:t>
      </w:r>
      <w:r w:rsidR="00C64BAE">
        <w:t xml:space="preserve"> </w:t>
      </w:r>
      <w:r w:rsidRPr="00A35E40">
        <w:t>line immunotherapy with or without chemotherapy has emerged as the standard of care.</w:t>
      </w:r>
      <w:r w:rsidR="00C64BAE" w:rsidRPr="00C64BAE">
        <w:t xml:space="preserve"> </w:t>
      </w:r>
      <w:r w:rsidR="00C64BAE">
        <w:fldChar w:fldCharType="begin"/>
      </w:r>
      <w:r w:rsidR="00C64BAE">
        <w:instrText xml:space="preserve"> NOTEREF _Ref106876982 \f \h </w:instrText>
      </w:r>
      <w:r w:rsidR="00C64BAE">
        <w:fldChar w:fldCharType="separate"/>
      </w:r>
      <w:r w:rsidR="006F6B07" w:rsidRPr="006F6B07">
        <w:rPr>
          <w:rStyle w:val="FootnoteReference"/>
        </w:rPr>
        <w:t>5</w:t>
      </w:r>
      <w:r w:rsidR="00C64BAE">
        <w:fldChar w:fldCharType="end"/>
      </w:r>
      <w:r w:rsidR="00C64BAE" w:rsidRPr="00C64BAE">
        <w:rPr>
          <w:vertAlign w:val="superscript"/>
        </w:rPr>
        <w:t>,</w:t>
      </w:r>
      <w:r w:rsidR="00C64BAE">
        <w:fldChar w:fldCharType="begin"/>
      </w:r>
      <w:r w:rsidR="00C64BAE">
        <w:instrText xml:space="preserve"> NOTEREF _Ref106876898 \f \h </w:instrText>
      </w:r>
      <w:r w:rsidR="00C64BAE">
        <w:fldChar w:fldCharType="separate"/>
      </w:r>
      <w:r w:rsidR="006F6B07" w:rsidRPr="006F6B07">
        <w:rPr>
          <w:rStyle w:val="FootnoteReference"/>
        </w:rPr>
        <w:t>6</w:t>
      </w:r>
      <w:r w:rsidR="00C64BAE">
        <w:fldChar w:fldCharType="end"/>
      </w:r>
      <w:r w:rsidRPr="00A35E40">
        <w:t xml:space="preserve"> Efficacy results for immune checkpoint inhibitors in patients with </w:t>
      </w:r>
      <w:r w:rsidRPr="00C64BAE">
        <w:rPr>
          <w:i/>
          <w:iCs/>
        </w:rPr>
        <w:t>MET exon 14</w:t>
      </w:r>
      <w:r w:rsidRPr="00A35E40">
        <w:t xml:space="preserve"> skipping alterations, regardless of level of </w:t>
      </w:r>
      <w:r w:rsidR="00C64BAE" w:rsidRPr="00C64BAE">
        <w:t>programmed death ligand</w:t>
      </w:r>
      <w:r w:rsidR="00C64BAE">
        <w:t xml:space="preserve"> 1 (</w:t>
      </w:r>
      <w:r w:rsidRPr="00A35E40">
        <w:t>PD-L1</w:t>
      </w:r>
      <w:r w:rsidR="00C64BAE">
        <w:t>)</w:t>
      </w:r>
      <w:r w:rsidRPr="00A35E40">
        <w:t xml:space="preserve"> expression, are conflicting, with overall response rates from retrospective series reported to range from 16% to 36%.</w:t>
      </w:r>
      <w:r w:rsidR="00C64BAE">
        <w:fldChar w:fldCharType="begin"/>
      </w:r>
      <w:r w:rsidR="00C64BAE">
        <w:instrText xml:space="preserve"> NOTEREF _Ref106876898 \f \h </w:instrText>
      </w:r>
      <w:r w:rsidR="00C64BAE">
        <w:fldChar w:fldCharType="separate"/>
      </w:r>
      <w:r w:rsidR="006F6B07" w:rsidRPr="006F6B07">
        <w:rPr>
          <w:rStyle w:val="FootnoteReference"/>
        </w:rPr>
        <w:t>6</w:t>
      </w:r>
      <w:r w:rsidR="00C64BAE">
        <w:fldChar w:fldCharType="end"/>
      </w:r>
      <w:r w:rsidR="00C64BAE" w:rsidRPr="00C64BAE">
        <w:rPr>
          <w:vertAlign w:val="superscript"/>
        </w:rPr>
        <w:t>,</w:t>
      </w:r>
      <w:r w:rsidR="00C64BAE">
        <w:fldChar w:fldCharType="begin"/>
      </w:r>
      <w:r w:rsidR="00C64BAE">
        <w:instrText xml:space="preserve"> NOTEREF _Ref106877221 \f \h </w:instrText>
      </w:r>
      <w:r w:rsidR="00C64BAE">
        <w:fldChar w:fldCharType="separate"/>
      </w:r>
      <w:r w:rsidR="006F6B07" w:rsidRPr="006F6B07">
        <w:rPr>
          <w:rStyle w:val="FootnoteReference"/>
        </w:rPr>
        <w:t>7</w:t>
      </w:r>
      <w:r w:rsidR="00C64BAE">
        <w:fldChar w:fldCharType="end"/>
      </w:r>
      <w:r w:rsidRPr="00C64BAE">
        <w:rPr>
          <w:vertAlign w:val="superscript"/>
        </w:rPr>
        <w:t>,</w:t>
      </w:r>
      <w:r w:rsidR="00C64BAE">
        <w:rPr>
          <w:rStyle w:val="FootnoteReference"/>
        </w:rPr>
        <w:footnoteReference w:id="10"/>
      </w:r>
      <w:r w:rsidRPr="00C64BAE">
        <w:rPr>
          <w:vertAlign w:val="superscript"/>
        </w:rPr>
        <w:t>,</w:t>
      </w:r>
      <w:r w:rsidR="00C64BAE">
        <w:rPr>
          <w:rStyle w:val="FootnoteReference"/>
        </w:rPr>
        <w:footnoteReference w:id="11"/>
      </w:r>
      <w:r w:rsidRPr="00C64BAE">
        <w:rPr>
          <w:vertAlign w:val="superscript"/>
        </w:rPr>
        <w:t>,</w:t>
      </w:r>
      <w:r w:rsidR="00C64BAE">
        <w:rPr>
          <w:rStyle w:val="FootnoteReference"/>
        </w:rPr>
        <w:footnoteReference w:id="12"/>
      </w:r>
    </w:p>
    <w:p w14:paraId="2B1AD829" w14:textId="6CF3FBC4" w:rsidR="00A35E40" w:rsidRPr="00A35E40" w:rsidRDefault="00A35E40" w:rsidP="00A35E40">
      <w:r w:rsidRPr="00A35E40">
        <w:t xml:space="preserve">For select patients with advanced NSCLC with </w:t>
      </w:r>
      <w:r w:rsidRPr="001C518B">
        <w:rPr>
          <w:i/>
          <w:iCs/>
        </w:rPr>
        <w:t>MET exon 14</w:t>
      </w:r>
      <w:r w:rsidRPr="00A35E40">
        <w:t xml:space="preserve"> skipping mutations, </w:t>
      </w:r>
      <w:r w:rsidR="00837019">
        <w:t xml:space="preserve">the American </w:t>
      </w:r>
      <w:r w:rsidR="008D158B" w:rsidRPr="00755CE3">
        <w:rPr>
          <w:color w:val="000000"/>
        </w:rPr>
        <w:t>National Comprehensive Cancer Network</w:t>
      </w:r>
      <w:r w:rsidR="008D158B">
        <w:rPr>
          <w:color w:val="000000"/>
        </w:rPr>
        <w:t xml:space="preserve"> </w:t>
      </w:r>
      <w:r w:rsidRPr="00A35E40">
        <w:t xml:space="preserve">guidelines recommend the use of </w:t>
      </w:r>
      <w:proofErr w:type="spellStart"/>
      <w:r w:rsidRPr="00A35E40">
        <w:t>capmatinib</w:t>
      </w:r>
      <w:proofErr w:type="spellEnd"/>
      <w:r w:rsidRPr="00A35E40">
        <w:t xml:space="preserve"> or </w:t>
      </w:r>
      <w:proofErr w:type="spellStart"/>
      <w:r w:rsidRPr="00A35E40">
        <w:t>tepotinib</w:t>
      </w:r>
      <w:proofErr w:type="spellEnd"/>
      <w:r w:rsidRPr="00A35E40">
        <w:t xml:space="preserve"> in the first line setting, or as subsequent therapy following disease progression on first</w:t>
      </w:r>
      <w:r w:rsidR="001C518B">
        <w:t xml:space="preserve"> </w:t>
      </w:r>
      <w:r w:rsidRPr="00A35E40">
        <w:t>line immunotherapy and/or chemotherapy.</w:t>
      </w:r>
      <w:r w:rsidR="001C518B">
        <w:fldChar w:fldCharType="begin"/>
      </w:r>
      <w:r w:rsidR="001C518B">
        <w:instrText xml:space="preserve"> NOTEREF _Ref106876898 \f \h </w:instrText>
      </w:r>
      <w:r w:rsidR="001C518B">
        <w:fldChar w:fldCharType="separate"/>
      </w:r>
      <w:r w:rsidR="006F6B07" w:rsidRPr="006F6B07">
        <w:rPr>
          <w:rStyle w:val="FootnoteReference"/>
        </w:rPr>
        <w:t>6</w:t>
      </w:r>
      <w:r w:rsidR="001C518B">
        <w:fldChar w:fldCharType="end"/>
      </w:r>
      <w:r w:rsidR="001C518B">
        <w:t xml:space="preserve"> </w:t>
      </w:r>
      <w:r w:rsidRPr="00A35E40">
        <w:t>Single</w:t>
      </w:r>
      <w:r w:rsidR="001C518B">
        <w:t xml:space="preserve"> </w:t>
      </w:r>
      <w:r w:rsidRPr="00A35E40">
        <w:t xml:space="preserve">arm </w:t>
      </w:r>
      <w:r w:rsidR="001C518B">
        <w:t>P</w:t>
      </w:r>
      <w:r w:rsidRPr="00A35E40">
        <w:t xml:space="preserve">hase II trials of </w:t>
      </w:r>
      <w:proofErr w:type="spellStart"/>
      <w:r w:rsidRPr="00A35E40">
        <w:t>tepotinib</w:t>
      </w:r>
      <w:proofErr w:type="spellEnd"/>
      <w:r w:rsidRPr="00A35E40">
        <w:t xml:space="preserve"> or </w:t>
      </w:r>
      <w:proofErr w:type="spellStart"/>
      <w:r w:rsidRPr="00A35E40">
        <w:t>capmatinib</w:t>
      </w:r>
      <w:proofErr w:type="spellEnd"/>
      <w:r w:rsidRPr="00A35E40">
        <w:t xml:space="preserve"> have demonstrated clinical efficacy in NSCLC patients with </w:t>
      </w:r>
      <w:r w:rsidRPr="001C518B">
        <w:rPr>
          <w:i/>
          <w:iCs/>
        </w:rPr>
        <w:t>MET exon 14</w:t>
      </w:r>
      <w:r w:rsidRPr="00A35E40">
        <w:t xml:space="preserve"> mutations.</w:t>
      </w:r>
      <w:r w:rsidR="001C518B">
        <w:fldChar w:fldCharType="begin"/>
      </w:r>
      <w:r w:rsidR="001C518B">
        <w:instrText xml:space="preserve"> NOTEREF _Ref106876982 \f \h </w:instrText>
      </w:r>
      <w:r w:rsidR="001C518B">
        <w:fldChar w:fldCharType="separate"/>
      </w:r>
      <w:r w:rsidR="006F6B07" w:rsidRPr="006F6B07">
        <w:rPr>
          <w:rStyle w:val="FootnoteReference"/>
        </w:rPr>
        <w:t>5</w:t>
      </w:r>
      <w:r w:rsidR="001C518B">
        <w:fldChar w:fldCharType="end"/>
      </w:r>
      <w:r w:rsidR="001C518B" w:rsidRPr="001C518B">
        <w:rPr>
          <w:vertAlign w:val="superscript"/>
        </w:rPr>
        <w:t>,</w:t>
      </w:r>
      <w:r w:rsidR="001C518B">
        <w:fldChar w:fldCharType="begin"/>
      </w:r>
      <w:r w:rsidR="001C518B">
        <w:instrText xml:space="preserve"> NOTEREF _Ref106876898 \f \h </w:instrText>
      </w:r>
      <w:r w:rsidR="001C518B">
        <w:fldChar w:fldCharType="separate"/>
      </w:r>
      <w:r w:rsidR="006F6B07" w:rsidRPr="006F6B07">
        <w:rPr>
          <w:rStyle w:val="FootnoteReference"/>
        </w:rPr>
        <w:t>6</w:t>
      </w:r>
      <w:r w:rsidR="001C518B">
        <w:fldChar w:fldCharType="end"/>
      </w:r>
      <w:r w:rsidR="001C518B" w:rsidRPr="001C518B">
        <w:rPr>
          <w:vertAlign w:val="superscript"/>
        </w:rPr>
        <w:t>,</w:t>
      </w:r>
      <w:r w:rsidR="001C518B">
        <w:fldChar w:fldCharType="begin"/>
      </w:r>
      <w:r w:rsidR="001C518B">
        <w:instrText xml:space="preserve"> NOTEREF _Ref106877221 \f \h </w:instrText>
      </w:r>
      <w:r w:rsidR="001C518B">
        <w:fldChar w:fldCharType="separate"/>
      </w:r>
      <w:r w:rsidR="006F6B07" w:rsidRPr="006F6B07">
        <w:rPr>
          <w:rStyle w:val="FootnoteReference"/>
        </w:rPr>
        <w:t>7</w:t>
      </w:r>
      <w:r w:rsidR="001C518B">
        <w:fldChar w:fldCharType="end"/>
      </w:r>
      <w:r w:rsidR="001C518B" w:rsidRPr="001C518B">
        <w:rPr>
          <w:vertAlign w:val="superscript"/>
        </w:rPr>
        <w:t>,</w:t>
      </w:r>
      <w:r w:rsidR="001C518B">
        <w:fldChar w:fldCharType="begin"/>
      </w:r>
      <w:r w:rsidR="001C518B">
        <w:instrText xml:space="preserve"> NOTEREF _Ref106877344 \f \h </w:instrText>
      </w:r>
      <w:r w:rsidR="001C518B">
        <w:fldChar w:fldCharType="separate"/>
      </w:r>
      <w:r w:rsidR="006F6B07" w:rsidRPr="006F6B07">
        <w:rPr>
          <w:rStyle w:val="FootnoteReference"/>
        </w:rPr>
        <w:t>8</w:t>
      </w:r>
      <w:r w:rsidR="001C518B">
        <w:fldChar w:fldCharType="end"/>
      </w:r>
    </w:p>
    <w:p w14:paraId="5ACDF9B5" w14:textId="349C7BFA" w:rsidR="00A35E40" w:rsidRPr="00A35E40" w:rsidRDefault="00A35E40" w:rsidP="00A35E40">
      <w:r w:rsidRPr="00A35E40">
        <w:t xml:space="preserve">The VISION </w:t>
      </w:r>
      <w:r w:rsidR="001C518B">
        <w:t xml:space="preserve">trial </w:t>
      </w:r>
      <w:r w:rsidRPr="00A35E40">
        <w:t>(</w:t>
      </w:r>
      <w:r w:rsidR="001C518B">
        <w:t xml:space="preserve">Study </w:t>
      </w:r>
      <w:r w:rsidRPr="00A35E40">
        <w:t xml:space="preserve">NCT02864992) evaluated </w:t>
      </w:r>
      <w:proofErr w:type="spellStart"/>
      <w:r w:rsidRPr="00A35E40">
        <w:t>tepotinib</w:t>
      </w:r>
      <w:proofErr w:type="spellEnd"/>
      <w:r w:rsidRPr="00A35E40">
        <w:t xml:space="preserve"> in patients with advanced NSCLC with a confirmed </w:t>
      </w:r>
      <w:r w:rsidRPr="001C518B">
        <w:rPr>
          <w:i/>
          <w:iCs/>
        </w:rPr>
        <w:t>MET exon 14</w:t>
      </w:r>
      <w:r w:rsidRPr="00A35E40">
        <w:t xml:space="preserve"> skipping mutation.</w:t>
      </w:r>
      <w:r w:rsidR="00837019" w:rsidRPr="00151BFF">
        <w:rPr>
          <w:vertAlign w:val="superscript"/>
        </w:rPr>
        <w:fldChar w:fldCharType="begin"/>
      </w:r>
      <w:r w:rsidR="00837019" w:rsidRPr="00151BFF">
        <w:rPr>
          <w:vertAlign w:val="superscript"/>
        </w:rPr>
        <w:instrText xml:space="preserve"> NOTEREF _Ref106877221 \h </w:instrText>
      </w:r>
      <w:r w:rsidR="00837019">
        <w:rPr>
          <w:vertAlign w:val="superscript"/>
        </w:rPr>
        <w:instrText xml:space="preserve"> \* MERGEFORMAT </w:instrText>
      </w:r>
      <w:r w:rsidR="00837019" w:rsidRPr="00151BFF">
        <w:rPr>
          <w:vertAlign w:val="superscript"/>
        </w:rPr>
      </w:r>
      <w:r w:rsidR="00837019" w:rsidRPr="00151BFF">
        <w:rPr>
          <w:vertAlign w:val="superscript"/>
        </w:rPr>
        <w:fldChar w:fldCharType="separate"/>
      </w:r>
      <w:r w:rsidR="006F6B07">
        <w:rPr>
          <w:vertAlign w:val="superscript"/>
        </w:rPr>
        <w:t>7</w:t>
      </w:r>
      <w:r w:rsidR="00837019" w:rsidRPr="00151BFF">
        <w:rPr>
          <w:vertAlign w:val="superscript"/>
        </w:rPr>
        <w:fldChar w:fldCharType="end"/>
      </w:r>
      <w:r w:rsidR="001C518B">
        <w:t xml:space="preserve"> </w:t>
      </w:r>
      <w:r w:rsidRPr="00A35E40">
        <w:t xml:space="preserve">This showed promising results with an </w:t>
      </w:r>
      <w:r w:rsidR="00837019">
        <w:t>overall response rate</w:t>
      </w:r>
      <w:r w:rsidR="00837019" w:rsidRPr="00A35E40">
        <w:t xml:space="preserve"> </w:t>
      </w:r>
      <w:r w:rsidRPr="00A35E40">
        <w:t xml:space="preserve">of 43%, a median </w:t>
      </w:r>
      <w:r w:rsidR="00837019">
        <w:t>duration of response</w:t>
      </w:r>
      <w:r w:rsidR="00837019" w:rsidRPr="00A35E40">
        <w:t xml:space="preserve"> </w:t>
      </w:r>
      <w:r w:rsidRPr="00A35E40">
        <w:t>of 11</w:t>
      </w:r>
      <w:r w:rsidR="001C518B">
        <w:t xml:space="preserve"> </w:t>
      </w:r>
      <w:r w:rsidRPr="00A35E40">
        <w:t xml:space="preserve">months, and a different safety profile of </w:t>
      </w:r>
      <w:proofErr w:type="spellStart"/>
      <w:r w:rsidRPr="00A35E40">
        <w:t>tepotinib</w:t>
      </w:r>
      <w:proofErr w:type="spellEnd"/>
      <w:r w:rsidRPr="00A35E40">
        <w:t xml:space="preserve"> compared to checkpoint inhibitors and/or chemotherapy. Findings from this pivotal </w:t>
      </w:r>
      <w:r w:rsidR="001C518B">
        <w:t>P</w:t>
      </w:r>
      <w:r w:rsidRPr="00A35E40">
        <w:t>hase</w:t>
      </w:r>
      <w:r w:rsidR="001C518B">
        <w:t> II</w:t>
      </w:r>
      <w:r w:rsidRPr="00A35E40">
        <w:t xml:space="preserve"> study form the basis of this submission.</w:t>
      </w:r>
    </w:p>
    <w:p w14:paraId="13882F3C" w14:textId="724CFB16" w:rsidR="009F2673" w:rsidRDefault="009F2673" w:rsidP="009F2673">
      <w:bookmarkStart w:id="21" w:name="_Toc314842485"/>
      <w:bookmarkStart w:id="22" w:name="_Toc247691504"/>
      <w:r w:rsidRPr="000A4A42">
        <w:t xml:space="preserve">This evaluation was facilitated through </w:t>
      </w:r>
      <w:hyperlink r:id="rId18" w:history="1">
        <w:r w:rsidRPr="000702B6">
          <w:rPr>
            <w:rStyle w:val="Hyperlink"/>
          </w:rPr>
          <w:t>Project Orbis</w:t>
        </w:r>
      </w:hyperlink>
      <w:r w:rsidR="00833ED8">
        <w:t>,</w:t>
      </w:r>
      <w:r w:rsidRPr="000A4A42">
        <w:t xml:space="preserve"> an initiative of the United States (US) Food and Drug Administration (FDA) Oncology </w:t>
      </w:r>
      <w:proofErr w:type="spellStart"/>
      <w:r w:rsidRPr="000A4A42">
        <w:t>Center</w:t>
      </w:r>
      <w:proofErr w:type="spellEnd"/>
      <w:r w:rsidRPr="000A4A42">
        <w:t xml:space="preserve"> of Excellence (OCE). Under this project, </w:t>
      </w:r>
      <w:r w:rsidRPr="00D307F9">
        <w:t xml:space="preserve">the FDA, Health Canada, </w:t>
      </w:r>
      <w:proofErr w:type="spellStart"/>
      <w:r w:rsidRPr="00D307F9">
        <w:t>Swissmedic</w:t>
      </w:r>
      <w:proofErr w:type="spellEnd"/>
      <w:r w:rsidRPr="00D307F9">
        <w:t xml:space="preserve"> (Switzerland)</w:t>
      </w:r>
      <w:r w:rsidR="00D307F9" w:rsidRPr="00D307F9">
        <w:t xml:space="preserve"> </w:t>
      </w:r>
      <w:r w:rsidRPr="00D307F9">
        <w:t xml:space="preserve">and </w:t>
      </w:r>
      <w:r>
        <w:t xml:space="preserve">the TGA collaboratively reviewed the </w:t>
      </w:r>
      <w:r w:rsidR="00BB0B78">
        <w:t>submission</w:t>
      </w:r>
      <w:r>
        <w:t xml:space="preserve">. This evaluation process provided a framework for process alignment and management of evaluation issues in real-time across jurisdictions. </w:t>
      </w:r>
      <w:r w:rsidRPr="000A4A42">
        <w:t>Each regulator made independent decisions regarding approval (market authorisation) of the new medicine.</w:t>
      </w:r>
    </w:p>
    <w:p w14:paraId="1C62B405" w14:textId="3258D250" w:rsidR="008E7846" w:rsidRPr="003F31A2" w:rsidRDefault="00386150" w:rsidP="008E7846">
      <w:pPr>
        <w:pStyle w:val="Heading3"/>
      </w:pPr>
      <w:bookmarkStart w:id="23" w:name="_Ref107841532"/>
      <w:bookmarkStart w:id="24" w:name="_Toc107841976"/>
      <w:r>
        <w:t>Regulatory s</w:t>
      </w:r>
      <w:r w:rsidR="008E7846">
        <w:t>tatus</w:t>
      </w:r>
      <w:bookmarkEnd w:id="21"/>
      <w:bookmarkEnd w:id="22"/>
      <w:bookmarkEnd w:id="23"/>
      <w:bookmarkEnd w:id="24"/>
      <w:r w:rsidR="00A45587">
        <w:fldChar w:fldCharType="begin"/>
      </w:r>
      <w:r w:rsidR="00A45587">
        <w:instrText xml:space="preserve"> DOCVARIABLE vault_nd_c66a8899-0c1e-4def-bf15-d40c8a307ee6 \* MERGEFORMAT </w:instrText>
      </w:r>
      <w:r w:rsidR="00A45587">
        <w:fldChar w:fldCharType="separate"/>
      </w:r>
      <w:r w:rsidR="006F6B07">
        <w:t xml:space="preserve"> </w:t>
      </w:r>
      <w:r w:rsidR="00A45587">
        <w:fldChar w:fldCharType="end"/>
      </w:r>
    </w:p>
    <w:p w14:paraId="67EF1F95" w14:textId="14890568" w:rsidR="00332715" w:rsidRDefault="00332715" w:rsidP="00332715">
      <w:bookmarkStart w:id="25" w:name="_Toc247691505"/>
      <w:bookmarkStart w:id="26" w:name="_Toc314842486"/>
      <w:r>
        <w:t>This product is considered a new chemical entity for Australian regulatory purposes.</w:t>
      </w:r>
      <w:r w:rsidR="00817EA7">
        <w:t xml:space="preserve"> </w:t>
      </w:r>
      <w:r>
        <w:t xml:space="preserve">This product received </w:t>
      </w:r>
      <w:hyperlink r:id="rId19" w:history="1">
        <w:r>
          <w:rPr>
            <w:rStyle w:val="Hyperlink"/>
          </w:rPr>
          <w:t>orphan drug designation</w:t>
        </w:r>
      </w:hyperlink>
      <w:r>
        <w:t xml:space="preserve"> on </w:t>
      </w:r>
      <w:r w:rsidR="00E27532">
        <w:t>2 July 2021</w:t>
      </w:r>
      <w:r>
        <w:t xml:space="preserve"> for the following indication:</w:t>
      </w:r>
    </w:p>
    <w:p w14:paraId="5D4505AA" w14:textId="48BD592D" w:rsidR="00817EA7" w:rsidRDefault="00817EA7" w:rsidP="00817EA7">
      <w:pPr>
        <w:ind w:firstLine="720"/>
      </w:pPr>
      <w:r>
        <w:rPr>
          <w:i/>
          <w:lang w:val="en-US"/>
        </w:rPr>
        <w:t>T</w:t>
      </w:r>
      <w:r w:rsidRPr="005614C7">
        <w:rPr>
          <w:i/>
          <w:lang w:val="en-US"/>
        </w:rPr>
        <w:t>he treatment of non-small cell lung cancer (NSCLC) with genetic MET alterations</w:t>
      </w:r>
      <w:r>
        <w:rPr>
          <w:i/>
          <w:lang w:val="en-US"/>
        </w:rPr>
        <w:t>.</w:t>
      </w:r>
    </w:p>
    <w:p w14:paraId="63CB2959" w14:textId="64374A29" w:rsidR="00332715" w:rsidRDefault="00332715" w:rsidP="00332715">
      <w:r w:rsidRPr="00A93370">
        <w:t xml:space="preserve">At the time the TGA considered this </w:t>
      </w:r>
      <w:r w:rsidR="00BB0B78" w:rsidRPr="00A93370">
        <w:t>submission</w:t>
      </w:r>
      <w:r w:rsidRPr="00A93370">
        <w:t>,</w:t>
      </w:r>
      <w:r w:rsidR="00160B9D">
        <w:t xml:space="preserve"> </w:t>
      </w:r>
      <w:r w:rsidRPr="00A93370">
        <w:t xml:space="preserve">similar </w:t>
      </w:r>
      <w:r w:rsidR="00BB0B78" w:rsidRPr="00A93370">
        <w:t>submission</w:t>
      </w:r>
      <w:r w:rsidR="00160B9D">
        <w:t>s</w:t>
      </w:r>
      <w:r w:rsidRPr="00A93370">
        <w:t xml:space="preserve"> had been approved in </w:t>
      </w:r>
      <w:r w:rsidR="00A93370" w:rsidRPr="00A93370">
        <w:t xml:space="preserve">Japan </w:t>
      </w:r>
      <w:r w:rsidR="00837019">
        <w:t xml:space="preserve">(on </w:t>
      </w:r>
      <w:r w:rsidR="00A93370" w:rsidRPr="00A93370">
        <w:t>25 March 2020</w:t>
      </w:r>
      <w:r w:rsidR="00837019">
        <w:t>)</w:t>
      </w:r>
      <w:r w:rsidR="00A93370" w:rsidRPr="00A93370">
        <w:t>, in United States of America (USA</w:t>
      </w:r>
      <w:r w:rsidR="00837019">
        <w:t xml:space="preserve">; </w:t>
      </w:r>
      <w:r w:rsidR="00A93370" w:rsidRPr="00A93370">
        <w:t>on 3 February 2021</w:t>
      </w:r>
      <w:r w:rsidR="00837019">
        <w:t>)</w:t>
      </w:r>
      <w:r w:rsidR="00A93370" w:rsidRPr="00A93370">
        <w:t xml:space="preserve">, in Canada </w:t>
      </w:r>
      <w:r w:rsidR="00837019">
        <w:t>(</w:t>
      </w:r>
      <w:r w:rsidR="00A93370" w:rsidRPr="00A93370">
        <w:t>on 28 May 2021</w:t>
      </w:r>
      <w:r w:rsidR="00837019">
        <w:t>)</w:t>
      </w:r>
      <w:r w:rsidR="00A93370" w:rsidRPr="00A93370">
        <w:t xml:space="preserve">, in Switzerland </w:t>
      </w:r>
      <w:r w:rsidR="00837019">
        <w:t>(</w:t>
      </w:r>
      <w:r w:rsidR="00A93370" w:rsidRPr="00A93370">
        <w:t>on 22 June 2021</w:t>
      </w:r>
      <w:r w:rsidR="00837019">
        <w:t>)</w:t>
      </w:r>
      <w:r w:rsidR="00A93370" w:rsidRPr="00A93370">
        <w:t xml:space="preserve"> and in </w:t>
      </w:r>
      <w:r w:rsidR="00151BFF">
        <w:t xml:space="preserve">Great Britain </w:t>
      </w:r>
      <w:r w:rsidR="00160B9D">
        <w:t>(</w:t>
      </w:r>
      <w:r w:rsidR="00A93370" w:rsidRPr="00A93370">
        <w:t>on 24 September 2021</w:t>
      </w:r>
      <w:r w:rsidR="00160B9D">
        <w:t>)</w:t>
      </w:r>
      <w:r w:rsidRPr="00A93370">
        <w:t xml:space="preserve">. A similar </w:t>
      </w:r>
      <w:r w:rsidR="00BB0B78" w:rsidRPr="00A93370">
        <w:t>submission</w:t>
      </w:r>
      <w:r w:rsidRPr="00A93370">
        <w:t xml:space="preserve"> was under consideration in </w:t>
      </w:r>
      <w:r w:rsidR="00A93370" w:rsidRPr="00A93370">
        <w:t>European Union and Singapore.</w:t>
      </w:r>
    </w:p>
    <w:p w14:paraId="48A10693" w14:textId="77777777" w:rsidR="00332715" w:rsidRDefault="0072292E" w:rsidP="00332715">
      <w:r>
        <w:t xml:space="preserve">The following table </w:t>
      </w:r>
      <w:r w:rsidR="00332715">
        <w:t xml:space="preserve">summarises these </w:t>
      </w:r>
      <w:r w:rsidR="00BB0B78">
        <w:t>submissions</w:t>
      </w:r>
      <w:r w:rsidR="00332715">
        <w:t xml:space="preserve"> and provides the indications where approved.</w:t>
      </w:r>
    </w:p>
    <w:p w14:paraId="64860FEA" w14:textId="5136761E" w:rsidR="00324E45" w:rsidRPr="00F0146F" w:rsidRDefault="00324E45" w:rsidP="00324E45">
      <w:pPr>
        <w:pStyle w:val="TableTitle"/>
      </w:pPr>
      <w:bookmarkStart w:id="27" w:name="_Ref99705479"/>
      <w:r>
        <w:lastRenderedPageBreak/>
        <w:t xml:space="preserve">Table </w:t>
      </w:r>
      <w:r>
        <w:fldChar w:fldCharType="begin"/>
      </w:r>
      <w:r>
        <w:instrText>SEQ Table \* ARABIC</w:instrText>
      </w:r>
      <w:r>
        <w:fldChar w:fldCharType="separate"/>
      </w:r>
      <w:r w:rsidR="006F6B07">
        <w:rPr>
          <w:noProof/>
        </w:rPr>
        <w:t>1</w:t>
      </w:r>
      <w:r>
        <w:fldChar w:fldCharType="end"/>
      </w:r>
      <w:bookmarkEnd w:id="27"/>
      <w:r>
        <w:t>: International regulatory status</w:t>
      </w:r>
      <w:r w:rsidR="00817EA7">
        <w:t xml:space="preserve"> of selected countries</w:t>
      </w:r>
      <w:r w:rsidR="00CF1281">
        <w:fldChar w:fldCharType="begin"/>
      </w:r>
      <w:r w:rsidR="00CF1281">
        <w:instrText>DOCVARIABLE vault_nd_0b91b603-293b-4bb7-92ba-b07610e9a76f \* MERGEFORMAT</w:instrText>
      </w:r>
      <w:r w:rsidR="00CF1281">
        <w:fldChar w:fldCharType="separate"/>
      </w:r>
      <w:r w:rsidR="006F6B07">
        <w:t xml:space="preserve"> </w:t>
      </w:r>
      <w:r w:rsidR="00CF1281">
        <w:fldChar w:fldCharType="end"/>
      </w:r>
      <w:r w:rsidR="008D67EF">
        <w:t xml:space="preserve">at the time of </w:t>
      </w:r>
      <w:r w:rsidR="00713295">
        <w:t>TGA evaluation</w:t>
      </w:r>
    </w:p>
    <w:tbl>
      <w:tblPr>
        <w:tblStyle w:val="TableTGAblue"/>
        <w:tblW w:w="8815" w:type="dxa"/>
        <w:tblLayout w:type="fixed"/>
        <w:tblLook w:val="04A0" w:firstRow="1" w:lastRow="0" w:firstColumn="1" w:lastColumn="0" w:noHBand="0" w:noVBand="1"/>
      </w:tblPr>
      <w:tblGrid>
        <w:gridCol w:w="1525"/>
        <w:gridCol w:w="1890"/>
        <w:gridCol w:w="2250"/>
        <w:gridCol w:w="3150"/>
      </w:tblGrid>
      <w:tr w:rsidR="00160B9D" w14:paraId="0665F391" w14:textId="77777777" w:rsidTr="00160B9D">
        <w:trPr>
          <w:cnfStyle w:val="100000000000" w:firstRow="1" w:lastRow="0" w:firstColumn="0" w:lastColumn="0" w:oddVBand="0" w:evenVBand="0" w:oddHBand="0" w:evenHBand="0" w:firstRowFirstColumn="0" w:firstRowLastColumn="0" w:lastRowFirstColumn="0" w:lastRowLastColumn="0"/>
        </w:trPr>
        <w:tc>
          <w:tcPr>
            <w:tcW w:w="1525" w:type="dxa"/>
            <w:tcBorders>
              <w:top w:val="single" w:sz="4" w:space="0" w:color="auto"/>
              <w:left w:val="single" w:sz="4" w:space="0" w:color="auto"/>
              <w:bottom w:val="single" w:sz="4" w:space="0" w:color="auto"/>
              <w:right w:val="single" w:sz="4" w:space="0" w:color="auto"/>
            </w:tcBorders>
          </w:tcPr>
          <w:p w14:paraId="061D6E09" w14:textId="77777777" w:rsidR="00006FAB" w:rsidRDefault="00006FAB" w:rsidP="00006FAB">
            <w:pPr>
              <w:ind w:left="0" w:right="0"/>
            </w:pPr>
            <w:r>
              <w:t>Region</w:t>
            </w:r>
          </w:p>
        </w:tc>
        <w:tc>
          <w:tcPr>
            <w:tcW w:w="1890" w:type="dxa"/>
            <w:tcBorders>
              <w:top w:val="single" w:sz="4" w:space="0" w:color="auto"/>
              <w:left w:val="single" w:sz="4" w:space="0" w:color="auto"/>
              <w:bottom w:val="single" w:sz="4" w:space="0" w:color="auto"/>
              <w:right w:val="single" w:sz="4" w:space="0" w:color="auto"/>
            </w:tcBorders>
          </w:tcPr>
          <w:p w14:paraId="32130392" w14:textId="77777777" w:rsidR="00006FAB" w:rsidRDefault="00006FAB" w:rsidP="00006FAB">
            <w:pPr>
              <w:ind w:left="0" w:right="0"/>
            </w:pPr>
            <w:r>
              <w:t>Submission date</w:t>
            </w:r>
          </w:p>
        </w:tc>
        <w:tc>
          <w:tcPr>
            <w:tcW w:w="2250" w:type="dxa"/>
            <w:tcBorders>
              <w:top w:val="single" w:sz="4" w:space="0" w:color="auto"/>
              <w:left w:val="single" w:sz="4" w:space="0" w:color="auto"/>
              <w:bottom w:val="single" w:sz="4" w:space="0" w:color="auto"/>
              <w:right w:val="single" w:sz="4" w:space="0" w:color="auto"/>
            </w:tcBorders>
          </w:tcPr>
          <w:p w14:paraId="1E7CC9A3" w14:textId="77777777" w:rsidR="00006FAB" w:rsidRDefault="00006FAB" w:rsidP="00006FAB">
            <w:pPr>
              <w:ind w:left="0" w:right="0"/>
            </w:pPr>
            <w:r>
              <w:t>Status</w:t>
            </w:r>
          </w:p>
        </w:tc>
        <w:tc>
          <w:tcPr>
            <w:tcW w:w="3150" w:type="dxa"/>
            <w:tcBorders>
              <w:top w:val="single" w:sz="4" w:space="0" w:color="auto"/>
              <w:left w:val="single" w:sz="4" w:space="0" w:color="auto"/>
              <w:bottom w:val="single" w:sz="4" w:space="0" w:color="auto"/>
              <w:right w:val="single" w:sz="4" w:space="0" w:color="auto"/>
            </w:tcBorders>
          </w:tcPr>
          <w:p w14:paraId="345044A3" w14:textId="77777777" w:rsidR="00006FAB" w:rsidRDefault="00006FAB" w:rsidP="00006FAB">
            <w:pPr>
              <w:ind w:left="0" w:right="0"/>
            </w:pPr>
            <w:r>
              <w:t>Approved indications</w:t>
            </w:r>
          </w:p>
        </w:tc>
      </w:tr>
      <w:tr w:rsidR="00160B9D" w14:paraId="17B58666" w14:textId="77777777" w:rsidTr="00160B9D">
        <w:tc>
          <w:tcPr>
            <w:tcW w:w="1525" w:type="dxa"/>
            <w:tcBorders>
              <w:top w:val="single" w:sz="4" w:space="0" w:color="auto"/>
            </w:tcBorders>
          </w:tcPr>
          <w:p w14:paraId="103DA6B2" w14:textId="108704E8" w:rsidR="00006FAB" w:rsidRDefault="00817EA7" w:rsidP="00006FAB">
            <w:pPr>
              <w:ind w:left="0" w:right="0"/>
            </w:pPr>
            <w:r>
              <w:t>Japan</w:t>
            </w:r>
          </w:p>
        </w:tc>
        <w:tc>
          <w:tcPr>
            <w:tcW w:w="1890" w:type="dxa"/>
            <w:tcBorders>
              <w:top w:val="single" w:sz="4" w:space="0" w:color="auto"/>
            </w:tcBorders>
          </w:tcPr>
          <w:p w14:paraId="2830A3CD" w14:textId="1E1B4F19" w:rsidR="00006FAB" w:rsidRDefault="00817EA7" w:rsidP="00006FAB">
            <w:pPr>
              <w:ind w:left="0" w:right="0"/>
            </w:pPr>
            <w:r>
              <w:t>November 2019</w:t>
            </w:r>
          </w:p>
        </w:tc>
        <w:tc>
          <w:tcPr>
            <w:tcW w:w="2250" w:type="dxa"/>
            <w:tcBorders>
              <w:top w:val="single" w:sz="4" w:space="0" w:color="auto"/>
            </w:tcBorders>
          </w:tcPr>
          <w:p w14:paraId="6D08BE98" w14:textId="18B6379E" w:rsidR="00006FAB" w:rsidRDefault="00006FAB" w:rsidP="00006FAB">
            <w:pPr>
              <w:ind w:left="0" w:right="0"/>
            </w:pPr>
            <w:r w:rsidRPr="00006FAB">
              <w:t xml:space="preserve">Approved on </w:t>
            </w:r>
            <w:r w:rsidR="00817EA7">
              <w:t>25</w:t>
            </w:r>
            <w:r w:rsidR="00160B9D">
              <w:t> </w:t>
            </w:r>
            <w:r w:rsidR="00817EA7">
              <w:t>March 2020</w:t>
            </w:r>
          </w:p>
        </w:tc>
        <w:tc>
          <w:tcPr>
            <w:tcW w:w="3150" w:type="dxa"/>
            <w:tcBorders>
              <w:top w:val="single" w:sz="4" w:space="0" w:color="auto"/>
            </w:tcBorders>
          </w:tcPr>
          <w:p w14:paraId="0384C63B" w14:textId="46A031DC" w:rsidR="00006FAB" w:rsidRPr="00817EA7" w:rsidRDefault="00817EA7" w:rsidP="00006FAB">
            <w:pPr>
              <w:ind w:left="0" w:right="0"/>
              <w:rPr>
                <w:i/>
                <w:iCs/>
              </w:rPr>
            </w:pPr>
            <w:r w:rsidRPr="00817EA7">
              <w:rPr>
                <w:i/>
                <w:iCs/>
              </w:rPr>
              <w:t xml:space="preserve">For patients with unresectable, </w:t>
            </w:r>
            <w:proofErr w:type="gramStart"/>
            <w:r w:rsidRPr="00817EA7">
              <w:rPr>
                <w:i/>
                <w:iCs/>
              </w:rPr>
              <w:t>advanced</w:t>
            </w:r>
            <w:proofErr w:type="gramEnd"/>
            <w:r w:rsidRPr="00817EA7">
              <w:rPr>
                <w:i/>
                <w:iCs/>
              </w:rPr>
              <w:t xml:space="preserve"> or recurrent NSCLC with METex14 skipping alterations.</w:t>
            </w:r>
          </w:p>
        </w:tc>
      </w:tr>
      <w:tr w:rsidR="00160B9D" w14:paraId="546D0BF2" w14:textId="77777777" w:rsidTr="00160B9D">
        <w:tc>
          <w:tcPr>
            <w:tcW w:w="1525" w:type="dxa"/>
          </w:tcPr>
          <w:p w14:paraId="29F1BD0A" w14:textId="578D4CCD" w:rsidR="00006FAB" w:rsidRDefault="00817EA7" w:rsidP="00006FAB">
            <w:pPr>
              <w:ind w:left="0" w:right="0"/>
            </w:pPr>
            <w:r>
              <w:t>United States</w:t>
            </w:r>
            <w:r w:rsidR="00160B9D">
              <w:t xml:space="preserve"> </w:t>
            </w:r>
            <w:r>
              <w:t>of</w:t>
            </w:r>
            <w:r w:rsidR="00160B9D">
              <w:t xml:space="preserve"> </w:t>
            </w:r>
            <w:r>
              <w:t>America</w:t>
            </w:r>
          </w:p>
        </w:tc>
        <w:tc>
          <w:tcPr>
            <w:tcW w:w="1890" w:type="dxa"/>
          </w:tcPr>
          <w:p w14:paraId="39EDF523" w14:textId="5D601E11" w:rsidR="00006FAB" w:rsidRDefault="00714DA5" w:rsidP="00006FAB">
            <w:pPr>
              <w:ind w:left="0" w:right="0"/>
            </w:pPr>
            <w:r>
              <w:t xml:space="preserve">June </w:t>
            </w:r>
            <w:r w:rsidR="008D67EF">
              <w:t>2020</w:t>
            </w:r>
          </w:p>
        </w:tc>
        <w:tc>
          <w:tcPr>
            <w:tcW w:w="2250" w:type="dxa"/>
          </w:tcPr>
          <w:p w14:paraId="78E204A5" w14:textId="0008BAD9" w:rsidR="00817EA7" w:rsidRDefault="00817EA7" w:rsidP="00006FAB">
            <w:pPr>
              <w:ind w:left="0" w:right="0"/>
            </w:pPr>
            <w:r>
              <w:t>Approved on 3</w:t>
            </w:r>
            <w:r w:rsidR="00160B9D">
              <w:t> </w:t>
            </w:r>
            <w:r>
              <w:t>February 2021</w:t>
            </w:r>
          </w:p>
        </w:tc>
        <w:tc>
          <w:tcPr>
            <w:tcW w:w="3150" w:type="dxa"/>
          </w:tcPr>
          <w:p w14:paraId="403C1DD6" w14:textId="77777777" w:rsidR="00817EA7" w:rsidRPr="00817EA7" w:rsidRDefault="00817EA7" w:rsidP="00817EA7">
            <w:pPr>
              <w:ind w:left="0"/>
              <w:rPr>
                <w:i/>
                <w:iCs/>
              </w:rPr>
            </w:pPr>
            <w:r w:rsidRPr="00817EA7">
              <w:rPr>
                <w:i/>
                <w:iCs/>
              </w:rPr>
              <w:t>For the treatment of adult patients with metastatic non-small cell lung cancer (NSCLC) harbouring mesenchymal-epithelial transition (MET) exon 14 skipping alterations.</w:t>
            </w:r>
          </w:p>
          <w:p w14:paraId="11D93258" w14:textId="5D516C1D" w:rsidR="00006FAB" w:rsidRDefault="00817EA7" w:rsidP="00817EA7">
            <w:pPr>
              <w:ind w:left="0" w:right="0"/>
            </w:pPr>
            <w:r w:rsidRPr="00817EA7">
              <w:rPr>
                <w:i/>
                <w:iCs/>
              </w:rPr>
              <w:t>This indication is approved under accelerated approval based on overall response rate and duration of response. Continued approval for this indication may be contingent upon verification and description of clinical benefit in confirmatory trials.</w:t>
            </w:r>
          </w:p>
        </w:tc>
      </w:tr>
      <w:tr w:rsidR="00160B9D" w14:paraId="39733B96" w14:textId="77777777" w:rsidTr="00160B9D">
        <w:tc>
          <w:tcPr>
            <w:tcW w:w="1525" w:type="dxa"/>
          </w:tcPr>
          <w:p w14:paraId="3C4779C5" w14:textId="126B1AD1" w:rsidR="00817EA7" w:rsidRDefault="00817EA7" w:rsidP="00817EA7">
            <w:pPr>
              <w:ind w:left="0"/>
            </w:pPr>
            <w:r>
              <w:t>Canada</w:t>
            </w:r>
          </w:p>
        </w:tc>
        <w:tc>
          <w:tcPr>
            <w:tcW w:w="1890" w:type="dxa"/>
          </w:tcPr>
          <w:p w14:paraId="1D175E00" w14:textId="69F4C86F" w:rsidR="00817EA7" w:rsidRDefault="00817EA7">
            <w:pPr>
              <w:ind w:left="0"/>
            </w:pPr>
            <w:r>
              <w:t>July 2020</w:t>
            </w:r>
          </w:p>
        </w:tc>
        <w:tc>
          <w:tcPr>
            <w:tcW w:w="2250" w:type="dxa"/>
          </w:tcPr>
          <w:p w14:paraId="247DDAE7" w14:textId="6EBA2D9A" w:rsidR="00817EA7" w:rsidRDefault="00817EA7" w:rsidP="00151BFF">
            <w:pPr>
              <w:ind w:left="0"/>
            </w:pPr>
            <w:r>
              <w:t>Approved on 28</w:t>
            </w:r>
            <w:r w:rsidR="00160B9D">
              <w:t> </w:t>
            </w:r>
            <w:r>
              <w:t>May 2021</w:t>
            </w:r>
          </w:p>
        </w:tc>
        <w:tc>
          <w:tcPr>
            <w:tcW w:w="3150" w:type="dxa"/>
          </w:tcPr>
          <w:p w14:paraId="0B438C8A" w14:textId="4B525840" w:rsidR="00817EA7" w:rsidRPr="00817EA7" w:rsidRDefault="00817EA7" w:rsidP="00817EA7">
            <w:pPr>
              <w:ind w:left="0"/>
              <w:rPr>
                <w:i/>
                <w:iCs/>
              </w:rPr>
            </w:pPr>
            <w:r w:rsidRPr="00817EA7">
              <w:rPr>
                <w:i/>
                <w:iCs/>
              </w:rPr>
              <w:t>For the treatment of adult patients with locally advanced unresectable or metastatic non-small cell lung cancer (NSCLC) harbouring mesenchymal-epithelial transition (MET) exon 14 skipping alterations. Documentation of MET tyrosine kinase receptor exon 14 (METex14) skipping alteration status based on a validated METex14 assay is required prior to treatment with TEPMETKO (see Warnings and Precautions). Efficacy in patients with NSCLC harbouring METex14 skipping alterations was based on objective response rate and duration of response in a single arm-study (see Clinical Trials).</w:t>
            </w:r>
          </w:p>
        </w:tc>
      </w:tr>
      <w:tr w:rsidR="00160B9D" w14:paraId="5183B7B7" w14:textId="77777777" w:rsidTr="00151BFF">
        <w:trPr>
          <w:cantSplit/>
        </w:trPr>
        <w:tc>
          <w:tcPr>
            <w:tcW w:w="0" w:type="dxa"/>
          </w:tcPr>
          <w:p w14:paraId="465CB6A7" w14:textId="530C93D7" w:rsidR="00817EA7" w:rsidRDefault="00817EA7" w:rsidP="00817EA7">
            <w:pPr>
              <w:ind w:left="0"/>
            </w:pPr>
            <w:r>
              <w:lastRenderedPageBreak/>
              <w:t>Switzerland</w:t>
            </w:r>
          </w:p>
        </w:tc>
        <w:tc>
          <w:tcPr>
            <w:tcW w:w="0" w:type="dxa"/>
          </w:tcPr>
          <w:p w14:paraId="6DD7FA02" w14:textId="77746E45" w:rsidR="00817EA7" w:rsidRDefault="00817EA7">
            <w:pPr>
              <w:ind w:left="0"/>
            </w:pPr>
            <w:r>
              <w:t>August 2020</w:t>
            </w:r>
          </w:p>
        </w:tc>
        <w:tc>
          <w:tcPr>
            <w:tcW w:w="2250" w:type="dxa"/>
          </w:tcPr>
          <w:p w14:paraId="119F1AA9" w14:textId="48B73AB0" w:rsidR="00817EA7" w:rsidRDefault="00817EA7" w:rsidP="00151BFF">
            <w:pPr>
              <w:ind w:left="0"/>
            </w:pPr>
            <w:r>
              <w:t>Approved on 22</w:t>
            </w:r>
            <w:r w:rsidR="00160B9D">
              <w:t> </w:t>
            </w:r>
            <w:r>
              <w:t>June 2021</w:t>
            </w:r>
          </w:p>
        </w:tc>
        <w:tc>
          <w:tcPr>
            <w:tcW w:w="3150" w:type="dxa"/>
          </w:tcPr>
          <w:p w14:paraId="1FCE89A8" w14:textId="46153BAF" w:rsidR="00817EA7" w:rsidRPr="00817EA7" w:rsidRDefault="00817EA7" w:rsidP="00817EA7">
            <w:pPr>
              <w:ind w:left="0"/>
              <w:rPr>
                <w:i/>
                <w:iCs/>
              </w:rPr>
            </w:pPr>
            <w:r w:rsidRPr="00817EA7">
              <w:rPr>
                <w:i/>
                <w:iCs/>
              </w:rPr>
              <w:t xml:space="preserve">For the treatment of adult patients with metastatic non-small cell lung cancer (NSCLC) harbouring a MET tyrosine kinase receptor exon 14 (METex14) skipping mutation. Efficacy and safety of </w:t>
            </w:r>
            <w:proofErr w:type="spellStart"/>
            <w:r w:rsidRPr="00817EA7">
              <w:rPr>
                <w:i/>
                <w:iCs/>
              </w:rPr>
              <w:t>Tepmetko</w:t>
            </w:r>
            <w:proofErr w:type="spellEnd"/>
            <w:r w:rsidRPr="00817EA7">
              <w:rPr>
                <w:i/>
                <w:iCs/>
              </w:rPr>
              <w:t xml:space="preserve"> has not been studied in patients with additional oncogenic driver mutations including EGFR- and ALK-tumour aberrations.</w:t>
            </w:r>
          </w:p>
        </w:tc>
      </w:tr>
      <w:tr w:rsidR="00160B9D" w14:paraId="56237DB8" w14:textId="77777777" w:rsidTr="00160B9D">
        <w:tc>
          <w:tcPr>
            <w:tcW w:w="1525" w:type="dxa"/>
          </w:tcPr>
          <w:p w14:paraId="5BECCF37" w14:textId="6D137409" w:rsidR="00817EA7" w:rsidRDefault="00160B9D">
            <w:pPr>
              <w:ind w:left="0"/>
            </w:pPr>
            <w:r>
              <w:t>United Kingdom</w:t>
            </w:r>
          </w:p>
        </w:tc>
        <w:tc>
          <w:tcPr>
            <w:tcW w:w="1890" w:type="dxa"/>
          </w:tcPr>
          <w:p w14:paraId="26D66100" w14:textId="1E575D8E" w:rsidR="00817EA7" w:rsidRDefault="00817EA7" w:rsidP="00817EA7">
            <w:pPr>
              <w:ind w:left="0"/>
            </w:pPr>
            <w:r>
              <w:t>February 2021</w:t>
            </w:r>
          </w:p>
        </w:tc>
        <w:tc>
          <w:tcPr>
            <w:tcW w:w="2250" w:type="dxa"/>
          </w:tcPr>
          <w:p w14:paraId="095405AF" w14:textId="18ACD3CD" w:rsidR="00817EA7" w:rsidRDefault="00817EA7" w:rsidP="00817EA7">
            <w:pPr>
              <w:ind w:left="0"/>
            </w:pPr>
            <w:r>
              <w:t>Approved on 24</w:t>
            </w:r>
            <w:r w:rsidR="00160B9D">
              <w:t> </w:t>
            </w:r>
            <w:r>
              <w:t>September 2021</w:t>
            </w:r>
          </w:p>
        </w:tc>
        <w:tc>
          <w:tcPr>
            <w:tcW w:w="3150" w:type="dxa"/>
          </w:tcPr>
          <w:p w14:paraId="776AC564" w14:textId="39461054" w:rsidR="00817EA7" w:rsidRPr="00817EA7" w:rsidRDefault="00817EA7" w:rsidP="00817EA7">
            <w:pPr>
              <w:pStyle w:val="Default"/>
              <w:ind w:left="0"/>
              <w:rPr>
                <w:sz w:val="23"/>
                <w:szCs w:val="23"/>
              </w:rPr>
            </w:pPr>
            <w:r>
              <w:rPr>
                <w:i/>
                <w:iCs/>
                <w:sz w:val="23"/>
                <w:szCs w:val="23"/>
              </w:rPr>
              <w:t>TEPMETKO is indicated for the treatment of adult patients with advanced non-small cell lung cancer (NSCLC) harbouring mesenchymal-epithelial transition factor gene (MET) exon 14 (METex14) skipping alterations</w:t>
            </w:r>
            <w:r w:rsidR="008D67EF">
              <w:rPr>
                <w:i/>
                <w:iCs/>
                <w:sz w:val="23"/>
                <w:szCs w:val="23"/>
              </w:rPr>
              <w:t>.</w:t>
            </w:r>
          </w:p>
        </w:tc>
      </w:tr>
      <w:tr w:rsidR="00160B9D" w14:paraId="4C49EF4D" w14:textId="77777777" w:rsidTr="00160B9D">
        <w:tc>
          <w:tcPr>
            <w:tcW w:w="1525" w:type="dxa"/>
          </w:tcPr>
          <w:p w14:paraId="13549BAE" w14:textId="7866C2B6" w:rsidR="00817EA7" w:rsidRDefault="00817EA7" w:rsidP="00817EA7">
            <w:pPr>
              <w:ind w:left="0"/>
            </w:pPr>
            <w:r>
              <w:t>Singapore</w:t>
            </w:r>
          </w:p>
        </w:tc>
        <w:tc>
          <w:tcPr>
            <w:tcW w:w="1890" w:type="dxa"/>
          </w:tcPr>
          <w:p w14:paraId="2FE50C8C" w14:textId="4FED2A7A" w:rsidR="00817EA7" w:rsidRDefault="00817EA7" w:rsidP="00817EA7">
            <w:pPr>
              <w:ind w:left="0"/>
            </w:pPr>
            <w:r>
              <w:t>December 2020</w:t>
            </w:r>
          </w:p>
        </w:tc>
        <w:tc>
          <w:tcPr>
            <w:tcW w:w="2250" w:type="dxa"/>
          </w:tcPr>
          <w:p w14:paraId="011F2264" w14:textId="58835A7E" w:rsidR="00817EA7" w:rsidRDefault="00160B9D" w:rsidP="00817EA7">
            <w:pPr>
              <w:ind w:left="0"/>
            </w:pPr>
            <w:r>
              <w:t>Approved on 25 November 2021</w:t>
            </w:r>
          </w:p>
        </w:tc>
        <w:tc>
          <w:tcPr>
            <w:tcW w:w="3150" w:type="dxa"/>
          </w:tcPr>
          <w:p w14:paraId="22770D67" w14:textId="42337B40" w:rsidR="00817EA7" w:rsidRPr="00151BFF" w:rsidRDefault="00160B9D" w:rsidP="00817EA7">
            <w:pPr>
              <w:ind w:left="0"/>
              <w:rPr>
                <w:i/>
              </w:rPr>
            </w:pPr>
            <w:r w:rsidRPr="00151BFF">
              <w:rPr>
                <w:i/>
              </w:rPr>
              <w:t>TEPMETKO is indicated for the treatment of adult patients with metastatic non-small cell lung cancer (NSCLC) harbouring mesenchymal-epithelial transition factor gene (MET) exon 14 (METex14) skipping alterations.</w:t>
            </w:r>
          </w:p>
        </w:tc>
      </w:tr>
      <w:tr w:rsidR="00160B9D" w14:paraId="6BA197F6" w14:textId="77777777" w:rsidTr="00151BFF">
        <w:tc>
          <w:tcPr>
            <w:tcW w:w="0" w:type="dxa"/>
          </w:tcPr>
          <w:p w14:paraId="678BF08E" w14:textId="16C10EA7" w:rsidR="00160B9D" w:rsidRDefault="00160B9D" w:rsidP="00151BFF">
            <w:pPr>
              <w:ind w:left="0"/>
            </w:pPr>
            <w:r>
              <w:t>European Union</w:t>
            </w:r>
          </w:p>
        </w:tc>
        <w:tc>
          <w:tcPr>
            <w:tcW w:w="0" w:type="dxa"/>
          </w:tcPr>
          <w:p w14:paraId="7E98680D" w14:textId="075BDB63" w:rsidR="00160B9D" w:rsidDel="00160B9D" w:rsidRDefault="00160B9D" w:rsidP="00151BFF">
            <w:pPr>
              <w:ind w:left="0"/>
            </w:pPr>
            <w:r>
              <w:t>November 2020</w:t>
            </w:r>
          </w:p>
        </w:tc>
        <w:tc>
          <w:tcPr>
            <w:tcW w:w="2250" w:type="dxa"/>
          </w:tcPr>
          <w:p w14:paraId="37DCAD37" w14:textId="0558A90B" w:rsidR="00160B9D" w:rsidDel="00160B9D" w:rsidRDefault="00160B9D" w:rsidP="00151BFF">
            <w:pPr>
              <w:ind w:left="0"/>
            </w:pPr>
            <w:r>
              <w:t>Under consideration</w:t>
            </w:r>
          </w:p>
        </w:tc>
        <w:tc>
          <w:tcPr>
            <w:tcW w:w="0" w:type="dxa"/>
          </w:tcPr>
          <w:p w14:paraId="27EDDF70" w14:textId="19B7BFBC" w:rsidR="00160B9D" w:rsidRPr="00160B9D" w:rsidRDefault="00160B9D" w:rsidP="00151BFF">
            <w:pPr>
              <w:ind w:left="0"/>
              <w:rPr>
                <w:i/>
              </w:rPr>
            </w:pPr>
            <w:r>
              <w:t>Under consideration</w:t>
            </w:r>
          </w:p>
        </w:tc>
      </w:tr>
    </w:tbl>
    <w:p w14:paraId="0C546BD0" w14:textId="6BB041F9" w:rsidR="00AA5386" w:rsidRDefault="00AA5386" w:rsidP="00AA5386">
      <w:r>
        <w:rPr>
          <w:lang w:val="en-US"/>
        </w:rPr>
        <w:t xml:space="preserve">The Delegate expects that the </w:t>
      </w:r>
      <w:r>
        <w:t xml:space="preserve">wording of conditions of registration, should approval be granted, would be aligned to that of the </w:t>
      </w:r>
      <w:r w:rsidR="00160B9D">
        <w:t>United States (US) Food and Drug Administration (</w:t>
      </w:r>
      <w:r w:rsidR="007777E6">
        <w:t>FDA</w:t>
      </w:r>
      <w:r w:rsidR="00160B9D">
        <w:t>)</w:t>
      </w:r>
      <w:r w:rsidR="007777E6">
        <w:t xml:space="preserve"> </w:t>
      </w:r>
      <w:r>
        <w:t>post-marketing requirements/commitments</w:t>
      </w:r>
      <w:r w:rsidR="007777E6">
        <w:t>.</w:t>
      </w:r>
    </w:p>
    <w:p w14:paraId="5A1B1802" w14:textId="0B41C9CE" w:rsidR="00AA5386" w:rsidRDefault="00160B9D" w:rsidP="00AA5386">
      <w:pPr>
        <w:rPr>
          <w:lang w:val="en-US"/>
        </w:rPr>
      </w:pPr>
      <w:r>
        <w:rPr>
          <w:lang w:val="en-US"/>
        </w:rPr>
        <w:t xml:space="preserve">The US </w:t>
      </w:r>
      <w:r w:rsidR="00AA5386">
        <w:rPr>
          <w:lang w:val="en-US"/>
        </w:rPr>
        <w:t>FDA post-marketing requirements include the following:</w:t>
      </w:r>
    </w:p>
    <w:p w14:paraId="5EC08BA4" w14:textId="77777777" w:rsidR="0092477D" w:rsidRPr="0092477D" w:rsidRDefault="00AA5386" w:rsidP="008D158B">
      <w:pPr>
        <w:pStyle w:val="ListBullet"/>
        <w:rPr>
          <w:u w:val="single"/>
          <w:lang w:val="en-US"/>
        </w:rPr>
      </w:pPr>
      <w:r w:rsidRPr="0092477D">
        <w:rPr>
          <w:lang w:val="en-US"/>
        </w:rPr>
        <w:t>Post-marketing requirement 1</w:t>
      </w:r>
      <w:r w:rsidR="0092477D">
        <w:rPr>
          <w:lang w:val="en-US"/>
        </w:rPr>
        <w:t>:</w:t>
      </w:r>
    </w:p>
    <w:p w14:paraId="1B363104" w14:textId="77777777" w:rsidR="00160B9D" w:rsidRDefault="00AA5386" w:rsidP="00151BFF">
      <w:pPr>
        <w:pStyle w:val="ListBullet"/>
        <w:numPr>
          <w:ilvl w:val="0"/>
          <w:numId w:val="0"/>
        </w:numPr>
        <w:ind w:left="720"/>
        <w:rPr>
          <w:i/>
          <w:iCs/>
          <w:lang w:val="en-US"/>
        </w:rPr>
      </w:pPr>
      <w:r w:rsidRPr="001A5027">
        <w:rPr>
          <w:i/>
          <w:iCs/>
          <w:lang w:val="en-US"/>
        </w:rPr>
        <w:t xml:space="preserve">Final report submission </w:t>
      </w:r>
      <w:r w:rsidR="0092477D" w:rsidRPr="001A5027">
        <w:rPr>
          <w:i/>
          <w:iCs/>
          <w:lang w:val="en-US"/>
        </w:rPr>
        <w:t xml:space="preserve">in April </w:t>
      </w:r>
      <w:r w:rsidRPr="001A5027">
        <w:rPr>
          <w:i/>
          <w:iCs/>
          <w:lang w:val="en-US"/>
        </w:rPr>
        <w:t>2023</w:t>
      </w:r>
      <w:r w:rsidR="0092477D" w:rsidRPr="001A5027">
        <w:rPr>
          <w:i/>
          <w:iCs/>
          <w:lang w:val="en-US"/>
        </w:rPr>
        <w:t>.</w:t>
      </w:r>
    </w:p>
    <w:p w14:paraId="58EBF8DB" w14:textId="652E0ADD" w:rsidR="00AA5386" w:rsidRPr="0068181F" w:rsidRDefault="00AA5386" w:rsidP="00151BFF">
      <w:pPr>
        <w:pStyle w:val="ListBullet"/>
        <w:numPr>
          <w:ilvl w:val="0"/>
          <w:numId w:val="0"/>
        </w:numPr>
        <w:ind w:left="720"/>
        <w:rPr>
          <w:iCs/>
          <w:u w:val="single"/>
          <w:lang w:val="en-US"/>
        </w:rPr>
      </w:pPr>
      <w:r w:rsidRPr="0068181F">
        <w:rPr>
          <w:iCs/>
          <w:lang w:val="en-US"/>
        </w:rPr>
        <w:t xml:space="preserve">Submit the final reports including datasets from clinical studies to confirm and further </w:t>
      </w:r>
      <w:proofErr w:type="spellStart"/>
      <w:r w:rsidRPr="0068181F">
        <w:rPr>
          <w:iCs/>
          <w:lang w:val="en-US"/>
        </w:rPr>
        <w:t>character</w:t>
      </w:r>
      <w:r w:rsidR="00A928AA" w:rsidRPr="0068181F">
        <w:rPr>
          <w:iCs/>
          <w:lang w:val="en-US"/>
        </w:rPr>
        <w:t>is</w:t>
      </w:r>
      <w:r w:rsidRPr="0068181F">
        <w:rPr>
          <w:iCs/>
          <w:lang w:val="en-US"/>
        </w:rPr>
        <w:t>e</w:t>
      </w:r>
      <w:proofErr w:type="spellEnd"/>
      <w:r w:rsidRPr="0068181F">
        <w:rPr>
          <w:iCs/>
          <w:lang w:val="en-US"/>
        </w:rPr>
        <w:t xml:space="preserve"> the clinical benefit of </w:t>
      </w:r>
      <w:proofErr w:type="spellStart"/>
      <w:r w:rsidRPr="0068181F">
        <w:rPr>
          <w:iCs/>
          <w:lang w:val="en-US"/>
        </w:rPr>
        <w:t>tepotinib</w:t>
      </w:r>
      <w:proofErr w:type="spellEnd"/>
      <w:r w:rsidRPr="0068181F">
        <w:rPr>
          <w:iCs/>
          <w:lang w:val="en-US"/>
        </w:rPr>
        <w:t xml:space="preserve"> for the treatment of patients with NSCLC harboring MET exon 14 skipping alterations who are treatment-naïve and who have previously received systemic therapy, by providing a more precise estimation of the blinded independent central review</w:t>
      </w:r>
      <w:r w:rsidR="001A5027" w:rsidRPr="0068181F">
        <w:rPr>
          <w:iCs/>
          <w:lang w:val="en-US"/>
        </w:rPr>
        <w:t xml:space="preserve"> </w:t>
      </w:r>
      <w:r w:rsidRPr="0068181F">
        <w:rPr>
          <w:iCs/>
          <w:lang w:val="en-US"/>
        </w:rPr>
        <w:t xml:space="preserve">assessed overall response rate and duration of response. This report will contain data from patients with NSCLC harboring MET exon 14 skipping alterations; data from at least 130 patients who are treatment naïve, after all responders have been followed for at least 12 months from the date of initial response (or until disease progression, </w:t>
      </w:r>
      <w:r w:rsidRPr="0068181F">
        <w:rPr>
          <w:iCs/>
          <w:lang w:val="en-US"/>
        </w:rPr>
        <w:lastRenderedPageBreak/>
        <w:t>whichever comes first); and from at least 143 patients who have been previously treated with systemic therapy, after all responders have been followed for at least 6 months from the date of initial response (or until disease progression, whichever comes first).</w:t>
      </w:r>
    </w:p>
    <w:p w14:paraId="6FB6DFF1" w14:textId="454B7E91" w:rsidR="00AA5386" w:rsidRDefault="00AA5386" w:rsidP="0092477D">
      <w:pPr>
        <w:pStyle w:val="ListBullet"/>
        <w:rPr>
          <w:lang w:val="en-US"/>
        </w:rPr>
      </w:pPr>
      <w:r>
        <w:rPr>
          <w:lang w:val="en-US"/>
        </w:rPr>
        <w:t>Post-marketing requirement 2:</w:t>
      </w:r>
    </w:p>
    <w:p w14:paraId="6D150F73" w14:textId="77777777" w:rsidR="00160B9D" w:rsidRDefault="00AA5386" w:rsidP="00151BFF">
      <w:pPr>
        <w:pStyle w:val="ListBullet"/>
        <w:numPr>
          <w:ilvl w:val="0"/>
          <w:numId w:val="0"/>
        </w:numPr>
        <w:ind w:left="720"/>
        <w:rPr>
          <w:iCs/>
          <w:lang w:val="en-US"/>
        </w:rPr>
      </w:pPr>
      <w:r w:rsidRPr="6252511A">
        <w:rPr>
          <w:i/>
          <w:iCs/>
          <w:lang w:val="en-US"/>
        </w:rPr>
        <w:t>Final report submission</w:t>
      </w:r>
      <w:r w:rsidR="0092477D" w:rsidRPr="6252511A">
        <w:rPr>
          <w:i/>
          <w:iCs/>
          <w:lang w:val="en-US"/>
        </w:rPr>
        <w:t xml:space="preserve"> in</w:t>
      </w:r>
      <w:r w:rsidRPr="6252511A">
        <w:rPr>
          <w:i/>
          <w:iCs/>
          <w:lang w:val="en-US"/>
        </w:rPr>
        <w:t xml:space="preserve"> </w:t>
      </w:r>
      <w:r w:rsidR="0092477D" w:rsidRPr="6252511A">
        <w:rPr>
          <w:i/>
          <w:iCs/>
          <w:lang w:val="en-US"/>
        </w:rPr>
        <w:t xml:space="preserve">September </w:t>
      </w:r>
      <w:r w:rsidRPr="6252511A">
        <w:rPr>
          <w:i/>
          <w:iCs/>
          <w:lang w:val="en-US"/>
        </w:rPr>
        <w:t>2022</w:t>
      </w:r>
      <w:r w:rsidR="0092477D" w:rsidRPr="00151BFF">
        <w:rPr>
          <w:iCs/>
          <w:lang w:val="en-US"/>
        </w:rPr>
        <w:t>.</w:t>
      </w:r>
    </w:p>
    <w:p w14:paraId="0B0EF9B8" w14:textId="4C0C1A2B" w:rsidR="00AA5386" w:rsidRPr="00151BFF" w:rsidRDefault="00AA5386" w:rsidP="00151BFF">
      <w:pPr>
        <w:pStyle w:val="ListBullet"/>
        <w:numPr>
          <w:ilvl w:val="0"/>
          <w:numId w:val="0"/>
        </w:numPr>
        <w:ind w:left="720"/>
        <w:rPr>
          <w:iCs/>
          <w:lang w:val="en-US"/>
        </w:rPr>
      </w:pPr>
      <w:r w:rsidRPr="00151BFF">
        <w:rPr>
          <w:iCs/>
          <w:lang w:val="en-US"/>
        </w:rPr>
        <w:t xml:space="preserve">Conduct </w:t>
      </w:r>
      <w:r w:rsidRPr="00151BFF">
        <w:rPr>
          <w:iCs/>
        </w:rPr>
        <w:t xml:space="preserve">a drug interaction study to evaluate the effect of itraconazole on the single dose pharmacokinetics of </w:t>
      </w:r>
      <w:proofErr w:type="spellStart"/>
      <w:r w:rsidRPr="00151BFF">
        <w:rPr>
          <w:iCs/>
        </w:rPr>
        <w:t>tepotinib</w:t>
      </w:r>
      <w:proofErr w:type="spellEnd"/>
      <w:r w:rsidRPr="00151BFF">
        <w:rPr>
          <w:iCs/>
        </w:rPr>
        <w:t xml:space="preserve"> to assess the magnitude of increased drug exposure and determine appropriate dosing recommendations when </w:t>
      </w:r>
      <w:proofErr w:type="spellStart"/>
      <w:r w:rsidRPr="00151BFF">
        <w:rPr>
          <w:iCs/>
        </w:rPr>
        <w:t>tepotinib</w:t>
      </w:r>
      <w:proofErr w:type="spellEnd"/>
      <w:r w:rsidRPr="00151BFF">
        <w:rPr>
          <w:iCs/>
        </w:rPr>
        <w:t xml:space="preserve"> is administered concomitantly with a strong CYP3A4 and P-</w:t>
      </w:r>
      <w:proofErr w:type="spellStart"/>
      <w:r w:rsidRPr="00151BFF">
        <w:rPr>
          <w:iCs/>
        </w:rPr>
        <w:t>gp</w:t>
      </w:r>
      <w:proofErr w:type="spellEnd"/>
      <w:r w:rsidRPr="00151BFF">
        <w:rPr>
          <w:iCs/>
        </w:rPr>
        <w:t xml:space="preserve"> inhibitors.</w:t>
      </w:r>
    </w:p>
    <w:p w14:paraId="588ED073" w14:textId="57434CE7" w:rsidR="00AA5386" w:rsidRDefault="00AA5386" w:rsidP="0092477D">
      <w:pPr>
        <w:pStyle w:val="ListBullet"/>
      </w:pPr>
      <w:r>
        <w:t xml:space="preserve">Post-marketing commitment </w:t>
      </w:r>
      <w:r w:rsidR="0092477D">
        <w:t>3</w:t>
      </w:r>
      <w:r>
        <w:t>:</w:t>
      </w:r>
    </w:p>
    <w:p w14:paraId="198F42EB" w14:textId="77777777" w:rsidR="00160B9D" w:rsidRDefault="00AA5386" w:rsidP="00151BFF">
      <w:pPr>
        <w:pStyle w:val="ListBullet"/>
        <w:numPr>
          <w:ilvl w:val="0"/>
          <w:numId w:val="0"/>
        </w:numPr>
        <w:ind w:left="720"/>
        <w:rPr>
          <w:i/>
          <w:iCs/>
        </w:rPr>
      </w:pPr>
      <w:r w:rsidRPr="001A5027">
        <w:rPr>
          <w:i/>
          <w:iCs/>
        </w:rPr>
        <w:t>Final report submission</w:t>
      </w:r>
      <w:r w:rsidR="0092477D" w:rsidRPr="001A5027">
        <w:rPr>
          <w:i/>
          <w:iCs/>
        </w:rPr>
        <w:t xml:space="preserve"> in July </w:t>
      </w:r>
      <w:r w:rsidRPr="001A5027">
        <w:rPr>
          <w:i/>
          <w:iCs/>
        </w:rPr>
        <w:t>2022</w:t>
      </w:r>
      <w:r w:rsidR="0092477D" w:rsidRPr="001A5027">
        <w:rPr>
          <w:i/>
          <w:iCs/>
        </w:rPr>
        <w:t>.</w:t>
      </w:r>
    </w:p>
    <w:p w14:paraId="71F54D74" w14:textId="41E14C53" w:rsidR="00AA5386" w:rsidRPr="00151BFF" w:rsidRDefault="00AA5386" w:rsidP="00151BFF">
      <w:pPr>
        <w:pStyle w:val="ListBullet"/>
        <w:numPr>
          <w:ilvl w:val="0"/>
          <w:numId w:val="0"/>
        </w:numPr>
        <w:ind w:left="720"/>
        <w:rPr>
          <w:iCs/>
        </w:rPr>
      </w:pPr>
      <w:r w:rsidRPr="00151BFF">
        <w:rPr>
          <w:iCs/>
          <w:lang w:val="en-US"/>
        </w:rPr>
        <w:t xml:space="preserve">Conduct </w:t>
      </w:r>
      <w:r w:rsidRPr="00151BFF">
        <w:rPr>
          <w:iCs/>
        </w:rPr>
        <w:t xml:space="preserve">a drug interaction study to evaluate the effect of </w:t>
      </w:r>
      <w:r w:rsidR="002A687F" w:rsidRPr="00151BFF">
        <w:rPr>
          <w:iCs/>
        </w:rPr>
        <w:t xml:space="preserve">carbamazepine </w:t>
      </w:r>
      <w:r w:rsidRPr="00151BFF">
        <w:rPr>
          <w:iCs/>
        </w:rPr>
        <w:t xml:space="preserve">on the single dose pharmacokinetics of </w:t>
      </w:r>
      <w:proofErr w:type="spellStart"/>
      <w:r w:rsidRPr="00151BFF">
        <w:rPr>
          <w:iCs/>
        </w:rPr>
        <w:t>tepotinib</w:t>
      </w:r>
      <w:proofErr w:type="spellEnd"/>
      <w:r w:rsidRPr="00151BFF">
        <w:rPr>
          <w:iCs/>
        </w:rPr>
        <w:t xml:space="preserve"> to assess the magnitude of decreased drug exposure and determine appropriate dosing recommendations when </w:t>
      </w:r>
      <w:proofErr w:type="spellStart"/>
      <w:r w:rsidRPr="00151BFF">
        <w:rPr>
          <w:iCs/>
        </w:rPr>
        <w:t>tepotinib</w:t>
      </w:r>
      <w:proofErr w:type="spellEnd"/>
      <w:r w:rsidRPr="00151BFF">
        <w:rPr>
          <w:iCs/>
        </w:rPr>
        <w:t xml:space="preserve"> is administered concomitantly with a strong CYP3A4 inducer and moderate CYP2C8 inducer.</w:t>
      </w:r>
    </w:p>
    <w:p w14:paraId="767022AB" w14:textId="5AA2A100" w:rsidR="008E7846" w:rsidRDefault="008E7846" w:rsidP="00940A89">
      <w:pPr>
        <w:pStyle w:val="Heading3"/>
      </w:pPr>
      <w:bookmarkStart w:id="28" w:name="_Toc107841977"/>
      <w:r>
        <w:t>Product Information</w:t>
      </w:r>
      <w:bookmarkEnd w:id="25"/>
      <w:bookmarkEnd w:id="26"/>
      <w:bookmarkEnd w:id="28"/>
    </w:p>
    <w:p w14:paraId="46EEFF91" w14:textId="315E4294" w:rsidR="00332715" w:rsidRDefault="00332715" w:rsidP="00332715">
      <w:bookmarkStart w:id="29" w:name="_Toc504480011"/>
      <w:bookmarkStart w:id="30" w:name="_Toc247691506"/>
      <w:bookmarkStart w:id="31" w:name="_Toc314842487"/>
      <w:r>
        <w:t xml:space="preserve">The Product Information (PI) approved with the submission which is described in this </w:t>
      </w:r>
      <w:proofErr w:type="spellStart"/>
      <w:r>
        <w:t>AusPAR</w:t>
      </w:r>
      <w:proofErr w:type="spellEnd"/>
      <w:r>
        <w:t xml:space="preserve"> can be found as Attachment 1. For the most recent PI, please refer to the TGA </w:t>
      </w:r>
      <w:hyperlink r:id="rId20" w:history="1">
        <w:r>
          <w:rPr>
            <w:rStyle w:val="Hyperlink"/>
          </w:rPr>
          <w:t>PI/CMI search facility</w:t>
        </w:r>
        <w:r w:rsidRPr="009556D7">
          <w:rPr>
            <w:rStyle w:val="Hyperlink"/>
            <w:color w:val="auto"/>
            <w:u w:val="none"/>
          </w:rPr>
          <w:t>.</w:t>
        </w:r>
      </w:hyperlink>
    </w:p>
    <w:p w14:paraId="00773343" w14:textId="65431C54" w:rsidR="00500337" w:rsidRDefault="00500337" w:rsidP="00500337">
      <w:pPr>
        <w:pStyle w:val="Heading2"/>
      </w:pPr>
      <w:bookmarkStart w:id="32" w:name="_Toc107841978"/>
      <w:r>
        <w:t>Registration timeline</w:t>
      </w:r>
      <w:bookmarkEnd w:id="29"/>
      <w:bookmarkEnd w:id="32"/>
    </w:p>
    <w:p w14:paraId="77F64F4D" w14:textId="77777777" w:rsidR="0074163C" w:rsidRPr="00C93EC1" w:rsidRDefault="0074163C" w:rsidP="0074163C">
      <w:r w:rsidRPr="00C93EC1">
        <w:t xml:space="preserve">The following table captures the key steps and dates for this </w:t>
      </w:r>
      <w:r w:rsidR="00804D99">
        <w:t>submission</w:t>
      </w:r>
      <w:r w:rsidRPr="00C93EC1">
        <w:t>.</w:t>
      </w:r>
    </w:p>
    <w:p w14:paraId="1065E1A7" w14:textId="0D7F891C" w:rsidR="0074163C" w:rsidRDefault="0074163C" w:rsidP="00AD4025">
      <w:pPr>
        <w:pStyle w:val="TableTitle"/>
        <w:pageBreakBefore/>
      </w:pPr>
      <w:r>
        <w:lastRenderedPageBreak/>
        <w:t xml:space="preserve">Table </w:t>
      </w:r>
      <w:r>
        <w:fldChar w:fldCharType="begin"/>
      </w:r>
      <w:r>
        <w:instrText>SEQ Table \* ARABIC</w:instrText>
      </w:r>
      <w:r>
        <w:fldChar w:fldCharType="separate"/>
      </w:r>
      <w:r w:rsidR="006F6B07">
        <w:rPr>
          <w:noProof/>
        </w:rPr>
        <w:t>2</w:t>
      </w:r>
      <w:r>
        <w:fldChar w:fldCharType="end"/>
      </w:r>
      <w:r>
        <w:t>:</w:t>
      </w:r>
      <w:r w:rsidRPr="006A58A8">
        <w:t xml:space="preserve"> Timeline for Submission PM-20</w:t>
      </w:r>
      <w:r>
        <w:t>2</w:t>
      </w:r>
      <w:r w:rsidR="009A728C">
        <w:t>1</w:t>
      </w:r>
      <w:r w:rsidRPr="006A58A8">
        <w:t>-</w:t>
      </w:r>
      <w:r w:rsidR="009A728C">
        <w:t>03109</w:t>
      </w:r>
      <w:r w:rsidRPr="006A58A8">
        <w:t>-1-</w:t>
      </w:r>
      <w:r w:rsidR="009A728C">
        <w:t>4</w:t>
      </w:r>
      <w:r w:rsidR="00CF1281">
        <w:fldChar w:fldCharType="begin"/>
      </w:r>
      <w:r w:rsidR="00CF1281">
        <w:instrText>DOCVARIABLE vault_nd_0d3e2c54-72d1-4b06-9688-5e64cf017f7c \* MERGEFORMAT</w:instrText>
      </w:r>
      <w:r w:rsidR="00CF1281">
        <w:fldChar w:fldCharType="separate"/>
      </w:r>
      <w:r w:rsidR="006F6B07">
        <w:t xml:space="preserve"> </w:t>
      </w:r>
      <w:r w:rsidR="00CF1281">
        <w:fldChar w:fldCharType="end"/>
      </w:r>
    </w:p>
    <w:p w14:paraId="2F8E8CB9" w14:textId="70BBB7C2" w:rsidR="0074163C" w:rsidRPr="00822FCB" w:rsidRDefault="00CF1281" w:rsidP="0074163C">
      <w:pPr>
        <w:pStyle w:val="Instructions"/>
        <w:rPr>
          <w:i w:val="0"/>
          <w:color w:val="auto"/>
          <w:szCs w:val="20"/>
        </w:rPr>
      </w:pPr>
      <w:hyperlink r:id="rId21" w:history="1">
        <w:r w:rsidR="0074163C">
          <w:rPr>
            <w:rStyle w:val="Hyperlink"/>
            <w:i w:val="0"/>
            <w:szCs w:val="20"/>
          </w:rPr>
          <w:t>Provisional review pathway</w:t>
        </w:r>
      </w:hyperlink>
    </w:p>
    <w:tbl>
      <w:tblPr>
        <w:tblStyle w:val="TableTGAblue"/>
        <w:tblW w:w="0" w:type="auto"/>
        <w:tblLook w:val="04A0" w:firstRow="1" w:lastRow="0" w:firstColumn="1" w:lastColumn="0" w:noHBand="0" w:noVBand="1"/>
      </w:tblPr>
      <w:tblGrid>
        <w:gridCol w:w="5524"/>
        <w:gridCol w:w="2970"/>
      </w:tblGrid>
      <w:tr w:rsidR="0074163C" w14:paraId="3663B1B8" w14:textId="77777777" w:rsidTr="00AD4025">
        <w:trPr>
          <w:cnfStyle w:val="100000000000" w:firstRow="1" w:lastRow="0" w:firstColumn="0" w:lastColumn="0" w:oddVBand="0" w:evenVBand="0" w:oddHBand="0" w:evenHBand="0" w:firstRowFirstColumn="0" w:firstRowLastColumn="0" w:lastRowFirstColumn="0" w:lastRowLastColumn="0"/>
        </w:trPr>
        <w:tc>
          <w:tcPr>
            <w:tcW w:w="5524" w:type="dxa"/>
            <w:tcBorders>
              <w:top w:val="single" w:sz="4" w:space="0" w:color="auto"/>
              <w:left w:val="single" w:sz="4" w:space="0" w:color="auto"/>
              <w:bottom w:val="single" w:sz="4" w:space="0" w:color="auto"/>
              <w:right w:val="single" w:sz="4" w:space="0" w:color="auto"/>
            </w:tcBorders>
          </w:tcPr>
          <w:p w14:paraId="0AB972DF" w14:textId="77777777" w:rsidR="0074163C" w:rsidRDefault="0074163C" w:rsidP="009E5A87">
            <w:r>
              <w:t>Description</w:t>
            </w:r>
          </w:p>
        </w:tc>
        <w:tc>
          <w:tcPr>
            <w:tcW w:w="2970" w:type="dxa"/>
            <w:tcBorders>
              <w:top w:val="single" w:sz="4" w:space="0" w:color="auto"/>
              <w:left w:val="single" w:sz="4" w:space="0" w:color="auto"/>
              <w:bottom w:val="single" w:sz="4" w:space="0" w:color="auto"/>
              <w:right w:val="single" w:sz="4" w:space="0" w:color="auto"/>
            </w:tcBorders>
          </w:tcPr>
          <w:p w14:paraId="07788A70" w14:textId="77777777" w:rsidR="0074163C" w:rsidRDefault="0074163C" w:rsidP="009E5A87">
            <w:r>
              <w:t>Date</w:t>
            </w:r>
          </w:p>
        </w:tc>
      </w:tr>
      <w:tr w:rsidR="0074163C" w14:paraId="6B1BE757" w14:textId="77777777" w:rsidTr="00AD4025">
        <w:tc>
          <w:tcPr>
            <w:tcW w:w="5524" w:type="dxa"/>
            <w:tcBorders>
              <w:top w:val="single" w:sz="4" w:space="0" w:color="auto"/>
            </w:tcBorders>
          </w:tcPr>
          <w:p w14:paraId="29A5C12D" w14:textId="15E8A4C1" w:rsidR="0074163C" w:rsidRPr="000351EB" w:rsidRDefault="0074163C" w:rsidP="009E5A87">
            <w:pPr>
              <w:pStyle w:val="Instructions"/>
              <w:rPr>
                <w:iCs/>
              </w:rPr>
            </w:pPr>
            <w:r w:rsidRPr="009A728C">
              <w:rPr>
                <w:i w:val="0"/>
                <w:iCs/>
                <w:color w:val="auto"/>
              </w:rPr>
              <w:t>Designation (Orphan)</w:t>
            </w:r>
            <w:r w:rsidR="00E27532">
              <w:rPr>
                <w:i w:val="0"/>
                <w:iCs/>
                <w:color w:val="auto"/>
              </w:rPr>
              <w:t>;</w:t>
            </w:r>
            <w:r w:rsidR="00E27532">
              <w:rPr>
                <w:rStyle w:val="FootnoteReference"/>
                <w:i w:val="0"/>
                <w:iCs/>
                <w:color w:val="auto"/>
              </w:rPr>
              <w:footnoteReference w:id="13"/>
            </w:r>
          </w:p>
        </w:tc>
        <w:tc>
          <w:tcPr>
            <w:tcW w:w="2970" w:type="dxa"/>
            <w:tcBorders>
              <w:top w:val="single" w:sz="4" w:space="0" w:color="auto"/>
            </w:tcBorders>
          </w:tcPr>
          <w:p w14:paraId="56F0B350" w14:textId="4E1C1483" w:rsidR="0074163C" w:rsidRDefault="009A728C" w:rsidP="009E5A87">
            <w:r>
              <w:t>2 July 2021</w:t>
            </w:r>
          </w:p>
        </w:tc>
      </w:tr>
      <w:tr w:rsidR="0074163C" w14:paraId="0C0982AA" w14:textId="77777777" w:rsidTr="00AD4025">
        <w:tc>
          <w:tcPr>
            <w:tcW w:w="5524" w:type="dxa"/>
            <w:tcBorders>
              <w:top w:val="single" w:sz="4" w:space="0" w:color="auto"/>
            </w:tcBorders>
          </w:tcPr>
          <w:p w14:paraId="2886E84C" w14:textId="7216622A" w:rsidR="0074163C" w:rsidRPr="000351EB" w:rsidRDefault="0074163C" w:rsidP="009E5A87">
            <w:pPr>
              <w:pStyle w:val="Instructions"/>
              <w:rPr>
                <w:iCs/>
              </w:rPr>
            </w:pPr>
            <w:r w:rsidRPr="0072292E">
              <w:rPr>
                <w:i w:val="0"/>
                <w:iCs/>
                <w:color w:val="auto"/>
              </w:rPr>
              <w:t>Determination (Provisional)</w:t>
            </w:r>
            <w:r w:rsidR="00E27532">
              <w:rPr>
                <w:i w:val="0"/>
                <w:iCs/>
                <w:color w:val="auto"/>
              </w:rPr>
              <w:t>;</w:t>
            </w:r>
            <w:r w:rsidR="00E27532">
              <w:rPr>
                <w:rStyle w:val="FootnoteReference"/>
                <w:i w:val="0"/>
                <w:iCs/>
                <w:color w:val="auto"/>
              </w:rPr>
              <w:footnoteReference w:id="14"/>
            </w:r>
          </w:p>
        </w:tc>
        <w:tc>
          <w:tcPr>
            <w:tcW w:w="2970" w:type="dxa"/>
            <w:tcBorders>
              <w:top w:val="single" w:sz="4" w:space="0" w:color="auto"/>
            </w:tcBorders>
          </w:tcPr>
          <w:p w14:paraId="5A8A7078" w14:textId="27B52EB8" w:rsidR="0074163C" w:rsidRDefault="009A728C" w:rsidP="009E5A87">
            <w:r>
              <w:t>2 July 2021</w:t>
            </w:r>
          </w:p>
        </w:tc>
      </w:tr>
      <w:tr w:rsidR="0074163C" w14:paraId="3710F744" w14:textId="77777777" w:rsidTr="00AD4025">
        <w:tc>
          <w:tcPr>
            <w:tcW w:w="5524" w:type="dxa"/>
          </w:tcPr>
          <w:p w14:paraId="63E669C7" w14:textId="77777777" w:rsidR="0074163C" w:rsidRDefault="0074163C" w:rsidP="009E5A87">
            <w:r>
              <w:t>Submission dossier accepted and first round evaluation commenced</w:t>
            </w:r>
          </w:p>
        </w:tc>
        <w:tc>
          <w:tcPr>
            <w:tcW w:w="2970" w:type="dxa"/>
          </w:tcPr>
          <w:p w14:paraId="1974F613" w14:textId="21FA973F" w:rsidR="0074163C" w:rsidRDefault="009A728C" w:rsidP="009E5A87">
            <w:r>
              <w:t>31 August 2021</w:t>
            </w:r>
          </w:p>
        </w:tc>
      </w:tr>
      <w:tr w:rsidR="0074163C" w14:paraId="11D67A60" w14:textId="77777777" w:rsidTr="00AD4025">
        <w:tc>
          <w:tcPr>
            <w:tcW w:w="5524" w:type="dxa"/>
          </w:tcPr>
          <w:p w14:paraId="20EAC6AB" w14:textId="77777777" w:rsidR="0074163C" w:rsidRDefault="0074163C" w:rsidP="009E5A87">
            <w:r>
              <w:t>First round evaluation completed</w:t>
            </w:r>
          </w:p>
        </w:tc>
        <w:tc>
          <w:tcPr>
            <w:tcW w:w="2970" w:type="dxa"/>
          </w:tcPr>
          <w:p w14:paraId="69D4553A" w14:textId="152953E8" w:rsidR="0074163C" w:rsidRDefault="009A728C" w:rsidP="009E5A87">
            <w:r>
              <w:t>31 August 2021</w:t>
            </w:r>
          </w:p>
        </w:tc>
      </w:tr>
      <w:tr w:rsidR="0074163C" w14:paraId="0D3ED670" w14:textId="77777777" w:rsidTr="00AD4025">
        <w:tc>
          <w:tcPr>
            <w:tcW w:w="5524" w:type="dxa"/>
          </w:tcPr>
          <w:p w14:paraId="6C21625B" w14:textId="77777777" w:rsidR="0074163C" w:rsidRDefault="0074163C" w:rsidP="009E5A87">
            <w:r>
              <w:t>Sponsor provides responses on questions raised in first round evaluation</w:t>
            </w:r>
          </w:p>
        </w:tc>
        <w:tc>
          <w:tcPr>
            <w:tcW w:w="2970" w:type="dxa"/>
          </w:tcPr>
          <w:p w14:paraId="57C720B6" w14:textId="6D84A7E5" w:rsidR="0074163C" w:rsidRDefault="009A728C" w:rsidP="009E5A87">
            <w:r>
              <w:t>31 August 2021</w:t>
            </w:r>
          </w:p>
        </w:tc>
      </w:tr>
      <w:tr w:rsidR="0074163C" w14:paraId="2EBB6037" w14:textId="77777777" w:rsidTr="00AD4025">
        <w:tc>
          <w:tcPr>
            <w:tcW w:w="5524" w:type="dxa"/>
          </w:tcPr>
          <w:p w14:paraId="3EB544E1" w14:textId="77777777" w:rsidR="0074163C" w:rsidRDefault="0074163C" w:rsidP="009E5A87">
            <w:r>
              <w:t>Second round evaluation completed</w:t>
            </w:r>
          </w:p>
        </w:tc>
        <w:tc>
          <w:tcPr>
            <w:tcW w:w="2970" w:type="dxa"/>
          </w:tcPr>
          <w:p w14:paraId="4B203C70" w14:textId="3B38E0EB" w:rsidR="0074163C" w:rsidRDefault="009A728C" w:rsidP="009E5A87">
            <w:r>
              <w:t>10 January 2022</w:t>
            </w:r>
          </w:p>
        </w:tc>
      </w:tr>
      <w:tr w:rsidR="0074163C" w14:paraId="25850583" w14:textId="77777777" w:rsidTr="00AD4025">
        <w:tc>
          <w:tcPr>
            <w:tcW w:w="5524" w:type="dxa"/>
          </w:tcPr>
          <w:p w14:paraId="6566FB6A" w14:textId="049717C6" w:rsidR="0074163C" w:rsidRDefault="0074163C" w:rsidP="009E5A87">
            <w:r>
              <w:t xml:space="preserve">Delegate’s Overall benefit-risk assessment </w:t>
            </w:r>
            <w:r w:rsidRPr="009A728C">
              <w:rPr>
                <w:color w:val="auto"/>
              </w:rPr>
              <w:t>and request for Advisory Committee advice</w:t>
            </w:r>
          </w:p>
        </w:tc>
        <w:tc>
          <w:tcPr>
            <w:tcW w:w="2970" w:type="dxa"/>
          </w:tcPr>
          <w:p w14:paraId="3AC7FEC1" w14:textId="0E2EB579" w:rsidR="0074163C" w:rsidRDefault="009A728C" w:rsidP="009E5A87">
            <w:r>
              <w:t>1 November 2021</w:t>
            </w:r>
          </w:p>
        </w:tc>
      </w:tr>
      <w:tr w:rsidR="0074163C" w14:paraId="31962601" w14:textId="77777777" w:rsidTr="00AD4025">
        <w:tc>
          <w:tcPr>
            <w:tcW w:w="5524" w:type="dxa"/>
          </w:tcPr>
          <w:p w14:paraId="7B312C6E" w14:textId="77777777" w:rsidR="0074163C" w:rsidRDefault="0074163C" w:rsidP="009E5A87">
            <w:r>
              <w:t>Sponsor’s pre-Advisory Committee response</w:t>
            </w:r>
          </w:p>
        </w:tc>
        <w:tc>
          <w:tcPr>
            <w:tcW w:w="2970" w:type="dxa"/>
          </w:tcPr>
          <w:p w14:paraId="288280DB" w14:textId="025A141C" w:rsidR="0074163C" w:rsidRDefault="009A728C" w:rsidP="009E5A87">
            <w:r>
              <w:t>15 November 2021</w:t>
            </w:r>
          </w:p>
        </w:tc>
      </w:tr>
      <w:tr w:rsidR="0074163C" w14:paraId="3F9F35FE" w14:textId="77777777" w:rsidTr="00AD4025">
        <w:tc>
          <w:tcPr>
            <w:tcW w:w="5524" w:type="dxa"/>
          </w:tcPr>
          <w:p w14:paraId="683CC309" w14:textId="77777777" w:rsidR="0074163C" w:rsidRDefault="0074163C" w:rsidP="009E5A87">
            <w:r>
              <w:t>Advisory Committee meeting</w:t>
            </w:r>
          </w:p>
        </w:tc>
        <w:tc>
          <w:tcPr>
            <w:tcW w:w="2970" w:type="dxa"/>
          </w:tcPr>
          <w:p w14:paraId="7E1325D4" w14:textId="6BDE8DAE" w:rsidR="0074163C" w:rsidRDefault="009A728C" w:rsidP="009E5A87">
            <w:r>
              <w:t>2 and 3 December 2021</w:t>
            </w:r>
          </w:p>
        </w:tc>
      </w:tr>
      <w:tr w:rsidR="0074163C" w14:paraId="3CE81A16" w14:textId="77777777" w:rsidTr="00AD4025">
        <w:tc>
          <w:tcPr>
            <w:tcW w:w="5524" w:type="dxa"/>
          </w:tcPr>
          <w:p w14:paraId="59E73467" w14:textId="77777777" w:rsidR="0074163C" w:rsidRDefault="0074163C" w:rsidP="009E5A87">
            <w:r>
              <w:t>Registration decision (Outcome)</w:t>
            </w:r>
          </w:p>
        </w:tc>
        <w:tc>
          <w:tcPr>
            <w:tcW w:w="2970" w:type="dxa"/>
          </w:tcPr>
          <w:p w14:paraId="15D2392C" w14:textId="5152CB82" w:rsidR="0074163C" w:rsidRDefault="009A728C" w:rsidP="009E5A87">
            <w:r>
              <w:t>11 January 2022</w:t>
            </w:r>
          </w:p>
        </w:tc>
      </w:tr>
      <w:tr w:rsidR="0074163C" w14:paraId="18469341" w14:textId="77777777" w:rsidTr="00AD4025">
        <w:tc>
          <w:tcPr>
            <w:tcW w:w="5524" w:type="dxa"/>
          </w:tcPr>
          <w:p w14:paraId="2F3D9450" w14:textId="77777777" w:rsidR="0074163C" w:rsidRDefault="0074163C" w:rsidP="009E5A87">
            <w:r>
              <w:t>Completion of administrative activities and registration on the ARTG</w:t>
            </w:r>
          </w:p>
        </w:tc>
        <w:tc>
          <w:tcPr>
            <w:tcW w:w="2970" w:type="dxa"/>
          </w:tcPr>
          <w:p w14:paraId="686F7E20" w14:textId="514BEFBF" w:rsidR="0074163C" w:rsidRDefault="009A728C" w:rsidP="009E5A87">
            <w:r>
              <w:t>17 January 2022</w:t>
            </w:r>
          </w:p>
        </w:tc>
      </w:tr>
      <w:tr w:rsidR="0074163C" w14:paraId="51E1A898" w14:textId="77777777" w:rsidTr="00AD4025">
        <w:tc>
          <w:tcPr>
            <w:tcW w:w="5524" w:type="dxa"/>
          </w:tcPr>
          <w:p w14:paraId="668BE13A" w14:textId="77777777" w:rsidR="0074163C" w:rsidRDefault="0074163C" w:rsidP="009E5A87">
            <w:r>
              <w:t>Number of working days from submission dossier acceptance to registration decision*</w:t>
            </w:r>
          </w:p>
        </w:tc>
        <w:tc>
          <w:tcPr>
            <w:tcW w:w="2970" w:type="dxa"/>
          </w:tcPr>
          <w:p w14:paraId="1F4C6C40" w14:textId="569879F5" w:rsidR="0074163C" w:rsidRDefault="009A728C" w:rsidP="009E5A87">
            <w:r>
              <w:t>88</w:t>
            </w:r>
          </w:p>
        </w:tc>
      </w:tr>
    </w:tbl>
    <w:p w14:paraId="590DA4C9" w14:textId="77777777" w:rsidR="0074163C" w:rsidRDefault="0074163C" w:rsidP="0074163C">
      <w:pPr>
        <w:pStyle w:val="TableDescription"/>
      </w:pPr>
      <w:r>
        <w:t>*</w:t>
      </w:r>
      <w:r w:rsidRPr="006603BC">
        <w:t xml:space="preserve">Statutory timeframe for standard </w:t>
      </w:r>
      <w:r w:rsidR="00BB0B78">
        <w:t>submission</w:t>
      </w:r>
      <w:r w:rsidRPr="006603BC">
        <w:t>s is 255 working days</w:t>
      </w:r>
    </w:p>
    <w:p w14:paraId="72A7A59D" w14:textId="51347A42" w:rsidR="008E7846" w:rsidRPr="00792A32" w:rsidRDefault="00006FAB" w:rsidP="008E7846">
      <w:pPr>
        <w:pStyle w:val="Heading2"/>
      </w:pPr>
      <w:bookmarkStart w:id="33" w:name="_Toc196046504"/>
      <w:bookmarkStart w:id="34" w:name="_Toc247691527"/>
      <w:bookmarkStart w:id="35" w:name="_Toc314842510"/>
      <w:bookmarkStart w:id="36" w:name="_Toc107841979"/>
      <w:bookmarkStart w:id="37" w:name="_Toc163441390"/>
      <w:bookmarkEnd w:id="30"/>
      <w:bookmarkEnd w:id="31"/>
      <w:bookmarkEnd w:id="1"/>
      <w:r w:rsidRPr="00006FAB">
        <w:lastRenderedPageBreak/>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3"/>
      <w:bookmarkEnd w:id="34"/>
      <w:bookmarkEnd w:id="35"/>
      <w:bookmarkEnd w:id="36"/>
    </w:p>
    <w:p w14:paraId="5A5B48B3" w14:textId="77777777" w:rsidR="0074163C" w:rsidRDefault="0074163C" w:rsidP="0074163C">
      <w:bookmarkStart w:id="38" w:name="_Toc247691528"/>
      <w:bookmarkStart w:id="39" w:name="_Toc314842511"/>
      <w:r>
        <w:t>This section is a TGA summary of wording used in TGA’s evaluation report, which discussed numerous aspects of overseas evaluation reports and included some information that was commercial-in-confidence.</w:t>
      </w:r>
    </w:p>
    <w:p w14:paraId="6E3293A9" w14:textId="21ABA70E" w:rsidR="008E7846" w:rsidRDefault="008E7846" w:rsidP="008E7846">
      <w:pPr>
        <w:pStyle w:val="Heading3"/>
      </w:pPr>
      <w:bookmarkStart w:id="40" w:name="_Toc107841980"/>
      <w:r>
        <w:t>Quality</w:t>
      </w:r>
      <w:bookmarkEnd w:id="38"/>
      <w:bookmarkEnd w:id="39"/>
      <w:bookmarkEnd w:id="40"/>
    </w:p>
    <w:p w14:paraId="726F1C96" w14:textId="381A6C01" w:rsidR="00822727" w:rsidRDefault="00822727" w:rsidP="00822727">
      <w:proofErr w:type="spellStart"/>
      <w:r w:rsidRPr="00822727">
        <w:t>Tepotinib</w:t>
      </w:r>
      <w:proofErr w:type="spellEnd"/>
      <w:r w:rsidRPr="00822727">
        <w:t xml:space="preserve"> is reversible type I adenosine triphosphate-competitive, small molecule inhibitor of the MET</w:t>
      </w:r>
      <w:r w:rsidR="00517172">
        <w:t xml:space="preserve"> tyrosine receptor kinase</w:t>
      </w:r>
      <w:r w:rsidRPr="00822727">
        <w:t xml:space="preserve">. The drug substance, </w:t>
      </w:r>
      <w:proofErr w:type="spellStart"/>
      <w:r w:rsidRPr="00822727">
        <w:t>tepotinib</w:t>
      </w:r>
      <w:proofErr w:type="spellEnd"/>
      <w:r w:rsidRPr="00822727">
        <w:t xml:space="preserve"> hydrochloride monohydrate</w:t>
      </w:r>
      <w:r>
        <w:t xml:space="preserve"> is shown in </w:t>
      </w:r>
      <w:r>
        <w:fldChar w:fldCharType="begin"/>
      </w:r>
      <w:r>
        <w:instrText xml:space="preserve"> REF _Ref106884869 \h </w:instrText>
      </w:r>
      <w:r>
        <w:fldChar w:fldCharType="separate"/>
      </w:r>
      <w:r w:rsidR="006F6B07" w:rsidRPr="00822727">
        <w:t xml:space="preserve">Figure </w:t>
      </w:r>
      <w:r w:rsidR="006F6B07">
        <w:rPr>
          <w:noProof/>
        </w:rPr>
        <w:t>1</w:t>
      </w:r>
      <w:r>
        <w:fldChar w:fldCharType="end"/>
      </w:r>
      <w:r>
        <w:t xml:space="preserve">. </w:t>
      </w:r>
      <w:r w:rsidRPr="005A11CE">
        <w:t>The drug substance exhibits good stability and the data submitted supports a retest period of 30 months when stored below 25</w:t>
      </w:r>
      <w:r w:rsidR="001A5027">
        <w:t xml:space="preserve"> degree</w:t>
      </w:r>
      <w:r w:rsidR="00517172">
        <w:t xml:space="preserve">s </w:t>
      </w:r>
      <w:proofErr w:type="spellStart"/>
      <w:r w:rsidR="00517172">
        <w:t>celsius</w:t>
      </w:r>
      <w:proofErr w:type="spellEnd"/>
      <w:r w:rsidRPr="005A11CE">
        <w:t>.</w:t>
      </w:r>
    </w:p>
    <w:p w14:paraId="56A1C5D0" w14:textId="592FED8E" w:rsidR="00822727" w:rsidRDefault="00822727" w:rsidP="001A5027">
      <w:pPr>
        <w:pStyle w:val="FigureTitle"/>
      </w:pPr>
      <w:bookmarkStart w:id="41" w:name="_Ref106884869"/>
      <w:r w:rsidRPr="00822727">
        <w:t xml:space="preserve">Figure </w:t>
      </w:r>
      <w:r>
        <w:fldChar w:fldCharType="begin"/>
      </w:r>
      <w:r>
        <w:instrText>SEQ Figure \* ARABIC</w:instrText>
      </w:r>
      <w:r>
        <w:fldChar w:fldCharType="separate"/>
      </w:r>
      <w:r w:rsidR="006F6B07">
        <w:rPr>
          <w:noProof/>
        </w:rPr>
        <w:t>1</w:t>
      </w:r>
      <w:r>
        <w:fldChar w:fldCharType="end"/>
      </w:r>
      <w:bookmarkEnd w:id="41"/>
      <w:r>
        <w:t xml:space="preserve">: Chemical structure of </w:t>
      </w:r>
      <w:proofErr w:type="spellStart"/>
      <w:r>
        <w:t>tepotinib</w:t>
      </w:r>
      <w:proofErr w:type="spellEnd"/>
      <w:r>
        <w:t xml:space="preserve"> hydrochloride monohydrate</w:t>
      </w:r>
    </w:p>
    <w:p w14:paraId="4A2768A9" w14:textId="77777777" w:rsidR="00822727" w:rsidRDefault="00822727" w:rsidP="00822727">
      <w:r>
        <w:rPr>
          <w:noProof/>
          <w:lang w:val="en-GB" w:eastAsia="en-GB"/>
        </w:rPr>
        <w:drawing>
          <wp:inline distT="0" distB="0" distL="0" distR="0" wp14:anchorId="748D1D3A" wp14:editId="7DDF0077">
            <wp:extent cx="2606149" cy="815139"/>
            <wp:effectExtent l="0" t="0" r="3810" b="4445"/>
            <wp:docPr id="2" name="Picture 2" descr="Chemical structure of tepotinib hydrochloride mono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emical structure of tepotinib hydrochloride monohydrate"/>
                    <pic:cNvPicPr/>
                  </pic:nvPicPr>
                  <pic:blipFill>
                    <a:blip r:embed="rId22"/>
                    <a:stretch>
                      <a:fillRect/>
                    </a:stretch>
                  </pic:blipFill>
                  <pic:spPr>
                    <a:xfrm>
                      <a:off x="0" y="0"/>
                      <a:ext cx="2659314" cy="831768"/>
                    </a:xfrm>
                    <a:prstGeom prst="rect">
                      <a:avLst/>
                    </a:prstGeom>
                  </pic:spPr>
                </pic:pic>
              </a:graphicData>
            </a:graphic>
          </wp:inline>
        </w:drawing>
      </w:r>
    </w:p>
    <w:p w14:paraId="6839C5FA" w14:textId="77777777" w:rsidR="00822727" w:rsidRPr="005A11CE" w:rsidRDefault="00822727" w:rsidP="00822727">
      <w:r w:rsidRPr="005A11CE">
        <w:t>The drug product is a white-pink, oval, biconvex film-coated tablet, with ‘M’ embossed on one side and plain on the other side.</w:t>
      </w:r>
      <w:r>
        <w:t xml:space="preserve"> </w:t>
      </w:r>
      <w:r w:rsidRPr="005A11CE">
        <w:t xml:space="preserve">Each tablet contains 250 mg of </w:t>
      </w:r>
      <w:proofErr w:type="spellStart"/>
      <w:r w:rsidRPr="005A11CE">
        <w:t>tepotinib</w:t>
      </w:r>
      <w:proofErr w:type="spellEnd"/>
      <w:r w:rsidRPr="005A11CE">
        <w:t xml:space="preserve"> hydrochloride monohydrate equivalent to 225 </w:t>
      </w:r>
      <w:r>
        <w:t xml:space="preserve">mg </w:t>
      </w:r>
      <w:r w:rsidRPr="005A11CE">
        <w:t xml:space="preserve">of </w:t>
      </w:r>
      <w:proofErr w:type="spellStart"/>
      <w:r w:rsidRPr="005A11CE">
        <w:t>tepotinib</w:t>
      </w:r>
      <w:proofErr w:type="spellEnd"/>
      <w:r>
        <w:t>. The tablet is</w:t>
      </w:r>
      <w:r w:rsidRPr="005A11CE">
        <w:t xml:space="preserve"> packaged in blister packs and are supplied in cartons of 60 table</w:t>
      </w:r>
      <w:r>
        <w:t xml:space="preserve">ts. </w:t>
      </w:r>
    </w:p>
    <w:p w14:paraId="0B6CF226" w14:textId="49DE4B8F" w:rsidR="00822727" w:rsidRPr="005A11CE" w:rsidRDefault="00822727" w:rsidP="00822727">
      <w:r w:rsidRPr="005A11CE">
        <w:t>The tablets are conventionally formulated.</w:t>
      </w:r>
      <w:r>
        <w:t xml:space="preserve"> </w:t>
      </w:r>
      <w:r w:rsidRPr="005A11CE">
        <w:t>The critical</w:t>
      </w:r>
      <w:r>
        <w:t xml:space="preserve"> manufacturing</w:t>
      </w:r>
      <w:r w:rsidRPr="005A11CE">
        <w:t xml:space="preserve"> steps are adequately controlled</w:t>
      </w:r>
      <w:r w:rsidR="00AA19B4">
        <w:t>.</w:t>
      </w:r>
    </w:p>
    <w:p w14:paraId="6D92459D" w14:textId="003A9211" w:rsidR="00822727" w:rsidRPr="005A11CE" w:rsidRDefault="00822727" w:rsidP="00822727">
      <w:r w:rsidRPr="005A11CE">
        <w:t xml:space="preserve">The drug product specification adequately controls the quality of the </w:t>
      </w:r>
      <w:r>
        <w:t xml:space="preserve">drug </w:t>
      </w:r>
      <w:r w:rsidRPr="005A11CE">
        <w:t>product.</w:t>
      </w:r>
      <w:r>
        <w:t xml:space="preserve"> </w:t>
      </w:r>
      <w:r w:rsidRPr="005A11CE">
        <w:t xml:space="preserve">Degradation products are controlled </w:t>
      </w:r>
      <w:r w:rsidRPr="00204AEA">
        <w:t xml:space="preserve">to </w:t>
      </w:r>
      <w:r w:rsidR="00204AEA" w:rsidRPr="00204AEA">
        <w:t>International Council for Harmonisation of Technical Requirements for Pharmaceuticals for Human Use</w:t>
      </w:r>
      <w:r w:rsidR="00204AEA">
        <w:t xml:space="preserve"> (</w:t>
      </w:r>
      <w:r w:rsidRPr="00204AEA">
        <w:t>ICH</w:t>
      </w:r>
      <w:r w:rsidR="00204AEA">
        <w:t>)</w:t>
      </w:r>
      <w:r w:rsidRPr="00204AEA">
        <w:t xml:space="preserve"> Q3B limits</w:t>
      </w:r>
      <w:r w:rsidRPr="005A11CE">
        <w:t>.</w:t>
      </w:r>
      <w:r w:rsidR="00204AEA">
        <w:rPr>
          <w:rStyle w:val="FootnoteReference"/>
        </w:rPr>
        <w:footnoteReference w:id="15"/>
      </w:r>
      <w:r>
        <w:t xml:space="preserve"> </w:t>
      </w:r>
      <w:r w:rsidRPr="005A11CE">
        <w:t>Dissolution limits are based on the dissolution profiles of clinical batches.</w:t>
      </w:r>
    </w:p>
    <w:p w14:paraId="3881D79F" w14:textId="79C11B20" w:rsidR="00822727" w:rsidRDefault="00822727" w:rsidP="00822727">
      <w:r w:rsidRPr="005A11CE">
        <w:t>The stability data supports a shelf-life of 30 months when stored below 30</w:t>
      </w:r>
      <w:r w:rsidR="00204AEA">
        <w:t xml:space="preserve"> degree</w:t>
      </w:r>
      <w:r w:rsidRPr="005A11CE">
        <w:t>; no additional storage conditions are required.</w:t>
      </w:r>
    </w:p>
    <w:p w14:paraId="0737C7DF" w14:textId="0A29FBDE" w:rsidR="00822727" w:rsidRDefault="00822727" w:rsidP="00822727">
      <w:r>
        <w:t>There are no outstanding issues with respect to chemistry, quality control and/or bio</w:t>
      </w:r>
      <w:r w:rsidR="00204AEA">
        <w:noBreakHyphen/>
      </w:r>
      <w:r>
        <w:t xml:space="preserve">pharmaceutic aspects of the submission. </w:t>
      </w:r>
      <w:r w:rsidRPr="005A11CE">
        <w:t>Registration is recommended with respect to chemistry, quality control and biopharmaceutic aspects</w:t>
      </w:r>
      <w:r>
        <w:t>.</w:t>
      </w:r>
    </w:p>
    <w:p w14:paraId="76B74D58" w14:textId="2C5235BD" w:rsidR="008E7846" w:rsidRDefault="008E7846" w:rsidP="008E7846">
      <w:pPr>
        <w:pStyle w:val="Heading3"/>
      </w:pPr>
      <w:bookmarkStart w:id="42" w:name="_Toc314842512"/>
      <w:bookmarkStart w:id="43" w:name="_Toc107841981"/>
      <w:r>
        <w:t>Nonclinical</w:t>
      </w:r>
      <w:bookmarkEnd w:id="42"/>
      <w:bookmarkEnd w:id="43"/>
    </w:p>
    <w:p w14:paraId="65BF10A8" w14:textId="70C2083A" w:rsidR="00822727" w:rsidRDefault="00822727" w:rsidP="00822727">
      <w:r w:rsidRPr="00E30A39">
        <w:t xml:space="preserve">The primary pharmacology studies </w:t>
      </w:r>
      <w:r>
        <w:t>support the proposed indications</w:t>
      </w:r>
      <w:r w:rsidRPr="00E30A39">
        <w:t>.</w:t>
      </w:r>
      <w:r>
        <w:t xml:space="preserve"> </w:t>
      </w:r>
      <w:r w:rsidRPr="00822727">
        <w:t>The scope of the nonclinical program was generally consistent with the relevant TGA</w:t>
      </w:r>
      <w:r w:rsidR="00743BF9">
        <w:t xml:space="preserve"> </w:t>
      </w:r>
      <w:r w:rsidRPr="00822727">
        <w:t>adopted guideline on the nonclinical evaluation of anticancer pharmaceuticals.</w:t>
      </w:r>
      <w:r w:rsidR="00204AEA">
        <w:rPr>
          <w:rStyle w:val="FootnoteReference"/>
        </w:rPr>
        <w:footnoteReference w:id="16"/>
      </w:r>
      <w:r w:rsidRPr="00822727">
        <w:t xml:space="preserve"> All pivotal safety</w:t>
      </w:r>
      <w:r w:rsidR="00743BF9">
        <w:t xml:space="preserve"> </w:t>
      </w:r>
      <w:r w:rsidRPr="00822727">
        <w:t xml:space="preserve">related studies were </w:t>
      </w:r>
      <w:r w:rsidR="00743BF9" w:rsidRPr="00743BF9">
        <w:t>Good Laboratory Practice</w:t>
      </w:r>
      <w:r w:rsidR="00517172">
        <w:t>s</w:t>
      </w:r>
      <w:r w:rsidRPr="00822727">
        <w:t xml:space="preserve"> </w:t>
      </w:r>
      <w:r w:rsidR="00517172">
        <w:t xml:space="preserve">(GLP) </w:t>
      </w:r>
      <w:r w:rsidRPr="00822727">
        <w:t>compliant.</w:t>
      </w:r>
    </w:p>
    <w:p w14:paraId="6DEED85E" w14:textId="7AC3360D" w:rsidR="00822727" w:rsidRPr="006034FD" w:rsidRDefault="00822727" w:rsidP="00822727">
      <w:r w:rsidRPr="00687E4B">
        <w:t>Target organs of toxicity include hepatobiliary system</w:t>
      </w:r>
      <w:r>
        <w:t xml:space="preserve"> and</w:t>
      </w:r>
      <w:r w:rsidRPr="00687E4B">
        <w:t xml:space="preserve"> gastrointestinal tracts, and to a lesser extent, lungs, adrenal gland, </w:t>
      </w:r>
      <w:proofErr w:type="gramStart"/>
      <w:r w:rsidRPr="00687E4B">
        <w:t>thyroid</w:t>
      </w:r>
      <w:proofErr w:type="gramEnd"/>
      <w:r w:rsidRPr="00687E4B">
        <w:t xml:space="preserve"> and lymphoid system. </w:t>
      </w:r>
      <w:r w:rsidRPr="00687E4B">
        <w:rPr>
          <w:kern w:val="2"/>
          <w:szCs w:val="20"/>
        </w:rPr>
        <w:t>Oedema reported in patients in clinical trials was not observed in any toxicity studies.</w:t>
      </w:r>
    </w:p>
    <w:p w14:paraId="7EEF7818" w14:textId="0F77618B" w:rsidR="00822727" w:rsidRPr="00E30A39" w:rsidRDefault="00822727" w:rsidP="00822727">
      <w:r>
        <w:rPr>
          <w:kern w:val="2"/>
        </w:rPr>
        <w:t xml:space="preserve">The selection of highest dose in the </w:t>
      </w:r>
      <w:proofErr w:type="gramStart"/>
      <w:r>
        <w:rPr>
          <w:kern w:val="2"/>
        </w:rPr>
        <w:t>26</w:t>
      </w:r>
      <w:r w:rsidR="00743BF9">
        <w:rPr>
          <w:kern w:val="2"/>
        </w:rPr>
        <w:t xml:space="preserve"> </w:t>
      </w:r>
      <w:r>
        <w:rPr>
          <w:kern w:val="2"/>
        </w:rPr>
        <w:t>week</w:t>
      </w:r>
      <w:proofErr w:type="gramEnd"/>
      <w:r>
        <w:rPr>
          <w:kern w:val="2"/>
        </w:rPr>
        <w:t xml:space="preserve"> rat study was not adequate, given the relatively mild toxicity findings and low plasma drug concentrations in the study</w:t>
      </w:r>
      <w:r w:rsidRPr="00E30A39">
        <w:rPr>
          <w:kern w:val="2"/>
        </w:rPr>
        <w:t>.</w:t>
      </w:r>
    </w:p>
    <w:p w14:paraId="43DF2AED" w14:textId="23BE4135" w:rsidR="00822727" w:rsidRDefault="00822727" w:rsidP="00822727">
      <w:pPr>
        <w:rPr>
          <w:kern w:val="2"/>
        </w:rPr>
      </w:pPr>
      <w:proofErr w:type="spellStart"/>
      <w:r>
        <w:rPr>
          <w:kern w:val="2"/>
        </w:rPr>
        <w:lastRenderedPageBreak/>
        <w:t>Tepotinib</w:t>
      </w:r>
      <w:proofErr w:type="spellEnd"/>
      <w:r>
        <w:rPr>
          <w:kern w:val="2"/>
        </w:rPr>
        <w:t xml:space="preserve"> is teratogenic in rabbits. Pregnancy category D is recommended.</w:t>
      </w:r>
      <w:r w:rsidR="00743BF9">
        <w:rPr>
          <w:rStyle w:val="FootnoteReference"/>
          <w:kern w:val="2"/>
        </w:rPr>
        <w:footnoteReference w:id="17"/>
      </w:r>
    </w:p>
    <w:p w14:paraId="6DC51B39" w14:textId="56C0F10E" w:rsidR="00822727" w:rsidRPr="00997E7B" w:rsidRDefault="00822727" w:rsidP="0074163C">
      <w:pPr>
        <w:rPr>
          <w:kern w:val="2"/>
        </w:rPr>
      </w:pPr>
      <w:r w:rsidRPr="00137736">
        <w:rPr>
          <w:kern w:val="2"/>
        </w:rPr>
        <w:t>The application is approvable only if safety has been adequately demonstrated in clinical studies.</w:t>
      </w:r>
    </w:p>
    <w:p w14:paraId="6405B9E6" w14:textId="68E44EA0" w:rsidR="008E7846" w:rsidRDefault="008E7846" w:rsidP="008E7846">
      <w:pPr>
        <w:pStyle w:val="Heading3"/>
      </w:pPr>
      <w:bookmarkStart w:id="44" w:name="_Toc247691530"/>
      <w:bookmarkStart w:id="45" w:name="_Toc314842513"/>
      <w:bookmarkStart w:id="46" w:name="_Toc107841982"/>
      <w:r>
        <w:t>Clinical</w:t>
      </w:r>
      <w:bookmarkEnd w:id="44"/>
      <w:bookmarkEnd w:id="45"/>
      <w:bookmarkEnd w:id="46"/>
    </w:p>
    <w:p w14:paraId="46ABC19B" w14:textId="54068B8C" w:rsidR="00491DB5" w:rsidRPr="00491DB5" w:rsidRDefault="00491DB5" w:rsidP="00151BFF">
      <w:r>
        <w:t xml:space="preserve">This application has been submitted for review under Project Orbis. The FDA evaluation report has been reviewed as part of this submission. </w:t>
      </w:r>
    </w:p>
    <w:p w14:paraId="32D1EA06" w14:textId="00B57824" w:rsidR="00997E7B" w:rsidRDefault="00997E7B" w:rsidP="00997E7B">
      <w:pPr>
        <w:pStyle w:val="Heading4"/>
      </w:pPr>
      <w:bookmarkStart w:id="47" w:name="_Toc314842514"/>
      <w:r>
        <w:t>Pharmacology</w:t>
      </w:r>
      <w:r w:rsidR="00CF1281">
        <w:fldChar w:fldCharType="begin"/>
      </w:r>
      <w:r w:rsidR="00CF1281">
        <w:instrText>DOCVARIABLE vault_nd_9f2059bf-ed9d-4789-ac89-a6d03ac78f98 \* MERGEFORMAT</w:instrText>
      </w:r>
      <w:r w:rsidR="00CF1281">
        <w:fldChar w:fldCharType="separate"/>
      </w:r>
      <w:r w:rsidR="006F6B07">
        <w:t xml:space="preserve"> </w:t>
      </w:r>
      <w:r w:rsidR="00CF1281">
        <w:fldChar w:fldCharType="end"/>
      </w:r>
    </w:p>
    <w:p w14:paraId="712A5F75" w14:textId="02D3D1E7" w:rsidR="00997E7B" w:rsidRPr="00F00A58" w:rsidRDefault="00997E7B" w:rsidP="00F00A58">
      <w:r>
        <w:t xml:space="preserve">The proposed </w:t>
      </w:r>
      <w:proofErr w:type="spellStart"/>
      <w:r>
        <w:t>tepotinib</w:t>
      </w:r>
      <w:proofErr w:type="spellEnd"/>
      <w:r>
        <w:t xml:space="preserve"> dosing regimen is 500</w:t>
      </w:r>
      <w:r w:rsidR="00743BF9">
        <w:t> </w:t>
      </w:r>
      <w:r>
        <w:t xml:space="preserve">mg </w:t>
      </w:r>
      <w:proofErr w:type="spellStart"/>
      <w:r>
        <w:t>tepotinib</w:t>
      </w:r>
      <w:proofErr w:type="spellEnd"/>
      <w:r>
        <w:t xml:space="preserve"> hydrochloride hydrate (equivalent to 450</w:t>
      </w:r>
      <w:r w:rsidR="00F00A58">
        <w:t> </w:t>
      </w:r>
      <w:r>
        <w:t xml:space="preserve">mg </w:t>
      </w:r>
      <w:proofErr w:type="spellStart"/>
      <w:r>
        <w:t>tepotinib</w:t>
      </w:r>
      <w:proofErr w:type="spellEnd"/>
      <w:r>
        <w:t xml:space="preserve"> </w:t>
      </w:r>
      <w:r w:rsidR="00517172">
        <w:t>freebase</w:t>
      </w:r>
      <w:r>
        <w:t>) orally once daily with food.</w:t>
      </w:r>
    </w:p>
    <w:p w14:paraId="019D0BA3" w14:textId="09F9F9DA" w:rsidR="00997E7B" w:rsidRDefault="00997E7B" w:rsidP="00997E7B">
      <w:r>
        <w:t xml:space="preserve">The proposed dosing regimen was initially selected based on results from dose finding study where the </w:t>
      </w:r>
      <w:r w:rsidR="00F00A58">
        <w:t>maximum tolerated dose</w:t>
      </w:r>
      <w:r>
        <w:t xml:space="preserve"> was not reached up to a dosage of 1400</w:t>
      </w:r>
      <w:r w:rsidR="00F00A58">
        <w:t> </w:t>
      </w:r>
      <w:r>
        <w:t xml:space="preserve">mg daily, with </w:t>
      </w:r>
      <w:r w:rsidR="00F00A58">
        <w:t>d</w:t>
      </w:r>
      <w:r w:rsidR="00F00A58" w:rsidRPr="00F00A58">
        <w:t>ose</w:t>
      </w:r>
      <w:r w:rsidR="00F00A58">
        <w:t xml:space="preserve"> </w:t>
      </w:r>
      <w:r w:rsidR="00F00A58" w:rsidRPr="00F00A58">
        <w:t>limiting toxicities</w:t>
      </w:r>
      <w:r>
        <w:t xml:space="preserve"> observed at dose levels of 1000</w:t>
      </w:r>
      <w:r w:rsidR="00F00A58">
        <w:t> </w:t>
      </w:r>
      <w:r>
        <w:t>mg and 1400</w:t>
      </w:r>
      <w:r w:rsidR="00F00A58">
        <w:t> </w:t>
      </w:r>
      <w:r>
        <w:t xml:space="preserve">mg and no </w:t>
      </w:r>
      <w:r w:rsidR="00743BF9">
        <w:t>d</w:t>
      </w:r>
      <w:r w:rsidR="00743BF9" w:rsidRPr="00F00A58">
        <w:t>ose</w:t>
      </w:r>
      <w:r w:rsidR="00743BF9">
        <w:t xml:space="preserve"> </w:t>
      </w:r>
      <w:r w:rsidR="00743BF9" w:rsidRPr="00F00A58">
        <w:t>limiting toxicities</w:t>
      </w:r>
      <w:r>
        <w:t xml:space="preserve"> at 500</w:t>
      </w:r>
      <w:r w:rsidR="00F00A58">
        <w:t> </w:t>
      </w:r>
      <w:r>
        <w:t>mg daily. Selection of 500</w:t>
      </w:r>
      <w:r w:rsidR="00F00A58">
        <w:t> </w:t>
      </w:r>
      <w:r>
        <w:t>mg daily was further evaluated in additional dose selection studies, which showed an acceptable safety profile and numerically better preliminary efficacy compared to a lower dosage of 300</w:t>
      </w:r>
      <w:r w:rsidR="00F00A58">
        <w:t> </w:t>
      </w:r>
      <w:r>
        <w:t xml:space="preserve">mg daily. In the VISION </w:t>
      </w:r>
      <w:r w:rsidR="00F00A58">
        <w:t>trial</w:t>
      </w:r>
      <w:r>
        <w:t>, no apparent exposure-response</w:t>
      </w:r>
      <w:r w:rsidR="00F00A58">
        <w:t xml:space="preserve"> </w:t>
      </w:r>
      <w:r>
        <w:t>relationship was observed for safety or efficacy endpoints at a dosage of 500</w:t>
      </w:r>
      <w:r w:rsidR="00F00A58">
        <w:t> </w:t>
      </w:r>
      <w:r>
        <w:t>mg daily.</w:t>
      </w:r>
    </w:p>
    <w:p w14:paraId="00D410B6" w14:textId="609814AE" w:rsidR="00997E7B" w:rsidRDefault="00F00A58" w:rsidP="00997E7B">
      <w:r>
        <w:t>Pharmacokinetic (</w:t>
      </w:r>
      <w:r w:rsidR="00997E7B">
        <w:t>PK</w:t>
      </w:r>
      <w:r>
        <w:t>)</w:t>
      </w:r>
      <w:r w:rsidR="00997E7B">
        <w:t>/</w:t>
      </w:r>
      <w:r>
        <w:t>pharmacodynamic (</w:t>
      </w:r>
      <w:r w:rsidR="00997E7B">
        <w:t>PD</w:t>
      </w:r>
      <w:r>
        <w:t>)</w:t>
      </w:r>
      <w:r w:rsidR="00997E7B">
        <w:t xml:space="preserve"> modelling and simulation suggested that a dose of 500</w:t>
      </w:r>
      <w:r>
        <w:t> </w:t>
      </w:r>
      <w:r w:rsidR="00997E7B">
        <w:t xml:space="preserve">mg once daily was sufficient to achieve sustained inhibition of phospho-MET at a level </w:t>
      </w:r>
      <w:r>
        <w:t xml:space="preserve">greater than </w:t>
      </w:r>
      <w:r w:rsidR="00997E7B">
        <w:t xml:space="preserve">95% in </w:t>
      </w:r>
      <w:r>
        <w:t xml:space="preserve">more than </w:t>
      </w:r>
      <w:r w:rsidR="00997E7B">
        <w:t>90% of patients with mixed solid tumours.</w:t>
      </w:r>
    </w:p>
    <w:p w14:paraId="0AD36D37" w14:textId="03217703" w:rsidR="00997E7B" w:rsidRDefault="00997E7B" w:rsidP="00997E7B">
      <w:proofErr w:type="spellStart"/>
      <w:r>
        <w:t>Tepotinib</w:t>
      </w:r>
      <w:proofErr w:type="spellEnd"/>
      <w:r>
        <w:t xml:space="preserve"> was administered immediately after breakfast in VISION</w:t>
      </w:r>
      <w:r w:rsidR="00F00A58">
        <w:t xml:space="preserve"> trial</w:t>
      </w:r>
      <w:r>
        <w:t>. In the food effect study, a high</w:t>
      </w:r>
      <w:r w:rsidR="00743BF9">
        <w:t xml:space="preserve"> </w:t>
      </w:r>
      <w:r>
        <w:t>fat, high</w:t>
      </w:r>
      <w:r w:rsidR="00743BF9">
        <w:t xml:space="preserve"> </w:t>
      </w:r>
      <w:r>
        <w:t xml:space="preserve">calorie meal increased the mean </w:t>
      </w:r>
      <w:proofErr w:type="spellStart"/>
      <w:r>
        <w:t>tepotinib</w:t>
      </w:r>
      <w:proofErr w:type="spellEnd"/>
      <w:r>
        <w:t xml:space="preserve"> </w:t>
      </w:r>
      <w:r w:rsidR="00F00A58">
        <w:rPr>
          <w:rFonts w:cs="Calibri"/>
          <w:color w:val="000000"/>
        </w:rPr>
        <w:t>area under the concentration time curve from time zero to infinity (</w:t>
      </w:r>
      <w:r>
        <w:t>AUC</w:t>
      </w:r>
      <w:r>
        <w:rPr>
          <w:vertAlign w:val="subscript"/>
        </w:rPr>
        <w:t>0-</w:t>
      </w:r>
      <w:r w:rsidR="00743BF9">
        <w:rPr>
          <w:vertAlign w:val="subscript"/>
        </w:rPr>
        <w:t>inf</w:t>
      </w:r>
      <w:r w:rsidR="00F00A58">
        <w:t xml:space="preserve">) </w:t>
      </w:r>
      <w:r>
        <w:t xml:space="preserve">by 1.6-fold and </w:t>
      </w:r>
      <w:r w:rsidR="00F00A58">
        <w:rPr>
          <w:rFonts w:cs="Calibri"/>
          <w:color w:val="000000"/>
        </w:rPr>
        <w:t>maximum plasma concentration</w:t>
      </w:r>
      <w:r w:rsidR="00F00A58">
        <w:t xml:space="preserve"> (</w:t>
      </w:r>
      <w:proofErr w:type="spellStart"/>
      <w:r>
        <w:t>C</w:t>
      </w:r>
      <w:r>
        <w:rPr>
          <w:vertAlign w:val="subscript"/>
        </w:rPr>
        <w:t>max</w:t>
      </w:r>
      <w:proofErr w:type="spellEnd"/>
      <w:r w:rsidR="00F00A58">
        <w:t xml:space="preserve">) </w:t>
      </w:r>
      <w:r>
        <w:t xml:space="preserve">by 2-fold and shifted the median </w:t>
      </w:r>
      <w:r w:rsidR="00F00A58">
        <w:rPr>
          <w:rFonts w:cs="Calibri"/>
          <w:color w:val="000000"/>
        </w:rPr>
        <w:t xml:space="preserve">time </w:t>
      </w:r>
      <w:r w:rsidR="00517172">
        <w:rPr>
          <w:rFonts w:cs="Calibri"/>
          <w:color w:val="000000"/>
        </w:rPr>
        <w:t xml:space="preserve">of </w:t>
      </w:r>
      <w:r w:rsidR="00F00A58">
        <w:rPr>
          <w:rFonts w:cs="Calibri"/>
          <w:color w:val="000000"/>
        </w:rPr>
        <w:t xml:space="preserve">maximum plasma concentration </w:t>
      </w:r>
      <w:r w:rsidR="00F00A58">
        <w:t>(</w:t>
      </w:r>
      <w:proofErr w:type="spellStart"/>
      <w:r>
        <w:t>T</w:t>
      </w:r>
      <w:r>
        <w:rPr>
          <w:vertAlign w:val="subscript"/>
        </w:rPr>
        <w:t>max</w:t>
      </w:r>
      <w:proofErr w:type="spellEnd"/>
      <w:r w:rsidR="00F00A58">
        <w:t xml:space="preserve">) </w:t>
      </w:r>
      <w:r>
        <w:t>from 12 hours to 8</w:t>
      </w:r>
      <w:r w:rsidR="00F00A58">
        <w:t> </w:t>
      </w:r>
      <w:r>
        <w:t xml:space="preserve">hours. The potential decreased exposure when </w:t>
      </w:r>
      <w:proofErr w:type="spellStart"/>
      <w:r>
        <w:t>tepotinib</w:t>
      </w:r>
      <w:proofErr w:type="spellEnd"/>
      <w:r>
        <w:t xml:space="preserve"> is taken without food may compromise anti-tumour activity.</w:t>
      </w:r>
    </w:p>
    <w:p w14:paraId="6C119EAF" w14:textId="3254D25F" w:rsidR="00997E7B" w:rsidRDefault="00F00A58" w:rsidP="00F00A58">
      <w:pPr>
        <w:pStyle w:val="Heading5"/>
      </w:pPr>
      <w:r>
        <w:t>Pharmacokinetics</w:t>
      </w:r>
      <w:r w:rsidR="00CF1281">
        <w:fldChar w:fldCharType="begin"/>
      </w:r>
      <w:r w:rsidR="00CF1281">
        <w:instrText>DOCVARIABLE vault_nd_7d34ec84-831d-4fef-8b6b-e2b4d14dddf8 \* MERGEFORMAT</w:instrText>
      </w:r>
      <w:r w:rsidR="00CF1281">
        <w:fldChar w:fldCharType="separate"/>
      </w:r>
      <w:r w:rsidR="006F6B07">
        <w:t xml:space="preserve"> </w:t>
      </w:r>
      <w:r w:rsidR="00CF1281">
        <w:fldChar w:fldCharType="end"/>
      </w:r>
    </w:p>
    <w:p w14:paraId="7B019941" w14:textId="0FBE7EAE" w:rsidR="00997E7B" w:rsidRDefault="00997E7B" w:rsidP="00997E7B">
      <w:proofErr w:type="spellStart"/>
      <w:r>
        <w:t>Tepotinib</w:t>
      </w:r>
      <w:proofErr w:type="spellEnd"/>
      <w:r>
        <w:t xml:space="preserve"> exposure (</w:t>
      </w:r>
      <w:r w:rsidR="00535812">
        <w:t xml:space="preserve">as </w:t>
      </w:r>
      <w:r w:rsidR="003A3078">
        <w:t xml:space="preserve">area under </w:t>
      </w:r>
      <w:r w:rsidR="003A3078">
        <w:rPr>
          <w:rFonts w:cs="Calibri"/>
          <w:color w:val="000000"/>
        </w:rPr>
        <w:t>concentration time curve</w:t>
      </w:r>
      <w:r w:rsidR="00535812">
        <w:rPr>
          <w:rFonts w:cs="Calibri"/>
          <w:color w:val="000000"/>
        </w:rPr>
        <w:t xml:space="preserve"> (AUC)</w:t>
      </w:r>
      <w:r w:rsidR="00535812">
        <w:t xml:space="preserve">, </w:t>
      </w:r>
      <w:proofErr w:type="spellStart"/>
      <w:r>
        <w:t>C</w:t>
      </w:r>
      <w:r w:rsidRPr="00F00A58">
        <w:rPr>
          <w:vertAlign w:val="subscript"/>
        </w:rPr>
        <w:t>max</w:t>
      </w:r>
      <w:proofErr w:type="spellEnd"/>
      <w:r>
        <w:t>) increased proportionately in the range of 27</w:t>
      </w:r>
      <w:r w:rsidR="00F00A58">
        <w:t> </w:t>
      </w:r>
      <w:r>
        <w:t>mg to 450</w:t>
      </w:r>
      <w:r w:rsidR="00F00A58">
        <w:t> </w:t>
      </w:r>
      <w:r>
        <w:t>mg.</w:t>
      </w:r>
    </w:p>
    <w:p w14:paraId="07615238" w14:textId="77777777" w:rsidR="00997E7B" w:rsidRDefault="00997E7B" w:rsidP="00997E7B">
      <w:r>
        <w:t xml:space="preserve">Median </w:t>
      </w:r>
      <w:proofErr w:type="spellStart"/>
      <w:r>
        <w:t>T</w:t>
      </w:r>
      <w:r w:rsidRPr="00F00A58">
        <w:rPr>
          <w:vertAlign w:val="subscript"/>
        </w:rPr>
        <w:t>max</w:t>
      </w:r>
      <w:proofErr w:type="spellEnd"/>
      <w:r w:rsidRPr="00F00A58">
        <w:rPr>
          <w:vertAlign w:val="subscript"/>
        </w:rPr>
        <w:t xml:space="preserve"> </w:t>
      </w:r>
      <w:r>
        <w:t>was 8 hours (range: 6 to 12 hours).</w:t>
      </w:r>
    </w:p>
    <w:p w14:paraId="3B9BEEB5" w14:textId="3CEA3116" w:rsidR="00997E7B" w:rsidRDefault="00997E7B" w:rsidP="00997E7B">
      <w:r>
        <w:t>Absolute bioavailability in the fed state in healthy people was 72% (</w:t>
      </w:r>
      <w:r w:rsidR="003A3078" w:rsidRPr="003A3078">
        <w:t xml:space="preserve">coefficient of variation </w:t>
      </w:r>
      <w:r w:rsidR="00517172">
        <w:t>(</w:t>
      </w:r>
      <w:r>
        <w:t>CV</w:t>
      </w:r>
      <w:r w:rsidR="00517172">
        <w:t>)</w:t>
      </w:r>
      <w:r w:rsidR="003A3078">
        <w:t xml:space="preserve"> </w:t>
      </w:r>
      <w:r>
        <w:t>=</w:t>
      </w:r>
      <w:r w:rsidR="003A3078">
        <w:t xml:space="preserve"> </w:t>
      </w:r>
      <w:r>
        <w:t>11%).</w:t>
      </w:r>
    </w:p>
    <w:p w14:paraId="682170B7" w14:textId="3A799046" w:rsidR="00997E7B" w:rsidRDefault="00997E7B" w:rsidP="00997E7B">
      <w:r>
        <w:t xml:space="preserve">The apparent clearance (CL/F) of </w:t>
      </w:r>
      <w:proofErr w:type="spellStart"/>
      <w:r>
        <w:t>tepotinib</w:t>
      </w:r>
      <w:proofErr w:type="spellEnd"/>
      <w:r>
        <w:t xml:space="preserve"> is 23.8 L/h (87.5%) and the half-life is 32</w:t>
      </w:r>
      <w:r w:rsidR="003A3078">
        <w:t> </w:t>
      </w:r>
      <w:r>
        <w:t>hours following oral administration.</w:t>
      </w:r>
    </w:p>
    <w:p w14:paraId="65EE09F3" w14:textId="1BE3C617" w:rsidR="00997E7B" w:rsidRDefault="00997E7B" w:rsidP="00997E7B">
      <w:proofErr w:type="spellStart"/>
      <w:r>
        <w:t>Tepotinib</w:t>
      </w:r>
      <w:proofErr w:type="spellEnd"/>
      <w:r>
        <w:t xml:space="preserve"> is primarily metabolised by CYP</w:t>
      </w:r>
      <w:r w:rsidR="00535812">
        <w:t xml:space="preserve"> P450 isozymes</w:t>
      </w:r>
      <w:r w:rsidR="00535812" w:rsidDel="00535812">
        <w:rPr>
          <w:rStyle w:val="FootnoteReference"/>
        </w:rPr>
        <w:t xml:space="preserve"> </w:t>
      </w:r>
      <w:r w:rsidR="00535812">
        <w:t>CYP</w:t>
      </w:r>
      <w:r>
        <w:t>3A4 and CYP2C8.</w:t>
      </w:r>
      <w:r w:rsidR="00535812">
        <w:rPr>
          <w:rStyle w:val="FootnoteReference"/>
        </w:rPr>
        <w:footnoteReference w:id="18"/>
      </w:r>
      <w:r>
        <w:t xml:space="preserve"> One major circulating plasma metabolite (M506) has been identified. Following a single oral </w:t>
      </w:r>
      <w:r>
        <w:lastRenderedPageBreak/>
        <w:t>administration of a radiolabelled dose of 450</w:t>
      </w:r>
      <w:r w:rsidR="00184A82">
        <w:t> </w:t>
      </w:r>
      <w:r>
        <w:t xml:space="preserve">mg </w:t>
      </w:r>
      <w:proofErr w:type="spellStart"/>
      <w:r>
        <w:t>tepotinib</w:t>
      </w:r>
      <w:proofErr w:type="spellEnd"/>
      <w:r>
        <w:t>, approximately 85% of the dose was recovered in faeces (45% unchanged) and 13.6% in urine (7% unchanged). The major circulating metabolite M506 accounted for about 40.4% of the total radioactivity in plasma.</w:t>
      </w:r>
    </w:p>
    <w:p w14:paraId="78009793" w14:textId="22FEF0D7" w:rsidR="00997E7B" w:rsidRDefault="00997E7B" w:rsidP="00997E7B">
      <w:r>
        <w:t xml:space="preserve">No clinically significant effects on </w:t>
      </w:r>
      <w:proofErr w:type="spellStart"/>
      <w:r>
        <w:t>tepotinib</w:t>
      </w:r>
      <w:proofErr w:type="spellEnd"/>
      <w:r>
        <w:t xml:space="preserve"> pharmacokinetics were observed based on age (18 to 89 years), race/ethnicity (White, Black, Asian, Japanese, and Hispanic), sex, body weight (35.5 to 136 kg), mild to moderate renal impairment (</w:t>
      </w:r>
      <w:r w:rsidR="00FC5559">
        <w:t>c</w:t>
      </w:r>
      <w:r w:rsidR="00FC5559" w:rsidRPr="00FC5559">
        <w:t xml:space="preserve">reatinine </w:t>
      </w:r>
      <w:r w:rsidR="00FC5559">
        <w:t>c</w:t>
      </w:r>
      <w:r w:rsidR="00FC5559" w:rsidRPr="00FC5559">
        <w:t xml:space="preserve">learance </w:t>
      </w:r>
      <w:r w:rsidR="00535812">
        <w:t>(</w:t>
      </w:r>
      <w:proofErr w:type="spellStart"/>
      <w:r>
        <w:t>CL</w:t>
      </w:r>
      <w:r w:rsidRPr="00151BFF">
        <w:rPr>
          <w:vertAlign w:val="subscript"/>
        </w:rPr>
        <w:t>cr</w:t>
      </w:r>
      <w:proofErr w:type="spellEnd"/>
      <w:r w:rsidR="00535812">
        <w:t>)</w:t>
      </w:r>
      <w:r>
        <w:t xml:space="preserve"> 30 to </w:t>
      </w:r>
      <w:r w:rsidRPr="00FC5559">
        <w:t>89</w:t>
      </w:r>
      <w:r w:rsidR="00FC5559">
        <w:t> </w:t>
      </w:r>
      <w:r w:rsidRPr="00FC5559">
        <w:t>mL</w:t>
      </w:r>
      <w:r>
        <w:t>/min), or mild to moderate hepatic impairment (Child-Pugh A and B).</w:t>
      </w:r>
      <w:r w:rsidR="00FC5559">
        <w:rPr>
          <w:rStyle w:val="FootnoteReference"/>
        </w:rPr>
        <w:footnoteReference w:id="19"/>
      </w:r>
      <w:r>
        <w:t xml:space="preserve"> The effect of severe renal impairment (</w:t>
      </w:r>
      <w:proofErr w:type="spellStart"/>
      <w:r>
        <w:t>CL</w:t>
      </w:r>
      <w:r w:rsidRPr="00151BFF">
        <w:rPr>
          <w:vertAlign w:val="subscript"/>
        </w:rPr>
        <w:t>cr</w:t>
      </w:r>
      <w:proofErr w:type="spellEnd"/>
      <w:r>
        <w:t xml:space="preserve"> &lt;</w:t>
      </w:r>
      <w:r w:rsidR="00184A82">
        <w:t> </w:t>
      </w:r>
      <w:r>
        <w:t xml:space="preserve">30 mL/min) and severe hepatic impairment (Child-Pugh C) on the pharmacokinetics of </w:t>
      </w:r>
      <w:proofErr w:type="spellStart"/>
      <w:r>
        <w:t>tepotinib</w:t>
      </w:r>
      <w:proofErr w:type="spellEnd"/>
      <w:r>
        <w:t xml:space="preserve"> has not been studied.</w:t>
      </w:r>
    </w:p>
    <w:p w14:paraId="79F33066" w14:textId="4B74B03B" w:rsidR="00997E7B" w:rsidRDefault="00997E7B" w:rsidP="00997E7B">
      <w:r>
        <w:t xml:space="preserve">Metabolism and </w:t>
      </w:r>
      <w:r w:rsidRPr="00184A82">
        <w:rPr>
          <w:i/>
          <w:iCs/>
        </w:rPr>
        <w:t>in vitro</w:t>
      </w:r>
      <w:r>
        <w:t xml:space="preserve"> data </w:t>
      </w:r>
      <w:proofErr w:type="gramStart"/>
      <w:r>
        <w:t>suggests</w:t>
      </w:r>
      <w:proofErr w:type="gramEnd"/>
      <w:r>
        <w:t xml:space="preserve"> that </w:t>
      </w:r>
      <w:proofErr w:type="spellStart"/>
      <w:r>
        <w:t>tepotinib</w:t>
      </w:r>
      <w:proofErr w:type="spellEnd"/>
      <w:r>
        <w:t xml:space="preserve"> is a substrate of CYP3A4, CYP2C8 and P-</w:t>
      </w:r>
      <w:proofErr w:type="spellStart"/>
      <w:r>
        <w:t>gp</w:t>
      </w:r>
      <w:proofErr w:type="spellEnd"/>
      <w:r>
        <w:t>. However, the fractions metaboli</w:t>
      </w:r>
      <w:r w:rsidR="00FC5559">
        <w:t>s</w:t>
      </w:r>
      <w:r>
        <w:t xml:space="preserve">ed by individual major </w:t>
      </w:r>
      <w:r w:rsidR="00743BF9">
        <w:t>cytochrome P450</w:t>
      </w:r>
      <w:r>
        <w:t xml:space="preserve"> isozymes have not been reliably quantified. Confirmatory data, as part of a provisional approval, are required (see recommendations &amp; outstanding issues below).</w:t>
      </w:r>
    </w:p>
    <w:p w14:paraId="0194B032" w14:textId="46AADE7A" w:rsidR="00997E7B" w:rsidRDefault="00997E7B" w:rsidP="00184A82">
      <w:pPr>
        <w:pStyle w:val="Heading5"/>
      </w:pPr>
      <w:r>
        <w:t xml:space="preserve">Recommendations </w:t>
      </w:r>
      <w:r w:rsidR="00535812">
        <w:t>and</w:t>
      </w:r>
      <w:r>
        <w:t xml:space="preserve"> </w:t>
      </w:r>
      <w:r w:rsidR="00184A82">
        <w:t>o</w:t>
      </w:r>
      <w:r>
        <w:t xml:space="preserve">utstanding </w:t>
      </w:r>
      <w:r w:rsidR="00184A82">
        <w:t>i</w:t>
      </w:r>
      <w:r>
        <w:t>ssues</w:t>
      </w:r>
      <w:r w:rsidR="00CF1281">
        <w:fldChar w:fldCharType="begin"/>
      </w:r>
      <w:r w:rsidR="00CF1281">
        <w:instrText>DOCVARIABLE vault_nd_f85d7eb4-2e92-490c-a6c4-6f0a8010a36e \* MERGEFORMAT</w:instrText>
      </w:r>
      <w:r w:rsidR="00CF1281">
        <w:fldChar w:fldCharType="separate"/>
      </w:r>
      <w:r w:rsidR="006F6B07">
        <w:t xml:space="preserve"> </w:t>
      </w:r>
      <w:r w:rsidR="00CF1281">
        <w:fldChar w:fldCharType="end"/>
      </w:r>
    </w:p>
    <w:p w14:paraId="40381A72" w14:textId="77777777" w:rsidR="00997E7B" w:rsidRDefault="00997E7B" w:rsidP="00997E7B">
      <w:proofErr w:type="spellStart"/>
      <w:r>
        <w:t>Tepotinib</w:t>
      </w:r>
      <w:proofErr w:type="spellEnd"/>
      <w:r>
        <w:t xml:space="preserve"> is considered approvable from a clinical pharmacology perspective, providing the following studies are conducted as part of post-marketing requirements:</w:t>
      </w:r>
    </w:p>
    <w:p w14:paraId="435B6EAB" w14:textId="431D6924" w:rsidR="00997E7B" w:rsidRDefault="00997E7B" w:rsidP="00FC5559">
      <w:pPr>
        <w:pStyle w:val="ListBullet"/>
      </w:pPr>
      <w:r>
        <w:rPr>
          <w:lang w:val="en-US"/>
        </w:rPr>
        <w:t xml:space="preserve">Conduct </w:t>
      </w:r>
      <w:r>
        <w:t>a drug</w:t>
      </w:r>
      <w:r w:rsidR="00535812">
        <w:t>-drug</w:t>
      </w:r>
      <w:r>
        <w:t xml:space="preserve"> interaction study to evaluate the effect of itraconazole on the single dose pharmacokinetics of </w:t>
      </w:r>
      <w:proofErr w:type="spellStart"/>
      <w:r>
        <w:t>tepotinib</w:t>
      </w:r>
      <w:proofErr w:type="spellEnd"/>
      <w:r>
        <w:t xml:space="preserve"> to assess the magnitude of increased drug exposure and determine appropriate dosing recommendations when </w:t>
      </w:r>
      <w:proofErr w:type="spellStart"/>
      <w:r>
        <w:t>tepotinib</w:t>
      </w:r>
      <w:proofErr w:type="spellEnd"/>
      <w:r>
        <w:t xml:space="preserve"> is administered concomitantly with a strong CYP3A4 and P-</w:t>
      </w:r>
      <w:proofErr w:type="spellStart"/>
      <w:r>
        <w:t>gp</w:t>
      </w:r>
      <w:proofErr w:type="spellEnd"/>
      <w:r>
        <w:t xml:space="preserve"> inhibitors. Design and conduct the study in accordance with the FDA Guidance</w:t>
      </w:r>
      <w:r w:rsidR="0031292F">
        <w:t>;</w:t>
      </w:r>
      <w:r w:rsidR="0031292F">
        <w:rPr>
          <w:rStyle w:val="FootnoteReference"/>
        </w:rPr>
        <w:footnoteReference w:id="20"/>
      </w:r>
      <w:r>
        <w:t xml:space="preserve"> </w:t>
      </w:r>
      <w:r w:rsidR="0031292F">
        <w:t>‘</w:t>
      </w:r>
      <w:r>
        <w:t xml:space="preserve">Clinical </w:t>
      </w:r>
      <w:r w:rsidR="0031292F">
        <w:t>d</w:t>
      </w:r>
      <w:r>
        <w:t xml:space="preserve">rug </w:t>
      </w:r>
      <w:r w:rsidR="0031292F">
        <w:t>i</w:t>
      </w:r>
      <w:r>
        <w:t xml:space="preserve">nteraction </w:t>
      </w:r>
      <w:r w:rsidR="0031292F">
        <w:t>s</w:t>
      </w:r>
      <w:r>
        <w:t>tudies</w:t>
      </w:r>
      <w:r w:rsidR="0031292F">
        <w:t>, c</w:t>
      </w:r>
      <w:r>
        <w:t xml:space="preserve">ytochrome P450 </w:t>
      </w:r>
      <w:r w:rsidR="0031292F">
        <w:t>e</w:t>
      </w:r>
      <w:r>
        <w:t xml:space="preserve">nzyme and </w:t>
      </w:r>
      <w:r w:rsidR="0031292F">
        <w:t>t</w:t>
      </w:r>
      <w:r>
        <w:t>ransporter</w:t>
      </w:r>
      <w:r w:rsidR="0031292F">
        <w:t xml:space="preserve"> m</w:t>
      </w:r>
      <w:r>
        <w:t xml:space="preserve">ediated </w:t>
      </w:r>
      <w:r w:rsidR="0031292F">
        <w:t>d</w:t>
      </w:r>
      <w:r>
        <w:t xml:space="preserve">rug </w:t>
      </w:r>
      <w:proofErr w:type="gramStart"/>
      <w:r w:rsidR="0031292F">
        <w:t>i</w:t>
      </w:r>
      <w:r>
        <w:t>nteractions</w:t>
      </w:r>
      <w:r w:rsidR="0031292F">
        <w:t>’</w:t>
      </w:r>
      <w:proofErr w:type="gramEnd"/>
      <w:r w:rsidR="0031292F">
        <w:t>.</w:t>
      </w:r>
    </w:p>
    <w:p w14:paraId="08AC197A" w14:textId="392B3C26" w:rsidR="00997E7B" w:rsidRDefault="00997E7B" w:rsidP="00997E7B">
      <w:pPr>
        <w:pStyle w:val="ListBullet"/>
      </w:pPr>
      <w:r>
        <w:rPr>
          <w:lang w:val="en-US"/>
        </w:rPr>
        <w:t xml:space="preserve">Conduct </w:t>
      </w:r>
      <w:r>
        <w:t>a drug</w:t>
      </w:r>
      <w:r w:rsidR="00535812">
        <w:t>-drug</w:t>
      </w:r>
      <w:r>
        <w:t xml:space="preserve"> interaction study to evaluate the effect of </w:t>
      </w:r>
      <w:r w:rsidR="00491DB5">
        <w:t xml:space="preserve">carbamazepine </w:t>
      </w:r>
      <w:r>
        <w:t xml:space="preserve">on the single dose pharmacokinetics of </w:t>
      </w:r>
      <w:proofErr w:type="spellStart"/>
      <w:r>
        <w:t>tepotinib</w:t>
      </w:r>
      <w:proofErr w:type="spellEnd"/>
      <w:r>
        <w:t xml:space="preserve"> to assess the magnitude of decreased drug exposure and determine appropriate dosing recommendations when </w:t>
      </w:r>
      <w:proofErr w:type="spellStart"/>
      <w:r>
        <w:t>tepotinib</w:t>
      </w:r>
      <w:proofErr w:type="spellEnd"/>
      <w:r>
        <w:t xml:space="preserve"> is administered concomitantly with a strong CYP3A4 inducer and moderate CYP2C8 inducer.</w:t>
      </w:r>
    </w:p>
    <w:p w14:paraId="6F008668" w14:textId="706FD91A" w:rsidR="00EB1777" w:rsidRDefault="008B00E3" w:rsidP="00D60529">
      <w:pPr>
        <w:pStyle w:val="Heading4"/>
      </w:pPr>
      <w:bookmarkStart w:id="48" w:name="_Ref109912899"/>
      <w:r w:rsidRPr="00D60529">
        <w:t>Data used for clinical evaluation</w:t>
      </w:r>
      <w:bookmarkEnd w:id="48"/>
    </w:p>
    <w:p w14:paraId="023125B7" w14:textId="40FF066D" w:rsidR="00EB1777" w:rsidRDefault="00EB1777" w:rsidP="00EB1777">
      <w:r>
        <w:t>The pivotal data for efficacy come from Cohort A of the single arm VISION trial (</w:t>
      </w:r>
      <w:r w:rsidR="008B00E3">
        <w:t>Study </w:t>
      </w:r>
      <w:r>
        <w:t>MS200095-0022), which included 152 patients as of the data cut</w:t>
      </w:r>
      <w:r w:rsidR="008B00E3">
        <w:t>-</w:t>
      </w:r>
      <w:r>
        <w:t>off date of 1</w:t>
      </w:r>
      <w:r w:rsidR="008B00E3">
        <w:t> </w:t>
      </w:r>
      <w:r>
        <w:t>July</w:t>
      </w:r>
      <w:r w:rsidR="008B00E3">
        <w:t> </w:t>
      </w:r>
      <w:r>
        <w:t>2020 (treatment naïve: n = 69, pre-treated: n = 83)</w:t>
      </w:r>
      <w:r w:rsidR="008B00E3">
        <w:t>.</w:t>
      </w:r>
    </w:p>
    <w:p w14:paraId="3280A08B" w14:textId="62B4DCBB" w:rsidR="00EB1777" w:rsidRDefault="00EB1777" w:rsidP="00EB1777">
      <w:r>
        <w:t>Subsets of Cohort A were evaluated:</w:t>
      </w:r>
    </w:p>
    <w:p w14:paraId="0B9BBDC8" w14:textId="12A66D53" w:rsidR="00EB1777" w:rsidRDefault="00EB1777" w:rsidP="00EB1777">
      <w:pPr>
        <w:pStyle w:val="ListBullet"/>
      </w:pPr>
      <w:r>
        <w:t xml:space="preserve">2 October 2019 cohort: 146 patients who had their first dose of </w:t>
      </w:r>
      <w:proofErr w:type="spellStart"/>
      <w:r>
        <w:t>tepotinib</w:t>
      </w:r>
      <w:proofErr w:type="spellEnd"/>
      <w:r>
        <w:t xml:space="preserve"> before 2</w:t>
      </w:r>
      <w:r w:rsidR="00743BF9">
        <w:t> </w:t>
      </w:r>
      <w:r>
        <w:t xml:space="preserve">October 2019 and had at least </w:t>
      </w:r>
      <w:r w:rsidR="00743BF9">
        <w:t xml:space="preserve">nine </w:t>
      </w:r>
      <w:r>
        <w:t xml:space="preserve">months </w:t>
      </w:r>
      <w:proofErr w:type="gramStart"/>
      <w:r>
        <w:t>follow</w:t>
      </w:r>
      <w:proofErr w:type="gramEnd"/>
      <w:r>
        <w:t xml:space="preserve"> up at the data cut</w:t>
      </w:r>
      <w:r w:rsidR="008B00E3">
        <w:t>-</w:t>
      </w:r>
      <w:r>
        <w:t xml:space="preserve">off date </w:t>
      </w:r>
      <w:r>
        <w:lastRenderedPageBreak/>
        <w:t>(1</w:t>
      </w:r>
      <w:r w:rsidR="00743BF9">
        <w:t> </w:t>
      </w:r>
      <w:r>
        <w:t>July</w:t>
      </w:r>
      <w:r w:rsidR="00743BF9">
        <w:t> </w:t>
      </w:r>
      <w:r>
        <w:t xml:space="preserve">2020). </w:t>
      </w:r>
      <w:r w:rsidR="008B00E3">
        <w:t>The s</w:t>
      </w:r>
      <w:r>
        <w:t xml:space="preserve">ponsor expected that time to response would be about </w:t>
      </w:r>
      <w:r w:rsidR="00743BF9">
        <w:t>three</w:t>
      </w:r>
      <w:r>
        <w:t xml:space="preserve"> months, so that responders would have </w:t>
      </w:r>
      <w:r w:rsidR="00743BF9">
        <w:t>six</w:t>
      </w:r>
      <w:r>
        <w:t xml:space="preserve"> months post-response follow up.</w:t>
      </w:r>
    </w:p>
    <w:p w14:paraId="70CC5E7F" w14:textId="2CF1015D" w:rsidR="00EB1777" w:rsidRDefault="00EB1777" w:rsidP="00EB1777">
      <w:pPr>
        <w:pStyle w:val="ListBullet"/>
      </w:pPr>
      <w:r>
        <w:t xml:space="preserve">2 April 2019 cohort: 99 patients who had their first dose of </w:t>
      </w:r>
      <w:proofErr w:type="spellStart"/>
      <w:r>
        <w:t>tepotinib</w:t>
      </w:r>
      <w:proofErr w:type="spellEnd"/>
      <w:r>
        <w:t xml:space="preserve"> before 2</w:t>
      </w:r>
      <w:r w:rsidR="008B00E3">
        <w:t> </w:t>
      </w:r>
      <w:r>
        <w:t>October</w:t>
      </w:r>
      <w:r w:rsidR="008B00E3">
        <w:t> </w:t>
      </w:r>
      <w:r>
        <w:t xml:space="preserve">2019 and had at least 15 months </w:t>
      </w:r>
      <w:proofErr w:type="gramStart"/>
      <w:r>
        <w:t>follow</w:t>
      </w:r>
      <w:proofErr w:type="gramEnd"/>
      <w:r>
        <w:t xml:space="preserve"> up at the data cut</w:t>
      </w:r>
      <w:r w:rsidR="008B00E3">
        <w:t>-</w:t>
      </w:r>
      <w:r>
        <w:t>off date (1</w:t>
      </w:r>
      <w:r w:rsidR="008B00E3">
        <w:t> </w:t>
      </w:r>
      <w:r>
        <w:t>July</w:t>
      </w:r>
      <w:r w:rsidR="008B00E3">
        <w:t> </w:t>
      </w:r>
      <w:r>
        <w:t>2020). Responders would have 12 months post-response follow up.</w:t>
      </w:r>
    </w:p>
    <w:p w14:paraId="6B521ADB" w14:textId="625C48ED" w:rsidR="00EB1777" w:rsidRDefault="00EB1777" w:rsidP="00EB1777">
      <w:r>
        <w:t xml:space="preserve">There are some minor differences in the numbers because a small number of patients recruited to Cohort A (&lt; 4) did not have metastatic disease or did not have </w:t>
      </w:r>
      <w:r w:rsidRPr="00EB1777">
        <w:rPr>
          <w:i/>
          <w:iCs/>
        </w:rPr>
        <w:t>METex</w:t>
      </w:r>
      <w:r w:rsidR="00743BF9">
        <w:rPr>
          <w:i/>
          <w:iCs/>
        </w:rPr>
        <w:t>on</w:t>
      </w:r>
      <w:r w:rsidRPr="00EB1777">
        <w:rPr>
          <w:i/>
          <w:iCs/>
        </w:rPr>
        <w:t>14</w:t>
      </w:r>
      <w:r>
        <w:t xml:space="preserve"> skipping on verification.</w:t>
      </w:r>
    </w:p>
    <w:p w14:paraId="47DD32FA" w14:textId="4AA9C926" w:rsidR="00EB1777" w:rsidRDefault="00EB1777" w:rsidP="00EB1777">
      <w:r>
        <w:t xml:space="preserve">Patients with </w:t>
      </w:r>
      <w:r w:rsidRPr="00EB1777">
        <w:rPr>
          <w:i/>
          <w:iCs/>
        </w:rPr>
        <w:t>METex</w:t>
      </w:r>
      <w:r w:rsidR="00743BF9">
        <w:rPr>
          <w:i/>
          <w:iCs/>
        </w:rPr>
        <w:t>on</w:t>
      </w:r>
      <w:r w:rsidRPr="00EB1777">
        <w:rPr>
          <w:i/>
          <w:iCs/>
        </w:rPr>
        <w:t>14</w:t>
      </w:r>
      <w:r>
        <w:t xml:space="preserve"> skipping NS</w:t>
      </w:r>
      <w:r w:rsidR="00E34D02">
        <w:t>C</w:t>
      </w:r>
      <w:r>
        <w:t xml:space="preserve">LC had also been enrolled to Cohort C of </w:t>
      </w:r>
      <w:r w:rsidR="008B00E3">
        <w:t xml:space="preserve">the </w:t>
      </w:r>
      <w:r>
        <w:t>VISION</w:t>
      </w:r>
      <w:r w:rsidR="008B00E3">
        <w:t> </w:t>
      </w:r>
      <w:r>
        <w:t>trial (n</w:t>
      </w:r>
      <w:r w:rsidR="00426445">
        <w:t> </w:t>
      </w:r>
      <w:r>
        <w:t>=</w:t>
      </w:r>
      <w:r w:rsidR="00426445">
        <w:t xml:space="preserve"> </w:t>
      </w:r>
      <w:r>
        <w:t>103). However, the duration of follow</w:t>
      </w:r>
      <w:r w:rsidR="00426445">
        <w:t xml:space="preserve"> </w:t>
      </w:r>
      <w:r>
        <w:t>up for this cohort was limited at the time of submission of the dossier. Data from Cohort C will contribute to the confirmatory data for the provisional approval.</w:t>
      </w:r>
    </w:p>
    <w:p w14:paraId="0BF97E8F" w14:textId="09AFAE79" w:rsidR="00EB1777" w:rsidRDefault="00EB1777" w:rsidP="00EB1777">
      <w:r>
        <w:t>Cohort</w:t>
      </w:r>
      <w:r w:rsidR="00426445">
        <w:t xml:space="preserve"> </w:t>
      </w:r>
      <w:r>
        <w:t xml:space="preserve">B of VISION </w:t>
      </w:r>
      <w:r w:rsidR="00426445">
        <w:t xml:space="preserve">trial </w:t>
      </w:r>
      <w:r>
        <w:t xml:space="preserve">consisted of 24 patients with advanced/metastatic </w:t>
      </w:r>
      <w:r w:rsidRPr="0068181F">
        <w:rPr>
          <w:iCs/>
        </w:rPr>
        <w:t>MET</w:t>
      </w:r>
      <w:r w:rsidRPr="008B00E3">
        <w:t xml:space="preserve"> </w:t>
      </w:r>
      <w:r>
        <w:t>amplification NSCLC and were included in the pooled safety population.</w:t>
      </w:r>
    </w:p>
    <w:p w14:paraId="7D78F057" w14:textId="7A7B9CD2" w:rsidR="00EB1777" w:rsidRDefault="00EB1777" w:rsidP="00EB1777">
      <w:r>
        <w:t>Supportive safety data included results from four additional studies</w:t>
      </w:r>
      <w:r w:rsidR="00426445">
        <w:t>:</w:t>
      </w:r>
    </w:p>
    <w:p w14:paraId="23A922E2" w14:textId="6A7E724F" w:rsidR="00EB1777" w:rsidRDefault="00111155" w:rsidP="00426445">
      <w:pPr>
        <w:pStyle w:val="ListBullet"/>
      </w:pPr>
      <w:r>
        <w:t xml:space="preserve">Study </w:t>
      </w:r>
      <w:r w:rsidR="00EB1777">
        <w:t>EMR-001 (n</w:t>
      </w:r>
      <w:r w:rsidR="00426445">
        <w:t xml:space="preserve"> </w:t>
      </w:r>
      <w:r w:rsidR="00EB1777">
        <w:t>=</w:t>
      </w:r>
      <w:r w:rsidR="00426445">
        <w:t xml:space="preserve"> </w:t>
      </w:r>
      <w:r w:rsidR="00EB1777">
        <w:t>42</w:t>
      </w:r>
      <w:proofErr w:type="gramStart"/>
      <w:r w:rsidR="00EB1777">
        <w:t>)</w:t>
      </w:r>
      <w:r>
        <w:t>;</w:t>
      </w:r>
      <w:proofErr w:type="gramEnd"/>
    </w:p>
    <w:p w14:paraId="2AABF385" w14:textId="02E3714E" w:rsidR="00EB1777" w:rsidRDefault="00111155" w:rsidP="00426445">
      <w:pPr>
        <w:pStyle w:val="ListBullet"/>
      </w:pPr>
      <w:r>
        <w:t xml:space="preserve">Study </w:t>
      </w:r>
      <w:r w:rsidR="00EB1777">
        <w:t>EMR-003 (n</w:t>
      </w:r>
      <w:r w:rsidR="00426445">
        <w:t xml:space="preserve"> </w:t>
      </w:r>
      <w:r w:rsidR="00EB1777">
        <w:t>=</w:t>
      </w:r>
      <w:r w:rsidR="00426445">
        <w:t xml:space="preserve"> </w:t>
      </w:r>
      <w:r w:rsidR="00EB1777">
        <w:t>6</w:t>
      </w:r>
      <w:proofErr w:type="gramStart"/>
      <w:r w:rsidR="00EB1777">
        <w:t>)</w:t>
      </w:r>
      <w:r>
        <w:t>;</w:t>
      </w:r>
      <w:proofErr w:type="gramEnd"/>
    </w:p>
    <w:p w14:paraId="21AA10BB" w14:textId="39F83A5A" w:rsidR="00EB1777" w:rsidRDefault="00111155" w:rsidP="00426445">
      <w:pPr>
        <w:pStyle w:val="ListBullet"/>
      </w:pPr>
      <w:r>
        <w:t xml:space="preserve">Study </w:t>
      </w:r>
      <w:r w:rsidR="00EB1777">
        <w:t>EMR-004 (n</w:t>
      </w:r>
      <w:r w:rsidR="00426445">
        <w:t xml:space="preserve"> </w:t>
      </w:r>
      <w:r w:rsidR="00EB1777">
        <w:t>=</w:t>
      </w:r>
      <w:r w:rsidR="00426445">
        <w:t xml:space="preserve"> </w:t>
      </w:r>
      <w:r w:rsidR="00EB1777">
        <w:t>59)</w:t>
      </w:r>
      <w:r>
        <w:t>, and</w:t>
      </w:r>
    </w:p>
    <w:p w14:paraId="1450A07E" w14:textId="2523990F" w:rsidR="00EB1777" w:rsidRDefault="00111155" w:rsidP="00426445">
      <w:pPr>
        <w:pStyle w:val="ListBullet"/>
      </w:pPr>
      <w:r>
        <w:t xml:space="preserve">Study </w:t>
      </w:r>
      <w:r w:rsidR="00EB1777">
        <w:t>EMR-005 (n</w:t>
      </w:r>
      <w:r w:rsidR="00426445">
        <w:t xml:space="preserve"> </w:t>
      </w:r>
      <w:r w:rsidR="00EB1777">
        <w:t>=</w:t>
      </w:r>
      <w:r w:rsidR="00426445">
        <w:t xml:space="preserve"> </w:t>
      </w:r>
      <w:r w:rsidR="00EB1777">
        <w:t>62)</w:t>
      </w:r>
      <w:r>
        <w:t>.</w:t>
      </w:r>
    </w:p>
    <w:p w14:paraId="7D915BA3" w14:textId="23FAFBCD" w:rsidR="00EB1777" w:rsidRDefault="00EB1777" w:rsidP="00426445">
      <w:r>
        <w:t xml:space="preserve">The pooled safety population used to inform the information in the PI includes a total of 448 patients (from Cohorts A, B, and C of </w:t>
      </w:r>
      <w:r w:rsidR="008B00E3">
        <w:t xml:space="preserve">the </w:t>
      </w:r>
      <w:r>
        <w:t xml:space="preserve">VISION </w:t>
      </w:r>
      <w:r w:rsidR="00426445">
        <w:t xml:space="preserve">trial </w:t>
      </w:r>
      <w:r>
        <w:t xml:space="preserve">and the four additional studies above). Safety results were also reported for the 255 patients with </w:t>
      </w:r>
      <w:r w:rsidRPr="00426445">
        <w:rPr>
          <w:i/>
          <w:iCs/>
        </w:rPr>
        <w:t>METex</w:t>
      </w:r>
      <w:r w:rsidR="00111155">
        <w:rPr>
          <w:i/>
          <w:iCs/>
        </w:rPr>
        <w:t>on</w:t>
      </w:r>
      <w:r w:rsidRPr="00426445">
        <w:rPr>
          <w:i/>
          <w:iCs/>
        </w:rPr>
        <w:t>14</w:t>
      </w:r>
      <w:r>
        <w:t xml:space="preserve"> skipping NSCLC, who received </w:t>
      </w:r>
      <w:proofErr w:type="spellStart"/>
      <w:r>
        <w:t>tepotinib</w:t>
      </w:r>
      <w:proofErr w:type="spellEnd"/>
      <w:r>
        <w:t xml:space="preserve"> in </w:t>
      </w:r>
      <w:r w:rsidR="008B00E3">
        <w:t xml:space="preserve">the </w:t>
      </w:r>
      <w:r>
        <w:t>VISION</w:t>
      </w:r>
      <w:r w:rsidR="00426445">
        <w:t xml:space="preserve"> trial</w:t>
      </w:r>
      <w:r>
        <w:t>.</w:t>
      </w:r>
    </w:p>
    <w:p w14:paraId="38662185" w14:textId="459FF59E" w:rsidR="008B00E3" w:rsidRDefault="008B00E3" w:rsidP="00151BFF">
      <w:pPr>
        <w:pStyle w:val="Heading4"/>
      </w:pPr>
      <w:r>
        <w:t>Efficacy</w:t>
      </w:r>
    </w:p>
    <w:p w14:paraId="4C75712D" w14:textId="7D0E6554" w:rsidR="00EB1777" w:rsidRDefault="00EB1777" w:rsidP="00426445">
      <w:pPr>
        <w:pStyle w:val="Heading5"/>
      </w:pPr>
      <w:r>
        <w:t>VISION</w:t>
      </w:r>
      <w:r w:rsidR="00426445">
        <w:t xml:space="preserve"> trial</w:t>
      </w:r>
      <w:r>
        <w:t xml:space="preserve"> (Study MS200095-0022)</w:t>
      </w:r>
    </w:p>
    <w:p w14:paraId="68841028" w14:textId="288E7155" w:rsidR="00EB1777" w:rsidRDefault="008B00E3" w:rsidP="00EB1777">
      <w:r>
        <w:t xml:space="preserve">The </w:t>
      </w:r>
      <w:r w:rsidR="00EB1777">
        <w:t>VISION</w:t>
      </w:r>
      <w:r w:rsidR="00426445">
        <w:t xml:space="preserve"> trial is a</w:t>
      </w:r>
      <w:r w:rsidR="00EB1777">
        <w:t xml:space="preserve"> Phase II, single</w:t>
      </w:r>
      <w:r w:rsidR="00426445">
        <w:t xml:space="preserve"> </w:t>
      </w:r>
      <w:r w:rsidR="00EB1777">
        <w:t>arm, open</w:t>
      </w:r>
      <w:r w:rsidR="00426445">
        <w:t xml:space="preserve"> </w:t>
      </w:r>
      <w:r w:rsidR="00EB1777">
        <w:t>label, ongoing study</w:t>
      </w:r>
      <w:r w:rsidR="00426445">
        <w:t>:</w:t>
      </w:r>
    </w:p>
    <w:p w14:paraId="2D6CAD2B" w14:textId="3F7308B4" w:rsidR="00EB1777" w:rsidRDefault="00EB1777" w:rsidP="00426445">
      <w:pPr>
        <w:pStyle w:val="ListBullet"/>
      </w:pPr>
      <w:r>
        <w:t>Cohort A (</w:t>
      </w:r>
      <w:r w:rsidRPr="00426445">
        <w:rPr>
          <w:i/>
          <w:iCs/>
        </w:rPr>
        <w:t>METex</w:t>
      </w:r>
      <w:r w:rsidR="00111155">
        <w:rPr>
          <w:i/>
          <w:iCs/>
        </w:rPr>
        <w:t>on</w:t>
      </w:r>
      <w:r w:rsidRPr="00426445">
        <w:rPr>
          <w:i/>
          <w:iCs/>
        </w:rPr>
        <w:t>14</w:t>
      </w:r>
      <w:r>
        <w:t xml:space="preserve"> skipping) provides the efficacy data for this application</w:t>
      </w:r>
      <w:r w:rsidR="00111155">
        <w:t>,</w:t>
      </w:r>
    </w:p>
    <w:p w14:paraId="3D3C0DE8" w14:textId="1869147D" w:rsidR="00EB1777" w:rsidRDefault="00EB1777" w:rsidP="00426445">
      <w:pPr>
        <w:pStyle w:val="ListBullet"/>
      </w:pPr>
      <w:r>
        <w:t>Cohort B (</w:t>
      </w:r>
      <w:r w:rsidRPr="00151BFF">
        <w:rPr>
          <w:iCs/>
        </w:rPr>
        <w:t>MET</w:t>
      </w:r>
      <w:r>
        <w:t xml:space="preserve"> amplified disease) (tested negative for </w:t>
      </w:r>
      <w:r w:rsidRPr="00426445">
        <w:rPr>
          <w:i/>
          <w:iCs/>
        </w:rPr>
        <w:t>METex</w:t>
      </w:r>
      <w:r w:rsidR="00111155">
        <w:rPr>
          <w:i/>
          <w:iCs/>
        </w:rPr>
        <w:t>on</w:t>
      </w:r>
      <w:r w:rsidRPr="00426445">
        <w:rPr>
          <w:i/>
          <w:iCs/>
        </w:rPr>
        <w:t>14</w:t>
      </w:r>
      <w:r>
        <w:t xml:space="preserve"> skipping)</w:t>
      </w:r>
      <w:r w:rsidR="00111155">
        <w:t>,</w:t>
      </w:r>
    </w:p>
    <w:p w14:paraId="43EE5B77" w14:textId="4A15C16E" w:rsidR="00EB1777" w:rsidRDefault="00EB1777" w:rsidP="00426445">
      <w:pPr>
        <w:pStyle w:val="ListBullet"/>
      </w:pPr>
      <w:r>
        <w:t>Cohort C (</w:t>
      </w:r>
      <w:r w:rsidRPr="00426445">
        <w:rPr>
          <w:i/>
          <w:iCs/>
        </w:rPr>
        <w:t>METex</w:t>
      </w:r>
      <w:r w:rsidR="00111155">
        <w:rPr>
          <w:i/>
          <w:iCs/>
        </w:rPr>
        <w:t>on</w:t>
      </w:r>
      <w:r w:rsidRPr="00426445">
        <w:rPr>
          <w:i/>
          <w:iCs/>
        </w:rPr>
        <w:t>14</w:t>
      </w:r>
      <w:r>
        <w:t xml:space="preserve"> skipping) will contribute to the confirmatory the data</w:t>
      </w:r>
      <w:r w:rsidR="00111155">
        <w:t>.</w:t>
      </w:r>
    </w:p>
    <w:p w14:paraId="5FBC52F7" w14:textId="095EF002" w:rsidR="00EB1777" w:rsidRDefault="00EB1777" w:rsidP="00EB1777">
      <w:r>
        <w:t xml:space="preserve">The study was conducted at 128 study centres in 11 countries: Belgium, France, Germany, Israel, Italy, Japan, Poland, South Korea, Spain, Taiwan, The Netherlands, and </w:t>
      </w:r>
      <w:r w:rsidR="008B00E3">
        <w:t xml:space="preserve">27 study centres in the </w:t>
      </w:r>
      <w:r>
        <w:t>US</w:t>
      </w:r>
      <w:r w:rsidR="008B00E3">
        <w:t xml:space="preserve">A. </w:t>
      </w:r>
      <w:r>
        <w:t>There were no study sites in Australia.</w:t>
      </w:r>
    </w:p>
    <w:p w14:paraId="56C7B368" w14:textId="406FC7E0" w:rsidR="00EB1777" w:rsidRDefault="00EB1777" w:rsidP="00426445">
      <w:pPr>
        <w:pStyle w:val="Heading6"/>
      </w:pPr>
      <w:r>
        <w:t>Diagnostic criteria</w:t>
      </w:r>
    </w:p>
    <w:p w14:paraId="463A8947" w14:textId="62B2A817" w:rsidR="00EB1777" w:rsidRDefault="00EB1777" w:rsidP="00EB1777">
      <w:r>
        <w:t xml:space="preserve">From </w:t>
      </w:r>
      <w:r w:rsidR="009C5CAB">
        <w:t xml:space="preserve">13 </w:t>
      </w:r>
      <w:r>
        <w:t>September 2016</w:t>
      </w:r>
      <w:r w:rsidR="009C5CAB">
        <w:t xml:space="preserve"> to 1 </w:t>
      </w:r>
      <w:r>
        <w:t xml:space="preserve">January 2020, a total of 6708 patients were pre-screened for </w:t>
      </w:r>
      <w:r w:rsidRPr="00111155">
        <w:rPr>
          <w:i/>
          <w:iCs/>
        </w:rPr>
        <w:t>MET</w:t>
      </w:r>
      <w:r>
        <w:t xml:space="preserve"> alterations; 169 patients (2.5%) with </w:t>
      </w:r>
      <w:r w:rsidRPr="009C5CAB">
        <w:rPr>
          <w:i/>
          <w:iCs/>
        </w:rPr>
        <w:t>METexon14</w:t>
      </w:r>
      <w:r>
        <w:t xml:space="preserve"> skipping mutations were subsequently screened for inclusion. Of these patients, 152 were treated with </w:t>
      </w:r>
      <w:proofErr w:type="spellStart"/>
      <w:r>
        <w:t>tepotinib</w:t>
      </w:r>
      <w:proofErr w:type="spellEnd"/>
      <w:r w:rsidR="009C5CAB">
        <w:t xml:space="preserve"> (treatment naïve: n = 69, pre-treated: n = 83).</w:t>
      </w:r>
    </w:p>
    <w:p w14:paraId="4EB1433B" w14:textId="0ED629DF" w:rsidR="00EB1777" w:rsidRDefault="00EB1777" w:rsidP="00EB1777">
      <w:r>
        <w:t>The data cut</w:t>
      </w:r>
      <w:r w:rsidR="008B00E3">
        <w:t>-</w:t>
      </w:r>
      <w:r>
        <w:t xml:space="preserve">off was </w:t>
      </w:r>
      <w:r w:rsidR="009C5CAB">
        <w:t xml:space="preserve">1 </w:t>
      </w:r>
      <w:r>
        <w:t>July</w:t>
      </w:r>
      <w:r w:rsidR="009C5CAB">
        <w:t xml:space="preserve"> </w:t>
      </w:r>
      <w:r>
        <w:t xml:space="preserve">2020. </w:t>
      </w:r>
      <w:proofErr w:type="gramStart"/>
      <w:r>
        <w:t>At this time</w:t>
      </w:r>
      <w:proofErr w:type="gramEnd"/>
      <w:r>
        <w:t>:</w:t>
      </w:r>
    </w:p>
    <w:p w14:paraId="016D117E" w14:textId="63F1A6E9" w:rsidR="00EB1777" w:rsidRDefault="00EB1777" w:rsidP="009C5CAB">
      <w:pPr>
        <w:pStyle w:val="ListBullet"/>
      </w:pPr>
      <w:r>
        <w:t>enrolment into Cohort-A was complete</w:t>
      </w:r>
      <w:r w:rsidR="00111155">
        <w:t>,</w:t>
      </w:r>
    </w:p>
    <w:p w14:paraId="799A9A62" w14:textId="358FD374" w:rsidR="00EB1777" w:rsidRDefault="00EB1777" w:rsidP="00EB1777">
      <w:pPr>
        <w:pStyle w:val="ListBullet"/>
      </w:pPr>
      <w:r>
        <w:t>enrolment into Cohort-C was ongoing.</w:t>
      </w:r>
    </w:p>
    <w:p w14:paraId="3AC94E68" w14:textId="1B769760" w:rsidR="009C5CAB" w:rsidRPr="009C5CAB" w:rsidRDefault="00EB1777" w:rsidP="009C5CAB">
      <w:r>
        <w:t>Patients in Cohort A constituted the efficacy cohort. Patients in Cohorts A and C formed the basis of the safety evaluation. Safety results from Cohort B and four other early</w:t>
      </w:r>
      <w:r w:rsidR="009C5CAB">
        <w:t xml:space="preserve"> </w:t>
      </w:r>
      <w:r>
        <w:t>phase studies in solid tumours were included in the pooled safety analysis.</w:t>
      </w:r>
    </w:p>
    <w:p w14:paraId="57D1BC67" w14:textId="4A913A20" w:rsidR="009C5CAB" w:rsidRDefault="009C5CAB" w:rsidP="009C5CAB">
      <w:pPr>
        <w:pStyle w:val="Heading6"/>
      </w:pPr>
      <w:r>
        <w:lastRenderedPageBreak/>
        <w:t>Key inclusion/exclusion criteria</w:t>
      </w:r>
    </w:p>
    <w:p w14:paraId="393B392A" w14:textId="5120A808" w:rsidR="009C5CAB" w:rsidRDefault="009C5CAB" w:rsidP="009C5CAB">
      <w:pPr>
        <w:pStyle w:val="ListBullet"/>
      </w:pPr>
      <w:r>
        <w:t xml:space="preserve">Histologically or cytologically confirmed locally advanced/metastatic NSCLC (all types including squamous and </w:t>
      </w:r>
      <w:proofErr w:type="spellStart"/>
      <w:r>
        <w:t>sarcomatoid</w:t>
      </w:r>
      <w:proofErr w:type="spellEnd"/>
      <w:proofErr w:type="gramStart"/>
      <w:r>
        <w:t>)</w:t>
      </w:r>
      <w:r w:rsidR="00111155">
        <w:t>;</w:t>
      </w:r>
      <w:proofErr w:type="gramEnd"/>
    </w:p>
    <w:p w14:paraId="300CC6C4" w14:textId="1B9525CC" w:rsidR="009C5CAB" w:rsidRDefault="009C5CAB" w:rsidP="009C5CAB">
      <w:pPr>
        <w:pStyle w:val="ListBullet"/>
      </w:pPr>
      <w:r w:rsidRPr="009C5CAB">
        <w:rPr>
          <w:i/>
          <w:iCs/>
        </w:rPr>
        <w:t>METex</w:t>
      </w:r>
      <w:r w:rsidR="00111155">
        <w:rPr>
          <w:i/>
          <w:iCs/>
        </w:rPr>
        <w:t>on</w:t>
      </w:r>
      <w:r w:rsidRPr="009C5CAB">
        <w:rPr>
          <w:i/>
          <w:iCs/>
        </w:rPr>
        <w:t>14</w:t>
      </w:r>
      <w:r w:rsidR="00111155">
        <w:t xml:space="preserve"> </w:t>
      </w:r>
      <w:r>
        <w:t>skipping alteration (by either tissue or liquid biopsy</w:t>
      </w:r>
      <w:proofErr w:type="gramStart"/>
      <w:r>
        <w:t>)</w:t>
      </w:r>
      <w:r w:rsidR="00111155">
        <w:t>;</w:t>
      </w:r>
      <w:proofErr w:type="gramEnd"/>
    </w:p>
    <w:p w14:paraId="7532241E" w14:textId="2EBA1267" w:rsidR="009C5CAB" w:rsidRDefault="009C5CAB" w:rsidP="009C5CAB">
      <w:pPr>
        <w:pStyle w:val="ListBullet"/>
      </w:pPr>
      <w:r>
        <w:t>18 years</w:t>
      </w:r>
      <w:r w:rsidR="00111155">
        <w:t xml:space="preserve"> and </w:t>
      </w:r>
      <w:proofErr w:type="gramStart"/>
      <w:r w:rsidR="00111155">
        <w:t>above;</w:t>
      </w:r>
      <w:proofErr w:type="gramEnd"/>
    </w:p>
    <w:p w14:paraId="1FA087B7" w14:textId="4B2C2726" w:rsidR="009C5CAB" w:rsidRDefault="00085698" w:rsidP="009C5CAB">
      <w:pPr>
        <w:pStyle w:val="ListBullet"/>
      </w:pPr>
      <w:r>
        <w:t>Eastern Cooperative Oncology Group (</w:t>
      </w:r>
      <w:r w:rsidR="009C5CAB">
        <w:t>ECOG</w:t>
      </w:r>
      <w:r>
        <w:t>)</w:t>
      </w:r>
      <w:bookmarkStart w:id="49" w:name="_Ref106959725"/>
      <w:r w:rsidR="008B00E3">
        <w:t xml:space="preserve"> performance status</w:t>
      </w:r>
      <w:r>
        <w:rPr>
          <w:rStyle w:val="FootnoteReference"/>
        </w:rPr>
        <w:footnoteReference w:id="21"/>
      </w:r>
      <w:bookmarkEnd w:id="49"/>
      <w:r w:rsidR="008B00E3">
        <w:t xml:space="preserve"> of</w:t>
      </w:r>
      <w:r w:rsidR="009C5CAB">
        <w:t xml:space="preserve"> 0 or </w:t>
      </w:r>
      <w:proofErr w:type="gramStart"/>
      <w:r w:rsidR="009C5CAB">
        <w:t>1</w:t>
      </w:r>
      <w:r w:rsidR="00111155">
        <w:t>;</w:t>
      </w:r>
      <w:proofErr w:type="gramEnd"/>
    </w:p>
    <w:p w14:paraId="6C8331D9" w14:textId="2000916A" w:rsidR="009C5CAB" w:rsidRDefault="009C5CAB" w:rsidP="009C5CAB">
      <w:pPr>
        <w:pStyle w:val="ListBullet"/>
      </w:pPr>
      <w:r>
        <w:t xml:space="preserve">Measurable disease by </w:t>
      </w:r>
      <w:r w:rsidR="00085698">
        <w:t>response evaluation criteria in solid tumours (</w:t>
      </w:r>
      <w:r>
        <w:t>RECIST</w:t>
      </w:r>
      <w:r w:rsidR="00085698">
        <w:t>);</w:t>
      </w:r>
      <w:r w:rsidR="00085698">
        <w:rPr>
          <w:rStyle w:val="FootnoteReference"/>
        </w:rPr>
        <w:footnoteReference w:id="22"/>
      </w:r>
      <w:r w:rsidR="00085698">
        <w:t xml:space="preserve"> version</w:t>
      </w:r>
      <w:r>
        <w:t xml:space="preserve"> </w:t>
      </w:r>
      <w:proofErr w:type="gramStart"/>
      <w:r>
        <w:t>1.1</w:t>
      </w:r>
      <w:r w:rsidR="00111155">
        <w:t>;</w:t>
      </w:r>
      <w:proofErr w:type="gramEnd"/>
    </w:p>
    <w:p w14:paraId="001C3EC8" w14:textId="28955AF2" w:rsidR="009C5CAB" w:rsidRDefault="009C5CAB" w:rsidP="009C5CAB">
      <w:pPr>
        <w:pStyle w:val="ListBullet"/>
      </w:pPr>
      <w:r>
        <w:t>Either treatment</w:t>
      </w:r>
      <w:r w:rsidR="00085698">
        <w:t xml:space="preserve"> </w:t>
      </w:r>
      <w:r>
        <w:t>naïve (for first</w:t>
      </w:r>
      <w:r w:rsidR="00085698">
        <w:t xml:space="preserve"> </w:t>
      </w:r>
      <w:r>
        <w:t xml:space="preserve">line therapy) or pre-treated with no more than </w:t>
      </w:r>
      <w:r w:rsidR="00085698">
        <w:t>two</w:t>
      </w:r>
      <w:r>
        <w:t xml:space="preserve"> lines of prior therapy</w:t>
      </w:r>
      <w:r w:rsidR="00111155">
        <w:t>, and</w:t>
      </w:r>
    </w:p>
    <w:p w14:paraId="604E11D3" w14:textId="77777777" w:rsidR="00085698" w:rsidRDefault="009C5CAB" w:rsidP="00085698">
      <w:pPr>
        <w:pStyle w:val="ListBullet"/>
      </w:pPr>
      <w:r>
        <w:t>Patients with brain metastases whose condition was neurologically stable and whose glucocorticoid dose was being tapered were eligible to participate, as were patients with untreated asymptomatic brain metastases measuring 1 cm or less in the longest diameter.</w:t>
      </w:r>
    </w:p>
    <w:p w14:paraId="59E699EA" w14:textId="77E6B61E" w:rsidR="008B00E3" w:rsidRDefault="008B00E3" w:rsidP="00151BFF">
      <w:pPr>
        <w:pStyle w:val="Heading6"/>
      </w:pPr>
      <w:r>
        <w:t>Study intervention</w:t>
      </w:r>
    </w:p>
    <w:p w14:paraId="6595DD23" w14:textId="362C54B7" w:rsidR="008B00E3" w:rsidRDefault="008B00E3" w:rsidP="00085698">
      <w:pPr>
        <w:pStyle w:val="ListBullet"/>
        <w:numPr>
          <w:ilvl w:val="0"/>
          <w:numId w:val="0"/>
        </w:numPr>
      </w:pPr>
      <w:r>
        <w:t>Patients were treated with 450</w:t>
      </w:r>
      <w:r w:rsidR="00085698">
        <w:t xml:space="preserve"> mg </w:t>
      </w:r>
      <w:proofErr w:type="spellStart"/>
      <w:r w:rsidR="00085698">
        <w:t>tepotinib</w:t>
      </w:r>
      <w:proofErr w:type="spellEnd"/>
      <w:r w:rsidR="00085698">
        <w:t xml:space="preserve"> orally once daily (from two 2</w:t>
      </w:r>
      <w:r w:rsidR="00D60529">
        <w:t>50</w:t>
      </w:r>
      <w:r w:rsidR="00085698">
        <w:t xml:space="preserve"> mg </w:t>
      </w:r>
      <w:proofErr w:type="spellStart"/>
      <w:r w:rsidR="00D60529">
        <w:t>Tepmetko</w:t>
      </w:r>
      <w:proofErr w:type="spellEnd"/>
      <w:r w:rsidR="00D60529">
        <w:t xml:space="preserve"> (</w:t>
      </w:r>
      <w:proofErr w:type="spellStart"/>
      <w:r w:rsidR="00D60529">
        <w:t>tepotinib</w:t>
      </w:r>
      <w:proofErr w:type="spellEnd"/>
      <w:r w:rsidR="00D60529">
        <w:t xml:space="preserve"> hydrochloride monohydrate </w:t>
      </w:r>
      <w:r w:rsidR="00085698">
        <w:t>tablets</w:t>
      </w:r>
      <w:r w:rsidR="00D60529">
        <w:t xml:space="preserve">, each delivering 225 mg </w:t>
      </w:r>
      <w:proofErr w:type="spellStart"/>
      <w:r w:rsidR="00D60529">
        <w:t>tepotinib</w:t>
      </w:r>
      <w:proofErr w:type="spellEnd"/>
      <w:r w:rsidR="00085698">
        <w:t>).</w:t>
      </w:r>
    </w:p>
    <w:p w14:paraId="31EA0B5C" w14:textId="5E8984A5" w:rsidR="009C5CAB" w:rsidRDefault="00085698" w:rsidP="00085698">
      <w:pPr>
        <w:pStyle w:val="ListBullet"/>
        <w:numPr>
          <w:ilvl w:val="0"/>
          <w:numId w:val="0"/>
        </w:numPr>
      </w:pPr>
      <w:r>
        <w:t>Treatment was continuous, until disease progression, consent withdrawal or discontinuation due to adverse events</w:t>
      </w:r>
      <w:r w:rsidR="00D60529">
        <w:t>.</w:t>
      </w:r>
    </w:p>
    <w:p w14:paraId="0FC0D519" w14:textId="4ACD55FC" w:rsidR="00085698" w:rsidRDefault="00085698" w:rsidP="00085698">
      <w:pPr>
        <w:pStyle w:val="ListBullet"/>
        <w:numPr>
          <w:ilvl w:val="0"/>
          <w:numId w:val="0"/>
        </w:numPr>
      </w:pPr>
      <w:r>
        <w:t>Primary endpoint:</w:t>
      </w:r>
    </w:p>
    <w:p w14:paraId="3966654D" w14:textId="22246896" w:rsidR="00085698" w:rsidRDefault="009656C2" w:rsidP="00085698">
      <w:pPr>
        <w:pStyle w:val="ListBullet"/>
      </w:pPr>
      <w:r w:rsidRPr="009656C2">
        <w:t>overall response rate</w:t>
      </w:r>
      <w:r w:rsidR="00085698">
        <w:t xml:space="preserve"> (confirmed complete response or partial response</w:t>
      </w:r>
      <w:r w:rsidR="00D60529">
        <w:t xml:space="preserve">): </w:t>
      </w:r>
      <w:r w:rsidR="00085698">
        <w:t>blinded independent review committee (BIRC) determined according to RECIST 1.1.</w:t>
      </w:r>
    </w:p>
    <w:p w14:paraId="5E69E13B" w14:textId="01B14E06" w:rsidR="00085698" w:rsidRDefault="00085698" w:rsidP="00085698">
      <w:pPr>
        <w:pStyle w:val="ListBullet"/>
        <w:numPr>
          <w:ilvl w:val="0"/>
          <w:numId w:val="0"/>
        </w:numPr>
      </w:pPr>
      <w:r>
        <w:t>Patients could be evaluated for an objective response if they had undergone at least two post-baseline assessments or had discontinued participation for any reason.</w:t>
      </w:r>
    </w:p>
    <w:p w14:paraId="0683796D" w14:textId="5D9C5442" w:rsidR="00085698" w:rsidRDefault="00085698" w:rsidP="00085698">
      <w:pPr>
        <w:pStyle w:val="ListBullet"/>
        <w:numPr>
          <w:ilvl w:val="0"/>
          <w:numId w:val="0"/>
        </w:numPr>
        <w:ind w:left="360" w:hanging="360"/>
      </w:pPr>
      <w:r>
        <w:t>Secondary endpoints</w:t>
      </w:r>
      <w:r w:rsidR="00B27319">
        <w:t xml:space="preserve"> include</w:t>
      </w:r>
      <w:r>
        <w:t>:</w:t>
      </w:r>
    </w:p>
    <w:p w14:paraId="7CD5F66D" w14:textId="69CCF4FE" w:rsidR="00085698" w:rsidRDefault="00085698" w:rsidP="00085698">
      <w:pPr>
        <w:pStyle w:val="ListBullet"/>
      </w:pPr>
      <w:r>
        <w:t xml:space="preserve">investigator assessed </w:t>
      </w:r>
      <w:r w:rsidR="00D60529">
        <w:t xml:space="preserve">overall response </w:t>
      </w:r>
      <w:proofErr w:type="gramStart"/>
      <w:r w:rsidR="00D60529">
        <w:t>rate</w:t>
      </w:r>
      <w:r w:rsidR="00B27319">
        <w:t>;</w:t>
      </w:r>
      <w:proofErr w:type="gramEnd"/>
    </w:p>
    <w:p w14:paraId="375BBDC4" w14:textId="7BCE6403" w:rsidR="00085698" w:rsidRDefault="00085698" w:rsidP="00085698">
      <w:pPr>
        <w:pStyle w:val="ListBullet"/>
      </w:pPr>
      <w:r>
        <w:t>BIRC</w:t>
      </w:r>
      <w:r w:rsidR="00D60529">
        <w:t>-</w:t>
      </w:r>
      <w:r>
        <w:t xml:space="preserve"> and investigator</w:t>
      </w:r>
      <w:r w:rsidR="00D60529">
        <w:t>-</w:t>
      </w:r>
      <w:r>
        <w:t xml:space="preserve">assessed </w:t>
      </w:r>
      <w:r w:rsidR="00D60529">
        <w:t xml:space="preserve">duration of </w:t>
      </w:r>
      <w:proofErr w:type="gramStart"/>
      <w:r w:rsidR="00D60529">
        <w:t>response</w:t>
      </w:r>
      <w:r w:rsidR="00B27319">
        <w:t>;</w:t>
      </w:r>
      <w:proofErr w:type="gramEnd"/>
    </w:p>
    <w:p w14:paraId="558BDFF1" w14:textId="1C74F672" w:rsidR="00085698" w:rsidRDefault="00085698" w:rsidP="00085698">
      <w:pPr>
        <w:pStyle w:val="ListBullet"/>
      </w:pPr>
      <w:r>
        <w:lastRenderedPageBreak/>
        <w:t>BIRC</w:t>
      </w:r>
      <w:r w:rsidR="00D60529">
        <w:t>-</w:t>
      </w:r>
      <w:r>
        <w:t xml:space="preserve"> and investigator</w:t>
      </w:r>
      <w:r w:rsidR="00D60529">
        <w:t>-</w:t>
      </w:r>
      <w:r>
        <w:t xml:space="preserve">assessed </w:t>
      </w:r>
      <w:r w:rsidR="00D60529">
        <w:t xml:space="preserve">progression-free </w:t>
      </w:r>
      <w:proofErr w:type="gramStart"/>
      <w:r w:rsidR="00D60529">
        <w:t>survival</w:t>
      </w:r>
      <w:r w:rsidR="00B27319">
        <w:t>;</w:t>
      </w:r>
      <w:proofErr w:type="gramEnd"/>
    </w:p>
    <w:p w14:paraId="721B1549" w14:textId="4E1F45AF" w:rsidR="00085698" w:rsidRDefault="00B27319" w:rsidP="00085698">
      <w:pPr>
        <w:pStyle w:val="ListBullet"/>
      </w:pPr>
      <w:r>
        <w:t>o</w:t>
      </w:r>
      <w:r w:rsidR="00085698">
        <w:t xml:space="preserve">verall </w:t>
      </w:r>
      <w:proofErr w:type="gramStart"/>
      <w:r w:rsidR="00085698">
        <w:t>survival</w:t>
      </w:r>
      <w:r>
        <w:t>;</w:t>
      </w:r>
      <w:proofErr w:type="gramEnd"/>
    </w:p>
    <w:p w14:paraId="140C9193" w14:textId="2F286AF4" w:rsidR="00085698" w:rsidRDefault="00B27319" w:rsidP="00085698">
      <w:pPr>
        <w:pStyle w:val="ListBullet"/>
      </w:pPr>
      <w:r>
        <w:t>p</w:t>
      </w:r>
      <w:r w:rsidR="00085698" w:rsidRPr="00085698">
        <w:t>atient</w:t>
      </w:r>
      <w:r w:rsidR="00D60529">
        <w:t>-</w:t>
      </w:r>
      <w:r w:rsidR="00085698">
        <w:t>r</w:t>
      </w:r>
      <w:r w:rsidR="00085698" w:rsidRPr="00085698">
        <w:t xml:space="preserve">eported </w:t>
      </w:r>
      <w:proofErr w:type="gramStart"/>
      <w:r w:rsidR="00085698">
        <w:t>o</w:t>
      </w:r>
      <w:r w:rsidR="00085698" w:rsidRPr="00085698">
        <w:t>utcome</w:t>
      </w:r>
      <w:r w:rsidR="00085698">
        <w:t>s</w:t>
      </w:r>
      <w:r>
        <w:t>;</w:t>
      </w:r>
      <w:proofErr w:type="gramEnd"/>
    </w:p>
    <w:p w14:paraId="41397836" w14:textId="57A95981" w:rsidR="00085698" w:rsidRDefault="00B27319" w:rsidP="00085698">
      <w:pPr>
        <w:pStyle w:val="ListBullet"/>
      </w:pPr>
      <w:r>
        <w:t>t</w:t>
      </w:r>
      <w:r w:rsidR="000F3166" w:rsidRPr="000F3166">
        <w:t>reatment</w:t>
      </w:r>
      <w:r w:rsidR="00D60529">
        <w:t>-</w:t>
      </w:r>
      <w:r w:rsidR="000F3166" w:rsidRPr="000F3166">
        <w:t xml:space="preserve">emergent adverse </w:t>
      </w:r>
      <w:proofErr w:type="gramStart"/>
      <w:r w:rsidR="000F3166" w:rsidRPr="000F3166">
        <w:t>events</w:t>
      </w:r>
      <w:r w:rsidR="00D60529">
        <w:t>;</w:t>
      </w:r>
      <w:proofErr w:type="gramEnd"/>
    </w:p>
    <w:p w14:paraId="1B364023" w14:textId="16DB88BA" w:rsidR="00085698" w:rsidRDefault="00085698" w:rsidP="00085698">
      <w:pPr>
        <w:pStyle w:val="ListBullet"/>
      </w:pPr>
      <w:r>
        <w:t>abnormal clinical laboratory tests</w:t>
      </w:r>
      <w:r w:rsidR="00D60529">
        <w:t>;</w:t>
      </w:r>
      <w:r w:rsidR="00B27319">
        <w:t xml:space="preserve"> and</w:t>
      </w:r>
    </w:p>
    <w:p w14:paraId="0A0AEADD" w14:textId="70FA1F35" w:rsidR="00085698" w:rsidRDefault="00B27319" w:rsidP="00085698">
      <w:pPr>
        <w:pStyle w:val="ListBullet"/>
      </w:pPr>
      <w:r>
        <w:t>pharm</w:t>
      </w:r>
      <w:r w:rsidR="00B55D9A">
        <w:t>a</w:t>
      </w:r>
      <w:r>
        <w:t>cokinetics</w:t>
      </w:r>
      <w:r w:rsidR="005546B7">
        <w:t>.</w:t>
      </w:r>
    </w:p>
    <w:p w14:paraId="65477BC5" w14:textId="468C30DC" w:rsidR="000F3166" w:rsidRDefault="000F3166" w:rsidP="000F3166">
      <w:pPr>
        <w:pStyle w:val="Heading6"/>
        <w:rPr>
          <w:rFonts w:eastAsia="Cambria"/>
        </w:rPr>
      </w:pPr>
      <w:r>
        <w:t>Statistical analysis plan</w:t>
      </w:r>
    </w:p>
    <w:p w14:paraId="559785C9" w14:textId="3E972378" w:rsidR="000F3166" w:rsidRPr="000F3166" w:rsidRDefault="000F3166" w:rsidP="000F3166">
      <w:r>
        <w:t>No formal statistical hypotheses were tested. The data were analysed in a descriptive manner. According to the protocol, the primary efficacy analysis was conducted when the target enrolment population of at least 60 patients in both the liquid</w:t>
      </w:r>
      <w:r w:rsidR="00111155">
        <w:t xml:space="preserve"> </w:t>
      </w:r>
      <w:r>
        <w:t xml:space="preserve">biopsy and tissue-biopsy subgroups had undergone at least </w:t>
      </w:r>
      <w:r w:rsidR="00111155">
        <w:t>nine</w:t>
      </w:r>
      <w:r>
        <w:t xml:space="preserve"> months of follow up (efficacy population). Three analysis groups were defined to independently assess findings in the liquid biopsy group, the tissue biopsy group, and the combined group (</w:t>
      </w:r>
      <w:proofErr w:type="gramStart"/>
      <w:r>
        <w:t>either biopsy</w:t>
      </w:r>
      <w:proofErr w:type="gramEnd"/>
      <w:r>
        <w:t xml:space="preserve"> method).</w:t>
      </w:r>
    </w:p>
    <w:p w14:paraId="28A82FBE" w14:textId="7C248FDF" w:rsidR="000F3166" w:rsidRDefault="000F3166" w:rsidP="000F3166">
      <w:r>
        <w:t xml:space="preserve">For the primary endpoint of BICR </w:t>
      </w:r>
      <w:r w:rsidR="00D60529">
        <w:t>overall response rate</w:t>
      </w:r>
      <w:r>
        <w:t xml:space="preserve">, the study aimed for a point estimate in the range of 40% to 50% and the lower limit of the exact 95% </w:t>
      </w:r>
      <w:r w:rsidR="00D60529">
        <w:t xml:space="preserve">confidence interval (CI) </w:t>
      </w:r>
      <w:r>
        <w:t>of greater than 20% in each of the analysis groups (liquid biopsy, tissue biopsy, combined).</w:t>
      </w:r>
    </w:p>
    <w:p w14:paraId="573C566D" w14:textId="2F3A7825" w:rsidR="000F3166" w:rsidRDefault="000F3166" w:rsidP="000F3166">
      <w:pPr>
        <w:pStyle w:val="Heading6"/>
      </w:pPr>
      <w:r>
        <w:t>Diagnostic testing</w:t>
      </w:r>
    </w:p>
    <w:p w14:paraId="40CC7B99" w14:textId="5837A1AB" w:rsidR="000F3166" w:rsidRDefault="000F3166" w:rsidP="000F3166">
      <w:pPr>
        <w:rPr>
          <w:highlight w:val="yellow"/>
        </w:rPr>
      </w:pPr>
      <w:r>
        <w:t>Determination of patients’</w:t>
      </w:r>
      <w:r w:rsidR="00111155">
        <w:t xml:space="preserve"> </w:t>
      </w:r>
      <w:r w:rsidRPr="000F3166">
        <w:rPr>
          <w:i/>
          <w:iCs/>
        </w:rPr>
        <w:t>METex</w:t>
      </w:r>
      <w:r w:rsidR="00111155">
        <w:rPr>
          <w:i/>
          <w:iCs/>
        </w:rPr>
        <w:t>on</w:t>
      </w:r>
      <w:r w:rsidRPr="000F3166">
        <w:rPr>
          <w:i/>
          <w:iCs/>
        </w:rPr>
        <w:t>14</w:t>
      </w:r>
      <w:r>
        <w:t xml:space="preserve"> skipping alteration was done prospectively on all patients during the pre-screening period.</w:t>
      </w:r>
      <w:r>
        <w:rPr>
          <w:vertAlign w:val="superscript"/>
        </w:rPr>
        <w:fldChar w:fldCharType="begin"/>
      </w:r>
      <w:r>
        <w:instrText xml:space="preserve"> NOTEREF _Ref106877221 \f \h </w:instrText>
      </w:r>
      <w:r>
        <w:rPr>
          <w:vertAlign w:val="superscript"/>
        </w:rPr>
      </w:r>
      <w:r>
        <w:rPr>
          <w:vertAlign w:val="superscript"/>
        </w:rPr>
        <w:fldChar w:fldCharType="separate"/>
      </w:r>
      <w:r w:rsidR="006F6B07" w:rsidRPr="006F6B07">
        <w:rPr>
          <w:rStyle w:val="FootnoteReference"/>
        </w:rPr>
        <w:t>7</w:t>
      </w:r>
      <w:r>
        <w:rPr>
          <w:vertAlign w:val="superscript"/>
        </w:rPr>
        <w:fldChar w:fldCharType="end"/>
      </w:r>
      <w:r w:rsidRPr="000F3166">
        <w:t xml:space="preserve"> </w:t>
      </w:r>
      <w:r w:rsidRPr="000F3166">
        <w:rPr>
          <w:i/>
          <w:iCs/>
        </w:rPr>
        <w:t>MET</w:t>
      </w:r>
      <w:r w:rsidR="00111155">
        <w:rPr>
          <w:i/>
          <w:iCs/>
        </w:rPr>
        <w:t xml:space="preserve"> </w:t>
      </w:r>
      <w:r w:rsidRPr="000F3166">
        <w:rPr>
          <w:i/>
          <w:iCs/>
        </w:rPr>
        <w:t>ex</w:t>
      </w:r>
      <w:r w:rsidR="00111155">
        <w:rPr>
          <w:i/>
          <w:iCs/>
        </w:rPr>
        <w:t xml:space="preserve">on </w:t>
      </w:r>
      <w:r w:rsidRPr="000F3166">
        <w:rPr>
          <w:i/>
          <w:iCs/>
        </w:rPr>
        <w:t>14</w:t>
      </w:r>
      <w:r>
        <w:t xml:space="preserve"> skipping was tested centrally from either:</w:t>
      </w:r>
    </w:p>
    <w:p w14:paraId="7FAE7AEA" w14:textId="52FE0DA4" w:rsidR="000F3166" w:rsidRDefault="000F3166" w:rsidP="000F3166">
      <w:pPr>
        <w:pStyle w:val="ListBullet"/>
      </w:pPr>
      <w:r>
        <w:t>circulating tumour DNA collected from plasma (liquid biopsy) using next-generation sequencing panel Guardant360 (73 gene) (n = 66)</w:t>
      </w:r>
      <w:r w:rsidR="00B27319">
        <w:t>, or</w:t>
      </w:r>
    </w:p>
    <w:p w14:paraId="63AE5725" w14:textId="437DD910" w:rsidR="000F3166" w:rsidRDefault="000F3166" w:rsidP="000F3166">
      <w:pPr>
        <w:pStyle w:val="ListBullet"/>
      </w:pPr>
      <w:r>
        <w:t xml:space="preserve">RNA collected from tumour tissue (tissue biopsy) using </w:t>
      </w:r>
      <w:proofErr w:type="spellStart"/>
      <w:r>
        <w:t>oncomine</w:t>
      </w:r>
      <w:proofErr w:type="spellEnd"/>
      <w:r>
        <w:t xml:space="preserve"> focus assay </w:t>
      </w:r>
      <w:r w:rsidR="00111155">
        <w:t>(</w:t>
      </w:r>
      <w:r>
        <w:t>52</w:t>
      </w:r>
      <w:r w:rsidR="00D60529">
        <w:t> </w:t>
      </w:r>
      <w:r>
        <w:t>gene) (n = 60)</w:t>
      </w:r>
      <w:r w:rsidR="00B27319">
        <w:t>.</w:t>
      </w:r>
    </w:p>
    <w:p w14:paraId="32521543" w14:textId="77777777" w:rsidR="000F3166" w:rsidRDefault="000F3166" w:rsidP="000F3166">
      <w:r>
        <w:t>Contemporaneous testing with both methodologies was not a requirement for enrolment, and only 27 of 152 patients in Cohort-A had both tests.</w:t>
      </w:r>
    </w:p>
    <w:p w14:paraId="1D27BECB" w14:textId="3E9C1935" w:rsidR="000F3166" w:rsidRPr="000F3166" w:rsidRDefault="00D60529" w:rsidP="000F3166">
      <w:r>
        <w:t>A t</w:t>
      </w:r>
      <w:r w:rsidR="000F3166">
        <w:t>otal</w:t>
      </w:r>
      <w:r>
        <w:t xml:space="preserve"> of 153 patients were</w:t>
      </w:r>
      <w:r w:rsidR="000F3166">
        <w:t xml:space="preserve"> tested. There were minor differences in numbers because a small number of patients (&lt; 4) did not have metastatic disease or turned out not to have a </w:t>
      </w:r>
      <w:r w:rsidR="000F3166" w:rsidRPr="000F3166">
        <w:rPr>
          <w:i/>
        </w:rPr>
        <w:t>METex</w:t>
      </w:r>
      <w:r w:rsidR="00111155">
        <w:rPr>
          <w:i/>
        </w:rPr>
        <w:t>on</w:t>
      </w:r>
      <w:r w:rsidR="000F3166" w:rsidRPr="000F3166">
        <w:rPr>
          <w:i/>
        </w:rPr>
        <w:t>14</w:t>
      </w:r>
      <w:r w:rsidR="000F3166">
        <w:t xml:space="preserve"> skipping alteration. There were also differences in datasets (2 April 2019, </w:t>
      </w:r>
      <w:r>
        <w:t xml:space="preserve">and </w:t>
      </w:r>
      <w:r w:rsidR="000F3166">
        <w:t>2</w:t>
      </w:r>
      <w:r>
        <w:t> </w:t>
      </w:r>
      <w:r w:rsidR="000F3166">
        <w:t>October 2019 cohorts) because of differing lengths of follow up (see</w:t>
      </w:r>
      <w:r>
        <w:t xml:space="preserve"> description of populations under </w:t>
      </w:r>
      <w:r w:rsidRPr="00151BFF">
        <w:rPr>
          <w:i/>
        </w:rPr>
        <w:fldChar w:fldCharType="begin"/>
      </w:r>
      <w:r w:rsidRPr="00151BFF">
        <w:rPr>
          <w:i/>
        </w:rPr>
        <w:instrText xml:space="preserve"> REF _Ref109912899 \h </w:instrText>
      </w:r>
      <w:r>
        <w:rPr>
          <w:i/>
        </w:rPr>
        <w:instrText xml:space="preserve"> \* MERGEFORMAT </w:instrText>
      </w:r>
      <w:r w:rsidRPr="00151BFF">
        <w:rPr>
          <w:i/>
        </w:rPr>
      </w:r>
      <w:r w:rsidRPr="00151BFF">
        <w:rPr>
          <w:i/>
        </w:rPr>
        <w:fldChar w:fldCharType="separate"/>
      </w:r>
      <w:r w:rsidR="006F6B07" w:rsidRPr="006F6B07">
        <w:rPr>
          <w:i/>
        </w:rPr>
        <w:t>Data used for clinical evaluation</w:t>
      </w:r>
      <w:r w:rsidRPr="00151BFF">
        <w:rPr>
          <w:i/>
        </w:rPr>
        <w:fldChar w:fldCharType="end"/>
      </w:r>
      <w:r w:rsidR="000F3166">
        <w:t>, above).</w:t>
      </w:r>
    </w:p>
    <w:p w14:paraId="18CF35C9" w14:textId="0B3B4476" w:rsidR="000F3166" w:rsidRDefault="000F3166" w:rsidP="000F3166">
      <w:pPr>
        <w:pStyle w:val="Heading6"/>
        <w:rPr>
          <w:rFonts w:asciiTheme="minorHAnsi" w:hAnsiTheme="minorHAnsi" w:cstheme="minorBidi"/>
        </w:rPr>
      </w:pPr>
      <w:r>
        <w:t>Patient disposition</w:t>
      </w:r>
    </w:p>
    <w:p w14:paraId="604F10CC" w14:textId="42D2CAAA" w:rsidR="000F3166" w:rsidRDefault="000F3166" w:rsidP="000F3166">
      <w:r>
        <w:t xml:space="preserve">Of the 146 patients in the 2 October 2019 </w:t>
      </w:r>
      <w:r w:rsidR="00D60529">
        <w:t>C</w:t>
      </w:r>
      <w:r>
        <w:t xml:space="preserve">ohort (at least </w:t>
      </w:r>
      <w:r w:rsidR="00111155">
        <w:t>nine</w:t>
      </w:r>
      <w:r>
        <w:t xml:space="preserve"> months follow up), as </w:t>
      </w:r>
      <w:proofErr w:type="gramStart"/>
      <w:r>
        <w:t>at</w:t>
      </w:r>
      <w:proofErr w:type="gramEnd"/>
      <w:r>
        <w:t xml:space="preserve"> 1</w:t>
      </w:r>
      <w:r w:rsidR="00111155">
        <w:t> </w:t>
      </w:r>
      <w:r>
        <w:t>July 2020 data cut</w:t>
      </w:r>
      <w:r w:rsidR="00D60529">
        <w:t>-</w:t>
      </w:r>
      <w:r>
        <w:t>off:</w:t>
      </w:r>
    </w:p>
    <w:p w14:paraId="54444577" w14:textId="2BB5B167" w:rsidR="000F3166" w:rsidRDefault="00D60529" w:rsidP="000F3166">
      <w:pPr>
        <w:pStyle w:val="ListBullet"/>
      </w:pPr>
      <w:r>
        <w:t>Discontinued</w:t>
      </w:r>
      <w:r w:rsidR="000F3166">
        <w:t xml:space="preserve"> treatment due to progressive disease (or death) (75 patients, 51%)</w:t>
      </w:r>
    </w:p>
    <w:p w14:paraId="5A29BA86" w14:textId="7463877E" w:rsidR="000F3166" w:rsidRDefault="00D60529" w:rsidP="000F3166">
      <w:pPr>
        <w:pStyle w:val="ListBullet"/>
      </w:pPr>
      <w:r>
        <w:t>Adverse</w:t>
      </w:r>
      <w:r w:rsidR="000F3166">
        <w:t xml:space="preserve"> event (24 patients, 16%)</w:t>
      </w:r>
    </w:p>
    <w:p w14:paraId="0DE58DC9" w14:textId="2951ED21" w:rsidR="000F3166" w:rsidRDefault="00D60529" w:rsidP="000F3166">
      <w:pPr>
        <w:pStyle w:val="ListBullet"/>
      </w:pPr>
      <w:r>
        <w:t>Consent</w:t>
      </w:r>
      <w:r w:rsidR="000F3166">
        <w:t xml:space="preserve"> withdrawal (5 patients, 3%)</w:t>
      </w:r>
    </w:p>
    <w:p w14:paraId="3A7D0919" w14:textId="4702C44F" w:rsidR="000F3166" w:rsidRDefault="00D60529" w:rsidP="000F3166">
      <w:pPr>
        <w:pStyle w:val="ListBullet"/>
      </w:pPr>
      <w:r>
        <w:t>Other</w:t>
      </w:r>
      <w:r w:rsidR="000F3166">
        <w:t xml:space="preserve"> reasons (3 patients, 2%)</w:t>
      </w:r>
    </w:p>
    <w:p w14:paraId="69D2DCF2" w14:textId="24D736C8" w:rsidR="000F3166" w:rsidRDefault="00D60529" w:rsidP="000F3166">
      <w:pPr>
        <w:pStyle w:val="ListBullet"/>
      </w:pPr>
      <w:r>
        <w:t>P</w:t>
      </w:r>
      <w:r w:rsidR="000F3166">
        <w:t>rotocol noncompliance (</w:t>
      </w:r>
      <w:r>
        <w:t>one</w:t>
      </w:r>
      <w:r w:rsidR="000F3166">
        <w:t xml:space="preserve"> patient, 1%)</w:t>
      </w:r>
    </w:p>
    <w:p w14:paraId="2FBCA698" w14:textId="6F5D5BBD" w:rsidR="000F3166" w:rsidRDefault="00D60529" w:rsidP="000F3166">
      <w:pPr>
        <w:pStyle w:val="ListBullet"/>
      </w:pPr>
      <w:r>
        <w:t>O</w:t>
      </w:r>
      <w:r w:rsidR="000F3166">
        <w:t>ngoing treatment (27 patients, 19%)</w:t>
      </w:r>
      <w:r>
        <w:t>.</w:t>
      </w:r>
    </w:p>
    <w:p w14:paraId="734FDE92" w14:textId="7BBE22DA" w:rsidR="000F3166" w:rsidRDefault="000F3166" w:rsidP="000F3166">
      <w:pPr>
        <w:pStyle w:val="Heading6"/>
      </w:pPr>
      <w:r>
        <w:t>Baseline characteristics</w:t>
      </w:r>
    </w:p>
    <w:p w14:paraId="4212FBB8" w14:textId="67649405" w:rsidR="00D60529" w:rsidRPr="00647D56" w:rsidRDefault="00D60529" w:rsidP="00151BFF">
      <w:r>
        <w:t>Baseline characteristics were as follows:</w:t>
      </w:r>
    </w:p>
    <w:p w14:paraId="5A1A8092" w14:textId="59D00FF3" w:rsidR="000F3166" w:rsidRDefault="00D60529" w:rsidP="000F3166">
      <w:pPr>
        <w:pStyle w:val="ListBullet"/>
      </w:pPr>
      <w:r>
        <w:lastRenderedPageBreak/>
        <w:t>Male</w:t>
      </w:r>
      <w:r w:rsidR="000F3166">
        <w:t>: 52%</w:t>
      </w:r>
    </w:p>
    <w:p w14:paraId="45C352DB" w14:textId="1E00BDDD" w:rsidR="000F3166" w:rsidRDefault="00D60529" w:rsidP="000F3166">
      <w:pPr>
        <w:pStyle w:val="ListBullet"/>
      </w:pPr>
      <w:r>
        <w:t>A</w:t>
      </w:r>
      <w:r w:rsidR="000F3166">
        <w:t xml:space="preserve">ge </w:t>
      </w:r>
      <w:r>
        <w:t xml:space="preserve">(years, </w:t>
      </w:r>
      <w:r w:rsidR="000F3166">
        <w:t>median</w:t>
      </w:r>
      <w:r>
        <w:t>)</w:t>
      </w:r>
      <w:r w:rsidR="000F3166">
        <w:t>: 73.1 (range: 41, 94)</w:t>
      </w:r>
    </w:p>
    <w:p w14:paraId="714E7206" w14:textId="43FCC305" w:rsidR="000F3166" w:rsidRDefault="00B27319" w:rsidP="000F3166">
      <w:pPr>
        <w:pStyle w:val="ListBullet"/>
      </w:pPr>
      <w:r>
        <w:t>A</w:t>
      </w:r>
      <w:r w:rsidR="000F3166">
        <w:t>sian: 25%</w:t>
      </w:r>
    </w:p>
    <w:p w14:paraId="6979418B" w14:textId="1D807FEF" w:rsidR="000F3166" w:rsidRDefault="00D25B25" w:rsidP="000F3166">
      <w:pPr>
        <w:pStyle w:val="ListBullet"/>
      </w:pPr>
      <w:r>
        <w:t>S</w:t>
      </w:r>
      <w:r w:rsidR="000F3166">
        <w:t>moking history: 52%</w:t>
      </w:r>
    </w:p>
    <w:p w14:paraId="7ED21E51" w14:textId="65B8B396" w:rsidR="00D25B25" w:rsidRDefault="00D25B25" w:rsidP="000F3166">
      <w:pPr>
        <w:pStyle w:val="ListBullet"/>
      </w:pPr>
      <w:r>
        <w:t>H</w:t>
      </w:r>
      <w:r w:rsidR="000F3166">
        <w:t>istology</w:t>
      </w:r>
      <w:r>
        <w:t>:</w:t>
      </w:r>
    </w:p>
    <w:p w14:paraId="576D7D31" w14:textId="79CE716F" w:rsidR="00D25B25" w:rsidRDefault="000F3166" w:rsidP="00151BFF">
      <w:pPr>
        <w:pStyle w:val="ListBullet2"/>
      </w:pPr>
      <w:r>
        <w:t>adeno: 86%</w:t>
      </w:r>
      <w:r w:rsidR="00D25B25">
        <w:t>,</w:t>
      </w:r>
    </w:p>
    <w:p w14:paraId="58BCFE98" w14:textId="7FE29765" w:rsidR="00D25B25" w:rsidRDefault="000F3166" w:rsidP="00151BFF">
      <w:pPr>
        <w:pStyle w:val="ListBullet2"/>
      </w:pPr>
      <w:r>
        <w:t>squamous: 9%,</w:t>
      </w:r>
    </w:p>
    <w:p w14:paraId="6BD46AF4" w14:textId="32D7096F" w:rsidR="000F3166" w:rsidRDefault="000F3166" w:rsidP="00151BFF">
      <w:pPr>
        <w:pStyle w:val="ListBullet2"/>
      </w:pPr>
      <w:r>
        <w:t xml:space="preserve">other: 5% (includes </w:t>
      </w:r>
      <w:proofErr w:type="spellStart"/>
      <w:r>
        <w:t>sarcomatoid</w:t>
      </w:r>
      <w:proofErr w:type="spellEnd"/>
      <w:r>
        <w:t xml:space="preserve"> and </w:t>
      </w:r>
      <w:proofErr w:type="spellStart"/>
      <w:r>
        <w:t>adenosquamous</w:t>
      </w:r>
      <w:proofErr w:type="spellEnd"/>
      <w:r>
        <w:t>)</w:t>
      </w:r>
    </w:p>
    <w:p w14:paraId="4F17FD57" w14:textId="15D6099E" w:rsidR="000F3166" w:rsidRDefault="000F3166" w:rsidP="12D36411">
      <w:pPr>
        <w:pStyle w:val="ListBullet"/>
        <w:rPr>
          <w:rStyle w:val="FootnoteReference"/>
        </w:rPr>
      </w:pPr>
      <w:r>
        <w:t xml:space="preserve">ECOG </w:t>
      </w:r>
      <w:r w:rsidR="00D25B25">
        <w:t xml:space="preserve">performance status </w:t>
      </w:r>
      <w:r>
        <w:t>0: 27%, ECOG</w:t>
      </w:r>
      <w:r w:rsidR="00D25B25">
        <w:t xml:space="preserve"> performance status</w:t>
      </w:r>
      <w:r>
        <w:t xml:space="preserve"> 1: 73%;</w:t>
      </w:r>
      <w:r>
        <w:fldChar w:fldCharType="begin"/>
      </w:r>
      <w:r>
        <w:instrText xml:space="preserve"> NOTEREF _Ref106959725 \f \h </w:instrText>
      </w:r>
      <w:r>
        <w:fldChar w:fldCharType="separate"/>
      </w:r>
      <w:r w:rsidR="006F6B07" w:rsidRPr="006F6B07">
        <w:rPr>
          <w:rStyle w:val="FootnoteReference"/>
        </w:rPr>
        <w:t>20</w:t>
      </w:r>
      <w:r>
        <w:fldChar w:fldCharType="end"/>
      </w:r>
    </w:p>
    <w:p w14:paraId="5BDC19D9" w14:textId="631249EB" w:rsidR="000F3166" w:rsidRDefault="000F3166" w:rsidP="000F3166">
      <w:pPr>
        <w:pStyle w:val="ListBullet"/>
      </w:pPr>
      <w:r>
        <w:t>Brain metastases: 9.9%</w:t>
      </w:r>
      <w:r w:rsidR="00D25B25">
        <w:t>.</w:t>
      </w:r>
    </w:p>
    <w:p w14:paraId="25D86FA0" w14:textId="40513D49" w:rsidR="000F3166" w:rsidRDefault="00D25B25" w:rsidP="000F3166">
      <w:pPr>
        <w:pStyle w:val="Heading6"/>
      </w:pPr>
      <w:r>
        <w:t>Primary endpoint r</w:t>
      </w:r>
      <w:r w:rsidR="000F3166">
        <w:t>esults</w:t>
      </w:r>
      <w:r w:rsidR="00CF1281">
        <w:fldChar w:fldCharType="begin"/>
      </w:r>
      <w:r w:rsidR="00CF1281">
        <w:instrText>DOCVARIABLE vault_nd_bdbad712-f2fd-4fc4-9f24-1ed9da4a42f6</w:instrText>
      </w:r>
      <w:r w:rsidR="00CF1281">
        <w:instrText xml:space="preserve"> \* MERGEFORMAT</w:instrText>
      </w:r>
      <w:r w:rsidR="00CF1281">
        <w:fldChar w:fldCharType="separate"/>
      </w:r>
      <w:r w:rsidR="006F6B07">
        <w:t xml:space="preserve"> </w:t>
      </w:r>
      <w:r w:rsidR="00CF1281">
        <w:fldChar w:fldCharType="end"/>
      </w:r>
    </w:p>
    <w:p w14:paraId="7B3F2623" w14:textId="77777777" w:rsidR="000F3166" w:rsidRDefault="000F3166" w:rsidP="000F3166">
      <w:r>
        <w:t>There were no complete responses.</w:t>
      </w:r>
    </w:p>
    <w:p w14:paraId="21272744" w14:textId="1B123524" w:rsidR="000F3166" w:rsidRDefault="009656C2" w:rsidP="009656C2">
      <w:pPr>
        <w:pStyle w:val="TableTitle"/>
      </w:pPr>
      <w:r w:rsidRPr="009656C2">
        <w:t xml:space="preserve">Table </w:t>
      </w:r>
      <w:r>
        <w:fldChar w:fldCharType="begin"/>
      </w:r>
      <w:r>
        <w:instrText>SEQ Table \* ARABIC</w:instrText>
      </w:r>
      <w:r>
        <w:fldChar w:fldCharType="separate"/>
      </w:r>
      <w:r w:rsidR="006F6B07">
        <w:rPr>
          <w:noProof/>
        </w:rPr>
        <w:t>3</w:t>
      </w:r>
      <w:r>
        <w:fldChar w:fldCharType="end"/>
      </w:r>
      <w:r>
        <w:t>:</w:t>
      </w:r>
      <w:r w:rsidR="00497C7F">
        <w:t xml:space="preserve"> </w:t>
      </w:r>
      <w:r w:rsidR="00D25B25">
        <w:t xml:space="preserve">VISION trial </w:t>
      </w:r>
      <w:r>
        <w:t xml:space="preserve">Blinded independent review committee </w:t>
      </w:r>
      <w:r w:rsidRPr="009656C2">
        <w:t>overall response rate</w:t>
      </w:r>
      <w:r>
        <w:t xml:space="preserve"> results for all of Cohort A (n = 152), for the data cut</w:t>
      </w:r>
      <w:r w:rsidR="00D25B25">
        <w:t>-</w:t>
      </w:r>
      <w:r>
        <w:t>off 1 July 2020</w:t>
      </w:r>
      <w:r w:rsidR="00CF1281">
        <w:fldChar w:fldCharType="begin"/>
      </w:r>
      <w:r w:rsidR="00CF1281">
        <w:instrText>DOCVARIABLE vault_nd_a13fa81e-2c8c-4995-b7bb-4286d88c780d \* MERGEFORMAT</w:instrText>
      </w:r>
      <w:r w:rsidR="00CF1281">
        <w:fldChar w:fldCharType="separate"/>
      </w:r>
      <w:r w:rsidR="006F6B07">
        <w:t xml:space="preserve"> </w:t>
      </w:r>
      <w:r w:rsidR="00CF1281">
        <w:fldChar w:fldCharType="end"/>
      </w:r>
    </w:p>
    <w:tbl>
      <w:tblPr>
        <w:tblStyle w:val="TableTGAblue"/>
        <w:tblW w:w="8810" w:type="dxa"/>
        <w:tblLook w:val="04A0" w:firstRow="1" w:lastRow="0" w:firstColumn="1" w:lastColumn="0" w:noHBand="0" w:noVBand="1"/>
      </w:tblPr>
      <w:tblGrid>
        <w:gridCol w:w="4130"/>
        <w:gridCol w:w="2255"/>
        <w:gridCol w:w="2425"/>
      </w:tblGrid>
      <w:tr w:rsidR="009656C2" w14:paraId="7DC70962" w14:textId="77777777" w:rsidTr="00151BFF">
        <w:trPr>
          <w:cnfStyle w:val="100000000000" w:firstRow="1" w:lastRow="0" w:firstColumn="0" w:lastColumn="0" w:oddVBand="0" w:evenVBand="0" w:oddHBand="0" w:evenHBand="0" w:firstRowFirstColumn="0" w:firstRowLastColumn="0" w:lastRowFirstColumn="0" w:lastRowLastColumn="0"/>
          <w:trHeight w:val="1158"/>
        </w:trPr>
        <w:tc>
          <w:tcPr>
            <w:tcW w:w="4130" w:type="dxa"/>
          </w:tcPr>
          <w:p w14:paraId="5596B547" w14:textId="77777777" w:rsidR="009656C2" w:rsidRPr="00D25B25" w:rsidRDefault="009656C2" w:rsidP="00151BFF">
            <w:pPr>
              <w:ind w:left="0"/>
            </w:pPr>
          </w:p>
        </w:tc>
        <w:tc>
          <w:tcPr>
            <w:tcW w:w="2255" w:type="dxa"/>
            <w:hideMark/>
          </w:tcPr>
          <w:p w14:paraId="11B54D8C" w14:textId="77777777" w:rsidR="009656C2" w:rsidRPr="00D25B25" w:rsidRDefault="009656C2" w:rsidP="00151BFF">
            <w:pPr>
              <w:ind w:left="0"/>
              <w:jc w:val="center"/>
            </w:pPr>
            <w:r w:rsidRPr="00D25B25">
              <w:t>Treatment naïve</w:t>
            </w:r>
          </w:p>
          <w:p w14:paraId="736CA4C9" w14:textId="026CF5EA" w:rsidR="009656C2" w:rsidRPr="00D25B25" w:rsidRDefault="009656C2" w:rsidP="00151BFF">
            <w:pPr>
              <w:ind w:left="0"/>
              <w:jc w:val="center"/>
            </w:pPr>
            <w:r w:rsidRPr="00D25B25">
              <w:t>(n</w:t>
            </w:r>
            <w:r w:rsidR="00111155" w:rsidRPr="00D25B25">
              <w:t xml:space="preserve"> </w:t>
            </w:r>
            <w:r w:rsidRPr="00D25B25">
              <w:t>=</w:t>
            </w:r>
            <w:r w:rsidR="00111155" w:rsidRPr="00D25B25">
              <w:t xml:space="preserve"> </w:t>
            </w:r>
            <w:r w:rsidRPr="00D25B25">
              <w:t>69)</w:t>
            </w:r>
          </w:p>
        </w:tc>
        <w:tc>
          <w:tcPr>
            <w:tcW w:w="2425" w:type="dxa"/>
            <w:hideMark/>
          </w:tcPr>
          <w:p w14:paraId="29FAA450" w14:textId="77777777" w:rsidR="009656C2" w:rsidRPr="00D25B25" w:rsidRDefault="009656C2" w:rsidP="00151BFF">
            <w:pPr>
              <w:ind w:left="0"/>
              <w:jc w:val="center"/>
            </w:pPr>
            <w:r w:rsidRPr="00D25B25">
              <w:t>Previously treated</w:t>
            </w:r>
          </w:p>
          <w:p w14:paraId="0F7E5D1E" w14:textId="34610A58" w:rsidR="009656C2" w:rsidRPr="00D25B25" w:rsidRDefault="009656C2" w:rsidP="00151BFF">
            <w:pPr>
              <w:ind w:left="0"/>
              <w:jc w:val="center"/>
            </w:pPr>
            <w:r w:rsidRPr="00D25B25">
              <w:t>(n</w:t>
            </w:r>
            <w:r w:rsidR="00111155" w:rsidRPr="00D25B25">
              <w:t xml:space="preserve"> </w:t>
            </w:r>
            <w:r w:rsidRPr="00D25B25">
              <w:t>=</w:t>
            </w:r>
            <w:r w:rsidR="00111155" w:rsidRPr="00D25B25">
              <w:t xml:space="preserve"> </w:t>
            </w:r>
            <w:r w:rsidRPr="00D25B25">
              <w:t>83)</w:t>
            </w:r>
          </w:p>
        </w:tc>
      </w:tr>
      <w:tr w:rsidR="009656C2" w14:paraId="40AEE3F7" w14:textId="77777777" w:rsidTr="00151BFF">
        <w:trPr>
          <w:trHeight w:val="611"/>
        </w:trPr>
        <w:tc>
          <w:tcPr>
            <w:tcW w:w="4130" w:type="dxa"/>
            <w:hideMark/>
          </w:tcPr>
          <w:p w14:paraId="57BFEB5D" w14:textId="1BA444F9" w:rsidR="009656C2" w:rsidRPr="00D25B25" w:rsidRDefault="00D25B25" w:rsidP="00151BFF">
            <w:pPr>
              <w:ind w:left="0"/>
            </w:pPr>
            <w:r w:rsidRPr="00D25B25">
              <w:t>Blinded independent central review overall response rate,</w:t>
            </w:r>
            <w:r w:rsidR="009656C2" w:rsidRPr="00D25B25">
              <w:t xml:space="preserve"> </w:t>
            </w:r>
            <w:r w:rsidRPr="00D25B25">
              <w:t xml:space="preserve">% </w:t>
            </w:r>
            <w:r w:rsidR="009656C2" w:rsidRPr="00D25B25">
              <w:t>(95%</w:t>
            </w:r>
            <w:r>
              <w:t> </w:t>
            </w:r>
            <w:r w:rsidRPr="00D25B25">
              <w:t>confidence intervals</w:t>
            </w:r>
            <w:r w:rsidR="009656C2" w:rsidRPr="00D25B25">
              <w:t>)</w:t>
            </w:r>
          </w:p>
        </w:tc>
        <w:tc>
          <w:tcPr>
            <w:tcW w:w="2255" w:type="dxa"/>
            <w:hideMark/>
          </w:tcPr>
          <w:p w14:paraId="78B524E0" w14:textId="77777777" w:rsidR="009656C2" w:rsidRPr="00D25B25" w:rsidRDefault="009656C2" w:rsidP="00151BFF">
            <w:pPr>
              <w:ind w:left="0"/>
              <w:jc w:val="center"/>
            </w:pPr>
            <w:r w:rsidRPr="00D25B25">
              <w:t>43% (32%, 56%)</w:t>
            </w:r>
          </w:p>
        </w:tc>
        <w:tc>
          <w:tcPr>
            <w:tcW w:w="2425" w:type="dxa"/>
            <w:hideMark/>
          </w:tcPr>
          <w:p w14:paraId="58549A43" w14:textId="77777777" w:rsidR="009656C2" w:rsidRPr="00D25B25" w:rsidRDefault="009656C2" w:rsidP="00151BFF">
            <w:pPr>
              <w:ind w:left="0"/>
              <w:jc w:val="center"/>
            </w:pPr>
            <w:r w:rsidRPr="00D25B25">
              <w:t>43% (33%, 55%)</w:t>
            </w:r>
          </w:p>
        </w:tc>
      </w:tr>
      <w:tr w:rsidR="009656C2" w14:paraId="37987826" w14:textId="77777777" w:rsidTr="00151BFF">
        <w:trPr>
          <w:trHeight w:val="511"/>
        </w:trPr>
        <w:tc>
          <w:tcPr>
            <w:tcW w:w="4130" w:type="dxa"/>
            <w:hideMark/>
          </w:tcPr>
          <w:p w14:paraId="106C5C97" w14:textId="07F6BE4E" w:rsidR="009656C2" w:rsidRPr="00D25B25" w:rsidRDefault="009656C2" w:rsidP="00151BFF">
            <w:pPr>
              <w:ind w:left="0"/>
            </w:pPr>
            <w:r w:rsidRPr="00D25B25">
              <w:t xml:space="preserve">Median </w:t>
            </w:r>
            <w:r w:rsidR="00D25B25" w:rsidRPr="00D25B25">
              <w:t>duration of response</w:t>
            </w:r>
          </w:p>
        </w:tc>
        <w:tc>
          <w:tcPr>
            <w:tcW w:w="2255" w:type="dxa"/>
            <w:hideMark/>
          </w:tcPr>
          <w:p w14:paraId="2828C8E0" w14:textId="77777777" w:rsidR="009656C2" w:rsidRPr="00D25B25" w:rsidRDefault="009656C2" w:rsidP="00151BFF">
            <w:pPr>
              <w:ind w:left="0"/>
              <w:jc w:val="center"/>
            </w:pPr>
            <w:r w:rsidRPr="00D25B25">
              <w:t>11 months</w:t>
            </w:r>
          </w:p>
        </w:tc>
        <w:tc>
          <w:tcPr>
            <w:tcW w:w="2425" w:type="dxa"/>
            <w:hideMark/>
          </w:tcPr>
          <w:p w14:paraId="3FAEFFCF" w14:textId="77777777" w:rsidR="009656C2" w:rsidRPr="00D25B25" w:rsidRDefault="009656C2" w:rsidP="00151BFF">
            <w:pPr>
              <w:ind w:left="0"/>
              <w:jc w:val="center"/>
            </w:pPr>
            <w:r w:rsidRPr="00D25B25">
              <w:t>11 months</w:t>
            </w:r>
          </w:p>
        </w:tc>
      </w:tr>
      <w:tr w:rsidR="009656C2" w14:paraId="2B7C521A" w14:textId="77777777" w:rsidTr="00151BFF">
        <w:trPr>
          <w:trHeight w:val="524"/>
        </w:trPr>
        <w:tc>
          <w:tcPr>
            <w:tcW w:w="4130" w:type="dxa"/>
            <w:hideMark/>
          </w:tcPr>
          <w:p w14:paraId="6F461C60" w14:textId="24052C81" w:rsidR="009656C2" w:rsidRPr="00D25B25" w:rsidRDefault="009656C2" w:rsidP="00151BFF">
            <w:pPr>
              <w:ind w:left="0"/>
            </w:pPr>
            <w:r w:rsidRPr="00D25B25">
              <w:t xml:space="preserve">Patients with </w:t>
            </w:r>
            <w:r w:rsidR="00D25B25" w:rsidRPr="00D25B25">
              <w:t xml:space="preserve">duration of response </w:t>
            </w:r>
            <w:r w:rsidRPr="00D25B25">
              <w:t>≥</w:t>
            </w:r>
            <w:r w:rsidR="00D25B25">
              <w:t> </w:t>
            </w:r>
            <w:r w:rsidRPr="00D25B25">
              <w:t>6</w:t>
            </w:r>
            <w:r w:rsidR="00D25B25">
              <w:t> </w:t>
            </w:r>
            <w:r w:rsidRPr="00D25B25">
              <w:t>months, %</w:t>
            </w:r>
          </w:p>
        </w:tc>
        <w:tc>
          <w:tcPr>
            <w:tcW w:w="2255" w:type="dxa"/>
            <w:hideMark/>
          </w:tcPr>
          <w:p w14:paraId="6FBB6F28" w14:textId="77777777" w:rsidR="009656C2" w:rsidRPr="00D25B25" w:rsidRDefault="009656C2" w:rsidP="00151BFF">
            <w:pPr>
              <w:ind w:left="0"/>
              <w:jc w:val="center"/>
            </w:pPr>
            <w:r w:rsidRPr="00D25B25">
              <w:t>67%</w:t>
            </w:r>
          </w:p>
        </w:tc>
        <w:tc>
          <w:tcPr>
            <w:tcW w:w="2425" w:type="dxa"/>
            <w:hideMark/>
          </w:tcPr>
          <w:p w14:paraId="04A43B1C" w14:textId="77777777" w:rsidR="009656C2" w:rsidRPr="00D25B25" w:rsidRDefault="009656C2" w:rsidP="00151BFF">
            <w:pPr>
              <w:ind w:left="0"/>
              <w:jc w:val="center"/>
            </w:pPr>
            <w:r w:rsidRPr="00D25B25">
              <w:t>75%</w:t>
            </w:r>
          </w:p>
        </w:tc>
      </w:tr>
      <w:tr w:rsidR="009656C2" w14:paraId="3D4799AD" w14:textId="77777777" w:rsidTr="00151BFF">
        <w:trPr>
          <w:trHeight w:val="511"/>
        </w:trPr>
        <w:tc>
          <w:tcPr>
            <w:tcW w:w="4130" w:type="dxa"/>
            <w:hideMark/>
          </w:tcPr>
          <w:p w14:paraId="5B667A5F" w14:textId="496BFBCA" w:rsidR="009656C2" w:rsidRPr="00D25B25" w:rsidRDefault="009656C2" w:rsidP="00151BFF">
            <w:pPr>
              <w:ind w:left="0"/>
            </w:pPr>
            <w:r w:rsidRPr="00D25B25">
              <w:t xml:space="preserve">Patients with </w:t>
            </w:r>
            <w:r w:rsidR="00D25B25" w:rsidRPr="00D25B25">
              <w:t xml:space="preserve">duration of response </w:t>
            </w:r>
            <w:r w:rsidRPr="00D25B25">
              <w:t>≥</w:t>
            </w:r>
            <w:r w:rsidR="00D25B25">
              <w:t> </w:t>
            </w:r>
            <w:r w:rsidRPr="00D25B25">
              <w:t>9</w:t>
            </w:r>
            <w:r w:rsidR="00D25B25">
              <w:t> </w:t>
            </w:r>
            <w:r w:rsidRPr="00D25B25">
              <w:t>months, %</w:t>
            </w:r>
          </w:p>
        </w:tc>
        <w:tc>
          <w:tcPr>
            <w:tcW w:w="2255" w:type="dxa"/>
            <w:hideMark/>
          </w:tcPr>
          <w:p w14:paraId="057180EE" w14:textId="77777777" w:rsidR="009656C2" w:rsidRPr="00D25B25" w:rsidRDefault="009656C2" w:rsidP="00151BFF">
            <w:pPr>
              <w:ind w:left="0"/>
              <w:jc w:val="center"/>
            </w:pPr>
            <w:r w:rsidRPr="00D25B25">
              <w:t>30%</w:t>
            </w:r>
          </w:p>
        </w:tc>
        <w:tc>
          <w:tcPr>
            <w:tcW w:w="2425" w:type="dxa"/>
            <w:hideMark/>
          </w:tcPr>
          <w:p w14:paraId="6E6BEBF2" w14:textId="77777777" w:rsidR="009656C2" w:rsidRPr="00D25B25" w:rsidRDefault="009656C2" w:rsidP="00151BFF">
            <w:pPr>
              <w:ind w:left="0"/>
              <w:jc w:val="center"/>
            </w:pPr>
            <w:r w:rsidRPr="00D25B25">
              <w:t>50%</w:t>
            </w:r>
          </w:p>
        </w:tc>
      </w:tr>
    </w:tbl>
    <w:p w14:paraId="17D18541" w14:textId="0B9840FE" w:rsidR="009656C2" w:rsidRDefault="009656C2" w:rsidP="009656C2">
      <w:r>
        <w:t xml:space="preserve">Overall response rates and </w:t>
      </w:r>
      <w:r w:rsidR="00D25B25">
        <w:t xml:space="preserve">durations of response </w:t>
      </w:r>
      <w:r>
        <w:t>were similar all of Cohort A (n = 152) and in the subsets of Cohort A: 2 October 2019 cohort (</w:t>
      </w:r>
      <w:r w:rsidR="00111155">
        <w:t>nine</w:t>
      </w:r>
      <w:r>
        <w:t xml:space="preserve"> months follow up, n = 146) and 2 April 2019 cohort (15 months follow up, n = 99) and for platinum</w:t>
      </w:r>
      <w:r w:rsidR="00D25B25">
        <w:t>-</w:t>
      </w:r>
      <w:r>
        <w:t>naïve versus prior platinum and treatment</w:t>
      </w:r>
      <w:r w:rsidR="00D25B25">
        <w:t>-</w:t>
      </w:r>
      <w:r>
        <w:t>naïve versus previously treated.</w:t>
      </w:r>
    </w:p>
    <w:p w14:paraId="5BF1D0EC" w14:textId="0F91FDE0" w:rsidR="009656C2" w:rsidRDefault="009656C2" w:rsidP="009656C2">
      <w:r>
        <w:t xml:space="preserve">The BICR </w:t>
      </w:r>
      <w:r w:rsidR="00D25B25">
        <w:t xml:space="preserve">overall response rate </w:t>
      </w:r>
      <w:r>
        <w:t>was also similar across the liquid biopsy versus the tissue biopsy groups. For those patients with at least 9 months follow up, as at the 1</w:t>
      </w:r>
      <w:r w:rsidR="00D25B25">
        <w:t> </w:t>
      </w:r>
      <w:r>
        <w:t>January</w:t>
      </w:r>
      <w:r w:rsidR="00D25B25">
        <w:t> </w:t>
      </w:r>
      <w:r>
        <w:t>2020 cut</w:t>
      </w:r>
      <w:r w:rsidR="00D25B25">
        <w:t>-</w:t>
      </w:r>
      <w:r>
        <w:t xml:space="preserve">off, the BICR </w:t>
      </w:r>
      <w:r w:rsidR="00D25B25">
        <w:t xml:space="preserve">overall response rate </w:t>
      </w:r>
      <w:r>
        <w:t>in the liquid biopsy group (n = 66) was 49% (36%, 61%). The corresponding percentage in the tissue biopsy group (n = 60) was 50% (39%, 63%).</w:t>
      </w:r>
    </w:p>
    <w:p w14:paraId="66E8E46B" w14:textId="5F18BE17" w:rsidR="009656C2" w:rsidRDefault="009656C2" w:rsidP="009656C2">
      <w:r>
        <w:t xml:space="preserve">Most of the responses to </w:t>
      </w:r>
      <w:proofErr w:type="spellStart"/>
      <w:r>
        <w:t>tepotinib</w:t>
      </w:r>
      <w:proofErr w:type="spellEnd"/>
      <w:r>
        <w:t xml:space="preserve"> occurred early (within </w:t>
      </w:r>
      <w:r w:rsidR="00111155">
        <w:t>three</w:t>
      </w:r>
      <w:r>
        <w:t xml:space="preserve"> months of the first dose).</w:t>
      </w:r>
      <w:r>
        <w:fldChar w:fldCharType="begin"/>
      </w:r>
      <w:r>
        <w:instrText xml:space="preserve"> NOTEREF _Ref106877221 \f \h </w:instrText>
      </w:r>
      <w:r>
        <w:fldChar w:fldCharType="separate"/>
      </w:r>
      <w:r w:rsidR="006F6B07" w:rsidRPr="006F6B07">
        <w:rPr>
          <w:rStyle w:val="FootnoteReference"/>
        </w:rPr>
        <w:t>7</w:t>
      </w:r>
      <w:r>
        <w:fldChar w:fldCharType="end"/>
      </w:r>
    </w:p>
    <w:p w14:paraId="0F8FD249" w14:textId="37606540" w:rsidR="009656C2" w:rsidRDefault="009656C2" w:rsidP="009656C2">
      <w:r>
        <w:t xml:space="preserve">Investigator assessed </w:t>
      </w:r>
      <w:r w:rsidR="00D25B25">
        <w:t xml:space="preserve">overall response rate </w:t>
      </w:r>
      <w:r>
        <w:t xml:space="preserve">were slightly higher than BICR </w:t>
      </w:r>
      <w:r w:rsidR="00D25B25">
        <w:t>overall response rate</w:t>
      </w:r>
      <w:r>
        <w:t>, supportive of the primary analysis per BICR assessment.</w:t>
      </w:r>
    </w:p>
    <w:p w14:paraId="1B830633" w14:textId="3C709707" w:rsidR="009656C2" w:rsidRPr="009656C2" w:rsidRDefault="009656C2" w:rsidP="000B5664">
      <w:pPr>
        <w:pStyle w:val="Heading6"/>
      </w:pPr>
      <w:r w:rsidRPr="009656C2">
        <w:lastRenderedPageBreak/>
        <w:t>Secondary endpoint</w:t>
      </w:r>
      <w:r w:rsidR="00D25B25">
        <w:t xml:space="preserve"> results</w:t>
      </w:r>
    </w:p>
    <w:p w14:paraId="0C91978A" w14:textId="570D9B25" w:rsidR="009656C2" w:rsidRDefault="009656C2" w:rsidP="009656C2">
      <w:r>
        <w:t>As per regulatory guideline,</w:t>
      </w:r>
      <w:r>
        <w:rPr>
          <w:rStyle w:val="FootnoteReference"/>
        </w:rPr>
        <w:footnoteReference w:id="23"/>
      </w:r>
      <w:r>
        <w:t xml:space="preserve"> time</w:t>
      </w:r>
      <w:r w:rsidR="00111155">
        <w:t xml:space="preserve"> </w:t>
      </w:r>
      <w:r>
        <w:t>to</w:t>
      </w:r>
      <w:r w:rsidR="00111155">
        <w:t xml:space="preserve"> </w:t>
      </w:r>
      <w:r>
        <w:t xml:space="preserve">event endpoints, such </w:t>
      </w:r>
      <w:r w:rsidR="00D25B25">
        <w:t xml:space="preserve">progression-free survival </w:t>
      </w:r>
      <w:r>
        <w:t xml:space="preserve">and </w:t>
      </w:r>
      <w:r w:rsidR="00D25B25">
        <w:t>overall survival</w:t>
      </w:r>
      <w:r>
        <w:t xml:space="preserve">, are difficult to interpret in single arm trials, given the lack of internal contemporaneous controls. For completeness, the median </w:t>
      </w:r>
      <w:r w:rsidR="00D25B25">
        <w:t xml:space="preserve">progression-free survival </w:t>
      </w:r>
      <w:r>
        <w:t>was 8</w:t>
      </w:r>
      <w:r w:rsidR="00D25B25">
        <w:t> </w:t>
      </w:r>
      <w:r>
        <w:t xml:space="preserve">to 9 months, the median </w:t>
      </w:r>
      <w:r w:rsidR="00D25B25">
        <w:t xml:space="preserve">overall survival </w:t>
      </w:r>
      <w:r>
        <w:t xml:space="preserve">was about 17 months (although this is based on small numbers). </w:t>
      </w:r>
      <w:r w:rsidR="007100C3">
        <w:t xml:space="preserve">These results for </w:t>
      </w:r>
      <w:r w:rsidR="00D25B25">
        <w:t>progression-free survival</w:t>
      </w:r>
      <w:r w:rsidR="007100C3">
        <w:t xml:space="preserve"> and </w:t>
      </w:r>
      <w:r w:rsidR="00D25B25">
        <w:t>overall survival</w:t>
      </w:r>
      <w:r w:rsidR="007100C3">
        <w:t xml:space="preserve"> have not been used for regulatory decision making.</w:t>
      </w:r>
    </w:p>
    <w:p w14:paraId="1FB5C017" w14:textId="114F6DF8" w:rsidR="009656C2" w:rsidRDefault="009656C2" w:rsidP="009656C2">
      <w:pPr>
        <w:pStyle w:val="Heading4"/>
        <w:rPr>
          <w:sz w:val="26"/>
          <w:szCs w:val="26"/>
        </w:rPr>
      </w:pPr>
      <w:r>
        <w:rPr>
          <w:sz w:val="26"/>
          <w:szCs w:val="26"/>
        </w:rPr>
        <w:t>Safety</w:t>
      </w:r>
    </w:p>
    <w:p w14:paraId="2D1DE9F8" w14:textId="48D01763" w:rsidR="009656C2" w:rsidRDefault="009656C2" w:rsidP="009656C2">
      <w:r>
        <w:t>The pooled safety population comprised 448 patients with solid tumours enrolled in five open</w:t>
      </w:r>
      <w:r w:rsidR="005F5B32">
        <w:t xml:space="preserve"> </w:t>
      </w:r>
      <w:r>
        <w:t>label, single</w:t>
      </w:r>
      <w:r w:rsidR="005F5B32">
        <w:t xml:space="preserve"> </w:t>
      </w:r>
      <w:r>
        <w:t xml:space="preserve">arm studies receiving </w:t>
      </w:r>
      <w:proofErr w:type="spellStart"/>
      <w:r>
        <w:t>tepotinib</w:t>
      </w:r>
      <w:proofErr w:type="spellEnd"/>
      <w:r>
        <w:t xml:space="preserve"> as monotherapy at a dose of 450</w:t>
      </w:r>
      <w:r w:rsidR="006D5F89">
        <w:t> </w:t>
      </w:r>
      <w:r>
        <w:t xml:space="preserve">mg once daily. Among the 448 patients, 32% were exposed for </w:t>
      </w:r>
      <w:r w:rsidR="00111155">
        <w:t>six</w:t>
      </w:r>
      <w:r>
        <w:t xml:space="preserve"> months or longer, and 12% were exposed for longer than 12 months. The results discussed below relate to both the pooled safety population as well as for the 255 patients with </w:t>
      </w:r>
      <w:r w:rsidRPr="006D5F89">
        <w:rPr>
          <w:i/>
          <w:iCs/>
        </w:rPr>
        <w:t>METex</w:t>
      </w:r>
      <w:r w:rsidR="00111155">
        <w:rPr>
          <w:i/>
          <w:iCs/>
        </w:rPr>
        <w:t>on</w:t>
      </w:r>
      <w:r w:rsidRPr="006D5F89">
        <w:rPr>
          <w:i/>
          <w:iCs/>
        </w:rPr>
        <w:t>14</w:t>
      </w:r>
      <w:r>
        <w:t xml:space="preserve"> skipping NSCLC, who received </w:t>
      </w:r>
      <w:proofErr w:type="spellStart"/>
      <w:r>
        <w:t>tepotinib</w:t>
      </w:r>
      <w:proofErr w:type="spellEnd"/>
      <w:r>
        <w:t xml:space="preserve"> in VISION</w:t>
      </w:r>
      <w:r w:rsidR="006D5F89">
        <w:t xml:space="preserve"> trial</w:t>
      </w:r>
      <w:r>
        <w:t xml:space="preserve"> (Cohort</w:t>
      </w:r>
      <w:r w:rsidR="00D25B25">
        <w:t>s</w:t>
      </w:r>
      <w:r>
        <w:t xml:space="preserve"> A</w:t>
      </w:r>
      <w:r w:rsidR="006D5F89">
        <w:t xml:space="preserve"> plus </w:t>
      </w:r>
      <w:r>
        <w:t>C).</w:t>
      </w:r>
    </w:p>
    <w:p w14:paraId="6FA5A99B" w14:textId="27511A79" w:rsidR="009656C2" w:rsidRDefault="009656C2" w:rsidP="006D5F89">
      <w:pPr>
        <w:pStyle w:val="Heading5"/>
      </w:pPr>
      <w:r>
        <w:t>Deaths</w:t>
      </w:r>
    </w:p>
    <w:p w14:paraId="62695C9E" w14:textId="721E00D6" w:rsidR="009656C2" w:rsidRDefault="009656C2" w:rsidP="009656C2">
      <w:r>
        <w:t xml:space="preserve">At data </w:t>
      </w:r>
      <w:proofErr w:type="spellStart"/>
      <w:r>
        <w:t>cutoff</w:t>
      </w:r>
      <w:proofErr w:type="spellEnd"/>
      <w:r>
        <w:t xml:space="preserve"> date of </w:t>
      </w:r>
      <w:r w:rsidR="006D5F89">
        <w:t xml:space="preserve">1 </w:t>
      </w:r>
      <w:r>
        <w:t xml:space="preserve">January 2020, </w:t>
      </w:r>
      <w:r w:rsidR="006D5F89">
        <w:t>four</w:t>
      </w:r>
      <w:r>
        <w:t xml:space="preserve"> patients in the pooled safety population died due to </w:t>
      </w:r>
      <w:r w:rsidR="00D25B25">
        <w:t xml:space="preserve">treatment-emergent adverse events (TEAEs) </w:t>
      </w:r>
      <w:r>
        <w:t xml:space="preserve">that </w:t>
      </w:r>
      <w:proofErr w:type="gramStart"/>
      <w:r>
        <w:t>were considered to be</w:t>
      </w:r>
      <w:proofErr w:type="gramEnd"/>
      <w:r>
        <w:t xml:space="preserve"> treatment related. Among the deaths in the VISION </w:t>
      </w:r>
      <w:r w:rsidR="006D5F89">
        <w:t>trial C</w:t>
      </w:r>
      <w:r>
        <w:t>ohort A</w:t>
      </w:r>
      <w:r w:rsidR="006D5F89">
        <w:t xml:space="preserve"> plus </w:t>
      </w:r>
      <w:r>
        <w:t xml:space="preserve">C, three </w:t>
      </w:r>
      <w:proofErr w:type="gramStart"/>
      <w:r>
        <w:t>were considered to be</w:t>
      </w:r>
      <w:proofErr w:type="gramEnd"/>
      <w:r>
        <w:t xml:space="preserve"> due to an adverse reaction (one from fatal acute hepatic failure, one from acute respiratory failure and one due to dyspnoea from fluid overload).</w:t>
      </w:r>
    </w:p>
    <w:p w14:paraId="7F12F1F6" w14:textId="6D715FC8" w:rsidR="009656C2" w:rsidRDefault="009656C2" w:rsidP="006D5F89">
      <w:pPr>
        <w:pStyle w:val="Heading5"/>
      </w:pPr>
      <w:r>
        <w:t xml:space="preserve">Serious </w:t>
      </w:r>
      <w:r w:rsidR="006D5F89">
        <w:t>a</w:t>
      </w:r>
      <w:r>
        <w:t xml:space="preserve">dverse </w:t>
      </w:r>
      <w:r w:rsidR="006D5F89">
        <w:t>e</w:t>
      </w:r>
      <w:r>
        <w:t>vents</w:t>
      </w:r>
    </w:p>
    <w:p w14:paraId="721F88B3" w14:textId="625B9686" w:rsidR="009656C2" w:rsidRDefault="009656C2" w:rsidP="009656C2">
      <w:r>
        <w:t xml:space="preserve">At least one </w:t>
      </w:r>
      <w:r w:rsidR="006D5F89">
        <w:t>serious adverse event (</w:t>
      </w:r>
      <w:r>
        <w:t>SAE</w:t>
      </w:r>
      <w:r w:rsidR="006D5F89">
        <w:t>)</w:t>
      </w:r>
      <w:r>
        <w:t xml:space="preserve"> was reported for 44.2% of patients in the VISION</w:t>
      </w:r>
      <w:r w:rsidR="00D25B25">
        <w:t> </w:t>
      </w:r>
      <w:r w:rsidR="006D5F89">
        <w:t xml:space="preserve">trial </w:t>
      </w:r>
      <w:r>
        <w:t>Cohorts A</w:t>
      </w:r>
      <w:r w:rsidR="006D5F89">
        <w:t xml:space="preserve"> plus </w:t>
      </w:r>
      <w:r>
        <w:t xml:space="preserve">C, and 43.7% in the pooled population. The most common </w:t>
      </w:r>
      <w:r w:rsidR="00D25B25">
        <w:t xml:space="preserve">serious adverse events </w:t>
      </w:r>
      <w:r>
        <w:t xml:space="preserve">in </w:t>
      </w:r>
      <w:r w:rsidR="00D25B25">
        <w:t xml:space="preserve">the </w:t>
      </w:r>
      <w:r>
        <w:t xml:space="preserve">VISION </w:t>
      </w:r>
      <w:r w:rsidR="006D5F89">
        <w:t xml:space="preserve">trial </w:t>
      </w:r>
      <w:r>
        <w:t>Cohorts A</w:t>
      </w:r>
      <w:r w:rsidR="006D5F89">
        <w:t xml:space="preserve"> plus </w:t>
      </w:r>
      <w:r>
        <w:t>C were pleural effusion (7.2%), pneumonia (4.4%) and disease progression (4.4%).</w:t>
      </w:r>
      <w:r w:rsidR="006D5F89">
        <w:t xml:space="preserve"> </w:t>
      </w:r>
      <w:r w:rsidR="00D25B25">
        <w:t xml:space="preserve">Serious adverse events </w:t>
      </w:r>
      <w:r>
        <w:t xml:space="preserve">assessed as treatment related as per </w:t>
      </w:r>
      <w:r w:rsidR="006D5F89">
        <w:t>i</w:t>
      </w:r>
      <w:r>
        <w:t>nvestigator in ≥</w:t>
      </w:r>
      <w:r w:rsidR="006D5F89">
        <w:t> </w:t>
      </w:r>
      <w:r>
        <w:t>2% of patients were pleural effusion (2.8%), generalised oedema (2.2%) and peripheral oedema (2.2%).</w:t>
      </w:r>
    </w:p>
    <w:p w14:paraId="3ECC3037" w14:textId="5BB80491" w:rsidR="009656C2" w:rsidRDefault="009656C2" w:rsidP="006D5F89">
      <w:pPr>
        <w:pStyle w:val="Heading5"/>
      </w:pPr>
      <w:r>
        <w:t xml:space="preserve">Discontinuation due to </w:t>
      </w:r>
      <w:r w:rsidR="006D5F89">
        <w:t>a</w:t>
      </w:r>
      <w:r>
        <w:t xml:space="preserve">dverse </w:t>
      </w:r>
      <w:r w:rsidR="006D5F89">
        <w:t>e</w:t>
      </w:r>
      <w:r>
        <w:t>ffects</w:t>
      </w:r>
    </w:p>
    <w:p w14:paraId="717FCF45" w14:textId="64093A26" w:rsidR="009656C2" w:rsidRDefault="009656C2" w:rsidP="006D5F89">
      <w:pPr>
        <w:rPr>
          <w:szCs w:val="24"/>
        </w:rPr>
      </w:pPr>
      <w:r>
        <w:rPr>
          <w:szCs w:val="24"/>
        </w:rPr>
        <w:t>Permanent discontinuation due to an adverse reaction occurred in 21% of patients. This was most frequently due to peripheral oedema (5%), pleural effusion (2%), dyspnoea (1.6%), general health deterioration (1.6%), and pneumonitis (1.2%).</w:t>
      </w:r>
    </w:p>
    <w:p w14:paraId="4F3F6DF2" w14:textId="317474F7" w:rsidR="009656C2" w:rsidRDefault="009656C2" w:rsidP="006D5F89">
      <w:pPr>
        <w:pStyle w:val="Heading5"/>
      </w:pPr>
      <w:r>
        <w:t xml:space="preserve">Dose interruption/reduction due to </w:t>
      </w:r>
      <w:r w:rsidR="006D5F89">
        <w:t>a</w:t>
      </w:r>
      <w:r>
        <w:t xml:space="preserve">dverse </w:t>
      </w:r>
      <w:r w:rsidR="006D5F89">
        <w:t>e</w:t>
      </w:r>
      <w:r>
        <w:t>ffects</w:t>
      </w:r>
    </w:p>
    <w:p w14:paraId="4F69BBB3" w14:textId="1F4ACB5D" w:rsidR="009656C2" w:rsidRDefault="009656C2" w:rsidP="009656C2">
      <w:pPr>
        <w:autoSpaceDE w:val="0"/>
        <w:autoSpaceDN w:val="0"/>
        <w:adjustRightInd w:val="0"/>
        <w:rPr>
          <w:i/>
          <w:szCs w:val="24"/>
        </w:rPr>
      </w:pPr>
      <w:r>
        <w:rPr>
          <w:szCs w:val="24"/>
        </w:rPr>
        <w:t xml:space="preserve">Dosage interruptions due to an adverse reaction occurred in 44.2% of patients in </w:t>
      </w:r>
      <w:r w:rsidR="00D25B25">
        <w:rPr>
          <w:szCs w:val="24"/>
        </w:rPr>
        <w:t xml:space="preserve">the </w:t>
      </w:r>
      <w:r>
        <w:rPr>
          <w:szCs w:val="24"/>
        </w:rPr>
        <w:t xml:space="preserve">VISION </w:t>
      </w:r>
      <w:r w:rsidR="006D5F89">
        <w:rPr>
          <w:szCs w:val="24"/>
        </w:rPr>
        <w:t xml:space="preserve">trial </w:t>
      </w:r>
      <w:r>
        <w:rPr>
          <w:szCs w:val="24"/>
        </w:rPr>
        <w:t>Cohort A</w:t>
      </w:r>
      <w:r w:rsidR="006D5F89">
        <w:rPr>
          <w:szCs w:val="24"/>
        </w:rPr>
        <w:t xml:space="preserve"> plus </w:t>
      </w:r>
      <w:r>
        <w:rPr>
          <w:szCs w:val="24"/>
        </w:rPr>
        <w:t xml:space="preserve">C and 37.3% in the pooled safety population. This was most frequently due to peripheral oedema (23%), increased blood creatinine (6%), pleural effusion (4.3%), increased </w:t>
      </w:r>
      <w:r w:rsidR="00B27319" w:rsidRPr="00B54981">
        <w:t>alanine trans</w:t>
      </w:r>
      <w:r w:rsidR="00D25B25">
        <w:t>aminase</w:t>
      </w:r>
      <w:r w:rsidR="00B27319">
        <w:t xml:space="preserve"> (ALT)</w:t>
      </w:r>
      <w:r>
        <w:rPr>
          <w:szCs w:val="24"/>
        </w:rPr>
        <w:t xml:space="preserve"> (3.1%), and pneumonia (2.4%).</w:t>
      </w:r>
    </w:p>
    <w:p w14:paraId="48E7D431" w14:textId="32A86008" w:rsidR="009656C2" w:rsidRDefault="009656C2" w:rsidP="009656C2">
      <w:pPr>
        <w:autoSpaceDE w:val="0"/>
        <w:autoSpaceDN w:val="0"/>
        <w:adjustRightInd w:val="0"/>
        <w:rPr>
          <w:szCs w:val="24"/>
        </w:rPr>
      </w:pPr>
      <w:r>
        <w:rPr>
          <w:szCs w:val="24"/>
        </w:rPr>
        <w:t xml:space="preserve">Dose reductions due to an adverse reaction occurred in 30% of patients in VISION </w:t>
      </w:r>
      <w:r w:rsidR="006D5F89">
        <w:rPr>
          <w:szCs w:val="24"/>
        </w:rPr>
        <w:t xml:space="preserve">trial </w:t>
      </w:r>
      <w:r>
        <w:rPr>
          <w:szCs w:val="24"/>
        </w:rPr>
        <w:t>Cohort A</w:t>
      </w:r>
      <w:r w:rsidR="006D5F89">
        <w:rPr>
          <w:szCs w:val="24"/>
        </w:rPr>
        <w:t xml:space="preserve"> plus </w:t>
      </w:r>
      <w:r>
        <w:rPr>
          <w:szCs w:val="24"/>
        </w:rPr>
        <w:t>C. This was most frequently due to peripheral oedema (19%), pleural effusion (2.7%), and increased blood creatinine (2.7%).</w:t>
      </w:r>
    </w:p>
    <w:p w14:paraId="00C442C2" w14:textId="0629D5AF" w:rsidR="009656C2" w:rsidRDefault="00CF33AF" w:rsidP="006D5F89">
      <w:pPr>
        <w:pStyle w:val="Heading5"/>
      </w:pPr>
      <w:r>
        <w:t>Adverse event of special interest: i</w:t>
      </w:r>
      <w:r w:rsidR="009656C2">
        <w:t>nterstitial lung disease</w:t>
      </w:r>
    </w:p>
    <w:p w14:paraId="0441AF9F" w14:textId="6DB6D235" w:rsidR="009656C2" w:rsidRDefault="009656C2" w:rsidP="009656C2">
      <w:r>
        <w:t xml:space="preserve">Interstitial lung disease (ILD)/pneumonitis occurred in 2.2% of patients in the pooled safety population and was fatal in one patient; </w:t>
      </w:r>
      <w:r w:rsidR="006D5F89">
        <w:t>four</w:t>
      </w:r>
      <w:r>
        <w:t xml:space="preserve"> patients (0.9%) discontinued </w:t>
      </w:r>
      <w:proofErr w:type="spellStart"/>
      <w:r>
        <w:t>tepotinib</w:t>
      </w:r>
      <w:proofErr w:type="spellEnd"/>
      <w:r>
        <w:t xml:space="preserve"> due to ILD/pneumonitis.</w:t>
      </w:r>
    </w:p>
    <w:p w14:paraId="4B4146C9" w14:textId="2256790A" w:rsidR="009656C2" w:rsidRDefault="009656C2" w:rsidP="009656C2">
      <w:pPr>
        <w:autoSpaceDE w:val="0"/>
        <w:autoSpaceDN w:val="0"/>
        <w:adjustRightInd w:val="0"/>
        <w:rPr>
          <w:szCs w:val="24"/>
        </w:rPr>
      </w:pPr>
      <w:r>
        <w:rPr>
          <w:szCs w:val="24"/>
        </w:rPr>
        <w:lastRenderedPageBreak/>
        <w:t xml:space="preserve">The incidence of ILD/pneumonitis in patients in </w:t>
      </w:r>
      <w:r w:rsidR="00CF33AF">
        <w:rPr>
          <w:szCs w:val="24"/>
        </w:rPr>
        <w:t xml:space="preserve">the </w:t>
      </w:r>
      <w:r>
        <w:rPr>
          <w:szCs w:val="24"/>
        </w:rPr>
        <w:t>VISION</w:t>
      </w:r>
      <w:r w:rsidR="006D5F89">
        <w:rPr>
          <w:szCs w:val="24"/>
        </w:rPr>
        <w:t xml:space="preserve"> trial</w:t>
      </w:r>
      <w:r>
        <w:rPr>
          <w:szCs w:val="24"/>
        </w:rPr>
        <w:t xml:space="preserve"> Cohorts A</w:t>
      </w:r>
      <w:r w:rsidR="006D5F89">
        <w:rPr>
          <w:szCs w:val="24"/>
        </w:rPr>
        <w:t xml:space="preserve"> plus </w:t>
      </w:r>
      <w:r>
        <w:rPr>
          <w:szCs w:val="24"/>
        </w:rPr>
        <w:t>C was 3.1%.</w:t>
      </w:r>
    </w:p>
    <w:p w14:paraId="22455D58" w14:textId="5B13156D" w:rsidR="009656C2" w:rsidRDefault="009656C2" w:rsidP="006D5F89">
      <w:pPr>
        <w:pStyle w:val="Heading5"/>
      </w:pPr>
      <w:r>
        <w:t>Laboratory findings</w:t>
      </w:r>
    </w:p>
    <w:p w14:paraId="5078337E" w14:textId="2A03CE2E" w:rsidR="009656C2" w:rsidRDefault="009656C2" w:rsidP="006D5F89">
      <w:r>
        <w:t xml:space="preserve">The most common </w:t>
      </w:r>
      <w:r w:rsidR="006D5F89">
        <w:t>G</w:t>
      </w:r>
      <w:r>
        <w:t>rade</w:t>
      </w:r>
      <w:r w:rsidR="006D5F89">
        <w:t xml:space="preserve"> </w:t>
      </w:r>
      <w:r>
        <w:t>3</w:t>
      </w:r>
      <w:r w:rsidR="00B54981">
        <w:t>/</w:t>
      </w:r>
      <w:r>
        <w:t xml:space="preserve">4 laboratory abnormalities in patients in </w:t>
      </w:r>
      <w:r w:rsidR="00CF33AF">
        <w:t xml:space="preserve">the </w:t>
      </w:r>
      <w:r>
        <w:t>VISION</w:t>
      </w:r>
      <w:r w:rsidR="006D5F89">
        <w:t xml:space="preserve"> trial</w:t>
      </w:r>
      <w:r>
        <w:t xml:space="preserve"> Cohorts A</w:t>
      </w:r>
      <w:r w:rsidR="006D5F89">
        <w:t xml:space="preserve"> plus </w:t>
      </w:r>
      <w:r>
        <w:t>C were decreased lymphocytes (11%), decreased albumin (9%), decreased sodium (8%), increased gamma-</w:t>
      </w:r>
      <w:proofErr w:type="spellStart"/>
      <w:r>
        <w:t>glutamyltransferase</w:t>
      </w:r>
      <w:proofErr w:type="spellEnd"/>
      <w:r w:rsidR="00CF33AF">
        <w:t xml:space="preserve"> (GGT;</w:t>
      </w:r>
      <w:r>
        <w:t xml:space="preserve"> 5%), increased amylase (4.6%), increased ALT (4.1%), increased </w:t>
      </w:r>
      <w:r w:rsidR="00B54981">
        <w:t>a</w:t>
      </w:r>
      <w:r w:rsidR="00B54981" w:rsidRPr="00B54981">
        <w:t xml:space="preserve">spartate transaminase </w:t>
      </w:r>
      <w:r w:rsidR="00B54981">
        <w:t>(</w:t>
      </w:r>
      <w:r>
        <w:t>AST</w:t>
      </w:r>
      <w:r w:rsidR="00B54981">
        <w:t>)</w:t>
      </w:r>
      <w:r>
        <w:t xml:space="preserve"> (2.5%), and decreased haemoglobin (2%).</w:t>
      </w:r>
    </w:p>
    <w:p w14:paraId="2E5C5426" w14:textId="0DF7614F" w:rsidR="009656C2" w:rsidRDefault="00B54981" w:rsidP="00B54981">
      <w:pPr>
        <w:pStyle w:val="Heading5"/>
        <w:rPr>
          <w:szCs w:val="24"/>
        </w:rPr>
      </w:pPr>
      <w:r>
        <w:t>A</w:t>
      </w:r>
      <w:r w:rsidRPr="00B54981">
        <w:t>spartate transaminase</w:t>
      </w:r>
      <w:r>
        <w:t>/</w:t>
      </w:r>
      <w:r w:rsidRPr="00B54981">
        <w:t>alanine aminotransferase</w:t>
      </w:r>
    </w:p>
    <w:p w14:paraId="69F28D8E" w14:textId="6F0990CD" w:rsidR="009656C2" w:rsidRDefault="009656C2" w:rsidP="009656C2">
      <w:pPr>
        <w:autoSpaceDE w:val="0"/>
        <w:autoSpaceDN w:val="0"/>
        <w:adjustRightInd w:val="0"/>
      </w:pPr>
      <w:r>
        <w:t xml:space="preserve">Increased ALT/AST occurred in 13% of patients in the pooled population; </w:t>
      </w:r>
      <w:r w:rsidR="00B54981">
        <w:t>G</w:t>
      </w:r>
      <w:r>
        <w:t>rade</w:t>
      </w:r>
      <w:r w:rsidR="00B54981">
        <w:t xml:space="preserve"> </w:t>
      </w:r>
      <w:r>
        <w:t>3</w:t>
      </w:r>
      <w:r w:rsidR="00CF33AF">
        <w:t xml:space="preserve"> or </w:t>
      </w:r>
      <w:r>
        <w:t xml:space="preserve">4 </w:t>
      </w:r>
      <w:r w:rsidR="00CF33AF">
        <w:t xml:space="preserve">increases </w:t>
      </w:r>
      <w:r>
        <w:t xml:space="preserve">occurred in 4.2%. A fatal adverse reaction of hepatic failure occurred in one patient (0.2%). Three patients (0.7%) discontinued </w:t>
      </w:r>
      <w:proofErr w:type="spellStart"/>
      <w:r>
        <w:t>tepotinib</w:t>
      </w:r>
      <w:proofErr w:type="spellEnd"/>
      <w:r>
        <w:t xml:space="preserve"> due to increased ALT/AST. The median time</w:t>
      </w:r>
      <w:r w:rsidR="00B54981">
        <w:t xml:space="preserve"> </w:t>
      </w:r>
      <w:r>
        <w:t>to</w:t>
      </w:r>
      <w:r w:rsidR="00B54981">
        <w:t xml:space="preserve"> </w:t>
      </w:r>
      <w:r>
        <w:t xml:space="preserve">onset of </w:t>
      </w:r>
      <w:r w:rsidR="00B54981">
        <w:t>G</w:t>
      </w:r>
      <w:r>
        <w:t>rade 3 or higher increased ALT/AST was 30 days (range 1 to 178).</w:t>
      </w:r>
    </w:p>
    <w:p w14:paraId="192D801E" w14:textId="665CD928" w:rsidR="009656C2" w:rsidRDefault="00B54981" w:rsidP="00B54981">
      <w:pPr>
        <w:pStyle w:val="Heading5"/>
      </w:pPr>
      <w:r>
        <w:t>E</w:t>
      </w:r>
      <w:r w:rsidRPr="00B54981">
        <w:t>lectrocardiogram</w:t>
      </w:r>
    </w:p>
    <w:p w14:paraId="00B83C0B" w14:textId="0163E084" w:rsidR="009656C2" w:rsidRDefault="009656C2" w:rsidP="00B54981">
      <w:pPr>
        <w:autoSpaceDE w:val="0"/>
        <w:autoSpaceDN w:val="0"/>
        <w:adjustRightInd w:val="0"/>
      </w:pPr>
      <w:r>
        <w:t>Exposure</w:t>
      </w:r>
      <w:r w:rsidR="00B54981">
        <w:t xml:space="preserve"> </w:t>
      </w:r>
      <w:r>
        <w:t>QTc</w:t>
      </w:r>
      <w:r w:rsidR="00B54981">
        <w:t>;</w:t>
      </w:r>
      <w:r w:rsidR="00B54981">
        <w:rPr>
          <w:rStyle w:val="FootnoteReference"/>
        </w:rPr>
        <w:footnoteReference w:id="24"/>
      </w:r>
      <w:r>
        <w:t xml:space="preserve"> modelling showed no clinically relevant prolongation of the QTc interval.</w:t>
      </w:r>
    </w:p>
    <w:p w14:paraId="5706E281" w14:textId="1303BBFC" w:rsidR="008E7846" w:rsidRDefault="00386150" w:rsidP="007B6132">
      <w:pPr>
        <w:pStyle w:val="Heading3"/>
        <w:rPr>
          <w:lang w:eastAsia="en-AU"/>
        </w:rPr>
      </w:pPr>
      <w:bookmarkStart w:id="50" w:name="_Ref107841547"/>
      <w:bookmarkStart w:id="51" w:name="_Toc107841983"/>
      <w:r>
        <w:rPr>
          <w:lang w:eastAsia="en-AU"/>
        </w:rPr>
        <w:t>Risk m</w:t>
      </w:r>
      <w:r w:rsidR="008E7846">
        <w:rPr>
          <w:lang w:eastAsia="en-AU"/>
        </w:rPr>
        <w:t xml:space="preserve">anagement </w:t>
      </w:r>
      <w:r>
        <w:rPr>
          <w:lang w:eastAsia="en-AU"/>
        </w:rPr>
        <w:t>p</w:t>
      </w:r>
      <w:r w:rsidR="008E7846">
        <w:rPr>
          <w:lang w:eastAsia="en-AU"/>
        </w:rPr>
        <w:t>lan</w:t>
      </w:r>
      <w:bookmarkEnd w:id="47"/>
      <w:bookmarkEnd w:id="50"/>
      <w:bookmarkEnd w:id="51"/>
    </w:p>
    <w:p w14:paraId="44892C14" w14:textId="7B0C34A1" w:rsidR="0074163C" w:rsidRDefault="0074163C" w:rsidP="0074163C">
      <w:bookmarkStart w:id="52" w:name="_Toc247691531"/>
      <w:bookmarkStart w:id="53" w:name="_Toc314842515"/>
      <w:bookmarkStart w:id="54" w:name="_Toc196046505"/>
      <w:bookmarkStart w:id="55" w:name="_Toc196046949"/>
      <w:r>
        <w:t xml:space="preserve">The summary of safety concerns and their associated risk monitoring and mitigation strategies are summarised in </w:t>
      </w:r>
      <w:r w:rsidR="00E27532">
        <w:fldChar w:fldCharType="begin"/>
      </w:r>
      <w:r w:rsidR="00E27532">
        <w:instrText xml:space="preserve"> REF _Ref97629131 \h </w:instrText>
      </w:r>
      <w:r w:rsidR="00E27532">
        <w:fldChar w:fldCharType="separate"/>
      </w:r>
      <w:r w:rsidR="006F6B07">
        <w:t xml:space="preserve">Table </w:t>
      </w:r>
      <w:r w:rsidR="006F6B07">
        <w:rPr>
          <w:noProof/>
        </w:rPr>
        <w:t>4</w:t>
      </w:r>
      <w:r w:rsidR="00E27532">
        <w:fldChar w:fldCharType="end"/>
      </w:r>
      <w:r>
        <w:t xml:space="preserve">. Further information regarding </w:t>
      </w:r>
      <w:r w:rsidR="00CC5044">
        <w:t>the TGA</w:t>
      </w:r>
      <w:r w:rsidR="00BF7063">
        <w:t>’</w:t>
      </w:r>
      <w:r w:rsidR="00CC5044">
        <w:t>s r</w:t>
      </w:r>
      <w:r>
        <w:t xml:space="preserve">isk management approach can be found in </w:t>
      </w:r>
      <w:hyperlink r:id="rId23" w:history="1">
        <w:r w:rsidRPr="0023444E">
          <w:rPr>
            <w:rStyle w:val="Hyperlink"/>
          </w:rPr>
          <w:t>risk management plans for medicines and biologicals</w:t>
        </w:r>
      </w:hyperlink>
      <w:r>
        <w:t xml:space="preserve"> and </w:t>
      </w:r>
      <w:hyperlink r:id="rId24" w:history="1">
        <w:r w:rsidRPr="0023444E">
          <w:rPr>
            <w:rStyle w:val="Hyperlink"/>
          </w:rPr>
          <w:t>the TGA's risk management approach</w:t>
        </w:r>
      </w:hyperlink>
      <w:r>
        <w:t>.</w:t>
      </w:r>
    </w:p>
    <w:p w14:paraId="6AF43E9C" w14:textId="75AAE58B" w:rsidR="00E27532" w:rsidRDefault="00E27532" w:rsidP="00E27532">
      <w:r>
        <w:t>Th</w:t>
      </w:r>
      <w:r w:rsidR="00CF33AF">
        <w:t>e</w:t>
      </w:r>
      <w:r>
        <w:t xml:space="preserve"> sponsor has submitted Core-risk management plan (RMP) version 3.0 (dated 10</w:t>
      </w:r>
      <w:r w:rsidR="00CF33AF">
        <w:t> </w:t>
      </w:r>
      <w:r>
        <w:t>May</w:t>
      </w:r>
      <w:r w:rsidR="00CF33AF">
        <w:t> </w:t>
      </w:r>
      <w:r>
        <w:t>2021; data lock point (DLP) 1 July 2020) and Australia specific annex (ASA) version 2.1 (dated 27 July 2021) in support of this application. The most recently evaluated Core RMP was version 3.0 (dated 10 May 2021; DLP 1 July 2020) and ASA version 2.0 (dated 17 May 2021) which was submitted in support of application.</w:t>
      </w:r>
    </w:p>
    <w:p w14:paraId="5D6CDC4C" w14:textId="66067B6B" w:rsidR="0074163C" w:rsidRDefault="0074163C" w:rsidP="0074163C">
      <w:pPr>
        <w:pStyle w:val="TableTitle"/>
      </w:pPr>
      <w:bookmarkStart w:id="56" w:name="_Ref97629131"/>
      <w:r>
        <w:t xml:space="preserve">Table </w:t>
      </w:r>
      <w:r>
        <w:fldChar w:fldCharType="begin"/>
      </w:r>
      <w:r>
        <w:instrText>SEQ Table \* ARABIC</w:instrText>
      </w:r>
      <w:r>
        <w:fldChar w:fldCharType="separate"/>
      </w:r>
      <w:r w:rsidR="006F6B07">
        <w:rPr>
          <w:noProof/>
        </w:rPr>
        <w:t>4</w:t>
      </w:r>
      <w:r>
        <w:fldChar w:fldCharType="end"/>
      </w:r>
      <w:bookmarkEnd w:id="56"/>
      <w:r>
        <w:t>: Summary of safety concerns</w:t>
      </w:r>
      <w:r w:rsidR="00CF1281">
        <w:fldChar w:fldCharType="begin"/>
      </w:r>
      <w:r w:rsidR="00CF1281">
        <w:instrText>DOCVARIABLE vault_nd_2be47d55-2aaf-4521-872d-431bad229861 \* MERGEFORMAT</w:instrText>
      </w:r>
      <w:r w:rsidR="00CF1281">
        <w:fldChar w:fldCharType="separate"/>
      </w:r>
      <w:r w:rsidR="006F6B07">
        <w:t xml:space="preserve"> </w:t>
      </w:r>
      <w:r w:rsidR="00CF1281">
        <w:fldChar w:fldCharType="end"/>
      </w:r>
    </w:p>
    <w:tbl>
      <w:tblPr>
        <w:tblStyle w:val="TableTGAblue"/>
        <w:tblW w:w="8815" w:type="dxa"/>
        <w:tblLayout w:type="fixed"/>
        <w:tblLook w:val="04A0" w:firstRow="1" w:lastRow="0" w:firstColumn="1" w:lastColumn="0" w:noHBand="0" w:noVBand="1"/>
      </w:tblPr>
      <w:tblGrid>
        <w:gridCol w:w="1271"/>
        <w:gridCol w:w="2804"/>
        <w:gridCol w:w="1054"/>
        <w:gridCol w:w="1316"/>
        <w:gridCol w:w="1054"/>
        <w:gridCol w:w="1316"/>
      </w:tblGrid>
      <w:tr w:rsidR="00E27532" w14:paraId="3D058D26" w14:textId="77777777" w:rsidTr="0068181F">
        <w:trPr>
          <w:cnfStyle w:val="100000000000" w:firstRow="1" w:lastRow="0" w:firstColumn="0" w:lastColumn="0" w:oddVBand="0" w:evenVBand="0" w:oddHBand="0" w:evenHBand="0" w:firstRowFirstColumn="0" w:firstRowLastColumn="0" w:lastRowFirstColumn="0" w:lastRowLastColumn="0"/>
          <w:trHeight w:val="131"/>
        </w:trPr>
        <w:tc>
          <w:tcPr>
            <w:tcW w:w="4075" w:type="dxa"/>
            <w:gridSpan w:val="2"/>
            <w:vMerge w:val="restart"/>
            <w:tcBorders>
              <w:top w:val="single" w:sz="4" w:space="0" w:color="auto"/>
              <w:left w:val="single" w:sz="4" w:space="0" w:color="auto"/>
              <w:bottom w:val="single" w:sz="4" w:space="0" w:color="auto"/>
              <w:right w:val="single" w:sz="4" w:space="0" w:color="auto"/>
            </w:tcBorders>
            <w:hideMark/>
          </w:tcPr>
          <w:p w14:paraId="47DFD72D" w14:textId="77777777" w:rsidR="00E27532" w:rsidRPr="0068181F" w:rsidRDefault="00E27532" w:rsidP="0068181F">
            <w:pPr>
              <w:pStyle w:val="Tabletext"/>
              <w:ind w:left="0" w:right="0"/>
              <w:rPr>
                <w:rFonts w:eastAsia="Times New Roman"/>
                <w:bCs/>
                <w:sz w:val="22"/>
              </w:rPr>
            </w:pPr>
            <w:r w:rsidRPr="0068181F">
              <w:rPr>
                <w:bCs/>
                <w:sz w:val="22"/>
              </w:rPr>
              <w:t>Summary of safety concerns</w:t>
            </w:r>
          </w:p>
        </w:tc>
        <w:tc>
          <w:tcPr>
            <w:tcW w:w="2370" w:type="dxa"/>
            <w:gridSpan w:val="2"/>
            <w:tcBorders>
              <w:top w:val="single" w:sz="4" w:space="0" w:color="auto"/>
              <w:left w:val="single" w:sz="4" w:space="0" w:color="auto"/>
              <w:bottom w:val="single" w:sz="4" w:space="0" w:color="auto"/>
              <w:right w:val="single" w:sz="4" w:space="0" w:color="auto"/>
            </w:tcBorders>
            <w:hideMark/>
          </w:tcPr>
          <w:p w14:paraId="714EAE17" w14:textId="77777777" w:rsidR="00E27532" w:rsidRPr="0068181F" w:rsidRDefault="00E27532" w:rsidP="0068181F">
            <w:pPr>
              <w:pStyle w:val="Tabletext"/>
              <w:ind w:left="0" w:right="0"/>
              <w:rPr>
                <w:bCs/>
                <w:sz w:val="22"/>
              </w:rPr>
            </w:pPr>
            <w:r w:rsidRPr="0068181F">
              <w:rPr>
                <w:bCs/>
                <w:sz w:val="22"/>
              </w:rPr>
              <w:t>Pharmacovigilance</w:t>
            </w:r>
          </w:p>
        </w:tc>
        <w:tc>
          <w:tcPr>
            <w:tcW w:w="2370" w:type="dxa"/>
            <w:gridSpan w:val="2"/>
            <w:tcBorders>
              <w:top w:val="single" w:sz="4" w:space="0" w:color="auto"/>
              <w:left w:val="single" w:sz="4" w:space="0" w:color="auto"/>
              <w:bottom w:val="single" w:sz="4" w:space="0" w:color="auto"/>
              <w:right w:val="single" w:sz="4" w:space="0" w:color="auto"/>
            </w:tcBorders>
            <w:hideMark/>
          </w:tcPr>
          <w:p w14:paraId="727992E7" w14:textId="77777777" w:rsidR="00E27532" w:rsidRPr="0068181F" w:rsidRDefault="00E27532" w:rsidP="0068181F">
            <w:pPr>
              <w:pStyle w:val="Tabletext"/>
              <w:ind w:left="0" w:right="0"/>
              <w:rPr>
                <w:bCs/>
                <w:sz w:val="22"/>
              </w:rPr>
            </w:pPr>
            <w:r w:rsidRPr="0068181F">
              <w:rPr>
                <w:bCs/>
                <w:sz w:val="22"/>
              </w:rPr>
              <w:t>Risk Minimisation</w:t>
            </w:r>
          </w:p>
        </w:tc>
      </w:tr>
      <w:tr w:rsidR="00CF33AF" w14:paraId="794CAE92" w14:textId="77777777" w:rsidTr="0068181F">
        <w:trPr>
          <w:trHeight w:val="367"/>
        </w:trPr>
        <w:tc>
          <w:tcPr>
            <w:tcW w:w="4075" w:type="dxa"/>
            <w:gridSpan w:val="2"/>
            <w:vMerge/>
            <w:tcBorders>
              <w:top w:val="single" w:sz="4" w:space="0" w:color="auto"/>
              <w:left w:val="single" w:sz="4" w:space="0" w:color="auto"/>
              <w:bottom w:val="single" w:sz="4" w:space="0" w:color="auto"/>
              <w:right w:val="single" w:sz="4" w:space="0" w:color="auto"/>
            </w:tcBorders>
            <w:hideMark/>
          </w:tcPr>
          <w:p w14:paraId="1904AD92" w14:textId="77777777" w:rsidR="00E27532" w:rsidRPr="0068181F" w:rsidRDefault="00E27532" w:rsidP="0068181F">
            <w:pPr>
              <w:spacing w:after="0" w:line="240" w:lineRule="auto"/>
              <w:ind w:left="0" w:right="0"/>
              <w:rPr>
                <w:rFonts w:eastAsia="Times New Roman"/>
                <w:b/>
                <w:bCs/>
                <w:szCs w:val="24"/>
                <w:lang w:eastAsia="en-US"/>
              </w:rPr>
            </w:pPr>
          </w:p>
        </w:tc>
        <w:tc>
          <w:tcPr>
            <w:tcW w:w="1054" w:type="dxa"/>
            <w:tcBorders>
              <w:top w:val="single" w:sz="4" w:space="0" w:color="auto"/>
              <w:left w:val="single" w:sz="4" w:space="0" w:color="auto"/>
              <w:bottom w:val="single" w:sz="4" w:space="0" w:color="auto"/>
              <w:right w:val="single" w:sz="4" w:space="0" w:color="auto"/>
            </w:tcBorders>
            <w:shd w:val="clear" w:color="auto" w:fill="006DA7"/>
            <w:hideMark/>
          </w:tcPr>
          <w:p w14:paraId="63836772" w14:textId="77777777" w:rsidR="00E27532" w:rsidRPr="0068181F" w:rsidRDefault="00E27532" w:rsidP="0068181F">
            <w:pPr>
              <w:pStyle w:val="Tabletext"/>
              <w:ind w:left="0" w:right="0"/>
              <w:rPr>
                <w:b/>
                <w:bCs/>
                <w:color w:val="FFFFFF" w:themeColor="background1"/>
                <w:sz w:val="22"/>
              </w:rPr>
            </w:pPr>
            <w:r w:rsidRPr="0068181F">
              <w:rPr>
                <w:b/>
                <w:bCs/>
                <w:color w:val="FFFFFF" w:themeColor="background1"/>
                <w:sz w:val="22"/>
              </w:rPr>
              <w:t>Routine</w:t>
            </w:r>
          </w:p>
        </w:tc>
        <w:tc>
          <w:tcPr>
            <w:tcW w:w="1316" w:type="dxa"/>
            <w:tcBorders>
              <w:top w:val="single" w:sz="4" w:space="0" w:color="auto"/>
              <w:left w:val="single" w:sz="4" w:space="0" w:color="auto"/>
              <w:bottom w:val="single" w:sz="4" w:space="0" w:color="auto"/>
              <w:right w:val="single" w:sz="4" w:space="0" w:color="auto"/>
            </w:tcBorders>
            <w:shd w:val="clear" w:color="auto" w:fill="006DA7"/>
            <w:hideMark/>
          </w:tcPr>
          <w:p w14:paraId="43245D1A" w14:textId="77777777" w:rsidR="00E27532" w:rsidRPr="0068181F" w:rsidRDefault="00E27532" w:rsidP="0068181F">
            <w:pPr>
              <w:pStyle w:val="Tabletext"/>
              <w:ind w:left="0" w:right="0"/>
              <w:rPr>
                <w:b/>
                <w:bCs/>
                <w:color w:val="FFFFFF" w:themeColor="background1"/>
                <w:sz w:val="22"/>
              </w:rPr>
            </w:pPr>
            <w:r w:rsidRPr="0068181F">
              <w:rPr>
                <w:b/>
                <w:bCs/>
                <w:color w:val="FFFFFF" w:themeColor="background1"/>
                <w:sz w:val="22"/>
              </w:rPr>
              <w:t>Additional</w:t>
            </w:r>
          </w:p>
        </w:tc>
        <w:tc>
          <w:tcPr>
            <w:tcW w:w="1054" w:type="dxa"/>
            <w:tcBorders>
              <w:top w:val="single" w:sz="4" w:space="0" w:color="auto"/>
              <w:left w:val="single" w:sz="4" w:space="0" w:color="auto"/>
              <w:bottom w:val="single" w:sz="4" w:space="0" w:color="auto"/>
              <w:right w:val="single" w:sz="4" w:space="0" w:color="auto"/>
            </w:tcBorders>
            <w:shd w:val="clear" w:color="auto" w:fill="006DA7"/>
            <w:hideMark/>
          </w:tcPr>
          <w:p w14:paraId="65147C5E" w14:textId="77777777" w:rsidR="00E27532" w:rsidRPr="0068181F" w:rsidRDefault="00E27532" w:rsidP="0068181F">
            <w:pPr>
              <w:pStyle w:val="Tabletext"/>
              <w:ind w:left="0" w:right="0"/>
              <w:rPr>
                <w:b/>
                <w:bCs/>
                <w:color w:val="FFFFFF" w:themeColor="background1"/>
                <w:sz w:val="22"/>
              </w:rPr>
            </w:pPr>
            <w:r w:rsidRPr="0068181F">
              <w:rPr>
                <w:b/>
                <w:bCs/>
                <w:color w:val="FFFFFF" w:themeColor="background1"/>
                <w:sz w:val="22"/>
              </w:rPr>
              <w:t>Routine</w:t>
            </w:r>
          </w:p>
        </w:tc>
        <w:tc>
          <w:tcPr>
            <w:tcW w:w="1316" w:type="dxa"/>
            <w:tcBorders>
              <w:top w:val="single" w:sz="4" w:space="0" w:color="auto"/>
              <w:left w:val="single" w:sz="4" w:space="0" w:color="auto"/>
              <w:bottom w:val="single" w:sz="4" w:space="0" w:color="auto"/>
              <w:right w:val="single" w:sz="4" w:space="0" w:color="auto"/>
            </w:tcBorders>
            <w:shd w:val="clear" w:color="auto" w:fill="006DA7"/>
            <w:hideMark/>
          </w:tcPr>
          <w:p w14:paraId="5DF41EC1" w14:textId="77777777" w:rsidR="00E27532" w:rsidRPr="0068181F" w:rsidRDefault="00E27532" w:rsidP="0068181F">
            <w:pPr>
              <w:pStyle w:val="Tabletext"/>
              <w:ind w:left="0" w:right="0"/>
              <w:rPr>
                <w:b/>
                <w:bCs/>
                <w:color w:val="FFFFFF" w:themeColor="background1"/>
                <w:sz w:val="22"/>
              </w:rPr>
            </w:pPr>
            <w:r w:rsidRPr="0068181F">
              <w:rPr>
                <w:b/>
                <w:bCs/>
                <w:color w:val="FFFFFF" w:themeColor="background1"/>
                <w:sz w:val="22"/>
              </w:rPr>
              <w:t>Additional</w:t>
            </w:r>
          </w:p>
        </w:tc>
      </w:tr>
      <w:tr w:rsidR="00CF33AF" w14:paraId="0FD57BA4" w14:textId="77777777" w:rsidTr="0068181F">
        <w:trPr>
          <w:trHeight w:val="137"/>
        </w:trPr>
        <w:tc>
          <w:tcPr>
            <w:tcW w:w="1271" w:type="dxa"/>
            <w:tcBorders>
              <w:top w:val="single" w:sz="4" w:space="0" w:color="auto"/>
            </w:tcBorders>
            <w:hideMark/>
          </w:tcPr>
          <w:p w14:paraId="0DD21CCA" w14:textId="77777777" w:rsidR="00E27532" w:rsidRPr="0068181F" w:rsidRDefault="00E27532" w:rsidP="0068181F">
            <w:pPr>
              <w:pStyle w:val="Tabletext"/>
              <w:ind w:left="0" w:right="0"/>
              <w:rPr>
                <w:b/>
                <w:sz w:val="22"/>
              </w:rPr>
            </w:pPr>
            <w:r w:rsidRPr="0068181F">
              <w:rPr>
                <w:b/>
                <w:sz w:val="22"/>
              </w:rPr>
              <w:t>Important identified risks</w:t>
            </w:r>
          </w:p>
        </w:tc>
        <w:tc>
          <w:tcPr>
            <w:tcW w:w="2804" w:type="dxa"/>
            <w:tcBorders>
              <w:top w:val="single" w:sz="4" w:space="0" w:color="auto"/>
            </w:tcBorders>
            <w:hideMark/>
          </w:tcPr>
          <w:p w14:paraId="50A72DB3" w14:textId="77777777" w:rsidR="00E27532" w:rsidRPr="0068181F" w:rsidRDefault="00E27532" w:rsidP="0068181F">
            <w:pPr>
              <w:pStyle w:val="Tabletext"/>
              <w:ind w:left="0" w:right="0"/>
              <w:rPr>
                <w:sz w:val="20"/>
              </w:rPr>
            </w:pPr>
            <w:r w:rsidRPr="0068181F">
              <w:rPr>
                <w:sz w:val="20"/>
              </w:rPr>
              <w:t>Interstitial lung disease</w:t>
            </w:r>
          </w:p>
        </w:tc>
        <w:tc>
          <w:tcPr>
            <w:tcW w:w="1054" w:type="dxa"/>
            <w:tcBorders>
              <w:top w:val="single" w:sz="4" w:space="0" w:color="auto"/>
            </w:tcBorders>
            <w:hideMark/>
          </w:tcPr>
          <w:p w14:paraId="38910E56"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r w:rsidRPr="0068181F">
              <w:rPr>
                <w:sz w:val="22"/>
              </w:rPr>
              <w:t>**</w:t>
            </w:r>
          </w:p>
        </w:tc>
        <w:tc>
          <w:tcPr>
            <w:tcW w:w="1316" w:type="dxa"/>
            <w:tcBorders>
              <w:top w:val="single" w:sz="4" w:space="0" w:color="auto"/>
            </w:tcBorders>
            <w:hideMark/>
          </w:tcPr>
          <w:p w14:paraId="2FDFB8B5" w14:textId="77777777" w:rsidR="00E27532" w:rsidRPr="0068181F" w:rsidRDefault="00E27532" w:rsidP="0068181F">
            <w:pPr>
              <w:pStyle w:val="Tabletext"/>
              <w:ind w:left="0" w:right="0"/>
              <w:jc w:val="center"/>
              <w:rPr>
                <w:sz w:val="22"/>
              </w:rPr>
            </w:pPr>
            <w:r w:rsidRPr="0068181F">
              <w:rPr>
                <w:sz w:val="22"/>
              </w:rPr>
              <w:t>–</w:t>
            </w:r>
          </w:p>
        </w:tc>
        <w:tc>
          <w:tcPr>
            <w:tcW w:w="1054" w:type="dxa"/>
            <w:tcBorders>
              <w:top w:val="single" w:sz="4" w:space="0" w:color="auto"/>
            </w:tcBorders>
            <w:hideMark/>
          </w:tcPr>
          <w:p w14:paraId="34BDCBD3"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tcBorders>
              <w:top w:val="single" w:sz="4" w:space="0" w:color="auto"/>
            </w:tcBorders>
            <w:hideMark/>
          </w:tcPr>
          <w:p w14:paraId="70412FD9" w14:textId="77777777" w:rsidR="00E27532" w:rsidRPr="0068181F" w:rsidRDefault="00E27532" w:rsidP="0068181F">
            <w:pPr>
              <w:pStyle w:val="Tabletext"/>
              <w:ind w:left="0" w:right="0"/>
              <w:jc w:val="center"/>
              <w:rPr>
                <w:sz w:val="22"/>
              </w:rPr>
            </w:pPr>
            <w:r w:rsidRPr="0068181F">
              <w:rPr>
                <w:sz w:val="22"/>
              </w:rPr>
              <w:t>–</w:t>
            </w:r>
          </w:p>
        </w:tc>
      </w:tr>
      <w:tr w:rsidR="00CF33AF" w14:paraId="65AB6B49" w14:textId="77777777" w:rsidTr="0068181F">
        <w:trPr>
          <w:trHeight w:val="159"/>
        </w:trPr>
        <w:tc>
          <w:tcPr>
            <w:tcW w:w="1271" w:type="dxa"/>
            <w:vMerge w:val="restart"/>
            <w:hideMark/>
          </w:tcPr>
          <w:p w14:paraId="0BF4F3F6" w14:textId="77777777" w:rsidR="00E27532" w:rsidRPr="0068181F" w:rsidRDefault="00E27532" w:rsidP="0068181F">
            <w:pPr>
              <w:pStyle w:val="Tabletext"/>
              <w:ind w:left="0" w:right="0"/>
              <w:rPr>
                <w:b/>
                <w:sz w:val="22"/>
              </w:rPr>
            </w:pPr>
            <w:r w:rsidRPr="0068181F">
              <w:rPr>
                <w:b/>
                <w:sz w:val="22"/>
              </w:rPr>
              <w:t>Important potential risks</w:t>
            </w:r>
          </w:p>
        </w:tc>
        <w:tc>
          <w:tcPr>
            <w:tcW w:w="2804" w:type="dxa"/>
            <w:hideMark/>
          </w:tcPr>
          <w:p w14:paraId="4F3FCC61" w14:textId="77777777" w:rsidR="00E27532" w:rsidRPr="0068181F" w:rsidRDefault="00E27532" w:rsidP="0068181F">
            <w:pPr>
              <w:pStyle w:val="Tabletext"/>
              <w:ind w:left="0" w:right="0"/>
              <w:rPr>
                <w:sz w:val="20"/>
              </w:rPr>
            </w:pPr>
            <w:r w:rsidRPr="0068181F">
              <w:rPr>
                <w:sz w:val="20"/>
              </w:rPr>
              <w:t>Pleural effusion</w:t>
            </w:r>
          </w:p>
        </w:tc>
        <w:tc>
          <w:tcPr>
            <w:tcW w:w="1054" w:type="dxa"/>
            <w:hideMark/>
          </w:tcPr>
          <w:p w14:paraId="5D907EED"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0B623433" w14:textId="77777777" w:rsidR="00E27532" w:rsidRPr="0068181F" w:rsidRDefault="00E27532" w:rsidP="0068181F">
            <w:pPr>
              <w:pStyle w:val="Tabletext"/>
              <w:ind w:left="0" w:right="0"/>
              <w:jc w:val="center"/>
              <w:rPr>
                <w:sz w:val="22"/>
              </w:rPr>
            </w:pPr>
            <w:r w:rsidRPr="0068181F">
              <w:rPr>
                <w:sz w:val="22"/>
              </w:rPr>
              <w:t>–</w:t>
            </w:r>
          </w:p>
        </w:tc>
        <w:tc>
          <w:tcPr>
            <w:tcW w:w="1054" w:type="dxa"/>
            <w:hideMark/>
          </w:tcPr>
          <w:p w14:paraId="517943CB"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342AB696" w14:textId="77777777" w:rsidR="00E27532" w:rsidRPr="0068181F" w:rsidRDefault="00E27532" w:rsidP="0068181F">
            <w:pPr>
              <w:pStyle w:val="Tabletext"/>
              <w:ind w:left="0" w:right="0"/>
              <w:jc w:val="center"/>
              <w:rPr>
                <w:sz w:val="22"/>
              </w:rPr>
            </w:pPr>
            <w:r w:rsidRPr="0068181F">
              <w:rPr>
                <w:sz w:val="22"/>
              </w:rPr>
              <w:t>–</w:t>
            </w:r>
          </w:p>
        </w:tc>
      </w:tr>
      <w:tr w:rsidR="00CF33AF" w14:paraId="57A821FA" w14:textId="77777777" w:rsidTr="0068181F">
        <w:trPr>
          <w:trHeight w:val="112"/>
        </w:trPr>
        <w:tc>
          <w:tcPr>
            <w:tcW w:w="1271" w:type="dxa"/>
            <w:vMerge/>
            <w:hideMark/>
          </w:tcPr>
          <w:p w14:paraId="7C3FC4B4" w14:textId="77777777" w:rsidR="00E27532" w:rsidRPr="0068181F" w:rsidRDefault="00E27532" w:rsidP="0068181F">
            <w:pPr>
              <w:spacing w:after="0" w:line="240" w:lineRule="auto"/>
              <w:ind w:left="0" w:right="0"/>
              <w:rPr>
                <w:rFonts w:eastAsia="Times New Roman"/>
                <w:b/>
                <w:szCs w:val="24"/>
                <w:lang w:eastAsia="en-US"/>
              </w:rPr>
            </w:pPr>
          </w:p>
        </w:tc>
        <w:tc>
          <w:tcPr>
            <w:tcW w:w="2804" w:type="dxa"/>
            <w:hideMark/>
          </w:tcPr>
          <w:p w14:paraId="356A30E4" w14:textId="77777777" w:rsidR="00E27532" w:rsidRPr="0068181F" w:rsidRDefault="00E27532" w:rsidP="0068181F">
            <w:pPr>
              <w:pStyle w:val="Tabletext"/>
              <w:ind w:left="0" w:right="0"/>
              <w:rPr>
                <w:sz w:val="20"/>
              </w:rPr>
            </w:pPr>
            <w:r w:rsidRPr="0068181F">
              <w:rPr>
                <w:sz w:val="20"/>
              </w:rPr>
              <w:t>Severe Hepatotoxicity</w:t>
            </w:r>
          </w:p>
        </w:tc>
        <w:tc>
          <w:tcPr>
            <w:tcW w:w="1054" w:type="dxa"/>
            <w:hideMark/>
          </w:tcPr>
          <w:p w14:paraId="45E26C46"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1A60A448" w14:textId="77777777" w:rsidR="00E27532" w:rsidRPr="0068181F" w:rsidRDefault="00E27532" w:rsidP="0068181F">
            <w:pPr>
              <w:pStyle w:val="Tabletext"/>
              <w:ind w:left="0" w:right="0"/>
              <w:jc w:val="center"/>
              <w:rPr>
                <w:rFonts w:eastAsia="Times New Roman"/>
                <w:sz w:val="22"/>
              </w:rPr>
            </w:pPr>
            <w:r w:rsidRPr="0068181F">
              <w:rPr>
                <w:sz w:val="22"/>
              </w:rPr>
              <w:t>–</w:t>
            </w:r>
          </w:p>
        </w:tc>
        <w:tc>
          <w:tcPr>
            <w:tcW w:w="1054" w:type="dxa"/>
            <w:hideMark/>
          </w:tcPr>
          <w:p w14:paraId="088B1263"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5A4D043B" w14:textId="77777777" w:rsidR="00E27532" w:rsidRPr="0068181F" w:rsidRDefault="00E27532" w:rsidP="0068181F">
            <w:pPr>
              <w:pStyle w:val="Tabletext"/>
              <w:ind w:left="0" w:right="0"/>
              <w:jc w:val="center"/>
              <w:rPr>
                <w:rFonts w:eastAsia="Times New Roman"/>
                <w:sz w:val="22"/>
              </w:rPr>
            </w:pPr>
            <w:r w:rsidRPr="0068181F">
              <w:rPr>
                <w:sz w:val="22"/>
              </w:rPr>
              <w:t>–</w:t>
            </w:r>
          </w:p>
        </w:tc>
      </w:tr>
      <w:tr w:rsidR="00CF33AF" w14:paraId="608A1D88" w14:textId="77777777" w:rsidTr="0068181F">
        <w:trPr>
          <w:trHeight w:val="112"/>
        </w:trPr>
        <w:tc>
          <w:tcPr>
            <w:tcW w:w="1271" w:type="dxa"/>
            <w:vMerge/>
            <w:hideMark/>
          </w:tcPr>
          <w:p w14:paraId="682C45CA" w14:textId="77777777" w:rsidR="00E27532" w:rsidRPr="0068181F" w:rsidRDefault="00E27532" w:rsidP="0068181F">
            <w:pPr>
              <w:spacing w:after="0" w:line="240" w:lineRule="auto"/>
              <w:ind w:left="0" w:right="0"/>
              <w:rPr>
                <w:rFonts w:eastAsia="Times New Roman"/>
                <w:b/>
                <w:szCs w:val="24"/>
                <w:lang w:eastAsia="en-US"/>
              </w:rPr>
            </w:pPr>
          </w:p>
        </w:tc>
        <w:tc>
          <w:tcPr>
            <w:tcW w:w="2804" w:type="dxa"/>
            <w:hideMark/>
          </w:tcPr>
          <w:p w14:paraId="057E4BA6" w14:textId="77777777" w:rsidR="00E27532" w:rsidRPr="0068181F" w:rsidRDefault="00E27532" w:rsidP="0068181F">
            <w:pPr>
              <w:pStyle w:val="Tabletext"/>
              <w:ind w:left="0" w:right="0"/>
              <w:rPr>
                <w:sz w:val="20"/>
              </w:rPr>
            </w:pPr>
            <w:r w:rsidRPr="0068181F">
              <w:rPr>
                <w:sz w:val="20"/>
              </w:rPr>
              <w:t>QT interval prolongation</w:t>
            </w:r>
          </w:p>
        </w:tc>
        <w:tc>
          <w:tcPr>
            <w:tcW w:w="1054" w:type="dxa"/>
            <w:hideMark/>
          </w:tcPr>
          <w:p w14:paraId="5928DD0B"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0FB4E29D" w14:textId="77777777" w:rsidR="00E27532" w:rsidRPr="0068181F" w:rsidRDefault="00E27532" w:rsidP="0068181F">
            <w:pPr>
              <w:pStyle w:val="Tabletext"/>
              <w:ind w:left="0" w:right="0"/>
              <w:jc w:val="center"/>
              <w:rPr>
                <w:sz w:val="22"/>
              </w:rPr>
            </w:pPr>
            <w:r w:rsidRPr="0068181F">
              <w:rPr>
                <w:sz w:val="22"/>
              </w:rPr>
              <w:t>–</w:t>
            </w:r>
          </w:p>
        </w:tc>
        <w:tc>
          <w:tcPr>
            <w:tcW w:w="1054" w:type="dxa"/>
            <w:hideMark/>
          </w:tcPr>
          <w:p w14:paraId="29665EED"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57548549" w14:textId="77777777" w:rsidR="00E27532" w:rsidRPr="0068181F" w:rsidRDefault="00E27532" w:rsidP="0068181F">
            <w:pPr>
              <w:pStyle w:val="Tabletext"/>
              <w:ind w:left="0" w:right="0"/>
              <w:jc w:val="center"/>
              <w:rPr>
                <w:sz w:val="22"/>
              </w:rPr>
            </w:pPr>
            <w:r w:rsidRPr="0068181F">
              <w:rPr>
                <w:sz w:val="22"/>
              </w:rPr>
              <w:t>–</w:t>
            </w:r>
          </w:p>
        </w:tc>
      </w:tr>
      <w:tr w:rsidR="00CF33AF" w14:paraId="4E7F4698" w14:textId="77777777" w:rsidTr="0068181F">
        <w:trPr>
          <w:trHeight w:val="592"/>
        </w:trPr>
        <w:tc>
          <w:tcPr>
            <w:tcW w:w="1271" w:type="dxa"/>
            <w:vMerge w:val="restart"/>
            <w:hideMark/>
          </w:tcPr>
          <w:p w14:paraId="2D9BC658" w14:textId="77777777" w:rsidR="00E27532" w:rsidRPr="0068181F" w:rsidRDefault="00E27532" w:rsidP="0068181F">
            <w:pPr>
              <w:pStyle w:val="Tabletext"/>
              <w:ind w:left="0" w:right="0"/>
              <w:rPr>
                <w:b/>
                <w:sz w:val="22"/>
              </w:rPr>
            </w:pPr>
            <w:r w:rsidRPr="0068181F">
              <w:rPr>
                <w:b/>
                <w:sz w:val="22"/>
              </w:rPr>
              <w:lastRenderedPageBreak/>
              <w:t>Missing information</w:t>
            </w:r>
          </w:p>
        </w:tc>
        <w:tc>
          <w:tcPr>
            <w:tcW w:w="2804" w:type="dxa"/>
            <w:hideMark/>
          </w:tcPr>
          <w:p w14:paraId="4C14F2F0" w14:textId="4FD1506E" w:rsidR="00E27532" w:rsidRPr="0068181F" w:rsidRDefault="00E27532" w:rsidP="0068181F">
            <w:pPr>
              <w:pStyle w:val="Tabletext"/>
              <w:ind w:left="0" w:right="0"/>
              <w:rPr>
                <w:sz w:val="20"/>
              </w:rPr>
            </w:pPr>
            <w:r w:rsidRPr="0068181F">
              <w:rPr>
                <w:sz w:val="20"/>
              </w:rPr>
              <w:t xml:space="preserve">Use of </w:t>
            </w:r>
            <w:proofErr w:type="spellStart"/>
            <w:r w:rsidRPr="0068181F">
              <w:rPr>
                <w:sz w:val="20"/>
              </w:rPr>
              <w:t>tepotinib</w:t>
            </w:r>
            <w:proofErr w:type="spellEnd"/>
            <w:r w:rsidRPr="0068181F">
              <w:rPr>
                <w:sz w:val="20"/>
              </w:rPr>
              <w:t xml:space="preserve"> with strong CYP3A4 and P</w:t>
            </w:r>
            <w:r w:rsidR="00CF33AF" w:rsidRPr="0068181F">
              <w:rPr>
                <w:sz w:val="20"/>
              </w:rPr>
              <w:noBreakHyphen/>
            </w:r>
            <w:proofErr w:type="spellStart"/>
            <w:r w:rsidRPr="0068181F">
              <w:rPr>
                <w:sz w:val="20"/>
              </w:rPr>
              <w:t>gp</w:t>
            </w:r>
            <w:proofErr w:type="spellEnd"/>
            <w:r w:rsidRPr="0068181F">
              <w:rPr>
                <w:sz w:val="20"/>
              </w:rPr>
              <w:t xml:space="preserve"> inhibitors</w:t>
            </w:r>
            <w:r w:rsidRPr="0068181F">
              <w:rPr>
                <w:rFonts w:asciiTheme="majorHAnsi" w:hAnsiTheme="majorHAnsi"/>
                <w:sz w:val="20"/>
                <w:szCs w:val="20"/>
              </w:rPr>
              <w:t>†</w:t>
            </w:r>
            <w:r w:rsidRPr="0068181F">
              <w:rPr>
                <w:sz w:val="20"/>
              </w:rPr>
              <w:t>.</w:t>
            </w:r>
          </w:p>
        </w:tc>
        <w:tc>
          <w:tcPr>
            <w:tcW w:w="1054" w:type="dxa"/>
            <w:hideMark/>
          </w:tcPr>
          <w:p w14:paraId="5AB8BA47"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7BCF0E81"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r w:rsidRPr="0068181F">
              <w:rPr>
                <w:rFonts w:asciiTheme="majorHAnsi" w:hAnsiTheme="majorHAnsi"/>
                <w:sz w:val="22"/>
                <w:szCs w:val="20"/>
              </w:rPr>
              <w:t>††</w:t>
            </w:r>
          </w:p>
        </w:tc>
        <w:tc>
          <w:tcPr>
            <w:tcW w:w="1054" w:type="dxa"/>
            <w:hideMark/>
          </w:tcPr>
          <w:p w14:paraId="516C6D76"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47B038C9" w14:textId="77777777" w:rsidR="00E27532" w:rsidRPr="0068181F" w:rsidRDefault="00E27532" w:rsidP="0068181F">
            <w:pPr>
              <w:pStyle w:val="Tabletext"/>
              <w:ind w:left="0" w:right="0"/>
              <w:jc w:val="center"/>
              <w:rPr>
                <w:sz w:val="22"/>
              </w:rPr>
            </w:pPr>
            <w:r w:rsidRPr="0068181F">
              <w:rPr>
                <w:sz w:val="22"/>
              </w:rPr>
              <w:t>–</w:t>
            </w:r>
          </w:p>
        </w:tc>
      </w:tr>
      <w:tr w:rsidR="00CF33AF" w14:paraId="12F228FE" w14:textId="77777777" w:rsidTr="0068181F">
        <w:trPr>
          <w:trHeight w:val="178"/>
        </w:trPr>
        <w:tc>
          <w:tcPr>
            <w:tcW w:w="1271" w:type="dxa"/>
            <w:vMerge/>
            <w:hideMark/>
          </w:tcPr>
          <w:p w14:paraId="03C40B51" w14:textId="77777777" w:rsidR="00E27532" w:rsidRPr="0068181F" w:rsidRDefault="00E27532" w:rsidP="0068181F">
            <w:pPr>
              <w:spacing w:after="0" w:line="240" w:lineRule="auto"/>
              <w:ind w:left="0" w:right="0"/>
              <w:rPr>
                <w:rFonts w:eastAsia="Times New Roman"/>
                <w:b/>
                <w:szCs w:val="24"/>
                <w:lang w:eastAsia="en-US"/>
              </w:rPr>
            </w:pPr>
          </w:p>
        </w:tc>
        <w:tc>
          <w:tcPr>
            <w:tcW w:w="2804" w:type="dxa"/>
            <w:hideMark/>
          </w:tcPr>
          <w:p w14:paraId="12F2CA97" w14:textId="77777777" w:rsidR="00E27532" w:rsidRPr="0068181F" w:rsidRDefault="00E27532" w:rsidP="0068181F">
            <w:pPr>
              <w:pStyle w:val="Tabletext"/>
              <w:ind w:left="0" w:right="0"/>
              <w:rPr>
                <w:sz w:val="20"/>
              </w:rPr>
            </w:pPr>
            <w:r w:rsidRPr="0068181F">
              <w:rPr>
                <w:sz w:val="20"/>
              </w:rPr>
              <w:t xml:space="preserve">Use of </w:t>
            </w:r>
            <w:proofErr w:type="spellStart"/>
            <w:r w:rsidRPr="0068181F">
              <w:rPr>
                <w:sz w:val="20"/>
              </w:rPr>
              <w:t>tepotinib</w:t>
            </w:r>
            <w:proofErr w:type="spellEnd"/>
            <w:r w:rsidRPr="0068181F">
              <w:rPr>
                <w:sz w:val="20"/>
              </w:rPr>
              <w:t xml:space="preserve"> with strong CYP3A4 inducers and moderate CYP2C8 inducers</w:t>
            </w:r>
          </w:p>
        </w:tc>
        <w:tc>
          <w:tcPr>
            <w:tcW w:w="1054" w:type="dxa"/>
            <w:hideMark/>
          </w:tcPr>
          <w:p w14:paraId="0752C41F" w14:textId="2C075A6A" w:rsidR="00E27532" w:rsidRPr="0068181F" w:rsidRDefault="00EE0255" w:rsidP="0068181F">
            <w:pPr>
              <w:pStyle w:val="Tabletext"/>
              <w:ind w:left="0" w:right="0"/>
              <w:jc w:val="center"/>
              <w:rPr>
                <w:sz w:val="22"/>
              </w:rPr>
            </w:pPr>
            <w:r w:rsidRPr="0068181F">
              <w:rPr>
                <w:rFonts w:ascii="Wingdings" w:eastAsia="Wingdings" w:hAnsi="Wingdings" w:cs="Wingdings"/>
                <w:sz w:val="22"/>
              </w:rPr>
              <w:t></w:t>
            </w:r>
            <w:r w:rsidRPr="0068181F">
              <w:rPr>
                <w:sz w:val="22"/>
              </w:rPr>
              <w:t xml:space="preserve"> </w:t>
            </w:r>
          </w:p>
        </w:tc>
        <w:tc>
          <w:tcPr>
            <w:tcW w:w="1316" w:type="dxa"/>
            <w:hideMark/>
          </w:tcPr>
          <w:p w14:paraId="0D3A94C2"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r w:rsidRPr="0068181F">
              <w:rPr>
                <w:rFonts w:asciiTheme="majorHAnsi" w:hAnsiTheme="majorHAnsi"/>
                <w:sz w:val="22"/>
                <w:szCs w:val="20"/>
              </w:rPr>
              <w:t>††</w:t>
            </w:r>
          </w:p>
        </w:tc>
        <w:tc>
          <w:tcPr>
            <w:tcW w:w="1054" w:type="dxa"/>
            <w:hideMark/>
          </w:tcPr>
          <w:p w14:paraId="1B69927F" w14:textId="77777777" w:rsidR="00E27532" w:rsidRPr="0068181F" w:rsidRDefault="00E27532" w:rsidP="0068181F">
            <w:pPr>
              <w:pStyle w:val="Tabletext"/>
              <w:ind w:left="0" w:right="0"/>
              <w:jc w:val="center"/>
              <w:rPr>
                <w:sz w:val="22"/>
              </w:rPr>
            </w:pPr>
            <w:r w:rsidRPr="0068181F">
              <w:rPr>
                <w:rFonts w:ascii="Wingdings" w:eastAsia="Wingdings" w:hAnsi="Wingdings" w:cs="Wingdings"/>
                <w:sz w:val="22"/>
              </w:rPr>
              <w:t></w:t>
            </w:r>
          </w:p>
        </w:tc>
        <w:tc>
          <w:tcPr>
            <w:tcW w:w="1316" w:type="dxa"/>
            <w:hideMark/>
          </w:tcPr>
          <w:p w14:paraId="3C25D892" w14:textId="77777777" w:rsidR="00E27532" w:rsidRPr="0068181F" w:rsidRDefault="00E27532" w:rsidP="0068181F">
            <w:pPr>
              <w:pStyle w:val="Tabletext"/>
              <w:ind w:left="0" w:right="0"/>
              <w:jc w:val="center"/>
              <w:rPr>
                <w:sz w:val="22"/>
              </w:rPr>
            </w:pPr>
            <w:r w:rsidRPr="0068181F">
              <w:rPr>
                <w:sz w:val="22"/>
              </w:rPr>
              <w:t>–</w:t>
            </w:r>
          </w:p>
        </w:tc>
      </w:tr>
    </w:tbl>
    <w:p w14:paraId="56F9F411" w14:textId="181FC7AA" w:rsidR="00E27532" w:rsidRDefault="00E27532" w:rsidP="00E27532">
      <w:pPr>
        <w:pStyle w:val="TableDescription"/>
      </w:pPr>
      <w:r>
        <w:t>†† Phase I Pharmacokinetic Studies (planned)</w:t>
      </w:r>
      <w:r w:rsidR="00CF33AF">
        <w:t xml:space="preserve">; </w:t>
      </w:r>
      <w:r>
        <w:t>** Follow up questionnaire</w:t>
      </w:r>
    </w:p>
    <w:p w14:paraId="5E6F564C" w14:textId="09784275" w:rsidR="00E27532" w:rsidRDefault="00E27532" w:rsidP="00E27532">
      <w:r>
        <w:t xml:space="preserve">The summary of safety concerns </w:t>
      </w:r>
      <w:proofErr w:type="gramStart"/>
      <w:r>
        <w:t>was considered to be</w:t>
      </w:r>
      <w:proofErr w:type="gramEnd"/>
      <w:r>
        <w:t xml:space="preserve"> acceptable and there have been no changes.</w:t>
      </w:r>
    </w:p>
    <w:p w14:paraId="704E7933" w14:textId="2EF323F7" w:rsidR="00E27532" w:rsidRDefault="00E27532" w:rsidP="00E27532">
      <w:r>
        <w:t>Routine and additional pharmacovigilance activities have been proposed. Two additional post market studies requested by the FDA are included in the Australian RMP which is acceptable.</w:t>
      </w:r>
    </w:p>
    <w:p w14:paraId="08AF1AA2" w14:textId="40B78D9A" w:rsidR="00E27532" w:rsidRDefault="00E27532" w:rsidP="00E27532">
      <w:r>
        <w:t xml:space="preserve">Routine risk minimisation activities only are acceptable as </w:t>
      </w:r>
      <w:proofErr w:type="spellStart"/>
      <w:r>
        <w:t>tepotinib</w:t>
      </w:r>
      <w:proofErr w:type="spellEnd"/>
      <w:r>
        <w:t xml:space="preserve"> is given orally under specialist supervision.</w:t>
      </w:r>
    </w:p>
    <w:p w14:paraId="0C340857" w14:textId="6A847D58" w:rsidR="00E27532" w:rsidRDefault="00E27532" w:rsidP="00E27532">
      <w:pPr>
        <w:pStyle w:val="Heading5"/>
        <w:rPr>
          <w:rFonts w:asciiTheme="majorHAnsi" w:eastAsiaTheme="majorEastAsia" w:hAnsiTheme="majorHAnsi"/>
        </w:rPr>
      </w:pPr>
      <w:bookmarkStart w:id="57" w:name="_Toc80172139"/>
      <w:r>
        <w:t>Wording for conditions of registration</w:t>
      </w:r>
      <w:bookmarkEnd w:id="57"/>
      <w:r w:rsidR="00A45587">
        <w:fldChar w:fldCharType="begin"/>
      </w:r>
      <w:r w:rsidR="00A45587">
        <w:instrText xml:space="preserve"> DOCVARIABLE vault_nd_eb71391b-7461-48de-8785-187f7cdaf1c3 \* MERGEFORMAT </w:instrText>
      </w:r>
      <w:r w:rsidR="00A45587">
        <w:fldChar w:fldCharType="separate"/>
      </w:r>
      <w:r w:rsidR="006F6B07">
        <w:t xml:space="preserve"> </w:t>
      </w:r>
      <w:r w:rsidR="00A45587">
        <w:fldChar w:fldCharType="end"/>
      </w:r>
    </w:p>
    <w:p w14:paraId="4330AAA0" w14:textId="77777777" w:rsidR="00E27532" w:rsidRDefault="00E27532" w:rsidP="00E27532">
      <w:r>
        <w:t xml:space="preserve">Any changes to which the sponsor has agreed should be included in a revised RMP and ASA. However, irrespective of </w:t>
      </w:r>
      <w:proofErr w:type="gramStart"/>
      <w:r>
        <w:t>whether or not</w:t>
      </w:r>
      <w:proofErr w:type="gramEnd"/>
      <w:r>
        <w:t xml:space="preserve"> they are included in the currently available version of the RMP document, the agreed changes become part of the risk management system. </w:t>
      </w:r>
    </w:p>
    <w:p w14:paraId="3D0E9EBB" w14:textId="77777777" w:rsidR="00E27532" w:rsidRDefault="00E27532" w:rsidP="00E27532">
      <w:r>
        <w:t xml:space="preserve">The suggested wording is: </w:t>
      </w:r>
    </w:p>
    <w:p w14:paraId="74EC4745" w14:textId="39A89777" w:rsidR="00E27532" w:rsidRPr="00E27532" w:rsidRDefault="00E27532" w:rsidP="0068181F">
      <w:pPr>
        <w:ind w:left="720"/>
        <w:rPr>
          <w:i/>
          <w:iCs/>
        </w:rPr>
      </w:pPr>
      <w:r w:rsidRPr="00E27532">
        <w:rPr>
          <w:i/>
          <w:iCs/>
        </w:rPr>
        <w:t>The</w:t>
      </w:r>
      <w:r>
        <w:rPr>
          <w:i/>
          <w:iCs/>
        </w:rPr>
        <w:t xml:space="preserve"> </w:t>
      </w:r>
      <w:proofErr w:type="spellStart"/>
      <w:r>
        <w:rPr>
          <w:i/>
          <w:iCs/>
        </w:rPr>
        <w:t>Tepmetko</w:t>
      </w:r>
      <w:proofErr w:type="spellEnd"/>
      <w:r w:rsidRPr="00E27532">
        <w:rPr>
          <w:i/>
          <w:iCs/>
        </w:rPr>
        <w:t xml:space="preserve"> Core-Risk Management Plan (RMP) (version 3.0 dated 10 May 2021; DLP 1 July 2020) and Australian Specific Annex version 2.1 (dated 27 July 2021) included with submission PM-2021-03109-1-4, and any subsequent revisions, as agreed with the TGA will be implemented in Australia.</w:t>
      </w:r>
    </w:p>
    <w:p w14:paraId="27770C04" w14:textId="77777777" w:rsidR="00E27532" w:rsidRPr="00E27532" w:rsidRDefault="00E27532" w:rsidP="0068181F">
      <w:pPr>
        <w:ind w:left="720"/>
        <w:rPr>
          <w:i/>
          <w:iCs/>
        </w:rPr>
      </w:pPr>
      <w:r w:rsidRPr="00E27532">
        <w:rPr>
          <w:i/>
          <w:iCs/>
        </w:rPr>
        <w:t xml:space="preserve">An obligatory component of risk management plans is routine pharmacovigilance. Routine pharmacovigilance includes the submission of periodic safety update reports (PSURs). </w:t>
      </w:r>
    </w:p>
    <w:p w14:paraId="1D14C94D" w14:textId="41AAAB1E" w:rsidR="00E27532" w:rsidRPr="00E27532" w:rsidRDefault="00E27532" w:rsidP="0068181F">
      <w:pPr>
        <w:ind w:left="720"/>
        <w:rPr>
          <w:i/>
          <w:iCs/>
        </w:rPr>
      </w:pPr>
      <w:r w:rsidRPr="00E27532">
        <w:rPr>
          <w:i/>
          <w:iCs/>
        </w:rPr>
        <w:t>Unless agreed separately between the supplier who is the recipient of the approval and the TGA, the first report must be submitted to TGA no later than 15 calendar months after the date of th</w:t>
      </w:r>
      <w:r>
        <w:rPr>
          <w:i/>
          <w:iCs/>
        </w:rPr>
        <w:t>e</w:t>
      </w:r>
      <w:r w:rsidRPr="00E27532">
        <w:rPr>
          <w:i/>
          <w:iCs/>
        </w:rPr>
        <w:t xml:space="preserve"> approval letter. The subsequent reports must be submitted no less frequently than annually from the date of the first submitted report until the period covered by such reports is not less than three years from the date of th</w:t>
      </w:r>
      <w:r>
        <w:rPr>
          <w:i/>
          <w:iCs/>
        </w:rPr>
        <w:t>e</w:t>
      </w:r>
      <w:r w:rsidRPr="00E27532">
        <w:rPr>
          <w:i/>
          <w:iCs/>
        </w:rPr>
        <w:t xml:space="preserve"> approval letter, or the entire period of provisional registration, whichever is longer.</w:t>
      </w:r>
    </w:p>
    <w:p w14:paraId="417B4C44" w14:textId="77777777" w:rsidR="00E27532" w:rsidRPr="00E27532" w:rsidRDefault="00E27532" w:rsidP="0068181F">
      <w:pPr>
        <w:ind w:left="720"/>
        <w:rPr>
          <w:i/>
          <w:iCs/>
          <w:lang w:eastAsia="en-AU"/>
        </w:rPr>
      </w:pPr>
      <w:r w:rsidRPr="00E27532">
        <w:rPr>
          <w:i/>
          <w:iCs/>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32299682" w14:textId="581BD795" w:rsidR="00E27532" w:rsidRDefault="00E27532" w:rsidP="00E27532">
      <w:r>
        <w:t xml:space="preserve">As </w:t>
      </w:r>
      <w:proofErr w:type="spellStart"/>
      <w:r w:rsidRPr="00E27532">
        <w:t>Tepmetko</w:t>
      </w:r>
      <w:proofErr w:type="spellEnd"/>
      <w:r>
        <w:t xml:space="preserve"> is being considered for a provisional registration it should be included in the Black Triangle Scheme as a condition of registration. The following wording is recommended for the condition of registration:</w:t>
      </w:r>
    </w:p>
    <w:p w14:paraId="007FCFD9" w14:textId="25805DB9" w:rsidR="00E27532" w:rsidRPr="00E27532" w:rsidRDefault="00E27532" w:rsidP="0068181F">
      <w:pPr>
        <w:ind w:left="720"/>
        <w:rPr>
          <w:i/>
          <w:iCs/>
        </w:rPr>
      </w:pPr>
      <w:proofErr w:type="spellStart"/>
      <w:r w:rsidRPr="00E27532">
        <w:rPr>
          <w:i/>
          <w:iCs/>
        </w:rPr>
        <w:lastRenderedPageBreak/>
        <w:t>Tepmetko</w:t>
      </w:r>
      <w:proofErr w:type="spellEnd"/>
      <w:r w:rsidRPr="00E27532">
        <w:rPr>
          <w:i/>
          <w:iCs/>
        </w:rPr>
        <w:t xml:space="preserve"> (</w:t>
      </w:r>
      <w:proofErr w:type="spellStart"/>
      <w:r w:rsidRPr="00E27532">
        <w:rPr>
          <w:i/>
          <w:iCs/>
        </w:rPr>
        <w:t>tepotinib</w:t>
      </w:r>
      <w:proofErr w:type="spellEnd"/>
      <w:r w:rsidRPr="00E27532">
        <w:rPr>
          <w:i/>
          <w:iCs/>
        </w:rPr>
        <w:t xml:space="preserve">) is to be included in the Black Triangle Scheme. The PI and </w:t>
      </w:r>
      <w:r w:rsidR="00F75CD2" w:rsidRPr="00F75CD2">
        <w:rPr>
          <w:i/>
          <w:iCs/>
        </w:rPr>
        <w:t>Consumer Medicines Information</w:t>
      </w:r>
      <w:r w:rsidR="00F75CD2">
        <w:rPr>
          <w:i/>
          <w:iCs/>
        </w:rPr>
        <w:t xml:space="preserve"> (</w:t>
      </w:r>
      <w:r w:rsidRPr="00E27532">
        <w:rPr>
          <w:i/>
          <w:iCs/>
        </w:rPr>
        <w:t>CMI</w:t>
      </w:r>
      <w:r w:rsidR="00F75CD2">
        <w:rPr>
          <w:i/>
          <w:iCs/>
        </w:rPr>
        <w:t>)</w:t>
      </w:r>
      <w:r w:rsidRPr="00E27532">
        <w:rPr>
          <w:i/>
          <w:iCs/>
        </w:rPr>
        <w:t xml:space="preserve"> for </w:t>
      </w:r>
      <w:proofErr w:type="spellStart"/>
      <w:r w:rsidRPr="00E27532">
        <w:rPr>
          <w:i/>
          <w:iCs/>
        </w:rPr>
        <w:t>Tepmetko</w:t>
      </w:r>
      <w:proofErr w:type="spellEnd"/>
      <w:r w:rsidRPr="00E27532">
        <w:rPr>
          <w:i/>
          <w:iCs/>
        </w:rPr>
        <w:t xml:space="preserve"> must include the black triangle symbol and mandatory accompanying text for the products entire period of provisional registration.</w:t>
      </w:r>
    </w:p>
    <w:p w14:paraId="42556A69" w14:textId="2FA9401B" w:rsidR="00E27532" w:rsidRDefault="00E27532">
      <w:r>
        <w:t xml:space="preserve">As </w:t>
      </w:r>
      <w:proofErr w:type="spellStart"/>
      <w:r w:rsidRPr="00E27532">
        <w:t>Tepmetko</w:t>
      </w:r>
      <w:proofErr w:type="spellEnd"/>
      <w:r>
        <w:rPr>
          <w:smallCaps/>
        </w:rPr>
        <w:t xml:space="preserve"> </w:t>
      </w:r>
      <w:r>
        <w:t>is being considered for a provisional registration the following wording regarding confirmatory trial data is recommended for the condition of registration:</w:t>
      </w:r>
    </w:p>
    <w:p w14:paraId="2E368120" w14:textId="163B8D84" w:rsidR="00CF33AF" w:rsidRPr="0068181F" w:rsidRDefault="00E27532" w:rsidP="0068181F">
      <w:pPr>
        <w:pStyle w:val="ListBullet2"/>
        <w:numPr>
          <w:ilvl w:val="0"/>
          <w:numId w:val="0"/>
        </w:numPr>
        <w:ind w:left="720"/>
        <w:rPr>
          <w:i/>
        </w:rPr>
      </w:pPr>
      <w:r w:rsidRPr="0068181F">
        <w:rPr>
          <w:i/>
        </w:rPr>
        <w:t>Confirmatory trial data (as identified in the sponsor’s plan to submit comprehensive clinical data on the safety and efficacy of the medicine before the end of the 6 years that would start on the day that registration would commence) must be provided.</w:t>
      </w:r>
    </w:p>
    <w:p w14:paraId="6AC335AD" w14:textId="3783F5C7" w:rsidR="00E27532" w:rsidRPr="0068181F" w:rsidRDefault="00E27532" w:rsidP="0068181F">
      <w:pPr>
        <w:pStyle w:val="ListBullet2"/>
        <w:numPr>
          <w:ilvl w:val="0"/>
          <w:numId w:val="0"/>
        </w:numPr>
        <w:ind w:left="720"/>
        <w:rPr>
          <w:i/>
        </w:rPr>
      </w:pPr>
      <w:r w:rsidRPr="00CF33AF">
        <w:rPr>
          <w:i/>
          <w:iCs/>
        </w:rPr>
        <w:t xml:space="preserve">Specifically, the sponsor must conduct studies as described in the clinical study plan in version 2.1 (dated 27 July 2021) of the Australia-Specific Annex. The following study report(s) should be submitted to TGA: </w:t>
      </w:r>
    </w:p>
    <w:p w14:paraId="3828E40A" w14:textId="62926868" w:rsidR="00E27532" w:rsidRPr="00CF33AF" w:rsidRDefault="00E27532" w:rsidP="0068181F">
      <w:pPr>
        <w:pStyle w:val="ListBullet2"/>
        <w:ind w:left="1440"/>
        <w:rPr>
          <w:i/>
          <w:iCs/>
        </w:rPr>
      </w:pPr>
      <w:r w:rsidRPr="00CF33AF">
        <w:rPr>
          <w:i/>
          <w:iCs/>
        </w:rPr>
        <w:t>Study MS200095-0022, VISION</w:t>
      </w:r>
      <w:r w:rsidR="00CF33AF">
        <w:rPr>
          <w:i/>
          <w:iCs/>
        </w:rPr>
        <w:t xml:space="preserve"> trial</w:t>
      </w:r>
      <w:r w:rsidRPr="00CF33AF">
        <w:rPr>
          <w:i/>
          <w:iCs/>
        </w:rPr>
        <w:t>, by date 1 November 2027</w:t>
      </w:r>
    </w:p>
    <w:p w14:paraId="651CEA2A" w14:textId="0790D201" w:rsidR="008E7846" w:rsidRDefault="00AA0ED0" w:rsidP="008E7846">
      <w:pPr>
        <w:pStyle w:val="Heading3"/>
      </w:pPr>
      <w:bookmarkStart w:id="58" w:name="_Toc107841984"/>
      <w:r>
        <w:t>Risk-benefit a</w:t>
      </w:r>
      <w:r w:rsidR="008E7846">
        <w:t>nalysis</w:t>
      </w:r>
      <w:bookmarkEnd w:id="52"/>
      <w:bookmarkEnd w:id="53"/>
      <w:bookmarkEnd w:id="58"/>
      <w:r w:rsidR="00A45587">
        <w:fldChar w:fldCharType="begin"/>
      </w:r>
      <w:r w:rsidR="00A45587">
        <w:instrText xml:space="preserve"> DOCVARIABLE vault_nd_4805adde-b286-4deb-8643-64d43422e0fa \* MERGEFORMAT </w:instrText>
      </w:r>
      <w:r w:rsidR="00A45587">
        <w:fldChar w:fldCharType="separate"/>
      </w:r>
      <w:r w:rsidR="006F6B07">
        <w:t xml:space="preserve"> </w:t>
      </w:r>
      <w:r w:rsidR="00A45587">
        <w:fldChar w:fldCharType="end"/>
      </w:r>
    </w:p>
    <w:p w14:paraId="21502A05" w14:textId="5EB618D5" w:rsidR="0074163C" w:rsidRDefault="0074163C" w:rsidP="0074163C">
      <w:pPr>
        <w:pStyle w:val="Heading4"/>
      </w:pPr>
      <w:bookmarkStart w:id="59" w:name="_Toc98931932"/>
      <w:r>
        <w:t>Delegate’s considerations</w:t>
      </w:r>
      <w:bookmarkEnd w:id="59"/>
      <w:r w:rsidR="00A45587">
        <w:fldChar w:fldCharType="begin"/>
      </w:r>
      <w:r w:rsidR="00A45587">
        <w:instrText xml:space="preserve"> DOCVARIABLE vault_nd_31ac8445-8755-41a9-9fc7-a5c07f18c049 \* MERGEFORMAT </w:instrText>
      </w:r>
      <w:r w:rsidR="00A45587">
        <w:fldChar w:fldCharType="separate"/>
      </w:r>
      <w:r w:rsidR="006F6B07">
        <w:t xml:space="preserve"> </w:t>
      </w:r>
      <w:r w:rsidR="00A45587">
        <w:fldChar w:fldCharType="end"/>
      </w:r>
    </w:p>
    <w:p w14:paraId="6C9355D7" w14:textId="53FE94FA" w:rsidR="008001E5" w:rsidRDefault="008001E5" w:rsidP="008001E5">
      <w:r>
        <w:t xml:space="preserve">Metastatic </w:t>
      </w:r>
      <w:r w:rsidR="00CF33AF">
        <w:t xml:space="preserve">non-small cell lung cancer </w:t>
      </w:r>
      <w:r>
        <w:t>NSCLC is a life</w:t>
      </w:r>
      <w:r w:rsidR="00EE0255">
        <w:t>-</w:t>
      </w:r>
      <w:r>
        <w:t>threatening disease with poor survival; 2</w:t>
      </w:r>
      <w:r w:rsidR="002E15BC">
        <w:t xml:space="preserve"> to </w:t>
      </w:r>
      <w:r>
        <w:t xml:space="preserve">4% of patients with NSCLC have tumours that harbour </w:t>
      </w:r>
      <w:r w:rsidRPr="003E7A7F">
        <w:rPr>
          <w:i/>
          <w:iCs/>
        </w:rPr>
        <w:t>METexon14</w:t>
      </w:r>
      <w:r>
        <w:t xml:space="preserve"> skipping mutations. Such patients tend to be older (mean age around 70 years) in comparison to some other subpopulations with targetable driver mutations. </w:t>
      </w:r>
      <w:r w:rsidRPr="003E7A7F">
        <w:rPr>
          <w:i/>
          <w:iCs/>
        </w:rPr>
        <w:t>MET</w:t>
      </w:r>
      <w:r>
        <w:t xml:space="preserve"> genomic alterations do not typically overlap with </w:t>
      </w:r>
      <w:r w:rsidR="00CF33AF">
        <w:t>epidermal growth factor</w:t>
      </w:r>
      <w:r>
        <w:t xml:space="preserve">, ROS1, BRAF and ALK genetic variants, further reinforcing </w:t>
      </w:r>
      <w:r w:rsidRPr="0037485B">
        <w:t xml:space="preserve">MET </w:t>
      </w:r>
      <w:r>
        <w:t>status as an oncogenic driver. There is only limited data regarding the response rate of checkpoint inhibitors and/or platinum</w:t>
      </w:r>
      <w:r w:rsidR="00EE0255">
        <w:t>-</w:t>
      </w:r>
      <w:r>
        <w:t xml:space="preserve">based chemotherapy for patients with NSCLC tumours with </w:t>
      </w:r>
      <w:r w:rsidRPr="003E7A7F">
        <w:rPr>
          <w:i/>
          <w:iCs/>
        </w:rPr>
        <w:t>METexon14</w:t>
      </w:r>
      <w:r>
        <w:t xml:space="preserve"> skipping alterations, with no strong evidence to suggest that this significantly differs from the response rate in the general population of patients with NSCLC.</w:t>
      </w:r>
    </w:p>
    <w:p w14:paraId="21C6178E" w14:textId="0B624BCC" w:rsidR="008001E5" w:rsidRDefault="008001E5" w:rsidP="008001E5">
      <w:r>
        <w:t xml:space="preserve">There is no approved specific targeted therapy in Australia for patients with NSCLC whose tumours harbour </w:t>
      </w:r>
      <w:r w:rsidRPr="003E7A7F">
        <w:rPr>
          <w:i/>
          <w:iCs/>
        </w:rPr>
        <w:t>METexon14</w:t>
      </w:r>
      <w:r>
        <w:t xml:space="preserve"> skipping alterations. The standard of care for such patients (</w:t>
      </w:r>
      <w:r w:rsidR="003E7A7F">
        <w:t>that is</w:t>
      </w:r>
      <w:r>
        <w:t xml:space="preserve"> NSCLC with no targetable driver mutation) includes platinum</w:t>
      </w:r>
      <w:r w:rsidR="00EE0255">
        <w:t>-</w:t>
      </w:r>
      <w:r>
        <w:t xml:space="preserve">based chemotherapy and/or an immune checkpoint inhibitor in the first line setting. Overall response rates for </w:t>
      </w:r>
      <w:r w:rsidR="00CF33AF">
        <w:t>programmed death-ligand 1 (</w:t>
      </w:r>
      <w:r>
        <w:t>PD</w:t>
      </w:r>
      <w:r w:rsidR="0037485B">
        <w:t>-</w:t>
      </w:r>
      <w:r w:rsidR="003E7A7F">
        <w:t>L</w:t>
      </w:r>
      <w:r>
        <w:t>1</w:t>
      </w:r>
      <w:r w:rsidR="00CF33AF">
        <w:t>)</w:t>
      </w:r>
      <w:r>
        <w:t xml:space="preserve"> inhibitor and platinum</w:t>
      </w:r>
      <w:r w:rsidR="00EE0255">
        <w:t>-</w:t>
      </w:r>
      <w:r>
        <w:t>based chemotherapy combination have been reported to range from 40</w:t>
      </w:r>
      <w:r w:rsidR="003E7A7F">
        <w:t xml:space="preserve"> to </w:t>
      </w:r>
      <w:r>
        <w:t xml:space="preserve">58%, with median </w:t>
      </w:r>
      <w:r w:rsidR="00CF33AF">
        <w:t xml:space="preserve">duration of response </w:t>
      </w:r>
      <w:r>
        <w:t>ranging from 7 to 11 months. Approved second line options in Australia include immune checkpoint inhibitors (if not previously given), or chemotherapy (</w:t>
      </w:r>
      <w:r w:rsidR="003E7A7F">
        <w:t xml:space="preserve">for example, </w:t>
      </w:r>
      <w:r>
        <w:t>docetaxel or gemcitabine); these are associated with response rates of 6</w:t>
      </w:r>
      <w:r w:rsidR="003E7A7F">
        <w:t xml:space="preserve"> to </w:t>
      </w:r>
      <w:r>
        <w:t xml:space="preserve">20% and median </w:t>
      </w:r>
      <w:r w:rsidR="00CF33AF">
        <w:t xml:space="preserve">duration of response </w:t>
      </w:r>
      <w:r>
        <w:t>of 4</w:t>
      </w:r>
      <w:r w:rsidR="003E7A7F">
        <w:t xml:space="preserve"> to </w:t>
      </w:r>
      <w:r>
        <w:t>9 months.</w:t>
      </w:r>
    </w:p>
    <w:p w14:paraId="47825C0E" w14:textId="5419A115" w:rsidR="008001E5" w:rsidRPr="003E7A7F" w:rsidRDefault="008001E5" w:rsidP="003E7A7F">
      <w:pPr>
        <w:pStyle w:val="Heading5"/>
      </w:pPr>
      <w:r w:rsidRPr="003E7A7F">
        <w:t>Proposed indication</w:t>
      </w:r>
      <w:r w:rsidR="00CF1281">
        <w:fldChar w:fldCharType="begin"/>
      </w:r>
      <w:r w:rsidR="00CF1281">
        <w:instrText>DOCVARIABLE vault_nd_56012b9f-2e46-42bb-9cd5-30aeeefb4e89 \* MERGEFORMAT</w:instrText>
      </w:r>
      <w:r w:rsidR="00CF1281">
        <w:fldChar w:fldCharType="separate"/>
      </w:r>
      <w:r w:rsidR="006F6B07">
        <w:t xml:space="preserve"> </w:t>
      </w:r>
      <w:r w:rsidR="00CF1281">
        <w:fldChar w:fldCharType="end"/>
      </w:r>
    </w:p>
    <w:p w14:paraId="20F1CA89" w14:textId="77777777" w:rsidR="00EF0A65" w:rsidRDefault="008001E5" w:rsidP="003E7A7F">
      <w:r w:rsidRPr="003E7A7F">
        <w:t xml:space="preserve">The </w:t>
      </w:r>
      <w:r w:rsidR="003E7A7F">
        <w:t>s</w:t>
      </w:r>
      <w:r w:rsidRPr="003E7A7F">
        <w:t>ponsor proposes to register a new therapeutic entity for the following indication:</w:t>
      </w:r>
    </w:p>
    <w:p w14:paraId="0DE290E9" w14:textId="18FE303C" w:rsidR="00EF0A65" w:rsidRDefault="008001E5" w:rsidP="0068181F">
      <w:pPr>
        <w:ind w:left="720"/>
      </w:pPr>
      <w:r w:rsidRPr="003E7A7F">
        <w:rPr>
          <w:i/>
          <w:iCs/>
        </w:rPr>
        <w:t>for the treatment of adult patients with advanced non-small cell lung cancer (NSCLC) harbouring MET tyrosine kinase receptor exon 14 (METex14) skipping alterations</w:t>
      </w:r>
      <w:r w:rsidRPr="003E7A7F">
        <w:t>.</w:t>
      </w:r>
    </w:p>
    <w:p w14:paraId="30A506B1" w14:textId="6A8D3C18" w:rsidR="008001E5" w:rsidRPr="003E7A7F" w:rsidRDefault="008001E5" w:rsidP="003E7A7F">
      <w:r w:rsidRPr="003E7A7F">
        <w:t>The proposed dose is 450</w:t>
      </w:r>
      <w:r w:rsidR="003E7A7F">
        <w:t> </w:t>
      </w:r>
      <w:r w:rsidRPr="003E7A7F">
        <w:t xml:space="preserve">mg </w:t>
      </w:r>
      <w:proofErr w:type="spellStart"/>
      <w:r w:rsidRPr="003E7A7F">
        <w:t>tepotinib</w:t>
      </w:r>
      <w:proofErr w:type="spellEnd"/>
      <w:r w:rsidRPr="003E7A7F">
        <w:t xml:space="preserve"> (corresponding to 500</w:t>
      </w:r>
      <w:r w:rsidR="003E7A7F">
        <w:t> </w:t>
      </w:r>
      <w:r w:rsidRPr="003E7A7F">
        <w:t xml:space="preserve">mg of </w:t>
      </w:r>
      <w:proofErr w:type="spellStart"/>
      <w:r w:rsidRPr="003E7A7F">
        <w:t>tepotinib</w:t>
      </w:r>
      <w:proofErr w:type="spellEnd"/>
      <w:r w:rsidRPr="003E7A7F">
        <w:t xml:space="preserve"> hydrochloride hydrate) taken orally, once daily.</w:t>
      </w:r>
    </w:p>
    <w:p w14:paraId="45FE7A35" w14:textId="66D56A73" w:rsidR="008001E5" w:rsidRPr="003E7A7F" w:rsidRDefault="008001E5" w:rsidP="003E7A7F">
      <w:pPr>
        <w:pStyle w:val="Heading5"/>
      </w:pPr>
      <w:r w:rsidRPr="003E7A7F">
        <w:t>Benefits</w:t>
      </w:r>
      <w:r w:rsidR="00CF1281">
        <w:fldChar w:fldCharType="begin"/>
      </w:r>
      <w:r w:rsidR="00CF1281">
        <w:instrText>DOCVARIABLE vault_nd_81497472-f213-45c5-a682-51f95269748a \* MERGEFORMAT</w:instrText>
      </w:r>
      <w:r w:rsidR="00CF1281">
        <w:fldChar w:fldCharType="separate"/>
      </w:r>
      <w:r w:rsidR="006F6B07">
        <w:t xml:space="preserve"> </w:t>
      </w:r>
      <w:r w:rsidR="00CF1281">
        <w:fldChar w:fldCharType="end"/>
      </w:r>
    </w:p>
    <w:p w14:paraId="4EA32F26" w14:textId="256B6D5A" w:rsidR="008001E5" w:rsidRDefault="008001E5" w:rsidP="008001E5">
      <w:r>
        <w:t xml:space="preserve">The sponsor has provided adequate evidence of effectiveness to support provisional approval of </w:t>
      </w:r>
      <w:proofErr w:type="spellStart"/>
      <w:r>
        <w:t>tepotinib</w:t>
      </w:r>
      <w:proofErr w:type="spellEnd"/>
      <w:r>
        <w:t xml:space="preserve"> for the treatment of adult patients with locally advanced or metastatic NSCLC whose tumours harbour </w:t>
      </w:r>
      <w:r w:rsidRPr="003E7A7F">
        <w:rPr>
          <w:i/>
          <w:iCs/>
        </w:rPr>
        <w:t>METexon14</w:t>
      </w:r>
      <w:r>
        <w:t xml:space="preserve"> skipping alterations. </w:t>
      </w:r>
      <w:bookmarkStart w:id="60" w:name="_Hlk108430537"/>
      <w:r>
        <w:t xml:space="preserve">The </w:t>
      </w:r>
      <w:r>
        <w:lastRenderedPageBreak/>
        <w:t>recommendation for provisional approval is supported by results from the pivotal VISION</w:t>
      </w:r>
      <w:r w:rsidR="00EF0A65">
        <w:t> </w:t>
      </w:r>
      <w:r w:rsidR="003E7A7F">
        <w:t>trial</w:t>
      </w:r>
      <w:r>
        <w:t xml:space="preserve"> (</w:t>
      </w:r>
      <w:r w:rsidR="003E7A7F">
        <w:t>S</w:t>
      </w:r>
      <w:r>
        <w:t>tudy MS200095-0022), a multicentre, non-randomised, open</w:t>
      </w:r>
      <w:r w:rsidR="003E7A7F">
        <w:t xml:space="preserve"> </w:t>
      </w:r>
      <w:r>
        <w:t xml:space="preserve">label, multicohort study in patients with NSCLC with </w:t>
      </w:r>
      <w:r w:rsidRPr="003E7A7F">
        <w:rPr>
          <w:i/>
          <w:iCs/>
        </w:rPr>
        <w:t>MET</w:t>
      </w:r>
      <w:r>
        <w:t xml:space="preserve"> mutation and/or amplification. In treatment</w:t>
      </w:r>
      <w:r w:rsidR="00EF0A65">
        <w:t>-</w:t>
      </w:r>
      <w:r w:rsidR="003E7A7F">
        <w:t>naïve</w:t>
      </w:r>
      <w:r>
        <w:t xml:space="preserve"> patients (n</w:t>
      </w:r>
      <w:r w:rsidR="003E7A7F">
        <w:t xml:space="preserve"> </w:t>
      </w:r>
      <w:r>
        <w:t>=</w:t>
      </w:r>
      <w:r w:rsidR="003E7A7F">
        <w:t xml:space="preserve"> </w:t>
      </w:r>
      <w:r>
        <w:t xml:space="preserve">69), confirmed </w:t>
      </w:r>
      <w:r w:rsidR="00EF0A65">
        <w:t xml:space="preserve">overall response rate </w:t>
      </w:r>
      <w:r>
        <w:t xml:space="preserve">per BIRC was 43% (95% CI: 32, 56) with a median </w:t>
      </w:r>
      <w:r w:rsidR="00EF0A65">
        <w:t xml:space="preserve">duration of response </w:t>
      </w:r>
      <w:r>
        <w:t xml:space="preserve">of 10.8 months (95% CI: 6.9, </w:t>
      </w:r>
      <w:r w:rsidR="003E7A7F" w:rsidRPr="003E7A7F">
        <w:t>not evaluable</w:t>
      </w:r>
      <w:r>
        <w:t xml:space="preserve">). In patients who had received previous treatment, confirmed </w:t>
      </w:r>
      <w:r w:rsidR="00EF0A65">
        <w:t xml:space="preserve">overall response rate </w:t>
      </w:r>
      <w:r>
        <w:t xml:space="preserve">per BIRC was 43% (95% CI: 33, 55) with a median </w:t>
      </w:r>
      <w:r w:rsidR="00EF0A65">
        <w:t xml:space="preserve">duration of response </w:t>
      </w:r>
      <w:r>
        <w:t>of 11.1</w:t>
      </w:r>
      <w:r w:rsidR="003E7A7F">
        <w:t> </w:t>
      </w:r>
      <w:r>
        <w:t>months (95% CI: 9.5, 18.5).</w:t>
      </w:r>
      <w:r w:rsidR="00B72C81">
        <w:t xml:space="preserve"> </w:t>
      </w:r>
    </w:p>
    <w:p w14:paraId="6554B439" w14:textId="5B26878B" w:rsidR="008001E5" w:rsidRDefault="008001E5" w:rsidP="008001E5">
      <w:r>
        <w:t xml:space="preserve">Indirect comparison in the second line/subsequent setting indicates that the </w:t>
      </w:r>
      <w:r w:rsidR="00EF0A65">
        <w:t xml:space="preserve">overall response rate </w:t>
      </w:r>
      <w:r>
        <w:t xml:space="preserve">and </w:t>
      </w:r>
      <w:r w:rsidR="00EF0A65">
        <w:t xml:space="preserve">duration of response </w:t>
      </w:r>
      <w:r>
        <w:t xml:space="preserve">observed with </w:t>
      </w:r>
      <w:proofErr w:type="spellStart"/>
      <w:r>
        <w:t>tepotinib</w:t>
      </w:r>
      <w:proofErr w:type="spellEnd"/>
      <w:r>
        <w:t xml:space="preserve"> is reasonably likely to predict clinical benefit over available second line (or subsequent) treatment options.</w:t>
      </w:r>
    </w:p>
    <w:p w14:paraId="7D92CC5D" w14:textId="7F25B8FC" w:rsidR="008001E5" w:rsidRDefault="008001E5" w:rsidP="008001E5">
      <w:r>
        <w:t xml:space="preserve">In the treatment naïve population, indirect comparison suggests that the observed </w:t>
      </w:r>
      <w:r w:rsidR="00EF0A65">
        <w:t xml:space="preserve">overall response rate </w:t>
      </w:r>
      <w:r>
        <w:t xml:space="preserve">for </w:t>
      </w:r>
      <w:proofErr w:type="spellStart"/>
      <w:r>
        <w:t>tepotinib</w:t>
      </w:r>
      <w:proofErr w:type="spellEnd"/>
      <w:r>
        <w:t xml:space="preserve"> is not higher than that for the standard of care (anti-PD</w:t>
      </w:r>
      <w:r w:rsidR="003E7A7F">
        <w:t xml:space="preserve"> </w:t>
      </w:r>
      <w:r>
        <w:t>L1 antibody and platinum</w:t>
      </w:r>
      <w:r w:rsidR="00EE0255">
        <w:t>-</w:t>
      </w:r>
      <w:r>
        <w:t xml:space="preserve">based chemotherapy), although the efficacy of checkpoint inhibitor and chemotherapy combinations in patients with NSCLC with </w:t>
      </w:r>
      <w:r w:rsidRPr="003E7A7F">
        <w:rPr>
          <w:i/>
          <w:iCs/>
        </w:rPr>
        <w:t>METexon14</w:t>
      </w:r>
      <w:r>
        <w:t xml:space="preserve"> skipping mutations remains unclear at present. The differing toxicity profile and convenience of oral administration makes </w:t>
      </w:r>
      <w:proofErr w:type="spellStart"/>
      <w:r>
        <w:t>tepotinib</w:t>
      </w:r>
      <w:proofErr w:type="spellEnd"/>
      <w:r>
        <w:t xml:space="preserve"> a reasonable treatment option in the first</w:t>
      </w:r>
      <w:r w:rsidR="003E7A7F">
        <w:t xml:space="preserve"> </w:t>
      </w:r>
      <w:r>
        <w:t xml:space="preserve">line setting. When considered in this context, the </w:t>
      </w:r>
      <w:r w:rsidR="00EF0A65">
        <w:t xml:space="preserve">overall response rate </w:t>
      </w:r>
      <w:r>
        <w:t xml:space="preserve">and </w:t>
      </w:r>
      <w:r w:rsidR="00EF0A65">
        <w:t xml:space="preserve">duration of response </w:t>
      </w:r>
      <w:r>
        <w:t xml:space="preserve">for </w:t>
      </w:r>
      <w:proofErr w:type="spellStart"/>
      <w:r>
        <w:t>tepotinib</w:t>
      </w:r>
      <w:proofErr w:type="spellEnd"/>
      <w:r>
        <w:t xml:space="preserve"> could be considered to likely predict clinical benefit over existing treatments.</w:t>
      </w:r>
    </w:p>
    <w:p w14:paraId="03B70DF1" w14:textId="7B8BE049" w:rsidR="008001E5" w:rsidRDefault="008001E5" w:rsidP="008001E5">
      <w:r>
        <w:t xml:space="preserve">Documentation of </w:t>
      </w:r>
      <w:r w:rsidRPr="003E7A7F">
        <w:rPr>
          <w:i/>
          <w:iCs/>
        </w:rPr>
        <w:t>MET tyrosine receptor exon 14</w:t>
      </w:r>
      <w:r>
        <w:t xml:space="preserve"> skipping alteration status based on a valid </w:t>
      </w:r>
      <w:r w:rsidRPr="003E7A7F">
        <w:rPr>
          <w:i/>
          <w:iCs/>
        </w:rPr>
        <w:t>METex</w:t>
      </w:r>
      <w:r w:rsidR="003E7A7F" w:rsidRPr="003E7A7F">
        <w:rPr>
          <w:i/>
          <w:iCs/>
        </w:rPr>
        <w:t>on</w:t>
      </w:r>
      <w:r w:rsidRPr="003E7A7F">
        <w:rPr>
          <w:i/>
          <w:iCs/>
        </w:rPr>
        <w:t>14</w:t>
      </w:r>
      <w:r>
        <w:t xml:space="preserve"> assay is required prior to treatment with </w:t>
      </w:r>
      <w:proofErr w:type="spellStart"/>
      <w:r w:rsidR="003E7A7F">
        <w:t>tepotinib</w:t>
      </w:r>
      <w:proofErr w:type="spellEnd"/>
      <w:r w:rsidR="003E7A7F">
        <w:t xml:space="preserve"> and</w:t>
      </w:r>
      <w:r>
        <w:t xml:space="preserve"> should be outlined in the PI.</w:t>
      </w:r>
    </w:p>
    <w:p w14:paraId="209E774C" w14:textId="4F97D358" w:rsidR="008001E5" w:rsidRDefault="008001E5" w:rsidP="003E7A7F">
      <w:pPr>
        <w:pStyle w:val="Heading5"/>
      </w:pPr>
      <w:bookmarkStart w:id="61" w:name="_Hlk108434067"/>
      <w:bookmarkStart w:id="62" w:name="_Hlk108430979"/>
      <w:bookmarkEnd w:id="60"/>
      <w:r>
        <w:t>Uncertainties</w:t>
      </w:r>
      <w:r w:rsidR="00CF1281">
        <w:fldChar w:fldCharType="begin"/>
      </w:r>
      <w:r w:rsidR="00CF1281">
        <w:instrText>DOCVARIABLE vault_nd_3012d32c-ba4b-4f85-a50d-fb29c045555b \* MERGEFORMAT</w:instrText>
      </w:r>
      <w:r w:rsidR="00CF1281">
        <w:fldChar w:fldCharType="separate"/>
      </w:r>
      <w:r w:rsidR="006F6B07">
        <w:t xml:space="preserve"> </w:t>
      </w:r>
      <w:r w:rsidR="00CF1281">
        <w:fldChar w:fldCharType="end"/>
      </w:r>
    </w:p>
    <w:p w14:paraId="7A53608B" w14:textId="65C1BA1F" w:rsidR="008001E5" w:rsidRDefault="008001E5" w:rsidP="008001E5">
      <w:r>
        <w:t>No direct head</w:t>
      </w:r>
      <w:r w:rsidR="00EE0255">
        <w:t>-</w:t>
      </w:r>
      <w:r>
        <w:t>to</w:t>
      </w:r>
      <w:r w:rsidR="00EE0255">
        <w:t>-</w:t>
      </w:r>
      <w:r>
        <w:t xml:space="preserve">head comparison of </w:t>
      </w:r>
      <w:proofErr w:type="spellStart"/>
      <w:r>
        <w:t>tepotinib</w:t>
      </w:r>
      <w:proofErr w:type="spellEnd"/>
      <w:r>
        <w:t xml:space="preserve"> with standard treatment in either the first line or subsequent setting, has been performed, limiting the ability to </w:t>
      </w:r>
      <w:proofErr w:type="gramStart"/>
      <w:r>
        <w:t>more accurately evaluate benefits and risks</w:t>
      </w:r>
      <w:proofErr w:type="gramEnd"/>
      <w:r>
        <w:t>. The potential for bias with single arm studies is well known.</w:t>
      </w:r>
    </w:p>
    <w:p w14:paraId="345A131F" w14:textId="3CC20F5C" w:rsidR="008001E5" w:rsidRDefault="008001E5" w:rsidP="008001E5">
      <w:r>
        <w:t>The number of patients in the pivotal study was small, and the duration of follow</w:t>
      </w:r>
      <w:r w:rsidR="003E7A7F">
        <w:t xml:space="preserve"> </w:t>
      </w:r>
      <w:r>
        <w:t xml:space="preserve">up is limited for both treatment naïve and previously treated patients in the primary efficacy analysis population. </w:t>
      </w:r>
      <w:bookmarkEnd w:id="61"/>
      <w:r>
        <w:t xml:space="preserve">Although the current data </w:t>
      </w:r>
      <w:proofErr w:type="gramStart"/>
      <w:r>
        <w:t>is considered to be</w:t>
      </w:r>
      <w:proofErr w:type="gramEnd"/>
      <w:r>
        <w:t xml:space="preserve"> adequate to support provisional approval, confirmatory data is required. The sponsor is planning to submit final study reports including datasets from clinical studies to confirm and further characterise the clinical benefit of </w:t>
      </w:r>
      <w:proofErr w:type="spellStart"/>
      <w:r>
        <w:t>tepotinib</w:t>
      </w:r>
      <w:proofErr w:type="spellEnd"/>
      <w:r>
        <w:t xml:space="preserve"> for the treatment of patients with NSCLC harbouring </w:t>
      </w:r>
      <w:r w:rsidRPr="003E7A7F">
        <w:rPr>
          <w:i/>
          <w:iCs/>
        </w:rPr>
        <w:t>METexon14</w:t>
      </w:r>
      <w:r>
        <w:t xml:space="preserve"> skipping alterations by providing a more precise estimation of the blinded independent central review-assessed </w:t>
      </w:r>
      <w:r w:rsidR="00EF0A65">
        <w:t xml:space="preserve">overall response rate </w:t>
      </w:r>
      <w:r>
        <w:t xml:space="preserve">and </w:t>
      </w:r>
      <w:r w:rsidR="00EF0A65">
        <w:t>duration of response</w:t>
      </w:r>
      <w:r>
        <w:t>.</w:t>
      </w:r>
    </w:p>
    <w:p w14:paraId="7E9C5D1B" w14:textId="5542EC3B" w:rsidR="008001E5" w:rsidRDefault="008001E5" w:rsidP="003E7A7F">
      <w:pPr>
        <w:pStyle w:val="Heading5"/>
      </w:pPr>
      <w:bookmarkStart w:id="63" w:name="_Hlk108431605"/>
      <w:bookmarkEnd w:id="62"/>
      <w:r>
        <w:t>Risks</w:t>
      </w:r>
      <w:r w:rsidR="00CF1281">
        <w:fldChar w:fldCharType="begin"/>
      </w:r>
      <w:r w:rsidR="00CF1281">
        <w:instrText>DOCVARIABLE vault_nd_6c0ea705-4e37-4f39-bdea-00d14923ba0c \* MERGEFORMAT</w:instrText>
      </w:r>
      <w:r w:rsidR="00CF1281">
        <w:fldChar w:fldCharType="separate"/>
      </w:r>
      <w:r w:rsidR="006F6B07">
        <w:t xml:space="preserve"> </w:t>
      </w:r>
      <w:r w:rsidR="00CF1281">
        <w:fldChar w:fldCharType="end"/>
      </w:r>
    </w:p>
    <w:p w14:paraId="4FACD4A3" w14:textId="037C4348" w:rsidR="008001E5" w:rsidRDefault="008001E5" w:rsidP="008001E5">
      <w:r>
        <w:t xml:space="preserve">The safety database included 448 patients with solid tumours who were treated with </w:t>
      </w:r>
      <w:proofErr w:type="spellStart"/>
      <w:r>
        <w:t>tepotinib</w:t>
      </w:r>
      <w:proofErr w:type="spellEnd"/>
      <w:r>
        <w:t xml:space="preserve"> 450</w:t>
      </w:r>
      <w:r w:rsidR="003E7A7F">
        <w:t> </w:t>
      </w:r>
      <w:r>
        <w:t xml:space="preserve">mg once daily, (including 255 patients with NSCLC with </w:t>
      </w:r>
      <w:r w:rsidRPr="003E7A7F">
        <w:rPr>
          <w:i/>
          <w:iCs/>
        </w:rPr>
        <w:t>METexon14</w:t>
      </w:r>
      <w:r>
        <w:t xml:space="preserve"> skipping alterations) as part of the VISION </w:t>
      </w:r>
      <w:r w:rsidR="003E7A7F">
        <w:t>trial</w:t>
      </w:r>
      <w:r>
        <w:t xml:space="preserve">. The most common </w:t>
      </w:r>
      <w:r w:rsidR="00EF0A65">
        <w:t xml:space="preserve">adverse events (AEs) </w:t>
      </w:r>
      <w:r>
        <w:t xml:space="preserve">were oedema, fatigue, nausea, diarrhoea, musculoskeletal </w:t>
      </w:r>
      <w:proofErr w:type="gramStart"/>
      <w:r>
        <w:t>pain</w:t>
      </w:r>
      <w:proofErr w:type="gramEnd"/>
      <w:r>
        <w:t xml:space="preserve"> and dyspnoea. 20% of patients permanently discontinued </w:t>
      </w:r>
      <w:proofErr w:type="spellStart"/>
      <w:r>
        <w:t>tepotinib</w:t>
      </w:r>
      <w:proofErr w:type="spellEnd"/>
      <w:r>
        <w:t xml:space="preserve"> due to AEs (with these AEs most frequently including oedema, pleural effusion, dyspnoea, general health deterioration and pneumonitis). 44% of patients required dose interruption for AEs; 30% required dose reductions due to AEs.</w:t>
      </w:r>
    </w:p>
    <w:p w14:paraId="3466468F" w14:textId="5AAC42E8" w:rsidR="008001E5" w:rsidRDefault="008001E5" w:rsidP="008001E5">
      <w:r>
        <w:t xml:space="preserve">Although </w:t>
      </w:r>
      <w:proofErr w:type="spellStart"/>
      <w:r>
        <w:t>tepotinib</w:t>
      </w:r>
      <w:proofErr w:type="spellEnd"/>
      <w:r>
        <w:t xml:space="preserve"> can cause severe toxicities, information in the Warnings and Precautions and Dosage and Administration sections of the PI should be able to address these safety issues adequately. Interstitial lung disease/pneumonitis and hepatotoxicity are considered significant and serious enough to warrant inclusion in the Warnings and Precautions of the PI.</w:t>
      </w:r>
    </w:p>
    <w:bookmarkEnd w:id="63"/>
    <w:p w14:paraId="52ADB184" w14:textId="1736F16A" w:rsidR="008001E5" w:rsidRDefault="008001E5" w:rsidP="003E7A7F">
      <w:pPr>
        <w:pStyle w:val="Heading5"/>
      </w:pPr>
      <w:r>
        <w:lastRenderedPageBreak/>
        <w:t>Uncertainties</w:t>
      </w:r>
      <w:r w:rsidR="00CF1281">
        <w:fldChar w:fldCharType="begin"/>
      </w:r>
      <w:r w:rsidR="00CF1281">
        <w:instrText>DOCVARIABLE vault_nd_078cd80a-e5f6-4ccd-b231-</w:instrText>
      </w:r>
      <w:r w:rsidR="00CF1281">
        <w:instrText>ae2fb55eb171 \* MERGEFORMAT</w:instrText>
      </w:r>
      <w:r w:rsidR="00CF1281">
        <w:fldChar w:fldCharType="separate"/>
      </w:r>
      <w:r w:rsidR="006F6B07">
        <w:t xml:space="preserve"> </w:t>
      </w:r>
      <w:r w:rsidR="00CF1281">
        <w:fldChar w:fldCharType="end"/>
      </w:r>
    </w:p>
    <w:p w14:paraId="6C7FFF6D" w14:textId="6E070DEA" w:rsidR="008001E5" w:rsidRDefault="008001E5" w:rsidP="008001E5">
      <w:bookmarkStart w:id="64" w:name="_Hlk108434121"/>
      <w:r>
        <w:t xml:space="preserve">As discussed above, the single arm study design of </w:t>
      </w:r>
      <w:r w:rsidR="00EF0A65">
        <w:t xml:space="preserve">the </w:t>
      </w:r>
      <w:r>
        <w:t xml:space="preserve">VISION </w:t>
      </w:r>
      <w:r w:rsidR="003E7A7F">
        <w:t xml:space="preserve">trial </w:t>
      </w:r>
      <w:r>
        <w:t xml:space="preserve">precludes the direct comparison of safety/toxicity profile of </w:t>
      </w:r>
      <w:proofErr w:type="spellStart"/>
      <w:r>
        <w:t>tepotinib</w:t>
      </w:r>
      <w:proofErr w:type="spellEnd"/>
      <w:r>
        <w:t xml:space="preserve"> with standard of care. The number of patients in </w:t>
      </w:r>
      <w:r w:rsidR="00EF0A65">
        <w:t xml:space="preserve">the </w:t>
      </w:r>
      <w:r>
        <w:t>VISION</w:t>
      </w:r>
      <w:r w:rsidR="003E7A7F">
        <w:t xml:space="preserve"> trial</w:t>
      </w:r>
      <w:r>
        <w:t xml:space="preserve"> was relatively small, limiting the ability to fully characterise rare AEs.</w:t>
      </w:r>
    </w:p>
    <w:p w14:paraId="3B17BCFD" w14:textId="00B75E09" w:rsidR="008001E5" w:rsidRDefault="008001E5" w:rsidP="008001E5">
      <w:r>
        <w:t xml:space="preserve">The assessment of unexpected serious of risk of increased drug exposure when </w:t>
      </w:r>
      <w:proofErr w:type="spellStart"/>
      <w:r>
        <w:t>tepotinib</w:t>
      </w:r>
      <w:proofErr w:type="spellEnd"/>
      <w:r>
        <w:t xml:space="preserve"> is administered concomitantly with strong CYP3A4 and P-</w:t>
      </w:r>
      <w:proofErr w:type="spellStart"/>
      <w:r>
        <w:t>gp</w:t>
      </w:r>
      <w:proofErr w:type="spellEnd"/>
      <w:r>
        <w:t xml:space="preserve"> inhibitors, and strong CYP3A4/moderate CYP2C8 inducers, remains insufficient. The corresponding post marketing requirement/commitments aim to address this issue</w:t>
      </w:r>
      <w:r w:rsidR="00CC11C5">
        <w:t xml:space="preserve"> (</w:t>
      </w:r>
      <w:r w:rsidR="00CC11C5" w:rsidRPr="0037485B">
        <w:t xml:space="preserve">see </w:t>
      </w:r>
      <w:r w:rsidR="0037485B" w:rsidRPr="0037485B">
        <w:fldChar w:fldCharType="begin"/>
      </w:r>
      <w:r w:rsidR="0037485B" w:rsidRPr="0037485B">
        <w:instrText xml:space="preserve"> REF _Ref107841532 \h </w:instrText>
      </w:r>
      <w:r w:rsidR="0037485B">
        <w:instrText xml:space="preserve"> \* MERGEFORMAT </w:instrText>
      </w:r>
      <w:r w:rsidR="0037485B" w:rsidRPr="0037485B">
        <w:fldChar w:fldCharType="separate"/>
      </w:r>
      <w:r w:rsidR="006F6B07">
        <w:t>Regulatory status</w:t>
      </w:r>
      <w:r w:rsidR="0037485B" w:rsidRPr="0037485B">
        <w:fldChar w:fldCharType="end"/>
      </w:r>
      <w:r w:rsidR="00CC11C5" w:rsidRPr="0037485B">
        <w:t xml:space="preserve">, and </w:t>
      </w:r>
      <w:r w:rsidR="0037485B" w:rsidRPr="0037485B">
        <w:fldChar w:fldCharType="begin"/>
      </w:r>
      <w:r w:rsidR="0037485B" w:rsidRPr="0037485B">
        <w:instrText xml:space="preserve"> REF _Ref107841547 \h </w:instrText>
      </w:r>
      <w:r w:rsidR="0037485B">
        <w:instrText xml:space="preserve"> \* MERGEFORMAT </w:instrText>
      </w:r>
      <w:r w:rsidR="0037485B" w:rsidRPr="0037485B">
        <w:fldChar w:fldCharType="separate"/>
      </w:r>
      <w:r w:rsidR="006F6B07">
        <w:rPr>
          <w:lang w:eastAsia="en-AU"/>
        </w:rPr>
        <w:t>Risk management plan</w:t>
      </w:r>
      <w:r w:rsidR="0037485B" w:rsidRPr="0037485B">
        <w:fldChar w:fldCharType="end"/>
      </w:r>
      <w:r w:rsidR="00CC11C5" w:rsidRPr="0037485B">
        <w:t xml:space="preserve"> section).</w:t>
      </w:r>
    </w:p>
    <w:p w14:paraId="18BA0A95" w14:textId="17BB1771" w:rsidR="008001E5" w:rsidRDefault="008001E5" w:rsidP="003E7A7F">
      <w:pPr>
        <w:pStyle w:val="Heading5"/>
      </w:pPr>
      <w:bookmarkStart w:id="65" w:name="_Hlk108434196"/>
      <w:bookmarkEnd w:id="64"/>
      <w:r>
        <w:t>Benefit</w:t>
      </w:r>
      <w:r w:rsidR="00F7040A">
        <w:t>-r</w:t>
      </w:r>
      <w:r>
        <w:t>isk balance</w:t>
      </w:r>
      <w:r w:rsidR="00CF1281">
        <w:fldChar w:fldCharType="begin"/>
      </w:r>
      <w:r w:rsidR="00CF1281">
        <w:instrText>DOCVARIABLE vault_nd_de8a4f</w:instrText>
      </w:r>
      <w:r w:rsidR="00CF1281">
        <w:instrText>5d-aaed-46da-8833-d14d959d5cc9 \* MERGEFORMAT</w:instrText>
      </w:r>
      <w:r w:rsidR="00CF1281">
        <w:fldChar w:fldCharType="separate"/>
      </w:r>
      <w:r w:rsidR="006F6B07">
        <w:t xml:space="preserve"> </w:t>
      </w:r>
      <w:r w:rsidR="00CF1281">
        <w:fldChar w:fldCharType="end"/>
      </w:r>
    </w:p>
    <w:p w14:paraId="3434B359" w14:textId="171CF27C" w:rsidR="008001E5" w:rsidRDefault="008001E5" w:rsidP="008001E5">
      <w:r>
        <w:t>Overall, the benefit</w:t>
      </w:r>
      <w:r w:rsidR="00F7040A">
        <w:t>-</w:t>
      </w:r>
      <w:r>
        <w:t xml:space="preserve">risk assessment for </w:t>
      </w:r>
      <w:proofErr w:type="spellStart"/>
      <w:r>
        <w:t>tepotinib</w:t>
      </w:r>
      <w:proofErr w:type="spellEnd"/>
      <w:r>
        <w:t xml:space="preserve"> is favourable with respect to supporting provisional registration. The </w:t>
      </w:r>
      <w:r w:rsidR="00F82CA4">
        <w:t xml:space="preserve">overall response rate </w:t>
      </w:r>
      <w:r>
        <w:t xml:space="preserve">and </w:t>
      </w:r>
      <w:r w:rsidR="00F82CA4">
        <w:t>duration of response</w:t>
      </w:r>
      <w:r>
        <w:t xml:space="preserve"> from the VISION </w:t>
      </w:r>
      <w:r w:rsidR="003E7A7F">
        <w:t>trial</w:t>
      </w:r>
      <w:r>
        <w:t xml:space="preserve">, </w:t>
      </w:r>
      <w:proofErr w:type="gramStart"/>
      <w:r>
        <w:t>are considered to be</w:t>
      </w:r>
      <w:proofErr w:type="gramEnd"/>
      <w:r>
        <w:t xml:space="preserve"> clinically meaningful and reasonably likely to predict clinical benefit in the proposed population. Although </w:t>
      </w:r>
      <w:proofErr w:type="spellStart"/>
      <w:r>
        <w:t>tepotinib</w:t>
      </w:r>
      <w:proofErr w:type="spellEnd"/>
      <w:r>
        <w:t xml:space="preserve"> can cause serious toxicities, the safety profile demonstrated is acceptable when considered in the context of a life</w:t>
      </w:r>
      <w:r w:rsidR="00273D44">
        <w:t>-</w:t>
      </w:r>
      <w:r>
        <w:t>threatening disease (</w:t>
      </w:r>
      <w:r w:rsidR="003E7A7F">
        <w:t>that is</w:t>
      </w:r>
      <w:r>
        <w:t xml:space="preserve"> advanced NSCLC), and the lack of available targeted therapy options in Australia for the intended patient population at present.</w:t>
      </w:r>
    </w:p>
    <w:bookmarkEnd w:id="65"/>
    <w:p w14:paraId="7F1D41C0" w14:textId="47DA9C4A" w:rsidR="008001E5" w:rsidRPr="008001E5" w:rsidRDefault="008001E5" w:rsidP="008001E5">
      <w:r>
        <w:t xml:space="preserve">The study design limits interpretation of survival; although available evidence supports provisional approval, further data is required </w:t>
      </w:r>
      <w:proofErr w:type="gramStart"/>
      <w:r>
        <w:t>in order to</w:t>
      </w:r>
      <w:proofErr w:type="gramEnd"/>
      <w:r>
        <w:t xml:space="preserve"> confirm clinical benefit. The sponsor will be required to submit final reports of post-marketing requirement studies </w:t>
      </w:r>
      <w:r w:rsidR="00F75CD2">
        <w:t>(</w:t>
      </w:r>
      <w:r w:rsidR="00F75CD2" w:rsidRPr="0037485B">
        <w:t xml:space="preserve">see </w:t>
      </w:r>
      <w:r w:rsidR="00F75CD2" w:rsidRPr="0037485B">
        <w:fldChar w:fldCharType="begin"/>
      </w:r>
      <w:r w:rsidR="00F75CD2" w:rsidRPr="0037485B">
        <w:instrText xml:space="preserve"> REF _Ref107841532 \h </w:instrText>
      </w:r>
      <w:r w:rsidR="00F75CD2">
        <w:instrText xml:space="preserve"> \* MERGEFORMAT </w:instrText>
      </w:r>
      <w:r w:rsidR="00F75CD2" w:rsidRPr="0037485B">
        <w:fldChar w:fldCharType="separate"/>
      </w:r>
      <w:r w:rsidR="006F6B07">
        <w:t>Regulatory status</w:t>
      </w:r>
      <w:r w:rsidR="00F75CD2" w:rsidRPr="0037485B">
        <w:fldChar w:fldCharType="end"/>
      </w:r>
      <w:r w:rsidR="00F75CD2" w:rsidRPr="0037485B">
        <w:t xml:space="preserve">, and </w:t>
      </w:r>
      <w:r w:rsidR="00F75CD2" w:rsidRPr="0037485B">
        <w:fldChar w:fldCharType="begin"/>
      </w:r>
      <w:r w:rsidR="00F75CD2" w:rsidRPr="0037485B">
        <w:instrText xml:space="preserve"> REF _Ref107841547 \h </w:instrText>
      </w:r>
      <w:r w:rsidR="00F75CD2">
        <w:instrText xml:space="preserve"> \* MERGEFORMAT </w:instrText>
      </w:r>
      <w:r w:rsidR="00F75CD2" w:rsidRPr="0037485B">
        <w:fldChar w:fldCharType="separate"/>
      </w:r>
      <w:r w:rsidR="006F6B07">
        <w:rPr>
          <w:lang w:eastAsia="en-AU"/>
        </w:rPr>
        <w:t>Risk management plan</w:t>
      </w:r>
      <w:r w:rsidR="00F75CD2" w:rsidRPr="0037485B">
        <w:fldChar w:fldCharType="end"/>
      </w:r>
      <w:r w:rsidR="00F75CD2" w:rsidRPr="0037485B">
        <w:t xml:space="preserve"> section</w:t>
      </w:r>
      <w:r w:rsidR="00F7040A">
        <w:t>s</w:t>
      </w:r>
      <w:r w:rsidR="00F75CD2" w:rsidRPr="0037485B">
        <w:t>)</w:t>
      </w:r>
      <w:r>
        <w:t>. These are as aligned with FDA post-marketing requirements.</w:t>
      </w:r>
    </w:p>
    <w:p w14:paraId="2001D63E" w14:textId="349313A6" w:rsidR="0074163C" w:rsidRDefault="0074163C" w:rsidP="0074163C">
      <w:pPr>
        <w:pStyle w:val="Heading4"/>
      </w:pPr>
      <w:bookmarkStart w:id="66" w:name="_Toc98931933"/>
      <w:r w:rsidRPr="00D23139">
        <w:t>Proposed action</w:t>
      </w:r>
      <w:bookmarkEnd w:id="66"/>
      <w:r w:rsidR="00A45587">
        <w:fldChar w:fldCharType="begin"/>
      </w:r>
      <w:r w:rsidR="00A45587">
        <w:instrText xml:space="preserve"> DOCVARIABLE vault_nd_8ee264da-7123-4c84-b4da-d364b0dd3c26 \* MERGEFORMAT </w:instrText>
      </w:r>
      <w:r w:rsidR="00A45587">
        <w:fldChar w:fldCharType="separate"/>
      </w:r>
      <w:r w:rsidR="006F6B07">
        <w:t xml:space="preserve"> </w:t>
      </w:r>
      <w:r w:rsidR="00A45587">
        <w:fldChar w:fldCharType="end"/>
      </w:r>
    </w:p>
    <w:p w14:paraId="10250D38" w14:textId="77777777" w:rsidR="008001E5" w:rsidRDefault="008001E5" w:rsidP="008001E5">
      <w:r>
        <w:t xml:space="preserve">The benefit risk assessment for </w:t>
      </w:r>
      <w:proofErr w:type="spellStart"/>
      <w:r>
        <w:t>tepotinib</w:t>
      </w:r>
      <w:proofErr w:type="spellEnd"/>
      <w:r>
        <w:t xml:space="preserve"> </w:t>
      </w:r>
      <w:proofErr w:type="gramStart"/>
      <w:r>
        <w:t>is considered to be</w:t>
      </w:r>
      <w:proofErr w:type="gramEnd"/>
      <w:r>
        <w:t xml:space="preserve"> favourable to support provisional registration.</w:t>
      </w:r>
    </w:p>
    <w:p w14:paraId="30D61C77" w14:textId="1670F153" w:rsidR="008001E5" w:rsidRPr="008001E5" w:rsidRDefault="008001E5" w:rsidP="008001E5">
      <w:pPr>
        <w:ind w:left="720"/>
        <w:rPr>
          <w:i/>
          <w:iCs/>
        </w:rPr>
      </w:pPr>
      <w:r w:rsidRPr="008001E5">
        <w:rPr>
          <w:i/>
          <w:iCs/>
        </w:rPr>
        <w:t xml:space="preserve">Provisional approval of </w:t>
      </w:r>
      <w:proofErr w:type="spellStart"/>
      <w:r w:rsidRPr="008001E5">
        <w:rPr>
          <w:i/>
          <w:iCs/>
        </w:rPr>
        <w:t>tepotinib</w:t>
      </w:r>
      <w:proofErr w:type="spellEnd"/>
      <w:r w:rsidRPr="008001E5">
        <w:rPr>
          <w:i/>
          <w:iCs/>
        </w:rPr>
        <w:t xml:space="preserve"> for the intended population is therefore recommended for the indication as follows: </w:t>
      </w:r>
      <w:r>
        <w:rPr>
          <w:i/>
          <w:iCs/>
        </w:rPr>
        <w:t>‘</w:t>
      </w:r>
      <w:r w:rsidRPr="008001E5">
        <w:rPr>
          <w:i/>
          <w:iCs/>
        </w:rPr>
        <w:t xml:space="preserve">for the treatment of </w:t>
      </w:r>
      <w:r w:rsidRPr="008001E5">
        <w:rPr>
          <w:i/>
          <w:iCs/>
          <w:szCs w:val="21"/>
          <w:lang w:eastAsia="en-AU"/>
        </w:rPr>
        <w:t xml:space="preserve">adult patients with locally advanced or metastatic non-small cell lung cancer (NSCLC) harbouring mesenchymal-epithelial transition (MET) exon 14 skipping alterations. The decision to approve this indication has been made </w:t>
      </w:r>
      <w:proofErr w:type="gramStart"/>
      <w:r w:rsidRPr="008001E5">
        <w:rPr>
          <w:i/>
          <w:iCs/>
          <w:szCs w:val="21"/>
          <w:lang w:eastAsia="en-AU"/>
        </w:rPr>
        <w:t>on the basis of</w:t>
      </w:r>
      <w:proofErr w:type="gramEnd"/>
      <w:r w:rsidRPr="008001E5">
        <w:rPr>
          <w:i/>
          <w:iCs/>
          <w:szCs w:val="21"/>
          <w:lang w:eastAsia="en-AU"/>
        </w:rPr>
        <w:t xml:space="preserve"> overall response rate (ORR) and duration of response (DOR). Continued approval of this indication depends on verification and description of benefit in confirmatory </w:t>
      </w:r>
      <w:proofErr w:type="gramStart"/>
      <w:r w:rsidRPr="008001E5">
        <w:rPr>
          <w:i/>
          <w:iCs/>
          <w:szCs w:val="21"/>
          <w:lang w:eastAsia="en-AU"/>
        </w:rPr>
        <w:t>trials</w:t>
      </w:r>
      <w:r>
        <w:rPr>
          <w:i/>
          <w:iCs/>
          <w:szCs w:val="21"/>
          <w:lang w:eastAsia="en-AU"/>
        </w:rPr>
        <w:t>’</w:t>
      </w:r>
      <w:proofErr w:type="gramEnd"/>
      <w:r w:rsidRPr="008001E5">
        <w:rPr>
          <w:i/>
          <w:iCs/>
          <w:szCs w:val="21"/>
          <w:lang w:eastAsia="en-AU"/>
        </w:rPr>
        <w:t>.</w:t>
      </w:r>
    </w:p>
    <w:p w14:paraId="50C6E506" w14:textId="16E1A849" w:rsidR="0074163C" w:rsidRPr="00F73346" w:rsidRDefault="0074163C" w:rsidP="0074163C">
      <w:pPr>
        <w:pStyle w:val="Heading4"/>
      </w:pPr>
      <w:bookmarkStart w:id="67" w:name="_Toc98931936"/>
      <w:bookmarkStart w:id="68" w:name="_Toc247691532"/>
      <w:bookmarkStart w:id="69" w:name="_Toc314842516"/>
      <w:bookmarkEnd w:id="37"/>
      <w:bookmarkEnd w:id="54"/>
      <w:bookmarkEnd w:id="55"/>
      <w:r w:rsidRPr="00F73346">
        <w:t>Advisory Committee considerations</w:t>
      </w:r>
      <w:bookmarkEnd w:id="67"/>
      <w:r w:rsidR="00A45587">
        <w:fldChar w:fldCharType="begin"/>
      </w:r>
      <w:r w:rsidR="00A45587">
        <w:instrText xml:space="preserve"> DOCVARIABLE vault_nd_535e8c61-8be8-4906-9764-8f77f5d8a2c9 \* MERGEFORMAT </w:instrText>
      </w:r>
      <w:r w:rsidR="00A45587">
        <w:fldChar w:fldCharType="separate"/>
      </w:r>
      <w:r w:rsidR="006F6B07">
        <w:t xml:space="preserve"> </w:t>
      </w:r>
      <w:r w:rsidR="00A45587">
        <w:fldChar w:fldCharType="end"/>
      </w:r>
    </w:p>
    <w:p w14:paraId="794CEB52" w14:textId="6A01B8F5" w:rsidR="0074163C" w:rsidRDefault="0074163C" w:rsidP="0074163C">
      <w:pPr>
        <w:rPr>
          <w:bCs/>
        </w:rPr>
      </w:pPr>
      <w:r w:rsidRPr="00456765">
        <w:rPr>
          <w:bCs/>
        </w:rPr>
        <w:t xml:space="preserve">The </w:t>
      </w:r>
      <w:hyperlink r:id="rId25" w:history="1">
        <w:r w:rsidRPr="00C65E63">
          <w:rPr>
            <w:rStyle w:val="Hyperlink"/>
            <w:szCs w:val="21"/>
          </w:rPr>
          <w:t>Advisory Committee on Medicines (ACM)</w:t>
        </w:r>
      </w:hyperlink>
      <w:r w:rsidRPr="00F73346">
        <w:rPr>
          <w:szCs w:val="21"/>
        </w:rPr>
        <w:t>,</w:t>
      </w:r>
      <w:r w:rsidRPr="00F73346">
        <w:rPr>
          <w:bCs/>
        </w:rPr>
        <w:t xml:space="preserve"> </w:t>
      </w:r>
      <w:r w:rsidRPr="00456765">
        <w:rPr>
          <w:bCs/>
        </w:rPr>
        <w:t>having considered the evaluations and the Delegate’s overview, as well as the sponsor’s response to these documents, advised the following</w:t>
      </w:r>
      <w:r>
        <w:rPr>
          <w:bCs/>
        </w:rPr>
        <w:t>.</w:t>
      </w:r>
    </w:p>
    <w:p w14:paraId="16ECA852" w14:textId="20F66A2D" w:rsidR="0074163C" w:rsidRPr="00F73346" w:rsidRDefault="0074163C" w:rsidP="0074163C">
      <w:pPr>
        <w:pStyle w:val="Heading5"/>
      </w:pPr>
      <w:r w:rsidRPr="00F73346">
        <w:t>Specific advice to the Delegate</w:t>
      </w:r>
      <w:r w:rsidR="00CF1281">
        <w:fldChar w:fldCharType="begin"/>
      </w:r>
      <w:r w:rsidR="00CF1281">
        <w:instrText>DOCVARIABLE vault_nd_130c1fa3-8378-46b8-a054-1ca599a9b043 \* MERGEFORMAT</w:instrText>
      </w:r>
      <w:r w:rsidR="00CF1281">
        <w:fldChar w:fldCharType="separate"/>
      </w:r>
      <w:r w:rsidR="006F6B07">
        <w:t xml:space="preserve"> </w:t>
      </w:r>
      <w:r w:rsidR="00CF1281">
        <w:fldChar w:fldCharType="end"/>
      </w:r>
    </w:p>
    <w:p w14:paraId="2FBD1683" w14:textId="2C0F21F7" w:rsidR="002A1988" w:rsidRPr="002A1988" w:rsidRDefault="002A1988" w:rsidP="002A1988">
      <w:r w:rsidRPr="002A1988">
        <w:t>The ACM advised the following in response to the Delegate’s specific request for advice:</w:t>
      </w:r>
    </w:p>
    <w:p w14:paraId="42B012DF" w14:textId="3473B4CC" w:rsidR="002A1988" w:rsidRPr="002A1988" w:rsidRDefault="002A1988" w:rsidP="002A1988">
      <w:pPr>
        <w:pStyle w:val="Numberbullet0"/>
        <w:rPr>
          <w:b/>
          <w:bCs/>
          <w:i/>
          <w:iCs/>
        </w:rPr>
      </w:pPr>
      <w:r w:rsidRPr="002A1988">
        <w:rPr>
          <w:b/>
          <w:bCs/>
          <w:i/>
          <w:iCs/>
        </w:rPr>
        <w:t xml:space="preserve">Are the clinical findings from </w:t>
      </w:r>
      <w:r w:rsidR="00F7040A">
        <w:rPr>
          <w:b/>
          <w:bCs/>
          <w:i/>
          <w:iCs/>
        </w:rPr>
        <w:t xml:space="preserve">the </w:t>
      </w:r>
      <w:r w:rsidRPr="002A1988">
        <w:rPr>
          <w:b/>
          <w:bCs/>
          <w:i/>
          <w:iCs/>
        </w:rPr>
        <w:t>VISION</w:t>
      </w:r>
      <w:r w:rsidR="00F7040A">
        <w:rPr>
          <w:b/>
          <w:bCs/>
          <w:i/>
          <w:iCs/>
        </w:rPr>
        <w:t xml:space="preserve"> trial</w:t>
      </w:r>
      <w:r w:rsidRPr="002A1988">
        <w:rPr>
          <w:b/>
          <w:bCs/>
          <w:i/>
          <w:iCs/>
        </w:rPr>
        <w:t xml:space="preserve"> (Study MS200095-0022) adequate to support the use of </w:t>
      </w:r>
      <w:proofErr w:type="spellStart"/>
      <w:r w:rsidRPr="002A1988">
        <w:rPr>
          <w:b/>
          <w:bCs/>
          <w:i/>
          <w:iCs/>
        </w:rPr>
        <w:t>tepotinib</w:t>
      </w:r>
      <w:proofErr w:type="spellEnd"/>
      <w:r w:rsidRPr="002A1988">
        <w:rPr>
          <w:b/>
          <w:bCs/>
          <w:i/>
          <w:iCs/>
        </w:rPr>
        <w:t xml:space="preserve"> in the proposed population in the first-line treatment setting?</w:t>
      </w:r>
    </w:p>
    <w:p w14:paraId="77D0D105" w14:textId="564B030C" w:rsidR="002A1988" w:rsidRPr="002A1988" w:rsidRDefault="002A1988" w:rsidP="002A1988">
      <w:r w:rsidRPr="002A1988">
        <w:t xml:space="preserve">The ACM agreed that the overall response rate and duration of response observed in the treatment naïve group within the VISION study is adequate to support the use of </w:t>
      </w:r>
      <w:proofErr w:type="spellStart"/>
      <w:r w:rsidRPr="002A1988">
        <w:t>tepotinib</w:t>
      </w:r>
      <w:proofErr w:type="spellEnd"/>
      <w:r w:rsidRPr="002A1988">
        <w:t xml:space="preserve"> in first line therapy for adult patients with locally advanced or metastatic non-small cell lung cancer (NSCLC) harbouring </w:t>
      </w:r>
      <w:proofErr w:type="spellStart"/>
      <w:r w:rsidRPr="0068181F">
        <w:rPr>
          <w:i/>
        </w:rPr>
        <w:t>MET</w:t>
      </w:r>
      <w:r w:rsidRPr="00F75CD2">
        <w:rPr>
          <w:i/>
          <w:iCs/>
        </w:rPr>
        <w:t>exon</w:t>
      </w:r>
      <w:proofErr w:type="spellEnd"/>
      <w:r w:rsidRPr="00F75CD2">
        <w:rPr>
          <w:i/>
          <w:iCs/>
        </w:rPr>
        <w:t xml:space="preserve"> 14</w:t>
      </w:r>
      <w:r w:rsidRPr="002A1988">
        <w:t xml:space="preserve"> skipping alterations.</w:t>
      </w:r>
    </w:p>
    <w:p w14:paraId="20EFAF1E" w14:textId="16C0B555" w:rsidR="002A1988" w:rsidRPr="002A1988" w:rsidRDefault="002A1988" w:rsidP="002A1988">
      <w:r w:rsidRPr="002A1988">
        <w:lastRenderedPageBreak/>
        <w:t xml:space="preserve">The ACM noted that the availability of </w:t>
      </w:r>
      <w:proofErr w:type="spellStart"/>
      <w:r w:rsidRPr="002A1988">
        <w:t>Tepmetko</w:t>
      </w:r>
      <w:proofErr w:type="spellEnd"/>
      <w:r w:rsidRPr="002A1988">
        <w:t xml:space="preserve"> would allow an </w:t>
      </w:r>
      <w:proofErr w:type="gramStart"/>
      <w:r w:rsidRPr="002A1988">
        <w:t xml:space="preserve">oral </w:t>
      </w:r>
      <w:r w:rsidR="00F7040A">
        <w:t>tyrosine kinase inhibitors</w:t>
      </w:r>
      <w:proofErr w:type="gramEnd"/>
      <w:r w:rsidR="00F7040A" w:rsidRPr="002A1988">
        <w:t xml:space="preserve"> </w:t>
      </w:r>
      <w:r w:rsidRPr="002A1988">
        <w:t>to be available prior to chemoimmunotherapy which would provide another treatment option to patients and clinicians.</w:t>
      </w:r>
    </w:p>
    <w:p w14:paraId="64318B9B" w14:textId="33D535C1" w:rsidR="002A1988" w:rsidRPr="002A1988" w:rsidRDefault="002A1988" w:rsidP="002A1988">
      <w:pPr>
        <w:pStyle w:val="Numberbullet0"/>
        <w:rPr>
          <w:b/>
          <w:bCs/>
          <w:i/>
          <w:iCs/>
        </w:rPr>
      </w:pPr>
      <w:r w:rsidRPr="002A1988">
        <w:rPr>
          <w:b/>
          <w:bCs/>
          <w:i/>
          <w:iCs/>
        </w:rPr>
        <w:t xml:space="preserve">Are the clinical findings from VISION </w:t>
      </w:r>
      <w:r w:rsidR="00F7040A">
        <w:rPr>
          <w:b/>
          <w:bCs/>
          <w:i/>
          <w:iCs/>
        </w:rPr>
        <w:t xml:space="preserve">trial </w:t>
      </w:r>
      <w:r w:rsidRPr="002A1988">
        <w:rPr>
          <w:b/>
          <w:bCs/>
          <w:i/>
          <w:iCs/>
        </w:rPr>
        <w:t xml:space="preserve">(Study MS200095-0022) adequate to support the use of </w:t>
      </w:r>
      <w:proofErr w:type="spellStart"/>
      <w:r w:rsidRPr="002A1988">
        <w:rPr>
          <w:b/>
          <w:bCs/>
          <w:i/>
          <w:iCs/>
        </w:rPr>
        <w:t>tepotinib</w:t>
      </w:r>
      <w:proofErr w:type="spellEnd"/>
      <w:r w:rsidRPr="002A1988">
        <w:rPr>
          <w:b/>
          <w:bCs/>
          <w:i/>
          <w:iCs/>
        </w:rPr>
        <w:t xml:space="preserve"> in the proposed population in the </w:t>
      </w:r>
      <w:proofErr w:type="gramStart"/>
      <w:r w:rsidRPr="002A1988">
        <w:rPr>
          <w:b/>
          <w:bCs/>
          <w:i/>
          <w:iCs/>
        </w:rPr>
        <w:t>second-line</w:t>
      </w:r>
      <w:proofErr w:type="gramEnd"/>
      <w:r w:rsidRPr="002A1988">
        <w:rPr>
          <w:b/>
          <w:bCs/>
          <w:i/>
          <w:iCs/>
        </w:rPr>
        <w:t>/subsequent treatment settings?</w:t>
      </w:r>
    </w:p>
    <w:p w14:paraId="5BC5B444" w14:textId="567CE04E" w:rsidR="002A1988" w:rsidRPr="002A1988" w:rsidRDefault="002A1988" w:rsidP="002A1988">
      <w:r w:rsidRPr="002A1988">
        <w:t xml:space="preserve">The ACM agreed that the overall response rate and duration of response observed in the pre-treated group within the VISION </w:t>
      </w:r>
      <w:r w:rsidR="00F7040A">
        <w:t>trial</w:t>
      </w:r>
      <w:r w:rsidR="00F7040A" w:rsidRPr="002A1988">
        <w:t xml:space="preserve"> </w:t>
      </w:r>
      <w:r w:rsidRPr="002A1988">
        <w:t xml:space="preserve">is adequate to support the use of </w:t>
      </w:r>
      <w:proofErr w:type="spellStart"/>
      <w:r w:rsidRPr="002A1988">
        <w:t>tepotinib</w:t>
      </w:r>
      <w:proofErr w:type="spellEnd"/>
      <w:r w:rsidRPr="002A1988">
        <w:t xml:space="preserve"> as second line/subsequent therapy for adult patients with locally advanced or metastatic NSCLC harbouring </w:t>
      </w:r>
      <w:r w:rsidRPr="00F75CD2">
        <w:rPr>
          <w:i/>
          <w:iCs/>
        </w:rPr>
        <w:t>MET exon 14</w:t>
      </w:r>
      <w:r w:rsidRPr="002A1988">
        <w:t xml:space="preserve"> skipping alterations.</w:t>
      </w:r>
    </w:p>
    <w:p w14:paraId="4AA17150" w14:textId="2C9DAC2D" w:rsidR="002A1988" w:rsidRPr="002A1988" w:rsidRDefault="002A1988" w:rsidP="002A1988">
      <w:r w:rsidRPr="002A1988">
        <w:t>The ACM noted the important of providing patients and clinicians with additional efficacious options at multiple treatment lines.</w:t>
      </w:r>
    </w:p>
    <w:p w14:paraId="3E1344F7" w14:textId="3932557A" w:rsidR="002A1988" w:rsidRPr="002A1988" w:rsidRDefault="002A1988" w:rsidP="002A1988">
      <w:pPr>
        <w:pStyle w:val="Numberbullet0"/>
        <w:rPr>
          <w:b/>
          <w:bCs/>
          <w:i/>
          <w:iCs/>
        </w:rPr>
      </w:pPr>
      <w:r w:rsidRPr="002A1988">
        <w:rPr>
          <w:b/>
          <w:bCs/>
          <w:i/>
          <w:iCs/>
        </w:rPr>
        <w:t>Other advice</w:t>
      </w:r>
    </w:p>
    <w:p w14:paraId="044993D2" w14:textId="5B05F200" w:rsidR="002A1988" w:rsidRPr="002A1988" w:rsidRDefault="002A1988" w:rsidP="002A1988">
      <w:r w:rsidRPr="002A1988">
        <w:t>The ACM noted that this is a provisional application and advised that the confirmatory studies should be provided once available.</w:t>
      </w:r>
    </w:p>
    <w:p w14:paraId="48071A0C" w14:textId="3080D2DE" w:rsidR="002A1988" w:rsidRPr="002A1988" w:rsidRDefault="002A1988" w:rsidP="002A1988">
      <w:r w:rsidRPr="002A1988">
        <w:t xml:space="preserve">The ACM commented that NSCLC harbouring </w:t>
      </w:r>
      <w:r w:rsidRPr="00F75CD2">
        <w:rPr>
          <w:i/>
          <w:iCs/>
        </w:rPr>
        <w:t>MET exon 14</w:t>
      </w:r>
      <w:r w:rsidRPr="002A1988">
        <w:t xml:space="preserve"> skipping alterations is a rare subtype of cancer and acknowledged the potential challenges with randomised controlled studies. The ACM noted that this is of </w:t>
      </w:r>
      <w:proofErr w:type="gramStart"/>
      <w:r w:rsidRPr="002A1988">
        <w:t>particular consideration</w:t>
      </w:r>
      <w:proofErr w:type="gramEnd"/>
      <w:r w:rsidRPr="002A1988">
        <w:t xml:space="preserve"> for </w:t>
      </w:r>
      <w:r w:rsidR="00F7040A">
        <w:t xml:space="preserve">NSCLC harbouring </w:t>
      </w:r>
      <w:r w:rsidRPr="00F75CD2">
        <w:rPr>
          <w:i/>
          <w:iCs/>
        </w:rPr>
        <w:t>METex</w:t>
      </w:r>
      <w:r w:rsidR="00F75CD2" w:rsidRPr="00F75CD2">
        <w:rPr>
          <w:i/>
          <w:iCs/>
        </w:rPr>
        <w:t>on</w:t>
      </w:r>
      <w:r w:rsidRPr="00F75CD2">
        <w:rPr>
          <w:i/>
          <w:iCs/>
        </w:rPr>
        <w:t>14</w:t>
      </w:r>
      <w:r w:rsidRPr="002A1988">
        <w:t xml:space="preserve"> skipping mutation</w:t>
      </w:r>
      <w:r w:rsidR="00F7040A">
        <w:t>s</w:t>
      </w:r>
      <w:r w:rsidRPr="002A1988">
        <w:t xml:space="preserve"> as many DNA-based </w:t>
      </w:r>
      <w:r w:rsidR="00F7040A">
        <w:t>next-generation sequencing</w:t>
      </w:r>
      <w:r w:rsidR="00F7040A" w:rsidRPr="002A1988">
        <w:t xml:space="preserve"> </w:t>
      </w:r>
      <w:r w:rsidRPr="002A1988">
        <w:t xml:space="preserve">panels currently used in Australia do not identify these </w:t>
      </w:r>
      <w:r w:rsidRPr="00F75CD2">
        <w:rPr>
          <w:i/>
          <w:iCs/>
        </w:rPr>
        <w:t>MET</w:t>
      </w:r>
      <w:r w:rsidRPr="002A1988">
        <w:t xml:space="preserve"> mutations.</w:t>
      </w:r>
    </w:p>
    <w:p w14:paraId="3976C908" w14:textId="39F6DDB8" w:rsidR="0074163C" w:rsidRPr="00F73346" w:rsidRDefault="0074163C" w:rsidP="0074163C">
      <w:pPr>
        <w:pStyle w:val="Heading5"/>
      </w:pPr>
      <w:r w:rsidRPr="00F73346">
        <w:t>Conclusion</w:t>
      </w:r>
      <w:r w:rsidR="00CF1281">
        <w:fldChar w:fldCharType="begin"/>
      </w:r>
      <w:r w:rsidR="00CF1281">
        <w:instrText>DOCVARIABLE vault_nd_6f00e10e-e0c5-4aa9-82a3-441ebae6b22f \* MERGEFORMAT</w:instrText>
      </w:r>
      <w:r w:rsidR="00CF1281">
        <w:fldChar w:fldCharType="separate"/>
      </w:r>
      <w:r w:rsidR="006F6B07">
        <w:t xml:space="preserve"> </w:t>
      </w:r>
      <w:r w:rsidR="00CF1281">
        <w:fldChar w:fldCharType="end"/>
      </w:r>
    </w:p>
    <w:p w14:paraId="40D34ED4" w14:textId="04825769" w:rsidR="002A1988" w:rsidRPr="002A1988" w:rsidRDefault="002A1988" w:rsidP="002A1988">
      <w:r w:rsidRPr="002A1988">
        <w:t>The ACM considered this product to have an overall positive benefit-risk profile for the provisional indication:</w:t>
      </w:r>
    </w:p>
    <w:p w14:paraId="0583E340" w14:textId="5AAC859F" w:rsidR="002A1988" w:rsidRPr="002A1988" w:rsidRDefault="002A1988" w:rsidP="002A1988">
      <w:pPr>
        <w:ind w:left="720"/>
      </w:pPr>
      <w:r>
        <w:rPr>
          <w:i/>
          <w:iCs/>
        </w:rPr>
        <w:t>F</w:t>
      </w:r>
      <w:r w:rsidRPr="002A1988">
        <w:rPr>
          <w:i/>
          <w:iCs/>
        </w:rPr>
        <w:t xml:space="preserve">or the treatment of adult patients with locally advanced or metastatic non-small cell lung cancer (NSCLC) harbouring mesenchymal-epithelial transition (MET) exon 14 skipping alterations. </w:t>
      </w:r>
    </w:p>
    <w:p w14:paraId="634A94F7" w14:textId="2FB1C5A0" w:rsidR="002A1988" w:rsidRPr="007D53B6" w:rsidRDefault="002A1988" w:rsidP="002A1988">
      <w:pPr>
        <w:ind w:left="720"/>
      </w:pPr>
      <w:r w:rsidRPr="002A1988">
        <w:rPr>
          <w:i/>
          <w:iCs/>
        </w:rPr>
        <w:t xml:space="preserve">The decision to approve this indication has been made </w:t>
      </w:r>
      <w:proofErr w:type="gramStart"/>
      <w:r w:rsidRPr="002A1988">
        <w:rPr>
          <w:i/>
          <w:iCs/>
        </w:rPr>
        <w:t>on the basis of</w:t>
      </w:r>
      <w:proofErr w:type="gramEnd"/>
      <w:r w:rsidRPr="002A1988">
        <w:rPr>
          <w:i/>
          <w:iCs/>
        </w:rPr>
        <w:t xml:space="preserve"> overall response rate (ORR) and duration of response (DOR). Continued approval of this indication depends on verification and description of benefit in confirmatory trials.</w:t>
      </w:r>
    </w:p>
    <w:p w14:paraId="2345AD7A" w14:textId="2374AAF1" w:rsidR="008E7846" w:rsidRPr="002E238E" w:rsidRDefault="008E7846" w:rsidP="00D212F3">
      <w:pPr>
        <w:pStyle w:val="Heading2"/>
      </w:pPr>
      <w:bookmarkStart w:id="70" w:name="_Toc107841985"/>
      <w:r>
        <w:t>Outcome</w:t>
      </w:r>
      <w:bookmarkEnd w:id="68"/>
      <w:bookmarkEnd w:id="69"/>
      <w:bookmarkEnd w:id="70"/>
      <w:r w:rsidR="00A45587">
        <w:fldChar w:fldCharType="begin"/>
      </w:r>
      <w:r w:rsidR="00A45587">
        <w:instrText xml:space="preserve"> DOCVARIABLE vault_nd_96bdd8d1-1a99-457f-a027-1766747320ef \* MERGEFORMAT </w:instrText>
      </w:r>
      <w:r w:rsidR="00A45587">
        <w:fldChar w:fldCharType="separate"/>
      </w:r>
      <w:r w:rsidR="006F6B07">
        <w:t xml:space="preserve"> </w:t>
      </w:r>
      <w:r w:rsidR="00A45587">
        <w:fldChar w:fldCharType="end"/>
      </w:r>
    </w:p>
    <w:p w14:paraId="07046A04" w14:textId="78984BD5" w:rsidR="00A93370" w:rsidRDefault="0074163C" w:rsidP="00CB4B98">
      <w:bookmarkStart w:id="71" w:name="_Toc247691533"/>
      <w:bookmarkStart w:id="72" w:name="_Toc314842517"/>
      <w:r>
        <w:t xml:space="preserve">Based on a review of quality, </w:t>
      </w:r>
      <w:r w:rsidR="00CC5044">
        <w:t>safety,</w:t>
      </w:r>
      <w:r>
        <w:t xml:space="preserve"> and efficacy, the TGA approved the registration of </w:t>
      </w:r>
      <w:proofErr w:type="spellStart"/>
      <w:r w:rsidR="00CB4B98">
        <w:t>Tepmetko</w:t>
      </w:r>
      <w:proofErr w:type="spellEnd"/>
      <w:r w:rsidR="00CB4B98">
        <w:t xml:space="preserve"> (</w:t>
      </w:r>
      <w:proofErr w:type="spellStart"/>
      <w:r w:rsidR="00CB4B98">
        <w:t>tepotinib</w:t>
      </w:r>
      <w:proofErr w:type="spellEnd"/>
      <w:r w:rsidR="00CB4B98" w:rsidRPr="000A4A42">
        <w:t xml:space="preserve">) </w:t>
      </w:r>
      <w:r w:rsidR="00CB4B98">
        <w:t>225 mg</w:t>
      </w:r>
      <w:r w:rsidR="00CB4B98" w:rsidRPr="000A4A42">
        <w:t xml:space="preserve">, </w:t>
      </w:r>
      <w:r w:rsidR="00CB4B98">
        <w:t>film coated tablet, blister pack</w:t>
      </w:r>
      <w:r>
        <w:t>, indicated for</w:t>
      </w:r>
      <w:r w:rsidR="00CB4B98">
        <w:t>:</w:t>
      </w:r>
    </w:p>
    <w:p w14:paraId="1EF92DB5" w14:textId="77777777" w:rsidR="00CB4B98" w:rsidRPr="00CB4B98" w:rsidRDefault="00CB4B98" w:rsidP="00CB4B98">
      <w:pPr>
        <w:ind w:left="720"/>
        <w:rPr>
          <w:i/>
          <w:iCs/>
        </w:rPr>
      </w:pPr>
      <w:proofErr w:type="spellStart"/>
      <w:r w:rsidRPr="00CB4B98">
        <w:rPr>
          <w:i/>
          <w:iCs/>
        </w:rPr>
        <w:t>Tepmetko</w:t>
      </w:r>
      <w:proofErr w:type="spellEnd"/>
      <w:r w:rsidRPr="00CB4B98">
        <w:rPr>
          <w:i/>
          <w:iCs/>
        </w:rPr>
        <w:t xml:space="preserve"> has provisional approval in Australia for the treatment of adult patients with locally advanced or metastatic non-small cell lung cancer (NSCLC) harbouring mesenchymal-epithelial transition (MET) exon 14 skipping alterations.</w:t>
      </w:r>
    </w:p>
    <w:p w14:paraId="38683B2E" w14:textId="77777777" w:rsidR="00CB4B98" w:rsidRDefault="00CB4B98" w:rsidP="00CB4B98">
      <w:pPr>
        <w:ind w:left="720"/>
        <w:rPr>
          <w:b/>
          <w:bCs/>
        </w:rPr>
      </w:pPr>
      <w:r w:rsidRPr="00CB4B98">
        <w:rPr>
          <w:i/>
          <w:iCs/>
        </w:rPr>
        <w:t xml:space="preserve">The decision to approve this indication has been made </w:t>
      </w:r>
      <w:proofErr w:type="gramStart"/>
      <w:r w:rsidRPr="00CB4B98">
        <w:rPr>
          <w:i/>
          <w:iCs/>
        </w:rPr>
        <w:t>on the basis of</w:t>
      </w:r>
      <w:proofErr w:type="gramEnd"/>
      <w:r w:rsidRPr="00CB4B98">
        <w:rPr>
          <w:i/>
          <w:iCs/>
        </w:rPr>
        <w:t xml:space="preserve"> overall response rate (ORR) and duration of response (DOR). Continued approval of this indication depends on verification and description of benefit in confirmatory trial(s).</w:t>
      </w:r>
    </w:p>
    <w:p w14:paraId="4FC9A89A" w14:textId="0B32CAF7" w:rsidR="00D23139" w:rsidRPr="00D23139" w:rsidRDefault="00D23139" w:rsidP="00CB4B98">
      <w:pPr>
        <w:pStyle w:val="Heading3"/>
      </w:pPr>
      <w:bookmarkStart w:id="73" w:name="_Toc107841986"/>
      <w:r w:rsidRPr="00D23139">
        <w:t>Specific conditions of registration applying to these goods</w:t>
      </w:r>
      <w:bookmarkEnd w:id="73"/>
      <w:r w:rsidR="00A45587">
        <w:fldChar w:fldCharType="begin"/>
      </w:r>
      <w:r w:rsidR="00A45587">
        <w:instrText xml:space="preserve"> DOCVARIABLE vault_nd_31845de4-2e75-4c8b-bd98-29607f4efe39 \* MERGEFORMAT </w:instrText>
      </w:r>
      <w:r w:rsidR="00A45587">
        <w:fldChar w:fldCharType="separate"/>
      </w:r>
      <w:r w:rsidR="006F6B07">
        <w:t xml:space="preserve"> </w:t>
      </w:r>
      <w:r w:rsidR="00A45587">
        <w:fldChar w:fldCharType="end"/>
      </w:r>
    </w:p>
    <w:p w14:paraId="4D906B26" w14:textId="416BCD93" w:rsidR="00E611A1" w:rsidRPr="00E611A1" w:rsidRDefault="00E611A1" w:rsidP="00E611A1">
      <w:pPr>
        <w:pStyle w:val="ListBullet"/>
      </w:pPr>
      <w:proofErr w:type="spellStart"/>
      <w:r w:rsidRPr="00E611A1">
        <w:t>T</w:t>
      </w:r>
      <w:r>
        <w:t>epmetko</w:t>
      </w:r>
      <w:proofErr w:type="spellEnd"/>
      <w:r w:rsidRPr="00E611A1">
        <w:t xml:space="preserve"> (</w:t>
      </w:r>
      <w:proofErr w:type="spellStart"/>
      <w:r w:rsidRPr="00E611A1">
        <w:t>tepotinib</w:t>
      </w:r>
      <w:proofErr w:type="spellEnd"/>
      <w:r w:rsidRPr="00E611A1">
        <w:t>) is to be included in the Black Triangle Scheme. The PI and CMI</w:t>
      </w:r>
      <w:r>
        <w:t xml:space="preserve"> </w:t>
      </w:r>
      <w:r w:rsidRPr="00E611A1">
        <w:t xml:space="preserve">for </w:t>
      </w:r>
      <w:proofErr w:type="spellStart"/>
      <w:r w:rsidRPr="00E611A1">
        <w:t>T</w:t>
      </w:r>
      <w:r>
        <w:t>epmetko</w:t>
      </w:r>
      <w:proofErr w:type="spellEnd"/>
      <w:r w:rsidRPr="00E611A1">
        <w:t xml:space="preserve"> must include the black triangle symbol and mandatory accompanying</w:t>
      </w:r>
      <w:r w:rsidR="00E2059E">
        <w:t xml:space="preserve"> </w:t>
      </w:r>
      <w:r w:rsidRPr="00E611A1">
        <w:t>text for the products entire period of provisional registration.</w:t>
      </w:r>
    </w:p>
    <w:p w14:paraId="26B93A05" w14:textId="114FE75E" w:rsidR="00E611A1" w:rsidRDefault="00E611A1" w:rsidP="00E611A1">
      <w:pPr>
        <w:pStyle w:val="ListBullet"/>
      </w:pPr>
      <w:r w:rsidRPr="00E611A1">
        <w:lastRenderedPageBreak/>
        <w:t>Confirmatory trial data (as identified in the sponsor’s plan to submit</w:t>
      </w:r>
      <w:r>
        <w:t xml:space="preserve"> </w:t>
      </w:r>
      <w:r w:rsidRPr="00E611A1">
        <w:t>comprehensive</w:t>
      </w:r>
      <w:r w:rsidR="00E2059E">
        <w:t xml:space="preserve"> </w:t>
      </w:r>
      <w:r w:rsidRPr="00E611A1">
        <w:t>clinical data on the safety and efficacy of the medicine before the end of the 6 years that</w:t>
      </w:r>
      <w:r w:rsidR="00E2059E">
        <w:t xml:space="preserve"> </w:t>
      </w:r>
      <w:r w:rsidRPr="00E611A1">
        <w:t>would start on the day that registration would commence) must be provided.</w:t>
      </w:r>
    </w:p>
    <w:p w14:paraId="0EE3AB37" w14:textId="5FBA64BB" w:rsidR="00E611A1" w:rsidRPr="00E611A1" w:rsidRDefault="00E611A1" w:rsidP="00E611A1">
      <w:pPr>
        <w:pStyle w:val="ListBullet"/>
        <w:numPr>
          <w:ilvl w:val="0"/>
          <w:numId w:val="0"/>
        </w:numPr>
        <w:ind w:left="360"/>
      </w:pPr>
      <w:r w:rsidRPr="00E611A1">
        <w:t>Specifically, the sponsor must conduct studies as described in the clinical study plan inversion 2.1 (dated 27 July 2021) of the Australia</w:t>
      </w:r>
      <w:r w:rsidR="00E2059E">
        <w:t xml:space="preserve"> s</w:t>
      </w:r>
      <w:r w:rsidRPr="00E611A1">
        <w:t xml:space="preserve">pecific </w:t>
      </w:r>
      <w:r w:rsidR="00E2059E">
        <w:t>a</w:t>
      </w:r>
      <w:r w:rsidRPr="00E611A1">
        <w:t>nnex. The following study</w:t>
      </w:r>
      <w:r w:rsidR="00E2059E">
        <w:t xml:space="preserve"> </w:t>
      </w:r>
      <w:r w:rsidRPr="00E611A1">
        <w:t>report should be submitted to TGA:</w:t>
      </w:r>
    </w:p>
    <w:p w14:paraId="1133E36A" w14:textId="04EAD462" w:rsidR="00E611A1" w:rsidRDefault="00E611A1" w:rsidP="00E611A1">
      <w:pPr>
        <w:pStyle w:val="ListBullet2"/>
      </w:pPr>
      <w:r w:rsidRPr="00E611A1">
        <w:t>Study MS200095-0022, VISION</w:t>
      </w:r>
      <w:r w:rsidR="00A928AA">
        <w:t xml:space="preserve"> [trial]</w:t>
      </w:r>
      <w:r w:rsidRPr="00E611A1">
        <w:t>, by date 1 November 2027</w:t>
      </w:r>
      <w:r>
        <w:t>.</w:t>
      </w:r>
    </w:p>
    <w:p w14:paraId="0C8CB02B" w14:textId="0EA80D96" w:rsidR="00E611A1" w:rsidRPr="00E611A1" w:rsidRDefault="00E611A1" w:rsidP="00E611A1">
      <w:pPr>
        <w:pStyle w:val="ListBullet2"/>
        <w:numPr>
          <w:ilvl w:val="0"/>
          <w:numId w:val="0"/>
        </w:numPr>
        <w:ind w:left="360"/>
      </w:pPr>
      <w:r w:rsidRPr="00E611A1">
        <w:rPr>
          <w:sz w:val="24"/>
          <w:szCs w:val="24"/>
        </w:rPr>
        <w:t xml:space="preserve">Further </w:t>
      </w:r>
      <w:r w:rsidRPr="00E611A1">
        <w:t>guidance for sponsors is available on the TGA website.</w:t>
      </w:r>
    </w:p>
    <w:p w14:paraId="42A20F1D" w14:textId="77777777" w:rsidR="00AE46B7" w:rsidRDefault="00E611A1" w:rsidP="00E611A1">
      <w:pPr>
        <w:pStyle w:val="ListBullet"/>
      </w:pPr>
      <w:r w:rsidRPr="00E611A1">
        <w:t xml:space="preserve">The </w:t>
      </w:r>
      <w:proofErr w:type="spellStart"/>
      <w:r w:rsidRPr="00E611A1">
        <w:t>T</w:t>
      </w:r>
      <w:r>
        <w:t>epmetko</w:t>
      </w:r>
      <w:proofErr w:type="spellEnd"/>
      <w:r w:rsidRPr="00E611A1">
        <w:t xml:space="preserve"> Core-Risk Management Plan (RMP) (version 3.0 dated 10 May 2021; DLP 1 July 2020) and Australian Specific Annex version 2.1 (dated 27 July 2021) included with submission PM-2021-03109-1-4, and any subsequent revisions, as agreed with the TGA will be implemented in Australia.</w:t>
      </w:r>
    </w:p>
    <w:p w14:paraId="4F57F759" w14:textId="7CB8F25C" w:rsidR="00AE46B7" w:rsidRDefault="00E611A1" w:rsidP="00AE46B7">
      <w:pPr>
        <w:pStyle w:val="ListBullet"/>
        <w:numPr>
          <w:ilvl w:val="0"/>
          <w:numId w:val="0"/>
        </w:numPr>
        <w:ind w:left="360"/>
      </w:pPr>
      <w:r w:rsidRPr="00E611A1">
        <w:t>An obligatory component of risk management plans is routine pharmacovigilance. Routine pharmacovigilance includes the submission of periodic safety update reports (PSURs).</w:t>
      </w:r>
    </w:p>
    <w:p w14:paraId="4147D675" w14:textId="7BFB3060" w:rsidR="00AE46B7" w:rsidRDefault="00E611A1" w:rsidP="00AE46B7">
      <w:pPr>
        <w:pStyle w:val="ListBullet"/>
        <w:numPr>
          <w:ilvl w:val="0"/>
          <w:numId w:val="0"/>
        </w:numPr>
        <w:ind w:left="360"/>
      </w:pPr>
      <w:r w:rsidRPr="00E611A1">
        <w:t>Unless agreed separately between the supplier who is the recipient of the approval and the TGA, the first report must be submitted to TGA no later than 15 calendar months after the date of th</w:t>
      </w:r>
      <w:r w:rsidR="00AE46B7">
        <w:t>e</w:t>
      </w:r>
      <w:r w:rsidRPr="00E611A1">
        <w:t xml:space="preserve"> approval letter. The subsequent reports must be submitted no less frequently than annually from the date of the first submitted report until the period covered by such reports is not less than three years from the date of th</w:t>
      </w:r>
      <w:r w:rsidR="00AE46B7">
        <w:t>e</w:t>
      </w:r>
      <w:r w:rsidRPr="00E611A1">
        <w:t xml:space="preserve"> approval letter, or the entire period of provisional registration, whichever is longer.</w:t>
      </w:r>
    </w:p>
    <w:p w14:paraId="58A583C7" w14:textId="215126BD" w:rsidR="00E611A1" w:rsidRPr="00E611A1" w:rsidRDefault="00E611A1" w:rsidP="00AE46B7">
      <w:pPr>
        <w:pStyle w:val="ListBullet"/>
        <w:numPr>
          <w:ilvl w:val="0"/>
          <w:numId w:val="0"/>
        </w:numPr>
        <w:ind w:left="360"/>
      </w:pPr>
      <w:r w:rsidRPr="00E611A1">
        <w:t xml:space="preserve">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 </w:t>
      </w:r>
    </w:p>
    <w:p w14:paraId="60BD5A48" w14:textId="397455A5" w:rsidR="00E611A1" w:rsidRPr="00E611A1" w:rsidRDefault="00E611A1" w:rsidP="00AE46B7">
      <w:pPr>
        <w:pStyle w:val="ListBullet"/>
      </w:pPr>
      <w:r w:rsidRPr="00E611A1">
        <w:t>Submit final reports including datasets from clinical studies to confirm and further character</w:t>
      </w:r>
      <w:r w:rsidR="00A928AA">
        <w:t>is</w:t>
      </w:r>
      <w:r w:rsidRPr="00E611A1">
        <w:t xml:space="preserve">e the clinical benefit of </w:t>
      </w:r>
      <w:proofErr w:type="spellStart"/>
      <w:r w:rsidRPr="00E611A1">
        <w:t>tepotinib</w:t>
      </w:r>
      <w:proofErr w:type="spellEnd"/>
      <w:r w:rsidRPr="00E611A1">
        <w:t xml:space="preserve"> for the treatment of patients with non-small cell lung cancer (NSCLC) </w:t>
      </w:r>
      <w:proofErr w:type="spellStart"/>
      <w:r w:rsidRPr="00E611A1">
        <w:t>harboring</w:t>
      </w:r>
      <w:proofErr w:type="spellEnd"/>
      <w:r w:rsidRPr="00E611A1">
        <w:t xml:space="preserve"> </w:t>
      </w:r>
      <w:r w:rsidRPr="00AE46B7">
        <w:rPr>
          <w:i/>
          <w:iCs/>
        </w:rPr>
        <w:t>MET exon 14</w:t>
      </w:r>
      <w:r w:rsidRPr="00E611A1">
        <w:t xml:space="preserve"> skipping alterations who are treatment-naïve and who have previously received systemic therapy, by providing a more precise estimation of the blinded independent central review-assessed overall response rate and duration of response.</w:t>
      </w:r>
    </w:p>
    <w:p w14:paraId="5B3D790F" w14:textId="535FB0FB" w:rsidR="00E611A1" w:rsidRPr="00E611A1" w:rsidRDefault="00E611A1" w:rsidP="00AE46B7">
      <w:pPr>
        <w:pStyle w:val="ListBullet"/>
      </w:pPr>
      <w:r w:rsidRPr="00E611A1">
        <w:t xml:space="preserve">Conduct a drug interaction study to evaluate the effect of itraconazole on the single dose pharmacokinetics of </w:t>
      </w:r>
      <w:proofErr w:type="spellStart"/>
      <w:r w:rsidRPr="00E611A1">
        <w:t>tepotinib</w:t>
      </w:r>
      <w:proofErr w:type="spellEnd"/>
      <w:r w:rsidRPr="00E611A1">
        <w:t xml:space="preserve"> to assess the magnitude of increased drug exposure and determine appropriate dosing recommendations when </w:t>
      </w:r>
      <w:proofErr w:type="spellStart"/>
      <w:r w:rsidRPr="00E611A1">
        <w:t>tepotinib</w:t>
      </w:r>
      <w:proofErr w:type="spellEnd"/>
      <w:r w:rsidRPr="00E611A1">
        <w:t xml:space="preserve"> is administered concomitantly with a strong CYP3A4 and P-</w:t>
      </w:r>
      <w:proofErr w:type="spellStart"/>
      <w:r w:rsidRPr="00E611A1">
        <w:t>gp</w:t>
      </w:r>
      <w:proofErr w:type="spellEnd"/>
      <w:r w:rsidRPr="00E611A1">
        <w:t xml:space="preserve"> inhibitors.</w:t>
      </w:r>
    </w:p>
    <w:p w14:paraId="3618957C" w14:textId="6C33518E" w:rsidR="00E611A1" w:rsidRPr="00E611A1" w:rsidRDefault="00E611A1" w:rsidP="00AE46B7">
      <w:pPr>
        <w:pStyle w:val="ListBullet"/>
      </w:pPr>
      <w:r w:rsidRPr="00E611A1">
        <w:t xml:space="preserve">Conduct a drug interaction study to evaluate the effect of carbamazepine on the single dose pharmacokinetics of </w:t>
      </w:r>
      <w:proofErr w:type="spellStart"/>
      <w:r w:rsidRPr="00E611A1">
        <w:t>tepotinib</w:t>
      </w:r>
      <w:proofErr w:type="spellEnd"/>
      <w:r w:rsidRPr="00E611A1">
        <w:t xml:space="preserve"> to assess the magnitude of decreased drug exposure and determine appropriate dosing recommendations when </w:t>
      </w:r>
      <w:proofErr w:type="spellStart"/>
      <w:r w:rsidRPr="00E611A1">
        <w:t>tepotinib</w:t>
      </w:r>
      <w:proofErr w:type="spellEnd"/>
      <w:r w:rsidRPr="00E611A1">
        <w:t xml:space="preserve"> is administered concomitantly with a strong CYP3A4 inducer and moderate CYP2C8 inducer.</w:t>
      </w:r>
    </w:p>
    <w:p w14:paraId="3EB84977" w14:textId="0404902B" w:rsidR="008E7846" w:rsidRDefault="00A80B5B" w:rsidP="00D23139">
      <w:pPr>
        <w:pStyle w:val="Heading2"/>
      </w:pPr>
      <w:bookmarkStart w:id="74" w:name="_Toc107841987"/>
      <w:r>
        <w:t xml:space="preserve">Attachment 1. </w:t>
      </w:r>
      <w:r w:rsidR="008E7846">
        <w:t xml:space="preserve">Product </w:t>
      </w:r>
      <w:r w:rsidR="00AA0ED0">
        <w:t>I</w:t>
      </w:r>
      <w:r w:rsidR="008E7846">
        <w:t>nformation</w:t>
      </w:r>
      <w:bookmarkEnd w:id="71"/>
      <w:bookmarkEnd w:id="72"/>
      <w:bookmarkEnd w:id="74"/>
      <w:r w:rsidR="00A45587">
        <w:fldChar w:fldCharType="begin"/>
      </w:r>
      <w:r w:rsidR="00A45587">
        <w:instrText xml:space="preserve"> DOCVARIABLE vault_nd_b0a89ca0-6693-425e-8355-8d2ac05aef52 \* MERGEFORMAT </w:instrText>
      </w:r>
      <w:r w:rsidR="00A45587">
        <w:fldChar w:fldCharType="separate"/>
      </w:r>
      <w:r w:rsidR="006F6B07">
        <w:t xml:space="preserve"> </w:t>
      </w:r>
      <w:r w:rsidR="00A45587">
        <w:fldChar w:fldCharType="end"/>
      </w:r>
    </w:p>
    <w:p w14:paraId="042D1B0E" w14:textId="09E52A02" w:rsidR="00C80137" w:rsidRPr="001D043B" w:rsidRDefault="006136D7" w:rsidP="00AD4025">
      <w:pPr>
        <w:sectPr w:rsidR="00C80137" w:rsidRPr="001D043B" w:rsidSect="00B452CE">
          <w:headerReference w:type="even" r:id="rId26"/>
          <w:headerReference w:type="default" r:id="rId27"/>
          <w:headerReference w:type="first" r:id="rId28"/>
          <w:footerReference w:type="first" r:id="rId29"/>
          <w:pgSz w:w="11906" w:h="16838" w:code="9"/>
          <w:pgMar w:top="834" w:right="1701" w:bottom="1191" w:left="1701" w:header="907" w:footer="216" w:gutter="0"/>
          <w:cols w:space="708"/>
          <w:docGrid w:linePitch="360"/>
        </w:sectPr>
      </w:pPr>
      <w:r w:rsidRPr="002B3624">
        <w:t xml:space="preserve">The </w:t>
      </w:r>
      <w:r>
        <w:t>PI</w:t>
      </w:r>
      <w:r w:rsidRPr="002B3624">
        <w:t xml:space="preserve"> for</w:t>
      </w:r>
      <w:r w:rsidR="00CB4B98">
        <w:t xml:space="preserve"> </w:t>
      </w:r>
      <w:proofErr w:type="spellStart"/>
      <w:r w:rsidR="00CB4B98">
        <w:t>Tepmetko</w:t>
      </w:r>
      <w:proofErr w:type="spellEnd"/>
      <w:r w:rsidR="0074163C">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30" w:history="1">
        <w:r w:rsidR="0074163C" w:rsidRPr="008A698E">
          <w:rPr>
            <w:rStyle w:val="Hyperlink"/>
          </w:rPr>
          <w:t>PI/CMI search facility</w:t>
        </w:r>
        <w:r w:rsidR="0074163C" w:rsidRPr="00EB36D6">
          <w:rPr>
            <w:rStyle w:val="Hyperlink"/>
            <w:color w:val="auto"/>
            <w:u w:val="none"/>
          </w:rPr>
          <w:t>.</w:t>
        </w:r>
      </w:hyperlink>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D70FA79" w14:textId="77777777" w:rsidTr="00A05FA4">
        <w:trPr>
          <w:trHeight w:hRule="exact" w:val="704"/>
        </w:trPr>
        <w:tc>
          <w:tcPr>
            <w:tcW w:w="9175" w:type="dxa"/>
          </w:tcPr>
          <w:p w14:paraId="5173AAEC" w14:textId="77777777" w:rsidR="001C32CD" w:rsidRPr="00487162" w:rsidRDefault="001C32CD" w:rsidP="00A05FA4">
            <w:pPr>
              <w:pStyle w:val="TGASignoff"/>
            </w:pPr>
            <w:r w:rsidRPr="00487162">
              <w:lastRenderedPageBreak/>
              <w:t>Therapeutic Goods Administration</w:t>
            </w:r>
          </w:p>
        </w:tc>
      </w:tr>
      <w:tr w:rsidR="001C32CD" w:rsidRPr="004C239D" w14:paraId="71644D23" w14:textId="77777777" w:rsidTr="00A05FA4">
        <w:trPr>
          <w:trHeight w:val="1221"/>
        </w:trPr>
        <w:tc>
          <w:tcPr>
            <w:tcW w:w="9175" w:type="dxa"/>
            <w:tcMar>
              <w:top w:w="28" w:type="dxa"/>
            </w:tcMar>
          </w:tcPr>
          <w:p w14:paraId="5245CC85" w14:textId="77777777" w:rsidR="001C32CD" w:rsidRPr="00487162" w:rsidRDefault="001C32CD" w:rsidP="00A05FA4">
            <w:pPr>
              <w:pStyle w:val="Address"/>
            </w:pPr>
            <w:r w:rsidRPr="00487162">
              <w:t>PO Box 100 Woden ACT 2606 Australia</w:t>
            </w:r>
          </w:p>
          <w:p w14:paraId="5AC3FEFA" w14:textId="6B5D32F7" w:rsidR="001C32CD" w:rsidRPr="00487162" w:rsidRDefault="001C32CD" w:rsidP="00A05FA4">
            <w:pPr>
              <w:pStyle w:val="Address"/>
            </w:pPr>
            <w:r w:rsidRPr="00487162">
              <w:t xml:space="preserve">Email: </w:t>
            </w:r>
            <w:hyperlink r:id="rId31" w:history="1">
              <w:r w:rsidRPr="004C239D">
                <w:rPr>
                  <w:rStyle w:val="Hyperlink"/>
                </w:rPr>
                <w:t>info@tga.gov.au</w:t>
              </w:r>
            </w:hyperlink>
            <w:r w:rsidRPr="00487162">
              <w:t xml:space="preserve">  Phone: 1800 020 </w:t>
            </w:r>
            <w:proofErr w:type="gramStart"/>
            <w:r w:rsidRPr="00487162">
              <w:t>653</w:t>
            </w:r>
            <w:r w:rsidR="00AD4025">
              <w:t xml:space="preserve"> </w:t>
            </w:r>
            <w:r w:rsidRPr="00487162">
              <w:t xml:space="preserve"> Fax</w:t>
            </w:r>
            <w:proofErr w:type="gramEnd"/>
            <w:r w:rsidRPr="00487162">
              <w:t>: 02 6232 8605</w:t>
            </w:r>
          </w:p>
          <w:p w14:paraId="2C19B5E8" w14:textId="74FAF28E" w:rsidR="001C32CD" w:rsidRPr="004C239D" w:rsidRDefault="00CF1281" w:rsidP="00A05FA4">
            <w:pPr>
              <w:pStyle w:val="Address"/>
              <w:spacing w:line="260" w:lineRule="atLeast"/>
              <w:rPr>
                <w:b/>
                <w:color w:val="0000FF"/>
                <w:u w:val="single"/>
              </w:rPr>
            </w:pPr>
            <w:hyperlink r:id="rId32" w:history="1">
              <w:r w:rsidR="007C6B9B" w:rsidRPr="007C6B9B">
                <w:rPr>
                  <w:rStyle w:val="Hyperlink"/>
                  <w:b/>
                </w:rPr>
                <w:t>https://www.tga.gov.au</w:t>
              </w:r>
            </w:hyperlink>
          </w:p>
        </w:tc>
      </w:tr>
    </w:tbl>
    <w:p w14:paraId="2FF018F9" w14:textId="77777777"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D0FDD" w14:textId="77777777" w:rsidR="005974F7" w:rsidRDefault="005974F7" w:rsidP="00C40A36">
      <w:pPr>
        <w:spacing w:after="0"/>
      </w:pPr>
      <w:r>
        <w:separator/>
      </w:r>
    </w:p>
  </w:endnote>
  <w:endnote w:type="continuationSeparator" w:id="0">
    <w:p w14:paraId="3DA28264" w14:textId="77777777" w:rsidR="005974F7" w:rsidRDefault="005974F7" w:rsidP="00C40A36">
      <w:pPr>
        <w:spacing w:after="0"/>
      </w:pPr>
      <w:r>
        <w:continuationSeparator/>
      </w:r>
    </w:p>
  </w:endnote>
  <w:endnote w:type="continuationNotice" w:id="1">
    <w:p w14:paraId="73BC8553" w14:textId="77777777" w:rsidR="005974F7" w:rsidRDefault="005974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51BFF" w:rsidRPr="00487162" w14:paraId="339FD287" w14:textId="77777777" w:rsidTr="00DB750B">
      <w:trPr>
        <w:trHeight w:val="269"/>
      </w:trPr>
      <w:tc>
        <w:tcPr>
          <w:tcW w:w="7371" w:type="dxa"/>
          <w:tcMar>
            <w:top w:w="142" w:type="dxa"/>
            <w:bottom w:w="0" w:type="dxa"/>
          </w:tcMar>
        </w:tcPr>
        <w:p w14:paraId="234E1CA0" w14:textId="7B322FB3" w:rsidR="00151BFF" w:rsidRPr="00487162" w:rsidRDefault="00151BFF" w:rsidP="00460036">
          <w:pPr>
            <w:pStyle w:val="Footer"/>
          </w:pPr>
          <w:proofErr w:type="spellStart"/>
          <w:r w:rsidRPr="00487162">
            <w:t>AusPA</w:t>
          </w:r>
          <w:r>
            <w:t>R</w:t>
          </w:r>
          <w:proofErr w:type="spellEnd"/>
          <w:r>
            <w:t xml:space="preserve"> - </w:t>
          </w:r>
          <w:proofErr w:type="spellStart"/>
          <w:r>
            <w:t>Tepmetko</w:t>
          </w:r>
          <w:proofErr w:type="spellEnd"/>
          <w:r>
            <w:t xml:space="preserve"> – </w:t>
          </w:r>
          <w:proofErr w:type="spellStart"/>
          <w:r>
            <w:t>tepotinib</w:t>
          </w:r>
          <w:proofErr w:type="spellEnd"/>
          <w:r>
            <w:t xml:space="preserve"> – Merck Healthcare Pty Ltd – PM-2021-03109-1-4</w:t>
          </w:r>
          <w:r>
            <w:br/>
          </w:r>
          <w:r w:rsidR="0068181F">
            <w:t>FINAL</w:t>
          </w:r>
          <w:r>
            <w:t xml:space="preserve"> </w:t>
          </w:r>
          <w:r w:rsidR="0068181F">
            <w:t>2 August</w:t>
          </w:r>
          <w:r>
            <w:t xml:space="preserve"> 2022</w:t>
          </w:r>
        </w:p>
      </w:tc>
      <w:tc>
        <w:tcPr>
          <w:tcW w:w="1490" w:type="dxa"/>
          <w:tcMar>
            <w:top w:w="142" w:type="dxa"/>
            <w:bottom w:w="0" w:type="dxa"/>
          </w:tcMar>
        </w:tcPr>
        <w:p w14:paraId="06ACF0D5" w14:textId="220C51AB" w:rsidR="00151BFF" w:rsidRPr="00487162" w:rsidRDefault="00151BFF" w:rsidP="00DB750B">
          <w:pPr>
            <w:pStyle w:val="Footer"/>
            <w:jc w:val="right"/>
          </w:pPr>
          <w:r w:rsidRPr="00487162">
            <w:t xml:space="preserve">Page </w:t>
          </w:r>
          <w:r>
            <w:fldChar w:fldCharType="begin"/>
          </w:r>
          <w:r>
            <w:instrText xml:space="preserve"> PAGE  \* Arabic </w:instrText>
          </w:r>
          <w:r>
            <w:fldChar w:fldCharType="separate"/>
          </w:r>
          <w:r>
            <w:rPr>
              <w:noProof/>
            </w:rPr>
            <w:t>4</w:t>
          </w:r>
          <w:r>
            <w:fldChar w:fldCharType="end"/>
          </w:r>
          <w:r w:rsidRPr="00487162">
            <w:t xml:space="preserve"> of </w:t>
          </w:r>
          <w:r>
            <w:fldChar w:fldCharType="begin"/>
          </w:r>
          <w:r>
            <w:instrText>NUMPAGES  \* Arabic</w:instrText>
          </w:r>
          <w:r>
            <w:fldChar w:fldCharType="separate"/>
          </w:r>
          <w:r>
            <w:rPr>
              <w:noProof/>
            </w:rPr>
            <w:t>29</w:t>
          </w:r>
          <w:r>
            <w:fldChar w:fldCharType="end"/>
          </w:r>
        </w:p>
      </w:tc>
    </w:tr>
  </w:tbl>
  <w:p w14:paraId="155C52E5" w14:textId="77777777" w:rsidR="00151BFF" w:rsidRDefault="00151BFF"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51BFF" w:rsidRPr="00487162" w14:paraId="3983CBB7" w14:textId="77777777" w:rsidTr="00E45619">
      <w:trPr>
        <w:trHeight w:val="269"/>
      </w:trPr>
      <w:tc>
        <w:tcPr>
          <w:tcW w:w="4519" w:type="dxa"/>
          <w:tcBorders>
            <w:top w:val="single" w:sz="4" w:space="0" w:color="auto"/>
          </w:tcBorders>
          <w:tcMar>
            <w:top w:w="142" w:type="dxa"/>
            <w:bottom w:w="0" w:type="dxa"/>
          </w:tcMar>
        </w:tcPr>
        <w:p w14:paraId="0A851F8F" w14:textId="77777777" w:rsidR="00151BFF" w:rsidRPr="00487162" w:rsidRDefault="00151BFF" w:rsidP="00FE1DEE">
          <w:pPr>
            <w:pStyle w:val="Footer"/>
          </w:pPr>
          <w:r w:rsidRPr="00487162">
            <w:t>Document title, Part #, Section # - Section title</w:t>
          </w:r>
        </w:p>
        <w:p w14:paraId="301857EA" w14:textId="77777777" w:rsidR="00151BFF" w:rsidRPr="00487162" w:rsidRDefault="00151BFF" w:rsidP="00FE1DEE">
          <w:pPr>
            <w:pStyle w:val="Footer"/>
          </w:pPr>
          <w:r w:rsidRPr="00487162">
            <w:t>V1.0 October 2010</w:t>
          </w:r>
        </w:p>
      </w:tc>
      <w:tc>
        <w:tcPr>
          <w:tcW w:w="4342" w:type="dxa"/>
          <w:tcBorders>
            <w:top w:val="single" w:sz="4" w:space="0" w:color="auto"/>
          </w:tcBorders>
          <w:tcMar>
            <w:top w:w="142" w:type="dxa"/>
            <w:bottom w:w="0" w:type="dxa"/>
          </w:tcMar>
        </w:tcPr>
        <w:p w14:paraId="30F170DE" w14:textId="77777777" w:rsidR="00151BFF" w:rsidRPr="00487162" w:rsidRDefault="00151BF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21</w:t>
          </w:r>
          <w:r>
            <w:fldChar w:fldCharType="end"/>
          </w:r>
        </w:p>
      </w:tc>
    </w:tr>
  </w:tbl>
  <w:p w14:paraId="102B07DF" w14:textId="77777777" w:rsidR="00151BFF" w:rsidRDefault="00151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72ACE" w14:textId="77777777" w:rsidR="00151BFF" w:rsidRPr="001C32CD" w:rsidRDefault="00151BFF"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51BFF" w14:paraId="699814DF" w14:textId="77777777" w:rsidTr="0010601F">
      <w:trPr>
        <w:trHeight w:val="108"/>
      </w:trPr>
      <w:tc>
        <w:tcPr>
          <w:tcW w:w="8875" w:type="dxa"/>
          <w:gridSpan w:val="2"/>
          <w:tcBorders>
            <w:bottom w:val="single" w:sz="4" w:space="0" w:color="auto"/>
          </w:tcBorders>
          <w:tcMar>
            <w:right w:w="284" w:type="dxa"/>
          </w:tcMar>
        </w:tcPr>
        <w:p w14:paraId="0EE4CCEE" w14:textId="77777777" w:rsidR="00151BFF" w:rsidRDefault="00151BFF" w:rsidP="006E08B3">
          <w:pPr>
            <w:pStyle w:val="Heading3"/>
          </w:pPr>
          <w:r>
            <w:t>Copyright</w:t>
          </w:r>
        </w:p>
        <w:p w14:paraId="7A9685FF" w14:textId="77777777" w:rsidR="00151BFF" w:rsidRDefault="00151BFF" w:rsidP="006E08B3">
          <w:r>
            <w:rPr>
              <w:rFonts w:cs="Arial"/>
            </w:rPr>
            <w:t>©</w:t>
          </w:r>
          <w:r>
            <w:t xml:space="preserve"> Commonwealth of Australia [add year]</w:t>
          </w:r>
        </w:p>
        <w:p w14:paraId="7B9F8909" w14:textId="77777777" w:rsidR="00151BFF" w:rsidRDefault="00151BFF" w:rsidP="006E08B3"/>
        <w:p w14:paraId="325912C9" w14:textId="77777777" w:rsidR="00151BFF" w:rsidRDefault="00151BF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1E326DE2" w14:textId="77777777" w:rsidR="00151BFF" w:rsidRDefault="00151BFF" w:rsidP="006E08B3"/>
        <w:p w14:paraId="0FAE27CF" w14:textId="77777777" w:rsidR="00151BFF" w:rsidRDefault="00151BFF" w:rsidP="006E08B3">
          <w:pPr>
            <w:pStyle w:val="Heading3"/>
          </w:pPr>
          <w:r>
            <w:t>Confidentiality</w:t>
          </w:r>
        </w:p>
        <w:p w14:paraId="2739E639" w14:textId="77777777" w:rsidR="00151BFF" w:rsidRDefault="00151BF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341F11F" w14:textId="77777777" w:rsidR="00151BFF" w:rsidRDefault="00151BFF" w:rsidP="006E08B3"/>
        <w:p w14:paraId="43CC18FD" w14:textId="77777777" w:rsidR="00151BFF" w:rsidRDefault="00151BFF" w:rsidP="006E08B3">
          <w:r>
            <w:t>For submission made by individuals, all personal details, other than your name, will be removed from your submission before it is published on the TGA’s Internet site.</w:t>
          </w:r>
        </w:p>
        <w:p w14:paraId="07E77CF4" w14:textId="77777777" w:rsidR="00151BFF" w:rsidRDefault="00151BFF" w:rsidP="006E08B3"/>
        <w:p w14:paraId="56B1445A" w14:textId="77777777" w:rsidR="00151BFF" w:rsidRDefault="00151BFF" w:rsidP="006E08B3">
          <w:r>
            <w:t>In addition, a list of parties making submissions will be published. If you do not wish to be identified with your submission you must specifically request this in the space provided in the submission coversheet.</w:t>
          </w:r>
        </w:p>
      </w:tc>
    </w:tr>
    <w:tr w:rsidR="00151BFF" w14:paraId="0206209F" w14:textId="77777777" w:rsidTr="0010601F">
      <w:trPr>
        <w:trHeight w:val="417"/>
      </w:trPr>
      <w:tc>
        <w:tcPr>
          <w:tcW w:w="4519" w:type="dxa"/>
          <w:tcBorders>
            <w:top w:val="single" w:sz="4" w:space="0" w:color="auto"/>
          </w:tcBorders>
          <w:tcMar>
            <w:top w:w="142" w:type="dxa"/>
            <w:bottom w:w="0" w:type="dxa"/>
          </w:tcMar>
        </w:tcPr>
        <w:p w14:paraId="0A65A999" w14:textId="77777777" w:rsidR="00151BFF" w:rsidRDefault="00151BFF" w:rsidP="006E08B3">
          <w:r>
            <w:t>Document title, Part #, Section # - Section title</w:t>
          </w:r>
        </w:p>
        <w:p w14:paraId="79280C59" w14:textId="77777777" w:rsidR="00151BFF" w:rsidRDefault="00151BFF" w:rsidP="006E08B3">
          <w:r>
            <w:t>V1.0 October 2010</w:t>
          </w:r>
        </w:p>
      </w:tc>
      <w:tc>
        <w:tcPr>
          <w:tcW w:w="4356" w:type="dxa"/>
          <w:tcBorders>
            <w:top w:val="single" w:sz="4" w:space="0" w:color="auto"/>
          </w:tcBorders>
          <w:tcMar>
            <w:top w:w="142" w:type="dxa"/>
            <w:bottom w:w="0" w:type="dxa"/>
          </w:tcMar>
        </w:tcPr>
        <w:p w14:paraId="106EB443" w14:textId="77777777" w:rsidR="00151BFF" w:rsidRDefault="00151BF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21</w:t>
          </w:r>
          <w:r>
            <w:fldChar w:fldCharType="end"/>
          </w:r>
          <w:r>
            <w:t xml:space="preserve">  </w:t>
          </w:r>
        </w:p>
      </w:tc>
    </w:tr>
  </w:tbl>
  <w:p w14:paraId="401E22AB" w14:textId="77777777" w:rsidR="00151BFF" w:rsidRDefault="00151B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CA15E" w14:textId="77777777" w:rsidR="005974F7" w:rsidRDefault="005974F7" w:rsidP="00C40A36">
      <w:pPr>
        <w:spacing w:after="0"/>
      </w:pPr>
      <w:r>
        <w:separator/>
      </w:r>
    </w:p>
  </w:footnote>
  <w:footnote w:type="continuationSeparator" w:id="0">
    <w:p w14:paraId="4D1472ED" w14:textId="77777777" w:rsidR="005974F7" w:rsidRDefault="005974F7" w:rsidP="00C40A36">
      <w:pPr>
        <w:spacing w:after="0"/>
      </w:pPr>
      <w:r>
        <w:continuationSeparator/>
      </w:r>
    </w:p>
  </w:footnote>
  <w:footnote w:type="continuationNotice" w:id="1">
    <w:p w14:paraId="557A4BD7" w14:textId="77777777" w:rsidR="005974F7" w:rsidRDefault="005974F7">
      <w:pPr>
        <w:spacing w:before="0" w:after="0" w:line="240" w:lineRule="auto"/>
      </w:pPr>
    </w:p>
  </w:footnote>
  <w:footnote w:id="2">
    <w:p w14:paraId="7CE890F1" w14:textId="1C2960F4" w:rsidR="00151BFF" w:rsidRPr="00151BFF" w:rsidRDefault="00151BFF">
      <w:pPr>
        <w:pStyle w:val="FootnoteText"/>
        <w:rPr>
          <w:lang w:val="en-GB"/>
        </w:rPr>
      </w:pPr>
      <w:r>
        <w:rPr>
          <w:rStyle w:val="FootnoteReference"/>
        </w:rPr>
        <w:footnoteRef/>
      </w:r>
      <w:r>
        <w:t xml:space="preserve"> ‘</w:t>
      </w:r>
      <w:r w:rsidRPr="00801899">
        <w:t>Lung cancer</w:t>
      </w:r>
      <w:r>
        <w:t>’</w:t>
      </w:r>
      <w:r w:rsidRPr="00801899">
        <w:t xml:space="preserve"> incorporates ICD-10 </w:t>
      </w:r>
      <w:r>
        <w:t>(</w:t>
      </w:r>
      <w:r w:rsidRPr="00801899">
        <w:t>International Statistical Classification</w:t>
      </w:r>
      <w:r>
        <w:t xml:space="preserve"> 10</w:t>
      </w:r>
      <w:r w:rsidRPr="00801899">
        <w:t>th</w:t>
      </w:r>
      <w:r>
        <w:t xml:space="preserve"> revision) </w:t>
      </w:r>
      <w:r w:rsidRPr="00801899">
        <w:t xml:space="preserve">cancer codes </w:t>
      </w:r>
      <w:r>
        <w:t xml:space="preserve">of </w:t>
      </w:r>
      <w:r w:rsidRPr="00801899">
        <w:t>C33 (Malignant neoplasm of trachea) and C34 (Malignant neoplasm of bronchus and lung).</w:t>
      </w:r>
    </w:p>
  </w:footnote>
  <w:footnote w:id="3">
    <w:p w14:paraId="24A9784D" w14:textId="71635118" w:rsidR="00151BFF" w:rsidRPr="00837019" w:rsidRDefault="00151BFF">
      <w:pPr>
        <w:pStyle w:val="FootnoteText"/>
      </w:pPr>
      <w:r>
        <w:rPr>
          <w:rStyle w:val="FootnoteReference"/>
        </w:rPr>
        <w:footnoteRef/>
      </w:r>
      <w:r>
        <w:t xml:space="preserve"> Lung cancer statistics. See Cancer Australia for further information. Available from: </w:t>
      </w:r>
      <w:hyperlink r:id="rId1" w:history="1">
        <w:r w:rsidRPr="003B569C">
          <w:rPr>
            <w:rStyle w:val="Hyperlink"/>
          </w:rPr>
          <w:t>https://www.canceraustralia.gov.au/cancer-types/lung-cancer/statistics</w:t>
        </w:r>
      </w:hyperlink>
      <w:r>
        <w:t xml:space="preserve"> Data sourced from the </w:t>
      </w:r>
      <w:r w:rsidRPr="00801899">
        <w:t>Australian Institute of Health and Welfare (2021) </w:t>
      </w:r>
      <w:hyperlink r:id="rId2" w:history="1">
        <w:r w:rsidRPr="00801899">
          <w:rPr>
            <w:rStyle w:val="Hyperlink"/>
            <w:i/>
            <w:iCs/>
          </w:rPr>
          <w:t>Cancer in Australia 2021</w:t>
        </w:r>
      </w:hyperlink>
      <w:r w:rsidRPr="00801899">
        <w:t>, AIHW, Australian Government</w:t>
      </w:r>
      <w:r>
        <w:t>.</w:t>
      </w:r>
    </w:p>
  </w:footnote>
  <w:footnote w:id="4">
    <w:p w14:paraId="4B2CDDB9" w14:textId="5ED344FA" w:rsidR="00151BFF" w:rsidRDefault="00151BFF">
      <w:pPr>
        <w:pStyle w:val="FootnoteText"/>
      </w:pPr>
      <w:r>
        <w:rPr>
          <w:rStyle w:val="FootnoteReference"/>
        </w:rPr>
        <w:footnoteRef/>
      </w:r>
      <w:r>
        <w:t xml:space="preserve"> Five years relative survival for lung cancer statistics. </w:t>
      </w:r>
      <w:r w:rsidRPr="00CD1AE7">
        <w:t>Data sourced from AIHW Australian Cancer Database 2016.</w:t>
      </w:r>
      <w:r>
        <w:t xml:space="preserve"> Available from: </w:t>
      </w:r>
      <w:hyperlink r:id="rId3" w:history="1">
        <w:r w:rsidRPr="003B569C">
          <w:rPr>
            <w:rStyle w:val="Hyperlink"/>
          </w:rPr>
          <w:t>https://ncci.canceraustralia.gov.au/outcomes/relative-survival-rate/5-year-relative-survival</w:t>
        </w:r>
      </w:hyperlink>
      <w:r>
        <w:t xml:space="preserve"> </w:t>
      </w:r>
    </w:p>
  </w:footnote>
  <w:footnote w:id="5">
    <w:p w14:paraId="0A34CAC6" w14:textId="0852B1D4" w:rsidR="00151BFF" w:rsidRPr="00151BFF" w:rsidRDefault="00151BFF">
      <w:pPr>
        <w:pStyle w:val="FootnoteText"/>
        <w:rPr>
          <w:lang w:val="en-GB"/>
        </w:rPr>
      </w:pPr>
      <w:r>
        <w:rPr>
          <w:rStyle w:val="FootnoteReference"/>
        </w:rPr>
        <w:footnoteRef/>
      </w:r>
      <w:r>
        <w:t xml:space="preserve"> </w:t>
      </w:r>
      <w:r w:rsidRPr="0024465D">
        <w:t xml:space="preserve">Organ SL, Tsao M-S. An overview of the c-MET </w:t>
      </w:r>
      <w:r w:rsidRPr="0024465D">
        <w:t>signaling pathway. </w:t>
      </w:r>
      <w:r w:rsidRPr="0024465D">
        <w:rPr>
          <w:i/>
          <w:iCs/>
        </w:rPr>
        <w:t>Therapeutic Advances in Medical Oncology</w:t>
      </w:r>
      <w:r w:rsidRPr="0024465D">
        <w:t xml:space="preserve">. November </w:t>
      </w:r>
      <w:r w:rsidRPr="0024465D">
        <w:t>2011:S7-S19.</w:t>
      </w:r>
    </w:p>
  </w:footnote>
  <w:footnote w:id="6">
    <w:p w14:paraId="29C1A831" w14:textId="0DCE531C" w:rsidR="00151BFF" w:rsidRPr="00C64BAE" w:rsidRDefault="00151BFF" w:rsidP="00EC667E">
      <w:pPr>
        <w:pStyle w:val="FootnoteText"/>
      </w:pPr>
      <w:r>
        <w:rPr>
          <w:rStyle w:val="FootnoteReference"/>
        </w:rPr>
        <w:footnoteRef/>
      </w:r>
      <w:r>
        <w:t xml:space="preserve"> </w:t>
      </w:r>
      <w:r w:rsidRPr="00F720D7">
        <w:t>National Comprehensive Cancer Network.</w:t>
      </w:r>
      <w:r>
        <w:t xml:space="preserve"> </w:t>
      </w:r>
      <w:r w:rsidRPr="00F720D7">
        <w:t>NCCN clinical practice guidelines in oncology: Non-Small Cell Lung Cancer.</w:t>
      </w:r>
      <w:r>
        <w:t xml:space="preserve"> </w:t>
      </w:r>
      <w:r w:rsidRPr="00F720D7">
        <w:t>Version 5.2021 – June 15, 2021. National Comprehensive Network (NCCN); 2021.</w:t>
      </w:r>
      <w:r>
        <w:t xml:space="preserve"> Available at www.nccn.arg</w:t>
      </w:r>
    </w:p>
  </w:footnote>
  <w:footnote w:id="7">
    <w:p w14:paraId="451B7516" w14:textId="6C666DB2" w:rsidR="00151BFF" w:rsidRDefault="00151BFF" w:rsidP="00EC667E">
      <w:pPr>
        <w:pStyle w:val="FootnoteText"/>
      </w:pPr>
      <w:r>
        <w:rPr>
          <w:rStyle w:val="FootnoteReference"/>
        </w:rPr>
        <w:footnoteRef/>
      </w:r>
      <w:r>
        <w:t xml:space="preserve"> </w:t>
      </w:r>
      <w:r w:rsidRPr="00F720D7">
        <w:t xml:space="preserve">Metastatic Non-Small Cell Lung Cancer: ESMO Clinical Practice Guidelines for diagnosis, </w:t>
      </w:r>
      <w:r w:rsidRPr="00F720D7">
        <w:t>treatment and follow-up.</w:t>
      </w:r>
      <w:r>
        <w:t xml:space="preserve"> </w:t>
      </w:r>
      <w:r w:rsidRPr="00EC667E">
        <w:rPr>
          <w:i/>
          <w:iCs/>
        </w:rPr>
        <w:t>Ann Oncol</w:t>
      </w:r>
      <w:r w:rsidRPr="00F720D7">
        <w:t xml:space="preserve"> 2018 29 (suppl 4): iv192-iv237.</w:t>
      </w:r>
    </w:p>
  </w:footnote>
  <w:footnote w:id="8">
    <w:p w14:paraId="6A3BDD16" w14:textId="35E40131" w:rsidR="00151BFF" w:rsidRPr="00C64BAE" w:rsidRDefault="00151BFF" w:rsidP="00EC667E">
      <w:pPr>
        <w:pStyle w:val="FootnoteText"/>
      </w:pPr>
      <w:r>
        <w:rPr>
          <w:rStyle w:val="FootnoteReference"/>
        </w:rPr>
        <w:footnoteRef/>
      </w:r>
      <w:r>
        <w:t xml:space="preserve"> </w:t>
      </w:r>
      <w:r w:rsidRPr="008578BA">
        <w:rPr>
          <w:shd w:val="clear" w:color="auto" w:fill="FFFFFF"/>
        </w:rPr>
        <w:t xml:space="preserve">Paik PK, </w:t>
      </w:r>
      <w:r w:rsidRPr="008578BA">
        <w:rPr>
          <w:shd w:val="clear" w:color="auto" w:fill="FFFFFF"/>
        </w:rPr>
        <w:t>Felip E, Veillon R, Sakai H, et al. Tepotinib in Non-Small-Cell Lung Cancer with </w:t>
      </w:r>
      <w:r w:rsidRPr="008578BA">
        <w:rPr>
          <w:i/>
          <w:iCs/>
          <w:shd w:val="clear" w:color="auto" w:fill="FFFFFF"/>
        </w:rPr>
        <w:t>MET</w:t>
      </w:r>
      <w:r w:rsidRPr="008578BA">
        <w:rPr>
          <w:shd w:val="clear" w:color="auto" w:fill="FFFFFF"/>
        </w:rPr>
        <w:t xml:space="preserve"> Exon 14 Skipping Mutations. </w:t>
      </w:r>
      <w:r w:rsidRPr="00EC667E">
        <w:rPr>
          <w:i/>
          <w:iCs/>
          <w:shd w:val="clear" w:color="auto" w:fill="FFFFFF"/>
        </w:rPr>
        <w:t>N Engl J Med</w:t>
      </w:r>
      <w:r w:rsidRPr="008578BA">
        <w:rPr>
          <w:shd w:val="clear" w:color="auto" w:fill="FFFFFF"/>
        </w:rPr>
        <w:t>. 2020 Sep 3;383(10):931-943.</w:t>
      </w:r>
    </w:p>
  </w:footnote>
  <w:footnote w:id="9">
    <w:p w14:paraId="7CB6BFD0" w14:textId="7C970D78" w:rsidR="00151BFF" w:rsidRPr="00C64BAE" w:rsidRDefault="00151BFF" w:rsidP="00EC667E">
      <w:pPr>
        <w:pStyle w:val="FootnoteText"/>
      </w:pPr>
      <w:r>
        <w:rPr>
          <w:rStyle w:val="FootnoteReference"/>
        </w:rPr>
        <w:footnoteRef/>
      </w:r>
      <w:r>
        <w:t xml:space="preserve"> </w:t>
      </w:r>
      <w:r w:rsidRPr="008578BA">
        <w:rPr>
          <w:shd w:val="clear" w:color="auto" w:fill="FFFFFF"/>
        </w:rPr>
        <w:t xml:space="preserve">Wolf J, </w:t>
      </w:r>
      <w:r w:rsidRPr="008578BA">
        <w:rPr>
          <w:shd w:val="clear" w:color="auto" w:fill="FFFFFF"/>
        </w:rPr>
        <w:t>Seto T, Han JY, et al; GEOMETRY mono-1 Investigators. Capmatinib in </w:t>
      </w:r>
      <w:r w:rsidRPr="008578BA">
        <w:rPr>
          <w:i/>
          <w:iCs/>
          <w:shd w:val="clear" w:color="auto" w:fill="FFFFFF"/>
        </w:rPr>
        <w:t>MET</w:t>
      </w:r>
      <w:r w:rsidRPr="008578BA">
        <w:rPr>
          <w:shd w:val="clear" w:color="auto" w:fill="FFFFFF"/>
        </w:rPr>
        <w:t> Exon 14-Mutated or </w:t>
      </w:r>
      <w:r w:rsidRPr="008578BA">
        <w:rPr>
          <w:i/>
          <w:iCs/>
          <w:shd w:val="clear" w:color="auto" w:fill="FFFFFF"/>
        </w:rPr>
        <w:t>MET</w:t>
      </w:r>
      <w:r w:rsidRPr="008578BA">
        <w:rPr>
          <w:shd w:val="clear" w:color="auto" w:fill="FFFFFF"/>
        </w:rPr>
        <w:t xml:space="preserve">-Amplified Non-Small-Cell Lung Cancer. </w:t>
      </w:r>
      <w:r w:rsidRPr="00EC667E">
        <w:rPr>
          <w:i/>
          <w:iCs/>
          <w:shd w:val="clear" w:color="auto" w:fill="FFFFFF"/>
        </w:rPr>
        <w:t>N Engl J Med</w:t>
      </w:r>
      <w:r w:rsidRPr="008578BA">
        <w:rPr>
          <w:shd w:val="clear" w:color="auto" w:fill="FFFFFF"/>
        </w:rPr>
        <w:t>. 2020 Sep 3;383(10):944-957.</w:t>
      </w:r>
    </w:p>
  </w:footnote>
  <w:footnote w:id="10">
    <w:p w14:paraId="67F40622" w14:textId="5E0C02AD" w:rsidR="00151BFF" w:rsidRPr="00C64BAE" w:rsidRDefault="00151BFF" w:rsidP="00EC667E">
      <w:pPr>
        <w:pStyle w:val="FootnoteText"/>
        <w:rPr>
          <w:shd w:val="clear" w:color="auto" w:fill="FFFFFF"/>
        </w:rPr>
      </w:pPr>
      <w:r>
        <w:rPr>
          <w:rStyle w:val="FootnoteReference"/>
        </w:rPr>
        <w:footnoteRef/>
      </w:r>
      <w:r>
        <w:t xml:space="preserve"> </w:t>
      </w:r>
      <w:r w:rsidRPr="008578BA">
        <w:rPr>
          <w:shd w:val="clear" w:color="auto" w:fill="FFFFFF"/>
        </w:rPr>
        <w:t xml:space="preserve">Sabari JK, Leonardi GC, Shu CA, et al. PD-L1 expression, </w:t>
      </w:r>
      <w:r w:rsidRPr="008578BA">
        <w:rPr>
          <w:shd w:val="clear" w:color="auto" w:fill="FFFFFF"/>
        </w:rPr>
        <w:t xml:space="preserve">tumor mutational burden, and response to immunotherapy in patients with MET exon 14 altered lung cancers. </w:t>
      </w:r>
      <w:r w:rsidRPr="00EC667E">
        <w:rPr>
          <w:i/>
          <w:iCs/>
          <w:shd w:val="clear" w:color="auto" w:fill="FFFFFF"/>
        </w:rPr>
        <w:t>Ann Oncol</w:t>
      </w:r>
      <w:r w:rsidRPr="008578BA">
        <w:rPr>
          <w:shd w:val="clear" w:color="auto" w:fill="FFFFFF"/>
        </w:rPr>
        <w:t>. 2018 Oct 1;29(10):2085-2091</w:t>
      </w:r>
    </w:p>
  </w:footnote>
  <w:footnote w:id="11">
    <w:p w14:paraId="570FC45F" w14:textId="207FB33E" w:rsidR="00151BFF" w:rsidRDefault="00151BFF" w:rsidP="00EC667E">
      <w:pPr>
        <w:pStyle w:val="FootnoteText"/>
      </w:pPr>
      <w:r>
        <w:rPr>
          <w:rStyle w:val="FootnoteReference"/>
        </w:rPr>
        <w:footnoteRef/>
      </w:r>
      <w:r>
        <w:t xml:space="preserve"> </w:t>
      </w:r>
      <w:r w:rsidRPr="008578BA">
        <w:rPr>
          <w:shd w:val="clear" w:color="auto" w:fill="FFFFFF"/>
        </w:rPr>
        <w:t xml:space="preserve">Mazieres J, Drilon A, Lusque A, et al. Immune checkpoint inhibitors for patients with advanced lung cancer and oncogenic driver alterations: results from the IMMUNOTARGET registry. </w:t>
      </w:r>
      <w:r w:rsidRPr="00EC667E">
        <w:rPr>
          <w:i/>
          <w:iCs/>
          <w:shd w:val="clear" w:color="auto" w:fill="FFFFFF"/>
        </w:rPr>
        <w:t>Ann Oncol</w:t>
      </w:r>
      <w:r w:rsidRPr="008578BA">
        <w:rPr>
          <w:shd w:val="clear" w:color="auto" w:fill="FFFFFF"/>
        </w:rPr>
        <w:t>. 2019 Aug 1;30(8):1321-1328.</w:t>
      </w:r>
    </w:p>
  </w:footnote>
  <w:footnote w:id="12">
    <w:p w14:paraId="63C95BC6" w14:textId="0832ED10" w:rsidR="00151BFF" w:rsidRDefault="00151BFF" w:rsidP="00EC667E">
      <w:pPr>
        <w:pStyle w:val="FootnoteText"/>
      </w:pPr>
      <w:r>
        <w:rPr>
          <w:rStyle w:val="FootnoteReference"/>
        </w:rPr>
        <w:footnoteRef/>
      </w:r>
      <w:r>
        <w:t xml:space="preserve"> </w:t>
      </w:r>
      <w:r w:rsidRPr="009463A2">
        <w:rPr>
          <w:rFonts w:cs="Arial"/>
          <w:color w:val="303030"/>
          <w:shd w:val="clear" w:color="auto" w:fill="FFFFFF"/>
        </w:rPr>
        <w:t xml:space="preserve">Drusbosky LM, Dawar R, Rodriguez E, Ikpeazu CV. Therapeutic strategies in METex14 skipping mutated non-small cell lung cancer. </w:t>
      </w:r>
      <w:r w:rsidRPr="00EC667E">
        <w:rPr>
          <w:rFonts w:cs="Arial"/>
          <w:i/>
          <w:iCs/>
          <w:color w:val="303030"/>
          <w:shd w:val="clear" w:color="auto" w:fill="FFFFFF"/>
        </w:rPr>
        <w:t>J Hematol Oncol</w:t>
      </w:r>
      <w:r w:rsidRPr="009463A2">
        <w:rPr>
          <w:rFonts w:cs="Arial"/>
          <w:color w:val="303030"/>
          <w:shd w:val="clear" w:color="auto" w:fill="FFFFFF"/>
        </w:rPr>
        <w:t>. 2021 Aug 23;14(1):129</w:t>
      </w:r>
    </w:p>
  </w:footnote>
  <w:footnote w:id="13">
    <w:p w14:paraId="19054F2A" w14:textId="144736E6" w:rsidR="00151BFF" w:rsidRDefault="00151BFF">
      <w:pPr>
        <w:pStyle w:val="FootnoteText"/>
      </w:pPr>
      <w:r>
        <w:rPr>
          <w:rStyle w:val="FootnoteReference"/>
        </w:rPr>
        <w:footnoteRef/>
      </w:r>
      <w:r>
        <w:t xml:space="preserve"> 'Orphan drugs' are often developed to treat small and very specific patient populations who suffer from rare diseases and conditions. </w:t>
      </w:r>
      <w:r>
        <w:t xml:space="preserve">In order to facilitate orphan drug access to the Australian marketplace and help offset orphan drug development costs the TGA waives application and evaluation fees for prescription medicine registration applications if a related </w:t>
      </w:r>
      <w:r>
        <w:rPr>
          <w:b/>
        </w:rPr>
        <w:t>orphan designation</w:t>
      </w:r>
      <w:r>
        <w:t xml:space="preserve">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14">
    <w:p w14:paraId="58574627" w14:textId="77777777" w:rsidR="00151BFF" w:rsidRDefault="00151BFF" w:rsidP="00E27532">
      <w:pPr>
        <w:pStyle w:val="FootnoteText"/>
      </w:pPr>
      <w:r>
        <w:rPr>
          <w:rStyle w:val="FootnoteReference"/>
        </w:rPr>
        <w:footnoteRef/>
      </w:r>
      <w:r>
        <w:t xml:space="preserve"> As part of the </w:t>
      </w:r>
      <w:r>
        <w:rPr>
          <w:b/>
        </w:rPr>
        <w:t>provisional approval pathway</w:t>
      </w:r>
      <w:r>
        <w:t xml:space="preserve">, the provisional registration process will allow certain medicines to be provisionally registered in the Australian Register of Therapeutic Goods (ARTG) for a limited duration. These medicines are registered </w:t>
      </w:r>
      <w:r>
        <w:t>on the basis of preliminary clinical data, where there is the potential for a substantial benefit to Australian patients. The TGA will re-assess risks related to the absence of evidence through data provided at a later stage, as part of the confirmatory data. Confirmatory data should confirm the relationship between outcomes predicted by the surrogate endpoint, or other preliminary data, and the clinical benefit as demonstrated by direct clinical outcomes.</w:t>
      </w:r>
    </w:p>
    <w:p w14:paraId="5FC0E515" w14:textId="6164943A" w:rsidR="00151BFF" w:rsidRDefault="00151BFF" w:rsidP="00E27532">
      <w:pPr>
        <w:pStyle w:val="FootnoteText"/>
      </w:pPr>
      <w:r>
        <w:t>The sponsor may apply to transition to full registration at any time up until the provisional registration lapse date, once they have completed the obligations outlined for the provisional registration period and complete confirmatory data on safety and efficacy are available.</w:t>
      </w:r>
    </w:p>
  </w:footnote>
  <w:footnote w:id="15">
    <w:p w14:paraId="2A70019A" w14:textId="60C36550" w:rsidR="00151BFF" w:rsidRDefault="00151BFF" w:rsidP="00204AEA">
      <w:pPr>
        <w:pStyle w:val="FootnoteText"/>
      </w:pPr>
      <w:r>
        <w:rPr>
          <w:rStyle w:val="FootnoteReference"/>
        </w:rPr>
        <w:footnoteRef/>
      </w:r>
      <w:r>
        <w:t xml:space="preserve"> CPMP/ICH/2738/99: </w:t>
      </w:r>
      <w:r w:rsidRPr="00204AEA">
        <w:t>ICH Q3B (R2) Impurities in new drug products</w:t>
      </w:r>
      <w:r>
        <w:t>. Current effective version.</w:t>
      </w:r>
    </w:p>
  </w:footnote>
  <w:footnote w:id="16">
    <w:p w14:paraId="1E30C5A2" w14:textId="48F270B3" w:rsidR="00151BFF" w:rsidRDefault="00151BFF" w:rsidP="00743BF9">
      <w:pPr>
        <w:pStyle w:val="FootnoteText"/>
      </w:pPr>
      <w:r>
        <w:rPr>
          <w:rStyle w:val="FootnoteReference"/>
        </w:rPr>
        <w:footnoteRef/>
      </w:r>
      <w:r>
        <w:t xml:space="preserve"> EMA/CHMP/ICH/646107/2008: </w:t>
      </w:r>
      <w:r w:rsidRPr="00743BF9">
        <w:t>ICH S9 Non-clinical evaluation for anticancer pharmaceuticals</w:t>
      </w:r>
    </w:p>
  </w:footnote>
  <w:footnote w:id="17">
    <w:p w14:paraId="54D8580F" w14:textId="0E7F9891" w:rsidR="00151BFF" w:rsidRDefault="00151BFF">
      <w:pPr>
        <w:pStyle w:val="FootnoteText"/>
      </w:pPr>
      <w:r>
        <w:rPr>
          <w:rStyle w:val="FootnoteReference"/>
        </w:rPr>
        <w:footnoteRef/>
      </w:r>
      <w:r>
        <w:t xml:space="preserve"> </w:t>
      </w:r>
      <w:r w:rsidRPr="00743BF9">
        <w:t xml:space="preserve">Drugs which have caused, are suspected to have caused or may be expected to cause, an increased incidence of human </w:t>
      </w:r>
      <w:r w:rsidRPr="00743BF9">
        <w:t>fetal malformations or irreversible damage. These drugs may also have adverse pharmacological effects. Accompanying texts should be consulted for further details.</w:t>
      </w:r>
    </w:p>
  </w:footnote>
  <w:footnote w:id="18">
    <w:p w14:paraId="65335040" w14:textId="77777777" w:rsidR="00151BFF" w:rsidRDefault="00151BFF" w:rsidP="00535812">
      <w:pPr>
        <w:pStyle w:val="FootnoteText"/>
        <w:rPr>
          <w:b/>
          <w:lang w:eastAsia="ja-JP"/>
        </w:rPr>
      </w:pPr>
      <w:r>
        <w:rPr>
          <w:rStyle w:val="FootnoteReference"/>
        </w:rPr>
        <w:footnoteRef/>
      </w:r>
      <w:r>
        <w:t xml:space="preserve"> </w:t>
      </w:r>
      <w:r>
        <w:rPr>
          <w:b/>
          <w:lang w:eastAsia="ja-JP"/>
        </w:rPr>
        <w:t xml:space="preserve">Cytochrome P450 (CYP) enzymes: </w:t>
      </w:r>
      <w:r>
        <w:rPr>
          <w:lang w:eastAsia="ja-JP"/>
        </w:rPr>
        <w:t>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7C9A93E5" w14:textId="77777777" w:rsidR="00151BFF" w:rsidRDefault="00151BFF" w:rsidP="00535812">
      <w:pPr>
        <w:pStyle w:val="FootnoteText"/>
      </w:pPr>
      <w:r>
        <w:rPr>
          <w:lang w:eastAsia="ja-JP"/>
        </w:rPr>
        <w:t xml:space="preserve">Many drugs may increase or decrease the activity of various CYP isozymes either by inducing the biosynthesis of an isozyme (enzyme induction) or by directly inhibiting the activity of the CYP (enzyme inhibition). This is a major source of adverse drug </w:t>
      </w:r>
      <w:r>
        <w:rPr>
          <w:lang w:eastAsia="ja-JP"/>
        </w:rPr>
        <w:t>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9">
    <w:p w14:paraId="30D8EDC0" w14:textId="4F98D881" w:rsidR="00151BFF" w:rsidRDefault="00151BFF">
      <w:pPr>
        <w:pStyle w:val="FootnoteText"/>
      </w:pPr>
      <w:r>
        <w:rPr>
          <w:rStyle w:val="FootnoteReference"/>
        </w:rPr>
        <w:footnoteRef/>
      </w:r>
      <w:r>
        <w:t xml:space="preserve"> The </w:t>
      </w:r>
      <w:r>
        <w:rPr>
          <w:b/>
        </w:rPr>
        <w:t>Child-Pugh score</w:t>
      </w:r>
      <w:r>
        <w:t xml:space="preserve"> is used to assess the prognosis of chronic liver disease. The score employs five clinical measures of liver disease. Each measure is scored 1 to 3, with 3 indicating most severe derangement. Class A: 5 to 6 points, least severe liver disease, </w:t>
      </w:r>
      <w:r>
        <w:t>one to five year survival rate of 95%. Class B: 7 to 9 points, moderately severe liver disease, one to five year survival of 75%. Class C: 10 to 15 points, most severe liver disease, 1 to 5 year survival rate 50%.</w:t>
      </w:r>
    </w:p>
  </w:footnote>
  <w:footnote w:id="20">
    <w:p w14:paraId="7381ADD8" w14:textId="0DBD5F41" w:rsidR="00151BFF" w:rsidRDefault="00151BFF">
      <w:pPr>
        <w:pStyle w:val="FootnoteText"/>
      </w:pPr>
      <w:r>
        <w:rPr>
          <w:rStyle w:val="FootnoteReference"/>
        </w:rPr>
        <w:footnoteRef/>
      </w:r>
      <w:r>
        <w:t xml:space="preserve"> FDA guidance for industry: Clinical Drug Interaction Studies – Cytochrome P450 Enzyme – and Transporter-Mediated Drug Interactions. Available at www.FDA.com</w:t>
      </w:r>
    </w:p>
  </w:footnote>
  <w:footnote w:id="21">
    <w:p w14:paraId="3F104F1C" w14:textId="77777777" w:rsidR="00151BFF" w:rsidRDefault="00151BFF" w:rsidP="00085698">
      <w:pPr>
        <w:pStyle w:val="FootnoteText"/>
        <w:spacing w:before="120" w:after="120"/>
        <w:rPr>
          <w:lang w:eastAsia="ja-JP"/>
        </w:rPr>
      </w:pPr>
      <w:r>
        <w:rPr>
          <w:rStyle w:val="FootnoteReference"/>
        </w:rPr>
        <w:footnoteRef/>
      </w:r>
      <w:r>
        <w:t xml:space="preserve"> </w:t>
      </w:r>
      <w:r>
        <w:rPr>
          <w:b/>
          <w:lang w:eastAsia="ja-JP"/>
        </w:rPr>
        <w:t>ECOG Performance Status:</w:t>
      </w:r>
      <w:r>
        <w:rPr>
          <w:lang w:eastAsia="ja-JP"/>
        </w:rPr>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w:t>
      </w:r>
    </w:p>
    <w:p w14:paraId="6FB7BBDC" w14:textId="77777777" w:rsidR="00151BFF" w:rsidRDefault="00151BFF" w:rsidP="00085698">
      <w:pPr>
        <w:pStyle w:val="FootnoteText"/>
        <w:spacing w:before="120" w:after="120"/>
        <w:rPr>
          <w:lang w:eastAsia="ja-JP"/>
        </w:rPr>
      </w:pPr>
      <w:r>
        <w:rPr>
          <w:lang w:eastAsia="ja-JP"/>
        </w:rPr>
        <w:t>0 - Fully active, able to carry on all pre-disease performance without restriction</w:t>
      </w:r>
    </w:p>
    <w:p w14:paraId="76AEED31" w14:textId="77777777" w:rsidR="00151BFF" w:rsidRDefault="00151BFF" w:rsidP="00085698">
      <w:pPr>
        <w:pStyle w:val="FootnoteText"/>
        <w:spacing w:before="120" w:after="120"/>
        <w:rPr>
          <w:lang w:eastAsia="ja-JP"/>
        </w:rPr>
      </w:pPr>
      <w:r>
        <w:rPr>
          <w:lang w:eastAsia="ja-JP"/>
        </w:rPr>
        <w:t xml:space="preserve">1- Restricted in physically strenuous activity but ambulatory and able to carry out work of a light or sedentary nature, for example, light </w:t>
      </w:r>
      <w:r>
        <w:rPr>
          <w:lang w:eastAsia="ja-JP"/>
        </w:rPr>
        <w:t>house work, office work</w:t>
      </w:r>
    </w:p>
    <w:p w14:paraId="2FCE5DD3" w14:textId="77777777" w:rsidR="00151BFF" w:rsidRDefault="00151BFF" w:rsidP="00085698">
      <w:pPr>
        <w:pStyle w:val="FootnoteText"/>
        <w:spacing w:before="120" w:after="120"/>
        <w:rPr>
          <w:lang w:eastAsia="ja-JP"/>
        </w:rPr>
      </w:pPr>
      <w:r>
        <w:rPr>
          <w:lang w:eastAsia="ja-JP"/>
        </w:rPr>
        <w:t>2 - Ambulatory and capable of all self-care but unable to carry out any work activities. Up and about more than 50% of waking hours</w:t>
      </w:r>
    </w:p>
    <w:p w14:paraId="1AF22638" w14:textId="77777777" w:rsidR="00151BFF" w:rsidRDefault="00151BFF" w:rsidP="00085698">
      <w:pPr>
        <w:pStyle w:val="FootnoteText"/>
        <w:spacing w:before="120" w:after="120"/>
        <w:rPr>
          <w:lang w:eastAsia="ja-JP"/>
        </w:rPr>
      </w:pPr>
      <w:r>
        <w:rPr>
          <w:lang w:eastAsia="ja-JP"/>
        </w:rPr>
        <w:t>3 - Capable of only limited self-care, confined to bed or chair more than 50% of waking hours</w:t>
      </w:r>
    </w:p>
    <w:p w14:paraId="56B0FF85" w14:textId="77777777" w:rsidR="00151BFF" w:rsidRDefault="00151BFF" w:rsidP="00085698">
      <w:pPr>
        <w:pStyle w:val="FootnoteText"/>
        <w:spacing w:before="120" w:after="120"/>
        <w:rPr>
          <w:lang w:eastAsia="ja-JP"/>
        </w:rPr>
      </w:pPr>
      <w:r>
        <w:rPr>
          <w:lang w:eastAsia="ja-JP"/>
        </w:rPr>
        <w:t>4 - Completely disabled. Cannot carry on any self-care. Totally confined to bed or chair</w:t>
      </w:r>
    </w:p>
    <w:p w14:paraId="5F476E9A" w14:textId="77777777" w:rsidR="00151BFF" w:rsidRDefault="00151BFF" w:rsidP="00085698">
      <w:pPr>
        <w:pStyle w:val="FootnoteText"/>
        <w:spacing w:before="120" w:after="120"/>
        <w:rPr>
          <w:lang w:eastAsia="ja-JP"/>
        </w:rPr>
      </w:pPr>
      <w:r>
        <w:rPr>
          <w:lang w:eastAsia="ja-JP"/>
        </w:rPr>
        <w:t>5 – Dead</w:t>
      </w:r>
    </w:p>
    <w:p w14:paraId="036BC95A" w14:textId="526AE941" w:rsidR="00151BFF" w:rsidRDefault="00151BFF">
      <w:pPr>
        <w:pStyle w:val="FootnoteText"/>
      </w:pPr>
    </w:p>
  </w:footnote>
  <w:footnote w:id="22">
    <w:p w14:paraId="6CB11B90" w14:textId="7C91C261" w:rsidR="00151BFF" w:rsidRDefault="00151BFF">
      <w:pPr>
        <w:pStyle w:val="FootnoteText"/>
      </w:pPr>
      <w:r>
        <w:rPr>
          <w:rStyle w:val="FootnoteReference"/>
        </w:rPr>
        <w:footnoteRef/>
      </w:r>
      <w:r>
        <w:t xml:space="preserve"> </w:t>
      </w:r>
      <w:r>
        <w:rPr>
          <w:lang w:eastAsia="ja-JP"/>
        </w:rPr>
        <w:t xml:space="preserve">The Response Evaluation Criteria in Solid </w:t>
      </w:r>
      <w:r>
        <w:rPr>
          <w:lang w:eastAsia="ja-JP"/>
        </w:rPr>
        <w:t xml:space="preserve">Tumors (RECIST) is a voluntary, international standard using unified, easily applicable criteria for measuring tumor response using X-ray, </w:t>
      </w:r>
      <w:r>
        <w:rPr>
          <w:lang w:eastAsia="ja-JP"/>
        </w:rPr>
        <w:t>CT and MRI.</w:t>
      </w:r>
    </w:p>
  </w:footnote>
  <w:footnote w:id="23">
    <w:p w14:paraId="3E7E22BD" w14:textId="5C126431" w:rsidR="00151BFF" w:rsidRDefault="00151BFF">
      <w:pPr>
        <w:pStyle w:val="FootnoteText"/>
      </w:pPr>
      <w:r>
        <w:rPr>
          <w:rStyle w:val="FootnoteReference"/>
        </w:rPr>
        <w:footnoteRef/>
      </w:r>
      <w:r>
        <w:t xml:space="preserve"> FDA guidance for industry: Clinical Trial Endpoints for the Approval of Cancer Drugs and Biologics. Available at www.FDA.com</w:t>
      </w:r>
    </w:p>
  </w:footnote>
  <w:footnote w:id="24">
    <w:p w14:paraId="7594D007" w14:textId="77777777" w:rsidR="00151BFF" w:rsidRDefault="00151BFF" w:rsidP="00B54981">
      <w:pPr>
        <w:pStyle w:val="FootnoteText"/>
      </w:pPr>
      <w:r>
        <w:rPr>
          <w:rStyle w:val="FootnoteReference"/>
        </w:rPr>
        <w:footnoteRef/>
      </w:r>
      <w:r>
        <w:t xml:space="preserve"> The </w:t>
      </w:r>
      <w:r>
        <w:rPr>
          <w:b/>
        </w:rPr>
        <w:t>QT interval</w:t>
      </w:r>
      <w:r>
        <w:t xml:space="preserve"> is the time from the start of the QRS wave complex to the end of the corresponding T wave. It approximates to the time taken for ventricular depolarisation and repolarisation</w:t>
      </w:r>
      <w:r>
        <w:t>, that is to say, the period of ventricular systole from ventricular isovolumetric contraction to isovolumetric relaxation.</w:t>
      </w:r>
    </w:p>
    <w:p w14:paraId="0C5AA9EA" w14:textId="68FDA19D" w:rsidR="00151BFF" w:rsidRDefault="00151BFF">
      <w:pPr>
        <w:pStyle w:val="FootnoteText"/>
      </w:pPr>
      <w:r>
        <w:t xml:space="preserve">The </w:t>
      </w:r>
      <w:r>
        <w:rPr>
          <w:b/>
        </w:rPr>
        <w:t>corrected QT interval</w:t>
      </w:r>
      <w:r>
        <w:t xml:space="preserve"> (</w:t>
      </w:r>
      <w:r>
        <w:rPr>
          <w:b/>
        </w:rPr>
        <w:t>QTc</w:t>
      </w:r>
      <w:r>
        <w:t>) estimates the QT interval at a standard heart rate. This allows comparison of QT values over time at different heart rates and improves detection of patients at increased risk of arrhythmias.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CB2B" w14:textId="77777777" w:rsidR="00151BFF" w:rsidRDefault="00151BFF"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3B7D1" w14:textId="77777777" w:rsidR="00151BFF" w:rsidRDefault="00151BFF">
    <w:pPr>
      <w:rPr>
        <w:noProof/>
        <w:lang w:eastAsia="en-AU"/>
      </w:rPr>
    </w:pPr>
    <w:r w:rsidRPr="00347824">
      <w:rPr>
        <w:noProof/>
        <w:lang w:val="en-GB" w:eastAsia="en-GB"/>
      </w:rPr>
      <w:drawing>
        <wp:anchor distT="0" distB="0" distL="114300" distR="114300" simplePos="0" relativeHeight="251658240" behindDoc="1" locked="0" layoutInCell="1" allowOverlap="1" wp14:anchorId="12F603B9" wp14:editId="02F98D6D">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1D39A" w14:textId="77777777" w:rsidR="00151BFF" w:rsidRDefault="00151B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80E7" w14:textId="77777777" w:rsidR="00151BFF" w:rsidRDefault="00151BFF">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F1AB3" w14:textId="77777777" w:rsidR="00151BFF" w:rsidRDefault="00151BFF">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1548B" w14:textId="77777777" w:rsidR="00151BFF" w:rsidRDefault="00151B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43F32" w14:textId="77777777" w:rsidR="00151BFF" w:rsidRDefault="00151BFF"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8C01C" w14:textId="77777777" w:rsidR="00151BFF" w:rsidRDefault="00151BFF" w:rsidP="006E08B3">
    <w:r>
      <w:t>Therapeutic Goods Administration</w:t>
    </w:r>
  </w:p>
  <w:p w14:paraId="2AEEE018" w14:textId="77777777" w:rsidR="00151BFF" w:rsidRDefault="00151BFF"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2AC40F3"/>
    <w:multiLevelType w:val="hybridMultilevel"/>
    <w:tmpl w:val="EFE61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D1C04C3C"/>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4854D24"/>
    <w:multiLevelType w:val="hybridMultilevel"/>
    <w:tmpl w:val="41C807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7CA32D4"/>
    <w:multiLevelType w:val="hybridMultilevel"/>
    <w:tmpl w:val="5F2EEB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DA0565"/>
    <w:multiLevelType w:val="hybridMultilevel"/>
    <w:tmpl w:val="224C0ED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13"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0E7AC6"/>
    <w:multiLevelType w:val="hybridMultilevel"/>
    <w:tmpl w:val="45787F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C01148"/>
    <w:multiLevelType w:val="hybridMultilevel"/>
    <w:tmpl w:val="50E26D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C966A3A"/>
    <w:multiLevelType w:val="hybridMultilevel"/>
    <w:tmpl w:val="0D6089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4"/>
  </w:num>
  <w:num w:numId="28">
    <w:abstractNumId w:val="18"/>
  </w:num>
  <w:num w:numId="29">
    <w:abstractNumId w:val="7"/>
  </w:num>
  <w:num w:numId="30">
    <w:abstractNumId w:val="11"/>
  </w:num>
  <w:num w:numId="31">
    <w:abstractNumId w:val="5"/>
  </w:num>
  <w:num w:numId="32">
    <w:abstractNumId w:val="16"/>
  </w:num>
  <w:num w:numId="33">
    <w:abstractNumId w:val="13"/>
  </w:num>
  <w:num w:numId="34">
    <w:abstractNumId w:val="4"/>
  </w:num>
  <w:num w:numId="35">
    <w:abstractNumId w:val="17"/>
  </w:num>
  <w:num w:numId="36">
    <w:abstractNumId w:val="15"/>
  </w:num>
  <w:num w:numId="37">
    <w:abstractNumId w:val="9"/>
  </w:num>
  <w:num w:numId="38">
    <w:abstractNumId w:val="10"/>
  </w:num>
  <w:num w:numId="39">
    <w:abstractNumId w:val="1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d935d0-924f-42f4-9e39-6a5b861f2893" w:val=" "/>
    <w:docVar w:name="vault_nd_043e8fba-0176-4536-9497-e424839d1a8a" w:val=" "/>
    <w:docVar w:name="vault_nd_054accdd-14c5-4e00-9270-7d86f1255e02" w:val=" "/>
    <w:docVar w:name="vault_nd_0780a20a-043b-4d89-b062-620e8c6fbba6" w:val=" "/>
    <w:docVar w:name="vault_nd_078cd80a-e5f6-4ccd-b231-ae2fb55eb171" w:val=" "/>
    <w:docVar w:name="vault_nd_0a77e038-5957-4b67-94fa-eb06c8d52e9a" w:val=" "/>
    <w:docVar w:name="vault_nd_0b91b603-293b-4bb7-92ba-b07610e9a76f" w:val=" "/>
    <w:docVar w:name="vault_nd_0d3e2c54-72d1-4b06-9688-5e64cf017f7c" w:val=" "/>
    <w:docVar w:name="vault_nd_130c1fa3-8378-46b8-a054-1ca599a9b043" w:val=" "/>
    <w:docVar w:name="vault_nd_1cd36487-8446-4a94-9721-a605cefd738a" w:val=" "/>
    <w:docVar w:name="vault_nd_289bff50-5b26-4b25-9442-162daf6879a5" w:val=" "/>
    <w:docVar w:name="vault_nd_2be47d55-2aaf-4521-872d-431bad229861" w:val=" "/>
    <w:docVar w:name="vault_nd_2e7f793a-4ee1-4ff2-bb64-19322631555a" w:val=" "/>
    <w:docVar w:name="vault_nd_2fa87a7b-d1a5-4ba1-aba5-3d0e1b2dbde0" w:val=" "/>
    <w:docVar w:name="vault_nd_3012d32c-ba4b-4f85-a50d-fb29c045555b" w:val=" "/>
    <w:docVar w:name="vault_nd_305b64d8-526b-4b96-8afc-09b2ff8bf993" w:val=" "/>
    <w:docVar w:name="vault_nd_31845de4-2e75-4c8b-bd98-29607f4efe39" w:val=" "/>
    <w:docVar w:name="vault_nd_31a3f1a6-6d81-4f1b-9ecd-24fabda70ace" w:val=" "/>
    <w:docVar w:name="vault_nd_31ac8445-8755-41a9-9fc7-a5c07f18c049" w:val=" "/>
    <w:docVar w:name="vault_nd_3cf54ef4-f575-481a-aa3f-35ec603e4e8e" w:val=" "/>
    <w:docVar w:name="vault_nd_43cd9cce-c686-4de7-8335-8620c01d89c7" w:val=" "/>
    <w:docVar w:name="vault_nd_45106856-82b8-4eb5-8173-e4dc1a0c58c2" w:val=" "/>
    <w:docVar w:name="vault_nd_4805adde-b286-4deb-8643-64d43422e0fa" w:val=" "/>
    <w:docVar w:name="vault_nd_535e8c61-8be8-4906-9764-8f77f5d8a2c9" w:val=" "/>
    <w:docVar w:name="vault_nd_546c997e-f16f-45c1-b2da-91f72913c2eb" w:val=" "/>
    <w:docVar w:name="vault_nd_56012b9f-2e46-42bb-9cd5-30aeeefb4e89" w:val=" "/>
    <w:docVar w:name="vault_nd_628f6eca-4724-4ac8-8b7a-0e91d5c1125e" w:val=" "/>
    <w:docVar w:name="vault_nd_62a880a3-b0ae-4d28-bd6a-77126897afcf" w:val=" "/>
    <w:docVar w:name="vault_nd_64a094f9-3fdd-4e07-9724-f67d2f42b122" w:val=" "/>
    <w:docVar w:name="vault_nd_6c0ea705-4e37-4f39-bdea-00d14923ba0c" w:val=" "/>
    <w:docVar w:name="vault_nd_6f00e10e-e0c5-4aa9-82a3-441ebae6b22f" w:val=" "/>
    <w:docVar w:name="vault_nd_79aa16da-489b-4370-aad9-23ece035d5b6" w:val=" "/>
    <w:docVar w:name="vault_nd_7d31c721-0111-46c2-9d78-071993aa7b29" w:val=" "/>
    <w:docVar w:name="vault_nd_7d34ec84-831d-4fef-8b6b-e2b4d14dddf8" w:val=" "/>
    <w:docVar w:name="vault_nd_81497472-f213-45c5-a682-51f95269748a" w:val=" "/>
    <w:docVar w:name="vault_nd_8d064e91-0b19-45f4-a8f6-1756035d5075" w:val=" "/>
    <w:docVar w:name="vault_nd_8de3acbf-43a4-4dc7-848f-6849aa2102ce" w:val=" "/>
    <w:docVar w:name="vault_nd_8ee264da-7123-4c84-b4da-d364b0dd3c26" w:val=" "/>
    <w:docVar w:name="vault_nd_96bdd8d1-1a99-457f-a027-1766747320ef" w:val=" "/>
    <w:docVar w:name="vault_nd_9f2059bf-ed9d-4789-ac89-a6d03ac78f98" w:val=" "/>
    <w:docVar w:name="vault_nd_a13fa81e-2c8c-4995-b7bb-4286d88c780d" w:val=" "/>
    <w:docVar w:name="vault_nd_a8a54efb-3dca-4b95-bdfa-73fa5101b952" w:val=" "/>
    <w:docVar w:name="vault_nd_acbbdf35-39ea-46df-a723-2d6d192e7622" w:val=" "/>
    <w:docVar w:name="vault_nd_ad845146-5c76-4a25-8e30-2ad7c0f800e6" w:val=" "/>
    <w:docVar w:name="vault_nd_b0a89ca0-6693-425e-8355-8d2ac05aef52" w:val=" "/>
    <w:docVar w:name="vault_nd_b3ce6eb7-272e-4381-aa85-8f7558797ebf" w:val=" "/>
    <w:docVar w:name="vault_nd_b7391275-f5a5-47d1-b0b1-99e7d36bf212" w:val=" "/>
    <w:docVar w:name="vault_nd_bdbad712-f2fd-4fc4-9f24-1ed9da4a42f6" w:val=" "/>
    <w:docVar w:name="vault_nd_bebb819b-960d-48b3-ac13-c1c85da4926d" w:val=" "/>
    <w:docVar w:name="vault_nd_c66a8899-0c1e-4def-bf15-d40c8a307ee6" w:val=" "/>
    <w:docVar w:name="vault_nd_c6bad2d8-40b7-4dc7-b653-24426a8ac75a" w:val=" "/>
    <w:docVar w:name="vault_nd_caea56bf-6551-4d18-b87d-b64297928cbb" w:val=" "/>
    <w:docVar w:name="vault_nd_cf850bba-12a0-4d39-b48b-60fc1caef74c" w:val=" "/>
    <w:docVar w:name="vault_nd_de8a4f5d-aaed-46da-8833-d14d959d5cc9" w:val=" "/>
    <w:docVar w:name="vault_nd_e07d4a3a-7448-4718-962a-e6a6120d0bde" w:val=" "/>
    <w:docVar w:name="vault_nd_e93d2d89-9eba-4605-81aa-c9c28dfd99a7" w:val=" "/>
    <w:docVar w:name="vault_nd_eb71391b-7461-48de-8785-187f7cdaf1c3" w:val=" "/>
    <w:docVar w:name="vault_nd_ebb94a98-6d64-4d1f-8f8d-a94b1f2cd3f9" w:val=" "/>
    <w:docVar w:name="vault_nd_f85d7eb4-2e92-490c-a6c4-6f0a8010a36e" w:val=" "/>
    <w:docVar w:name="vault_nd_fbd3eb8d-78bb-4960-aff1-b502c7e4d49c" w:val=" "/>
    <w:docVar w:name="vault_nd_fc50fc6c-4cea-49e9-93f9-11ca67f0cf6d" w:val=" "/>
  </w:docVars>
  <w:rsids>
    <w:rsidRoot w:val="00D2262A"/>
    <w:rsid w:val="00002031"/>
    <w:rsid w:val="00004734"/>
    <w:rsid w:val="00006B22"/>
    <w:rsid w:val="00006FAB"/>
    <w:rsid w:val="0001276A"/>
    <w:rsid w:val="000246AE"/>
    <w:rsid w:val="00025C67"/>
    <w:rsid w:val="00044772"/>
    <w:rsid w:val="0004541C"/>
    <w:rsid w:val="0005559E"/>
    <w:rsid w:val="000604D6"/>
    <w:rsid w:val="00067C84"/>
    <w:rsid w:val="000734D8"/>
    <w:rsid w:val="00076F03"/>
    <w:rsid w:val="00077775"/>
    <w:rsid w:val="00085698"/>
    <w:rsid w:val="00090471"/>
    <w:rsid w:val="000929B7"/>
    <w:rsid w:val="00096AA7"/>
    <w:rsid w:val="000A1994"/>
    <w:rsid w:val="000A3AED"/>
    <w:rsid w:val="000A52C2"/>
    <w:rsid w:val="000B186F"/>
    <w:rsid w:val="000B3532"/>
    <w:rsid w:val="000B3A75"/>
    <w:rsid w:val="000B5664"/>
    <w:rsid w:val="000C00C2"/>
    <w:rsid w:val="000C690F"/>
    <w:rsid w:val="000D1225"/>
    <w:rsid w:val="000D1295"/>
    <w:rsid w:val="000D391B"/>
    <w:rsid w:val="000D3D6D"/>
    <w:rsid w:val="000D4FC7"/>
    <w:rsid w:val="000E3318"/>
    <w:rsid w:val="000E6196"/>
    <w:rsid w:val="000F3166"/>
    <w:rsid w:val="000F4869"/>
    <w:rsid w:val="000F5B42"/>
    <w:rsid w:val="000F6E6F"/>
    <w:rsid w:val="0010601F"/>
    <w:rsid w:val="0010788A"/>
    <w:rsid w:val="00107A31"/>
    <w:rsid w:val="00110EA5"/>
    <w:rsid w:val="00111155"/>
    <w:rsid w:val="00112F56"/>
    <w:rsid w:val="00117C1F"/>
    <w:rsid w:val="00122C2E"/>
    <w:rsid w:val="00124ACD"/>
    <w:rsid w:val="00125318"/>
    <w:rsid w:val="001305A2"/>
    <w:rsid w:val="00133238"/>
    <w:rsid w:val="00133A1B"/>
    <w:rsid w:val="0014197B"/>
    <w:rsid w:val="001447CD"/>
    <w:rsid w:val="001516B1"/>
    <w:rsid w:val="00151BFF"/>
    <w:rsid w:val="00154EBB"/>
    <w:rsid w:val="0015530E"/>
    <w:rsid w:val="00156316"/>
    <w:rsid w:val="00160B9D"/>
    <w:rsid w:val="00161181"/>
    <w:rsid w:val="00161D56"/>
    <w:rsid w:val="00162D14"/>
    <w:rsid w:val="00163780"/>
    <w:rsid w:val="00165389"/>
    <w:rsid w:val="0017693F"/>
    <w:rsid w:val="0018110E"/>
    <w:rsid w:val="00181684"/>
    <w:rsid w:val="001843C6"/>
    <w:rsid w:val="00184A82"/>
    <w:rsid w:val="001850E0"/>
    <w:rsid w:val="00185407"/>
    <w:rsid w:val="00185EF1"/>
    <w:rsid w:val="00186448"/>
    <w:rsid w:val="00190231"/>
    <w:rsid w:val="001A03AF"/>
    <w:rsid w:val="001A2158"/>
    <w:rsid w:val="001A5027"/>
    <w:rsid w:val="001A525F"/>
    <w:rsid w:val="001A5A00"/>
    <w:rsid w:val="001A66B8"/>
    <w:rsid w:val="001B09F9"/>
    <w:rsid w:val="001B1DA4"/>
    <w:rsid w:val="001B5C90"/>
    <w:rsid w:val="001B6448"/>
    <w:rsid w:val="001C32CD"/>
    <w:rsid w:val="001C518B"/>
    <w:rsid w:val="001D2984"/>
    <w:rsid w:val="001E07CF"/>
    <w:rsid w:val="001E359E"/>
    <w:rsid w:val="001E59F1"/>
    <w:rsid w:val="001F2CEE"/>
    <w:rsid w:val="001F49EB"/>
    <w:rsid w:val="001F6CBA"/>
    <w:rsid w:val="00201D4E"/>
    <w:rsid w:val="00204AEA"/>
    <w:rsid w:val="002076C9"/>
    <w:rsid w:val="00220B8A"/>
    <w:rsid w:val="002257F3"/>
    <w:rsid w:val="002314EA"/>
    <w:rsid w:val="00233456"/>
    <w:rsid w:val="002339A5"/>
    <w:rsid w:val="00242C3E"/>
    <w:rsid w:val="0024465D"/>
    <w:rsid w:val="00250271"/>
    <w:rsid w:val="00250F35"/>
    <w:rsid w:val="00253AD4"/>
    <w:rsid w:val="00257848"/>
    <w:rsid w:val="002578E8"/>
    <w:rsid w:val="002601DC"/>
    <w:rsid w:val="0026187C"/>
    <w:rsid w:val="0027084A"/>
    <w:rsid w:val="00271E85"/>
    <w:rsid w:val="00273D44"/>
    <w:rsid w:val="00280265"/>
    <w:rsid w:val="00285E94"/>
    <w:rsid w:val="00286434"/>
    <w:rsid w:val="00286C59"/>
    <w:rsid w:val="00291957"/>
    <w:rsid w:val="002942D1"/>
    <w:rsid w:val="0029501A"/>
    <w:rsid w:val="002A1988"/>
    <w:rsid w:val="002A3721"/>
    <w:rsid w:val="002A687F"/>
    <w:rsid w:val="002B1638"/>
    <w:rsid w:val="002B3624"/>
    <w:rsid w:val="002C639D"/>
    <w:rsid w:val="002D0952"/>
    <w:rsid w:val="002D227D"/>
    <w:rsid w:val="002E15BC"/>
    <w:rsid w:val="002E40B3"/>
    <w:rsid w:val="002E4C9A"/>
    <w:rsid w:val="002F11F8"/>
    <w:rsid w:val="002F3F56"/>
    <w:rsid w:val="002F44B5"/>
    <w:rsid w:val="002F5122"/>
    <w:rsid w:val="00307AF3"/>
    <w:rsid w:val="00311AC0"/>
    <w:rsid w:val="0031292F"/>
    <w:rsid w:val="003176FC"/>
    <w:rsid w:val="00324E45"/>
    <w:rsid w:val="0032583B"/>
    <w:rsid w:val="00327883"/>
    <w:rsid w:val="00327D17"/>
    <w:rsid w:val="00332715"/>
    <w:rsid w:val="00335504"/>
    <w:rsid w:val="003377E4"/>
    <w:rsid w:val="00340AF3"/>
    <w:rsid w:val="00340C18"/>
    <w:rsid w:val="003442FD"/>
    <w:rsid w:val="00347824"/>
    <w:rsid w:val="00350567"/>
    <w:rsid w:val="003521E8"/>
    <w:rsid w:val="00361CFB"/>
    <w:rsid w:val="00370CE3"/>
    <w:rsid w:val="00370FEA"/>
    <w:rsid w:val="003728F3"/>
    <w:rsid w:val="0037311C"/>
    <w:rsid w:val="0037358F"/>
    <w:rsid w:val="003735BC"/>
    <w:rsid w:val="0037485B"/>
    <w:rsid w:val="0037496E"/>
    <w:rsid w:val="00383221"/>
    <w:rsid w:val="00386150"/>
    <w:rsid w:val="003874CE"/>
    <w:rsid w:val="00390900"/>
    <w:rsid w:val="003A3078"/>
    <w:rsid w:val="003A7F6C"/>
    <w:rsid w:val="003B4D60"/>
    <w:rsid w:val="003B7E39"/>
    <w:rsid w:val="003C32F6"/>
    <w:rsid w:val="003C58DC"/>
    <w:rsid w:val="003D1E62"/>
    <w:rsid w:val="003E0B99"/>
    <w:rsid w:val="003E2486"/>
    <w:rsid w:val="003E3208"/>
    <w:rsid w:val="003E73C7"/>
    <w:rsid w:val="003E7A7F"/>
    <w:rsid w:val="003F0B04"/>
    <w:rsid w:val="0040134E"/>
    <w:rsid w:val="00425648"/>
    <w:rsid w:val="00426445"/>
    <w:rsid w:val="004334C7"/>
    <w:rsid w:val="00440168"/>
    <w:rsid w:val="00440A2D"/>
    <w:rsid w:val="00441C3F"/>
    <w:rsid w:val="00444D1A"/>
    <w:rsid w:val="00446C63"/>
    <w:rsid w:val="0045186A"/>
    <w:rsid w:val="00454BDC"/>
    <w:rsid w:val="004564A7"/>
    <w:rsid w:val="00456765"/>
    <w:rsid w:val="00460036"/>
    <w:rsid w:val="004617BF"/>
    <w:rsid w:val="00463658"/>
    <w:rsid w:val="004637A0"/>
    <w:rsid w:val="004722CC"/>
    <w:rsid w:val="004811CE"/>
    <w:rsid w:val="00490483"/>
    <w:rsid w:val="00491DB5"/>
    <w:rsid w:val="004936E4"/>
    <w:rsid w:val="00494E60"/>
    <w:rsid w:val="00497487"/>
    <w:rsid w:val="00497C7F"/>
    <w:rsid w:val="004A2771"/>
    <w:rsid w:val="004A5BC8"/>
    <w:rsid w:val="004A6189"/>
    <w:rsid w:val="004A7390"/>
    <w:rsid w:val="004A7C99"/>
    <w:rsid w:val="004B7B76"/>
    <w:rsid w:val="004C239D"/>
    <w:rsid w:val="004C2B1B"/>
    <w:rsid w:val="004C2DCA"/>
    <w:rsid w:val="004C4FBE"/>
    <w:rsid w:val="004C61D2"/>
    <w:rsid w:val="004D7A97"/>
    <w:rsid w:val="004E09DD"/>
    <w:rsid w:val="004F0C4A"/>
    <w:rsid w:val="004F0F38"/>
    <w:rsid w:val="004F47D6"/>
    <w:rsid w:val="00500337"/>
    <w:rsid w:val="00501921"/>
    <w:rsid w:val="00505417"/>
    <w:rsid w:val="00514A0D"/>
    <w:rsid w:val="00517172"/>
    <w:rsid w:val="0052149B"/>
    <w:rsid w:val="00523A21"/>
    <w:rsid w:val="00523A58"/>
    <w:rsid w:val="00530354"/>
    <w:rsid w:val="00535812"/>
    <w:rsid w:val="0053625B"/>
    <w:rsid w:val="005434C6"/>
    <w:rsid w:val="00543B39"/>
    <w:rsid w:val="00545CDB"/>
    <w:rsid w:val="00546154"/>
    <w:rsid w:val="00550096"/>
    <w:rsid w:val="005546B7"/>
    <w:rsid w:val="00555280"/>
    <w:rsid w:val="00557CCD"/>
    <w:rsid w:val="00557FF9"/>
    <w:rsid w:val="00562327"/>
    <w:rsid w:val="00567693"/>
    <w:rsid w:val="005711D5"/>
    <w:rsid w:val="0057330F"/>
    <w:rsid w:val="00576378"/>
    <w:rsid w:val="00577130"/>
    <w:rsid w:val="00577945"/>
    <w:rsid w:val="00577E38"/>
    <w:rsid w:val="00585322"/>
    <w:rsid w:val="005857C6"/>
    <w:rsid w:val="005872BF"/>
    <w:rsid w:val="00590734"/>
    <w:rsid w:val="00592F6E"/>
    <w:rsid w:val="00593AD1"/>
    <w:rsid w:val="005974F7"/>
    <w:rsid w:val="005A68B6"/>
    <w:rsid w:val="005A79F5"/>
    <w:rsid w:val="005B3718"/>
    <w:rsid w:val="005C4383"/>
    <w:rsid w:val="005C494B"/>
    <w:rsid w:val="005C5570"/>
    <w:rsid w:val="005C5B66"/>
    <w:rsid w:val="005C79A4"/>
    <w:rsid w:val="005D5442"/>
    <w:rsid w:val="005F5B32"/>
    <w:rsid w:val="00603F32"/>
    <w:rsid w:val="00605AD4"/>
    <w:rsid w:val="006136D7"/>
    <w:rsid w:val="006177FF"/>
    <w:rsid w:val="006244FF"/>
    <w:rsid w:val="00625A6E"/>
    <w:rsid w:val="00632398"/>
    <w:rsid w:val="00633D48"/>
    <w:rsid w:val="00640FC3"/>
    <w:rsid w:val="00642020"/>
    <w:rsid w:val="006430EE"/>
    <w:rsid w:val="00643CE5"/>
    <w:rsid w:val="00647D56"/>
    <w:rsid w:val="0065337B"/>
    <w:rsid w:val="0065419D"/>
    <w:rsid w:val="006603BC"/>
    <w:rsid w:val="006604D8"/>
    <w:rsid w:val="006632F6"/>
    <w:rsid w:val="00664A5B"/>
    <w:rsid w:val="0066735C"/>
    <w:rsid w:val="00670526"/>
    <w:rsid w:val="006763D2"/>
    <w:rsid w:val="00680C08"/>
    <w:rsid w:val="0068181F"/>
    <w:rsid w:val="0068796F"/>
    <w:rsid w:val="006901BA"/>
    <w:rsid w:val="006916A0"/>
    <w:rsid w:val="0069216C"/>
    <w:rsid w:val="006931B1"/>
    <w:rsid w:val="006A15C0"/>
    <w:rsid w:val="006A58A8"/>
    <w:rsid w:val="006A61A0"/>
    <w:rsid w:val="006C3E2A"/>
    <w:rsid w:val="006C642F"/>
    <w:rsid w:val="006C79B5"/>
    <w:rsid w:val="006D03E5"/>
    <w:rsid w:val="006D5D3E"/>
    <w:rsid w:val="006D5F89"/>
    <w:rsid w:val="006E08B3"/>
    <w:rsid w:val="006E7D4A"/>
    <w:rsid w:val="006F17AC"/>
    <w:rsid w:val="006F25B8"/>
    <w:rsid w:val="006F572E"/>
    <w:rsid w:val="006F6B07"/>
    <w:rsid w:val="007046D6"/>
    <w:rsid w:val="00705DB0"/>
    <w:rsid w:val="007100C3"/>
    <w:rsid w:val="00713295"/>
    <w:rsid w:val="00714DA5"/>
    <w:rsid w:val="0072292E"/>
    <w:rsid w:val="00722B57"/>
    <w:rsid w:val="00722D92"/>
    <w:rsid w:val="007301DD"/>
    <w:rsid w:val="00730F8A"/>
    <w:rsid w:val="00733AF2"/>
    <w:rsid w:val="00735A8C"/>
    <w:rsid w:val="0074163C"/>
    <w:rsid w:val="0074253D"/>
    <w:rsid w:val="00743BF9"/>
    <w:rsid w:val="00744121"/>
    <w:rsid w:val="0074429B"/>
    <w:rsid w:val="007615BC"/>
    <w:rsid w:val="00762F05"/>
    <w:rsid w:val="007652FF"/>
    <w:rsid w:val="007703EF"/>
    <w:rsid w:val="00770CAC"/>
    <w:rsid w:val="00770EF1"/>
    <w:rsid w:val="0077131A"/>
    <w:rsid w:val="00773280"/>
    <w:rsid w:val="00773EF7"/>
    <w:rsid w:val="00774E1D"/>
    <w:rsid w:val="007765D8"/>
    <w:rsid w:val="0077675A"/>
    <w:rsid w:val="007777E6"/>
    <w:rsid w:val="00780355"/>
    <w:rsid w:val="007819FD"/>
    <w:rsid w:val="00785717"/>
    <w:rsid w:val="00785721"/>
    <w:rsid w:val="0079041B"/>
    <w:rsid w:val="00793A59"/>
    <w:rsid w:val="007A46F5"/>
    <w:rsid w:val="007A6505"/>
    <w:rsid w:val="007B07FF"/>
    <w:rsid w:val="007B6132"/>
    <w:rsid w:val="007B6E9F"/>
    <w:rsid w:val="007C1216"/>
    <w:rsid w:val="007C19F2"/>
    <w:rsid w:val="007C1AF7"/>
    <w:rsid w:val="007C6B9B"/>
    <w:rsid w:val="007D53B6"/>
    <w:rsid w:val="008001E5"/>
    <w:rsid w:val="00801899"/>
    <w:rsid w:val="00804D99"/>
    <w:rsid w:val="00805D27"/>
    <w:rsid w:val="00806DCB"/>
    <w:rsid w:val="00806F29"/>
    <w:rsid w:val="008110BC"/>
    <w:rsid w:val="00812BA0"/>
    <w:rsid w:val="00817EA7"/>
    <w:rsid w:val="00821776"/>
    <w:rsid w:val="00822727"/>
    <w:rsid w:val="008321F5"/>
    <w:rsid w:val="00832369"/>
    <w:rsid w:val="00833ED8"/>
    <w:rsid w:val="00834660"/>
    <w:rsid w:val="00836BC2"/>
    <w:rsid w:val="00837019"/>
    <w:rsid w:val="0085156D"/>
    <w:rsid w:val="00852B28"/>
    <w:rsid w:val="0085641B"/>
    <w:rsid w:val="00857136"/>
    <w:rsid w:val="00865B03"/>
    <w:rsid w:val="00875A09"/>
    <w:rsid w:val="00875A6B"/>
    <w:rsid w:val="00885B11"/>
    <w:rsid w:val="00886D15"/>
    <w:rsid w:val="00887DD8"/>
    <w:rsid w:val="00891BA9"/>
    <w:rsid w:val="00895E92"/>
    <w:rsid w:val="00896018"/>
    <w:rsid w:val="008960DD"/>
    <w:rsid w:val="0089635C"/>
    <w:rsid w:val="008A2B9D"/>
    <w:rsid w:val="008A3D9F"/>
    <w:rsid w:val="008A5E0B"/>
    <w:rsid w:val="008A6D59"/>
    <w:rsid w:val="008B00E3"/>
    <w:rsid w:val="008B4B03"/>
    <w:rsid w:val="008B596F"/>
    <w:rsid w:val="008C159F"/>
    <w:rsid w:val="008C1623"/>
    <w:rsid w:val="008C1850"/>
    <w:rsid w:val="008C51A9"/>
    <w:rsid w:val="008D158B"/>
    <w:rsid w:val="008D67EF"/>
    <w:rsid w:val="008D7C38"/>
    <w:rsid w:val="008E7327"/>
    <w:rsid w:val="008E7846"/>
    <w:rsid w:val="008F02E5"/>
    <w:rsid w:val="008F1CCC"/>
    <w:rsid w:val="008F2967"/>
    <w:rsid w:val="008F6943"/>
    <w:rsid w:val="00900756"/>
    <w:rsid w:val="00902A21"/>
    <w:rsid w:val="0091523F"/>
    <w:rsid w:val="00915B2F"/>
    <w:rsid w:val="0091789D"/>
    <w:rsid w:val="00920330"/>
    <w:rsid w:val="009219D7"/>
    <w:rsid w:val="00922D53"/>
    <w:rsid w:val="00923B70"/>
    <w:rsid w:val="00924482"/>
    <w:rsid w:val="0092477D"/>
    <w:rsid w:val="00930237"/>
    <w:rsid w:val="00933685"/>
    <w:rsid w:val="00937C17"/>
    <w:rsid w:val="00940A89"/>
    <w:rsid w:val="00941F77"/>
    <w:rsid w:val="009426A0"/>
    <w:rsid w:val="00946EA5"/>
    <w:rsid w:val="009556D7"/>
    <w:rsid w:val="00960520"/>
    <w:rsid w:val="00963C08"/>
    <w:rsid w:val="0096539F"/>
    <w:rsid w:val="009656C2"/>
    <w:rsid w:val="009752A5"/>
    <w:rsid w:val="0098585A"/>
    <w:rsid w:val="00997E7B"/>
    <w:rsid w:val="009A4CED"/>
    <w:rsid w:val="009A5DAC"/>
    <w:rsid w:val="009A690D"/>
    <w:rsid w:val="009A728C"/>
    <w:rsid w:val="009B1D12"/>
    <w:rsid w:val="009B416B"/>
    <w:rsid w:val="009B576C"/>
    <w:rsid w:val="009C4BD5"/>
    <w:rsid w:val="009C5CAB"/>
    <w:rsid w:val="009D7B77"/>
    <w:rsid w:val="009E0BB0"/>
    <w:rsid w:val="009E33A5"/>
    <w:rsid w:val="009E3FBB"/>
    <w:rsid w:val="009E5A87"/>
    <w:rsid w:val="009F2673"/>
    <w:rsid w:val="009F7353"/>
    <w:rsid w:val="00A04F85"/>
    <w:rsid w:val="00A05FA4"/>
    <w:rsid w:val="00A102E4"/>
    <w:rsid w:val="00A1219C"/>
    <w:rsid w:val="00A12C42"/>
    <w:rsid w:val="00A14DF7"/>
    <w:rsid w:val="00A220D5"/>
    <w:rsid w:val="00A22D57"/>
    <w:rsid w:val="00A3246D"/>
    <w:rsid w:val="00A35E40"/>
    <w:rsid w:val="00A36FA7"/>
    <w:rsid w:val="00A44DDB"/>
    <w:rsid w:val="00A45587"/>
    <w:rsid w:val="00A475B7"/>
    <w:rsid w:val="00A47AF7"/>
    <w:rsid w:val="00A47C3E"/>
    <w:rsid w:val="00A50226"/>
    <w:rsid w:val="00A60BAD"/>
    <w:rsid w:val="00A77F87"/>
    <w:rsid w:val="00A80B5B"/>
    <w:rsid w:val="00A84E36"/>
    <w:rsid w:val="00A928AA"/>
    <w:rsid w:val="00A93370"/>
    <w:rsid w:val="00A964D1"/>
    <w:rsid w:val="00AA0ED0"/>
    <w:rsid w:val="00AA19B4"/>
    <w:rsid w:val="00AA5386"/>
    <w:rsid w:val="00AC2B40"/>
    <w:rsid w:val="00AC2BB2"/>
    <w:rsid w:val="00AC2C3C"/>
    <w:rsid w:val="00AC512D"/>
    <w:rsid w:val="00AD0083"/>
    <w:rsid w:val="00AD00F0"/>
    <w:rsid w:val="00AD3935"/>
    <w:rsid w:val="00AD4025"/>
    <w:rsid w:val="00AE46B7"/>
    <w:rsid w:val="00AE65EB"/>
    <w:rsid w:val="00AE67A7"/>
    <w:rsid w:val="00AF1D94"/>
    <w:rsid w:val="00AF2313"/>
    <w:rsid w:val="00AF60C5"/>
    <w:rsid w:val="00B009C6"/>
    <w:rsid w:val="00B01548"/>
    <w:rsid w:val="00B03C99"/>
    <w:rsid w:val="00B063C3"/>
    <w:rsid w:val="00B130C5"/>
    <w:rsid w:val="00B13EBD"/>
    <w:rsid w:val="00B1406F"/>
    <w:rsid w:val="00B21D29"/>
    <w:rsid w:val="00B25034"/>
    <w:rsid w:val="00B27319"/>
    <w:rsid w:val="00B33588"/>
    <w:rsid w:val="00B33863"/>
    <w:rsid w:val="00B37D17"/>
    <w:rsid w:val="00B4175E"/>
    <w:rsid w:val="00B41C85"/>
    <w:rsid w:val="00B452CE"/>
    <w:rsid w:val="00B51518"/>
    <w:rsid w:val="00B53A3B"/>
    <w:rsid w:val="00B54342"/>
    <w:rsid w:val="00B54981"/>
    <w:rsid w:val="00B54C25"/>
    <w:rsid w:val="00B55D9A"/>
    <w:rsid w:val="00B67893"/>
    <w:rsid w:val="00B713AC"/>
    <w:rsid w:val="00B72C81"/>
    <w:rsid w:val="00B76B91"/>
    <w:rsid w:val="00B77EB1"/>
    <w:rsid w:val="00B811C6"/>
    <w:rsid w:val="00B855B0"/>
    <w:rsid w:val="00B92E08"/>
    <w:rsid w:val="00BB0B78"/>
    <w:rsid w:val="00BB4FA7"/>
    <w:rsid w:val="00BB75D6"/>
    <w:rsid w:val="00BC622A"/>
    <w:rsid w:val="00BE0A78"/>
    <w:rsid w:val="00BE6542"/>
    <w:rsid w:val="00BE79F0"/>
    <w:rsid w:val="00BF046D"/>
    <w:rsid w:val="00BF1190"/>
    <w:rsid w:val="00BF3774"/>
    <w:rsid w:val="00BF5D04"/>
    <w:rsid w:val="00BF7063"/>
    <w:rsid w:val="00C009AA"/>
    <w:rsid w:val="00C1164D"/>
    <w:rsid w:val="00C16861"/>
    <w:rsid w:val="00C27171"/>
    <w:rsid w:val="00C34133"/>
    <w:rsid w:val="00C346AB"/>
    <w:rsid w:val="00C404A6"/>
    <w:rsid w:val="00C40A36"/>
    <w:rsid w:val="00C44419"/>
    <w:rsid w:val="00C45E7B"/>
    <w:rsid w:val="00C471B1"/>
    <w:rsid w:val="00C47488"/>
    <w:rsid w:val="00C47B9C"/>
    <w:rsid w:val="00C525A2"/>
    <w:rsid w:val="00C52E24"/>
    <w:rsid w:val="00C6316B"/>
    <w:rsid w:val="00C634A9"/>
    <w:rsid w:val="00C64586"/>
    <w:rsid w:val="00C64BAE"/>
    <w:rsid w:val="00C66A07"/>
    <w:rsid w:val="00C70A36"/>
    <w:rsid w:val="00C70D53"/>
    <w:rsid w:val="00C73D0B"/>
    <w:rsid w:val="00C74F5C"/>
    <w:rsid w:val="00C75472"/>
    <w:rsid w:val="00C772FF"/>
    <w:rsid w:val="00C80137"/>
    <w:rsid w:val="00C801AF"/>
    <w:rsid w:val="00C80256"/>
    <w:rsid w:val="00C94CD4"/>
    <w:rsid w:val="00C94EA8"/>
    <w:rsid w:val="00C9747E"/>
    <w:rsid w:val="00CB4B98"/>
    <w:rsid w:val="00CB6BC0"/>
    <w:rsid w:val="00CC11C5"/>
    <w:rsid w:val="00CC1B7C"/>
    <w:rsid w:val="00CC5044"/>
    <w:rsid w:val="00CC727F"/>
    <w:rsid w:val="00CD1AE7"/>
    <w:rsid w:val="00CE2037"/>
    <w:rsid w:val="00CF1281"/>
    <w:rsid w:val="00CF15C3"/>
    <w:rsid w:val="00CF2B6F"/>
    <w:rsid w:val="00CF2F3E"/>
    <w:rsid w:val="00CF33AF"/>
    <w:rsid w:val="00CF58B6"/>
    <w:rsid w:val="00CF5DAD"/>
    <w:rsid w:val="00D0062D"/>
    <w:rsid w:val="00D017ED"/>
    <w:rsid w:val="00D040D3"/>
    <w:rsid w:val="00D04C65"/>
    <w:rsid w:val="00D07B96"/>
    <w:rsid w:val="00D153D8"/>
    <w:rsid w:val="00D201D2"/>
    <w:rsid w:val="00D212F3"/>
    <w:rsid w:val="00D224FE"/>
    <w:rsid w:val="00D2262A"/>
    <w:rsid w:val="00D23139"/>
    <w:rsid w:val="00D25B25"/>
    <w:rsid w:val="00D307F9"/>
    <w:rsid w:val="00D425BB"/>
    <w:rsid w:val="00D452E9"/>
    <w:rsid w:val="00D453FA"/>
    <w:rsid w:val="00D46FF3"/>
    <w:rsid w:val="00D56348"/>
    <w:rsid w:val="00D60529"/>
    <w:rsid w:val="00D6493E"/>
    <w:rsid w:val="00D7195D"/>
    <w:rsid w:val="00D72CBA"/>
    <w:rsid w:val="00D7301E"/>
    <w:rsid w:val="00D83AE1"/>
    <w:rsid w:val="00D854AC"/>
    <w:rsid w:val="00D855D4"/>
    <w:rsid w:val="00D902C9"/>
    <w:rsid w:val="00D93466"/>
    <w:rsid w:val="00DA1124"/>
    <w:rsid w:val="00DA64CB"/>
    <w:rsid w:val="00DB06B8"/>
    <w:rsid w:val="00DB6124"/>
    <w:rsid w:val="00DB750B"/>
    <w:rsid w:val="00DB75B7"/>
    <w:rsid w:val="00DC0A2F"/>
    <w:rsid w:val="00DC1948"/>
    <w:rsid w:val="00DC6E02"/>
    <w:rsid w:val="00DD26FD"/>
    <w:rsid w:val="00DD28CD"/>
    <w:rsid w:val="00DE02AE"/>
    <w:rsid w:val="00DE39D1"/>
    <w:rsid w:val="00DE4403"/>
    <w:rsid w:val="00DF1D7F"/>
    <w:rsid w:val="00DF4BE4"/>
    <w:rsid w:val="00DF7C6F"/>
    <w:rsid w:val="00E02382"/>
    <w:rsid w:val="00E02FB4"/>
    <w:rsid w:val="00E13FC7"/>
    <w:rsid w:val="00E20571"/>
    <w:rsid w:val="00E2059E"/>
    <w:rsid w:val="00E235F7"/>
    <w:rsid w:val="00E23659"/>
    <w:rsid w:val="00E239D4"/>
    <w:rsid w:val="00E26130"/>
    <w:rsid w:val="00E27532"/>
    <w:rsid w:val="00E33D42"/>
    <w:rsid w:val="00E34D02"/>
    <w:rsid w:val="00E34DC3"/>
    <w:rsid w:val="00E4092D"/>
    <w:rsid w:val="00E40B22"/>
    <w:rsid w:val="00E44ED1"/>
    <w:rsid w:val="00E45619"/>
    <w:rsid w:val="00E4588F"/>
    <w:rsid w:val="00E46DA3"/>
    <w:rsid w:val="00E51BB1"/>
    <w:rsid w:val="00E52BE1"/>
    <w:rsid w:val="00E54BE3"/>
    <w:rsid w:val="00E55CB0"/>
    <w:rsid w:val="00E611A1"/>
    <w:rsid w:val="00E624A5"/>
    <w:rsid w:val="00E64BA4"/>
    <w:rsid w:val="00E7344E"/>
    <w:rsid w:val="00E82665"/>
    <w:rsid w:val="00E92819"/>
    <w:rsid w:val="00EB0798"/>
    <w:rsid w:val="00EB1777"/>
    <w:rsid w:val="00EB36D6"/>
    <w:rsid w:val="00EB40AD"/>
    <w:rsid w:val="00EB586E"/>
    <w:rsid w:val="00EB5FC8"/>
    <w:rsid w:val="00EC463D"/>
    <w:rsid w:val="00EC667E"/>
    <w:rsid w:val="00EC7A85"/>
    <w:rsid w:val="00ED2922"/>
    <w:rsid w:val="00ED3CAD"/>
    <w:rsid w:val="00ED49E8"/>
    <w:rsid w:val="00ED5A41"/>
    <w:rsid w:val="00EE0255"/>
    <w:rsid w:val="00EE1DE8"/>
    <w:rsid w:val="00EE27C2"/>
    <w:rsid w:val="00EE3CE4"/>
    <w:rsid w:val="00EF0A65"/>
    <w:rsid w:val="00EF1661"/>
    <w:rsid w:val="00EF18A0"/>
    <w:rsid w:val="00EF4BAD"/>
    <w:rsid w:val="00EF59DC"/>
    <w:rsid w:val="00EF6A46"/>
    <w:rsid w:val="00F00A58"/>
    <w:rsid w:val="00F033EC"/>
    <w:rsid w:val="00F04F68"/>
    <w:rsid w:val="00F12670"/>
    <w:rsid w:val="00F14B27"/>
    <w:rsid w:val="00F1518E"/>
    <w:rsid w:val="00F3148D"/>
    <w:rsid w:val="00F325C5"/>
    <w:rsid w:val="00F32FE0"/>
    <w:rsid w:val="00F35021"/>
    <w:rsid w:val="00F35298"/>
    <w:rsid w:val="00F47333"/>
    <w:rsid w:val="00F47E37"/>
    <w:rsid w:val="00F50356"/>
    <w:rsid w:val="00F51AA8"/>
    <w:rsid w:val="00F53C07"/>
    <w:rsid w:val="00F54B65"/>
    <w:rsid w:val="00F63DBF"/>
    <w:rsid w:val="00F640B6"/>
    <w:rsid w:val="00F66DF2"/>
    <w:rsid w:val="00F7040A"/>
    <w:rsid w:val="00F75CD2"/>
    <w:rsid w:val="00F80E40"/>
    <w:rsid w:val="00F82CA4"/>
    <w:rsid w:val="00F848D9"/>
    <w:rsid w:val="00F931CE"/>
    <w:rsid w:val="00FA4BBA"/>
    <w:rsid w:val="00FA5069"/>
    <w:rsid w:val="00FA5B82"/>
    <w:rsid w:val="00FA639E"/>
    <w:rsid w:val="00FC1FCA"/>
    <w:rsid w:val="00FC25E4"/>
    <w:rsid w:val="00FC4EF7"/>
    <w:rsid w:val="00FC5559"/>
    <w:rsid w:val="00FC59FF"/>
    <w:rsid w:val="00FD0824"/>
    <w:rsid w:val="00FD119B"/>
    <w:rsid w:val="00FD1EDC"/>
    <w:rsid w:val="00FE1DEE"/>
    <w:rsid w:val="00FF2126"/>
    <w:rsid w:val="00FF5755"/>
    <w:rsid w:val="00FF69BE"/>
    <w:rsid w:val="00FF7B93"/>
    <w:rsid w:val="0B271A03"/>
    <w:rsid w:val="12D36411"/>
    <w:rsid w:val="1B1EF19F"/>
    <w:rsid w:val="2660D738"/>
    <w:rsid w:val="27B716BF"/>
    <w:rsid w:val="2F21C5DF"/>
    <w:rsid w:val="4BC72843"/>
    <w:rsid w:val="6252511A"/>
    <w:rsid w:val="6389FD75"/>
    <w:rsid w:val="66319AA3"/>
    <w:rsid w:val="6A9C67A3"/>
    <w:rsid w:val="6AB98DDE"/>
    <w:rsid w:val="6ABFE768"/>
    <w:rsid w:val="6B6FAC2B"/>
    <w:rsid w:val="75117C0F"/>
    <w:rsid w:val="78FCFB37"/>
    <w:rsid w:val="792055D2"/>
    <w:rsid w:val="7C09EA95"/>
    <w:rsid w:val="7E4260CB"/>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47EA11"/>
  <w15:docId w15:val="{AB523C76-266F-4D0C-8102-89EF9773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AD4025"/>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customStyle="1" w:styleId="Default">
    <w:name w:val="Default"/>
    <w:rsid w:val="005B37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rsid w:val="00822727"/>
    <w:pPr>
      <w:numPr>
        <w:numId w:val="33"/>
      </w:numPr>
      <w:tabs>
        <w:tab w:val="clear" w:pos="369"/>
        <w:tab w:val="left" w:pos="397"/>
        <w:tab w:val="num" w:pos="511"/>
      </w:tabs>
      <w:spacing w:before="0" w:after="180" w:line="252" w:lineRule="auto"/>
      <w:ind w:left="0" w:firstLine="0"/>
    </w:pPr>
    <w:rPr>
      <w:rFonts w:eastAsia="Times New Roman"/>
      <w:snapToGrid w:val="0"/>
      <w:kern w:val="16"/>
      <w:szCs w:val="24"/>
    </w:rPr>
  </w:style>
  <w:style w:type="paragraph" w:styleId="ListParagraph">
    <w:name w:val="List Paragraph"/>
    <w:basedOn w:val="Normal"/>
    <w:uiPriority w:val="34"/>
    <w:qFormat/>
    <w:rsid w:val="00997E7B"/>
    <w:pPr>
      <w:adjustRightInd w:val="0"/>
      <w:snapToGrid w:val="0"/>
      <w:spacing w:before="180" w:after="180"/>
      <w:ind w:left="720"/>
      <w:contextualSpacing/>
    </w:pPr>
    <w:rPr>
      <w:rFonts w:eastAsia="MS Mincho"/>
      <w:szCs w:val="20"/>
      <w:lang w:eastAsia="ja-JP"/>
    </w:rPr>
  </w:style>
  <w:style w:type="paragraph" w:styleId="NoSpacing">
    <w:name w:val="No Spacing"/>
    <w:uiPriority w:val="1"/>
    <w:qFormat/>
    <w:rsid w:val="000F3166"/>
    <w:pPr>
      <w:spacing w:after="0" w:line="240" w:lineRule="auto"/>
    </w:pPr>
  </w:style>
  <w:style w:type="character" w:customStyle="1" w:styleId="TabletextChar">
    <w:name w:val="Table text Char"/>
    <w:basedOn w:val="DefaultParagraphFont"/>
    <w:link w:val="Tabletext"/>
    <w:locked/>
    <w:rsid w:val="00E27532"/>
    <w:rPr>
      <w:rFonts w:ascii="Cambria" w:eastAsia="Cambria" w:hAnsi="Cambria" w:cs="Times New Roman"/>
      <w:sz w:val="19"/>
    </w:rPr>
  </w:style>
  <w:style w:type="paragraph" w:customStyle="1" w:styleId="Standard1">
    <w:name w:val="Standard1"/>
    <w:basedOn w:val="Normal"/>
    <w:link w:val="StandardChar"/>
    <w:qFormat/>
    <w:rsid w:val="00E27532"/>
    <w:pPr>
      <w:snapToGrid w:val="0"/>
      <w:spacing w:before="0" w:after="220" w:line="252" w:lineRule="auto"/>
    </w:pPr>
    <w:rPr>
      <w:rFonts w:eastAsia="Times New Roman"/>
      <w:kern w:val="16"/>
      <w:sz w:val="23"/>
      <w:szCs w:val="24"/>
    </w:rPr>
  </w:style>
  <w:style w:type="character" w:customStyle="1" w:styleId="StandardChar">
    <w:name w:val="Standard Char"/>
    <w:basedOn w:val="DefaultParagraphFont"/>
    <w:link w:val="Standard1"/>
    <w:locked/>
    <w:rsid w:val="00E27532"/>
    <w:rPr>
      <w:rFonts w:ascii="Cambria" w:eastAsia="Times New Roman" w:hAnsi="Cambria" w:cs="Times New Roman"/>
      <w:kern w:val="16"/>
      <w:sz w:val="23"/>
      <w:szCs w:val="24"/>
    </w:rPr>
  </w:style>
  <w:style w:type="paragraph" w:styleId="BodyText">
    <w:name w:val="Body Text"/>
    <w:basedOn w:val="Normal"/>
    <w:link w:val="BodyTextChar"/>
    <w:uiPriority w:val="99"/>
    <w:semiHidden/>
    <w:unhideWhenUsed/>
    <w:rsid w:val="00A45587"/>
  </w:style>
  <w:style w:type="character" w:customStyle="1" w:styleId="BodyTextChar">
    <w:name w:val="Body Text Char"/>
    <w:basedOn w:val="DefaultParagraphFont"/>
    <w:link w:val="BodyText"/>
    <w:uiPriority w:val="99"/>
    <w:semiHidden/>
    <w:rsid w:val="00A45587"/>
    <w:rPr>
      <w:rFonts w:ascii="Cambria" w:eastAsia="Cambria" w:hAnsi="Cambria" w:cs="Times New Roman"/>
    </w:rPr>
  </w:style>
  <w:style w:type="paragraph" w:styleId="BodyTextFirstIndent">
    <w:name w:val="Body Text First Indent"/>
    <w:basedOn w:val="BodyText"/>
    <w:link w:val="BodyTextFirstIndentChar"/>
    <w:uiPriority w:val="99"/>
    <w:semiHidden/>
    <w:unhideWhenUsed/>
    <w:rsid w:val="00A45587"/>
    <w:pPr>
      <w:ind w:firstLine="360"/>
    </w:pPr>
  </w:style>
  <w:style w:type="character" w:customStyle="1" w:styleId="BodyTextFirstIndentChar">
    <w:name w:val="Body Text First Indent Char"/>
    <w:basedOn w:val="BodyTextChar"/>
    <w:link w:val="BodyTextFirstIndent"/>
    <w:uiPriority w:val="99"/>
    <w:semiHidden/>
    <w:rsid w:val="00A45587"/>
    <w:rPr>
      <w:rFonts w:ascii="Cambria" w:eastAsia="Cambria" w:hAnsi="Cambria" w:cs="Times New Roman"/>
    </w:rPr>
  </w:style>
  <w:style w:type="character" w:styleId="Strong">
    <w:name w:val="Strong"/>
    <w:basedOn w:val="DefaultParagraphFont"/>
    <w:uiPriority w:val="22"/>
    <w:qFormat/>
    <w:rsid w:val="00806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650">
      <w:bodyDiv w:val="1"/>
      <w:marLeft w:val="0"/>
      <w:marRight w:val="0"/>
      <w:marTop w:val="0"/>
      <w:marBottom w:val="0"/>
      <w:divBdr>
        <w:top w:val="none" w:sz="0" w:space="0" w:color="auto"/>
        <w:left w:val="none" w:sz="0" w:space="0" w:color="auto"/>
        <w:bottom w:val="none" w:sz="0" w:space="0" w:color="auto"/>
        <w:right w:val="none" w:sz="0" w:space="0" w:color="auto"/>
      </w:divBdr>
    </w:div>
    <w:div w:id="115564812">
      <w:bodyDiv w:val="1"/>
      <w:marLeft w:val="0"/>
      <w:marRight w:val="0"/>
      <w:marTop w:val="0"/>
      <w:marBottom w:val="0"/>
      <w:divBdr>
        <w:top w:val="none" w:sz="0" w:space="0" w:color="auto"/>
        <w:left w:val="none" w:sz="0" w:space="0" w:color="auto"/>
        <w:bottom w:val="none" w:sz="0" w:space="0" w:color="auto"/>
        <w:right w:val="none" w:sz="0" w:space="0" w:color="auto"/>
      </w:divBdr>
      <w:divsChild>
        <w:div w:id="1803620473">
          <w:marLeft w:val="0"/>
          <w:marRight w:val="0"/>
          <w:marTop w:val="0"/>
          <w:marBottom w:val="0"/>
          <w:divBdr>
            <w:top w:val="none" w:sz="0" w:space="0" w:color="auto"/>
            <w:left w:val="none" w:sz="0" w:space="0" w:color="auto"/>
            <w:bottom w:val="none" w:sz="0" w:space="0" w:color="auto"/>
            <w:right w:val="none" w:sz="0" w:space="0" w:color="auto"/>
          </w:divBdr>
          <w:divsChild>
            <w:div w:id="678502735">
              <w:marLeft w:val="0"/>
              <w:marRight w:val="0"/>
              <w:marTop w:val="0"/>
              <w:marBottom w:val="0"/>
              <w:divBdr>
                <w:top w:val="none" w:sz="0" w:space="0" w:color="auto"/>
                <w:left w:val="none" w:sz="0" w:space="0" w:color="auto"/>
                <w:bottom w:val="none" w:sz="0" w:space="0" w:color="auto"/>
                <w:right w:val="none" w:sz="0" w:space="0" w:color="auto"/>
              </w:divBdr>
              <w:divsChild>
                <w:div w:id="642203310">
                  <w:marLeft w:val="0"/>
                  <w:marRight w:val="0"/>
                  <w:marTop w:val="0"/>
                  <w:marBottom w:val="0"/>
                  <w:divBdr>
                    <w:top w:val="none" w:sz="0" w:space="0" w:color="auto"/>
                    <w:left w:val="none" w:sz="0" w:space="0" w:color="auto"/>
                    <w:bottom w:val="none" w:sz="0" w:space="0" w:color="auto"/>
                    <w:right w:val="none" w:sz="0" w:space="0" w:color="auto"/>
                  </w:divBdr>
                  <w:divsChild>
                    <w:div w:id="429206465">
                      <w:marLeft w:val="0"/>
                      <w:marRight w:val="0"/>
                      <w:marTop w:val="0"/>
                      <w:marBottom w:val="0"/>
                      <w:divBdr>
                        <w:top w:val="none" w:sz="0" w:space="0" w:color="auto"/>
                        <w:left w:val="none" w:sz="0" w:space="0" w:color="auto"/>
                        <w:bottom w:val="none" w:sz="0" w:space="0" w:color="auto"/>
                        <w:right w:val="none" w:sz="0" w:space="0" w:color="auto"/>
                      </w:divBdr>
                      <w:divsChild>
                        <w:div w:id="3041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87922">
          <w:marLeft w:val="0"/>
          <w:marRight w:val="0"/>
          <w:marTop w:val="0"/>
          <w:marBottom w:val="0"/>
          <w:divBdr>
            <w:top w:val="none" w:sz="0" w:space="0" w:color="auto"/>
            <w:left w:val="none" w:sz="0" w:space="0" w:color="auto"/>
            <w:bottom w:val="none" w:sz="0" w:space="0" w:color="auto"/>
            <w:right w:val="none" w:sz="0" w:space="0" w:color="auto"/>
          </w:divBdr>
          <w:divsChild>
            <w:div w:id="1329599222">
              <w:marLeft w:val="0"/>
              <w:marRight w:val="0"/>
              <w:marTop w:val="0"/>
              <w:marBottom w:val="0"/>
              <w:divBdr>
                <w:top w:val="none" w:sz="0" w:space="0" w:color="auto"/>
                <w:left w:val="none" w:sz="0" w:space="0" w:color="auto"/>
                <w:bottom w:val="none" w:sz="0" w:space="0" w:color="auto"/>
                <w:right w:val="none" w:sz="0" w:space="0" w:color="auto"/>
              </w:divBdr>
              <w:divsChild>
                <w:div w:id="17108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5564">
      <w:bodyDiv w:val="1"/>
      <w:marLeft w:val="0"/>
      <w:marRight w:val="0"/>
      <w:marTop w:val="0"/>
      <w:marBottom w:val="0"/>
      <w:divBdr>
        <w:top w:val="none" w:sz="0" w:space="0" w:color="auto"/>
        <w:left w:val="none" w:sz="0" w:space="0" w:color="auto"/>
        <w:bottom w:val="none" w:sz="0" w:space="0" w:color="auto"/>
        <w:right w:val="none" w:sz="0" w:space="0" w:color="auto"/>
      </w:divBdr>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282273461">
      <w:bodyDiv w:val="1"/>
      <w:marLeft w:val="0"/>
      <w:marRight w:val="0"/>
      <w:marTop w:val="0"/>
      <w:marBottom w:val="0"/>
      <w:divBdr>
        <w:top w:val="none" w:sz="0" w:space="0" w:color="auto"/>
        <w:left w:val="none" w:sz="0" w:space="0" w:color="auto"/>
        <w:bottom w:val="none" w:sz="0" w:space="0" w:color="auto"/>
        <w:right w:val="none" w:sz="0" w:space="0" w:color="auto"/>
      </w:divBdr>
    </w:div>
    <w:div w:id="470368298">
      <w:bodyDiv w:val="1"/>
      <w:marLeft w:val="0"/>
      <w:marRight w:val="0"/>
      <w:marTop w:val="0"/>
      <w:marBottom w:val="0"/>
      <w:divBdr>
        <w:top w:val="none" w:sz="0" w:space="0" w:color="auto"/>
        <w:left w:val="none" w:sz="0" w:space="0" w:color="auto"/>
        <w:bottom w:val="none" w:sz="0" w:space="0" w:color="auto"/>
        <w:right w:val="none" w:sz="0" w:space="0" w:color="auto"/>
      </w:divBdr>
    </w:div>
    <w:div w:id="519271839">
      <w:bodyDiv w:val="1"/>
      <w:marLeft w:val="0"/>
      <w:marRight w:val="0"/>
      <w:marTop w:val="0"/>
      <w:marBottom w:val="0"/>
      <w:divBdr>
        <w:top w:val="none" w:sz="0" w:space="0" w:color="auto"/>
        <w:left w:val="none" w:sz="0" w:space="0" w:color="auto"/>
        <w:bottom w:val="none" w:sz="0" w:space="0" w:color="auto"/>
        <w:right w:val="none" w:sz="0" w:space="0" w:color="auto"/>
      </w:divBdr>
    </w:div>
    <w:div w:id="612903674">
      <w:bodyDiv w:val="1"/>
      <w:marLeft w:val="0"/>
      <w:marRight w:val="0"/>
      <w:marTop w:val="0"/>
      <w:marBottom w:val="0"/>
      <w:divBdr>
        <w:top w:val="none" w:sz="0" w:space="0" w:color="auto"/>
        <w:left w:val="none" w:sz="0" w:space="0" w:color="auto"/>
        <w:bottom w:val="none" w:sz="0" w:space="0" w:color="auto"/>
        <w:right w:val="none" w:sz="0" w:space="0" w:color="auto"/>
      </w:divBdr>
    </w:div>
    <w:div w:id="655305814">
      <w:bodyDiv w:val="1"/>
      <w:marLeft w:val="0"/>
      <w:marRight w:val="0"/>
      <w:marTop w:val="0"/>
      <w:marBottom w:val="0"/>
      <w:divBdr>
        <w:top w:val="none" w:sz="0" w:space="0" w:color="auto"/>
        <w:left w:val="none" w:sz="0" w:space="0" w:color="auto"/>
        <w:bottom w:val="none" w:sz="0" w:space="0" w:color="auto"/>
        <w:right w:val="none" w:sz="0" w:space="0" w:color="auto"/>
      </w:divBdr>
    </w:div>
    <w:div w:id="705257441">
      <w:bodyDiv w:val="1"/>
      <w:marLeft w:val="0"/>
      <w:marRight w:val="0"/>
      <w:marTop w:val="0"/>
      <w:marBottom w:val="0"/>
      <w:divBdr>
        <w:top w:val="none" w:sz="0" w:space="0" w:color="auto"/>
        <w:left w:val="none" w:sz="0" w:space="0" w:color="auto"/>
        <w:bottom w:val="none" w:sz="0" w:space="0" w:color="auto"/>
        <w:right w:val="none" w:sz="0" w:space="0" w:color="auto"/>
      </w:divBdr>
    </w:div>
    <w:div w:id="750010201">
      <w:bodyDiv w:val="1"/>
      <w:marLeft w:val="0"/>
      <w:marRight w:val="0"/>
      <w:marTop w:val="0"/>
      <w:marBottom w:val="0"/>
      <w:divBdr>
        <w:top w:val="none" w:sz="0" w:space="0" w:color="auto"/>
        <w:left w:val="none" w:sz="0" w:space="0" w:color="auto"/>
        <w:bottom w:val="none" w:sz="0" w:space="0" w:color="auto"/>
        <w:right w:val="none" w:sz="0" w:space="0" w:color="auto"/>
      </w:divBdr>
    </w:div>
    <w:div w:id="753743241">
      <w:bodyDiv w:val="1"/>
      <w:marLeft w:val="0"/>
      <w:marRight w:val="0"/>
      <w:marTop w:val="0"/>
      <w:marBottom w:val="0"/>
      <w:divBdr>
        <w:top w:val="none" w:sz="0" w:space="0" w:color="auto"/>
        <w:left w:val="none" w:sz="0" w:space="0" w:color="auto"/>
        <w:bottom w:val="none" w:sz="0" w:space="0" w:color="auto"/>
        <w:right w:val="none" w:sz="0" w:space="0" w:color="auto"/>
      </w:divBdr>
    </w:div>
    <w:div w:id="788351467">
      <w:bodyDiv w:val="1"/>
      <w:marLeft w:val="0"/>
      <w:marRight w:val="0"/>
      <w:marTop w:val="0"/>
      <w:marBottom w:val="0"/>
      <w:divBdr>
        <w:top w:val="none" w:sz="0" w:space="0" w:color="auto"/>
        <w:left w:val="none" w:sz="0" w:space="0" w:color="auto"/>
        <w:bottom w:val="none" w:sz="0" w:space="0" w:color="auto"/>
        <w:right w:val="none" w:sz="0" w:space="0" w:color="auto"/>
      </w:divBdr>
    </w:div>
    <w:div w:id="804078170">
      <w:bodyDiv w:val="1"/>
      <w:marLeft w:val="0"/>
      <w:marRight w:val="0"/>
      <w:marTop w:val="0"/>
      <w:marBottom w:val="0"/>
      <w:divBdr>
        <w:top w:val="none" w:sz="0" w:space="0" w:color="auto"/>
        <w:left w:val="none" w:sz="0" w:space="0" w:color="auto"/>
        <w:bottom w:val="none" w:sz="0" w:space="0" w:color="auto"/>
        <w:right w:val="none" w:sz="0" w:space="0" w:color="auto"/>
      </w:divBdr>
    </w:div>
    <w:div w:id="962923628">
      <w:bodyDiv w:val="1"/>
      <w:marLeft w:val="0"/>
      <w:marRight w:val="0"/>
      <w:marTop w:val="0"/>
      <w:marBottom w:val="0"/>
      <w:divBdr>
        <w:top w:val="none" w:sz="0" w:space="0" w:color="auto"/>
        <w:left w:val="none" w:sz="0" w:space="0" w:color="auto"/>
        <w:bottom w:val="none" w:sz="0" w:space="0" w:color="auto"/>
        <w:right w:val="none" w:sz="0" w:space="0" w:color="auto"/>
      </w:divBdr>
    </w:div>
    <w:div w:id="969290360">
      <w:bodyDiv w:val="1"/>
      <w:marLeft w:val="0"/>
      <w:marRight w:val="0"/>
      <w:marTop w:val="0"/>
      <w:marBottom w:val="0"/>
      <w:divBdr>
        <w:top w:val="none" w:sz="0" w:space="0" w:color="auto"/>
        <w:left w:val="none" w:sz="0" w:space="0" w:color="auto"/>
        <w:bottom w:val="none" w:sz="0" w:space="0" w:color="auto"/>
        <w:right w:val="none" w:sz="0" w:space="0" w:color="auto"/>
      </w:divBdr>
    </w:div>
    <w:div w:id="988293068">
      <w:bodyDiv w:val="1"/>
      <w:marLeft w:val="0"/>
      <w:marRight w:val="0"/>
      <w:marTop w:val="0"/>
      <w:marBottom w:val="0"/>
      <w:divBdr>
        <w:top w:val="none" w:sz="0" w:space="0" w:color="auto"/>
        <w:left w:val="none" w:sz="0" w:space="0" w:color="auto"/>
        <w:bottom w:val="none" w:sz="0" w:space="0" w:color="auto"/>
        <w:right w:val="none" w:sz="0" w:space="0" w:color="auto"/>
      </w:divBdr>
    </w:div>
    <w:div w:id="1082220449">
      <w:bodyDiv w:val="1"/>
      <w:marLeft w:val="0"/>
      <w:marRight w:val="0"/>
      <w:marTop w:val="0"/>
      <w:marBottom w:val="0"/>
      <w:divBdr>
        <w:top w:val="none" w:sz="0" w:space="0" w:color="auto"/>
        <w:left w:val="none" w:sz="0" w:space="0" w:color="auto"/>
        <w:bottom w:val="none" w:sz="0" w:space="0" w:color="auto"/>
        <w:right w:val="none" w:sz="0" w:space="0" w:color="auto"/>
      </w:divBdr>
    </w:div>
    <w:div w:id="1142455643">
      <w:bodyDiv w:val="1"/>
      <w:marLeft w:val="0"/>
      <w:marRight w:val="0"/>
      <w:marTop w:val="0"/>
      <w:marBottom w:val="0"/>
      <w:divBdr>
        <w:top w:val="none" w:sz="0" w:space="0" w:color="auto"/>
        <w:left w:val="none" w:sz="0" w:space="0" w:color="auto"/>
        <w:bottom w:val="none" w:sz="0" w:space="0" w:color="auto"/>
        <w:right w:val="none" w:sz="0" w:space="0" w:color="auto"/>
      </w:divBdr>
    </w:div>
    <w:div w:id="1156647357">
      <w:bodyDiv w:val="1"/>
      <w:marLeft w:val="0"/>
      <w:marRight w:val="0"/>
      <w:marTop w:val="0"/>
      <w:marBottom w:val="0"/>
      <w:divBdr>
        <w:top w:val="none" w:sz="0" w:space="0" w:color="auto"/>
        <w:left w:val="none" w:sz="0" w:space="0" w:color="auto"/>
        <w:bottom w:val="none" w:sz="0" w:space="0" w:color="auto"/>
        <w:right w:val="none" w:sz="0" w:space="0" w:color="auto"/>
      </w:divBdr>
    </w:div>
    <w:div w:id="1177236712">
      <w:bodyDiv w:val="1"/>
      <w:marLeft w:val="0"/>
      <w:marRight w:val="0"/>
      <w:marTop w:val="0"/>
      <w:marBottom w:val="0"/>
      <w:divBdr>
        <w:top w:val="none" w:sz="0" w:space="0" w:color="auto"/>
        <w:left w:val="none" w:sz="0" w:space="0" w:color="auto"/>
        <w:bottom w:val="none" w:sz="0" w:space="0" w:color="auto"/>
        <w:right w:val="none" w:sz="0" w:space="0" w:color="auto"/>
      </w:divBdr>
    </w:div>
    <w:div w:id="1303148551">
      <w:bodyDiv w:val="1"/>
      <w:marLeft w:val="0"/>
      <w:marRight w:val="0"/>
      <w:marTop w:val="0"/>
      <w:marBottom w:val="0"/>
      <w:divBdr>
        <w:top w:val="none" w:sz="0" w:space="0" w:color="auto"/>
        <w:left w:val="none" w:sz="0" w:space="0" w:color="auto"/>
        <w:bottom w:val="none" w:sz="0" w:space="0" w:color="auto"/>
        <w:right w:val="none" w:sz="0" w:space="0" w:color="auto"/>
      </w:divBdr>
    </w:div>
    <w:div w:id="1552234284">
      <w:bodyDiv w:val="1"/>
      <w:marLeft w:val="0"/>
      <w:marRight w:val="0"/>
      <w:marTop w:val="0"/>
      <w:marBottom w:val="0"/>
      <w:divBdr>
        <w:top w:val="none" w:sz="0" w:space="0" w:color="auto"/>
        <w:left w:val="none" w:sz="0" w:space="0" w:color="auto"/>
        <w:bottom w:val="none" w:sz="0" w:space="0" w:color="auto"/>
        <w:right w:val="none" w:sz="0" w:space="0" w:color="auto"/>
      </w:divBdr>
    </w:div>
    <w:div w:id="1566187380">
      <w:bodyDiv w:val="1"/>
      <w:marLeft w:val="0"/>
      <w:marRight w:val="0"/>
      <w:marTop w:val="0"/>
      <w:marBottom w:val="0"/>
      <w:divBdr>
        <w:top w:val="none" w:sz="0" w:space="0" w:color="auto"/>
        <w:left w:val="none" w:sz="0" w:space="0" w:color="auto"/>
        <w:bottom w:val="none" w:sz="0" w:space="0" w:color="auto"/>
        <w:right w:val="none" w:sz="0" w:space="0" w:color="auto"/>
      </w:divBdr>
      <w:divsChild>
        <w:div w:id="1297221757">
          <w:marLeft w:val="-15"/>
          <w:marRight w:val="-15"/>
          <w:marTop w:val="0"/>
          <w:marBottom w:val="0"/>
          <w:divBdr>
            <w:top w:val="none" w:sz="0" w:space="0" w:color="auto"/>
            <w:left w:val="none" w:sz="0" w:space="0" w:color="auto"/>
            <w:bottom w:val="none" w:sz="0" w:space="0" w:color="auto"/>
            <w:right w:val="none" w:sz="0" w:space="0" w:color="auto"/>
          </w:divBdr>
        </w:div>
        <w:div w:id="1926765402">
          <w:marLeft w:val="0"/>
          <w:marRight w:val="0"/>
          <w:marTop w:val="0"/>
          <w:marBottom w:val="0"/>
          <w:divBdr>
            <w:top w:val="none" w:sz="0" w:space="0" w:color="auto"/>
            <w:left w:val="none" w:sz="0" w:space="0" w:color="auto"/>
            <w:bottom w:val="none" w:sz="0" w:space="0" w:color="auto"/>
            <w:right w:val="none" w:sz="0" w:space="0" w:color="auto"/>
          </w:divBdr>
          <w:divsChild>
            <w:div w:id="1168670435">
              <w:marLeft w:val="0"/>
              <w:marRight w:val="0"/>
              <w:marTop w:val="0"/>
              <w:marBottom w:val="0"/>
              <w:divBdr>
                <w:top w:val="none" w:sz="0" w:space="0" w:color="auto"/>
                <w:left w:val="none" w:sz="0" w:space="0" w:color="auto"/>
                <w:bottom w:val="none" w:sz="0" w:space="0" w:color="auto"/>
                <w:right w:val="none" w:sz="0" w:space="0" w:color="auto"/>
              </w:divBdr>
            </w:div>
          </w:divsChild>
        </w:div>
        <w:div w:id="2130199510">
          <w:marLeft w:val="0"/>
          <w:marRight w:val="0"/>
          <w:marTop w:val="0"/>
          <w:marBottom w:val="0"/>
          <w:divBdr>
            <w:top w:val="none" w:sz="0" w:space="0" w:color="auto"/>
            <w:left w:val="none" w:sz="0" w:space="0" w:color="auto"/>
            <w:bottom w:val="none" w:sz="0" w:space="0" w:color="auto"/>
            <w:right w:val="none" w:sz="0" w:space="0" w:color="auto"/>
          </w:divBdr>
          <w:divsChild>
            <w:div w:id="995188239">
              <w:marLeft w:val="0"/>
              <w:marRight w:val="0"/>
              <w:marTop w:val="0"/>
              <w:marBottom w:val="0"/>
              <w:divBdr>
                <w:top w:val="none" w:sz="0" w:space="0" w:color="auto"/>
                <w:left w:val="none" w:sz="0" w:space="0" w:color="auto"/>
                <w:bottom w:val="none" w:sz="0" w:space="0" w:color="auto"/>
                <w:right w:val="none" w:sz="0" w:space="0" w:color="auto"/>
              </w:divBdr>
              <w:divsChild>
                <w:div w:id="1815246701">
                  <w:marLeft w:val="0"/>
                  <w:marRight w:val="0"/>
                  <w:marTop w:val="0"/>
                  <w:marBottom w:val="0"/>
                  <w:divBdr>
                    <w:top w:val="none" w:sz="0" w:space="0" w:color="auto"/>
                    <w:left w:val="none" w:sz="0" w:space="0" w:color="auto"/>
                    <w:bottom w:val="none" w:sz="0" w:space="0" w:color="auto"/>
                    <w:right w:val="none" w:sz="0" w:space="0" w:color="auto"/>
                  </w:divBdr>
                  <w:divsChild>
                    <w:div w:id="18906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953">
      <w:bodyDiv w:val="1"/>
      <w:marLeft w:val="0"/>
      <w:marRight w:val="0"/>
      <w:marTop w:val="0"/>
      <w:marBottom w:val="0"/>
      <w:divBdr>
        <w:top w:val="none" w:sz="0" w:space="0" w:color="auto"/>
        <w:left w:val="none" w:sz="0" w:space="0" w:color="auto"/>
        <w:bottom w:val="none" w:sz="0" w:space="0" w:color="auto"/>
        <w:right w:val="none" w:sz="0" w:space="0" w:color="auto"/>
      </w:divBdr>
    </w:div>
    <w:div w:id="1752461005">
      <w:bodyDiv w:val="1"/>
      <w:marLeft w:val="0"/>
      <w:marRight w:val="0"/>
      <w:marTop w:val="0"/>
      <w:marBottom w:val="0"/>
      <w:divBdr>
        <w:top w:val="none" w:sz="0" w:space="0" w:color="auto"/>
        <w:left w:val="none" w:sz="0" w:space="0" w:color="auto"/>
        <w:bottom w:val="none" w:sz="0" w:space="0" w:color="auto"/>
        <w:right w:val="none" w:sz="0" w:space="0" w:color="auto"/>
      </w:divBdr>
    </w:div>
    <w:div w:id="1764567863">
      <w:bodyDiv w:val="1"/>
      <w:marLeft w:val="0"/>
      <w:marRight w:val="0"/>
      <w:marTop w:val="0"/>
      <w:marBottom w:val="0"/>
      <w:divBdr>
        <w:top w:val="none" w:sz="0" w:space="0" w:color="auto"/>
        <w:left w:val="none" w:sz="0" w:space="0" w:color="auto"/>
        <w:bottom w:val="none" w:sz="0" w:space="0" w:color="auto"/>
        <w:right w:val="none" w:sz="0" w:space="0" w:color="auto"/>
      </w:divBdr>
    </w:div>
    <w:div w:id="1827866147">
      <w:bodyDiv w:val="1"/>
      <w:marLeft w:val="0"/>
      <w:marRight w:val="0"/>
      <w:marTop w:val="0"/>
      <w:marBottom w:val="0"/>
      <w:divBdr>
        <w:top w:val="none" w:sz="0" w:space="0" w:color="auto"/>
        <w:left w:val="none" w:sz="0" w:space="0" w:color="auto"/>
        <w:bottom w:val="none" w:sz="0" w:space="0" w:color="auto"/>
        <w:right w:val="none" w:sz="0" w:space="0" w:color="auto"/>
      </w:divBdr>
    </w:div>
    <w:div w:id="1867019287">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1963228073">
      <w:bodyDiv w:val="1"/>
      <w:marLeft w:val="0"/>
      <w:marRight w:val="0"/>
      <w:marTop w:val="0"/>
      <w:marBottom w:val="0"/>
      <w:divBdr>
        <w:top w:val="none" w:sz="0" w:space="0" w:color="auto"/>
        <w:left w:val="none" w:sz="0" w:space="0" w:color="auto"/>
        <w:bottom w:val="none" w:sz="0" w:space="0" w:color="auto"/>
        <w:right w:val="none" w:sz="0" w:space="0" w:color="auto"/>
      </w:divBdr>
    </w:div>
    <w:div w:id="1995910983">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 w:id="209801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ga.copyright@tga.gov.au" TargetMode="External"/><Relationship Id="rId18" Type="http://schemas.openxmlformats.org/officeDocument/2006/relationships/hyperlink" Target="https://www.tga.gov.au/project-orbis"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ga.gov.au/provisional-approval-pathway-prescription-medicines"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tga.gov.au/australian-public-assessment-report-auspar-guidance" TargetMode="External"/><Relationship Id="rId17" Type="http://schemas.openxmlformats.org/officeDocument/2006/relationships/hyperlink" Target="https://www.tga.gov.au/black-triangle-scheme" TargetMode="External"/><Relationship Id="rId25" Type="http://schemas.openxmlformats.org/officeDocument/2006/relationships/hyperlink" Target="https://www.tga.gov.au/committee/advisory-committee-medicines-acm"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tga.gov.au/picmi-search-facili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yperlink" Target="https://www.tga.gov.au/tgas-risk-management-approach" TargetMode="External"/><Relationship Id="rId32" Type="http://schemas.openxmlformats.org/officeDocument/2006/relationships/hyperlink" Target="https://www.tga.gov.au"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ga.gov.au/publication/risk-management-plans-medicines-and-biologicals" TargetMode="External"/><Relationship Id="rId28" Type="http://schemas.openxmlformats.org/officeDocument/2006/relationships/header" Target="header5.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tga.gov.au/publication/orphan-drug-designation" TargetMode="External"/><Relationship Id="rId31"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hyperlink" Target="https://www.tga.gov.au/picmi-search-facility"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ncci.canceraustralia.gov.au/outcomes/relative-survival-rate/5-year-relative-survival" TargetMode="External"/><Relationship Id="rId2" Type="http://schemas.openxmlformats.org/officeDocument/2006/relationships/hyperlink" Target="https://www.aihw.gov.au/reports/cancer/cancer-in-australia-2021" TargetMode="External"/><Relationship Id="rId1" Type="http://schemas.openxmlformats.org/officeDocument/2006/relationships/hyperlink" Target="https://www.canceraustralia.gov.au/cancer-types/lung-cancer/statist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5016\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C8B14A384F94D8DF6934A2740F322" ma:contentTypeVersion="10" ma:contentTypeDescription="Create a new document." ma:contentTypeScope="" ma:versionID="0029a6d748816030f35cc25fa967a30d">
  <xsd:schema xmlns:xsd="http://www.w3.org/2001/XMLSchema" xmlns:xs="http://www.w3.org/2001/XMLSchema" xmlns:p="http://schemas.microsoft.com/office/2006/metadata/properties" xmlns:ns2="a71da03f-87ed-46c7-9cbf-317e5dcbe346" xmlns:ns3="dfb993cf-ba35-4c9a-bf74-e6a6ffc8659a" targetNamespace="http://schemas.microsoft.com/office/2006/metadata/properties" ma:root="true" ma:fieldsID="3548ef306369261293957892b3edab72" ns2:_="" ns3:_="">
    <xsd:import namespace="a71da03f-87ed-46c7-9cbf-317e5dcbe346"/>
    <xsd:import namespace="dfb993cf-ba35-4c9a-bf74-e6a6ffc865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da03f-87ed-46c7-9cbf-317e5dcbe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993cf-ba35-4c9a-bf74-e6a6ffc865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b993cf-ba35-4c9a-bf74-e6a6ffc8659a">
      <UserInfo>
        <DisplayName>Dominique Perrin</DisplayName>
        <AccountId>1183</AccountId>
        <AccountType/>
      </UserInfo>
      <UserInfo>
        <DisplayName>Claudia Meli</DisplayName>
        <AccountId>223</AccountId>
        <AccountType/>
      </UserInfo>
      <UserInfo>
        <DisplayName>Christian Wrehlke</DisplayName>
        <AccountId>40</AccountId>
        <AccountType/>
      </UserInfo>
      <UserInfo>
        <DisplayName>Karin Berghoff</DisplayName>
        <AccountId>152</AccountId>
        <AccountType/>
      </UserInfo>
      <UserInfo>
        <DisplayName>Alexander Wittmann</DisplayName>
        <AccountId>2656</AccountId>
        <AccountType/>
      </UserInfo>
      <UserInfo>
        <DisplayName>Andreas Johne</DisplayName>
        <AccountId>1219</AccountId>
        <AccountType/>
      </UserInfo>
      <UserInfo>
        <DisplayName>Shelfi Liana</DisplayName>
        <AccountId>864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5DCFA-4BFF-462B-A7E7-8AB669CFB596}">
  <ds:schemaRefs>
    <ds:schemaRef ds:uri="http://schemas.microsoft.com/sharepoint/v3/contenttype/forms"/>
  </ds:schemaRefs>
</ds:datastoreItem>
</file>

<file path=customXml/itemProps2.xml><?xml version="1.0" encoding="utf-8"?>
<ds:datastoreItem xmlns:ds="http://schemas.openxmlformats.org/officeDocument/2006/customXml" ds:itemID="{0C6B69DA-3029-4740-8114-8D4CCB4E9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da03f-87ed-46c7-9cbf-317e5dcbe346"/>
    <ds:schemaRef ds:uri="dfb993cf-ba35-4c9a-bf74-e6a6ffc8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7EBB3-1736-4E24-AEF0-2A6F0DF8FC28}">
  <ds:schemaRefs>
    <ds:schemaRef ds:uri="http://schemas.microsoft.com/office/2006/metadata/properties"/>
    <ds:schemaRef ds:uri="http://schemas.microsoft.com/office/infopath/2007/PartnerControls"/>
    <ds:schemaRef ds:uri="dfb993cf-ba35-4c9a-bf74-e6a6ffc8659a"/>
  </ds:schemaRefs>
</ds:datastoreItem>
</file>

<file path=customXml/itemProps4.xml><?xml version="1.0" encoding="utf-8"?>
<ds:datastoreItem xmlns:ds="http://schemas.openxmlformats.org/officeDocument/2006/customXml" ds:itemID="{6C30D169-9DBF-496C-83E8-37013F8E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D22-5542303  AusPAR template.DOTX</Template>
  <TotalTime>1</TotalTime>
  <Pages>29</Pages>
  <Words>8866</Words>
  <Characters>57038</Characters>
  <Application>Microsoft Office Word</Application>
  <DocSecurity>0</DocSecurity>
  <Lines>1326</Lines>
  <Paragraphs>708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Australian public assessment report for</vt:lpstr>
      <vt:lpstr>Australian public assessment report for</vt:lpstr>
    </vt:vector>
  </TitlesOfParts>
  <Company>Department of Health Therapeutic Goods Administration</Company>
  <LinksUpToDate>false</LinksUpToDate>
  <CharactersWithSpaces>65196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Tepmetko</dc:title>
  <dc:subject>prescription medicines</dc:subject>
  <dc:creator>Therapeutic Goods Administration</dc:creator>
  <cp:keywords/>
  <cp:lastModifiedBy>LACK, Janet</cp:lastModifiedBy>
  <cp:revision>2</cp:revision>
  <cp:lastPrinted>2019-08-14T04:30:00Z</cp:lastPrinted>
  <dcterms:created xsi:type="dcterms:W3CDTF">2022-08-23T02:24:00Z</dcterms:created>
  <dcterms:modified xsi:type="dcterms:W3CDTF">2022-08-23T02:24:00Z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0x0101002D1C8B14A384F94D8DF6934A2740F322</vt:lpwstr>
  </property>
</Properties>
</file>