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F4BDD46" w14:textId="77777777" w:rsidTr="00BF1190">
        <w:trPr>
          <w:trHeight w:val="1863"/>
        </w:trPr>
        <w:tc>
          <w:tcPr>
            <w:tcW w:w="3652" w:type="dxa"/>
            <w:tcBorders>
              <w:top w:val="nil"/>
              <w:left w:val="nil"/>
              <w:bottom w:val="nil"/>
              <w:right w:val="nil"/>
            </w:tcBorders>
          </w:tcPr>
          <w:p w14:paraId="6A16FF45" w14:textId="7919435D" w:rsidR="008E7846" w:rsidRPr="00096AA7" w:rsidRDefault="000D3C85" w:rsidP="00F931CE">
            <w:pPr>
              <w:pStyle w:val="Date"/>
              <w:framePr w:hSpace="0" w:wrap="auto" w:vAnchor="margin" w:hAnchor="text" w:yAlign="inline"/>
              <w:suppressOverlap w:val="0"/>
            </w:pPr>
            <w:r>
              <w:t>September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E49EA5D" w14:textId="77777777" w:rsidTr="0032583B">
        <w:trPr>
          <w:trHeight w:val="868"/>
        </w:trPr>
        <w:tc>
          <w:tcPr>
            <w:tcW w:w="9079" w:type="dxa"/>
          </w:tcPr>
          <w:p w14:paraId="6C748CC9" w14:textId="08CD957E" w:rsidR="0032583B" w:rsidRPr="00A964D1" w:rsidRDefault="0032583B" w:rsidP="00F931CE">
            <w:pPr>
              <w:pStyle w:val="Title"/>
              <w:framePr w:hSpace="0" w:wrap="auto" w:vAnchor="margin" w:yAlign="inline"/>
            </w:pPr>
            <w:r w:rsidRPr="00A964D1">
              <w:t>Australian Public Assessment Report for</w:t>
            </w:r>
            <w:r w:rsidR="00AF2313">
              <w:t xml:space="preserve"> </w:t>
            </w:r>
            <w:r w:rsidR="000D3C85">
              <w:t>Comirnaty COVID-19 Vaccine</w:t>
            </w:r>
          </w:p>
        </w:tc>
      </w:tr>
      <w:tr w:rsidR="0032583B" w:rsidRPr="00B64760" w14:paraId="0D0D8FF9" w14:textId="77777777" w:rsidTr="0032583B">
        <w:tc>
          <w:tcPr>
            <w:tcW w:w="9079" w:type="dxa"/>
          </w:tcPr>
          <w:p w14:paraId="04B0C8A2" w14:textId="646D1DDE" w:rsidR="0032583B" w:rsidRPr="008E7846" w:rsidRDefault="00BB75D6" w:rsidP="000D3C85">
            <w:pPr>
              <w:pStyle w:val="Subtitle"/>
              <w:framePr w:hSpace="0" w:wrap="auto" w:vAnchor="margin" w:yAlign="inline"/>
            </w:pPr>
            <w:r>
              <w:t>Active ingredients</w:t>
            </w:r>
            <w:r w:rsidR="0032583B" w:rsidRPr="008E7846">
              <w:t xml:space="preserve">: </w:t>
            </w:r>
            <w:r w:rsidR="000D3C85">
              <w:t>tozinameran</w:t>
            </w:r>
          </w:p>
        </w:tc>
      </w:tr>
      <w:tr w:rsidR="0032583B" w:rsidRPr="00B64760" w14:paraId="5DA9AD9D" w14:textId="77777777" w:rsidTr="0032583B">
        <w:trPr>
          <w:trHeight w:val="486"/>
        </w:trPr>
        <w:tc>
          <w:tcPr>
            <w:tcW w:w="9079" w:type="dxa"/>
          </w:tcPr>
          <w:p w14:paraId="5C5901DF" w14:textId="11C42DBD" w:rsidR="0032583B" w:rsidRPr="008E7846" w:rsidRDefault="000D3C85" w:rsidP="009556D7">
            <w:pPr>
              <w:pStyle w:val="Subtitle"/>
              <w:framePr w:hSpace="0" w:wrap="auto" w:vAnchor="margin" w:yAlign="inline"/>
            </w:pPr>
            <w:r>
              <w:t>Sponsor: Pfizer Australia Pty Ltd</w:t>
            </w:r>
          </w:p>
        </w:tc>
      </w:tr>
    </w:tbl>
    <w:p w14:paraId="415783DF" w14:textId="77777777" w:rsidR="008E7846" w:rsidRPr="001F6CBA" w:rsidRDefault="008E7846" w:rsidP="00813A16">
      <w:pPr>
        <w:pStyle w:val="NonTOCHeading2"/>
        <w:pageBreakBefore/>
      </w:pPr>
      <w:r w:rsidRPr="001F6CBA">
        <w:lastRenderedPageBreak/>
        <w:t>About the Therapeutic Goods Administration (TGA)</w:t>
      </w:r>
    </w:p>
    <w:p w14:paraId="556AE4B1"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00D43C9C"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6925EC22"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6EE0CEC8"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4169D2AE" w14:textId="51C3B804"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13C43927" w14:textId="77777777" w:rsidR="008E7846" w:rsidRDefault="008E7846" w:rsidP="00875A6B">
      <w:pPr>
        <w:pStyle w:val="NonTOCHeading2"/>
      </w:pPr>
      <w:r>
        <w:t xml:space="preserve">About </w:t>
      </w:r>
      <w:proofErr w:type="spellStart"/>
      <w:r>
        <w:t>AusPARs</w:t>
      </w:r>
      <w:proofErr w:type="spellEnd"/>
    </w:p>
    <w:p w14:paraId="69D13BC5" w14:textId="5C77424D"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(AusPAR) guidance</w:t>
        </w:r>
      </w:hyperlink>
      <w:r>
        <w:t>.</w:t>
      </w:r>
    </w:p>
    <w:p w14:paraId="1AEEF406"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5C143C88"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0F6309A5"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6575C96B" w14:textId="77777777" w:rsidR="00924482" w:rsidRPr="00DF1D7F" w:rsidRDefault="00924482" w:rsidP="00F54B65">
      <w:pPr>
        <w:pStyle w:val="LegalSubheading"/>
        <w:spacing w:before="3120"/>
      </w:pPr>
      <w:r w:rsidRPr="00DF1D7F">
        <w:t>Copyright</w:t>
      </w:r>
    </w:p>
    <w:p w14:paraId="72BCFCD6" w14:textId="66375D6F"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73C9E51"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B927DF0" w14:textId="77777777" w:rsidR="0089635C" w:rsidRPr="0089635C" w:rsidRDefault="0089635C" w:rsidP="0010788A">
          <w:pPr>
            <w:pStyle w:val="Contents"/>
          </w:pPr>
          <w:r w:rsidRPr="0010788A">
            <w:t>Contents</w:t>
          </w:r>
        </w:p>
        <w:p w14:paraId="0493A089" w14:textId="565129E3" w:rsidR="002B094E"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15349594" w:history="1">
            <w:r w:rsidR="002B094E" w:rsidRPr="00BE59C4">
              <w:rPr>
                <w:rStyle w:val="Hyperlink"/>
                <w:noProof/>
              </w:rPr>
              <w:t>List of abbreviations</w:t>
            </w:r>
            <w:r w:rsidR="002B094E">
              <w:rPr>
                <w:noProof/>
                <w:webHidden/>
              </w:rPr>
              <w:tab/>
            </w:r>
            <w:r w:rsidR="002B094E">
              <w:rPr>
                <w:noProof/>
                <w:webHidden/>
              </w:rPr>
              <w:fldChar w:fldCharType="begin"/>
            </w:r>
            <w:r w:rsidR="002B094E">
              <w:rPr>
                <w:noProof/>
                <w:webHidden/>
              </w:rPr>
              <w:instrText xml:space="preserve"> PAGEREF _Toc115349594 \h </w:instrText>
            </w:r>
            <w:r w:rsidR="002B094E">
              <w:rPr>
                <w:noProof/>
                <w:webHidden/>
              </w:rPr>
            </w:r>
            <w:r w:rsidR="002B094E">
              <w:rPr>
                <w:noProof/>
                <w:webHidden/>
              </w:rPr>
              <w:fldChar w:fldCharType="separate"/>
            </w:r>
            <w:r w:rsidR="00BC0ACB">
              <w:rPr>
                <w:noProof/>
                <w:webHidden/>
              </w:rPr>
              <w:t>4</w:t>
            </w:r>
            <w:r w:rsidR="002B094E">
              <w:rPr>
                <w:noProof/>
                <w:webHidden/>
              </w:rPr>
              <w:fldChar w:fldCharType="end"/>
            </w:r>
          </w:hyperlink>
        </w:p>
        <w:p w14:paraId="2E82504F" w14:textId="62ADF411" w:rsidR="002B094E" w:rsidRDefault="00BC0ACB">
          <w:pPr>
            <w:pStyle w:val="TOC1"/>
            <w:rPr>
              <w:rFonts w:asciiTheme="minorHAnsi" w:eastAsiaTheme="minorEastAsia" w:hAnsiTheme="minorHAnsi" w:cstheme="minorBidi"/>
              <w:b w:val="0"/>
              <w:noProof/>
              <w:sz w:val="22"/>
              <w:lang w:eastAsia="en-AU"/>
            </w:rPr>
          </w:pPr>
          <w:hyperlink w:anchor="_Toc115349595" w:history="1">
            <w:r w:rsidR="002B094E" w:rsidRPr="00BE59C4">
              <w:rPr>
                <w:rStyle w:val="Hyperlink"/>
                <w:noProof/>
              </w:rPr>
              <w:t>Product submission</w:t>
            </w:r>
            <w:r w:rsidR="002B094E">
              <w:rPr>
                <w:noProof/>
                <w:webHidden/>
              </w:rPr>
              <w:tab/>
            </w:r>
            <w:r w:rsidR="002B094E">
              <w:rPr>
                <w:noProof/>
                <w:webHidden/>
              </w:rPr>
              <w:fldChar w:fldCharType="begin"/>
            </w:r>
            <w:r w:rsidR="002B094E">
              <w:rPr>
                <w:noProof/>
                <w:webHidden/>
              </w:rPr>
              <w:instrText xml:space="preserve"> PAGEREF _Toc115349595 \h </w:instrText>
            </w:r>
            <w:r w:rsidR="002B094E">
              <w:rPr>
                <w:noProof/>
                <w:webHidden/>
              </w:rPr>
            </w:r>
            <w:r w:rsidR="002B094E">
              <w:rPr>
                <w:noProof/>
                <w:webHidden/>
              </w:rPr>
              <w:fldChar w:fldCharType="separate"/>
            </w:r>
            <w:r>
              <w:rPr>
                <w:noProof/>
                <w:webHidden/>
              </w:rPr>
              <w:t>6</w:t>
            </w:r>
            <w:r w:rsidR="002B094E">
              <w:rPr>
                <w:noProof/>
                <w:webHidden/>
              </w:rPr>
              <w:fldChar w:fldCharType="end"/>
            </w:r>
          </w:hyperlink>
        </w:p>
        <w:p w14:paraId="584FA470" w14:textId="16254215" w:rsidR="002B094E" w:rsidRDefault="00BC0ACB">
          <w:pPr>
            <w:pStyle w:val="TOC2"/>
            <w:rPr>
              <w:rFonts w:asciiTheme="minorHAnsi" w:eastAsiaTheme="minorEastAsia" w:hAnsiTheme="minorHAnsi" w:cstheme="minorBidi"/>
              <w:b w:val="0"/>
              <w:noProof/>
              <w:sz w:val="22"/>
              <w:lang w:eastAsia="en-AU"/>
            </w:rPr>
          </w:pPr>
          <w:hyperlink w:anchor="_Toc115349596" w:history="1">
            <w:r w:rsidR="002B094E" w:rsidRPr="00BE59C4">
              <w:rPr>
                <w:rStyle w:val="Hyperlink"/>
                <w:noProof/>
                <w:lang w:eastAsia="en-AU"/>
              </w:rPr>
              <w:t>Submission details</w:t>
            </w:r>
            <w:r w:rsidR="002B094E">
              <w:rPr>
                <w:noProof/>
                <w:webHidden/>
              </w:rPr>
              <w:tab/>
            </w:r>
            <w:r w:rsidR="002B094E">
              <w:rPr>
                <w:noProof/>
                <w:webHidden/>
              </w:rPr>
              <w:fldChar w:fldCharType="begin"/>
            </w:r>
            <w:r w:rsidR="002B094E">
              <w:rPr>
                <w:noProof/>
                <w:webHidden/>
              </w:rPr>
              <w:instrText xml:space="preserve"> PAGEREF _Toc115349596 \h </w:instrText>
            </w:r>
            <w:r w:rsidR="002B094E">
              <w:rPr>
                <w:noProof/>
                <w:webHidden/>
              </w:rPr>
            </w:r>
            <w:r w:rsidR="002B094E">
              <w:rPr>
                <w:noProof/>
                <w:webHidden/>
              </w:rPr>
              <w:fldChar w:fldCharType="separate"/>
            </w:r>
            <w:r>
              <w:rPr>
                <w:noProof/>
                <w:webHidden/>
              </w:rPr>
              <w:t>6</w:t>
            </w:r>
            <w:r w:rsidR="002B094E">
              <w:rPr>
                <w:noProof/>
                <w:webHidden/>
              </w:rPr>
              <w:fldChar w:fldCharType="end"/>
            </w:r>
          </w:hyperlink>
        </w:p>
        <w:p w14:paraId="0264504E" w14:textId="7FDE9356" w:rsidR="002B094E" w:rsidRDefault="00BC0ACB">
          <w:pPr>
            <w:pStyle w:val="TOC2"/>
            <w:rPr>
              <w:rFonts w:asciiTheme="minorHAnsi" w:eastAsiaTheme="minorEastAsia" w:hAnsiTheme="minorHAnsi" w:cstheme="minorBidi"/>
              <w:b w:val="0"/>
              <w:noProof/>
              <w:sz w:val="22"/>
              <w:lang w:eastAsia="en-AU"/>
            </w:rPr>
          </w:pPr>
          <w:hyperlink w:anchor="_Toc115349597" w:history="1">
            <w:r w:rsidR="002B094E" w:rsidRPr="00BE59C4">
              <w:rPr>
                <w:rStyle w:val="Hyperlink"/>
                <w:noProof/>
              </w:rPr>
              <w:t>Product background</w:t>
            </w:r>
            <w:r w:rsidR="002B094E">
              <w:rPr>
                <w:noProof/>
                <w:webHidden/>
              </w:rPr>
              <w:tab/>
            </w:r>
            <w:r w:rsidR="002B094E">
              <w:rPr>
                <w:noProof/>
                <w:webHidden/>
              </w:rPr>
              <w:fldChar w:fldCharType="begin"/>
            </w:r>
            <w:r w:rsidR="002B094E">
              <w:rPr>
                <w:noProof/>
                <w:webHidden/>
              </w:rPr>
              <w:instrText xml:space="preserve"> PAGEREF _Toc115349597 \h </w:instrText>
            </w:r>
            <w:r w:rsidR="002B094E">
              <w:rPr>
                <w:noProof/>
                <w:webHidden/>
              </w:rPr>
            </w:r>
            <w:r w:rsidR="002B094E">
              <w:rPr>
                <w:noProof/>
                <w:webHidden/>
              </w:rPr>
              <w:fldChar w:fldCharType="separate"/>
            </w:r>
            <w:r>
              <w:rPr>
                <w:noProof/>
                <w:webHidden/>
              </w:rPr>
              <w:t>8</w:t>
            </w:r>
            <w:r w:rsidR="002B094E">
              <w:rPr>
                <w:noProof/>
                <w:webHidden/>
              </w:rPr>
              <w:fldChar w:fldCharType="end"/>
            </w:r>
          </w:hyperlink>
        </w:p>
        <w:p w14:paraId="5D697E3A" w14:textId="21A17551" w:rsidR="002B094E" w:rsidRDefault="00BC0ACB">
          <w:pPr>
            <w:pStyle w:val="TOC2"/>
            <w:rPr>
              <w:rFonts w:asciiTheme="minorHAnsi" w:eastAsiaTheme="minorEastAsia" w:hAnsiTheme="minorHAnsi" w:cstheme="minorBidi"/>
              <w:b w:val="0"/>
              <w:noProof/>
              <w:sz w:val="22"/>
              <w:lang w:eastAsia="en-AU"/>
            </w:rPr>
          </w:pPr>
          <w:hyperlink w:anchor="_Toc115349598" w:history="1">
            <w:r w:rsidR="002B094E" w:rsidRPr="00BE59C4">
              <w:rPr>
                <w:rStyle w:val="Hyperlink"/>
                <w:noProof/>
              </w:rPr>
              <w:t>Regulatory status</w:t>
            </w:r>
            <w:r w:rsidR="002B094E">
              <w:rPr>
                <w:noProof/>
                <w:webHidden/>
              </w:rPr>
              <w:tab/>
            </w:r>
            <w:r w:rsidR="002B094E">
              <w:rPr>
                <w:noProof/>
                <w:webHidden/>
              </w:rPr>
              <w:fldChar w:fldCharType="begin"/>
            </w:r>
            <w:r w:rsidR="002B094E">
              <w:rPr>
                <w:noProof/>
                <w:webHidden/>
              </w:rPr>
              <w:instrText xml:space="preserve"> PAGEREF _Toc115349598 \h </w:instrText>
            </w:r>
            <w:r w:rsidR="002B094E">
              <w:rPr>
                <w:noProof/>
                <w:webHidden/>
              </w:rPr>
            </w:r>
            <w:r w:rsidR="002B094E">
              <w:rPr>
                <w:noProof/>
                <w:webHidden/>
              </w:rPr>
              <w:fldChar w:fldCharType="separate"/>
            </w:r>
            <w:r>
              <w:rPr>
                <w:noProof/>
                <w:webHidden/>
              </w:rPr>
              <w:t>13</w:t>
            </w:r>
            <w:r w:rsidR="002B094E">
              <w:rPr>
                <w:noProof/>
                <w:webHidden/>
              </w:rPr>
              <w:fldChar w:fldCharType="end"/>
            </w:r>
          </w:hyperlink>
        </w:p>
        <w:p w14:paraId="331C5243" w14:textId="4F751E88" w:rsidR="002B094E" w:rsidRDefault="00BC0ACB">
          <w:pPr>
            <w:pStyle w:val="TOC2"/>
            <w:rPr>
              <w:rFonts w:asciiTheme="minorHAnsi" w:eastAsiaTheme="minorEastAsia" w:hAnsiTheme="minorHAnsi" w:cstheme="minorBidi"/>
              <w:b w:val="0"/>
              <w:noProof/>
              <w:sz w:val="22"/>
              <w:lang w:eastAsia="en-AU"/>
            </w:rPr>
          </w:pPr>
          <w:hyperlink w:anchor="_Toc115349599" w:history="1">
            <w:r w:rsidR="002B094E" w:rsidRPr="00BE59C4">
              <w:rPr>
                <w:rStyle w:val="Hyperlink"/>
                <w:noProof/>
              </w:rPr>
              <w:t>Product Information</w:t>
            </w:r>
            <w:r w:rsidR="002B094E">
              <w:rPr>
                <w:noProof/>
                <w:webHidden/>
              </w:rPr>
              <w:tab/>
            </w:r>
            <w:r w:rsidR="002B094E">
              <w:rPr>
                <w:noProof/>
                <w:webHidden/>
              </w:rPr>
              <w:fldChar w:fldCharType="begin"/>
            </w:r>
            <w:r w:rsidR="002B094E">
              <w:rPr>
                <w:noProof/>
                <w:webHidden/>
              </w:rPr>
              <w:instrText xml:space="preserve"> PAGEREF _Toc115349599 \h </w:instrText>
            </w:r>
            <w:r w:rsidR="002B094E">
              <w:rPr>
                <w:noProof/>
                <w:webHidden/>
              </w:rPr>
            </w:r>
            <w:r w:rsidR="002B094E">
              <w:rPr>
                <w:noProof/>
                <w:webHidden/>
              </w:rPr>
              <w:fldChar w:fldCharType="separate"/>
            </w:r>
            <w:r>
              <w:rPr>
                <w:noProof/>
                <w:webHidden/>
              </w:rPr>
              <w:t>15</w:t>
            </w:r>
            <w:r w:rsidR="002B094E">
              <w:rPr>
                <w:noProof/>
                <w:webHidden/>
              </w:rPr>
              <w:fldChar w:fldCharType="end"/>
            </w:r>
          </w:hyperlink>
        </w:p>
        <w:p w14:paraId="608CA0FD" w14:textId="7AB950B3" w:rsidR="002B094E" w:rsidRDefault="00BC0ACB">
          <w:pPr>
            <w:pStyle w:val="TOC1"/>
            <w:rPr>
              <w:rFonts w:asciiTheme="minorHAnsi" w:eastAsiaTheme="minorEastAsia" w:hAnsiTheme="minorHAnsi" w:cstheme="minorBidi"/>
              <w:b w:val="0"/>
              <w:noProof/>
              <w:sz w:val="22"/>
              <w:lang w:eastAsia="en-AU"/>
            </w:rPr>
          </w:pPr>
          <w:hyperlink w:anchor="_Toc115349600" w:history="1">
            <w:r w:rsidR="002B094E" w:rsidRPr="00BE59C4">
              <w:rPr>
                <w:rStyle w:val="Hyperlink"/>
                <w:noProof/>
              </w:rPr>
              <w:t>Registration timeline</w:t>
            </w:r>
            <w:r w:rsidR="002B094E">
              <w:rPr>
                <w:noProof/>
                <w:webHidden/>
              </w:rPr>
              <w:tab/>
            </w:r>
            <w:r w:rsidR="002B094E">
              <w:rPr>
                <w:noProof/>
                <w:webHidden/>
              </w:rPr>
              <w:fldChar w:fldCharType="begin"/>
            </w:r>
            <w:r w:rsidR="002B094E">
              <w:rPr>
                <w:noProof/>
                <w:webHidden/>
              </w:rPr>
              <w:instrText xml:space="preserve"> PAGEREF _Toc115349600 \h </w:instrText>
            </w:r>
            <w:r w:rsidR="002B094E">
              <w:rPr>
                <w:noProof/>
                <w:webHidden/>
              </w:rPr>
            </w:r>
            <w:r w:rsidR="002B094E">
              <w:rPr>
                <w:noProof/>
                <w:webHidden/>
              </w:rPr>
              <w:fldChar w:fldCharType="separate"/>
            </w:r>
            <w:r>
              <w:rPr>
                <w:noProof/>
                <w:webHidden/>
              </w:rPr>
              <w:t>15</w:t>
            </w:r>
            <w:r w:rsidR="002B094E">
              <w:rPr>
                <w:noProof/>
                <w:webHidden/>
              </w:rPr>
              <w:fldChar w:fldCharType="end"/>
            </w:r>
          </w:hyperlink>
        </w:p>
        <w:p w14:paraId="0E090326" w14:textId="18663FD3" w:rsidR="002B094E" w:rsidRDefault="00BC0ACB">
          <w:pPr>
            <w:pStyle w:val="TOC1"/>
            <w:rPr>
              <w:rFonts w:asciiTheme="minorHAnsi" w:eastAsiaTheme="minorEastAsia" w:hAnsiTheme="minorHAnsi" w:cstheme="minorBidi"/>
              <w:b w:val="0"/>
              <w:noProof/>
              <w:sz w:val="22"/>
              <w:lang w:eastAsia="en-AU"/>
            </w:rPr>
          </w:pPr>
          <w:hyperlink w:anchor="_Toc115349601" w:history="1">
            <w:r w:rsidR="002B094E" w:rsidRPr="00BE59C4">
              <w:rPr>
                <w:rStyle w:val="Hyperlink"/>
                <w:noProof/>
              </w:rPr>
              <w:t>Submission overview and risk/benefit assessment</w:t>
            </w:r>
            <w:r w:rsidR="002B094E">
              <w:rPr>
                <w:noProof/>
                <w:webHidden/>
              </w:rPr>
              <w:tab/>
            </w:r>
            <w:r w:rsidR="002B094E">
              <w:rPr>
                <w:noProof/>
                <w:webHidden/>
              </w:rPr>
              <w:fldChar w:fldCharType="begin"/>
            </w:r>
            <w:r w:rsidR="002B094E">
              <w:rPr>
                <w:noProof/>
                <w:webHidden/>
              </w:rPr>
              <w:instrText xml:space="preserve"> PAGEREF _Toc115349601 \h </w:instrText>
            </w:r>
            <w:r w:rsidR="002B094E">
              <w:rPr>
                <w:noProof/>
                <w:webHidden/>
              </w:rPr>
            </w:r>
            <w:r w:rsidR="002B094E">
              <w:rPr>
                <w:noProof/>
                <w:webHidden/>
              </w:rPr>
              <w:fldChar w:fldCharType="separate"/>
            </w:r>
            <w:r>
              <w:rPr>
                <w:noProof/>
                <w:webHidden/>
              </w:rPr>
              <w:t>15</w:t>
            </w:r>
            <w:r w:rsidR="002B094E">
              <w:rPr>
                <w:noProof/>
                <w:webHidden/>
              </w:rPr>
              <w:fldChar w:fldCharType="end"/>
            </w:r>
          </w:hyperlink>
        </w:p>
        <w:p w14:paraId="0ACA783D" w14:textId="045A0982" w:rsidR="002B094E" w:rsidRDefault="00BC0ACB">
          <w:pPr>
            <w:pStyle w:val="TOC2"/>
            <w:rPr>
              <w:rFonts w:asciiTheme="minorHAnsi" w:eastAsiaTheme="minorEastAsia" w:hAnsiTheme="minorHAnsi" w:cstheme="minorBidi"/>
              <w:b w:val="0"/>
              <w:noProof/>
              <w:sz w:val="22"/>
              <w:lang w:eastAsia="en-AU"/>
            </w:rPr>
          </w:pPr>
          <w:hyperlink w:anchor="_Toc115349602" w:history="1">
            <w:r w:rsidR="002B094E" w:rsidRPr="00BE59C4">
              <w:rPr>
                <w:rStyle w:val="Hyperlink"/>
                <w:noProof/>
              </w:rPr>
              <w:t>Quality</w:t>
            </w:r>
            <w:r w:rsidR="002B094E">
              <w:rPr>
                <w:noProof/>
                <w:webHidden/>
              </w:rPr>
              <w:tab/>
            </w:r>
            <w:r w:rsidR="002B094E">
              <w:rPr>
                <w:noProof/>
                <w:webHidden/>
              </w:rPr>
              <w:fldChar w:fldCharType="begin"/>
            </w:r>
            <w:r w:rsidR="002B094E">
              <w:rPr>
                <w:noProof/>
                <w:webHidden/>
              </w:rPr>
              <w:instrText xml:space="preserve"> PAGEREF _Toc115349602 \h </w:instrText>
            </w:r>
            <w:r w:rsidR="002B094E">
              <w:rPr>
                <w:noProof/>
                <w:webHidden/>
              </w:rPr>
            </w:r>
            <w:r w:rsidR="002B094E">
              <w:rPr>
                <w:noProof/>
                <w:webHidden/>
              </w:rPr>
              <w:fldChar w:fldCharType="separate"/>
            </w:r>
            <w:r>
              <w:rPr>
                <w:noProof/>
                <w:webHidden/>
              </w:rPr>
              <w:t>16</w:t>
            </w:r>
            <w:r w:rsidR="002B094E">
              <w:rPr>
                <w:noProof/>
                <w:webHidden/>
              </w:rPr>
              <w:fldChar w:fldCharType="end"/>
            </w:r>
          </w:hyperlink>
        </w:p>
        <w:p w14:paraId="14736ED1" w14:textId="714A37BF" w:rsidR="002B094E" w:rsidRDefault="00BC0ACB">
          <w:pPr>
            <w:pStyle w:val="TOC2"/>
            <w:rPr>
              <w:rFonts w:asciiTheme="minorHAnsi" w:eastAsiaTheme="minorEastAsia" w:hAnsiTheme="minorHAnsi" w:cstheme="minorBidi"/>
              <w:b w:val="0"/>
              <w:noProof/>
              <w:sz w:val="22"/>
              <w:lang w:eastAsia="en-AU"/>
            </w:rPr>
          </w:pPr>
          <w:hyperlink w:anchor="_Toc115349603" w:history="1">
            <w:r w:rsidR="002B094E" w:rsidRPr="00BE59C4">
              <w:rPr>
                <w:rStyle w:val="Hyperlink"/>
                <w:noProof/>
              </w:rPr>
              <w:t>Nonclinical</w:t>
            </w:r>
            <w:r w:rsidR="002B094E">
              <w:rPr>
                <w:noProof/>
                <w:webHidden/>
              </w:rPr>
              <w:tab/>
            </w:r>
            <w:r w:rsidR="002B094E">
              <w:rPr>
                <w:noProof/>
                <w:webHidden/>
              </w:rPr>
              <w:fldChar w:fldCharType="begin"/>
            </w:r>
            <w:r w:rsidR="002B094E">
              <w:rPr>
                <w:noProof/>
                <w:webHidden/>
              </w:rPr>
              <w:instrText xml:space="preserve"> PAGEREF _Toc115349603 \h </w:instrText>
            </w:r>
            <w:r w:rsidR="002B094E">
              <w:rPr>
                <w:noProof/>
                <w:webHidden/>
              </w:rPr>
            </w:r>
            <w:r w:rsidR="002B094E">
              <w:rPr>
                <w:noProof/>
                <w:webHidden/>
              </w:rPr>
              <w:fldChar w:fldCharType="separate"/>
            </w:r>
            <w:r>
              <w:rPr>
                <w:noProof/>
                <w:webHidden/>
              </w:rPr>
              <w:t>16</w:t>
            </w:r>
            <w:r w:rsidR="002B094E">
              <w:rPr>
                <w:noProof/>
                <w:webHidden/>
              </w:rPr>
              <w:fldChar w:fldCharType="end"/>
            </w:r>
          </w:hyperlink>
        </w:p>
        <w:p w14:paraId="2B6EF350" w14:textId="65E9D3FB" w:rsidR="002B094E" w:rsidRDefault="00BC0ACB">
          <w:pPr>
            <w:pStyle w:val="TOC2"/>
            <w:rPr>
              <w:rFonts w:asciiTheme="minorHAnsi" w:eastAsiaTheme="minorEastAsia" w:hAnsiTheme="minorHAnsi" w:cstheme="minorBidi"/>
              <w:b w:val="0"/>
              <w:noProof/>
              <w:sz w:val="22"/>
              <w:lang w:eastAsia="en-AU"/>
            </w:rPr>
          </w:pPr>
          <w:hyperlink w:anchor="_Toc115349604" w:history="1">
            <w:r w:rsidR="002B094E" w:rsidRPr="00BE59C4">
              <w:rPr>
                <w:rStyle w:val="Hyperlink"/>
                <w:noProof/>
              </w:rPr>
              <w:t>Clinical</w:t>
            </w:r>
            <w:r w:rsidR="002B094E">
              <w:rPr>
                <w:noProof/>
                <w:webHidden/>
              </w:rPr>
              <w:tab/>
            </w:r>
            <w:r w:rsidR="002B094E">
              <w:rPr>
                <w:noProof/>
                <w:webHidden/>
              </w:rPr>
              <w:fldChar w:fldCharType="begin"/>
            </w:r>
            <w:r w:rsidR="002B094E">
              <w:rPr>
                <w:noProof/>
                <w:webHidden/>
              </w:rPr>
              <w:instrText xml:space="preserve"> PAGEREF _Toc115349604 \h </w:instrText>
            </w:r>
            <w:r w:rsidR="002B094E">
              <w:rPr>
                <w:noProof/>
                <w:webHidden/>
              </w:rPr>
            </w:r>
            <w:r w:rsidR="002B094E">
              <w:rPr>
                <w:noProof/>
                <w:webHidden/>
              </w:rPr>
              <w:fldChar w:fldCharType="separate"/>
            </w:r>
            <w:r>
              <w:rPr>
                <w:noProof/>
                <w:webHidden/>
              </w:rPr>
              <w:t>16</w:t>
            </w:r>
            <w:r w:rsidR="002B094E">
              <w:rPr>
                <w:noProof/>
                <w:webHidden/>
              </w:rPr>
              <w:fldChar w:fldCharType="end"/>
            </w:r>
          </w:hyperlink>
        </w:p>
        <w:p w14:paraId="5A78FE0E" w14:textId="4EEF96CA" w:rsidR="002B094E" w:rsidRDefault="00BC0ACB">
          <w:pPr>
            <w:pStyle w:val="TOC2"/>
            <w:rPr>
              <w:rFonts w:asciiTheme="minorHAnsi" w:eastAsiaTheme="minorEastAsia" w:hAnsiTheme="minorHAnsi" w:cstheme="minorBidi"/>
              <w:b w:val="0"/>
              <w:noProof/>
              <w:sz w:val="22"/>
              <w:lang w:eastAsia="en-AU"/>
            </w:rPr>
          </w:pPr>
          <w:hyperlink w:anchor="_Toc115349605" w:history="1">
            <w:r w:rsidR="002B094E" w:rsidRPr="00BE59C4">
              <w:rPr>
                <w:rStyle w:val="Hyperlink"/>
                <w:noProof/>
                <w:lang w:eastAsia="en-AU"/>
              </w:rPr>
              <w:t>Risk management plan</w:t>
            </w:r>
            <w:r w:rsidR="002B094E">
              <w:rPr>
                <w:noProof/>
                <w:webHidden/>
              </w:rPr>
              <w:tab/>
            </w:r>
            <w:r w:rsidR="002B094E">
              <w:rPr>
                <w:noProof/>
                <w:webHidden/>
              </w:rPr>
              <w:fldChar w:fldCharType="begin"/>
            </w:r>
            <w:r w:rsidR="002B094E">
              <w:rPr>
                <w:noProof/>
                <w:webHidden/>
              </w:rPr>
              <w:instrText xml:space="preserve"> PAGEREF _Toc115349605 \h </w:instrText>
            </w:r>
            <w:r w:rsidR="002B094E">
              <w:rPr>
                <w:noProof/>
                <w:webHidden/>
              </w:rPr>
            </w:r>
            <w:r w:rsidR="002B094E">
              <w:rPr>
                <w:noProof/>
                <w:webHidden/>
              </w:rPr>
              <w:fldChar w:fldCharType="separate"/>
            </w:r>
            <w:r>
              <w:rPr>
                <w:noProof/>
                <w:webHidden/>
              </w:rPr>
              <w:t>49</w:t>
            </w:r>
            <w:r w:rsidR="002B094E">
              <w:rPr>
                <w:noProof/>
                <w:webHidden/>
              </w:rPr>
              <w:fldChar w:fldCharType="end"/>
            </w:r>
          </w:hyperlink>
        </w:p>
        <w:p w14:paraId="6EB74F8D" w14:textId="1FCE0485" w:rsidR="002B094E" w:rsidRDefault="00BC0ACB">
          <w:pPr>
            <w:pStyle w:val="TOC2"/>
            <w:rPr>
              <w:rFonts w:asciiTheme="minorHAnsi" w:eastAsiaTheme="minorEastAsia" w:hAnsiTheme="minorHAnsi" w:cstheme="minorBidi"/>
              <w:b w:val="0"/>
              <w:noProof/>
              <w:sz w:val="22"/>
              <w:lang w:eastAsia="en-AU"/>
            </w:rPr>
          </w:pPr>
          <w:hyperlink w:anchor="_Toc115349606" w:history="1">
            <w:r w:rsidR="002B094E" w:rsidRPr="00BE59C4">
              <w:rPr>
                <w:rStyle w:val="Hyperlink"/>
                <w:noProof/>
              </w:rPr>
              <w:t>Risk-benefit analysis</w:t>
            </w:r>
            <w:r w:rsidR="002B094E">
              <w:rPr>
                <w:noProof/>
                <w:webHidden/>
              </w:rPr>
              <w:tab/>
            </w:r>
            <w:r w:rsidR="002B094E">
              <w:rPr>
                <w:noProof/>
                <w:webHidden/>
              </w:rPr>
              <w:fldChar w:fldCharType="begin"/>
            </w:r>
            <w:r w:rsidR="002B094E">
              <w:rPr>
                <w:noProof/>
                <w:webHidden/>
              </w:rPr>
              <w:instrText xml:space="preserve"> PAGEREF _Toc115349606 \h </w:instrText>
            </w:r>
            <w:r w:rsidR="002B094E">
              <w:rPr>
                <w:noProof/>
                <w:webHidden/>
              </w:rPr>
            </w:r>
            <w:r w:rsidR="002B094E">
              <w:rPr>
                <w:noProof/>
                <w:webHidden/>
              </w:rPr>
              <w:fldChar w:fldCharType="separate"/>
            </w:r>
            <w:r>
              <w:rPr>
                <w:noProof/>
                <w:webHidden/>
              </w:rPr>
              <w:t>50</w:t>
            </w:r>
            <w:r w:rsidR="002B094E">
              <w:rPr>
                <w:noProof/>
                <w:webHidden/>
              </w:rPr>
              <w:fldChar w:fldCharType="end"/>
            </w:r>
          </w:hyperlink>
        </w:p>
        <w:p w14:paraId="0973C6B7" w14:textId="5D0EE7AB" w:rsidR="002B094E" w:rsidRDefault="00BC0ACB">
          <w:pPr>
            <w:pStyle w:val="TOC1"/>
            <w:rPr>
              <w:rFonts w:asciiTheme="minorHAnsi" w:eastAsiaTheme="minorEastAsia" w:hAnsiTheme="minorHAnsi" w:cstheme="minorBidi"/>
              <w:b w:val="0"/>
              <w:noProof/>
              <w:sz w:val="22"/>
              <w:lang w:eastAsia="en-AU"/>
            </w:rPr>
          </w:pPr>
          <w:hyperlink w:anchor="_Toc115349607" w:history="1">
            <w:r w:rsidR="002B094E" w:rsidRPr="00BE59C4">
              <w:rPr>
                <w:rStyle w:val="Hyperlink"/>
                <w:noProof/>
              </w:rPr>
              <w:t>Outcome</w:t>
            </w:r>
            <w:r w:rsidR="002B094E">
              <w:rPr>
                <w:noProof/>
                <w:webHidden/>
              </w:rPr>
              <w:tab/>
            </w:r>
            <w:r w:rsidR="002B094E">
              <w:rPr>
                <w:noProof/>
                <w:webHidden/>
              </w:rPr>
              <w:fldChar w:fldCharType="begin"/>
            </w:r>
            <w:r w:rsidR="002B094E">
              <w:rPr>
                <w:noProof/>
                <w:webHidden/>
              </w:rPr>
              <w:instrText xml:space="preserve"> PAGEREF _Toc115349607 \h </w:instrText>
            </w:r>
            <w:r w:rsidR="002B094E">
              <w:rPr>
                <w:noProof/>
                <w:webHidden/>
              </w:rPr>
            </w:r>
            <w:r w:rsidR="002B094E">
              <w:rPr>
                <w:noProof/>
                <w:webHidden/>
              </w:rPr>
              <w:fldChar w:fldCharType="separate"/>
            </w:r>
            <w:r>
              <w:rPr>
                <w:noProof/>
                <w:webHidden/>
              </w:rPr>
              <w:t>55</w:t>
            </w:r>
            <w:r w:rsidR="002B094E">
              <w:rPr>
                <w:noProof/>
                <w:webHidden/>
              </w:rPr>
              <w:fldChar w:fldCharType="end"/>
            </w:r>
          </w:hyperlink>
        </w:p>
        <w:p w14:paraId="399B22F0" w14:textId="67823002" w:rsidR="002B094E" w:rsidRDefault="00BC0ACB">
          <w:pPr>
            <w:pStyle w:val="TOC2"/>
            <w:rPr>
              <w:rFonts w:asciiTheme="minorHAnsi" w:eastAsiaTheme="minorEastAsia" w:hAnsiTheme="minorHAnsi" w:cstheme="minorBidi"/>
              <w:b w:val="0"/>
              <w:noProof/>
              <w:sz w:val="22"/>
              <w:lang w:eastAsia="en-AU"/>
            </w:rPr>
          </w:pPr>
          <w:hyperlink w:anchor="_Toc115349608" w:history="1">
            <w:r w:rsidR="002B094E" w:rsidRPr="00BE59C4">
              <w:rPr>
                <w:rStyle w:val="Hyperlink"/>
                <w:noProof/>
              </w:rPr>
              <w:t>Specific conditions of registration applying to these goods</w:t>
            </w:r>
            <w:r w:rsidR="002B094E">
              <w:rPr>
                <w:noProof/>
                <w:webHidden/>
              </w:rPr>
              <w:tab/>
            </w:r>
            <w:r w:rsidR="002B094E">
              <w:rPr>
                <w:noProof/>
                <w:webHidden/>
              </w:rPr>
              <w:fldChar w:fldCharType="begin"/>
            </w:r>
            <w:r w:rsidR="002B094E">
              <w:rPr>
                <w:noProof/>
                <w:webHidden/>
              </w:rPr>
              <w:instrText xml:space="preserve"> PAGEREF _Toc115349608 \h </w:instrText>
            </w:r>
            <w:r w:rsidR="002B094E">
              <w:rPr>
                <w:noProof/>
                <w:webHidden/>
              </w:rPr>
            </w:r>
            <w:r w:rsidR="002B094E">
              <w:rPr>
                <w:noProof/>
                <w:webHidden/>
              </w:rPr>
              <w:fldChar w:fldCharType="separate"/>
            </w:r>
            <w:r>
              <w:rPr>
                <w:noProof/>
                <w:webHidden/>
              </w:rPr>
              <w:t>56</w:t>
            </w:r>
            <w:r w:rsidR="002B094E">
              <w:rPr>
                <w:noProof/>
                <w:webHidden/>
              </w:rPr>
              <w:fldChar w:fldCharType="end"/>
            </w:r>
          </w:hyperlink>
        </w:p>
        <w:p w14:paraId="0F981D78" w14:textId="5FDC7499" w:rsidR="002B094E" w:rsidRDefault="00BC0ACB">
          <w:pPr>
            <w:pStyle w:val="TOC1"/>
            <w:rPr>
              <w:rFonts w:asciiTheme="minorHAnsi" w:eastAsiaTheme="minorEastAsia" w:hAnsiTheme="minorHAnsi" w:cstheme="minorBidi"/>
              <w:b w:val="0"/>
              <w:noProof/>
              <w:sz w:val="22"/>
              <w:lang w:eastAsia="en-AU"/>
            </w:rPr>
          </w:pPr>
          <w:hyperlink w:anchor="_Toc115349609" w:history="1">
            <w:r w:rsidR="002B094E" w:rsidRPr="00BE59C4">
              <w:rPr>
                <w:rStyle w:val="Hyperlink"/>
                <w:noProof/>
              </w:rPr>
              <w:t>Attachment 1. Product Information</w:t>
            </w:r>
            <w:r w:rsidR="002B094E">
              <w:rPr>
                <w:noProof/>
                <w:webHidden/>
              </w:rPr>
              <w:tab/>
            </w:r>
            <w:r w:rsidR="002B094E">
              <w:rPr>
                <w:noProof/>
                <w:webHidden/>
              </w:rPr>
              <w:fldChar w:fldCharType="begin"/>
            </w:r>
            <w:r w:rsidR="002B094E">
              <w:rPr>
                <w:noProof/>
                <w:webHidden/>
              </w:rPr>
              <w:instrText xml:space="preserve"> PAGEREF _Toc115349609 \h </w:instrText>
            </w:r>
            <w:r w:rsidR="002B094E">
              <w:rPr>
                <w:noProof/>
                <w:webHidden/>
              </w:rPr>
            </w:r>
            <w:r w:rsidR="002B094E">
              <w:rPr>
                <w:noProof/>
                <w:webHidden/>
              </w:rPr>
              <w:fldChar w:fldCharType="separate"/>
            </w:r>
            <w:r>
              <w:rPr>
                <w:noProof/>
                <w:webHidden/>
              </w:rPr>
              <w:t>57</w:t>
            </w:r>
            <w:r w:rsidR="002B094E">
              <w:rPr>
                <w:noProof/>
                <w:webHidden/>
              </w:rPr>
              <w:fldChar w:fldCharType="end"/>
            </w:r>
          </w:hyperlink>
        </w:p>
        <w:p w14:paraId="01BBB075" w14:textId="59AF349F" w:rsidR="003A7F6C" w:rsidRPr="00B811C6" w:rsidRDefault="00C525A2" w:rsidP="00EB36D6">
          <w:r>
            <w:fldChar w:fldCharType="end"/>
          </w:r>
        </w:p>
      </w:sdtContent>
    </w:sdt>
    <w:bookmarkStart w:id="2" w:name="_Toc314842482" w:displacedByCustomXml="prev"/>
    <w:p w14:paraId="186D2FBB" w14:textId="77777777" w:rsidR="00FD119B" w:rsidRDefault="00FD119B">
      <w:pPr>
        <w:spacing w:before="0" w:after="200" w:line="0" w:lineRule="auto"/>
      </w:pPr>
      <w:r>
        <w:br w:type="page"/>
      </w:r>
    </w:p>
    <w:p w14:paraId="37A9406E" w14:textId="4F12E30E" w:rsidR="00833ED8" w:rsidRDefault="00AF2313" w:rsidP="000D3C85">
      <w:pPr>
        <w:pStyle w:val="Heading2"/>
      </w:pPr>
      <w:bookmarkStart w:id="3" w:name="_Toc98931917"/>
      <w:bookmarkStart w:id="4" w:name="_Toc115349594"/>
      <w:r>
        <w:lastRenderedPageBreak/>
        <w:t>List of abbreviations</w:t>
      </w:r>
      <w:bookmarkEnd w:id="3"/>
      <w:bookmarkEnd w:id="4"/>
    </w:p>
    <w:tbl>
      <w:tblPr>
        <w:tblStyle w:val="TableTGAblue"/>
        <w:tblW w:w="0" w:type="auto"/>
        <w:tblLook w:val="04A0" w:firstRow="1" w:lastRow="0" w:firstColumn="1" w:lastColumn="0" w:noHBand="0" w:noVBand="1"/>
      </w:tblPr>
      <w:tblGrid>
        <w:gridCol w:w="1970"/>
        <w:gridCol w:w="6514"/>
      </w:tblGrid>
      <w:tr w:rsidR="00C81F36" w14:paraId="27BD4D70" w14:textId="77777777" w:rsidTr="00C81F36">
        <w:trPr>
          <w:cnfStyle w:val="100000000000" w:firstRow="1" w:lastRow="0" w:firstColumn="0" w:lastColumn="0" w:oddVBand="0" w:evenVBand="0" w:oddHBand="0" w:evenHBand="0" w:firstRowFirstColumn="0" w:firstRowLastColumn="0" w:lastRowFirstColumn="0" w:lastRowLastColumn="0"/>
        </w:trPr>
        <w:tc>
          <w:tcPr>
            <w:tcW w:w="1970" w:type="dxa"/>
          </w:tcPr>
          <w:p w14:paraId="0EFD96DC" w14:textId="77777777" w:rsidR="00C81F36" w:rsidRDefault="00C81F36" w:rsidP="0014455E">
            <w:r>
              <w:t>Abbreviation</w:t>
            </w:r>
          </w:p>
        </w:tc>
        <w:tc>
          <w:tcPr>
            <w:tcW w:w="6514" w:type="dxa"/>
          </w:tcPr>
          <w:p w14:paraId="31912175" w14:textId="77777777" w:rsidR="00C81F36" w:rsidRDefault="00C81F36" w:rsidP="0014455E">
            <w:r>
              <w:t>Meaning</w:t>
            </w:r>
          </w:p>
        </w:tc>
      </w:tr>
      <w:tr w:rsidR="00C81F36" w14:paraId="30A5F7DC" w14:textId="77777777" w:rsidTr="00C81F36">
        <w:tc>
          <w:tcPr>
            <w:tcW w:w="1970" w:type="dxa"/>
          </w:tcPr>
          <w:p w14:paraId="2450838D" w14:textId="77777777" w:rsidR="00C81F36" w:rsidRDefault="00C81F36" w:rsidP="0014455E">
            <w:r>
              <w:t>AE</w:t>
            </w:r>
          </w:p>
        </w:tc>
        <w:tc>
          <w:tcPr>
            <w:tcW w:w="6514" w:type="dxa"/>
          </w:tcPr>
          <w:p w14:paraId="3FD38519" w14:textId="77777777" w:rsidR="00C81F36" w:rsidRDefault="00C81F36" w:rsidP="0014455E">
            <w:r>
              <w:t>Adverse event</w:t>
            </w:r>
          </w:p>
        </w:tc>
      </w:tr>
      <w:tr w:rsidR="00C81F36" w14:paraId="2B2172ED" w14:textId="77777777" w:rsidTr="00C81F36">
        <w:tc>
          <w:tcPr>
            <w:tcW w:w="1970" w:type="dxa"/>
          </w:tcPr>
          <w:p w14:paraId="6A227C59" w14:textId="77777777" w:rsidR="00C81F36" w:rsidRDefault="00C81F36" w:rsidP="0014455E">
            <w:r>
              <w:t>AESI</w:t>
            </w:r>
          </w:p>
        </w:tc>
        <w:tc>
          <w:tcPr>
            <w:tcW w:w="6514" w:type="dxa"/>
          </w:tcPr>
          <w:p w14:paraId="480962D5" w14:textId="77777777" w:rsidR="00C81F36" w:rsidRDefault="00C81F36" w:rsidP="0014455E">
            <w:r>
              <w:t>Adverse event of special interest</w:t>
            </w:r>
          </w:p>
        </w:tc>
      </w:tr>
      <w:tr w:rsidR="00C81F36" w14:paraId="5E2A240D" w14:textId="77777777" w:rsidTr="00C81F36">
        <w:tc>
          <w:tcPr>
            <w:tcW w:w="1970" w:type="dxa"/>
          </w:tcPr>
          <w:p w14:paraId="6129EBC6" w14:textId="77777777" w:rsidR="00C81F36" w:rsidRDefault="00C81F36" w:rsidP="0014455E">
            <w:r>
              <w:t>CI</w:t>
            </w:r>
          </w:p>
        </w:tc>
        <w:tc>
          <w:tcPr>
            <w:tcW w:w="6514" w:type="dxa"/>
          </w:tcPr>
          <w:p w14:paraId="2046FB79" w14:textId="77777777" w:rsidR="00C81F36" w:rsidRDefault="00C81F36" w:rsidP="0014455E">
            <w:r>
              <w:t>Confidence interval</w:t>
            </w:r>
          </w:p>
        </w:tc>
      </w:tr>
      <w:tr w:rsidR="00C81F36" w14:paraId="4BBF3F56" w14:textId="77777777" w:rsidTr="00C81F36">
        <w:tc>
          <w:tcPr>
            <w:tcW w:w="1970" w:type="dxa"/>
          </w:tcPr>
          <w:p w14:paraId="11B5F16C" w14:textId="77777777" w:rsidR="00C81F36" w:rsidRDefault="00C81F36" w:rsidP="0014455E">
            <w:r>
              <w:t>COVID-19</w:t>
            </w:r>
          </w:p>
        </w:tc>
        <w:tc>
          <w:tcPr>
            <w:tcW w:w="6514" w:type="dxa"/>
          </w:tcPr>
          <w:p w14:paraId="0BFB88E4" w14:textId="77777777" w:rsidR="00C81F36" w:rsidRDefault="00C81F36" w:rsidP="0014455E">
            <w:r>
              <w:t>C</w:t>
            </w:r>
            <w:r w:rsidRPr="00E961A5">
              <w:t xml:space="preserve">oronavirus </w:t>
            </w:r>
            <w:r>
              <w:t>disease 2019</w:t>
            </w:r>
          </w:p>
        </w:tc>
      </w:tr>
      <w:tr w:rsidR="00C81F36" w14:paraId="21950853" w14:textId="77777777" w:rsidTr="00C81F36">
        <w:tc>
          <w:tcPr>
            <w:tcW w:w="1970" w:type="dxa"/>
          </w:tcPr>
          <w:p w14:paraId="0E8522EA" w14:textId="1437B727" w:rsidR="00C81F36" w:rsidRDefault="00C81F36" w:rsidP="0014455E">
            <w:r>
              <w:t>EMA</w:t>
            </w:r>
          </w:p>
        </w:tc>
        <w:tc>
          <w:tcPr>
            <w:tcW w:w="6514" w:type="dxa"/>
          </w:tcPr>
          <w:p w14:paraId="24992108" w14:textId="237F3BF2" w:rsidR="00C81F36" w:rsidRDefault="00C81F36" w:rsidP="0014455E">
            <w:r>
              <w:t>European Medicines Agency (European Union)</w:t>
            </w:r>
          </w:p>
        </w:tc>
      </w:tr>
      <w:tr w:rsidR="00C81F36" w14:paraId="27676845" w14:textId="77777777" w:rsidTr="00C81F36">
        <w:tc>
          <w:tcPr>
            <w:tcW w:w="1970" w:type="dxa"/>
          </w:tcPr>
          <w:p w14:paraId="02ED9C0A" w14:textId="3637B782" w:rsidR="00C81F36" w:rsidRDefault="00C81F36" w:rsidP="0014455E">
            <w:r>
              <w:t>EU</w:t>
            </w:r>
          </w:p>
        </w:tc>
        <w:tc>
          <w:tcPr>
            <w:tcW w:w="6514" w:type="dxa"/>
          </w:tcPr>
          <w:p w14:paraId="7087DE48" w14:textId="0EE8F79D" w:rsidR="00C81F36" w:rsidRDefault="00C81F36" w:rsidP="0014455E">
            <w:r>
              <w:t>European Union</w:t>
            </w:r>
          </w:p>
        </w:tc>
      </w:tr>
      <w:tr w:rsidR="00C81F36" w14:paraId="310D73EF" w14:textId="77777777" w:rsidTr="00C81F36">
        <w:tc>
          <w:tcPr>
            <w:tcW w:w="1970" w:type="dxa"/>
          </w:tcPr>
          <w:p w14:paraId="4517F010" w14:textId="77777777" w:rsidR="00C81F36" w:rsidRDefault="00C81F36" w:rsidP="0014455E">
            <w:r>
              <w:t>FDA</w:t>
            </w:r>
          </w:p>
        </w:tc>
        <w:tc>
          <w:tcPr>
            <w:tcW w:w="6514" w:type="dxa"/>
          </w:tcPr>
          <w:p w14:paraId="42617D37" w14:textId="50E97C56" w:rsidR="00C81F36" w:rsidRDefault="00C81F36" w:rsidP="0014455E">
            <w:r>
              <w:t>Food and Drug Administration (United States of America)</w:t>
            </w:r>
          </w:p>
        </w:tc>
      </w:tr>
      <w:tr w:rsidR="00C81F36" w14:paraId="25E4ECE7" w14:textId="77777777" w:rsidTr="00C81F36">
        <w:tc>
          <w:tcPr>
            <w:tcW w:w="1970" w:type="dxa"/>
          </w:tcPr>
          <w:p w14:paraId="6C256034" w14:textId="77777777" w:rsidR="00C81F36" w:rsidRDefault="00C81F36" w:rsidP="0014455E">
            <w:r w:rsidRPr="00EE064D">
              <w:rPr>
                <w:lang w:eastAsia="ja-JP"/>
              </w:rPr>
              <w:t>FFRNT</w:t>
            </w:r>
          </w:p>
        </w:tc>
        <w:tc>
          <w:tcPr>
            <w:tcW w:w="6514" w:type="dxa"/>
          </w:tcPr>
          <w:p w14:paraId="70E8968F" w14:textId="77777777" w:rsidR="00C81F36" w:rsidRDefault="00C81F36" w:rsidP="0014455E">
            <w:r>
              <w:rPr>
                <w:lang w:eastAsia="ja-JP"/>
              </w:rPr>
              <w:t>Fl</w:t>
            </w:r>
            <w:r w:rsidRPr="00EE064D">
              <w:rPr>
                <w:lang w:eastAsia="ja-JP"/>
              </w:rPr>
              <w:t>uorescent focus reduction neutrali</w:t>
            </w:r>
            <w:r>
              <w:rPr>
                <w:lang w:eastAsia="ja-JP"/>
              </w:rPr>
              <w:t>s</w:t>
            </w:r>
            <w:r w:rsidRPr="00EE064D">
              <w:rPr>
                <w:lang w:eastAsia="ja-JP"/>
              </w:rPr>
              <w:t>ation test</w:t>
            </w:r>
          </w:p>
        </w:tc>
      </w:tr>
      <w:tr w:rsidR="00C81F36" w14:paraId="738ADC47" w14:textId="77777777" w:rsidTr="00C81F36">
        <w:tc>
          <w:tcPr>
            <w:tcW w:w="1970" w:type="dxa"/>
          </w:tcPr>
          <w:p w14:paraId="5A61249F" w14:textId="77777777" w:rsidR="00C81F36" w:rsidRDefault="00C81F36" w:rsidP="0014455E">
            <w:r>
              <w:t>GMFR</w:t>
            </w:r>
          </w:p>
        </w:tc>
        <w:tc>
          <w:tcPr>
            <w:tcW w:w="6514" w:type="dxa"/>
          </w:tcPr>
          <w:p w14:paraId="5BC6C545" w14:textId="77777777" w:rsidR="00C81F36" w:rsidRDefault="00C81F36" w:rsidP="0014455E">
            <w:r>
              <w:t>Geometric mean fold rise</w:t>
            </w:r>
          </w:p>
        </w:tc>
      </w:tr>
      <w:tr w:rsidR="00C81F36" w14:paraId="3A8C4C3F" w14:textId="77777777" w:rsidTr="00C81F36">
        <w:tc>
          <w:tcPr>
            <w:tcW w:w="1970" w:type="dxa"/>
          </w:tcPr>
          <w:p w14:paraId="3131856E" w14:textId="77777777" w:rsidR="00C81F36" w:rsidRDefault="00C81F36" w:rsidP="0014455E">
            <w:r>
              <w:t>GMR</w:t>
            </w:r>
          </w:p>
        </w:tc>
        <w:tc>
          <w:tcPr>
            <w:tcW w:w="6514" w:type="dxa"/>
          </w:tcPr>
          <w:p w14:paraId="53D8ADB1" w14:textId="77777777" w:rsidR="00C81F36" w:rsidRDefault="00C81F36" w:rsidP="0014455E">
            <w:r>
              <w:t>G</w:t>
            </w:r>
            <w:r w:rsidRPr="008303B2">
              <w:t>eometric mean ratio</w:t>
            </w:r>
          </w:p>
        </w:tc>
      </w:tr>
      <w:tr w:rsidR="00C81F36" w14:paraId="193E5D03" w14:textId="77777777" w:rsidTr="00C81F36">
        <w:tc>
          <w:tcPr>
            <w:tcW w:w="1970" w:type="dxa"/>
          </w:tcPr>
          <w:p w14:paraId="3355EAC6" w14:textId="77777777" w:rsidR="00C81F36" w:rsidRDefault="00C81F36" w:rsidP="0014455E">
            <w:r>
              <w:t>GMT</w:t>
            </w:r>
          </w:p>
        </w:tc>
        <w:tc>
          <w:tcPr>
            <w:tcW w:w="6514" w:type="dxa"/>
          </w:tcPr>
          <w:p w14:paraId="021C7843" w14:textId="3CA3E457" w:rsidR="00C81F36" w:rsidRDefault="007A0D27" w:rsidP="0014455E">
            <w:r>
              <w:t>Geometric mean tit</w:t>
            </w:r>
            <w:r w:rsidR="00C81F36">
              <w:t>r</w:t>
            </w:r>
            <w:r>
              <w:t>e</w:t>
            </w:r>
          </w:p>
        </w:tc>
      </w:tr>
      <w:tr w:rsidR="00C81F36" w14:paraId="4EC3BC72" w14:textId="77777777" w:rsidTr="00C81F36">
        <w:tc>
          <w:tcPr>
            <w:tcW w:w="1970" w:type="dxa"/>
          </w:tcPr>
          <w:p w14:paraId="0882F830" w14:textId="77777777" w:rsidR="00C81F36" w:rsidRDefault="00C81F36" w:rsidP="0014455E">
            <w:r>
              <w:t>LLOQ</w:t>
            </w:r>
          </w:p>
        </w:tc>
        <w:tc>
          <w:tcPr>
            <w:tcW w:w="6514" w:type="dxa"/>
          </w:tcPr>
          <w:p w14:paraId="2378077B" w14:textId="77777777" w:rsidR="00C81F36" w:rsidRDefault="00C81F36" w:rsidP="0014455E">
            <w:r>
              <w:t>L</w:t>
            </w:r>
            <w:r w:rsidRPr="008303B2">
              <w:t>ower limit of quantitation</w:t>
            </w:r>
          </w:p>
        </w:tc>
      </w:tr>
      <w:tr w:rsidR="00C81F36" w14:paraId="04E28EC5" w14:textId="77777777" w:rsidTr="00C81F36">
        <w:tc>
          <w:tcPr>
            <w:tcW w:w="1970" w:type="dxa"/>
          </w:tcPr>
          <w:p w14:paraId="4621352F" w14:textId="77777777" w:rsidR="00C81F36" w:rsidRDefault="00C81F36" w:rsidP="0014455E">
            <w:r>
              <w:t>MedDRA</w:t>
            </w:r>
          </w:p>
        </w:tc>
        <w:tc>
          <w:tcPr>
            <w:tcW w:w="6514" w:type="dxa"/>
          </w:tcPr>
          <w:p w14:paraId="030228C4" w14:textId="77777777" w:rsidR="00C81F36" w:rsidRDefault="00C81F36" w:rsidP="0014455E">
            <w:r>
              <w:t>Medical Dictionary for Regulatory Activities</w:t>
            </w:r>
          </w:p>
        </w:tc>
      </w:tr>
      <w:tr w:rsidR="00C81F36" w14:paraId="13E87D14" w14:textId="77777777" w:rsidTr="00C81F36">
        <w:tc>
          <w:tcPr>
            <w:tcW w:w="1970" w:type="dxa"/>
          </w:tcPr>
          <w:p w14:paraId="028BCB74" w14:textId="77777777" w:rsidR="00C81F36" w:rsidRDefault="00C81F36" w:rsidP="0014455E">
            <w:r>
              <w:t>MIS-C</w:t>
            </w:r>
          </w:p>
        </w:tc>
        <w:tc>
          <w:tcPr>
            <w:tcW w:w="6514" w:type="dxa"/>
          </w:tcPr>
          <w:p w14:paraId="4808C7DE" w14:textId="77777777" w:rsidR="00C81F36" w:rsidRDefault="00C81F36" w:rsidP="0014455E">
            <w:r>
              <w:t>M</w:t>
            </w:r>
            <w:r w:rsidRPr="008303B2">
              <w:t>ultisystem inflammatory syndrome in children</w:t>
            </w:r>
          </w:p>
        </w:tc>
      </w:tr>
      <w:tr w:rsidR="00C81F36" w14:paraId="346C1FB6" w14:textId="77777777" w:rsidTr="00C81F36">
        <w:tc>
          <w:tcPr>
            <w:tcW w:w="1970" w:type="dxa"/>
          </w:tcPr>
          <w:p w14:paraId="59131B4A" w14:textId="77777777" w:rsidR="00C81F36" w:rsidRDefault="00C81F36" w:rsidP="0014455E">
            <w:r>
              <w:t>NAAT</w:t>
            </w:r>
          </w:p>
        </w:tc>
        <w:tc>
          <w:tcPr>
            <w:tcW w:w="6514" w:type="dxa"/>
          </w:tcPr>
          <w:p w14:paraId="4D0ADA79" w14:textId="77777777" w:rsidR="00C81F36" w:rsidRDefault="00C81F36" w:rsidP="0014455E">
            <w:r>
              <w:t>N</w:t>
            </w:r>
            <w:r w:rsidRPr="008303B2">
              <w:t>ucleic acid amplification test</w:t>
            </w:r>
          </w:p>
        </w:tc>
      </w:tr>
      <w:tr w:rsidR="00C81F36" w14:paraId="432A9A77" w14:textId="77777777" w:rsidTr="00C81F36">
        <w:tc>
          <w:tcPr>
            <w:tcW w:w="1970" w:type="dxa"/>
          </w:tcPr>
          <w:p w14:paraId="33095518" w14:textId="77777777" w:rsidR="00C81F36" w:rsidRDefault="00C81F36" w:rsidP="0014455E">
            <w:r>
              <w:t>N-binding</w:t>
            </w:r>
          </w:p>
        </w:tc>
        <w:tc>
          <w:tcPr>
            <w:tcW w:w="6514" w:type="dxa"/>
          </w:tcPr>
          <w:p w14:paraId="08125A9B" w14:textId="77777777" w:rsidR="00C81F36" w:rsidRDefault="00C81F36" w:rsidP="0014455E">
            <w:r w:rsidRPr="008303B2">
              <w:t>SARS-CoV-2 nucleoprotein binding</w:t>
            </w:r>
          </w:p>
        </w:tc>
      </w:tr>
      <w:tr w:rsidR="00C81F36" w:rsidRPr="008303B2" w14:paraId="27582422" w14:textId="77777777" w:rsidTr="00C81F36">
        <w:tc>
          <w:tcPr>
            <w:tcW w:w="1970" w:type="dxa"/>
          </w:tcPr>
          <w:p w14:paraId="54749CDF" w14:textId="77777777" w:rsidR="00C81F36" w:rsidRDefault="00C81F36" w:rsidP="0014455E">
            <w:r>
              <w:t>NNDSS</w:t>
            </w:r>
          </w:p>
        </w:tc>
        <w:tc>
          <w:tcPr>
            <w:tcW w:w="6514" w:type="dxa"/>
          </w:tcPr>
          <w:p w14:paraId="18B30875" w14:textId="5F47AF2D" w:rsidR="00C81F36" w:rsidRPr="008303B2" w:rsidRDefault="00C81F36" w:rsidP="0014455E">
            <w:r w:rsidRPr="00971BF5">
              <w:t>National Notifiable Disease Surveillance System</w:t>
            </w:r>
            <w:r>
              <w:t xml:space="preserve"> (Australia)</w:t>
            </w:r>
          </w:p>
        </w:tc>
      </w:tr>
      <w:tr w:rsidR="00C81F36" w14:paraId="697BA7FB" w14:textId="77777777" w:rsidTr="00C81F36">
        <w:tc>
          <w:tcPr>
            <w:tcW w:w="1970" w:type="dxa"/>
          </w:tcPr>
          <w:p w14:paraId="7B6EE598" w14:textId="77777777" w:rsidR="00C81F36" w:rsidRDefault="00C81F36" w:rsidP="0014455E">
            <w:r>
              <w:t>NT50</w:t>
            </w:r>
          </w:p>
        </w:tc>
        <w:tc>
          <w:tcPr>
            <w:tcW w:w="6514" w:type="dxa"/>
          </w:tcPr>
          <w:p w14:paraId="686AEFBA" w14:textId="476C4354" w:rsidR="00C81F36" w:rsidRDefault="00C81F36" w:rsidP="00C81F36">
            <w:r>
              <w:t>50% n</w:t>
            </w:r>
            <w:r w:rsidRPr="008303B2">
              <w:t>eutrali</w:t>
            </w:r>
            <w:r>
              <w:t>s</w:t>
            </w:r>
            <w:r w:rsidRPr="008303B2">
              <w:t>ing titre</w:t>
            </w:r>
          </w:p>
        </w:tc>
      </w:tr>
      <w:tr w:rsidR="00C81F36" w14:paraId="4F874C45" w14:textId="77777777" w:rsidTr="00C81F36">
        <w:tc>
          <w:tcPr>
            <w:tcW w:w="1970" w:type="dxa"/>
          </w:tcPr>
          <w:p w14:paraId="47E83A39" w14:textId="77777777" w:rsidR="00C81F36" w:rsidRDefault="00C81F36" w:rsidP="0014455E">
            <w:r>
              <w:t>PIMS-TS</w:t>
            </w:r>
          </w:p>
        </w:tc>
        <w:tc>
          <w:tcPr>
            <w:tcW w:w="6514" w:type="dxa"/>
          </w:tcPr>
          <w:p w14:paraId="330E8815" w14:textId="77777777" w:rsidR="00C81F36" w:rsidRDefault="00C81F36" w:rsidP="0014455E">
            <w:r>
              <w:t>P</w:t>
            </w:r>
            <w:r w:rsidRPr="00971BF5">
              <w:t>aediatric inflammatory multisystem syndrome temporally associated with</w:t>
            </w:r>
            <w:r>
              <w:t xml:space="preserve"> </w:t>
            </w:r>
            <w:r w:rsidRPr="00971BF5">
              <w:t>SARS-CoV-2</w:t>
            </w:r>
          </w:p>
        </w:tc>
      </w:tr>
      <w:tr w:rsidR="00C81F36" w14:paraId="675A4756" w14:textId="77777777" w:rsidTr="00C81F36">
        <w:tc>
          <w:tcPr>
            <w:tcW w:w="1970" w:type="dxa"/>
          </w:tcPr>
          <w:p w14:paraId="1485C737" w14:textId="77777777" w:rsidR="00C81F36" w:rsidRDefault="00C81F36" w:rsidP="0014455E">
            <w:r>
              <w:t>PRNT</w:t>
            </w:r>
          </w:p>
        </w:tc>
        <w:tc>
          <w:tcPr>
            <w:tcW w:w="6514" w:type="dxa"/>
          </w:tcPr>
          <w:p w14:paraId="6B383BC8" w14:textId="77777777" w:rsidR="00C81F36" w:rsidRDefault="00C81F36" w:rsidP="0014455E">
            <w:r>
              <w:t>P</w:t>
            </w:r>
            <w:r w:rsidRPr="008303B2">
              <w:t>laque-reduction neutrali</w:t>
            </w:r>
            <w:r>
              <w:t>s</w:t>
            </w:r>
            <w:r w:rsidRPr="008303B2">
              <w:t>ation test</w:t>
            </w:r>
          </w:p>
        </w:tc>
      </w:tr>
      <w:tr w:rsidR="00C81F36" w14:paraId="3D4F94CA" w14:textId="77777777" w:rsidTr="00C81F36">
        <w:tc>
          <w:tcPr>
            <w:tcW w:w="1970" w:type="dxa"/>
          </w:tcPr>
          <w:p w14:paraId="0D6FACCD" w14:textId="77777777" w:rsidR="00C81F36" w:rsidRDefault="00C81F36" w:rsidP="0014455E">
            <w:r>
              <w:t>PT</w:t>
            </w:r>
          </w:p>
        </w:tc>
        <w:tc>
          <w:tcPr>
            <w:tcW w:w="6514" w:type="dxa"/>
          </w:tcPr>
          <w:p w14:paraId="1044DFEF" w14:textId="462FE78B" w:rsidR="00C81F36" w:rsidRDefault="00C81F36" w:rsidP="0014455E">
            <w:r>
              <w:t>Preferred Term</w:t>
            </w:r>
          </w:p>
        </w:tc>
      </w:tr>
      <w:tr w:rsidR="00C81F36" w14:paraId="1C8E6C9B" w14:textId="77777777" w:rsidTr="00C81F36">
        <w:tc>
          <w:tcPr>
            <w:tcW w:w="1970" w:type="dxa"/>
          </w:tcPr>
          <w:p w14:paraId="310BCF5E" w14:textId="77777777" w:rsidR="00C81F36" w:rsidRDefault="00C81F36" w:rsidP="0014455E">
            <w:r>
              <w:t>RAT</w:t>
            </w:r>
          </w:p>
        </w:tc>
        <w:tc>
          <w:tcPr>
            <w:tcW w:w="6514" w:type="dxa"/>
          </w:tcPr>
          <w:p w14:paraId="2D1F15A7" w14:textId="77777777" w:rsidR="00C81F36" w:rsidRDefault="00C81F36" w:rsidP="0014455E">
            <w:r>
              <w:t>R</w:t>
            </w:r>
            <w:r w:rsidRPr="00971BF5">
              <w:t>apid antigen test</w:t>
            </w:r>
          </w:p>
        </w:tc>
      </w:tr>
      <w:tr w:rsidR="00C81F36" w14:paraId="781DEA90" w14:textId="77777777" w:rsidTr="00C81F36">
        <w:tc>
          <w:tcPr>
            <w:tcW w:w="1970" w:type="dxa"/>
          </w:tcPr>
          <w:p w14:paraId="1EE92DFC" w14:textId="77777777" w:rsidR="00C81F36" w:rsidRDefault="00C81F36" w:rsidP="0014455E">
            <w:r>
              <w:t>RNA</w:t>
            </w:r>
          </w:p>
        </w:tc>
        <w:tc>
          <w:tcPr>
            <w:tcW w:w="6514" w:type="dxa"/>
          </w:tcPr>
          <w:p w14:paraId="7295CE72" w14:textId="77777777" w:rsidR="00C81F36" w:rsidRDefault="00C81F36" w:rsidP="0014455E">
            <w:r>
              <w:t>Ri</w:t>
            </w:r>
            <w:r w:rsidRPr="008303B2">
              <w:t>bonucleic acid</w:t>
            </w:r>
          </w:p>
        </w:tc>
      </w:tr>
      <w:tr w:rsidR="00C81F36" w14:paraId="1B2A02CA" w14:textId="77777777" w:rsidTr="00C81F36">
        <w:tc>
          <w:tcPr>
            <w:tcW w:w="1970" w:type="dxa"/>
          </w:tcPr>
          <w:p w14:paraId="62152F9E" w14:textId="77777777" w:rsidR="00C81F36" w:rsidRDefault="00C81F36" w:rsidP="0014455E">
            <w:r>
              <w:t>SARS-CoV-2</w:t>
            </w:r>
          </w:p>
        </w:tc>
        <w:tc>
          <w:tcPr>
            <w:tcW w:w="6514" w:type="dxa"/>
          </w:tcPr>
          <w:p w14:paraId="61D09D28" w14:textId="77777777" w:rsidR="00C81F36" w:rsidRDefault="00C81F36" w:rsidP="0014455E">
            <w:r>
              <w:t>S</w:t>
            </w:r>
            <w:r w:rsidRPr="00E961A5">
              <w:t>evere acute respiratory syndrome coronavirus 2</w:t>
            </w:r>
          </w:p>
        </w:tc>
      </w:tr>
      <w:tr w:rsidR="00C81F36" w14:paraId="0A5194E5" w14:textId="77777777" w:rsidTr="00C81F36">
        <w:tc>
          <w:tcPr>
            <w:tcW w:w="1970" w:type="dxa"/>
          </w:tcPr>
          <w:p w14:paraId="35B9D181" w14:textId="77777777" w:rsidR="00C81F36" w:rsidRDefault="00C81F36" w:rsidP="0014455E">
            <w:r>
              <w:lastRenderedPageBreak/>
              <w:t>SMQ</w:t>
            </w:r>
          </w:p>
        </w:tc>
        <w:tc>
          <w:tcPr>
            <w:tcW w:w="6514" w:type="dxa"/>
          </w:tcPr>
          <w:p w14:paraId="34A71EB3" w14:textId="191C713C" w:rsidR="00C81F36" w:rsidRDefault="00C81F36" w:rsidP="0014455E">
            <w:r>
              <w:t>Standardised MedDRA queries</w:t>
            </w:r>
          </w:p>
        </w:tc>
      </w:tr>
      <w:tr w:rsidR="00C81F36" w14:paraId="1288FF6A" w14:textId="77777777" w:rsidTr="00C81F36">
        <w:tc>
          <w:tcPr>
            <w:tcW w:w="1970" w:type="dxa"/>
          </w:tcPr>
          <w:p w14:paraId="76C9BCD3" w14:textId="77777777" w:rsidR="00C81F36" w:rsidRDefault="00C81F36" w:rsidP="0014455E">
            <w:r>
              <w:t>SOC</w:t>
            </w:r>
          </w:p>
        </w:tc>
        <w:tc>
          <w:tcPr>
            <w:tcW w:w="6514" w:type="dxa"/>
          </w:tcPr>
          <w:p w14:paraId="345DEE3A" w14:textId="4799A083" w:rsidR="00C81F36" w:rsidRDefault="00C81F36" w:rsidP="0014455E">
            <w:r>
              <w:t>System Organ Class</w:t>
            </w:r>
          </w:p>
        </w:tc>
      </w:tr>
      <w:tr w:rsidR="00C81F36" w14:paraId="25A50419" w14:textId="77777777" w:rsidTr="00C81F36">
        <w:tc>
          <w:tcPr>
            <w:tcW w:w="1970" w:type="dxa"/>
          </w:tcPr>
          <w:p w14:paraId="2CBB3EE8" w14:textId="77777777" w:rsidR="00C81F36" w:rsidRDefault="00C81F36" w:rsidP="0014455E">
            <w:r>
              <w:t>WHO</w:t>
            </w:r>
          </w:p>
        </w:tc>
        <w:tc>
          <w:tcPr>
            <w:tcW w:w="6514" w:type="dxa"/>
          </w:tcPr>
          <w:p w14:paraId="26690301" w14:textId="77777777" w:rsidR="00C81F36" w:rsidRDefault="00C81F36" w:rsidP="0014455E">
            <w:r>
              <w:t>World Health Organization</w:t>
            </w:r>
          </w:p>
        </w:tc>
      </w:tr>
      <w:tr w:rsidR="00AF2313" w14:paraId="0578284A" w14:textId="77777777" w:rsidTr="00C81F36">
        <w:trPr>
          <w:cantSplit/>
        </w:trPr>
        <w:tc>
          <w:tcPr>
            <w:tcW w:w="1970" w:type="dxa"/>
            <w:tcBorders>
              <w:top w:val="single" w:sz="8" w:space="0" w:color="002C47"/>
              <w:left w:val="single" w:sz="8" w:space="0" w:color="002C47"/>
              <w:bottom w:val="single" w:sz="8" w:space="0" w:color="002C47"/>
              <w:right w:val="single" w:sz="8" w:space="0" w:color="002C47"/>
            </w:tcBorders>
            <w:hideMark/>
          </w:tcPr>
          <w:p w14:paraId="2C438510" w14:textId="77777777" w:rsidR="00AF2313" w:rsidRDefault="00AF2313">
            <w:r>
              <w:t>ACV</w:t>
            </w:r>
          </w:p>
        </w:tc>
        <w:tc>
          <w:tcPr>
            <w:tcW w:w="6514" w:type="dxa"/>
            <w:tcBorders>
              <w:top w:val="single" w:sz="8" w:space="0" w:color="002C47"/>
              <w:left w:val="single" w:sz="8" w:space="0" w:color="002C47"/>
              <w:bottom w:val="single" w:sz="8" w:space="0" w:color="002C47"/>
              <w:right w:val="single" w:sz="8" w:space="0" w:color="002C47"/>
            </w:tcBorders>
            <w:hideMark/>
          </w:tcPr>
          <w:p w14:paraId="35547E25" w14:textId="77777777" w:rsidR="00AF2313" w:rsidRDefault="00AF2313">
            <w:r>
              <w:t>Advisory Committee on Vaccines</w:t>
            </w:r>
          </w:p>
        </w:tc>
      </w:tr>
      <w:tr w:rsidR="00AF2313" w14:paraId="5BC1CBF8" w14:textId="77777777" w:rsidTr="00C81F36">
        <w:trPr>
          <w:cantSplit/>
        </w:trPr>
        <w:tc>
          <w:tcPr>
            <w:tcW w:w="1970" w:type="dxa"/>
            <w:tcBorders>
              <w:top w:val="single" w:sz="8" w:space="0" w:color="002C47"/>
              <w:left w:val="single" w:sz="8" w:space="0" w:color="002C47"/>
              <w:bottom w:val="single" w:sz="8" w:space="0" w:color="002C47"/>
              <w:right w:val="single" w:sz="8" w:space="0" w:color="002C47"/>
            </w:tcBorders>
            <w:hideMark/>
          </w:tcPr>
          <w:p w14:paraId="6DAE4000" w14:textId="77777777" w:rsidR="00AF2313" w:rsidRDefault="00AF2313">
            <w:r>
              <w:t>ARTG</w:t>
            </w:r>
          </w:p>
        </w:tc>
        <w:tc>
          <w:tcPr>
            <w:tcW w:w="6514" w:type="dxa"/>
            <w:tcBorders>
              <w:top w:val="single" w:sz="8" w:space="0" w:color="002C47"/>
              <w:left w:val="single" w:sz="8" w:space="0" w:color="002C47"/>
              <w:bottom w:val="single" w:sz="8" w:space="0" w:color="002C47"/>
              <w:right w:val="single" w:sz="8" w:space="0" w:color="002C47"/>
            </w:tcBorders>
            <w:hideMark/>
          </w:tcPr>
          <w:p w14:paraId="50DA24C7" w14:textId="77777777" w:rsidR="00AF2313" w:rsidRDefault="00AF2313">
            <w:r>
              <w:t>Australian Register of Therapeutic Goods</w:t>
            </w:r>
          </w:p>
        </w:tc>
      </w:tr>
      <w:tr w:rsidR="00AF2313" w14:paraId="7C300C4C" w14:textId="77777777" w:rsidTr="00C81F36">
        <w:trPr>
          <w:cantSplit/>
        </w:trPr>
        <w:tc>
          <w:tcPr>
            <w:tcW w:w="1970" w:type="dxa"/>
            <w:tcBorders>
              <w:top w:val="single" w:sz="8" w:space="0" w:color="002C47"/>
              <w:left w:val="single" w:sz="8" w:space="0" w:color="002C47"/>
              <w:bottom w:val="single" w:sz="8" w:space="0" w:color="002C47"/>
              <w:right w:val="single" w:sz="8" w:space="0" w:color="002C47"/>
            </w:tcBorders>
            <w:hideMark/>
          </w:tcPr>
          <w:p w14:paraId="34BAD597" w14:textId="77777777" w:rsidR="00AF2313" w:rsidRDefault="00AF2313">
            <w:r>
              <w:t>ASA</w:t>
            </w:r>
          </w:p>
        </w:tc>
        <w:tc>
          <w:tcPr>
            <w:tcW w:w="6514" w:type="dxa"/>
            <w:tcBorders>
              <w:top w:val="single" w:sz="8" w:space="0" w:color="002C47"/>
              <w:left w:val="single" w:sz="8" w:space="0" w:color="002C47"/>
              <w:bottom w:val="single" w:sz="8" w:space="0" w:color="002C47"/>
              <w:right w:val="single" w:sz="8" w:space="0" w:color="002C47"/>
            </w:tcBorders>
            <w:hideMark/>
          </w:tcPr>
          <w:p w14:paraId="7EA0DC4A" w14:textId="77777777" w:rsidR="00AF2313" w:rsidRDefault="00AF2313">
            <w:r>
              <w:t>Australia specific annex</w:t>
            </w:r>
          </w:p>
        </w:tc>
      </w:tr>
      <w:tr w:rsidR="00AF2313" w14:paraId="4AE2B79F" w14:textId="77777777" w:rsidTr="00C81F36">
        <w:trPr>
          <w:cantSplit/>
        </w:trPr>
        <w:tc>
          <w:tcPr>
            <w:tcW w:w="1970" w:type="dxa"/>
            <w:tcBorders>
              <w:top w:val="single" w:sz="8" w:space="0" w:color="002C47"/>
              <w:left w:val="single" w:sz="8" w:space="0" w:color="002C47"/>
              <w:bottom w:val="single" w:sz="8" w:space="0" w:color="002C47"/>
              <w:right w:val="single" w:sz="8" w:space="0" w:color="002C47"/>
            </w:tcBorders>
            <w:hideMark/>
          </w:tcPr>
          <w:p w14:paraId="5A54C4E8" w14:textId="77777777" w:rsidR="00AF2313" w:rsidRDefault="00AF2313">
            <w:r>
              <w:t>DLP</w:t>
            </w:r>
          </w:p>
        </w:tc>
        <w:tc>
          <w:tcPr>
            <w:tcW w:w="6514" w:type="dxa"/>
            <w:tcBorders>
              <w:top w:val="single" w:sz="8" w:space="0" w:color="002C47"/>
              <w:left w:val="single" w:sz="8" w:space="0" w:color="002C47"/>
              <w:bottom w:val="single" w:sz="8" w:space="0" w:color="002C47"/>
              <w:right w:val="single" w:sz="8" w:space="0" w:color="002C47"/>
            </w:tcBorders>
            <w:hideMark/>
          </w:tcPr>
          <w:p w14:paraId="0112D785" w14:textId="77777777" w:rsidR="00AF2313" w:rsidRDefault="00AF2313">
            <w:r>
              <w:t>Data lock point</w:t>
            </w:r>
          </w:p>
        </w:tc>
      </w:tr>
      <w:tr w:rsidR="00AF2313" w14:paraId="2D90B1DD" w14:textId="77777777" w:rsidTr="00C81F36">
        <w:trPr>
          <w:cantSplit/>
        </w:trPr>
        <w:tc>
          <w:tcPr>
            <w:tcW w:w="1970" w:type="dxa"/>
            <w:tcBorders>
              <w:top w:val="single" w:sz="8" w:space="0" w:color="002C47"/>
              <w:left w:val="single" w:sz="8" w:space="0" w:color="002C47"/>
              <w:bottom w:val="single" w:sz="8" w:space="0" w:color="002C47"/>
              <w:right w:val="single" w:sz="8" w:space="0" w:color="002C47"/>
            </w:tcBorders>
            <w:hideMark/>
          </w:tcPr>
          <w:p w14:paraId="76AB3257" w14:textId="77777777" w:rsidR="00AF2313" w:rsidRDefault="00AF2313">
            <w:r>
              <w:t>RMP</w:t>
            </w:r>
          </w:p>
        </w:tc>
        <w:tc>
          <w:tcPr>
            <w:tcW w:w="6514" w:type="dxa"/>
            <w:tcBorders>
              <w:top w:val="single" w:sz="8" w:space="0" w:color="002C47"/>
              <w:left w:val="single" w:sz="8" w:space="0" w:color="002C47"/>
              <w:bottom w:val="single" w:sz="8" w:space="0" w:color="002C47"/>
              <w:right w:val="single" w:sz="8" w:space="0" w:color="002C47"/>
            </w:tcBorders>
            <w:hideMark/>
          </w:tcPr>
          <w:p w14:paraId="20B72845" w14:textId="77777777" w:rsidR="00AF2313" w:rsidRDefault="00AF2313">
            <w:r>
              <w:t>Risk management plan</w:t>
            </w:r>
          </w:p>
        </w:tc>
      </w:tr>
      <w:tr w:rsidR="00AF2313" w14:paraId="5BA8A512" w14:textId="77777777" w:rsidTr="00C81F36">
        <w:trPr>
          <w:cantSplit/>
        </w:trPr>
        <w:tc>
          <w:tcPr>
            <w:tcW w:w="1970" w:type="dxa"/>
            <w:tcBorders>
              <w:top w:val="single" w:sz="8" w:space="0" w:color="002C47"/>
              <w:left w:val="single" w:sz="8" w:space="0" w:color="002C47"/>
              <w:bottom w:val="single" w:sz="8" w:space="0" w:color="002C47"/>
              <w:right w:val="single" w:sz="8" w:space="0" w:color="002C47"/>
            </w:tcBorders>
            <w:hideMark/>
          </w:tcPr>
          <w:p w14:paraId="23043A1D" w14:textId="77777777" w:rsidR="00AF2313" w:rsidRDefault="00AF2313">
            <w:r>
              <w:t>TGA</w:t>
            </w:r>
          </w:p>
        </w:tc>
        <w:tc>
          <w:tcPr>
            <w:tcW w:w="6514" w:type="dxa"/>
            <w:tcBorders>
              <w:top w:val="single" w:sz="8" w:space="0" w:color="002C47"/>
              <w:left w:val="single" w:sz="8" w:space="0" w:color="002C47"/>
              <w:bottom w:val="single" w:sz="8" w:space="0" w:color="002C47"/>
              <w:right w:val="single" w:sz="8" w:space="0" w:color="002C47"/>
            </w:tcBorders>
            <w:hideMark/>
          </w:tcPr>
          <w:p w14:paraId="7436214E" w14:textId="77777777" w:rsidR="00AF2313" w:rsidRDefault="00AF2313">
            <w:r>
              <w:t>Therapeutic Goods Administration</w:t>
            </w:r>
          </w:p>
        </w:tc>
      </w:tr>
    </w:tbl>
    <w:p w14:paraId="51A91F8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B8E9A13" w14:textId="77777777" w:rsidR="008E7846" w:rsidRDefault="009F2673" w:rsidP="008E7846">
      <w:pPr>
        <w:pStyle w:val="Heading2"/>
      </w:pPr>
      <w:bookmarkStart w:id="5" w:name="_Toc115349595"/>
      <w:r>
        <w:lastRenderedPageBreak/>
        <w:t>Pr</w:t>
      </w:r>
      <w:r w:rsidR="008E7846">
        <w:t>oduct submission</w:t>
      </w:r>
      <w:bookmarkEnd w:id="5"/>
      <w:bookmarkEnd w:id="2"/>
      <w:bookmarkEnd w:id="0"/>
    </w:p>
    <w:p w14:paraId="66C0A9DF" w14:textId="77777777" w:rsidR="008E7846" w:rsidRDefault="008E7846" w:rsidP="009E5A87">
      <w:pPr>
        <w:pStyle w:val="Heading3"/>
        <w:rPr>
          <w:lang w:eastAsia="en-AU"/>
        </w:rPr>
      </w:pPr>
      <w:bookmarkStart w:id="6" w:name="_Toc247691502"/>
      <w:bookmarkStart w:id="7" w:name="_Toc314842483"/>
      <w:bookmarkStart w:id="8" w:name="_Toc115349596"/>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3313B239" w14:textId="77777777" w:rsidTr="0014455E">
        <w:tc>
          <w:tcPr>
            <w:tcW w:w="1577" w:type="pct"/>
          </w:tcPr>
          <w:p w14:paraId="0841C474" w14:textId="77777777" w:rsidR="009F2673" w:rsidRPr="003D1E62" w:rsidRDefault="009F2673" w:rsidP="009E5A87">
            <w:pPr>
              <w:rPr>
                <w:i/>
              </w:rPr>
            </w:pPr>
            <w:r>
              <w:rPr>
                <w:i/>
              </w:rPr>
              <w:t>Type of s</w:t>
            </w:r>
            <w:r w:rsidRPr="003D1E62">
              <w:rPr>
                <w:i/>
              </w:rPr>
              <w:t>ubmission</w:t>
            </w:r>
            <w:r>
              <w:rPr>
                <w:i/>
              </w:rPr>
              <w:t>:</w:t>
            </w:r>
          </w:p>
        </w:tc>
        <w:tc>
          <w:tcPr>
            <w:tcW w:w="3423" w:type="pct"/>
          </w:tcPr>
          <w:p w14:paraId="5E1A53F4" w14:textId="4DC5DAB3" w:rsidR="009F2673" w:rsidRPr="003D1E62" w:rsidRDefault="00C81F36" w:rsidP="00C81F36">
            <w:r>
              <w:t>M</w:t>
            </w:r>
            <w:r w:rsidR="009F2673" w:rsidRPr="003D1E62">
              <w:t xml:space="preserve">ajor </w:t>
            </w:r>
            <w:r w:rsidR="009F2673">
              <w:t>v</w:t>
            </w:r>
            <w:r w:rsidR="009F2673" w:rsidRPr="003D1E62">
              <w:t>ariation</w:t>
            </w:r>
          </w:p>
        </w:tc>
      </w:tr>
      <w:tr w:rsidR="009F2673" w:rsidRPr="003D1E62" w14:paraId="6CDD139C" w14:textId="77777777" w:rsidTr="0014455E">
        <w:tc>
          <w:tcPr>
            <w:tcW w:w="1577" w:type="pct"/>
          </w:tcPr>
          <w:p w14:paraId="15A914D8" w14:textId="6F039A6A" w:rsidR="009F2673" w:rsidRPr="003D1E62" w:rsidRDefault="00C81F36" w:rsidP="009E5A87">
            <w:pPr>
              <w:rPr>
                <w:i/>
              </w:rPr>
            </w:pPr>
            <w:r>
              <w:rPr>
                <w:i/>
              </w:rPr>
              <w:t>Product name</w:t>
            </w:r>
            <w:r w:rsidR="009F2673" w:rsidRPr="00460036">
              <w:rPr>
                <w:i/>
              </w:rPr>
              <w:t>:</w:t>
            </w:r>
          </w:p>
        </w:tc>
        <w:tc>
          <w:tcPr>
            <w:tcW w:w="3423" w:type="pct"/>
          </w:tcPr>
          <w:p w14:paraId="129157AC" w14:textId="07651EAC" w:rsidR="009F2673" w:rsidRPr="003D1E62" w:rsidRDefault="00C81F36" w:rsidP="009E5A87">
            <w:r>
              <w:t>Comirnaty</w:t>
            </w:r>
          </w:p>
        </w:tc>
      </w:tr>
      <w:tr w:rsidR="009F2673" w:rsidRPr="003D1E62" w14:paraId="424330D5" w14:textId="77777777" w:rsidTr="0014455E">
        <w:tc>
          <w:tcPr>
            <w:tcW w:w="1577" w:type="pct"/>
          </w:tcPr>
          <w:p w14:paraId="7846355D" w14:textId="191599A4" w:rsidR="009F2673" w:rsidRPr="003D1E62" w:rsidRDefault="00C81F36" w:rsidP="009E5A87">
            <w:pPr>
              <w:rPr>
                <w:i/>
              </w:rPr>
            </w:pPr>
            <w:r>
              <w:rPr>
                <w:i/>
              </w:rPr>
              <w:t>Active ingredient</w:t>
            </w:r>
            <w:r w:rsidR="009F2673" w:rsidRPr="00460036">
              <w:rPr>
                <w:i/>
              </w:rPr>
              <w:t>:</w:t>
            </w:r>
          </w:p>
        </w:tc>
        <w:tc>
          <w:tcPr>
            <w:tcW w:w="3423" w:type="pct"/>
          </w:tcPr>
          <w:p w14:paraId="387A2DFE" w14:textId="6299A77F" w:rsidR="009F2673" w:rsidRPr="003D1E62" w:rsidRDefault="00C81F36" w:rsidP="009E5A87">
            <w:r>
              <w:t>Tozinameran (formerly BNT162b2 [</w:t>
            </w:r>
            <w:r w:rsidRPr="00C81F36">
              <w:t>mRNA])</w:t>
            </w:r>
          </w:p>
        </w:tc>
      </w:tr>
      <w:tr w:rsidR="009F2673" w:rsidRPr="003D1E62" w14:paraId="3616C1B1" w14:textId="77777777" w:rsidTr="0014455E">
        <w:tc>
          <w:tcPr>
            <w:tcW w:w="1577" w:type="pct"/>
          </w:tcPr>
          <w:p w14:paraId="26B520C4" w14:textId="77777777" w:rsidR="009F2673" w:rsidRPr="009F2673" w:rsidRDefault="009F2673" w:rsidP="009E5A87">
            <w:pPr>
              <w:rPr>
                <w:i/>
              </w:rPr>
            </w:pPr>
            <w:r w:rsidRPr="003D1E62">
              <w:rPr>
                <w:i/>
              </w:rPr>
              <w:t>Decision</w:t>
            </w:r>
            <w:r w:rsidRPr="009F2673">
              <w:rPr>
                <w:i/>
              </w:rPr>
              <w:t>:</w:t>
            </w:r>
          </w:p>
        </w:tc>
        <w:tc>
          <w:tcPr>
            <w:tcW w:w="3423" w:type="pct"/>
          </w:tcPr>
          <w:p w14:paraId="0DB6BA53" w14:textId="6E1AD681" w:rsidR="009F2673" w:rsidRPr="003D1E62" w:rsidRDefault="00457474" w:rsidP="009E5A87">
            <w:r>
              <w:t>Approved</w:t>
            </w:r>
          </w:p>
        </w:tc>
      </w:tr>
      <w:tr w:rsidR="009F2673" w:rsidRPr="003D1E62" w14:paraId="75360063" w14:textId="77777777" w:rsidTr="0014455E">
        <w:tc>
          <w:tcPr>
            <w:tcW w:w="1577" w:type="pct"/>
          </w:tcPr>
          <w:p w14:paraId="22117E57"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4289DAF" w14:textId="1C8C163E" w:rsidR="009F2673" w:rsidRPr="003D1E62" w:rsidRDefault="00457474" w:rsidP="009E5A87">
            <w:r>
              <w:t>20 September 2022</w:t>
            </w:r>
          </w:p>
        </w:tc>
      </w:tr>
      <w:tr w:rsidR="009F2673" w:rsidRPr="003D1E62" w14:paraId="784F6DD5" w14:textId="77777777" w:rsidTr="0014455E">
        <w:tc>
          <w:tcPr>
            <w:tcW w:w="1577" w:type="pct"/>
          </w:tcPr>
          <w:p w14:paraId="33B9D08C" w14:textId="77777777" w:rsidR="009F2673" w:rsidRPr="00441C3F" w:rsidRDefault="009F2673" w:rsidP="009E5A87">
            <w:pPr>
              <w:rPr>
                <w:i/>
              </w:rPr>
            </w:pPr>
            <w:r w:rsidRPr="00441C3F">
              <w:rPr>
                <w:i/>
              </w:rPr>
              <w:t>Date of entry onto ARTG</w:t>
            </w:r>
            <w:r>
              <w:rPr>
                <w:i/>
              </w:rPr>
              <w:t>:</w:t>
            </w:r>
          </w:p>
        </w:tc>
        <w:tc>
          <w:tcPr>
            <w:tcW w:w="3423" w:type="pct"/>
          </w:tcPr>
          <w:p w14:paraId="7A826AFD" w14:textId="4001A72F" w:rsidR="009F2673" w:rsidRPr="006063BE" w:rsidRDefault="006063BE" w:rsidP="009E5A87">
            <w:pPr>
              <w:rPr>
                <w:highlight w:val="yellow"/>
              </w:rPr>
            </w:pPr>
            <w:r w:rsidRPr="006063BE">
              <w:t>29 September 2022</w:t>
            </w:r>
          </w:p>
        </w:tc>
      </w:tr>
      <w:tr w:rsidR="009F2673" w:rsidRPr="003D1E62" w14:paraId="5C82E87B" w14:textId="77777777" w:rsidTr="0014455E">
        <w:tc>
          <w:tcPr>
            <w:tcW w:w="1577" w:type="pct"/>
          </w:tcPr>
          <w:p w14:paraId="1A358363" w14:textId="0A49F352" w:rsidR="009F2673" w:rsidRPr="00441C3F" w:rsidRDefault="00FD0F38" w:rsidP="009E5A87">
            <w:pPr>
              <w:rPr>
                <w:i/>
              </w:rPr>
            </w:pPr>
            <w:r>
              <w:rPr>
                <w:i/>
              </w:rPr>
              <w:t>ARTG number</w:t>
            </w:r>
            <w:r w:rsidR="009F2673">
              <w:rPr>
                <w:i/>
              </w:rPr>
              <w:t>:</w:t>
            </w:r>
          </w:p>
        </w:tc>
        <w:tc>
          <w:tcPr>
            <w:tcW w:w="3423" w:type="pct"/>
          </w:tcPr>
          <w:p w14:paraId="11FE1BF3" w14:textId="7824C8F5" w:rsidR="009F2673" w:rsidRPr="00D84E12" w:rsidRDefault="00FD0F38" w:rsidP="009E5A87">
            <w:pPr>
              <w:rPr>
                <w:highlight w:val="yellow"/>
              </w:rPr>
            </w:pPr>
            <w:r w:rsidRPr="00FD0F38">
              <w:t>377111</w:t>
            </w:r>
          </w:p>
        </w:tc>
      </w:tr>
      <w:tr w:rsidR="009F2673" w:rsidRPr="003D1E62" w14:paraId="67E59854" w14:textId="77777777" w:rsidTr="0014455E">
        <w:tc>
          <w:tcPr>
            <w:tcW w:w="1577" w:type="pct"/>
          </w:tcPr>
          <w:p w14:paraId="251DA129" w14:textId="750866E1"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7CBC59A3" w14:textId="69DE7F3E" w:rsidR="009F2673" w:rsidRDefault="00D84E12" w:rsidP="009E5A87">
            <w:r>
              <w:t>Yes</w:t>
            </w:r>
          </w:p>
          <w:p w14:paraId="75DAD9E2" w14:textId="47726866" w:rsidR="009F2673" w:rsidRPr="00487162" w:rsidRDefault="009F2673" w:rsidP="009E5A87">
            <w:r>
              <w:t>As a provisionally registered product, this medicine will remain in the Black Triangle Scheme for the duration of its provisional registration</w:t>
            </w:r>
          </w:p>
        </w:tc>
      </w:tr>
      <w:tr w:rsidR="009F2673" w:rsidRPr="003D1E62" w14:paraId="0DFE4D2C" w14:textId="77777777" w:rsidTr="0014455E">
        <w:tc>
          <w:tcPr>
            <w:tcW w:w="1577" w:type="pct"/>
          </w:tcPr>
          <w:p w14:paraId="6E11B7A3"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6A6A96CA" w14:textId="77777777" w:rsidR="00FD0F38" w:rsidRDefault="00FD0F38" w:rsidP="00FD0F38">
            <w:r>
              <w:t>Pfizer Australia Pty Ltd</w:t>
            </w:r>
          </w:p>
          <w:p w14:paraId="1627BCEB" w14:textId="77777777" w:rsidR="00FD0F38" w:rsidRDefault="00FD0F38" w:rsidP="00FD0F38">
            <w:r>
              <w:t>Level 17, 151 Clarence Street</w:t>
            </w:r>
          </w:p>
          <w:p w14:paraId="38BEE259" w14:textId="0D874EAD" w:rsidR="009F2673" w:rsidRDefault="00FD0F38" w:rsidP="00FD0F38">
            <w:r>
              <w:t>Sydney, NSW, 2000</w:t>
            </w:r>
          </w:p>
        </w:tc>
      </w:tr>
      <w:tr w:rsidR="009F2673" w:rsidRPr="003D1E62" w14:paraId="7C4796A4" w14:textId="77777777" w:rsidTr="0014455E">
        <w:tc>
          <w:tcPr>
            <w:tcW w:w="1577" w:type="pct"/>
          </w:tcPr>
          <w:p w14:paraId="6FE3467B" w14:textId="38A17EAE" w:rsidR="009F2673" w:rsidRPr="00487162" w:rsidRDefault="00FD0F38" w:rsidP="009E5A87">
            <w:pPr>
              <w:rPr>
                <w:i/>
              </w:rPr>
            </w:pPr>
            <w:r>
              <w:rPr>
                <w:i/>
              </w:rPr>
              <w:t>Dose form</w:t>
            </w:r>
            <w:r w:rsidR="009F2673">
              <w:rPr>
                <w:i/>
              </w:rPr>
              <w:t>:</w:t>
            </w:r>
          </w:p>
        </w:tc>
        <w:tc>
          <w:tcPr>
            <w:tcW w:w="3423" w:type="pct"/>
          </w:tcPr>
          <w:p w14:paraId="7D13D10B" w14:textId="02D26621" w:rsidR="009F2673" w:rsidRDefault="00FD0F38" w:rsidP="009E5A87">
            <w:r>
              <w:t>Concentrated suspension for injection (dilute to use)</w:t>
            </w:r>
          </w:p>
        </w:tc>
      </w:tr>
      <w:tr w:rsidR="009F2673" w:rsidRPr="003D1E62" w14:paraId="6B9BA6AF" w14:textId="77777777" w:rsidTr="0014455E">
        <w:tc>
          <w:tcPr>
            <w:tcW w:w="1577" w:type="pct"/>
          </w:tcPr>
          <w:p w14:paraId="616B1753" w14:textId="2CFE62A7" w:rsidR="009F2673" w:rsidRPr="00487162" w:rsidRDefault="00FD0F38" w:rsidP="009E5A87">
            <w:pPr>
              <w:rPr>
                <w:i/>
              </w:rPr>
            </w:pPr>
            <w:r>
              <w:rPr>
                <w:i/>
              </w:rPr>
              <w:t>Strength</w:t>
            </w:r>
            <w:r w:rsidR="009F2673" w:rsidRPr="00487162">
              <w:rPr>
                <w:i/>
              </w:rPr>
              <w:t>:</w:t>
            </w:r>
          </w:p>
        </w:tc>
        <w:tc>
          <w:tcPr>
            <w:tcW w:w="3423" w:type="pct"/>
          </w:tcPr>
          <w:p w14:paraId="646AADD5" w14:textId="3A35D8FA" w:rsidR="009F2673" w:rsidRDefault="00FD0F38" w:rsidP="009E5A87">
            <w:r w:rsidRPr="00FD0F38">
              <w:t>10 µg/0.2 mL</w:t>
            </w:r>
          </w:p>
        </w:tc>
      </w:tr>
      <w:tr w:rsidR="009F2673" w:rsidRPr="003D1E62" w14:paraId="00AD597B" w14:textId="77777777" w:rsidTr="0014455E">
        <w:tc>
          <w:tcPr>
            <w:tcW w:w="1577" w:type="pct"/>
          </w:tcPr>
          <w:p w14:paraId="4D566D67" w14:textId="49F7C213" w:rsidR="009F2673" w:rsidRPr="00487162" w:rsidRDefault="00FD0F38" w:rsidP="009E5A87">
            <w:pPr>
              <w:rPr>
                <w:i/>
              </w:rPr>
            </w:pPr>
            <w:r>
              <w:rPr>
                <w:i/>
              </w:rPr>
              <w:t>Container</w:t>
            </w:r>
            <w:r w:rsidR="009F2673" w:rsidRPr="00487162">
              <w:rPr>
                <w:i/>
              </w:rPr>
              <w:t>:</w:t>
            </w:r>
          </w:p>
        </w:tc>
        <w:tc>
          <w:tcPr>
            <w:tcW w:w="3423" w:type="pct"/>
          </w:tcPr>
          <w:p w14:paraId="07AFDC91" w14:textId="007AA083" w:rsidR="009F2673" w:rsidRDefault="00FD0F38" w:rsidP="009E5A87">
            <w:r>
              <w:t>Multidose glass vial</w:t>
            </w:r>
            <w:r w:rsidR="00C627EB">
              <w:t>, orange cap</w:t>
            </w:r>
          </w:p>
        </w:tc>
      </w:tr>
      <w:tr w:rsidR="009F2673" w:rsidRPr="003D1E62" w14:paraId="4C74B00A" w14:textId="77777777" w:rsidTr="0014455E">
        <w:tc>
          <w:tcPr>
            <w:tcW w:w="1577" w:type="pct"/>
          </w:tcPr>
          <w:p w14:paraId="154E7D02" w14:textId="38DEFD36" w:rsidR="009F2673" w:rsidRPr="00487162" w:rsidRDefault="00FD0F38" w:rsidP="009E5A87">
            <w:pPr>
              <w:rPr>
                <w:i/>
              </w:rPr>
            </w:pPr>
            <w:r>
              <w:rPr>
                <w:i/>
              </w:rPr>
              <w:t>Pack sizes</w:t>
            </w:r>
            <w:r w:rsidR="009F2673" w:rsidRPr="00487162">
              <w:rPr>
                <w:i/>
              </w:rPr>
              <w:t>:</w:t>
            </w:r>
          </w:p>
        </w:tc>
        <w:tc>
          <w:tcPr>
            <w:tcW w:w="3423" w:type="pct"/>
          </w:tcPr>
          <w:p w14:paraId="7F1E677A" w14:textId="13EEDE6D" w:rsidR="009F2673" w:rsidRDefault="00FD0F38" w:rsidP="00FD0F38">
            <w:r>
              <w:t>Packs of 10, and 195</w:t>
            </w:r>
            <w:r w:rsidR="00C707A1">
              <w:t xml:space="preserve"> </w:t>
            </w:r>
            <w:r>
              <w:t>vials</w:t>
            </w:r>
          </w:p>
        </w:tc>
      </w:tr>
      <w:tr w:rsidR="009F2673" w:rsidRPr="003D1E62" w14:paraId="0C347AA1" w14:textId="77777777" w:rsidTr="0014455E">
        <w:tc>
          <w:tcPr>
            <w:tcW w:w="1577" w:type="pct"/>
          </w:tcPr>
          <w:p w14:paraId="3392437B"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5A8FC200" w14:textId="77777777" w:rsidR="0035272A" w:rsidRPr="0035272A" w:rsidRDefault="0035272A" w:rsidP="0035272A">
            <w:pPr>
              <w:rPr>
                <w:i/>
              </w:rPr>
            </w:pPr>
            <w:r w:rsidRPr="0035272A">
              <w:rPr>
                <w:i/>
              </w:rPr>
              <w:t>Comirnaty (tozinameran) COVID-19 Vaccine has provisional approval for the indication below:</w:t>
            </w:r>
          </w:p>
          <w:p w14:paraId="581267D8" w14:textId="77777777" w:rsidR="0035272A" w:rsidRPr="0035272A" w:rsidRDefault="0035272A" w:rsidP="0035272A">
            <w:pPr>
              <w:rPr>
                <w:i/>
              </w:rPr>
            </w:pPr>
            <w:r w:rsidRPr="0035272A">
              <w:rPr>
                <w:i/>
              </w:rPr>
              <w:t>Active immunisation to prevent coronavirus disease 2019 (COVID-19) caused by SARS CoV-2, in individuals 5 years of age and older.</w:t>
            </w:r>
          </w:p>
          <w:p w14:paraId="5526AE3F" w14:textId="77777777" w:rsidR="0035272A" w:rsidRPr="0035272A" w:rsidRDefault="0035272A" w:rsidP="0035272A">
            <w:pPr>
              <w:rPr>
                <w:i/>
              </w:rPr>
            </w:pPr>
            <w:r w:rsidRPr="0035272A">
              <w:rPr>
                <w:i/>
              </w:rPr>
              <w:t>The use of this vaccine should be in accordance with official recommendations.</w:t>
            </w:r>
          </w:p>
          <w:p w14:paraId="0D3382FA" w14:textId="47F78C7D" w:rsidR="009F2673" w:rsidRPr="00FD0F38" w:rsidRDefault="0035272A" w:rsidP="0035272A">
            <w:pPr>
              <w:rPr>
                <w:i/>
              </w:rPr>
            </w:pPr>
            <w:r w:rsidRPr="0035272A">
              <w:rPr>
                <w:i/>
              </w:rPr>
              <w:t xml:space="preserve">The decision has been made on the basis of </w:t>
            </w:r>
            <w:proofErr w:type="gramStart"/>
            <w:r w:rsidRPr="0035272A">
              <w:rPr>
                <w:i/>
              </w:rPr>
              <w:t>short term</w:t>
            </w:r>
            <w:proofErr w:type="gramEnd"/>
            <w:r w:rsidRPr="0035272A">
              <w:rPr>
                <w:i/>
              </w:rPr>
              <w:t xml:space="preserve"> efficacy and safety data. Continued approval depends on the evidence of </w:t>
            </w:r>
            <w:proofErr w:type="gramStart"/>
            <w:r w:rsidRPr="0035272A">
              <w:rPr>
                <w:i/>
              </w:rPr>
              <w:t>longer term</w:t>
            </w:r>
            <w:proofErr w:type="gramEnd"/>
            <w:r w:rsidRPr="0035272A">
              <w:rPr>
                <w:i/>
              </w:rPr>
              <w:t xml:space="preserve"> efficacy and safety from ongoing clinical trials and post-market assessment.</w:t>
            </w:r>
          </w:p>
        </w:tc>
      </w:tr>
      <w:tr w:rsidR="009F2673" w:rsidRPr="003D1E62" w14:paraId="1307ED83" w14:textId="77777777" w:rsidTr="0014455E">
        <w:tc>
          <w:tcPr>
            <w:tcW w:w="1577" w:type="pct"/>
          </w:tcPr>
          <w:p w14:paraId="545122BE" w14:textId="500B76D6" w:rsidR="009F2673" w:rsidRPr="00487162" w:rsidRDefault="00FD0F38" w:rsidP="009E5A87">
            <w:pPr>
              <w:rPr>
                <w:i/>
              </w:rPr>
            </w:pPr>
            <w:r>
              <w:rPr>
                <w:i/>
              </w:rPr>
              <w:t>Route</w:t>
            </w:r>
            <w:r w:rsidR="009F2673" w:rsidRPr="00487162">
              <w:rPr>
                <w:i/>
              </w:rPr>
              <w:t xml:space="preserve"> of administration:</w:t>
            </w:r>
          </w:p>
        </w:tc>
        <w:tc>
          <w:tcPr>
            <w:tcW w:w="3423" w:type="pct"/>
          </w:tcPr>
          <w:p w14:paraId="47AEABF7" w14:textId="56DE15D2" w:rsidR="009F2673" w:rsidRPr="00487162" w:rsidRDefault="00FD0F38" w:rsidP="009E5A87">
            <w:r>
              <w:t>Intramuscular</w:t>
            </w:r>
            <w:r w:rsidR="00C627EB">
              <w:t xml:space="preserve"> injection</w:t>
            </w:r>
          </w:p>
        </w:tc>
      </w:tr>
      <w:tr w:rsidR="009F2673" w:rsidRPr="003D1E62" w14:paraId="376F26BA" w14:textId="77777777" w:rsidTr="0014455E">
        <w:tc>
          <w:tcPr>
            <w:tcW w:w="1577" w:type="pct"/>
          </w:tcPr>
          <w:p w14:paraId="322F78B5" w14:textId="77777777" w:rsidR="009F2673" w:rsidRPr="00487162" w:rsidRDefault="009F2673" w:rsidP="009E5A87">
            <w:pPr>
              <w:rPr>
                <w:i/>
              </w:rPr>
            </w:pPr>
            <w:r w:rsidRPr="00487162">
              <w:rPr>
                <w:i/>
              </w:rPr>
              <w:t>Dosage:</w:t>
            </w:r>
          </w:p>
        </w:tc>
        <w:tc>
          <w:tcPr>
            <w:tcW w:w="3423" w:type="pct"/>
          </w:tcPr>
          <w:p w14:paraId="1149F5CA" w14:textId="39662708" w:rsidR="00A82ECE" w:rsidRPr="00A82ECE" w:rsidRDefault="00A82ECE" w:rsidP="00A82ECE">
            <w:pPr>
              <w:rPr>
                <w:i/>
              </w:rPr>
            </w:pPr>
            <w:r w:rsidRPr="00A82ECE">
              <w:rPr>
                <w:i/>
              </w:rPr>
              <w:t>Bo</w:t>
            </w:r>
            <w:r>
              <w:rPr>
                <w:i/>
              </w:rPr>
              <w:t xml:space="preserve">oster dose in individuals </w:t>
            </w:r>
            <w:r w:rsidR="00A97688">
              <w:rPr>
                <w:i/>
              </w:rPr>
              <w:t xml:space="preserve">from </w:t>
            </w:r>
            <w:r>
              <w:rPr>
                <w:i/>
              </w:rPr>
              <w:t xml:space="preserve">5 to under </w:t>
            </w:r>
            <w:r w:rsidRPr="00A82ECE">
              <w:rPr>
                <w:i/>
              </w:rPr>
              <w:t>12 years of age</w:t>
            </w:r>
          </w:p>
          <w:p w14:paraId="550D41C1" w14:textId="7416A78F" w:rsidR="00A82ECE" w:rsidRPr="00A82ECE" w:rsidRDefault="00A82ECE" w:rsidP="00A82ECE">
            <w:r w:rsidRPr="00A82ECE">
              <w:lastRenderedPageBreak/>
              <w:t>A booster dose of Comirnaty</w:t>
            </w:r>
            <w:r>
              <w:t xml:space="preserve"> COVID-19</w:t>
            </w:r>
            <w:r w:rsidRPr="00A82ECE">
              <w:t xml:space="preserve"> vaccine (dilute to use, multidose) may be</w:t>
            </w:r>
            <w:r>
              <w:t xml:space="preserve"> </w:t>
            </w:r>
            <w:r w:rsidRPr="00A82ECE">
              <w:t xml:space="preserve">administered intramuscularly at least 6 months after the second dose in individuals </w:t>
            </w:r>
            <w:r>
              <w:t>from 5</w:t>
            </w:r>
            <w:r w:rsidR="00A97688">
              <w:t> </w:t>
            </w:r>
            <w:r>
              <w:t xml:space="preserve">to under </w:t>
            </w:r>
            <w:r w:rsidRPr="00A82ECE">
              <w:t>12</w:t>
            </w:r>
            <w:r>
              <w:t xml:space="preserve"> years of age.</w:t>
            </w:r>
          </w:p>
          <w:p w14:paraId="770DDA41" w14:textId="5E243067" w:rsidR="00C707A1" w:rsidRPr="00E6651C" w:rsidRDefault="00FD0F38" w:rsidP="00FD0F38">
            <w:pPr>
              <w:rPr>
                <w:i/>
              </w:rPr>
            </w:pPr>
            <w:r w:rsidRPr="00E6651C">
              <w:rPr>
                <w:i/>
              </w:rPr>
              <w:t>Comirnaty</w:t>
            </w:r>
            <w:r w:rsidR="00C707A1" w:rsidRPr="00E6651C">
              <w:rPr>
                <w:i/>
              </w:rPr>
              <w:t xml:space="preserve"> (tozinameran) concentrate</w:t>
            </w:r>
            <w:r w:rsidRPr="00E6651C">
              <w:rPr>
                <w:i/>
              </w:rPr>
              <w:t xml:space="preserve"> </w:t>
            </w:r>
            <w:r w:rsidR="00C707A1" w:rsidRPr="00E6651C">
              <w:rPr>
                <w:i/>
              </w:rPr>
              <w:t>for injection (dilute to u</w:t>
            </w:r>
            <w:r w:rsidRPr="00E6651C">
              <w:rPr>
                <w:i/>
              </w:rPr>
              <w:t>se</w:t>
            </w:r>
            <w:r w:rsidR="00C707A1" w:rsidRPr="00E6651C">
              <w:rPr>
                <w:i/>
              </w:rPr>
              <w:t>) m</w:t>
            </w:r>
            <w:r w:rsidRPr="00E6651C">
              <w:rPr>
                <w:i/>
              </w:rPr>
              <w:t>ultidose</w:t>
            </w:r>
            <w:r w:rsidR="00C707A1" w:rsidRPr="00E6651C">
              <w:rPr>
                <w:i/>
              </w:rPr>
              <w:t xml:space="preserve"> vial (for age 5 to less than </w:t>
            </w:r>
            <w:r w:rsidR="00E6651C" w:rsidRPr="00E6651C">
              <w:rPr>
                <w:i/>
              </w:rPr>
              <w:t>12 Years):</w:t>
            </w:r>
          </w:p>
          <w:p w14:paraId="6110BC3A" w14:textId="77777777" w:rsidR="00E6651C" w:rsidRDefault="00C707A1" w:rsidP="00C707A1">
            <w:pPr>
              <w:pStyle w:val="ListBullet"/>
            </w:pPr>
            <w:r>
              <w:t xml:space="preserve">This is a multidose vial </w:t>
            </w:r>
            <w:r w:rsidR="00FD0F38">
              <w:t>with an orange cap.</w:t>
            </w:r>
            <w:r w:rsidR="00193E6C">
              <w:t xml:space="preserve"> It must be diluted before use.</w:t>
            </w:r>
          </w:p>
          <w:p w14:paraId="3D4E8EDD" w14:textId="77777777" w:rsidR="00E6651C" w:rsidRDefault="00FD0F38" w:rsidP="00C707A1">
            <w:pPr>
              <w:pStyle w:val="ListBullet"/>
            </w:pPr>
            <w:r>
              <w:t>One vial (1</w:t>
            </w:r>
            <w:r w:rsidR="00C707A1">
              <w:t xml:space="preserve">.3 mL) contains 10 doses of 0.2 </w:t>
            </w:r>
            <w:r>
              <w:t xml:space="preserve">mL after dilution (see </w:t>
            </w:r>
            <w:proofErr w:type="gramStart"/>
            <w:r>
              <w:t>Section 4.2 Dose and method of administration</w:t>
            </w:r>
            <w:r w:rsidR="00E6651C">
              <w:t>,</w:t>
            </w:r>
            <w:proofErr w:type="gramEnd"/>
            <w:r w:rsidR="00E6651C">
              <w:t xml:space="preserve"> of the Product Information (PI)).</w:t>
            </w:r>
          </w:p>
          <w:p w14:paraId="1D16E741" w14:textId="120F5BAE" w:rsidR="00C707A1" w:rsidRDefault="00FD0F38" w:rsidP="00C707A1">
            <w:pPr>
              <w:pStyle w:val="ListBullet"/>
            </w:pPr>
            <w:r>
              <w:t>One do</w:t>
            </w:r>
            <w:r w:rsidR="00C707A1">
              <w:t xml:space="preserve">se (0.2 mL) </w:t>
            </w:r>
            <w:r w:rsidR="00E6651C" w:rsidRPr="00E6651C">
              <w:t xml:space="preserve">contains 10 µg </w:t>
            </w:r>
            <w:r w:rsidRPr="00E6651C">
              <w:t>of</w:t>
            </w:r>
            <w:r>
              <w:t xml:space="preserve"> </w:t>
            </w:r>
            <w:r w:rsidR="00A82ECE">
              <w:t>v</w:t>
            </w:r>
            <w:r>
              <w:t>accine (</w:t>
            </w:r>
            <w:r w:rsidR="00C707A1">
              <w:t xml:space="preserve">tozinameran, </w:t>
            </w:r>
            <w:r>
              <w:t>embedded in lipid nanoparticles).</w:t>
            </w:r>
          </w:p>
          <w:p w14:paraId="06349F16" w14:textId="77777777" w:rsidR="00C707A1" w:rsidRDefault="00C707A1" w:rsidP="00C707A1">
            <w:pPr>
              <w:rPr>
                <w:i/>
              </w:rPr>
            </w:pPr>
            <w:r w:rsidRPr="00C707A1">
              <w:rPr>
                <w:i/>
              </w:rPr>
              <w:t>Method of administration:</w:t>
            </w:r>
          </w:p>
          <w:p w14:paraId="18AF4F73" w14:textId="77777777" w:rsidR="00C627EB" w:rsidRDefault="00C707A1" w:rsidP="00C707A1">
            <w:pPr>
              <w:pStyle w:val="ListBullet"/>
            </w:pPr>
            <w:r>
              <w:t>Comirnaty should be administered intramuscularly. The preferred site of administration is the deltoid muscle of the upper arm.</w:t>
            </w:r>
          </w:p>
          <w:p w14:paraId="29DB5824" w14:textId="77777777" w:rsidR="00C627EB" w:rsidRDefault="00C707A1" w:rsidP="00C707A1">
            <w:pPr>
              <w:pStyle w:val="ListBullet"/>
            </w:pPr>
            <w:r>
              <w:t>Do not inject Comirnaty intravascularly, subcutaneously or intradermally. Comirnaty should not be mixed in the same syringe with any other vaccines or medicinal products.</w:t>
            </w:r>
          </w:p>
          <w:p w14:paraId="21AF4192" w14:textId="7444B367" w:rsidR="00C707A1" w:rsidRDefault="00C707A1" w:rsidP="00C707A1">
            <w:pPr>
              <w:pStyle w:val="ListBullet"/>
            </w:pPr>
            <w:r>
              <w:t>For precautions to be taken before administering Comirnaty, see Section 4.4 Special warnings and precautions for use</w:t>
            </w:r>
            <w:r w:rsidR="0035272A">
              <w:t xml:space="preserve"> of the Product Information</w:t>
            </w:r>
            <w:r>
              <w:t>.</w:t>
            </w:r>
          </w:p>
          <w:p w14:paraId="788F9192" w14:textId="77777777" w:rsidR="0035272A" w:rsidRDefault="00A82ECE" w:rsidP="0035272A">
            <w:pPr>
              <w:rPr>
                <w:i/>
              </w:rPr>
            </w:pPr>
            <w:r w:rsidRPr="0035272A">
              <w:rPr>
                <w:i/>
              </w:rPr>
              <w:t xml:space="preserve">Handling, </w:t>
            </w:r>
            <w:proofErr w:type="gramStart"/>
            <w:r w:rsidRPr="0035272A">
              <w:rPr>
                <w:i/>
              </w:rPr>
              <w:t>dilution</w:t>
            </w:r>
            <w:proofErr w:type="gramEnd"/>
            <w:r w:rsidRPr="0035272A">
              <w:rPr>
                <w:i/>
              </w:rPr>
              <w:t xml:space="preserve"> and dose preparation of vaccine:</w:t>
            </w:r>
          </w:p>
          <w:p w14:paraId="2175BF4B" w14:textId="200D3748" w:rsidR="00A82ECE" w:rsidRPr="0035272A" w:rsidRDefault="00A82ECE" w:rsidP="00A82ECE">
            <w:pPr>
              <w:pStyle w:val="ListBullet"/>
              <w:rPr>
                <w:i/>
              </w:rPr>
            </w:pPr>
            <w:r>
              <w:rPr>
                <w:lang w:val="en-GB"/>
              </w:rPr>
              <w:t>For instructions on the handling, dilution and dose preparation of the vaccine before</w:t>
            </w:r>
            <w:r w:rsidR="0035272A">
              <w:rPr>
                <w:lang w:val="en-GB"/>
              </w:rPr>
              <w:t xml:space="preserve"> </w:t>
            </w:r>
            <w:r w:rsidRPr="0035272A">
              <w:rPr>
                <w:rFonts w:ascii="Times New Roman" w:eastAsiaTheme="minorHAnsi" w:hAnsi="Times New Roman"/>
                <w:sz w:val="24"/>
                <w:szCs w:val="24"/>
                <w:lang w:val="en-GB"/>
              </w:rPr>
              <w:t xml:space="preserve">administration see </w:t>
            </w:r>
            <w:r w:rsidRPr="0035272A">
              <w:rPr>
                <w:rFonts w:ascii="Times New Roman" w:eastAsiaTheme="minorHAnsi" w:hAnsi="Times New Roman"/>
                <w:i/>
                <w:sz w:val="24"/>
                <w:szCs w:val="24"/>
                <w:lang w:val="en-GB"/>
              </w:rPr>
              <w:t xml:space="preserve">Handling </w:t>
            </w:r>
            <w:proofErr w:type="gramStart"/>
            <w:r w:rsidRPr="0035272A">
              <w:rPr>
                <w:rFonts w:ascii="Times New Roman" w:eastAsiaTheme="minorHAnsi" w:hAnsi="Times New Roman"/>
                <w:i/>
                <w:sz w:val="24"/>
                <w:szCs w:val="24"/>
                <w:lang w:val="en-GB"/>
              </w:rPr>
              <w:t>instructions</w:t>
            </w:r>
            <w:proofErr w:type="gramEnd"/>
            <w:r w:rsidR="0035272A" w:rsidRPr="0035272A">
              <w:rPr>
                <w:rFonts w:ascii="Times New Roman" w:eastAsiaTheme="minorHAnsi" w:hAnsi="Times New Roman"/>
                <w:i/>
                <w:sz w:val="24"/>
                <w:szCs w:val="24"/>
                <w:lang w:val="en-GB"/>
              </w:rPr>
              <w:t xml:space="preserve"> </w:t>
            </w:r>
            <w:r w:rsidR="0035272A">
              <w:rPr>
                <w:rFonts w:ascii="Times New Roman" w:eastAsiaTheme="minorHAnsi" w:hAnsi="Times New Roman"/>
                <w:sz w:val="24"/>
                <w:szCs w:val="24"/>
                <w:lang w:val="en-GB"/>
              </w:rPr>
              <w:t>in the Product Information.</w:t>
            </w:r>
          </w:p>
          <w:p w14:paraId="601241B2" w14:textId="7BFC6761" w:rsidR="009F2673" w:rsidRPr="00487162" w:rsidRDefault="009F2673" w:rsidP="00C707A1">
            <w:r w:rsidRPr="00460036">
              <w:t>For further information regarding dosage, refer to the Product Information.</w:t>
            </w:r>
          </w:p>
        </w:tc>
      </w:tr>
      <w:tr w:rsidR="009F2673" w:rsidRPr="003D1E62" w14:paraId="3A7701A0" w14:textId="77777777" w:rsidTr="0014455E">
        <w:tc>
          <w:tcPr>
            <w:tcW w:w="1577" w:type="pct"/>
          </w:tcPr>
          <w:p w14:paraId="3E2D77F9" w14:textId="77777777" w:rsidR="009F2673" w:rsidRPr="00487162" w:rsidRDefault="009F2673" w:rsidP="009E5A87">
            <w:pPr>
              <w:rPr>
                <w:i/>
              </w:rPr>
            </w:pPr>
            <w:r w:rsidRPr="00460036">
              <w:rPr>
                <w:i/>
              </w:rPr>
              <w:lastRenderedPageBreak/>
              <w:t>Pregnancy category</w:t>
            </w:r>
            <w:r>
              <w:rPr>
                <w:i/>
              </w:rPr>
              <w:t>:</w:t>
            </w:r>
          </w:p>
        </w:tc>
        <w:tc>
          <w:tcPr>
            <w:tcW w:w="3423" w:type="pct"/>
          </w:tcPr>
          <w:p w14:paraId="1E94ACCA" w14:textId="77777777" w:rsidR="00C627EB" w:rsidRDefault="00C627EB" w:rsidP="00C627EB">
            <w:r>
              <w:t>B1</w:t>
            </w:r>
          </w:p>
          <w:p w14:paraId="48B57515" w14:textId="548F89E0" w:rsidR="00C627EB" w:rsidRDefault="00C627EB" w:rsidP="00C627EB">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4598D34" w14:textId="21A93922" w:rsidR="00C627EB" w:rsidRDefault="00C627EB" w:rsidP="00C627EB">
            <w:r>
              <w:t xml:space="preserve">Studies in animals have not shown evidence of an increased occurrence of </w:t>
            </w:r>
            <w:proofErr w:type="spellStart"/>
            <w:r>
              <w:t>fetal</w:t>
            </w:r>
            <w:proofErr w:type="spellEnd"/>
            <w:r>
              <w:t xml:space="preserve"> damage.</w:t>
            </w:r>
          </w:p>
          <w:p w14:paraId="3B4E0087" w14:textId="2A8AF748" w:rsidR="009F2673" w:rsidRPr="00487162" w:rsidRDefault="00C627EB" w:rsidP="00C627EB">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2863504" w14:textId="77777777" w:rsidR="008E7846" w:rsidRDefault="008E7846" w:rsidP="008E7846">
      <w:pPr>
        <w:pStyle w:val="Heading3"/>
      </w:pPr>
      <w:bookmarkStart w:id="9" w:name="_Toc247691503"/>
      <w:bookmarkStart w:id="10" w:name="_Toc314842484"/>
      <w:bookmarkStart w:id="11" w:name="_Toc115349597"/>
      <w:r>
        <w:lastRenderedPageBreak/>
        <w:t>Product background</w:t>
      </w:r>
      <w:bookmarkEnd w:id="9"/>
      <w:bookmarkEnd w:id="10"/>
      <w:bookmarkEnd w:id="11"/>
    </w:p>
    <w:p w14:paraId="6472ED4C" w14:textId="77777777" w:rsidR="0035272A" w:rsidRDefault="009F2673" w:rsidP="009F2673">
      <w:r w:rsidRPr="000A4A42">
        <w:t xml:space="preserve">This AusPAR describes the </w:t>
      </w:r>
      <w:r w:rsidR="001E359E">
        <w:t>submission</w:t>
      </w:r>
      <w:r w:rsidRPr="000A4A42">
        <w:t xml:space="preserve"> by</w:t>
      </w:r>
      <w:r w:rsidR="00C627EB">
        <w:t xml:space="preserve"> Pfizer Australia Pty Ltd </w:t>
      </w:r>
      <w:r w:rsidRPr="000A4A42">
        <w:t xml:space="preserve">(the sponsor) to </w:t>
      </w:r>
      <w:r w:rsidR="0035272A">
        <w:t>change the dosage regimen for the following provisionally registered medicine:</w:t>
      </w:r>
    </w:p>
    <w:p w14:paraId="2D9421BD" w14:textId="77777777" w:rsidR="0035272A" w:rsidRDefault="00C627EB" w:rsidP="0035272A">
      <w:pPr>
        <w:pStyle w:val="ListBullet"/>
      </w:pPr>
      <w:r>
        <w:t xml:space="preserve">Comirnaty (tozinameran) COVID-19 vaccine </w:t>
      </w:r>
      <w:r w:rsidRPr="00C627EB">
        <w:t xml:space="preserve">10 µg/0.2 mL </w:t>
      </w:r>
      <w:r>
        <w:t>concentrated suspension for injection, multidose vial</w:t>
      </w:r>
      <w:r w:rsidR="0035272A">
        <w:t>.</w:t>
      </w:r>
    </w:p>
    <w:p w14:paraId="71AC7E6A" w14:textId="6F20CBC0" w:rsidR="009F2673" w:rsidRDefault="0035272A" w:rsidP="0035272A">
      <w:r>
        <w:t>The</w:t>
      </w:r>
      <w:r w:rsidR="009F2673" w:rsidRPr="000A4A42">
        <w:t xml:space="preserve"> </w:t>
      </w:r>
      <w:r w:rsidR="00C627EB">
        <w:t xml:space="preserve">proposed </w:t>
      </w:r>
      <w:r w:rsidR="0043141C">
        <w:t>change to the current</w:t>
      </w:r>
      <w:r w:rsidR="009F2673">
        <w:t xml:space="preserve"> dose regime</w:t>
      </w:r>
      <w:r w:rsidR="0043141C">
        <w:t>n</w:t>
      </w:r>
      <w:r w:rsidR="005004F0">
        <w:t xml:space="preserve"> </w:t>
      </w:r>
      <w:r>
        <w:t xml:space="preserve">is </w:t>
      </w:r>
      <w:r w:rsidR="005004F0">
        <w:t xml:space="preserve">to allow for use of a booster dose in individuals from 5 to less </w:t>
      </w:r>
      <w:r w:rsidR="004C23AE">
        <w:t>than 12 years of age</w:t>
      </w:r>
      <w:r>
        <w:t xml:space="preserve"> who have previously completed a primary series of vaccination.</w:t>
      </w:r>
    </w:p>
    <w:p w14:paraId="2C727C11" w14:textId="6E1FB6C1" w:rsidR="00421C4F" w:rsidRDefault="00421C4F" w:rsidP="009F2673">
      <w:r>
        <w:t>Comirnaty (tozinameran) COVID-19 vaccine was first provisionally registered on the Australian Register of Therapeutic Goods (ARTG) for use as a primary series for immunisation against COVID-19 for individuals from 5 to less than 12 years of age on 6 December 2021.</w:t>
      </w:r>
      <w:r>
        <w:rPr>
          <w:rStyle w:val="FootnoteReference"/>
        </w:rPr>
        <w:footnoteReference w:id="1"/>
      </w:r>
    </w:p>
    <w:p w14:paraId="1D7AC920" w14:textId="04E5FFA2" w:rsidR="0034166E" w:rsidRDefault="009613B4" w:rsidP="009F2673">
      <w:r>
        <w:t xml:space="preserve">At the time the TGA considered this submission, similar submissions </w:t>
      </w:r>
      <w:r w:rsidR="0035272A">
        <w:t>to change the dosage regiment for this</w:t>
      </w:r>
      <w:r>
        <w:t xml:space="preserve"> provision</w:t>
      </w:r>
      <w:r w:rsidR="00421C4F">
        <w:t>al</w:t>
      </w:r>
      <w:r w:rsidR="0035272A">
        <w:t>ly</w:t>
      </w:r>
      <w:r>
        <w:t xml:space="preserve"> approval </w:t>
      </w:r>
      <w:r w:rsidR="0035272A">
        <w:t>product had been approved by the TGA. These approvals have included:</w:t>
      </w:r>
      <w:r>
        <w:t xml:space="preserve"> allow</w:t>
      </w:r>
      <w:r w:rsidR="0035272A">
        <w:t>ing</w:t>
      </w:r>
      <w:r>
        <w:t xml:space="preserve"> for use of a booster dose of Comirnaty (tozinameran) COVID</w:t>
      </w:r>
      <w:r>
        <w:noBreakHyphen/>
        <w:t>19 vaccine</w:t>
      </w:r>
      <w:r w:rsidR="00421C4F">
        <w:t xml:space="preserve"> following completion of a primary series of vaccination</w:t>
      </w:r>
      <w:r>
        <w:t>,</w:t>
      </w:r>
      <w:r w:rsidR="00421C4F">
        <w:t xml:space="preserve"> firstly in adults (that is, individuals aged 18 and older);</w:t>
      </w:r>
      <w:r>
        <w:rPr>
          <w:rStyle w:val="FootnoteReference"/>
        </w:rPr>
        <w:footnoteReference w:id="2"/>
      </w:r>
      <w:r w:rsidR="00421C4F">
        <w:t xml:space="preserve"> followed by 16 and 17 year olds;</w:t>
      </w:r>
      <w:r w:rsidR="00421C4F">
        <w:rPr>
          <w:rStyle w:val="FootnoteReference"/>
        </w:rPr>
        <w:footnoteReference w:id="3"/>
      </w:r>
      <w:r w:rsidR="0034166E">
        <w:t xml:space="preserve"> and those aged from 12 to 15 years.</w:t>
      </w:r>
      <w:bookmarkStart w:id="12" w:name="_Ref114824897"/>
      <w:r w:rsidR="0034166E">
        <w:rPr>
          <w:rStyle w:val="FootnoteReference"/>
        </w:rPr>
        <w:footnoteReference w:id="4"/>
      </w:r>
      <w:bookmarkEnd w:id="12"/>
      <w:r w:rsidR="0014455E">
        <w:t xml:space="preserve"> </w:t>
      </w:r>
      <w:r w:rsidR="0034166E">
        <w:t>In this submission, the sponsor has proposed a change in the dosage regimen to allow the use of a booster dose in those aged from 5 to under 12 years.</w:t>
      </w:r>
    </w:p>
    <w:p w14:paraId="2ABAD17F" w14:textId="292E22C7" w:rsidR="0043141C" w:rsidRDefault="0043141C" w:rsidP="009F2673">
      <w:r>
        <w:fldChar w:fldCharType="begin"/>
      </w:r>
      <w:r>
        <w:instrText xml:space="preserve"> REF _Ref114467687 \h </w:instrText>
      </w:r>
      <w:r>
        <w:fldChar w:fldCharType="separate"/>
      </w:r>
      <w:r>
        <w:t xml:space="preserve">Table </w:t>
      </w:r>
      <w:r>
        <w:rPr>
          <w:noProof/>
        </w:rPr>
        <w:t>1</w:t>
      </w:r>
      <w:r>
        <w:fldChar w:fldCharType="end"/>
      </w:r>
      <w:r>
        <w:t>, shown below,</w:t>
      </w:r>
      <w:r w:rsidR="009613B4">
        <w:t xml:space="preserve"> is a summary of the Product Information that was current at the time this submission was considered.</w:t>
      </w:r>
      <w:r>
        <w:t xml:space="preserve"> </w:t>
      </w:r>
      <w:r w:rsidR="009613B4">
        <w:t>It highlights</w:t>
      </w:r>
      <w:r>
        <w:t xml:space="preserve"> </w:t>
      </w:r>
      <w:r w:rsidR="009613B4">
        <w:t xml:space="preserve">the </w:t>
      </w:r>
      <w:r>
        <w:t>dosage regimen for that was provisionally approved at the time this submission was include</w:t>
      </w:r>
      <w:r w:rsidR="009613B4">
        <w:t>d, for both those 12 years of age and above, and those of 5 to less than 12 years of age. The text in bold represents the proposed changes to the dosage regimen contained in this submission.</w:t>
      </w:r>
    </w:p>
    <w:p w14:paraId="65276893" w14:textId="17C2BAC7" w:rsidR="004C23AE" w:rsidRDefault="004C23AE" w:rsidP="0035272A">
      <w:pPr>
        <w:pStyle w:val="Tabletitle0"/>
      </w:pPr>
      <w:bookmarkStart w:id="13" w:name="_Ref114467687"/>
      <w:r>
        <w:lastRenderedPageBreak/>
        <w:t xml:space="preserve">Table </w:t>
      </w:r>
      <w:r w:rsidR="00BC0ACB">
        <w:fldChar w:fldCharType="begin"/>
      </w:r>
      <w:r w:rsidR="00BC0ACB">
        <w:instrText xml:space="preserve"> SEQ Table \* ARABIC </w:instrText>
      </w:r>
      <w:r w:rsidR="00BC0ACB">
        <w:fldChar w:fldCharType="separate"/>
      </w:r>
      <w:r w:rsidR="001E0AB7">
        <w:rPr>
          <w:noProof/>
        </w:rPr>
        <w:t>1</w:t>
      </w:r>
      <w:r w:rsidR="00BC0ACB">
        <w:rPr>
          <w:noProof/>
        </w:rPr>
        <w:fldChar w:fldCharType="end"/>
      </w:r>
      <w:bookmarkEnd w:id="13"/>
      <w:r w:rsidR="0034166E">
        <w:t>: Current Comirnaty Product Information, with proposed changes in dosage regimen to individuals aged from 5 to less than 12 years</w:t>
      </w:r>
    </w:p>
    <w:tbl>
      <w:tblPr>
        <w:tblStyle w:val="TableTGAblue"/>
        <w:tblW w:w="8810" w:type="dxa"/>
        <w:tblLook w:val="04A0" w:firstRow="1" w:lastRow="0" w:firstColumn="1" w:lastColumn="0" w:noHBand="0" w:noVBand="1"/>
      </w:tblPr>
      <w:tblGrid>
        <w:gridCol w:w="980"/>
        <w:gridCol w:w="3780"/>
        <w:gridCol w:w="4050"/>
      </w:tblGrid>
      <w:tr w:rsidR="0043141C" w14:paraId="7F19F40C" w14:textId="77777777" w:rsidTr="0035272A">
        <w:trPr>
          <w:cnfStyle w:val="100000000000" w:firstRow="1" w:lastRow="0" w:firstColumn="0" w:lastColumn="0" w:oddVBand="0" w:evenVBand="0" w:oddHBand="0" w:evenHBand="0" w:firstRowFirstColumn="0" w:firstRowLastColumn="0" w:lastRowFirstColumn="0" w:lastRowLastColumn="0"/>
        </w:trPr>
        <w:tc>
          <w:tcPr>
            <w:tcW w:w="980" w:type="dxa"/>
          </w:tcPr>
          <w:p w14:paraId="492661BA" w14:textId="77777777" w:rsidR="0043141C" w:rsidRDefault="0043141C" w:rsidP="0035272A"/>
        </w:tc>
        <w:tc>
          <w:tcPr>
            <w:tcW w:w="3780" w:type="dxa"/>
          </w:tcPr>
          <w:p w14:paraId="60A7BF98" w14:textId="72C9F76F" w:rsidR="0043141C" w:rsidRPr="0014455E" w:rsidRDefault="0043141C" w:rsidP="0035272A">
            <w:pPr>
              <w:rPr>
                <w:sz w:val="20"/>
              </w:rPr>
            </w:pPr>
            <w:r w:rsidRPr="0014455E">
              <w:rPr>
                <w:sz w:val="20"/>
              </w:rPr>
              <w:t>Dosage in individuals 12 years of age and older</w:t>
            </w:r>
          </w:p>
        </w:tc>
        <w:tc>
          <w:tcPr>
            <w:tcW w:w="4050" w:type="dxa"/>
          </w:tcPr>
          <w:p w14:paraId="1E6E0DF3" w14:textId="71016975" w:rsidR="0043141C" w:rsidRPr="0014455E" w:rsidRDefault="0043141C" w:rsidP="0035272A">
            <w:pPr>
              <w:rPr>
                <w:sz w:val="20"/>
              </w:rPr>
            </w:pPr>
            <w:r w:rsidRPr="0014455E">
              <w:rPr>
                <w:sz w:val="20"/>
              </w:rPr>
              <w:t>Individuals 5 to &lt; 12 years of age</w:t>
            </w:r>
          </w:p>
        </w:tc>
      </w:tr>
      <w:tr w:rsidR="0043141C" w:rsidRPr="0034166E" w14:paraId="18199486" w14:textId="77777777" w:rsidTr="0035272A">
        <w:tc>
          <w:tcPr>
            <w:tcW w:w="980" w:type="dxa"/>
          </w:tcPr>
          <w:p w14:paraId="2593490C" w14:textId="4F6FC978" w:rsidR="0043141C" w:rsidRPr="0034166E" w:rsidRDefault="0043141C" w:rsidP="0035272A">
            <w:pPr>
              <w:keepNext/>
              <w:ind w:left="0" w:right="0"/>
              <w:rPr>
                <w:b/>
                <w:sz w:val="20"/>
              </w:rPr>
            </w:pPr>
            <w:r w:rsidRPr="0034166E">
              <w:rPr>
                <w:b/>
                <w:sz w:val="20"/>
              </w:rPr>
              <w:t>Primary series</w:t>
            </w:r>
          </w:p>
        </w:tc>
        <w:tc>
          <w:tcPr>
            <w:tcW w:w="3780" w:type="dxa"/>
          </w:tcPr>
          <w:p w14:paraId="21B46939" w14:textId="427971EE" w:rsidR="0043141C" w:rsidRPr="0034166E" w:rsidRDefault="0043141C" w:rsidP="0035272A">
            <w:pPr>
              <w:keepNext/>
              <w:ind w:left="0" w:right="0"/>
              <w:rPr>
                <w:sz w:val="20"/>
              </w:rPr>
            </w:pPr>
            <w:r w:rsidRPr="0034166E">
              <w:rPr>
                <w:sz w:val="20"/>
              </w:rPr>
              <w:t>Comirnaty Ready to use, multidose (for age 12 years and above, do not dilute</w:t>
            </w:r>
            <w:proofErr w:type="gramStart"/>
            <w:r w:rsidRPr="0034166E">
              <w:rPr>
                <w:sz w:val="20"/>
              </w:rPr>
              <w:t>)</w:t>
            </w:r>
            <w:r w:rsidR="008407AE">
              <w:rPr>
                <w:sz w:val="20"/>
              </w:rPr>
              <w:t>;</w:t>
            </w:r>
            <w:r w:rsidR="008407AE">
              <w:rPr>
                <w:sz w:val="20"/>
                <w:vertAlign w:val="superscript"/>
              </w:rPr>
              <w:t>a</w:t>
            </w:r>
            <w:proofErr w:type="gramEnd"/>
            <w:r w:rsidRPr="0034166E">
              <w:rPr>
                <w:sz w:val="20"/>
              </w:rPr>
              <w:t xml:space="preserve"> is administered intramuscularly as a primary course of 2 doses (30 µg/0.3 mL) at least 21 days apart. </w:t>
            </w:r>
          </w:p>
        </w:tc>
        <w:tc>
          <w:tcPr>
            <w:tcW w:w="4050" w:type="dxa"/>
          </w:tcPr>
          <w:p w14:paraId="213562BC" w14:textId="24270A65" w:rsidR="0043141C" w:rsidRPr="0034166E" w:rsidRDefault="0043141C" w:rsidP="0035272A">
            <w:pPr>
              <w:keepNext/>
              <w:ind w:left="0" w:right="0"/>
              <w:rPr>
                <w:sz w:val="20"/>
              </w:rPr>
            </w:pPr>
            <w:r w:rsidRPr="0034166E">
              <w:rPr>
                <w:sz w:val="20"/>
              </w:rPr>
              <w:t>Comirnaty Dilute to use, multidose (for age 5</w:t>
            </w:r>
            <w:r w:rsidR="00A97688">
              <w:rPr>
                <w:sz w:val="20"/>
              </w:rPr>
              <w:t> </w:t>
            </w:r>
            <w:r w:rsidRPr="0034166E">
              <w:rPr>
                <w:sz w:val="20"/>
              </w:rPr>
              <w:t xml:space="preserve">to &lt; 12 </w:t>
            </w:r>
            <w:proofErr w:type="gramStart"/>
            <w:r w:rsidRPr="0034166E">
              <w:rPr>
                <w:sz w:val="20"/>
              </w:rPr>
              <w:t>years)</w:t>
            </w:r>
            <w:r w:rsidR="008407AE">
              <w:rPr>
                <w:sz w:val="20"/>
                <w:vertAlign w:val="superscript"/>
              </w:rPr>
              <w:t>b</w:t>
            </w:r>
            <w:proofErr w:type="gramEnd"/>
            <w:r w:rsidRPr="0034166E">
              <w:rPr>
                <w:sz w:val="20"/>
              </w:rPr>
              <w:t xml:space="preserve"> is administered intramuscularly as a primary course of 2 doses (10 µg/0.2 mL each) at least 21 days apart.</w:t>
            </w:r>
          </w:p>
        </w:tc>
      </w:tr>
      <w:tr w:rsidR="0043141C" w:rsidRPr="0034166E" w14:paraId="756D24DA" w14:textId="77777777" w:rsidTr="0035272A">
        <w:tc>
          <w:tcPr>
            <w:tcW w:w="980" w:type="dxa"/>
          </w:tcPr>
          <w:p w14:paraId="4C5B45D3" w14:textId="2E5DF59F" w:rsidR="0043141C" w:rsidRPr="0034166E" w:rsidRDefault="0043141C" w:rsidP="0035272A">
            <w:pPr>
              <w:keepNext/>
              <w:ind w:left="0" w:right="0"/>
              <w:rPr>
                <w:b/>
                <w:sz w:val="20"/>
              </w:rPr>
            </w:pPr>
            <w:r w:rsidRPr="0034166E">
              <w:rPr>
                <w:b/>
                <w:sz w:val="20"/>
              </w:rPr>
              <w:t>Booster doses</w:t>
            </w:r>
          </w:p>
        </w:tc>
        <w:tc>
          <w:tcPr>
            <w:tcW w:w="3780" w:type="dxa"/>
          </w:tcPr>
          <w:p w14:paraId="513153DE" w14:textId="1E660F07" w:rsidR="0043141C" w:rsidRPr="0034166E" w:rsidRDefault="0043141C" w:rsidP="0035272A">
            <w:pPr>
              <w:keepNext/>
              <w:ind w:left="0" w:right="0"/>
              <w:rPr>
                <w:sz w:val="20"/>
              </w:rPr>
            </w:pPr>
            <w:r w:rsidRPr="0034166E">
              <w:rPr>
                <w:sz w:val="20"/>
              </w:rPr>
              <w:t>Booster dose in individuals 12 years of age and older</w:t>
            </w:r>
          </w:p>
          <w:p w14:paraId="4A577CB7" w14:textId="0F8E09E4" w:rsidR="0043141C" w:rsidRPr="0034166E" w:rsidRDefault="0043141C" w:rsidP="0035272A">
            <w:pPr>
              <w:keepNext/>
              <w:ind w:left="0" w:right="0"/>
              <w:rPr>
                <w:sz w:val="20"/>
              </w:rPr>
            </w:pPr>
            <w:r w:rsidRPr="0034166E">
              <w:rPr>
                <w:sz w:val="20"/>
              </w:rPr>
              <w:t>A booster dose of Comirnaty Ready to use multidose (for age 12 years and above, do not dilute</w:t>
            </w:r>
            <w:proofErr w:type="gramStart"/>
            <w:r w:rsidRPr="0034166E">
              <w:rPr>
                <w:sz w:val="20"/>
              </w:rPr>
              <w:t>)</w:t>
            </w:r>
            <w:r w:rsidR="008407AE">
              <w:rPr>
                <w:sz w:val="20"/>
              </w:rPr>
              <w:t>;</w:t>
            </w:r>
            <w:r w:rsidR="008407AE">
              <w:rPr>
                <w:sz w:val="20"/>
                <w:vertAlign w:val="superscript"/>
              </w:rPr>
              <w:t>a</w:t>
            </w:r>
            <w:proofErr w:type="gramEnd"/>
            <w:r w:rsidRPr="0034166E">
              <w:rPr>
                <w:sz w:val="20"/>
              </w:rPr>
              <w:t xml:space="preserve"> may be administered intramuscularly at least 6 months after the completion of a COVID-19 vaccine primary series in individuals 12 years of age and older.</w:t>
            </w:r>
          </w:p>
          <w:p w14:paraId="2863A46F" w14:textId="52C699EC" w:rsidR="0043141C" w:rsidRPr="0034166E" w:rsidRDefault="0043141C" w:rsidP="0035272A">
            <w:pPr>
              <w:keepNext/>
              <w:ind w:left="0" w:right="0"/>
              <w:rPr>
                <w:sz w:val="20"/>
              </w:rPr>
            </w:pPr>
            <w:r w:rsidRPr="0034166E">
              <w:rPr>
                <w:sz w:val="20"/>
              </w:rPr>
              <w:t xml:space="preserve">The decision when and for whom to implement a booster dose of </w:t>
            </w:r>
            <w:r w:rsidR="008407AE" w:rsidRPr="0034166E">
              <w:rPr>
                <w:sz w:val="20"/>
              </w:rPr>
              <w:t xml:space="preserve">Comirnaty </w:t>
            </w:r>
            <w:r w:rsidRPr="0034166E">
              <w:rPr>
                <w:sz w:val="20"/>
              </w:rPr>
              <w:t xml:space="preserve">Ready </w:t>
            </w:r>
            <w:proofErr w:type="gramStart"/>
            <w:r w:rsidRPr="0034166E">
              <w:rPr>
                <w:sz w:val="20"/>
              </w:rPr>
              <w:t>To</w:t>
            </w:r>
            <w:proofErr w:type="gramEnd"/>
            <w:r w:rsidRPr="0034166E">
              <w:rPr>
                <w:sz w:val="20"/>
              </w:rPr>
              <w:t xml:space="preserve"> Use Multidose (For Age 12 Years and Above, Do Not Dilute) should be made based on available vaccine safety and effectiveness data (see Sections 4.4 Special warnings and precautions for use and 5.1 Pharmacodynamic properties), in accordance with official recommendations</w:t>
            </w:r>
            <w:r w:rsidR="008407AE">
              <w:rPr>
                <w:sz w:val="20"/>
              </w:rPr>
              <w:t>.</w:t>
            </w:r>
          </w:p>
        </w:tc>
        <w:tc>
          <w:tcPr>
            <w:tcW w:w="4050" w:type="dxa"/>
          </w:tcPr>
          <w:p w14:paraId="5D0DDEEF" w14:textId="145B0AC6" w:rsidR="008407AE" w:rsidRDefault="008407AE" w:rsidP="0035272A">
            <w:pPr>
              <w:keepNext/>
              <w:ind w:left="0" w:right="0"/>
              <w:rPr>
                <w:b/>
                <w:bCs/>
                <w:sz w:val="20"/>
                <w:lang w:eastAsia="ja-JP"/>
              </w:rPr>
            </w:pPr>
            <w:r>
              <w:rPr>
                <w:b/>
                <w:bCs/>
                <w:sz w:val="20"/>
                <w:lang w:eastAsia="ja-JP"/>
              </w:rPr>
              <w:t xml:space="preserve">(Proposed </w:t>
            </w:r>
            <w:r w:rsidR="0035272A">
              <w:rPr>
                <w:b/>
                <w:bCs/>
                <w:sz w:val="20"/>
                <w:lang w:eastAsia="ja-JP"/>
              </w:rPr>
              <w:t>change to dosage regimen</w:t>
            </w:r>
            <w:r>
              <w:rPr>
                <w:b/>
                <w:bCs/>
                <w:sz w:val="20"/>
                <w:lang w:eastAsia="ja-JP"/>
              </w:rPr>
              <w:t>:)</w:t>
            </w:r>
          </w:p>
          <w:p w14:paraId="235A2CA3" w14:textId="18ADC290" w:rsidR="0043141C" w:rsidRPr="0034166E" w:rsidRDefault="0043141C" w:rsidP="0035272A">
            <w:pPr>
              <w:keepNext/>
              <w:ind w:left="0" w:right="0"/>
              <w:rPr>
                <w:b/>
                <w:bCs/>
                <w:sz w:val="20"/>
                <w:lang w:eastAsia="ja-JP"/>
              </w:rPr>
            </w:pPr>
            <w:r w:rsidRPr="0034166E">
              <w:rPr>
                <w:b/>
                <w:bCs/>
                <w:sz w:val="20"/>
                <w:lang w:eastAsia="ja-JP"/>
              </w:rPr>
              <w:t>Booster dose in individuals 5 to &lt; 12 years of age</w:t>
            </w:r>
          </w:p>
          <w:p w14:paraId="556F283B" w14:textId="4E7D1527" w:rsidR="0043141C" w:rsidRPr="0034166E" w:rsidRDefault="0043141C" w:rsidP="0035272A">
            <w:pPr>
              <w:keepNext/>
              <w:ind w:left="0" w:right="0"/>
              <w:rPr>
                <w:b/>
                <w:sz w:val="20"/>
                <w:lang w:eastAsia="ja-JP"/>
              </w:rPr>
            </w:pPr>
            <w:r w:rsidRPr="0034166E">
              <w:rPr>
                <w:b/>
                <w:sz w:val="20"/>
                <w:lang w:eastAsia="ja-JP"/>
              </w:rPr>
              <w:t>A booster dose of Comirnaty Dilute to use multidose (for age 5 to &lt; 12 years</w:t>
            </w:r>
            <w:proofErr w:type="gramStart"/>
            <w:r w:rsidRPr="0034166E">
              <w:rPr>
                <w:b/>
                <w:sz w:val="20"/>
                <w:lang w:eastAsia="ja-JP"/>
              </w:rPr>
              <w:t>)</w:t>
            </w:r>
            <w:r w:rsidR="008407AE">
              <w:rPr>
                <w:b/>
                <w:sz w:val="20"/>
                <w:lang w:eastAsia="ja-JP"/>
              </w:rPr>
              <w:t>;</w:t>
            </w:r>
            <w:r w:rsidR="008407AE">
              <w:rPr>
                <w:b/>
                <w:sz w:val="20"/>
                <w:vertAlign w:val="superscript"/>
                <w:lang w:eastAsia="ja-JP"/>
              </w:rPr>
              <w:t>b</w:t>
            </w:r>
            <w:proofErr w:type="gramEnd"/>
            <w:r w:rsidRPr="0034166E">
              <w:rPr>
                <w:b/>
                <w:sz w:val="20"/>
                <w:lang w:eastAsia="ja-JP"/>
              </w:rPr>
              <w:t xml:space="preserve"> may be administered intramuscularly at least 6 months after the second dose in individuals 5 to &lt;</w:t>
            </w:r>
            <w:r w:rsidR="0034166E" w:rsidRPr="0034166E">
              <w:rPr>
                <w:b/>
                <w:sz w:val="20"/>
                <w:lang w:eastAsia="ja-JP"/>
              </w:rPr>
              <w:t> </w:t>
            </w:r>
            <w:r w:rsidRPr="0034166E">
              <w:rPr>
                <w:b/>
                <w:sz w:val="20"/>
                <w:lang w:eastAsia="ja-JP"/>
              </w:rPr>
              <w:t>12</w:t>
            </w:r>
            <w:r w:rsidR="0034166E" w:rsidRPr="0034166E">
              <w:rPr>
                <w:b/>
                <w:sz w:val="20"/>
                <w:lang w:eastAsia="ja-JP"/>
              </w:rPr>
              <w:t> </w:t>
            </w:r>
            <w:r w:rsidRPr="0034166E">
              <w:rPr>
                <w:b/>
                <w:sz w:val="20"/>
                <w:lang w:eastAsia="ja-JP"/>
              </w:rPr>
              <w:t>years of age.</w:t>
            </w:r>
          </w:p>
          <w:p w14:paraId="11A8024E" w14:textId="77777777" w:rsidR="0043141C" w:rsidRPr="0034166E" w:rsidRDefault="0043141C" w:rsidP="0035272A">
            <w:pPr>
              <w:keepNext/>
              <w:ind w:left="0" w:right="0"/>
              <w:rPr>
                <w:sz w:val="20"/>
              </w:rPr>
            </w:pPr>
          </w:p>
        </w:tc>
      </w:tr>
    </w:tbl>
    <w:p w14:paraId="6CE76671" w14:textId="55AA6AA8" w:rsidR="004C23AE" w:rsidRDefault="008407AE" w:rsidP="008407AE">
      <w:pPr>
        <w:pStyle w:val="TableDescription"/>
      </w:pPr>
      <w:r w:rsidRPr="008407AE">
        <w:t>a)</w:t>
      </w:r>
      <w:r>
        <w:t xml:space="preserve"> Comirnaty (tozinameran) COVID-19 vaccine, 30 µg/0.3 mL suspension for injection, multidose vial. This is ready to use (do not dilute) tris/sucrose buffered formulation. AUST R </w:t>
      </w:r>
      <w:r w:rsidRPr="008407AE">
        <w:t>377110</w:t>
      </w:r>
      <w:r>
        <w:t>.</w:t>
      </w:r>
    </w:p>
    <w:p w14:paraId="2FA044F0" w14:textId="322E9422" w:rsidR="008407AE" w:rsidRPr="0034166E" w:rsidRDefault="008407AE" w:rsidP="008407AE">
      <w:pPr>
        <w:pStyle w:val="TableDescription"/>
      </w:pPr>
      <w:r>
        <w:t>b) Comirnaty (tozinameran) COVID-19 vaccine, 10 µ</w:t>
      </w:r>
      <w:r w:rsidR="0014455E">
        <w:t>g/0.2</w:t>
      </w:r>
      <w:r>
        <w:t xml:space="preserve"> mL </w:t>
      </w:r>
      <w:r w:rsidR="0014455E">
        <w:t xml:space="preserve">concentrated </w:t>
      </w:r>
      <w:r>
        <w:t xml:space="preserve">suspension for injection, multidose vial. This is </w:t>
      </w:r>
      <w:r w:rsidR="0014455E">
        <w:t>a dilute to use</w:t>
      </w:r>
      <w:r>
        <w:t xml:space="preserve"> tris/sucrose buffered formulation. AUST R </w:t>
      </w:r>
      <w:r w:rsidR="0014455E">
        <w:t>377111</w:t>
      </w:r>
      <w:r>
        <w:t>.</w:t>
      </w:r>
    </w:p>
    <w:p w14:paraId="0B1B95F3" w14:textId="772E4F91" w:rsidR="000D3C85" w:rsidRPr="00D20DF4" w:rsidRDefault="00846194" w:rsidP="000D3C85">
      <w:pPr>
        <w:pStyle w:val="Heading4"/>
      </w:pPr>
      <w:r>
        <w:t>COVID-19 overview</w:t>
      </w:r>
    </w:p>
    <w:p w14:paraId="3C5436A9" w14:textId="52E48177" w:rsidR="000D3C85" w:rsidRDefault="000D3C85" w:rsidP="000D3C85">
      <w:r>
        <w:t>Coronavirus disease 2019 (COVID-19) is an infectious disease caused by SARS-CoV-2 (s</w:t>
      </w:r>
      <w:r w:rsidRPr="00F328E8">
        <w:t>evere acute respiratory syndrome coronavirus 2</w:t>
      </w:r>
      <w:r>
        <w:t>). SARS-CoV-2 is an enveloped, positive</w:t>
      </w:r>
      <w:r>
        <w:noBreakHyphen/>
        <w:t>sense, single-stranded RNA virus that first appeared circulating in late 2019. It is predominantly a respiratory illness that also affects other organs. People with COVID-19 have reported a wide range of symptoms, and illness severity. Symptoms may appear between 2 to 14 days after exposure to the virus. Symptoms may include fever or chills; cough; shortness of breath; fatigue; muscle or body aches; headache; new loss of taste or smell; sore throat; congestion/runny nose; na</w:t>
      </w:r>
      <w:r w:rsidR="00FD0F38">
        <w:t>usea, vomiting; and diarrhoea.</w:t>
      </w:r>
    </w:p>
    <w:p w14:paraId="05C1D1C2" w14:textId="7E6A64BD" w:rsidR="000D3C85" w:rsidRDefault="000D3C85" w:rsidP="000D3C85">
      <w:r>
        <w:t xml:space="preserve">Since the beginning of the COVID-19 outbreak, the disease has spread worldwide affecting more than 200 countries and territories, with an unprecedented effect on public health, as well as on social and economic activities. </w:t>
      </w:r>
      <w:r w:rsidRPr="009700BA">
        <w:t xml:space="preserve">It was officially declared a pandemic by </w:t>
      </w:r>
      <w:r w:rsidR="00682BA0">
        <w:t>the World Health Organization (</w:t>
      </w:r>
      <w:r w:rsidRPr="009700BA">
        <w:t>WHO</w:t>
      </w:r>
      <w:r w:rsidR="00682BA0">
        <w:t>)</w:t>
      </w:r>
      <w:r w:rsidRPr="009700BA">
        <w:t xml:space="preserve"> on 11 March 2020</w:t>
      </w:r>
      <w:r>
        <w:t>.</w:t>
      </w:r>
      <w:r w:rsidR="00682BA0">
        <w:rPr>
          <w:rStyle w:val="FootnoteReference"/>
        </w:rPr>
        <w:footnoteReference w:id="5"/>
      </w:r>
      <w:r>
        <w:t xml:space="preserve"> As of 7 September 2022, there have </w:t>
      </w:r>
      <w:r>
        <w:lastRenderedPageBreak/>
        <w:t>been almost 604 million confirmed cases globally, and just under 6.5 million deaths.</w:t>
      </w:r>
      <w:r>
        <w:rPr>
          <w:rStyle w:val="FootnoteReference"/>
        </w:rPr>
        <w:footnoteReference w:id="6"/>
      </w:r>
      <w:r>
        <w:t xml:space="preserve"> In Australia, there have been over 10.1 million confirmed cases and 14,288 deaths reported.</w:t>
      </w:r>
      <w:bookmarkStart w:id="14" w:name="_Ref113604126"/>
      <w:r>
        <w:rPr>
          <w:rStyle w:val="FootnoteReference"/>
        </w:rPr>
        <w:footnoteReference w:id="7"/>
      </w:r>
      <w:bookmarkEnd w:id="14"/>
      <w:r>
        <w:t xml:space="preserve"> Effective COVID-19 vaccines have been developed and approved and treatments for COVID-19 infections are becoming more available. The emergence of variants continues to fuel the pandemic. </w:t>
      </w:r>
    </w:p>
    <w:p w14:paraId="38614DB6" w14:textId="151DA261" w:rsidR="000D3C85" w:rsidRDefault="000D3C85" w:rsidP="00846194">
      <w:r>
        <w:t>All ages may present with COVID-19 illness, but notably, case fatality rates are elevated in persons over 60 years of age. Comorbidities are also associated with increased case fatalities including cardiovascular disease, diabetes, hypertension, an</w:t>
      </w:r>
      <w:r w:rsidR="00846194">
        <w:t>d chronic respiratory disease.</w:t>
      </w:r>
    </w:p>
    <w:p w14:paraId="2CEB149E" w14:textId="4929CBB4" w:rsidR="00846194" w:rsidRDefault="00846194" w:rsidP="00846194">
      <w:pPr>
        <w:pStyle w:val="Heading4"/>
      </w:pPr>
      <w:r>
        <w:t>COVID-19 in children</w:t>
      </w:r>
    </w:p>
    <w:p w14:paraId="27638F85" w14:textId="28AD2F70" w:rsidR="000D3C85" w:rsidRDefault="000D3C85" w:rsidP="000D3C85">
      <w:r>
        <w:t xml:space="preserve">The sponsor provided </w:t>
      </w:r>
      <w:r w:rsidRPr="00FF5012">
        <w:t xml:space="preserve">clinical rationale for the proposed booster dose in the context of the epidemiology of COVID-19 in Australian children aged </w:t>
      </w:r>
      <w:r w:rsidR="00846194">
        <w:t>from 5 to less than 12 years</w:t>
      </w:r>
      <w:r w:rsidRPr="00FF5012">
        <w:t>.</w:t>
      </w:r>
    </w:p>
    <w:p w14:paraId="3185BAEF" w14:textId="0B24F7A0" w:rsidR="000D3C85" w:rsidRDefault="000D3C85" w:rsidP="000D3C85">
      <w:r w:rsidRPr="009700BA">
        <w:t xml:space="preserve">There has been a significant incidence of COVID-19 cases in children, including in children aged </w:t>
      </w:r>
      <w:r>
        <w:t>from 5 to less than</w:t>
      </w:r>
      <w:r w:rsidRPr="009700BA">
        <w:t xml:space="preserve"> 12 years, as shown below (noting limitations in available </w:t>
      </w:r>
      <w:r>
        <w:t>rapid antigen testing</w:t>
      </w:r>
      <w:r w:rsidRPr="009700BA">
        <w:t xml:space="preserve"> data in different states and territories).</w:t>
      </w:r>
    </w:p>
    <w:p w14:paraId="7FEBB952" w14:textId="304A4822" w:rsidR="000D3C85" w:rsidRDefault="000D3C85" w:rsidP="00846194">
      <w:pPr>
        <w:pStyle w:val="FigureTitle"/>
      </w:pPr>
      <w:r>
        <w:t xml:space="preserve">Figure </w:t>
      </w:r>
      <w:r w:rsidR="00BC0ACB">
        <w:fldChar w:fldCharType="begin"/>
      </w:r>
      <w:r w:rsidR="00BC0ACB">
        <w:instrText xml:space="preserve"> SEQ Figure \* ARABIC </w:instrText>
      </w:r>
      <w:r w:rsidR="00BC0ACB">
        <w:fldChar w:fldCharType="separate"/>
      </w:r>
      <w:r w:rsidR="00426D5A">
        <w:rPr>
          <w:noProof/>
        </w:rPr>
        <w:t>1</w:t>
      </w:r>
      <w:r w:rsidR="00BC0ACB">
        <w:rPr>
          <w:noProof/>
        </w:rPr>
        <w:fldChar w:fldCharType="end"/>
      </w:r>
      <w:r w:rsidR="00682BA0">
        <w:t>: Polymerase chain reaction</w:t>
      </w:r>
      <w:r w:rsidRPr="00FF5012">
        <w:t xml:space="preserve">-confirmed and </w:t>
      </w:r>
      <w:r>
        <w:t>rapid antigen testing</w:t>
      </w:r>
      <w:r>
        <w:noBreakHyphen/>
      </w:r>
      <w:r w:rsidRPr="00FF5012">
        <w:t>probable COVID-19 case rates for</w:t>
      </w:r>
      <w:r>
        <w:t xml:space="preserve"> children, by age group by week in Australia; </w:t>
      </w:r>
      <w:proofErr w:type="gramStart"/>
      <w:r>
        <w:t>time period</w:t>
      </w:r>
      <w:proofErr w:type="gramEnd"/>
      <w:r>
        <w:t>:</w:t>
      </w:r>
      <w:r w:rsidR="00682BA0">
        <w:t xml:space="preserve"> 29 </w:t>
      </w:r>
      <w:r w:rsidRPr="00FF5012">
        <w:t xml:space="preserve">November 2021 </w:t>
      </w:r>
      <w:r>
        <w:rPr>
          <w:rFonts w:hint="eastAsia"/>
        </w:rPr>
        <w:t>to</w:t>
      </w:r>
      <w:r w:rsidRPr="00FF5012">
        <w:t xml:space="preserve"> 3 July 2022</w:t>
      </w:r>
    </w:p>
    <w:p w14:paraId="1305C99C" w14:textId="77777777" w:rsidR="000D3C85" w:rsidRDefault="000D3C85" w:rsidP="000D3C85">
      <w:r>
        <w:rPr>
          <w:noProof/>
          <w:lang w:val="en-GB" w:eastAsia="en-GB"/>
        </w:rPr>
        <w:drawing>
          <wp:inline distT="0" distB="0" distL="0" distR="0" wp14:anchorId="69ED8351" wp14:editId="69E19967">
            <wp:extent cx="5194300" cy="2516007"/>
            <wp:effectExtent l="0" t="0" r="6350" b="0"/>
            <wp:docPr id="85" name="Picture 85" descr="Polymerase chain reaction (PCR)-confirmed and rapid antigen testing probable COVID-19 case rates for children, by age group by week in Australia; time period: 29 November 2021 to 3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6077" cy="2521711"/>
                    </a:xfrm>
                    <a:prstGeom prst="rect">
                      <a:avLst/>
                    </a:prstGeom>
                  </pic:spPr>
                </pic:pic>
              </a:graphicData>
            </a:graphic>
          </wp:inline>
        </w:drawing>
      </w:r>
    </w:p>
    <w:p w14:paraId="601432EC" w14:textId="310605E8" w:rsidR="000D3C85" w:rsidRDefault="000D3C85" w:rsidP="00846194">
      <w:pPr>
        <w:pStyle w:val="FigureDescription"/>
        <w:rPr>
          <w:rStyle w:val="Hyperlink"/>
          <w:i/>
          <w:iCs/>
          <w:sz w:val="20"/>
          <w:szCs w:val="20"/>
        </w:rPr>
      </w:pPr>
      <w:r w:rsidRPr="005A2F42">
        <w:rPr>
          <w:lang w:eastAsia="ja-JP"/>
        </w:rPr>
        <w:t xml:space="preserve">Source: </w:t>
      </w:r>
      <w:r>
        <w:rPr>
          <w:lang w:eastAsia="ja-JP"/>
        </w:rPr>
        <w:t>Figure</w:t>
      </w:r>
      <w:r w:rsidRPr="005A2F42">
        <w:rPr>
          <w:lang w:eastAsia="ja-JP"/>
        </w:rPr>
        <w:t xml:space="preserve"> </w:t>
      </w:r>
      <w:r>
        <w:rPr>
          <w:lang w:eastAsia="ja-JP"/>
        </w:rPr>
        <w:t>1</w:t>
      </w:r>
      <w:r w:rsidRPr="005A2F42">
        <w:rPr>
          <w:lang w:eastAsia="ja-JP"/>
        </w:rPr>
        <w:t xml:space="preserve">, </w:t>
      </w:r>
      <w:r w:rsidR="00846194">
        <w:rPr>
          <w:lang w:eastAsia="ja-JP"/>
        </w:rPr>
        <w:t>s</w:t>
      </w:r>
      <w:r>
        <w:rPr>
          <w:lang w:eastAsia="ja-JP"/>
        </w:rPr>
        <w:t>ponsor response to TGA Comirnaty Query</w:t>
      </w:r>
      <w:r w:rsidRPr="005A2F42">
        <w:rPr>
          <w:lang w:eastAsia="ja-JP"/>
        </w:rPr>
        <w:t xml:space="preserve">, pp </w:t>
      </w:r>
      <w:r w:rsidR="00846194">
        <w:rPr>
          <w:lang w:eastAsia="ja-JP"/>
        </w:rPr>
        <w:t>5 (data source provided with s</w:t>
      </w:r>
      <w:r>
        <w:rPr>
          <w:lang w:eastAsia="ja-JP"/>
        </w:rPr>
        <w:t xml:space="preserve">ponsor response - </w:t>
      </w:r>
      <w:r w:rsidRPr="005A43F6">
        <w:rPr>
          <w:lang w:eastAsia="ja-JP"/>
        </w:rPr>
        <w:t xml:space="preserve">COVID-19 Australia: Epidemiology Report 63, reporting period ending 3 July 2022. </w:t>
      </w:r>
      <w:proofErr w:type="spellStart"/>
      <w:r w:rsidRPr="00846194">
        <w:rPr>
          <w:i/>
          <w:lang w:eastAsia="ja-JP"/>
        </w:rPr>
        <w:t>Commun</w:t>
      </w:r>
      <w:proofErr w:type="spellEnd"/>
      <w:r w:rsidRPr="00846194">
        <w:rPr>
          <w:i/>
          <w:lang w:eastAsia="ja-JP"/>
        </w:rPr>
        <w:t xml:space="preserve"> Dis </w:t>
      </w:r>
      <w:proofErr w:type="spellStart"/>
      <w:r w:rsidR="00846194" w:rsidRPr="00846194">
        <w:rPr>
          <w:i/>
          <w:lang w:eastAsia="ja-JP"/>
        </w:rPr>
        <w:t>Intell</w:t>
      </w:r>
      <w:proofErr w:type="spellEnd"/>
      <w:r w:rsidR="00846194">
        <w:rPr>
          <w:lang w:eastAsia="ja-JP"/>
        </w:rPr>
        <w:t>; 2022: 46:1-22</w:t>
      </w:r>
    </w:p>
    <w:p w14:paraId="4C25A419" w14:textId="6214BC8B" w:rsidR="000D3C85" w:rsidRPr="00846194" w:rsidRDefault="000D3C85" w:rsidP="000D3C85">
      <w:r w:rsidRPr="00FF5012">
        <w:t xml:space="preserve">Severe COVID-19 illness is less common in children in Australia than in adults, but </w:t>
      </w:r>
      <w:r w:rsidR="00846194">
        <w:t>severe illness can and does</w:t>
      </w:r>
      <w:r w:rsidRPr="00FF5012">
        <w:t xml:space="preserve"> occur. Data from the </w:t>
      </w:r>
      <w:r w:rsidR="00846194" w:rsidRPr="00846194">
        <w:t>National Notifiable Diseases Surveillance System (NNDSS)</w:t>
      </w:r>
      <w:r w:rsidR="00846194" w:rsidRPr="00846194">
        <w:rPr>
          <w:vertAlign w:val="superscript"/>
        </w:rPr>
        <w:footnoteReference w:id="8"/>
      </w:r>
      <w:r w:rsidR="00846194" w:rsidRPr="00846194">
        <w:t xml:space="preserve"> </w:t>
      </w:r>
      <w:r w:rsidRPr="00FF5012">
        <w:t xml:space="preserve">shows that there was a spike during peak transmission of the notification rate of severe illness (defined as cases admitted to </w:t>
      </w:r>
      <w:r w:rsidR="00846194">
        <w:t>intensive care units (</w:t>
      </w:r>
      <w:r w:rsidRPr="00FF5012">
        <w:t>ICU</w:t>
      </w:r>
      <w:r w:rsidR="00846194">
        <w:t>) or cases resulting in death</w:t>
      </w:r>
      <w:proofErr w:type="gramStart"/>
      <w:r w:rsidRPr="00FF5012">
        <w:t>)</w:t>
      </w:r>
      <w:proofErr w:type="gramEnd"/>
      <w:r w:rsidRPr="00FF5012">
        <w:t xml:space="preserve"> and this rate has remained higher during the current wave than during the Delta </w:t>
      </w:r>
      <w:r w:rsidR="00846194">
        <w:t xml:space="preserve">COVID-19 variant </w:t>
      </w:r>
      <w:r w:rsidRPr="00FF5012">
        <w:t>wave.</w:t>
      </w:r>
    </w:p>
    <w:p w14:paraId="40D5E766" w14:textId="4D3CE9BA" w:rsidR="00846194" w:rsidRPr="00846194" w:rsidRDefault="00846194" w:rsidP="00846194">
      <w:pPr>
        <w:pStyle w:val="FigureTitle"/>
      </w:pPr>
      <w:r>
        <w:lastRenderedPageBreak/>
        <w:t xml:space="preserve">Figure </w:t>
      </w:r>
      <w:r w:rsidR="00BC0ACB">
        <w:fldChar w:fldCharType="begin"/>
      </w:r>
      <w:r w:rsidR="00BC0ACB">
        <w:instrText xml:space="preserve"> SEQ Figure \* ARABIC </w:instrText>
      </w:r>
      <w:r w:rsidR="00BC0ACB">
        <w:fldChar w:fldCharType="separate"/>
      </w:r>
      <w:r w:rsidR="00426D5A">
        <w:rPr>
          <w:noProof/>
        </w:rPr>
        <w:t>2</w:t>
      </w:r>
      <w:r w:rsidR="00BC0ACB">
        <w:rPr>
          <w:noProof/>
        </w:rPr>
        <w:fldChar w:fldCharType="end"/>
      </w:r>
      <w:r>
        <w:t xml:space="preserve">: </w:t>
      </w:r>
      <w:r w:rsidRPr="00FF5012">
        <w:t>Age-specific rates of COVID-</w:t>
      </w:r>
      <w:r>
        <w:t xml:space="preserve">19 cases admitted to intensive care or cases with death as the outcome in Australia, by date of diagnosis; </w:t>
      </w:r>
      <w:proofErr w:type="gramStart"/>
      <w:r>
        <w:t>time period</w:t>
      </w:r>
      <w:proofErr w:type="gramEnd"/>
      <w:r>
        <w:t>: 31 May </w:t>
      </w:r>
      <w:r w:rsidRPr="00FF5012">
        <w:t>2021 to 19 June 2022</w:t>
      </w:r>
    </w:p>
    <w:p w14:paraId="5B152F18" w14:textId="77777777" w:rsidR="000D3C85" w:rsidRDefault="000D3C85" w:rsidP="000D3C85">
      <w:pPr>
        <w:rPr>
          <w:b/>
          <w:bCs/>
        </w:rPr>
      </w:pPr>
      <w:r>
        <w:rPr>
          <w:noProof/>
          <w:lang w:val="en-GB" w:eastAsia="en-GB"/>
        </w:rPr>
        <w:drawing>
          <wp:inline distT="0" distB="0" distL="0" distR="0" wp14:anchorId="6FFC2C0C" wp14:editId="3D2CDA56">
            <wp:extent cx="5492341" cy="2142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417" b="2120"/>
                    <a:stretch/>
                  </pic:blipFill>
                  <pic:spPr bwMode="auto">
                    <a:xfrm>
                      <a:off x="0" y="0"/>
                      <a:ext cx="5498599" cy="2145392"/>
                    </a:xfrm>
                    <a:prstGeom prst="rect">
                      <a:avLst/>
                    </a:prstGeom>
                    <a:ln>
                      <a:noFill/>
                    </a:ln>
                    <a:extLst>
                      <a:ext uri="{53640926-AAD7-44D8-BBD7-CCE9431645EC}">
                        <a14:shadowObscured xmlns:a14="http://schemas.microsoft.com/office/drawing/2010/main"/>
                      </a:ext>
                    </a:extLst>
                  </pic:spPr>
                </pic:pic>
              </a:graphicData>
            </a:graphic>
          </wp:inline>
        </w:drawing>
      </w:r>
    </w:p>
    <w:p w14:paraId="56BC9EA8" w14:textId="57DB6D6D" w:rsidR="000D3C85" w:rsidRDefault="000D3C85" w:rsidP="00846194">
      <w:pPr>
        <w:pStyle w:val="FigureDescription"/>
        <w:rPr>
          <w:lang w:eastAsia="ja-JP"/>
        </w:rPr>
      </w:pPr>
      <w:r w:rsidRPr="005A2F42">
        <w:rPr>
          <w:lang w:eastAsia="ja-JP"/>
        </w:rPr>
        <w:t xml:space="preserve">Source: </w:t>
      </w:r>
      <w:r>
        <w:rPr>
          <w:lang w:eastAsia="ja-JP"/>
        </w:rPr>
        <w:t>Figure</w:t>
      </w:r>
      <w:r w:rsidRPr="005A2F42">
        <w:rPr>
          <w:lang w:eastAsia="ja-JP"/>
        </w:rPr>
        <w:t xml:space="preserve"> </w:t>
      </w:r>
      <w:r>
        <w:rPr>
          <w:lang w:eastAsia="ja-JP"/>
        </w:rPr>
        <w:t>2</w:t>
      </w:r>
      <w:r w:rsidRPr="005A2F42">
        <w:rPr>
          <w:lang w:eastAsia="ja-JP"/>
        </w:rPr>
        <w:t xml:space="preserve">, </w:t>
      </w:r>
      <w:r w:rsidR="001146F7">
        <w:rPr>
          <w:lang w:eastAsia="ja-JP"/>
        </w:rPr>
        <w:t>s</w:t>
      </w:r>
      <w:r>
        <w:rPr>
          <w:lang w:eastAsia="ja-JP"/>
        </w:rPr>
        <w:t>ponsor response to TGA Comirnaty Query</w:t>
      </w:r>
      <w:r w:rsidRPr="005A2F42">
        <w:rPr>
          <w:lang w:eastAsia="ja-JP"/>
        </w:rPr>
        <w:t xml:space="preserve">, pp </w:t>
      </w:r>
      <w:r w:rsidR="001146F7">
        <w:rPr>
          <w:lang w:eastAsia="ja-JP"/>
        </w:rPr>
        <w:t>6 (data source provided with s</w:t>
      </w:r>
      <w:r>
        <w:rPr>
          <w:lang w:eastAsia="ja-JP"/>
        </w:rPr>
        <w:t xml:space="preserve">ponsor response - </w:t>
      </w:r>
      <w:r w:rsidRPr="005A43F6">
        <w:rPr>
          <w:lang w:eastAsia="ja-JP"/>
        </w:rPr>
        <w:t xml:space="preserve">COVID-19 Australia: Epidemiology Report 63, reporting period ending 3 July 2022. </w:t>
      </w:r>
      <w:proofErr w:type="spellStart"/>
      <w:r w:rsidRPr="001146F7">
        <w:rPr>
          <w:i/>
          <w:lang w:eastAsia="ja-JP"/>
        </w:rPr>
        <w:t>Commun</w:t>
      </w:r>
      <w:proofErr w:type="spellEnd"/>
      <w:r w:rsidRPr="001146F7">
        <w:rPr>
          <w:i/>
          <w:lang w:eastAsia="ja-JP"/>
        </w:rPr>
        <w:t xml:space="preserve"> Dis </w:t>
      </w:r>
      <w:proofErr w:type="spellStart"/>
      <w:r w:rsidRPr="001146F7">
        <w:rPr>
          <w:i/>
          <w:lang w:eastAsia="ja-JP"/>
        </w:rPr>
        <w:t>Intell</w:t>
      </w:r>
      <w:proofErr w:type="spellEnd"/>
      <w:r w:rsidRPr="005A43F6">
        <w:rPr>
          <w:lang w:eastAsia="ja-JP"/>
        </w:rPr>
        <w:t>; 2022: 46</w:t>
      </w:r>
      <w:r>
        <w:rPr>
          <w:lang w:eastAsia="ja-JP"/>
        </w:rPr>
        <w:t xml:space="preserve"> –</w:t>
      </w:r>
      <w:r w:rsidR="00846194">
        <w:rPr>
          <w:lang w:eastAsia="ja-JP"/>
        </w:rPr>
        <w:t>22</w:t>
      </w:r>
    </w:p>
    <w:p w14:paraId="1D1F854D" w14:textId="4256B058" w:rsidR="000D3C85" w:rsidRDefault="001146F7" w:rsidP="000D3C85">
      <w:r w:rsidRPr="001146F7">
        <w:t>Since the start of the pandemic to 30 July 2022, there have been 144 cases of PIMS-TS (or paediatric inflammatory multisystem syndrome temporally associated with SARS-CoV-2) reported to Paediatric Active Enhanced Disease Surveillance (PAEDS) in Australia.</w:t>
      </w:r>
      <w:r w:rsidRPr="001146F7">
        <w:rPr>
          <w:vertAlign w:val="superscript"/>
        </w:rPr>
        <w:footnoteReference w:id="9"/>
      </w:r>
      <w:r w:rsidRPr="001146F7">
        <w:t xml:space="preserve"> </w:t>
      </w:r>
      <w:r w:rsidR="000D3C85" w:rsidRPr="00FF5012">
        <w:t xml:space="preserve">The majority of PIMS-TS cases to date have occurred in those aged </w:t>
      </w:r>
      <w:r>
        <w:t>from 5 to less than 12 years (53%; 76/14</w:t>
      </w:r>
      <w:r w:rsidR="000D3C85" w:rsidRPr="00FF5012">
        <w:t>4). To date, there have been no PIMS-TS-associated deaths.</w:t>
      </w:r>
    </w:p>
    <w:p w14:paraId="5D498E86" w14:textId="1F950CA9" w:rsidR="000D3C85" w:rsidRPr="009700BA" w:rsidRDefault="008D115A" w:rsidP="000D3C85">
      <w:r>
        <w:t>As of 3 July 2022, there has been open COVID-19</w:t>
      </w:r>
      <w:r w:rsidR="000D3C85" w:rsidRPr="00FF5012">
        <w:t xml:space="preserve"> associated death notified to the NNDSS in the age group </w:t>
      </w:r>
      <w:r>
        <w:t xml:space="preserve">from 5 to </w:t>
      </w:r>
      <w:r w:rsidR="000D3C85" w:rsidRPr="00FF5012">
        <w:t>11 years.</w:t>
      </w:r>
    </w:p>
    <w:p w14:paraId="0A56ADE1" w14:textId="77777777" w:rsidR="008D115A" w:rsidRDefault="008D115A" w:rsidP="008D115A">
      <w:pPr>
        <w:pStyle w:val="Heading4"/>
      </w:pPr>
      <w:bookmarkStart w:id="15" w:name="_Toc314842485"/>
      <w:bookmarkStart w:id="16" w:name="_Toc247691504"/>
      <w:r>
        <w:t>Current vaccine options</w:t>
      </w:r>
    </w:p>
    <w:p w14:paraId="3A59372D" w14:textId="57DB219F" w:rsidR="008D115A" w:rsidRPr="00DB3BB1" w:rsidRDefault="008D115A" w:rsidP="008D115A">
      <w:pPr>
        <w:rPr>
          <w:vertAlign w:val="superscript"/>
        </w:rPr>
      </w:pPr>
      <w:r w:rsidRPr="000349EF">
        <w:t xml:space="preserve">There are currently </w:t>
      </w:r>
      <w:r>
        <w:t xml:space="preserve">six </w:t>
      </w:r>
      <w:r w:rsidRPr="000349EF">
        <w:t>vaccines on the Australian Register of Therapeutic Goods (ARTG), and all are approve</w:t>
      </w:r>
      <w:bookmarkStart w:id="17" w:name="_Ref91015597"/>
      <w:r>
        <w:t>d under the provisional pathway.</w:t>
      </w:r>
      <w:r w:rsidRPr="00A16EDE">
        <w:rPr>
          <w:vertAlign w:val="superscript"/>
        </w:rPr>
        <w:footnoteReference w:id="10"/>
      </w:r>
      <w:r>
        <w:rPr>
          <w:vertAlign w:val="superscript"/>
        </w:rPr>
        <w:t>,</w:t>
      </w:r>
      <w:bookmarkStart w:id="18" w:name="_Ref112070030"/>
      <w:r w:rsidRPr="000349EF">
        <w:rPr>
          <w:rStyle w:val="FootnoteReference"/>
        </w:rPr>
        <w:footnoteReference w:id="11"/>
      </w:r>
      <w:bookmarkEnd w:id="17"/>
      <w:bookmarkEnd w:id="18"/>
      <w:r>
        <w:t>:</w:t>
      </w:r>
    </w:p>
    <w:p w14:paraId="0BA69A29" w14:textId="5D5FE25A" w:rsidR="008D115A" w:rsidRPr="000349EF" w:rsidRDefault="008D115A" w:rsidP="008A6966">
      <w:pPr>
        <w:pStyle w:val="ListBullet"/>
      </w:pPr>
      <w:r w:rsidRPr="000349EF">
        <w:t>Comirnaty (tozinameran</w:t>
      </w:r>
      <w:r>
        <w:t>, previously known at BNT162b2 (mRNA)</w:t>
      </w:r>
      <w:r w:rsidRPr="000349EF">
        <w:t>)</w:t>
      </w:r>
      <w:r>
        <w:t>;</w:t>
      </w:r>
      <w:r w:rsidRPr="000349EF">
        <w:rPr>
          <w:rStyle w:val="FootnoteReference"/>
        </w:rPr>
        <w:footnoteReference w:id="12"/>
      </w:r>
      <w:r w:rsidRPr="000349EF">
        <w:t xml:space="preserve"> </w:t>
      </w:r>
      <w:r>
        <w:t xml:space="preserve">also commonly known as </w:t>
      </w:r>
      <w:r w:rsidRPr="000349EF">
        <w:t>the Pfizer/BioNTech</w:t>
      </w:r>
      <w:r>
        <w:t xml:space="preserve"> </w:t>
      </w:r>
      <w:r w:rsidRPr="000349EF">
        <w:t>(mRNA) vaccine</w:t>
      </w:r>
      <w:r>
        <w:t xml:space="preserve"> is</w:t>
      </w:r>
      <w:r w:rsidRPr="000349EF">
        <w:t xml:space="preserve"> provisionally approved for active </w:t>
      </w:r>
      <w:r w:rsidRPr="000349EF">
        <w:lastRenderedPageBreak/>
        <w:t>immunisation to prevent COVID-19 caused by SARS-CoV-2, in individuals 5 years of age and older.</w:t>
      </w:r>
      <w:bookmarkStart w:id="19" w:name="_Ref90999008"/>
      <w:r w:rsidRPr="000349EF">
        <w:rPr>
          <w:rStyle w:val="FootnoteReference"/>
        </w:rPr>
        <w:footnoteReference w:id="13"/>
      </w:r>
      <w:bookmarkEnd w:id="19"/>
      <w:r w:rsidRPr="000349EF">
        <w:rPr>
          <w:vertAlign w:val="superscript"/>
        </w:rPr>
        <w:t>,</w:t>
      </w:r>
      <w:bookmarkStart w:id="20" w:name="_Ref113942560"/>
      <w:r w:rsidRPr="000349EF">
        <w:rPr>
          <w:rStyle w:val="FootnoteReference"/>
        </w:rPr>
        <w:footnoteReference w:id="14"/>
      </w:r>
      <w:bookmarkEnd w:id="20"/>
      <w:r w:rsidRPr="000349EF">
        <w:rPr>
          <w:vertAlign w:val="superscript"/>
        </w:rPr>
        <w:t>,</w:t>
      </w:r>
      <w:bookmarkStart w:id="21" w:name="_Ref113942563"/>
      <w:r w:rsidRPr="000349EF">
        <w:rPr>
          <w:rStyle w:val="FootnoteReference"/>
        </w:rPr>
        <w:footnoteReference w:id="15"/>
      </w:r>
      <w:bookmarkEnd w:id="21"/>
      <w:r w:rsidRPr="000349EF">
        <w:rPr>
          <w:vertAlign w:val="superscript"/>
        </w:rPr>
        <w:t>,</w:t>
      </w:r>
      <w:bookmarkStart w:id="22" w:name="_Ref113942566"/>
      <w:r w:rsidR="00C558A9">
        <w:rPr>
          <w:rStyle w:val="FootnoteReference"/>
        </w:rPr>
        <w:footnoteReference w:id="16"/>
      </w:r>
      <w:r w:rsidR="00050DC0">
        <w:rPr>
          <w:vertAlign w:val="superscript"/>
        </w:rPr>
        <w:t>,</w:t>
      </w:r>
      <w:bookmarkStart w:id="23" w:name="_Ref114361843"/>
      <w:r w:rsidRPr="000349EF">
        <w:rPr>
          <w:rStyle w:val="FootnoteReference"/>
        </w:rPr>
        <w:footnoteReference w:id="17"/>
      </w:r>
      <w:bookmarkEnd w:id="22"/>
      <w:bookmarkEnd w:id="23"/>
      <w:r w:rsidR="00050DC0">
        <w:rPr>
          <w:vertAlign w:val="superscript"/>
        </w:rPr>
        <w:t>,</w:t>
      </w:r>
      <w:bookmarkStart w:id="24" w:name="_Ref114361858"/>
      <w:r w:rsidR="00050DC0">
        <w:rPr>
          <w:rStyle w:val="FootnoteReference"/>
        </w:rPr>
        <w:footnoteReference w:id="18"/>
      </w:r>
      <w:bookmarkEnd w:id="24"/>
      <w:r w:rsidR="00090E61">
        <w:rPr>
          <w:vertAlign w:val="superscript"/>
        </w:rPr>
        <w:t>,</w:t>
      </w:r>
      <w:bookmarkStart w:id="25" w:name="_Ref114361870"/>
      <w:r w:rsidR="00090E61">
        <w:rPr>
          <w:rStyle w:val="FootnoteReference"/>
        </w:rPr>
        <w:footnoteReference w:id="19"/>
      </w:r>
      <w:bookmarkEnd w:id="25"/>
    </w:p>
    <w:p w14:paraId="1174BE16" w14:textId="77777777" w:rsidR="008D115A" w:rsidRPr="000349EF" w:rsidRDefault="008D115A" w:rsidP="008A6966">
      <w:pPr>
        <w:pStyle w:val="ListBullet"/>
      </w:pPr>
      <w:r w:rsidRPr="000349EF">
        <w:t xml:space="preserve">COVID-19 Vaccine AstraZeneca (ChAdOx1-S), an adenoviral vectored vaccine, </w:t>
      </w:r>
      <w:r>
        <w:t xml:space="preserve">is </w:t>
      </w:r>
      <w:r w:rsidRPr="000349EF">
        <w:t>provisionally approved for active immunisation to prevent COVID-19 caused by SARS-CoV-2, in individuals 18 years of age and older.</w:t>
      </w:r>
      <w:r w:rsidRPr="000349EF">
        <w:rPr>
          <w:rStyle w:val="FootnoteReference"/>
        </w:rPr>
        <w:footnoteReference w:id="20"/>
      </w:r>
      <w:r w:rsidRPr="000349EF">
        <w:rPr>
          <w:vertAlign w:val="superscript"/>
        </w:rPr>
        <w:t>,</w:t>
      </w:r>
      <w:r w:rsidRPr="000349EF">
        <w:rPr>
          <w:rStyle w:val="FootnoteReference"/>
        </w:rPr>
        <w:footnoteReference w:id="21"/>
      </w:r>
    </w:p>
    <w:p w14:paraId="46AD0565" w14:textId="01F1CEBE" w:rsidR="008D115A" w:rsidRPr="000349EF" w:rsidRDefault="008D115A" w:rsidP="008A6966">
      <w:pPr>
        <w:pStyle w:val="ListBullet"/>
      </w:pPr>
      <w:r w:rsidRPr="000349EF">
        <w:t>Janssen (Ad26.COV</w:t>
      </w:r>
      <w:proofErr w:type="gramStart"/>
      <w:r w:rsidRPr="000349EF">
        <w:t>2.S</w:t>
      </w:r>
      <w:proofErr w:type="gramEnd"/>
      <w:r w:rsidRPr="000349EF">
        <w:t xml:space="preserve">), an adenoviral vectored vaccine, </w:t>
      </w:r>
      <w:r>
        <w:t xml:space="preserve">is </w:t>
      </w:r>
      <w:r w:rsidRPr="000349EF">
        <w:t>provisionally approved for active immunisation to prevent COVID-19 caused by SARS-CoV-2, in individuals 18 years of age and older.</w:t>
      </w:r>
      <w:r w:rsidRPr="000349EF">
        <w:rPr>
          <w:rStyle w:val="FootnoteReference"/>
        </w:rPr>
        <w:footnoteReference w:id="22"/>
      </w:r>
      <w:r w:rsidRPr="000349EF">
        <w:rPr>
          <w:vertAlign w:val="superscript"/>
        </w:rPr>
        <w:t>,</w:t>
      </w:r>
      <w:r w:rsidRPr="000349EF">
        <w:rPr>
          <w:rStyle w:val="FootnoteReference"/>
        </w:rPr>
        <w:footnoteReference w:id="23"/>
      </w:r>
    </w:p>
    <w:p w14:paraId="76B4BE64" w14:textId="77777777" w:rsidR="008D115A" w:rsidRPr="00956BE5" w:rsidRDefault="008D115A" w:rsidP="008A6966">
      <w:pPr>
        <w:pStyle w:val="ListBullet"/>
      </w:pPr>
      <w:r w:rsidRPr="000349EF">
        <w:t xml:space="preserve">Spikevax (elasomeran) COVID-19 vaccine, </w:t>
      </w:r>
      <w:r>
        <w:t xml:space="preserve">also known as </w:t>
      </w:r>
      <w:r w:rsidRPr="000349EF">
        <w:t xml:space="preserve">the Moderna </w:t>
      </w:r>
      <w:r>
        <w:t>(</w:t>
      </w:r>
      <w:r w:rsidRPr="000349EF">
        <w:t>mRNA</w:t>
      </w:r>
      <w:r>
        <w:t>)</w:t>
      </w:r>
      <w:r w:rsidRPr="000349EF">
        <w:t xml:space="preserve"> vaccine</w:t>
      </w:r>
      <w:r>
        <w:t xml:space="preserve">, is </w:t>
      </w:r>
      <w:r w:rsidRPr="000349EF">
        <w:t xml:space="preserve">provisionally approved for active immunisation to prevent COVID-19 caused by SARS-CoV-2, in individuals </w:t>
      </w:r>
      <w:r>
        <w:t>6</w:t>
      </w:r>
      <w:r w:rsidRPr="000349EF">
        <w:t xml:space="preserve"> </w:t>
      </w:r>
      <w:r>
        <w:t>months</w:t>
      </w:r>
      <w:r w:rsidRPr="000349EF">
        <w:t xml:space="preserve"> of age and older.</w:t>
      </w:r>
      <w:bookmarkStart w:id="26" w:name="_Ref112227487"/>
      <w:r w:rsidRPr="000349EF">
        <w:rPr>
          <w:rStyle w:val="FootnoteReference"/>
        </w:rPr>
        <w:footnoteReference w:id="24"/>
      </w:r>
      <w:bookmarkEnd w:id="26"/>
      <w:r w:rsidRPr="000349EF">
        <w:rPr>
          <w:vertAlign w:val="superscript"/>
        </w:rPr>
        <w:t>,</w:t>
      </w:r>
      <w:bookmarkStart w:id="27" w:name="_Ref112227490"/>
      <w:r w:rsidRPr="000349EF">
        <w:rPr>
          <w:rStyle w:val="FootnoteReference"/>
        </w:rPr>
        <w:footnoteReference w:id="25"/>
      </w:r>
      <w:bookmarkEnd w:id="27"/>
      <w:r w:rsidRPr="000349EF">
        <w:rPr>
          <w:vertAlign w:val="superscript"/>
        </w:rPr>
        <w:t>,</w:t>
      </w:r>
      <w:bookmarkStart w:id="28" w:name="_Ref112227498"/>
      <w:r w:rsidRPr="000349EF">
        <w:rPr>
          <w:rStyle w:val="FootnoteReference"/>
        </w:rPr>
        <w:footnoteReference w:id="26"/>
      </w:r>
      <w:bookmarkEnd w:id="28"/>
      <w:r>
        <w:rPr>
          <w:vertAlign w:val="superscript"/>
        </w:rPr>
        <w:t>,</w:t>
      </w:r>
      <w:bookmarkStart w:id="29" w:name="_Ref112227501"/>
      <w:r>
        <w:rPr>
          <w:rStyle w:val="FootnoteReference"/>
        </w:rPr>
        <w:footnoteReference w:id="27"/>
      </w:r>
      <w:bookmarkEnd w:id="29"/>
      <w:r>
        <w:rPr>
          <w:vertAlign w:val="superscript"/>
        </w:rPr>
        <w:t>,</w:t>
      </w:r>
      <w:bookmarkStart w:id="30" w:name="_Ref112227504"/>
      <w:r>
        <w:rPr>
          <w:rStyle w:val="FootnoteReference"/>
        </w:rPr>
        <w:footnoteReference w:id="28"/>
      </w:r>
      <w:bookmarkEnd w:id="30"/>
    </w:p>
    <w:p w14:paraId="0EF90635" w14:textId="403480F6" w:rsidR="008D115A" w:rsidRPr="00A646B0" w:rsidRDefault="008D115A" w:rsidP="008A6966">
      <w:pPr>
        <w:pStyle w:val="ListBullet"/>
      </w:pPr>
      <w:r w:rsidRPr="00956BE5">
        <w:t>Spikevax Bivalent Original/Omicron COVID-19 Vaccine (</w:t>
      </w:r>
      <w:proofErr w:type="spellStart"/>
      <w:r w:rsidRPr="00956BE5">
        <w:t>elasomeran</w:t>
      </w:r>
      <w:proofErr w:type="spellEnd"/>
      <w:r w:rsidRPr="00956BE5">
        <w:t xml:space="preserve"> and </w:t>
      </w:r>
      <w:proofErr w:type="spellStart"/>
      <w:r w:rsidRPr="00956BE5">
        <w:t>imelasomeran</w:t>
      </w:r>
      <w:proofErr w:type="spellEnd"/>
      <w:r w:rsidRPr="00956BE5">
        <w:t>)</w:t>
      </w:r>
      <w:r>
        <w:t>, is provisionall</w:t>
      </w:r>
      <w:r w:rsidR="007A0D27">
        <w:t>y</w:t>
      </w:r>
      <w:r>
        <w:t xml:space="preserve"> approved a</w:t>
      </w:r>
      <w:r w:rsidRPr="00956BE5">
        <w:t>s a booster dose for active immunisation to prevent coronavirus disease 2019 (COVID-19) caused by SARS-CoV-2 in individuals 18 years of age and older.</w:t>
      </w:r>
      <w:r>
        <w:rPr>
          <w:rStyle w:val="FootnoteReference"/>
        </w:rPr>
        <w:footnoteReference w:id="29"/>
      </w:r>
    </w:p>
    <w:p w14:paraId="026FC6BF" w14:textId="77777777" w:rsidR="008D115A" w:rsidRPr="00954E3E" w:rsidRDefault="008D115A" w:rsidP="008A6966">
      <w:pPr>
        <w:pStyle w:val="ListBullet"/>
      </w:pPr>
      <w:r w:rsidRPr="00A646B0">
        <w:t>Nuvaxovid (</w:t>
      </w:r>
      <w:r w:rsidRPr="001031B5">
        <w:t>SARS-CoV-2 recombinant spike</w:t>
      </w:r>
      <w:r>
        <w:t xml:space="preserve"> protein</w:t>
      </w:r>
      <w:r w:rsidRPr="001031B5">
        <w:t xml:space="preserve"> with Matrix-M adjuvant</w:t>
      </w:r>
      <w:r w:rsidRPr="00A646B0">
        <w:t>)</w:t>
      </w:r>
      <w:r>
        <w:t xml:space="preserve"> </w:t>
      </w:r>
      <w:r w:rsidRPr="00A646B0">
        <w:t>COVID-19 vaccine</w:t>
      </w:r>
      <w:r>
        <w:t xml:space="preserve">, also known as the </w:t>
      </w:r>
      <w:r w:rsidRPr="00A646B0">
        <w:t>Novavax</w:t>
      </w:r>
      <w:r>
        <w:t xml:space="preserve"> </w:t>
      </w:r>
      <w:r w:rsidRPr="001031B5">
        <w:t>recombinant spike protein vaccine</w:t>
      </w:r>
      <w:r>
        <w:t xml:space="preserve">, is </w:t>
      </w:r>
      <w:r>
        <w:lastRenderedPageBreak/>
        <w:t>provisionally approved for a</w:t>
      </w:r>
      <w:r w:rsidRPr="00A646B0">
        <w:t>ctive immunisation to prevent COVID-19 caused by SARS-CoV-2 in individuals 1</w:t>
      </w:r>
      <w:r>
        <w:t>2</w:t>
      </w:r>
      <w:r w:rsidRPr="00A646B0">
        <w:t xml:space="preserve"> years of age and older</w:t>
      </w:r>
      <w:r>
        <w:t>.</w:t>
      </w:r>
      <w:r w:rsidRPr="001031B5">
        <w:rPr>
          <w:rStyle w:val="FootnoteReference"/>
        </w:rPr>
        <w:footnoteReference w:id="30"/>
      </w:r>
      <w:r w:rsidRPr="001031B5">
        <w:rPr>
          <w:vertAlign w:val="superscript"/>
        </w:rPr>
        <w:t>,</w:t>
      </w:r>
      <w:r w:rsidRPr="001031B5">
        <w:rPr>
          <w:rStyle w:val="FootnoteReference"/>
        </w:rPr>
        <w:footnoteReference w:id="31"/>
      </w:r>
      <w:r>
        <w:rPr>
          <w:vertAlign w:val="superscript"/>
        </w:rPr>
        <w:t>,</w:t>
      </w:r>
      <w:r>
        <w:rPr>
          <w:rStyle w:val="FootnoteReference"/>
        </w:rPr>
        <w:footnoteReference w:id="32"/>
      </w:r>
    </w:p>
    <w:p w14:paraId="6BE0DAC0" w14:textId="77777777" w:rsidR="008E7846" w:rsidRPr="003F31A2" w:rsidRDefault="00386150" w:rsidP="008E7846">
      <w:pPr>
        <w:pStyle w:val="Heading3"/>
      </w:pPr>
      <w:bookmarkStart w:id="31" w:name="_Toc115349598"/>
      <w:r>
        <w:t>Regulatory s</w:t>
      </w:r>
      <w:r w:rsidR="008E7846">
        <w:t>tatus</w:t>
      </w:r>
      <w:bookmarkEnd w:id="15"/>
      <w:bookmarkEnd w:id="16"/>
      <w:bookmarkEnd w:id="31"/>
    </w:p>
    <w:p w14:paraId="0910D52C" w14:textId="40866896" w:rsidR="000A2A05" w:rsidRDefault="000A2A05" w:rsidP="000A2A05">
      <w:bookmarkStart w:id="32" w:name="_Toc247691505"/>
      <w:bookmarkStart w:id="33" w:name="_Toc314842486"/>
      <w:r>
        <w:t xml:space="preserve">The product received initial </w:t>
      </w:r>
      <w:r w:rsidR="00090E61">
        <w:t xml:space="preserve">provisional </w:t>
      </w:r>
      <w:r>
        <w:t>registration on the Australian Register of Therapeutic Goods (ARTG) on 6 December 2021;</w:t>
      </w:r>
      <w:r w:rsidRPr="000A2A05">
        <w:rPr>
          <w:vertAlign w:val="superscript"/>
        </w:rPr>
        <w:fldChar w:fldCharType="begin"/>
      </w:r>
      <w:r w:rsidRPr="000A2A05">
        <w:rPr>
          <w:vertAlign w:val="superscript"/>
        </w:rPr>
        <w:instrText xml:space="preserve"> NOTEREF _Ref90999008 \h </w:instrText>
      </w:r>
      <w:r>
        <w:rPr>
          <w:vertAlign w:val="superscript"/>
        </w:rPr>
        <w:instrText xml:space="preserve"> \* MERGEFORMAT </w:instrText>
      </w:r>
      <w:r w:rsidRPr="000A2A05">
        <w:rPr>
          <w:vertAlign w:val="superscript"/>
        </w:rPr>
      </w:r>
      <w:r w:rsidRPr="000A2A05">
        <w:rPr>
          <w:vertAlign w:val="superscript"/>
        </w:rPr>
        <w:fldChar w:fldCharType="separate"/>
      </w:r>
      <w:r w:rsidRPr="000A2A05">
        <w:rPr>
          <w:vertAlign w:val="superscript"/>
        </w:rPr>
        <w:t>8</w:t>
      </w:r>
      <w:r w:rsidRPr="000A2A05">
        <w:rPr>
          <w:vertAlign w:val="superscript"/>
        </w:rPr>
        <w:fldChar w:fldCharType="end"/>
      </w:r>
      <w:r w:rsidRPr="000A2A05">
        <w:rPr>
          <w:vertAlign w:val="superscript"/>
        </w:rPr>
        <w:t>,</w:t>
      </w:r>
      <w:r w:rsidRPr="000A2A05">
        <w:rPr>
          <w:vertAlign w:val="superscript"/>
        </w:rPr>
        <w:fldChar w:fldCharType="begin"/>
      </w:r>
      <w:r w:rsidRPr="000A2A05">
        <w:rPr>
          <w:vertAlign w:val="superscript"/>
        </w:rPr>
        <w:instrText xml:space="preserve"> NOTEREF _Ref113942560 \h </w:instrText>
      </w:r>
      <w:r>
        <w:rPr>
          <w:vertAlign w:val="superscript"/>
        </w:rPr>
        <w:instrText xml:space="preserve"> \* MERGEFORMAT </w:instrText>
      </w:r>
      <w:r w:rsidRPr="000A2A05">
        <w:rPr>
          <w:vertAlign w:val="superscript"/>
        </w:rPr>
      </w:r>
      <w:r w:rsidRPr="000A2A05">
        <w:rPr>
          <w:vertAlign w:val="superscript"/>
        </w:rPr>
        <w:fldChar w:fldCharType="separate"/>
      </w:r>
      <w:r w:rsidRPr="000A2A05">
        <w:rPr>
          <w:vertAlign w:val="superscript"/>
        </w:rPr>
        <w:t>9</w:t>
      </w:r>
      <w:r w:rsidRPr="000A2A05">
        <w:rPr>
          <w:vertAlign w:val="superscript"/>
        </w:rPr>
        <w:fldChar w:fldCharType="end"/>
      </w:r>
      <w:r>
        <w:t xml:space="preserve"> for the following indication:</w:t>
      </w:r>
    </w:p>
    <w:p w14:paraId="2E5FF3EB" w14:textId="77777777" w:rsidR="000A2A05" w:rsidRPr="000A2A05" w:rsidRDefault="000A2A05" w:rsidP="000A2A05">
      <w:pPr>
        <w:autoSpaceDE w:val="0"/>
        <w:autoSpaceDN w:val="0"/>
        <w:adjustRightInd w:val="0"/>
        <w:spacing w:before="0" w:after="0" w:line="240" w:lineRule="auto"/>
        <w:ind w:left="720"/>
        <w:rPr>
          <w:rFonts w:eastAsiaTheme="minorHAnsi" w:cs="Cambria"/>
          <w:color w:val="000000"/>
          <w:lang w:val="en-GB"/>
        </w:rPr>
      </w:pPr>
      <w:r w:rsidRPr="000A2A05">
        <w:rPr>
          <w:rFonts w:eastAsiaTheme="minorHAnsi" w:cs="Cambria"/>
          <w:i/>
          <w:iCs/>
          <w:color w:val="000000"/>
          <w:lang w:val="en-GB"/>
        </w:rPr>
        <w:t xml:space="preserve">Active immunisation to prevent coronavirus disease 2019 (COVID-19) caused by SARS-CoV-2, in individuals 16 years of age and older. </w:t>
      </w:r>
    </w:p>
    <w:p w14:paraId="30292F54" w14:textId="7FB0B1CF" w:rsidR="00090E61" w:rsidRDefault="00090E61" w:rsidP="00090E61">
      <w:r>
        <w:t xml:space="preserve">Over time, the initial provisional registration has been expanded to include a wider population (specifically children and adolescents) and to include booster vaccine doses. A chronological history of the regulatory status of Comirnaty is shown in </w:t>
      </w:r>
      <w:r>
        <w:fldChar w:fldCharType="begin"/>
      </w:r>
      <w:r>
        <w:instrText xml:space="preserve"> REF _Ref113775645 \h </w:instrText>
      </w:r>
      <w:r>
        <w:fldChar w:fldCharType="separate"/>
      </w:r>
      <w:r w:rsidR="0014455E">
        <w:t xml:space="preserve">Table </w:t>
      </w:r>
      <w:r w:rsidR="0014455E">
        <w:rPr>
          <w:noProof/>
        </w:rPr>
        <w:t>2</w:t>
      </w:r>
      <w:r>
        <w:fldChar w:fldCharType="end"/>
      </w:r>
      <w:r w:rsidR="00F031D3">
        <w:t xml:space="preserve"> below.</w:t>
      </w:r>
    </w:p>
    <w:p w14:paraId="370981B5" w14:textId="2C49AB80" w:rsidR="00090E61" w:rsidRDefault="00090E61" w:rsidP="0014455E">
      <w:pPr>
        <w:pStyle w:val="Tabletitle0"/>
      </w:pPr>
      <w:bookmarkStart w:id="34" w:name="_Ref113775645"/>
      <w:r>
        <w:t xml:space="preserve">Table </w:t>
      </w:r>
      <w:r w:rsidR="00BC0ACB">
        <w:fldChar w:fldCharType="begin"/>
      </w:r>
      <w:r w:rsidR="00BC0ACB">
        <w:instrText xml:space="preserve"> SEQ Table \* ARABIC </w:instrText>
      </w:r>
      <w:r w:rsidR="00BC0ACB">
        <w:fldChar w:fldCharType="separate"/>
      </w:r>
      <w:r w:rsidR="001E0AB7">
        <w:rPr>
          <w:noProof/>
        </w:rPr>
        <w:t>2</w:t>
      </w:r>
      <w:r w:rsidR="00BC0ACB">
        <w:rPr>
          <w:noProof/>
        </w:rPr>
        <w:fldChar w:fldCharType="end"/>
      </w:r>
      <w:r>
        <w:t>: Regulatory history of Comirnaty in Australia</w:t>
      </w:r>
      <w:bookmarkEnd w:id="34"/>
    </w:p>
    <w:tbl>
      <w:tblPr>
        <w:tblStyle w:val="TableTGAblue"/>
        <w:tblW w:w="0" w:type="auto"/>
        <w:tblLook w:val="04A0" w:firstRow="1" w:lastRow="0" w:firstColumn="1" w:lastColumn="0" w:noHBand="0" w:noVBand="1"/>
      </w:tblPr>
      <w:tblGrid>
        <w:gridCol w:w="2240"/>
        <w:gridCol w:w="6215"/>
      </w:tblGrid>
      <w:tr w:rsidR="00090E61" w14:paraId="176DFFEC" w14:textId="77777777" w:rsidTr="007D4570">
        <w:trPr>
          <w:cnfStyle w:val="100000000000" w:firstRow="1" w:lastRow="0" w:firstColumn="0" w:lastColumn="0" w:oddVBand="0" w:evenVBand="0" w:oddHBand="0" w:evenHBand="0" w:firstRowFirstColumn="0" w:firstRowLastColumn="0" w:lastRowFirstColumn="0" w:lastRowLastColumn="0"/>
        </w:trPr>
        <w:tc>
          <w:tcPr>
            <w:tcW w:w="2240" w:type="dxa"/>
          </w:tcPr>
          <w:p w14:paraId="02C1CE94" w14:textId="77777777" w:rsidR="00090E61" w:rsidRDefault="00090E61" w:rsidP="0014455E">
            <w:r>
              <w:t>Date</w:t>
            </w:r>
          </w:p>
        </w:tc>
        <w:tc>
          <w:tcPr>
            <w:tcW w:w="6215" w:type="dxa"/>
          </w:tcPr>
          <w:p w14:paraId="601EC4BA" w14:textId="741CB3FA" w:rsidR="00090E61" w:rsidRDefault="00090E61" w:rsidP="0014455E">
            <w:r>
              <w:t xml:space="preserve">Regulatory </w:t>
            </w:r>
            <w:r w:rsidR="00F031D3">
              <w:t>changes</w:t>
            </w:r>
          </w:p>
        </w:tc>
      </w:tr>
      <w:tr w:rsidR="00090E61" w14:paraId="0EEF3AC3" w14:textId="77777777" w:rsidTr="007D4570">
        <w:tc>
          <w:tcPr>
            <w:tcW w:w="2240" w:type="dxa"/>
          </w:tcPr>
          <w:p w14:paraId="71FFBDE0" w14:textId="77777777" w:rsidR="00090E61" w:rsidRDefault="00090E61" w:rsidP="0014455E">
            <w:pPr>
              <w:keepNext/>
            </w:pPr>
            <w:r>
              <w:t>25 January 2021</w:t>
            </w:r>
          </w:p>
        </w:tc>
        <w:tc>
          <w:tcPr>
            <w:tcW w:w="6215" w:type="dxa"/>
          </w:tcPr>
          <w:p w14:paraId="7B241C9A" w14:textId="77777777" w:rsidR="00090E61" w:rsidRDefault="00090E61" w:rsidP="0014455E">
            <w:pPr>
              <w:keepNext/>
            </w:pPr>
            <w:r>
              <w:t>Initial provisional registration.</w:t>
            </w:r>
          </w:p>
          <w:p w14:paraId="336A453E" w14:textId="1321CC40" w:rsidR="00090E61" w:rsidRDefault="00090E61" w:rsidP="0014455E">
            <w:pPr>
              <w:keepNext/>
            </w:pPr>
            <w:r>
              <w:t>Primary series, for active immunisation for individuals aged 16 years and over.</w:t>
            </w:r>
            <w:r w:rsidRPr="00C53332">
              <w:rPr>
                <w:vertAlign w:val="superscript"/>
              </w:rPr>
              <w:fldChar w:fldCharType="begin"/>
            </w:r>
            <w:r w:rsidRPr="00C53332">
              <w:rPr>
                <w:vertAlign w:val="superscript"/>
              </w:rPr>
              <w:instrText xml:space="preserve"> NOTEREF _Ref90999008 \h </w:instrText>
            </w:r>
            <w:r>
              <w:rPr>
                <w:vertAlign w:val="superscript"/>
              </w:rPr>
              <w:instrText xml:space="preserve"> \* MERGEFORMAT </w:instrText>
            </w:r>
            <w:r w:rsidRPr="00C53332">
              <w:rPr>
                <w:vertAlign w:val="superscript"/>
              </w:rPr>
            </w:r>
            <w:r w:rsidRPr="00C53332">
              <w:rPr>
                <w:vertAlign w:val="superscript"/>
              </w:rPr>
              <w:fldChar w:fldCharType="separate"/>
            </w:r>
            <w:r w:rsidR="0014455E">
              <w:rPr>
                <w:vertAlign w:val="superscript"/>
              </w:rPr>
              <w:t>12</w:t>
            </w:r>
            <w:r w:rsidRPr="00C53332">
              <w:rPr>
                <w:vertAlign w:val="superscript"/>
              </w:rPr>
              <w:fldChar w:fldCharType="end"/>
            </w:r>
            <w:r w:rsidRPr="00C53332">
              <w:rPr>
                <w:vertAlign w:val="superscript"/>
              </w:rPr>
              <w:t>,</w:t>
            </w:r>
            <w:r w:rsidRPr="00C53332">
              <w:rPr>
                <w:vertAlign w:val="superscript"/>
              </w:rPr>
              <w:fldChar w:fldCharType="begin"/>
            </w:r>
            <w:r w:rsidRPr="00C53332">
              <w:rPr>
                <w:vertAlign w:val="superscript"/>
              </w:rPr>
              <w:instrText xml:space="preserve"> NOTEREF _Ref113942560 \h </w:instrText>
            </w:r>
            <w:r>
              <w:rPr>
                <w:vertAlign w:val="superscript"/>
              </w:rPr>
              <w:instrText xml:space="preserve"> \* MERGEFORMAT </w:instrText>
            </w:r>
            <w:r w:rsidRPr="00C53332">
              <w:rPr>
                <w:vertAlign w:val="superscript"/>
              </w:rPr>
            </w:r>
            <w:r w:rsidRPr="00C53332">
              <w:rPr>
                <w:vertAlign w:val="superscript"/>
              </w:rPr>
              <w:fldChar w:fldCharType="separate"/>
            </w:r>
            <w:r w:rsidR="0014455E">
              <w:rPr>
                <w:vertAlign w:val="superscript"/>
              </w:rPr>
              <w:t>13</w:t>
            </w:r>
            <w:r w:rsidRPr="00C53332">
              <w:rPr>
                <w:vertAlign w:val="superscript"/>
              </w:rPr>
              <w:fldChar w:fldCharType="end"/>
            </w:r>
          </w:p>
        </w:tc>
      </w:tr>
      <w:tr w:rsidR="00090E61" w14:paraId="7F73DD30" w14:textId="77777777" w:rsidTr="007D4570">
        <w:tc>
          <w:tcPr>
            <w:tcW w:w="2240" w:type="dxa"/>
          </w:tcPr>
          <w:p w14:paraId="0AADF926" w14:textId="77777777" w:rsidR="00090E61" w:rsidRDefault="00090E61" w:rsidP="007D4570">
            <w:r>
              <w:t>22 July 2021</w:t>
            </w:r>
          </w:p>
        </w:tc>
        <w:tc>
          <w:tcPr>
            <w:tcW w:w="6215" w:type="dxa"/>
          </w:tcPr>
          <w:p w14:paraId="4F3BE405" w14:textId="77777777" w:rsidR="00090E61" w:rsidRDefault="00090E61" w:rsidP="007D4570">
            <w:r>
              <w:t>Extension of provisional registration.</w:t>
            </w:r>
          </w:p>
          <w:p w14:paraId="47A77D04" w14:textId="5CEB78FB" w:rsidR="00090E61" w:rsidRDefault="00090E61" w:rsidP="007D4570">
            <w:r>
              <w:t>Primary series, for active immunisation for individuals aged 12 years and over.</w:t>
            </w:r>
            <w:r w:rsidRPr="00C53332">
              <w:rPr>
                <w:vertAlign w:val="superscript"/>
              </w:rPr>
              <w:fldChar w:fldCharType="begin"/>
            </w:r>
            <w:r w:rsidRPr="00C53332">
              <w:rPr>
                <w:vertAlign w:val="superscript"/>
              </w:rPr>
              <w:instrText xml:space="preserve"> NOTEREF _Ref113942563 \h </w:instrText>
            </w:r>
            <w:r>
              <w:rPr>
                <w:vertAlign w:val="superscript"/>
              </w:rPr>
              <w:instrText xml:space="preserve"> \* MERGEFORMAT </w:instrText>
            </w:r>
            <w:r w:rsidRPr="00C53332">
              <w:rPr>
                <w:vertAlign w:val="superscript"/>
              </w:rPr>
            </w:r>
            <w:r w:rsidRPr="00C53332">
              <w:rPr>
                <w:vertAlign w:val="superscript"/>
              </w:rPr>
              <w:fldChar w:fldCharType="separate"/>
            </w:r>
            <w:r w:rsidR="0014455E">
              <w:rPr>
                <w:vertAlign w:val="superscript"/>
              </w:rPr>
              <w:t>14</w:t>
            </w:r>
            <w:r w:rsidRPr="00C53332">
              <w:rPr>
                <w:vertAlign w:val="superscript"/>
              </w:rPr>
              <w:fldChar w:fldCharType="end"/>
            </w:r>
          </w:p>
        </w:tc>
      </w:tr>
      <w:tr w:rsidR="00090E61" w14:paraId="2E84414A" w14:textId="77777777" w:rsidTr="007D4570">
        <w:tc>
          <w:tcPr>
            <w:tcW w:w="2240" w:type="dxa"/>
          </w:tcPr>
          <w:p w14:paraId="1AF9795E" w14:textId="77777777" w:rsidR="00090E61" w:rsidRDefault="00090E61" w:rsidP="007D4570">
            <w:r>
              <w:t>26 October 2021</w:t>
            </w:r>
          </w:p>
        </w:tc>
        <w:tc>
          <w:tcPr>
            <w:tcW w:w="6215" w:type="dxa"/>
          </w:tcPr>
          <w:p w14:paraId="6FB1D999" w14:textId="77777777" w:rsidR="00090E61" w:rsidRDefault="00090E61" w:rsidP="007D4570">
            <w:r>
              <w:t>Extension of provisional registration.</w:t>
            </w:r>
          </w:p>
          <w:p w14:paraId="14F5A33E" w14:textId="7C655B48" w:rsidR="00090E61" w:rsidRDefault="00090E61" w:rsidP="007D4570">
            <w:r>
              <w:t>Booster dose, for active immunisation for individuals aged 18 years and over, following previous immunisation.</w:t>
            </w:r>
            <w:r w:rsidRPr="00C53332">
              <w:rPr>
                <w:vertAlign w:val="superscript"/>
              </w:rPr>
              <w:fldChar w:fldCharType="begin"/>
            </w:r>
            <w:r w:rsidRPr="00C53332">
              <w:rPr>
                <w:vertAlign w:val="superscript"/>
              </w:rPr>
              <w:instrText xml:space="preserve"> NOTEREF _Ref113942566 \h </w:instrText>
            </w:r>
            <w:r>
              <w:rPr>
                <w:vertAlign w:val="superscript"/>
              </w:rPr>
              <w:instrText xml:space="preserve"> \* MERGEFORMAT </w:instrText>
            </w:r>
            <w:r w:rsidRPr="00C53332">
              <w:rPr>
                <w:vertAlign w:val="superscript"/>
              </w:rPr>
            </w:r>
            <w:r w:rsidRPr="00C53332">
              <w:rPr>
                <w:vertAlign w:val="superscript"/>
              </w:rPr>
              <w:fldChar w:fldCharType="separate"/>
            </w:r>
            <w:r w:rsidR="0014455E">
              <w:rPr>
                <w:vertAlign w:val="superscript"/>
              </w:rPr>
              <w:t>15</w:t>
            </w:r>
            <w:r w:rsidRPr="00C53332">
              <w:rPr>
                <w:vertAlign w:val="superscript"/>
              </w:rPr>
              <w:fldChar w:fldCharType="end"/>
            </w:r>
          </w:p>
        </w:tc>
      </w:tr>
      <w:tr w:rsidR="00090E61" w14:paraId="2AA08C37" w14:textId="77777777" w:rsidTr="007D4570">
        <w:tc>
          <w:tcPr>
            <w:tcW w:w="2240" w:type="dxa"/>
          </w:tcPr>
          <w:p w14:paraId="22C97D77" w14:textId="77777777" w:rsidR="00090E61" w:rsidRDefault="00090E61" w:rsidP="007D4570">
            <w:r>
              <w:t>3 December 2021</w:t>
            </w:r>
          </w:p>
        </w:tc>
        <w:tc>
          <w:tcPr>
            <w:tcW w:w="6215" w:type="dxa"/>
          </w:tcPr>
          <w:p w14:paraId="26DEFFF2" w14:textId="5FDCA50B" w:rsidR="00090E61" w:rsidRDefault="00090E61" w:rsidP="007D4570">
            <w:r>
              <w:t>Extension of provisional registration.</w:t>
            </w:r>
          </w:p>
          <w:p w14:paraId="052E0B30" w14:textId="45853DA5" w:rsidR="00F031D3" w:rsidRDefault="00F031D3" w:rsidP="007D4570">
            <w:r>
              <w:t>Introduction of tris/sucrose-buffered formulation.</w:t>
            </w:r>
          </w:p>
          <w:p w14:paraId="540DA5DA" w14:textId="65EED8A3" w:rsidR="00090E61" w:rsidRDefault="00090E61" w:rsidP="00090E61">
            <w:r>
              <w:t>Primary series, for active immunisation for individuals aged 5 years and over.</w:t>
            </w:r>
            <w:r w:rsidRPr="00090E61">
              <w:rPr>
                <w:vertAlign w:val="superscript"/>
              </w:rPr>
              <w:fldChar w:fldCharType="begin"/>
            </w:r>
            <w:r w:rsidRPr="00090E61">
              <w:rPr>
                <w:vertAlign w:val="superscript"/>
              </w:rPr>
              <w:instrText xml:space="preserve"> NOTEREF _Ref114361843 \h  \* MERGEFORMAT </w:instrText>
            </w:r>
            <w:r w:rsidRPr="00090E61">
              <w:rPr>
                <w:vertAlign w:val="superscript"/>
              </w:rPr>
            </w:r>
            <w:r w:rsidRPr="00090E61">
              <w:rPr>
                <w:vertAlign w:val="superscript"/>
              </w:rPr>
              <w:fldChar w:fldCharType="separate"/>
            </w:r>
            <w:r w:rsidR="0014455E">
              <w:rPr>
                <w:vertAlign w:val="superscript"/>
              </w:rPr>
              <w:t>16</w:t>
            </w:r>
            <w:r w:rsidRPr="00090E61">
              <w:rPr>
                <w:vertAlign w:val="superscript"/>
              </w:rPr>
              <w:fldChar w:fldCharType="end"/>
            </w:r>
          </w:p>
        </w:tc>
      </w:tr>
      <w:tr w:rsidR="00090E61" w14:paraId="446E3024" w14:textId="77777777" w:rsidTr="007D4570">
        <w:tc>
          <w:tcPr>
            <w:tcW w:w="2240" w:type="dxa"/>
          </w:tcPr>
          <w:p w14:paraId="6C2FE2A9" w14:textId="77777777" w:rsidR="00090E61" w:rsidRDefault="00090E61" w:rsidP="007D4570">
            <w:r>
              <w:t>27 January 2022</w:t>
            </w:r>
          </w:p>
        </w:tc>
        <w:tc>
          <w:tcPr>
            <w:tcW w:w="6215" w:type="dxa"/>
          </w:tcPr>
          <w:p w14:paraId="04174E95" w14:textId="77777777" w:rsidR="00090E61" w:rsidRDefault="00090E61" w:rsidP="007D4570">
            <w:r>
              <w:t>Extension of provisional registration.</w:t>
            </w:r>
          </w:p>
          <w:p w14:paraId="0D2E4DE0" w14:textId="4047FE96" w:rsidR="00090E61" w:rsidRDefault="00090E61" w:rsidP="00090E61">
            <w:r>
              <w:t>Booster dose, for active immunisation for individuals aged 16 and 17 years, following previous immunisation.</w:t>
            </w:r>
            <w:r w:rsidRPr="00090E61">
              <w:rPr>
                <w:vertAlign w:val="superscript"/>
              </w:rPr>
              <w:fldChar w:fldCharType="begin"/>
            </w:r>
            <w:r w:rsidRPr="00090E61">
              <w:rPr>
                <w:vertAlign w:val="superscript"/>
              </w:rPr>
              <w:instrText xml:space="preserve"> NOTEREF _Ref114361858 \h  \* MERGEFORMAT </w:instrText>
            </w:r>
            <w:r w:rsidRPr="00090E61">
              <w:rPr>
                <w:vertAlign w:val="superscript"/>
              </w:rPr>
            </w:r>
            <w:r w:rsidRPr="00090E61">
              <w:rPr>
                <w:vertAlign w:val="superscript"/>
              </w:rPr>
              <w:fldChar w:fldCharType="separate"/>
            </w:r>
            <w:r w:rsidR="0014455E">
              <w:rPr>
                <w:vertAlign w:val="superscript"/>
              </w:rPr>
              <w:t>17</w:t>
            </w:r>
            <w:r w:rsidRPr="00090E61">
              <w:rPr>
                <w:vertAlign w:val="superscript"/>
              </w:rPr>
              <w:fldChar w:fldCharType="end"/>
            </w:r>
            <w:r>
              <w:t xml:space="preserve"> </w:t>
            </w:r>
          </w:p>
        </w:tc>
      </w:tr>
      <w:tr w:rsidR="00090E61" w14:paraId="347D8F26" w14:textId="77777777" w:rsidTr="007D4570">
        <w:tc>
          <w:tcPr>
            <w:tcW w:w="2240" w:type="dxa"/>
          </w:tcPr>
          <w:p w14:paraId="52399D88" w14:textId="77777777" w:rsidR="00090E61" w:rsidRDefault="00090E61" w:rsidP="007D4570">
            <w:r>
              <w:t>7 April 2022</w:t>
            </w:r>
          </w:p>
        </w:tc>
        <w:tc>
          <w:tcPr>
            <w:tcW w:w="6215" w:type="dxa"/>
          </w:tcPr>
          <w:p w14:paraId="075D5D0D" w14:textId="77777777" w:rsidR="00090E61" w:rsidRDefault="00090E61" w:rsidP="007D4570">
            <w:r>
              <w:t>Extension of provisional registration.</w:t>
            </w:r>
          </w:p>
          <w:p w14:paraId="23C76BC1" w14:textId="23D2C684" w:rsidR="00090E61" w:rsidRDefault="00090E61" w:rsidP="00090E61">
            <w:r>
              <w:t>Booster dose, for active immunisation for individuals aged 12 to 15 years, following previous immunisation (primary series).</w:t>
            </w:r>
            <w:r w:rsidRPr="00090E61">
              <w:rPr>
                <w:vertAlign w:val="superscript"/>
              </w:rPr>
              <w:fldChar w:fldCharType="begin"/>
            </w:r>
            <w:r w:rsidRPr="00090E61">
              <w:rPr>
                <w:vertAlign w:val="superscript"/>
              </w:rPr>
              <w:instrText xml:space="preserve"> NOTEREF _Ref114361870 \h  \* MERGEFORMAT </w:instrText>
            </w:r>
            <w:r w:rsidRPr="00090E61">
              <w:rPr>
                <w:vertAlign w:val="superscript"/>
              </w:rPr>
            </w:r>
            <w:r w:rsidRPr="00090E61">
              <w:rPr>
                <w:vertAlign w:val="superscript"/>
              </w:rPr>
              <w:fldChar w:fldCharType="separate"/>
            </w:r>
            <w:r w:rsidR="0014455E">
              <w:rPr>
                <w:vertAlign w:val="superscript"/>
              </w:rPr>
              <w:t>18</w:t>
            </w:r>
            <w:r w:rsidRPr="00090E61">
              <w:rPr>
                <w:vertAlign w:val="superscript"/>
              </w:rPr>
              <w:fldChar w:fldCharType="end"/>
            </w:r>
            <w:r w:rsidRPr="00090E61">
              <w:rPr>
                <w:vertAlign w:val="superscript"/>
              </w:rPr>
              <w:t xml:space="preserve"> </w:t>
            </w:r>
          </w:p>
        </w:tc>
      </w:tr>
    </w:tbl>
    <w:p w14:paraId="0B18E0DC" w14:textId="75866285" w:rsidR="00332715" w:rsidRDefault="00332715" w:rsidP="00332715">
      <w:r>
        <w:lastRenderedPageBreak/>
        <w:t xml:space="preserve">At the time the TGA considered this </w:t>
      </w:r>
      <w:r w:rsidR="00BB0B78">
        <w:t>submission</w:t>
      </w:r>
      <w:r>
        <w:t xml:space="preserve">, a similar </w:t>
      </w:r>
      <w:r w:rsidR="00BB0B78">
        <w:t>submission</w:t>
      </w:r>
      <w:r>
        <w:t xml:space="preserve"> had been approved </w:t>
      </w:r>
      <w:r w:rsidR="00EF7CC1">
        <w:t>in the United States of America (USA)</w:t>
      </w:r>
      <w:r>
        <w:t xml:space="preserve"> </w:t>
      </w:r>
      <w:r w:rsidR="00EF7CC1">
        <w:t>in the form of an amended Emergency Use Auth</w:t>
      </w:r>
      <w:r w:rsidR="005C4316">
        <w:t xml:space="preserve">orization (EUA) on 17 May 2022, and in Canada (approved 19 August 2022). The sponsor also stated that similar submissions were underway in the European Union (EU), New Zealand, </w:t>
      </w:r>
      <w:proofErr w:type="gramStart"/>
      <w:r w:rsidR="005C4316">
        <w:t>Singapore</w:t>
      </w:r>
      <w:proofErr w:type="gramEnd"/>
      <w:r w:rsidR="005C4316">
        <w:t xml:space="preserve"> and Switzerland.</w:t>
      </w:r>
    </w:p>
    <w:p w14:paraId="75C95C0D"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48DD5BED" w14:textId="56970608" w:rsidR="00324E45" w:rsidRPr="00F0146F" w:rsidRDefault="00324E45" w:rsidP="005C4316">
      <w:pPr>
        <w:pStyle w:val="TableTitle"/>
      </w:pPr>
      <w:bookmarkStart w:id="35" w:name="_Ref99705479"/>
      <w:r>
        <w:t xml:space="preserve">Table </w:t>
      </w:r>
      <w:r w:rsidR="00BC0ACB">
        <w:fldChar w:fldCharType="begin"/>
      </w:r>
      <w:r w:rsidR="00BC0ACB">
        <w:instrText xml:space="preserve"> SEQ Table \* ARABIC </w:instrText>
      </w:r>
      <w:r w:rsidR="00BC0ACB">
        <w:fldChar w:fldCharType="separate"/>
      </w:r>
      <w:r w:rsidR="001E0AB7">
        <w:rPr>
          <w:noProof/>
        </w:rPr>
        <w:t>3</w:t>
      </w:r>
      <w:r w:rsidR="00BC0ACB">
        <w:rPr>
          <w:noProof/>
        </w:rPr>
        <w:fldChar w:fldCharType="end"/>
      </w:r>
      <w:bookmarkEnd w:id="35"/>
      <w:r>
        <w:t>: International regulatory status</w:t>
      </w:r>
    </w:p>
    <w:tbl>
      <w:tblPr>
        <w:tblStyle w:val="TableTGAblue"/>
        <w:tblW w:w="0" w:type="auto"/>
        <w:tblLook w:val="04A0" w:firstRow="1" w:lastRow="0" w:firstColumn="1" w:lastColumn="0" w:noHBand="0" w:noVBand="1"/>
      </w:tblPr>
      <w:tblGrid>
        <w:gridCol w:w="1615"/>
        <w:gridCol w:w="1890"/>
        <w:gridCol w:w="1890"/>
        <w:gridCol w:w="3099"/>
      </w:tblGrid>
      <w:tr w:rsidR="00006FAB" w14:paraId="294C1976" w14:textId="77777777" w:rsidTr="00F031D3">
        <w:trPr>
          <w:cnfStyle w:val="100000000000" w:firstRow="1" w:lastRow="0" w:firstColumn="0" w:lastColumn="0" w:oddVBand="0" w:evenVBand="0" w:oddHBand="0" w:evenHBand="0" w:firstRowFirstColumn="0" w:firstRowLastColumn="0" w:lastRowFirstColumn="0" w:lastRowLastColumn="0"/>
        </w:trPr>
        <w:tc>
          <w:tcPr>
            <w:tcW w:w="1615" w:type="dxa"/>
            <w:tcBorders>
              <w:top w:val="single" w:sz="4" w:space="0" w:color="auto"/>
              <w:left w:val="single" w:sz="4" w:space="0" w:color="auto"/>
              <w:bottom w:val="single" w:sz="4" w:space="0" w:color="auto"/>
              <w:right w:val="single" w:sz="4" w:space="0" w:color="auto"/>
            </w:tcBorders>
          </w:tcPr>
          <w:p w14:paraId="6F1C8104" w14:textId="77777777" w:rsidR="00006FAB" w:rsidRDefault="00006FAB" w:rsidP="005C4316">
            <w:pPr>
              <w:ind w:left="0" w:right="0"/>
            </w:pPr>
            <w:r>
              <w:t>Region</w:t>
            </w:r>
          </w:p>
        </w:tc>
        <w:tc>
          <w:tcPr>
            <w:tcW w:w="1890" w:type="dxa"/>
            <w:tcBorders>
              <w:top w:val="single" w:sz="4" w:space="0" w:color="auto"/>
              <w:left w:val="single" w:sz="4" w:space="0" w:color="auto"/>
              <w:bottom w:val="single" w:sz="4" w:space="0" w:color="auto"/>
              <w:right w:val="single" w:sz="4" w:space="0" w:color="auto"/>
            </w:tcBorders>
          </w:tcPr>
          <w:p w14:paraId="338E6233" w14:textId="77777777" w:rsidR="00006FAB" w:rsidRDefault="00006FAB" w:rsidP="005C4316">
            <w:pPr>
              <w:ind w:left="0" w:right="0"/>
            </w:pPr>
            <w:r>
              <w:t>Submission date</w:t>
            </w:r>
          </w:p>
        </w:tc>
        <w:tc>
          <w:tcPr>
            <w:tcW w:w="1890" w:type="dxa"/>
            <w:tcBorders>
              <w:top w:val="single" w:sz="4" w:space="0" w:color="auto"/>
              <w:left w:val="single" w:sz="4" w:space="0" w:color="auto"/>
              <w:bottom w:val="single" w:sz="4" w:space="0" w:color="auto"/>
              <w:right w:val="single" w:sz="4" w:space="0" w:color="auto"/>
            </w:tcBorders>
          </w:tcPr>
          <w:p w14:paraId="785A2028" w14:textId="77777777" w:rsidR="00006FAB" w:rsidRDefault="00006FAB" w:rsidP="005C4316">
            <w:pPr>
              <w:ind w:left="0" w:right="0"/>
            </w:pPr>
            <w:r>
              <w:t>Status</w:t>
            </w:r>
          </w:p>
        </w:tc>
        <w:tc>
          <w:tcPr>
            <w:tcW w:w="3099" w:type="dxa"/>
            <w:tcBorders>
              <w:top w:val="single" w:sz="4" w:space="0" w:color="auto"/>
              <w:left w:val="single" w:sz="4" w:space="0" w:color="auto"/>
              <w:bottom w:val="single" w:sz="4" w:space="0" w:color="auto"/>
              <w:right w:val="single" w:sz="4" w:space="0" w:color="auto"/>
            </w:tcBorders>
          </w:tcPr>
          <w:p w14:paraId="3490925F" w14:textId="77777777" w:rsidR="00006FAB" w:rsidRDefault="00006FAB" w:rsidP="005C4316">
            <w:pPr>
              <w:ind w:left="0" w:right="0"/>
            </w:pPr>
            <w:r>
              <w:t>Approved indications</w:t>
            </w:r>
          </w:p>
        </w:tc>
      </w:tr>
      <w:tr w:rsidR="00006FAB" w14:paraId="5303F4EE" w14:textId="77777777" w:rsidTr="00F031D3">
        <w:tc>
          <w:tcPr>
            <w:tcW w:w="1615" w:type="dxa"/>
            <w:tcBorders>
              <w:top w:val="single" w:sz="4" w:space="0" w:color="auto"/>
            </w:tcBorders>
          </w:tcPr>
          <w:p w14:paraId="67797A43" w14:textId="406CF5F0" w:rsidR="00006FAB" w:rsidRDefault="00F031D3" w:rsidP="005C4316">
            <w:pPr>
              <w:keepNext/>
              <w:ind w:left="0" w:right="0"/>
            </w:pPr>
            <w:r>
              <w:t>United States of America</w:t>
            </w:r>
          </w:p>
        </w:tc>
        <w:tc>
          <w:tcPr>
            <w:tcW w:w="1890" w:type="dxa"/>
            <w:tcBorders>
              <w:top w:val="single" w:sz="4" w:space="0" w:color="auto"/>
            </w:tcBorders>
          </w:tcPr>
          <w:p w14:paraId="3A545799" w14:textId="17D6F8C9" w:rsidR="00006FAB" w:rsidRDefault="00F031D3" w:rsidP="005C4316">
            <w:pPr>
              <w:keepNext/>
              <w:ind w:left="0" w:right="0"/>
            </w:pPr>
            <w:r>
              <w:t>26 April 2022</w:t>
            </w:r>
          </w:p>
        </w:tc>
        <w:tc>
          <w:tcPr>
            <w:tcW w:w="1890" w:type="dxa"/>
            <w:tcBorders>
              <w:top w:val="single" w:sz="4" w:space="0" w:color="auto"/>
            </w:tcBorders>
          </w:tcPr>
          <w:p w14:paraId="50B15AB4" w14:textId="7AD1E390" w:rsidR="00006FAB" w:rsidRDefault="00F031D3" w:rsidP="005C4316">
            <w:pPr>
              <w:keepNext/>
              <w:ind w:left="0" w:right="0"/>
            </w:pPr>
            <w:r>
              <w:t>Approved on 17 May 2022</w:t>
            </w:r>
          </w:p>
        </w:tc>
        <w:tc>
          <w:tcPr>
            <w:tcW w:w="3099" w:type="dxa"/>
            <w:tcBorders>
              <w:top w:val="single" w:sz="4" w:space="0" w:color="auto"/>
            </w:tcBorders>
          </w:tcPr>
          <w:p w14:paraId="19D05967" w14:textId="1E4258AB" w:rsidR="00F031D3" w:rsidRDefault="00F031D3" w:rsidP="005C4316">
            <w:pPr>
              <w:keepNext/>
              <w:ind w:left="0" w:right="0"/>
            </w:pPr>
            <w:r>
              <w:t>(Amendment to Emergency Use Authorization)</w:t>
            </w:r>
          </w:p>
          <w:p w14:paraId="72506AC4" w14:textId="128A0899" w:rsidR="00A373F2" w:rsidRDefault="00A373F2" w:rsidP="005C4316">
            <w:pPr>
              <w:keepNext/>
              <w:ind w:left="0" w:right="0"/>
            </w:pPr>
            <w:r>
              <w:t>Changes to indication: None.</w:t>
            </w:r>
          </w:p>
          <w:p w14:paraId="3EF1883A" w14:textId="7637B950" w:rsidR="00006FAB" w:rsidRPr="00A373F2" w:rsidRDefault="00A373F2" w:rsidP="005C4316">
            <w:pPr>
              <w:keepNext/>
              <w:ind w:left="0" w:right="0"/>
            </w:pPr>
            <w:r>
              <w:t xml:space="preserve">Changes to dosage: </w:t>
            </w:r>
            <w:r w:rsidR="00F031D3" w:rsidRPr="00F031D3">
              <w:rPr>
                <w:i/>
              </w:rPr>
              <w:t>Use of a single booster dose for administration to children aged 5 through 11 at least five months after completion of a primary series with Pfizer and BioNTech’s vaccine.</w:t>
            </w:r>
          </w:p>
        </w:tc>
      </w:tr>
      <w:tr w:rsidR="00006FAB" w14:paraId="048E0131" w14:textId="77777777" w:rsidTr="00F031D3">
        <w:tc>
          <w:tcPr>
            <w:tcW w:w="1615" w:type="dxa"/>
          </w:tcPr>
          <w:p w14:paraId="59D842D3" w14:textId="3A9D21E6" w:rsidR="00006FAB" w:rsidRDefault="00F031D3" w:rsidP="00006FAB">
            <w:pPr>
              <w:ind w:left="0" w:right="0"/>
            </w:pPr>
            <w:r>
              <w:t>European Union</w:t>
            </w:r>
          </w:p>
        </w:tc>
        <w:tc>
          <w:tcPr>
            <w:tcW w:w="1890" w:type="dxa"/>
          </w:tcPr>
          <w:p w14:paraId="588875DD" w14:textId="30722620" w:rsidR="00006FAB" w:rsidRDefault="00F031D3" w:rsidP="00006FAB">
            <w:pPr>
              <w:ind w:left="0" w:right="0"/>
            </w:pPr>
            <w:r>
              <w:t>12 May 2022</w:t>
            </w:r>
          </w:p>
        </w:tc>
        <w:tc>
          <w:tcPr>
            <w:tcW w:w="1890" w:type="dxa"/>
          </w:tcPr>
          <w:p w14:paraId="061E77A1" w14:textId="72876EAA" w:rsidR="00006FAB" w:rsidRDefault="00C75F4A" w:rsidP="00006FAB">
            <w:pPr>
              <w:ind w:left="0" w:right="0"/>
            </w:pPr>
            <w:r>
              <w:t>Under evaluation</w:t>
            </w:r>
          </w:p>
        </w:tc>
        <w:tc>
          <w:tcPr>
            <w:tcW w:w="3099" w:type="dxa"/>
          </w:tcPr>
          <w:p w14:paraId="2A5B43A1" w14:textId="605AD661" w:rsidR="00C75F4A" w:rsidRDefault="00C75F4A" w:rsidP="00006FAB">
            <w:pPr>
              <w:ind w:left="0" w:right="0"/>
            </w:pPr>
            <w:r>
              <w:t>Changes to indication: None.</w:t>
            </w:r>
          </w:p>
          <w:p w14:paraId="59E014E2" w14:textId="31BEEB21" w:rsidR="00006FAB" w:rsidRDefault="00006FAB" w:rsidP="00006FAB">
            <w:pPr>
              <w:ind w:left="0" w:right="0"/>
            </w:pPr>
          </w:p>
        </w:tc>
      </w:tr>
      <w:tr w:rsidR="00EF7CC1" w14:paraId="306142A0" w14:textId="77777777" w:rsidTr="00F031D3">
        <w:tc>
          <w:tcPr>
            <w:tcW w:w="1615" w:type="dxa"/>
          </w:tcPr>
          <w:p w14:paraId="68506A26" w14:textId="4D6AA6EA" w:rsidR="00EF7CC1" w:rsidRDefault="00EF7CC1" w:rsidP="00EF7CC1">
            <w:pPr>
              <w:ind w:left="0"/>
            </w:pPr>
            <w:r>
              <w:t>United Kingdom</w:t>
            </w:r>
          </w:p>
        </w:tc>
        <w:tc>
          <w:tcPr>
            <w:tcW w:w="1890" w:type="dxa"/>
          </w:tcPr>
          <w:p w14:paraId="7005235F" w14:textId="044F0C43" w:rsidR="00EF7CC1" w:rsidRDefault="002B094E" w:rsidP="00EF7CC1">
            <w:pPr>
              <w:ind w:left="0"/>
            </w:pPr>
            <w:r>
              <w:t>22 September 2022</w:t>
            </w:r>
          </w:p>
        </w:tc>
        <w:tc>
          <w:tcPr>
            <w:tcW w:w="1890" w:type="dxa"/>
          </w:tcPr>
          <w:p w14:paraId="102ADF1D" w14:textId="67960D73" w:rsidR="00EF7CC1" w:rsidRDefault="002B094E" w:rsidP="00EF7CC1">
            <w:pPr>
              <w:ind w:left="0"/>
            </w:pPr>
            <w:r>
              <w:t>Under evaluation</w:t>
            </w:r>
          </w:p>
        </w:tc>
        <w:tc>
          <w:tcPr>
            <w:tcW w:w="3099" w:type="dxa"/>
          </w:tcPr>
          <w:p w14:paraId="62F74340" w14:textId="028EEDF1" w:rsidR="00EF7CC1" w:rsidRDefault="000C3C06" w:rsidP="00EF7CC1">
            <w:pPr>
              <w:ind w:left="0"/>
            </w:pPr>
            <w:r>
              <w:t>Linked to EU centralised process</w:t>
            </w:r>
          </w:p>
          <w:p w14:paraId="57BE08B7" w14:textId="08638052" w:rsidR="000C3C06" w:rsidRDefault="000C3C06" w:rsidP="000C3C06">
            <w:pPr>
              <w:ind w:left="0" w:right="0"/>
            </w:pPr>
            <w:r>
              <w:t>Changes to indication: None.</w:t>
            </w:r>
          </w:p>
        </w:tc>
      </w:tr>
      <w:tr w:rsidR="00EF7CC1" w14:paraId="2A58BF07" w14:textId="77777777" w:rsidTr="00F031D3">
        <w:tc>
          <w:tcPr>
            <w:tcW w:w="1615" w:type="dxa"/>
          </w:tcPr>
          <w:p w14:paraId="5403E637" w14:textId="0BBD2912" w:rsidR="00EF7CC1" w:rsidRDefault="00EF7CC1" w:rsidP="00EF7CC1">
            <w:pPr>
              <w:ind w:left="0"/>
            </w:pPr>
            <w:r>
              <w:t>New Zealand</w:t>
            </w:r>
          </w:p>
        </w:tc>
        <w:tc>
          <w:tcPr>
            <w:tcW w:w="1890" w:type="dxa"/>
          </w:tcPr>
          <w:p w14:paraId="34A3B3FB" w14:textId="6F9D0768" w:rsidR="00EF7CC1" w:rsidRDefault="00A373F2" w:rsidP="00EF7CC1">
            <w:pPr>
              <w:ind w:left="0"/>
            </w:pPr>
            <w:r>
              <w:t>30 June 2022</w:t>
            </w:r>
          </w:p>
        </w:tc>
        <w:tc>
          <w:tcPr>
            <w:tcW w:w="1890" w:type="dxa"/>
          </w:tcPr>
          <w:p w14:paraId="073C8286" w14:textId="404ADF03" w:rsidR="00EF7CC1" w:rsidRDefault="002B094E" w:rsidP="00EF7CC1">
            <w:pPr>
              <w:ind w:left="0"/>
            </w:pPr>
            <w:r>
              <w:t>Under evaluation</w:t>
            </w:r>
          </w:p>
        </w:tc>
        <w:tc>
          <w:tcPr>
            <w:tcW w:w="3099" w:type="dxa"/>
          </w:tcPr>
          <w:p w14:paraId="140AC282" w14:textId="2C3CF8BB" w:rsidR="00C75F4A" w:rsidRDefault="00C75F4A" w:rsidP="00C75F4A">
            <w:pPr>
              <w:ind w:left="0" w:right="0"/>
            </w:pPr>
            <w:r>
              <w:t>Changes to indication: None.</w:t>
            </w:r>
          </w:p>
          <w:p w14:paraId="3767F618" w14:textId="135A533B" w:rsidR="00EF7CC1" w:rsidRDefault="00EF7CC1" w:rsidP="00EF7CC1">
            <w:pPr>
              <w:ind w:left="0"/>
            </w:pPr>
          </w:p>
        </w:tc>
      </w:tr>
      <w:tr w:rsidR="00EF7CC1" w14:paraId="34BE9B61" w14:textId="77777777" w:rsidTr="00F031D3">
        <w:tc>
          <w:tcPr>
            <w:tcW w:w="1615" w:type="dxa"/>
          </w:tcPr>
          <w:p w14:paraId="2B13218F" w14:textId="191F411B" w:rsidR="00EF7CC1" w:rsidRDefault="00EF7CC1" w:rsidP="00EF7CC1">
            <w:pPr>
              <w:ind w:left="0"/>
            </w:pPr>
            <w:r>
              <w:t>Canada</w:t>
            </w:r>
          </w:p>
        </w:tc>
        <w:tc>
          <w:tcPr>
            <w:tcW w:w="1890" w:type="dxa"/>
          </w:tcPr>
          <w:p w14:paraId="17FB3009" w14:textId="78602E4E" w:rsidR="00EF7CC1" w:rsidRDefault="00A373F2" w:rsidP="00EF7CC1">
            <w:pPr>
              <w:ind w:left="0"/>
            </w:pPr>
            <w:r>
              <w:t>27 May 2022</w:t>
            </w:r>
          </w:p>
        </w:tc>
        <w:tc>
          <w:tcPr>
            <w:tcW w:w="1890" w:type="dxa"/>
          </w:tcPr>
          <w:p w14:paraId="1A6E8EE1" w14:textId="3937032C" w:rsidR="00EF7CC1" w:rsidRDefault="00EE3D57" w:rsidP="00EF7CC1">
            <w:pPr>
              <w:ind w:left="0"/>
            </w:pPr>
            <w:r>
              <w:t>19 August 2022</w:t>
            </w:r>
          </w:p>
        </w:tc>
        <w:tc>
          <w:tcPr>
            <w:tcW w:w="3099" w:type="dxa"/>
          </w:tcPr>
          <w:p w14:paraId="3E7E7464" w14:textId="670EC4E9" w:rsidR="00A373F2" w:rsidRDefault="00A373F2" w:rsidP="00A373F2">
            <w:pPr>
              <w:ind w:left="0"/>
            </w:pPr>
            <w:r>
              <w:t>Changes to indication: None.</w:t>
            </w:r>
          </w:p>
          <w:p w14:paraId="1E6C1DC4" w14:textId="7516B8E3" w:rsidR="00EF7CC1" w:rsidRPr="00A373F2" w:rsidRDefault="00A373F2" w:rsidP="00A373F2">
            <w:pPr>
              <w:ind w:left="0"/>
            </w:pPr>
            <w:r>
              <w:t xml:space="preserve">Changes to dosage: </w:t>
            </w:r>
            <w:r w:rsidRPr="00A373F2">
              <w:rPr>
                <w:i/>
              </w:rPr>
              <w:t>A single booster dose of the vaccine may be administered in individuals 5 years of age and older at least 6 months after completing t</w:t>
            </w:r>
            <w:r>
              <w:rPr>
                <w:i/>
              </w:rPr>
              <w:t>heir primary vaccine series (30 </w:t>
            </w:r>
            <w:r w:rsidRPr="00A373F2">
              <w:rPr>
                <w:i/>
              </w:rPr>
              <w:t>mcg each for ages 12 and old</w:t>
            </w:r>
            <w:r>
              <w:rPr>
                <w:i/>
              </w:rPr>
              <w:t>er or 10 </w:t>
            </w:r>
            <w:r w:rsidRPr="00A373F2">
              <w:rPr>
                <w:i/>
              </w:rPr>
              <w:t>mcg each for ages 5 to 11).</w:t>
            </w:r>
          </w:p>
        </w:tc>
      </w:tr>
      <w:tr w:rsidR="00EF7CC1" w14:paraId="7E89AEE9" w14:textId="77777777" w:rsidTr="00F031D3">
        <w:tc>
          <w:tcPr>
            <w:tcW w:w="1615" w:type="dxa"/>
          </w:tcPr>
          <w:p w14:paraId="4905C13F" w14:textId="42D42AE8" w:rsidR="00EF7CC1" w:rsidRDefault="00EF7CC1" w:rsidP="00EF7CC1">
            <w:pPr>
              <w:ind w:left="0"/>
            </w:pPr>
            <w:r>
              <w:t>Singapore</w:t>
            </w:r>
          </w:p>
        </w:tc>
        <w:tc>
          <w:tcPr>
            <w:tcW w:w="1890" w:type="dxa"/>
          </w:tcPr>
          <w:p w14:paraId="7CD37848" w14:textId="7F40C57F" w:rsidR="00EF7CC1" w:rsidRDefault="00C75F4A" w:rsidP="00EF7CC1">
            <w:pPr>
              <w:ind w:left="0"/>
            </w:pPr>
            <w:r>
              <w:t>8 July 2022</w:t>
            </w:r>
          </w:p>
        </w:tc>
        <w:tc>
          <w:tcPr>
            <w:tcW w:w="1890" w:type="dxa"/>
          </w:tcPr>
          <w:p w14:paraId="57BA5FA9" w14:textId="5B35280F" w:rsidR="00EF7CC1" w:rsidRDefault="00C75F4A" w:rsidP="00EF7CC1">
            <w:pPr>
              <w:ind w:left="0"/>
            </w:pPr>
            <w:r>
              <w:t>Under evaluation</w:t>
            </w:r>
          </w:p>
        </w:tc>
        <w:tc>
          <w:tcPr>
            <w:tcW w:w="3099" w:type="dxa"/>
          </w:tcPr>
          <w:p w14:paraId="41B393B8" w14:textId="77777777" w:rsidR="00C75F4A" w:rsidRDefault="00C75F4A" w:rsidP="00C75F4A">
            <w:pPr>
              <w:ind w:left="0" w:right="0"/>
            </w:pPr>
            <w:r>
              <w:t>Changes to indication: None.</w:t>
            </w:r>
          </w:p>
          <w:p w14:paraId="23F4B9D4" w14:textId="0B37C073" w:rsidR="00EF7CC1" w:rsidRDefault="00EF7CC1" w:rsidP="00EF7CC1">
            <w:pPr>
              <w:ind w:left="0"/>
            </w:pPr>
          </w:p>
        </w:tc>
      </w:tr>
      <w:tr w:rsidR="00EF7CC1" w14:paraId="5009A31B" w14:textId="77777777" w:rsidTr="00F031D3">
        <w:tc>
          <w:tcPr>
            <w:tcW w:w="1615" w:type="dxa"/>
          </w:tcPr>
          <w:p w14:paraId="2B890438" w14:textId="2AC37AFB" w:rsidR="00EF7CC1" w:rsidRDefault="00EF7CC1" w:rsidP="00EF7CC1">
            <w:pPr>
              <w:ind w:left="0"/>
            </w:pPr>
            <w:r>
              <w:t>Switzerland</w:t>
            </w:r>
          </w:p>
        </w:tc>
        <w:tc>
          <w:tcPr>
            <w:tcW w:w="1890" w:type="dxa"/>
          </w:tcPr>
          <w:p w14:paraId="42739C3B" w14:textId="2F0164DD" w:rsidR="00EF7CC1" w:rsidRDefault="00C75F4A" w:rsidP="00EF7CC1">
            <w:pPr>
              <w:ind w:left="0"/>
            </w:pPr>
            <w:r>
              <w:t>20 May 2022</w:t>
            </w:r>
          </w:p>
        </w:tc>
        <w:tc>
          <w:tcPr>
            <w:tcW w:w="1890" w:type="dxa"/>
          </w:tcPr>
          <w:p w14:paraId="683D4CA3" w14:textId="29EC2B26" w:rsidR="00EF7CC1" w:rsidRDefault="00C75F4A" w:rsidP="00EF7CC1">
            <w:pPr>
              <w:ind w:left="0"/>
            </w:pPr>
            <w:r>
              <w:t>Under evaluation</w:t>
            </w:r>
          </w:p>
        </w:tc>
        <w:tc>
          <w:tcPr>
            <w:tcW w:w="3099" w:type="dxa"/>
          </w:tcPr>
          <w:p w14:paraId="02AF4EF4" w14:textId="6A2D2DE1" w:rsidR="00C75F4A" w:rsidRDefault="00C75F4A" w:rsidP="00C75F4A">
            <w:pPr>
              <w:ind w:left="0" w:right="0"/>
            </w:pPr>
            <w:r>
              <w:t>Changes to indication: None.</w:t>
            </w:r>
          </w:p>
          <w:p w14:paraId="12B1F4D1" w14:textId="74DEB039" w:rsidR="00EF7CC1" w:rsidRDefault="00EF7CC1" w:rsidP="00EF7CC1">
            <w:pPr>
              <w:ind w:left="0"/>
            </w:pPr>
          </w:p>
        </w:tc>
      </w:tr>
    </w:tbl>
    <w:p w14:paraId="7173263C" w14:textId="51B25F67" w:rsidR="00F031D3" w:rsidRPr="00F031D3" w:rsidRDefault="00EE3D57" w:rsidP="00F031D3">
      <w:r>
        <w:lastRenderedPageBreak/>
        <w:t>The s</w:t>
      </w:r>
      <w:r w:rsidRPr="00B76CF6">
        <w:t xml:space="preserve">ponsor stated a similar application has not been deferred, </w:t>
      </w:r>
      <w:proofErr w:type="gramStart"/>
      <w:r w:rsidRPr="00B76CF6">
        <w:t>withdrawn</w:t>
      </w:r>
      <w:proofErr w:type="gramEnd"/>
      <w:r w:rsidRPr="00B76CF6">
        <w:t xml:space="preserve"> or rejected in any of these countries/jurisdictions. The data submitted is stated to be ident</w:t>
      </w:r>
      <w:r w:rsidR="00C75F4A">
        <w:t>ical to that submitted in the European Union (EU)</w:t>
      </w:r>
      <w:r w:rsidRPr="00B76CF6">
        <w:t xml:space="preserve">, </w:t>
      </w:r>
      <w:proofErr w:type="gramStart"/>
      <w:r w:rsidRPr="00B76CF6">
        <w:t>with the exception of</w:t>
      </w:r>
      <w:proofErr w:type="gramEnd"/>
      <w:r w:rsidRPr="00B76CF6">
        <w:t xml:space="preserve"> country</w:t>
      </w:r>
      <w:r w:rsidR="00C75F4A">
        <w:t>-specific</w:t>
      </w:r>
      <w:r w:rsidRPr="00B76CF6">
        <w:t xml:space="preserve"> information. </w:t>
      </w:r>
    </w:p>
    <w:p w14:paraId="56D0552B" w14:textId="797DFD81" w:rsidR="008E7846" w:rsidRDefault="008E7846" w:rsidP="00940A89">
      <w:pPr>
        <w:pStyle w:val="Heading3"/>
      </w:pPr>
      <w:bookmarkStart w:id="36" w:name="_Toc115349599"/>
      <w:r>
        <w:t>Product Information</w:t>
      </w:r>
      <w:bookmarkEnd w:id="32"/>
      <w:bookmarkEnd w:id="33"/>
      <w:bookmarkEnd w:id="36"/>
    </w:p>
    <w:p w14:paraId="11603E72" w14:textId="5E5FB3BB" w:rsidR="00332715" w:rsidRDefault="00332715" w:rsidP="00332715">
      <w:bookmarkStart w:id="37" w:name="_Toc504480011"/>
      <w:bookmarkStart w:id="38" w:name="_Toc247691506"/>
      <w:bookmarkStart w:id="39" w:name="_Toc314842487"/>
      <w:r>
        <w:t xml:space="preserve">The Product Information (PI) approved with the submission which is described in this AusPAR can be found as Attachment 1. For the most recent PI, please refer to the TGA </w:t>
      </w:r>
      <w:hyperlink r:id="rId17" w:history="1">
        <w:r>
          <w:rPr>
            <w:rStyle w:val="Hyperlink"/>
          </w:rPr>
          <w:t>PI/CMI search facility</w:t>
        </w:r>
        <w:r w:rsidRPr="009556D7">
          <w:rPr>
            <w:rStyle w:val="Hyperlink"/>
            <w:color w:val="auto"/>
            <w:u w:val="none"/>
          </w:rPr>
          <w:t>.</w:t>
        </w:r>
      </w:hyperlink>
    </w:p>
    <w:p w14:paraId="5737D948" w14:textId="77777777" w:rsidR="00500337" w:rsidRDefault="00500337" w:rsidP="00500337">
      <w:pPr>
        <w:pStyle w:val="Heading2"/>
      </w:pPr>
      <w:bookmarkStart w:id="40" w:name="_Toc115349600"/>
      <w:r>
        <w:t>Registration timeline</w:t>
      </w:r>
      <w:bookmarkEnd w:id="37"/>
      <w:bookmarkEnd w:id="40"/>
    </w:p>
    <w:p w14:paraId="36C9EA6A" w14:textId="11DC0341" w:rsidR="005C4316" w:rsidRDefault="005C4316" w:rsidP="0074163C">
      <w:r w:rsidRPr="00C93EC1">
        <w:t>Data</w:t>
      </w:r>
      <w:r>
        <w:t xml:space="preserve"> were</w:t>
      </w:r>
      <w:r w:rsidRPr="00C93EC1">
        <w:t xml:space="preserve"> provided as a rolling submission. Under normal circumstances, </w:t>
      </w:r>
      <w:r w:rsidR="007C58FC">
        <w:t xml:space="preserve">the </w:t>
      </w:r>
      <w:r w:rsidRPr="00C93EC1">
        <w:t xml:space="preserve">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p>
    <w:p w14:paraId="14977A92" w14:textId="1C8BB5CB" w:rsidR="0074163C" w:rsidRPr="00C93EC1" w:rsidRDefault="0074163C" w:rsidP="0074163C">
      <w:r w:rsidRPr="00C93EC1">
        <w:t xml:space="preserve">The following table captures the key steps and dates for this </w:t>
      </w:r>
      <w:r w:rsidR="00804D99">
        <w:t>submission</w:t>
      </w:r>
      <w:r w:rsidRPr="00C93EC1">
        <w:t>.</w:t>
      </w:r>
    </w:p>
    <w:p w14:paraId="7A0F0718" w14:textId="78E9F87B" w:rsidR="0074163C" w:rsidRPr="00C93EC1" w:rsidRDefault="0074163C" w:rsidP="005C4316">
      <w:pPr>
        <w:pStyle w:val="TableTitle"/>
      </w:pPr>
      <w:r>
        <w:t xml:space="preserve">Table </w:t>
      </w:r>
      <w:r w:rsidR="00BC0ACB">
        <w:fldChar w:fldCharType="begin"/>
      </w:r>
      <w:r w:rsidR="00BC0ACB">
        <w:instrText xml:space="preserve"> SEQ Table \* ARABIC </w:instrText>
      </w:r>
      <w:r w:rsidR="00BC0ACB">
        <w:fldChar w:fldCharType="separate"/>
      </w:r>
      <w:r w:rsidR="001E0AB7">
        <w:rPr>
          <w:noProof/>
        </w:rPr>
        <w:t>4</w:t>
      </w:r>
      <w:r w:rsidR="00BC0ACB">
        <w:rPr>
          <w:noProof/>
        </w:rPr>
        <w:fldChar w:fldCharType="end"/>
      </w:r>
      <w:r>
        <w:t>:</w:t>
      </w:r>
      <w:r w:rsidRPr="006A58A8">
        <w:t xml:space="preserve"> Timeline for Submission PM-20</w:t>
      </w:r>
      <w:r>
        <w:t>2</w:t>
      </w:r>
      <w:r w:rsidR="00EE3D57">
        <w:t>2-02476</w:t>
      </w:r>
      <w:r w:rsidR="00C75F4A">
        <w:t>-1-2</w:t>
      </w:r>
    </w:p>
    <w:tbl>
      <w:tblPr>
        <w:tblStyle w:val="TableTGAblue"/>
        <w:tblW w:w="0" w:type="auto"/>
        <w:tblLook w:val="04A0" w:firstRow="1" w:lastRow="0" w:firstColumn="1" w:lastColumn="0" w:noHBand="0" w:noVBand="1"/>
      </w:tblPr>
      <w:tblGrid>
        <w:gridCol w:w="4262"/>
        <w:gridCol w:w="4232"/>
      </w:tblGrid>
      <w:tr w:rsidR="0074163C" w14:paraId="382BDF54" w14:textId="77777777" w:rsidTr="005C4316">
        <w:trPr>
          <w:cnfStyle w:val="100000000000" w:firstRow="1" w:lastRow="0" w:firstColumn="0" w:lastColumn="0" w:oddVBand="0" w:evenVBand="0" w:oddHBand="0" w:evenHBand="0" w:firstRowFirstColumn="0" w:firstRowLastColumn="0" w:lastRowFirstColumn="0" w:lastRowLastColumn="0"/>
        </w:trPr>
        <w:tc>
          <w:tcPr>
            <w:tcW w:w="4262" w:type="dxa"/>
            <w:tcBorders>
              <w:top w:val="single" w:sz="4" w:space="0" w:color="auto"/>
              <w:left w:val="single" w:sz="4" w:space="0" w:color="auto"/>
              <w:bottom w:val="single" w:sz="4" w:space="0" w:color="auto"/>
              <w:right w:val="single" w:sz="4" w:space="0" w:color="auto"/>
            </w:tcBorders>
          </w:tcPr>
          <w:p w14:paraId="2D903010" w14:textId="77777777" w:rsidR="0074163C" w:rsidRDefault="0074163C" w:rsidP="009E5A87">
            <w:r>
              <w:t>Description</w:t>
            </w:r>
          </w:p>
        </w:tc>
        <w:tc>
          <w:tcPr>
            <w:tcW w:w="4232" w:type="dxa"/>
            <w:tcBorders>
              <w:top w:val="single" w:sz="4" w:space="0" w:color="auto"/>
              <w:left w:val="single" w:sz="4" w:space="0" w:color="auto"/>
              <w:bottom w:val="single" w:sz="4" w:space="0" w:color="auto"/>
              <w:right w:val="single" w:sz="4" w:space="0" w:color="auto"/>
            </w:tcBorders>
          </w:tcPr>
          <w:p w14:paraId="0F909189" w14:textId="77777777" w:rsidR="0074163C" w:rsidRDefault="0074163C" w:rsidP="009E5A87">
            <w:r>
              <w:t>Date</w:t>
            </w:r>
          </w:p>
        </w:tc>
      </w:tr>
      <w:tr w:rsidR="0074163C" w14:paraId="7AE59404" w14:textId="77777777" w:rsidTr="005C4316">
        <w:tc>
          <w:tcPr>
            <w:tcW w:w="4262" w:type="dxa"/>
          </w:tcPr>
          <w:p w14:paraId="213A2639" w14:textId="77777777" w:rsidR="0074163C" w:rsidRDefault="0074163C" w:rsidP="009E5A87">
            <w:r>
              <w:t>Submission dossier accepted and first round evaluation commenced</w:t>
            </w:r>
          </w:p>
        </w:tc>
        <w:tc>
          <w:tcPr>
            <w:tcW w:w="4232" w:type="dxa"/>
          </w:tcPr>
          <w:p w14:paraId="4ED92176" w14:textId="5B8E22C9" w:rsidR="0074163C" w:rsidRDefault="00D953F0" w:rsidP="009E5A87">
            <w:r>
              <w:t>6 July 2022</w:t>
            </w:r>
          </w:p>
        </w:tc>
      </w:tr>
      <w:tr w:rsidR="0074163C" w14:paraId="333FF6BC" w14:textId="77777777" w:rsidTr="005C4316">
        <w:tc>
          <w:tcPr>
            <w:tcW w:w="4262" w:type="dxa"/>
          </w:tcPr>
          <w:p w14:paraId="546C49B9" w14:textId="77777777" w:rsidR="0074163C" w:rsidRDefault="0074163C" w:rsidP="009E5A87">
            <w:r>
              <w:t>Evaluation completed</w:t>
            </w:r>
          </w:p>
        </w:tc>
        <w:tc>
          <w:tcPr>
            <w:tcW w:w="4232" w:type="dxa"/>
          </w:tcPr>
          <w:p w14:paraId="59552A2D" w14:textId="4DD4EF49" w:rsidR="0074163C" w:rsidRDefault="00C81F36" w:rsidP="009E5A87">
            <w:r>
              <w:t>25 August 2022</w:t>
            </w:r>
          </w:p>
        </w:tc>
      </w:tr>
      <w:tr w:rsidR="0074163C" w14:paraId="37055BCB" w14:textId="77777777" w:rsidTr="005C4316">
        <w:tc>
          <w:tcPr>
            <w:tcW w:w="4262" w:type="dxa"/>
          </w:tcPr>
          <w:p w14:paraId="37E963D6" w14:textId="78B9C317" w:rsidR="0074163C" w:rsidRPr="005C4316" w:rsidRDefault="0074163C" w:rsidP="005C4316">
            <w:r w:rsidRPr="005C4316">
              <w:t>Delegate’s Overall benefit-risk assessment and request</w:t>
            </w:r>
            <w:r w:rsidR="005C4316" w:rsidRPr="005C4316">
              <w:t xml:space="preserve"> for Advisory Committee advice</w:t>
            </w:r>
          </w:p>
        </w:tc>
        <w:tc>
          <w:tcPr>
            <w:tcW w:w="4232" w:type="dxa"/>
          </w:tcPr>
          <w:p w14:paraId="0FA7E4E8" w14:textId="7EBC0746" w:rsidR="0074163C" w:rsidRDefault="005C4316" w:rsidP="009E5A87">
            <w:r>
              <w:t>26 August 2022</w:t>
            </w:r>
          </w:p>
        </w:tc>
      </w:tr>
      <w:tr w:rsidR="0074163C" w14:paraId="572851C8" w14:textId="77777777" w:rsidTr="005C4316">
        <w:tc>
          <w:tcPr>
            <w:tcW w:w="4262" w:type="dxa"/>
          </w:tcPr>
          <w:p w14:paraId="639F4779" w14:textId="77777777" w:rsidR="0074163C" w:rsidRDefault="0074163C" w:rsidP="009E5A87">
            <w:r>
              <w:t>Sponsor’s pre-Advisory Committee response</w:t>
            </w:r>
          </w:p>
        </w:tc>
        <w:tc>
          <w:tcPr>
            <w:tcW w:w="4232" w:type="dxa"/>
          </w:tcPr>
          <w:p w14:paraId="7085C6CB" w14:textId="2A20DDD0" w:rsidR="0074163C" w:rsidRDefault="00D953F0" w:rsidP="009E5A87">
            <w:r>
              <w:t>31 August 2022</w:t>
            </w:r>
          </w:p>
        </w:tc>
      </w:tr>
      <w:tr w:rsidR="0074163C" w14:paraId="0C948308" w14:textId="77777777" w:rsidTr="005C4316">
        <w:tc>
          <w:tcPr>
            <w:tcW w:w="4262" w:type="dxa"/>
          </w:tcPr>
          <w:p w14:paraId="40D63F32" w14:textId="77777777" w:rsidR="0074163C" w:rsidRDefault="0074163C" w:rsidP="009E5A87">
            <w:r>
              <w:t>Advisory Committee meeting</w:t>
            </w:r>
          </w:p>
        </w:tc>
        <w:tc>
          <w:tcPr>
            <w:tcW w:w="4232" w:type="dxa"/>
          </w:tcPr>
          <w:p w14:paraId="76433D53" w14:textId="54B6873E" w:rsidR="0074163C" w:rsidRDefault="005C4316" w:rsidP="009E5A87">
            <w:r>
              <w:t>7 September 2022</w:t>
            </w:r>
          </w:p>
        </w:tc>
      </w:tr>
      <w:tr w:rsidR="0074163C" w14:paraId="6E555FD7" w14:textId="77777777" w:rsidTr="005C4316">
        <w:tc>
          <w:tcPr>
            <w:tcW w:w="4262" w:type="dxa"/>
          </w:tcPr>
          <w:p w14:paraId="38737058" w14:textId="77777777" w:rsidR="0074163C" w:rsidRDefault="0074163C" w:rsidP="009E5A87">
            <w:r>
              <w:t>Registration decision (Outcome)</w:t>
            </w:r>
          </w:p>
        </w:tc>
        <w:tc>
          <w:tcPr>
            <w:tcW w:w="4232" w:type="dxa"/>
          </w:tcPr>
          <w:p w14:paraId="3FA9C0C7" w14:textId="7E737339" w:rsidR="0074163C" w:rsidRDefault="00682BA0" w:rsidP="009E5A87">
            <w:r>
              <w:t>20 September 2022</w:t>
            </w:r>
          </w:p>
        </w:tc>
      </w:tr>
      <w:tr w:rsidR="0074163C" w14:paraId="557B46C0" w14:textId="77777777" w:rsidTr="005C4316">
        <w:tc>
          <w:tcPr>
            <w:tcW w:w="4262" w:type="dxa"/>
          </w:tcPr>
          <w:p w14:paraId="5C4ABB3B" w14:textId="77777777" w:rsidR="0074163C" w:rsidRDefault="0074163C" w:rsidP="009E5A87">
            <w:r>
              <w:t>Completion of administrative activities and registration on the ARTG</w:t>
            </w:r>
          </w:p>
        </w:tc>
        <w:tc>
          <w:tcPr>
            <w:tcW w:w="4232" w:type="dxa"/>
          </w:tcPr>
          <w:p w14:paraId="39FDB7A7" w14:textId="3071141B" w:rsidR="0074163C" w:rsidRDefault="006063BE" w:rsidP="009E5A87">
            <w:r>
              <w:rPr>
                <w:color w:val="auto"/>
              </w:rPr>
              <w:t>29 September 2022</w:t>
            </w:r>
          </w:p>
        </w:tc>
      </w:tr>
      <w:tr w:rsidR="0074163C" w14:paraId="53A6CCF9" w14:textId="77777777" w:rsidTr="005C4316">
        <w:tc>
          <w:tcPr>
            <w:tcW w:w="4262" w:type="dxa"/>
          </w:tcPr>
          <w:p w14:paraId="75561FB8" w14:textId="77777777" w:rsidR="0074163C" w:rsidRDefault="0074163C" w:rsidP="009E5A87">
            <w:r>
              <w:t>Number of working days from submission dossier acceptance to registration decision*</w:t>
            </w:r>
          </w:p>
        </w:tc>
        <w:tc>
          <w:tcPr>
            <w:tcW w:w="4232" w:type="dxa"/>
          </w:tcPr>
          <w:p w14:paraId="040BCC3C" w14:textId="3B252A3B" w:rsidR="0074163C" w:rsidRDefault="00D953F0" w:rsidP="009E5A87">
            <w:r>
              <w:t>55</w:t>
            </w:r>
          </w:p>
        </w:tc>
      </w:tr>
    </w:tbl>
    <w:p w14:paraId="4112489E"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7578BF45" w14:textId="77777777" w:rsidR="008E7846" w:rsidRPr="00792A32" w:rsidRDefault="00006FAB" w:rsidP="008E7846">
      <w:pPr>
        <w:pStyle w:val="Heading2"/>
      </w:pPr>
      <w:bookmarkStart w:id="41" w:name="_Toc196046504"/>
      <w:bookmarkStart w:id="42" w:name="_Toc247691527"/>
      <w:bookmarkStart w:id="43" w:name="_Toc314842510"/>
      <w:bookmarkStart w:id="44" w:name="_Toc115349601"/>
      <w:bookmarkStart w:id="45" w:name="_Toc163441390"/>
      <w:bookmarkEnd w:id="38"/>
      <w:bookmarkEnd w:id="39"/>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41"/>
      <w:bookmarkEnd w:id="42"/>
      <w:bookmarkEnd w:id="43"/>
      <w:bookmarkEnd w:id="44"/>
    </w:p>
    <w:p w14:paraId="4BCB57D8" w14:textId="5F564B96" w:rsidR="0074163C" w:rsidRPr="00EE3D57" w:rsidRDefault="005A79F5" w:rsidP="0074163C">
      <w:pPr>
        <w:pStyle w:val="Instructions"/>
        <w:rPr>
          <w:i w:val="0"/>
          <w:color w:val="auto"/>
        </w:rPr>
      </w:pPr>
      <w:bookmarkStart w:id="46" w:name="_Toc247691528"/>
      <w:bookmarkStart w:id="47" w:name="_Toc314842511"/>
      <w:r w:rsidRPr="005A79F5">
        <w:rPr>
          <w:i w:val="0"/>
          <w:color w:val="auto"/>
        </w:rPr>
        <w:t>A summary of the TGA’s assessment for this submission is provided below</w:t>
      </w:r>
      <w:r w:rsidR="00EE3D57">
        <w:rPr>
          <w:i w:val="0"/>
          <w:color w:val="auto"/>
        </w:rPr>
        <w:t>.</w:t>
      </w:r>
    </w:p>
    <w:p w14:paraId="52F5DABA" w14:textId="77777777" w:rsidR="008E7846" w:rsidRDefault="008E7846" w:rsidP="008E7846">
      <w:pPr>
        <w:pStyle w:val="Heading3"/>
      </w:pPr>
      <w:bookmarkStart w:id="48" w:name="_Toc115349602"/>
      <w:r>
        <w:lastRenderedPageBreak/>
        <w:t>Quality</w:t>
      </w:r>
      <w:bookmarkEnd w:id="46"/>
      <w:bookmarkEnd w:id="47"/>
      <w:bookmarkEnd w:id="48"/>
    </w:p>
    <w:p w14:paraId="26B01838" w14:textId="21FAED1A" w:rsidR="0074163C" w:rsidRDefault="0074163C" w:rsidP="0074163C">
      <w:r>
        <w:t>A full quality evaluation was conducted at the time this product received initial registration.</w:t>
      </w:r>
    </w:p>
    <w:p w14:paraId="28018E91" w14:textId="3AA42663" w:rsidR="00EE3D57" w:rsidRDefault="00EE3D57" w:rsidP="0074163C">
      <w:r>
        <w:t>For further information please refer to the AusPAR describing the relevant quality evaluation.</w:t>
      </w:r>
      <w:r w:rsidRPr="00EE3D57">
        <w:rPr>
          <w:vertAlign w:val="superscript"/>
        </w:rPr>
        <w:fldChar w:fldCharType="begin"/>
      </w:r>
      <w:r w:rsidRPr="00EE3D57">
        <w:rPr>
          <w:vertAlign w:val="superscript"/>
        </w:rPr>
        <w:instrText xml:space="preserve"> NOTEREF _Ref114361843 \h </w:instrText>
      </w:r>
      <w:r>
        <w:rPr>
          <w:vertAlign w:val="superscript"/>
        </w:rPr>
        <w:instrText xml:space="preserve"> \* MERGEFORMAT </w:instrText>
      </w:r>
      <w:r w:rsidRPr="00EE3D57">
        <w:rPr>
          <w:vertAlign w:val="superscript"/>
        </w:rPr>
      </w:r>
      <w:r w:rsidRPr="00EE3D57">
        <w:rPr>
          <w:vertAlign w:val="superscript"/>
        </w:rPr>
        <w:fldChar w:fldCharType="separate"/>
      </w:r>
      <w:r w:rsidR="00682BA0">
        <w:rPr>
          <w:vertAlign w:val="superscript"/>
        </w:rPr>
        <w:t>17</w:t>
      </w:r>
      <w:r w:rsidRPr="00EE3D57">
        <w:rPr>
          <w:vertAlign w:val="superscript"/>
        </w:rPr>
        <w:fldChar w:fldCharType="end"/>
      </w:r>
    </w:p>
    <w:p w14:paraId="4C9DE4B9" w14:textId="77777777" w:rsidR="008E7846" w:rsidRDefault="008E7846" w:rsidP="008E7846">
      <w:pPr>
        <w:pStyle w:val="Heading3"/>
      </w:pPr>
      <w:bookmarkStart w:id="49" w:name="_Toc314842512"/>
      <w:bookmarkStart w:id="50" w:name="_Toc115349603"/>
      <w:r>
        <w:t>Nonclinical</w:t>
      </w:r>
      <w:bookmarkEnd w:id="49"/>
      <w:bookmarkEnd w:id="50"/>
    </w:p>
    <w:p w14:paraId="59DFC346" w14:textId="592C42B3" w:rsidR="0074163C" w:rsidRDefault="0074163C" w:rsidP="0074163C">
      <w:r>
        <w:t>A full nonclinical evaluation was conducted at the time this product received initial registration.</w:t>
      </w:r>
    </w:p>
    <w:p w14:paraId="12079FD4" w14:textId="1E1B809B" w:rsidR="00EE3D57" w:rsidRPr="0074163C" w:rsidRDefault="00EE3D57" w:rsidP="0074163C">
      <w:r>
        <w:t xml:space="preserve">For further information please refer to </w:t>
      </w:r>
      <w:r w:rsidR="007C58FC">
        <w:t xml:space="preserve">past </w:t>
      </w:r>
      <w:proofErr w:type="spellStart"/>
      <w:r>
        <w:t>AusPARs</w:t>
      </w:r>
      <w:proofErr w:type="spellEnd"/>
      <w:r>
        <w:t xml:space="preserve"> describing the relevant nonclinical evaluations.</w:t>
      </w:r>
      <w:r w:rsidRPr="00EE3D57">
        <w:rPr>
          <w:vertAlign w:val="superscript"/>
        </w:rPr>
        <w:fldChar w:fldCharType="begin"/>
      </w:r>
      <w:r w:rsidRPr="00EE3D57">
        <w:rPr>
          <w:vertAlign w:val="superscript"/>
        </w:rPr>
        <w:instrText xml:space="preserve"> NOTEREF _Ref113942560 \h </w:instrText>
      </w:r>
      <w:r>
        <w:rPr>
          <w:vertAlign w:val="superscript"/>
        </w:rPr>
        <w:instrText xml:space="preserve"> \* MERGEFORMAT </w:instrText>
      </w:r>
      <w:r w:rsidRPr="00EE3D57">
        <w:rPr>
          <w:vertAlign w:val="superscript"/>
        </w:rPr>
      </w:r>
      <w:r w:rsidRPr="00EE3D57">
        <w:rPr>
          <w:vertAlign w:val="superscript"/>
        </w:rPr>
        <w:fldChar w:fldCharType="separate"/>
      </w:r>
      <w:r w:rsidR="00682BA0">
        <w:rPr>
          <w:vertAlign w:val="superscript"/>
        </w:rPr>
        <w:t>14</w:t>
      </w:r>
      <w:r w:rsidRPr="00EE3D57">
        <w:rPr>
          <w:vertAlign w:val="superscript"/>
        </w:rPr>
        <w:fldChar w:fldCharType="end"/>
      </w:r>
      <w:r>
        <w:rPr>
          <w:vertAlign w:val="superscript"/>
        </w:rPr>
        <w:t>,</w:t>
      </w:r>
      <w:r w:rsidRPr="00EE3D57">
        <w:rPr>
          <w:vertAlign w:val="superscript"/>
        </w:rPr>
        <w:fldChar w:fldCharType="begin"/>
      </w:r>
      <w:r w:rsidRPr="00EE3D57">
        <w:rPr>
          <w:vertAlign w:val="superscript"/>
        </w:rPr>
        <w:instrText xml:space="preserve"> NOTEREF _Ref114361843 \h </w:instrText>
      </w:r>
      <w:r>
        <w:rPr>
          <w:vertAlign w:val="superscript"/>
        </w:rPr>
        <w:instrText xml:space="preserve"> \* MERGEFORMAT </w:instrText>
      </w:r>
      <w:r w:rsidRPr="00EE3D57">
        <w:rPr>
          <w:vertAlign w:val="superscript"/>
        </w:rPr>
      </w:r>
      <w:r w:rsidRPr="00EE3D57">
        <w:rPr>
          <w:vertAlign w:val="superscript"/>
        </w:rPr>
        <w:fldChar w:fldCharType="separate"/>
      </w:r>
      <w:r w:rsidR="00682BA0">
        <w:rPr>
          <w:vertAlign w:val="superscript"/>
        </w:rPr>
        <w:t>17</w:t>
      </w:r>
      <w:r w:rsidRPr="00EE3D57">
        <w:rPr>
          <w:vertAlign w:val="superscript"/>
        </w:rPr>
        <w:fldChar w:fldCharType="end"/>
      </w:r>
    </w:p>
    <w:p w14:paraId="04422358" w14:textId="1B1A9F44" w:rsidR="007D4570" w:rsidRDefault="008E7846" w:rsidP="007D4570">
      <w:pPr>
        <w:pStyle w:val="Heading3"/>
      </w:pPr>
      <w:bookmarkStart w:id="51" w:name="_Toc247691530"/>
      <w:bookmarkStart w:id="52" w:name="_Toc314842513"/>
      <w:bookmarkStart w:id="53" w:name="_Toc115349604"/>
      <w:r>
        <w:t>Clinical</w:t>
      </w:r>
      <w:bookmarkEnd w:id="51"/>
      <w:bookmarkEnd w:id="52"/>
      <w:bookmarkEnd w:id="53"/>
    </w:p>
    <w:p w14:paraId="675CB1AB" w14:textId="436ECD94" w:rsidR="007D4570" w:rsidRDefault="007D4570" w:rsidP="007D4570">
      <w:pPr>
        <w:pStyle w:val="Heading4"/>
      </w:pPr>
      <w:r>
        <w:t>Guidance</w:t>
      </w:r>
    </w:p>
    <w:p w14:paraId="2E51D525" w14:textId="77777777" w:rsidR="007D4570" w:rsidRPr="007D4570" w:rsidRDefault="007D4570" w:rsidP="007D4570">
      <w:pPr>
        <w:rPr>
          <w:lang w:val="en-US"/>
        </w:rPr>
      </w:pPr>
      <w:r w:rsidRPr="007D4570">
        <w:rPr>
          <w:lang w:val="en-US"/>
        </w:rPr>
        <w:t xml:space="preserve">Relevant guidance documents for this submission include: </w:t>
      </w:r>
    </w:p>
    <w:p w14:paraId="146AAEE8" w14:textId="77777777" w:rsidR="007D4570" w:rsidRPr="007D4570" w:rsidRDefault="007D4570" w:rsidP="007D4570">
      <w:r w:rsidRPr="007D4570">
        <w:t>TGA guidance:</w:t>
      </w:r>
    </w:p>
    <w:p w14:paraId="5BC4B22D" w14:textId="187EFFA7" w:rsidR="007D4570" w:rsidRPr="007D4570" w:rsidRDefault="007D4570" w:rsidP="007D4570">
      <w:pPr>
        <w:pStyle w:val="ListBullet"/>
      </w:pPr>
      <w:r w:rsidRPr="007D4570">
        <w:t xml:space="preserve">Guidance 8: </w:t>
      </w:r>
      <w:hyperlink r:id="rId18" w:history="1">
        <w:r w:rsidRPr="007D4570">
          <w:rPr>
            <w:rStyle w:val="Hyperlink"/>
          </w:rPr>
          <w:t>Product information</w:t>
        </w:r>
      </w:hyperlink>
      <w:r w:rsidRPr="007D4570">
        <w:t>.</w:t>
      </w:r>
    </w:p>
    <w:p w14:paraId="23F45585" w14:textId="5B2260AA" w:rsidR="007D4570" w:rsidRPr="007D4570" w:rsidRDefault="00BC0ACB" w:rsidP="007D4570">
      <w:pPr>
        <w:pStyle w:val="ListBullet"/>
      </w:pPr>
      <w:hyperlink r:id="rId19" w:history="1">
        <w:r w:rsidR="007D4570" w:rsidRPr="007D4570">
          <w:rPr>
            <w:rStyle w:val="Hyperlink"/>
          </w:rPr>
          <w:t>Form for providing product information</w:t>
        </w:r>
      </w:hyperlink>
      <w:r w:rsidR="007D4570" w:rsidRPr="007D4570">
        <w:t>.</w:t>
      </w:r>
    </w:p>
    <w:p w14:paraId="6F819BBE" w14:textId="77777777" w:rsidR="007D4570" w:rsidRPr="007D4570" w:rsidRDefault="007D4570" w:rsidP="007D4570">
      <w:r w:rsidRPr="007D4570">
        <w:t>TGA-adopted guidance:</w:t>
      </w:r>
    </w:p>
    <w:p w14:paraId="5A40AC5A" w14:textId="50E34009" w:rsidR="007D4570" w:rsidRPr="007D4570" w:rsidRDefault="007D4570" w:rsidP="007D4570">
      <w:pPr>
        <w:pStyle w:val="ListBullet"/>
      </w:pPr>
      <w:r w:rsidRPr="007D4570">
        <w:t xml:space="preserve">ACCESS Consortium: </w:t>
      </w:r>
      <w:hyperlink r:id="rId20" w:history="1">
        <w:r w:rsidRPr="007D4570">
          <w:rPr>
            <w:rStyle w:val="Hyperlink"/>
          </w:rPr>
          <w:t>Access consortium statement on COVID-19 vaccines evidence</w:t>
        </w:r>
      </w:hyperlink>
      <w:r w:rsidR="005C4316">
        <w:t xml:space="preserve"> (4 </w:t>
      </w:r>
      <w:r>
        <w:t xml:space="preserve">December </w:t>
      </w:r>
      <w:r w:rsidRPr="007D4570">
        <w:t>2020)</w:t>
      </w:r>
    </w:p>
    <w:p w14:paraId="7E20DAEC" w14:textId="391C70C9" w:rsidR="007D4570" w:rsidRPr="007D4570" w:rsidRDefault="007D4570" w:rsidP="007D4570">
      <w:pPr>
        <w:pStyle w:val="ListBullet"/>
      </w:pPr>
      <w:r w:rsidRPr="007D4570">
        <w:t xml:space="preserve">ACCESS Consortium: Access Consortium: </w:t>
      </w:r>
      <w:hyperlink r:id="rId21" w:history="1">
        <w:r w:rsidRPr="007D4570">
          <w:rPr>
            <w:rStyle w:val="Hyperlink"/>
          </w:rPr>
          <w:t>Alignment with ICMRA consensus on immunobridging for authorising new COVID-19 vaccines</w:t>
        </w:r>
      </w:hyperlink>
      <w:r>
        <w:t xml:space="preserve"> (14 September </w:t>
      </w:r>
      <w:r w:rsidRPr="007D4570">
        <w:t>2021)</w:t>
      </w:r>
    </w:p>
    <w:p w14:paraId="4D7B94F5" w14:textId="131FAEDB" w:rsidR="007D4570" w:rsidRPr="007D4570" w:rsidRDefault="007D4570" w:rsidP="007D4570">
      <w:pPr>
        <w:pStyle w:val="ListBullet"/>
      </w:pPr>
      <w:r w:rsidRPr="007D4570">
        <w:t xml:space="preserve">EMEA: </w:t>
      </w:r>
      <w:hyperlink r:id="rId22" w:history="1">
        <w:r w:rsidRPr="007D4570">
          <w:rPr>
            <w:rStyle w:val="Hyperlink"/>
          </w:rPr>
          <w:t>Guidelines on clinical evaluation of new vaccines (EMEA/CHMP/VWP/164653/2005)</w:t>
        </w:r>
      </w:hyperlink>
      <w:r>
        <w:t xml:space="preserve"> (18 October </w:t>
      </w:r>
      <w:r w:rsidRPr="007D4570">
        <w:t>2006).</w:t>
      </w:r>
    </w:p>
    <w:p w14:paraId="190E5359" w14:textId="66EEEA38" w:rsidR="007D4570" w:rsidRPr="007D4570" w:rsidRDefault="007D4570" w:rsidP="007D4570">
      <w:r w:rsidRPr="007D4570">
        <w:t>Additional guidance</w:t>
      </w:r>
      <w:r>
        <w:t xml:space="preserve"> useful for this submission</w:t>
      </w:r>
      <w:r w:rsidRPr="007D4570">
        <w:t>:</w:t>
      </w:r>
    </w:p>
    <w:p w14:paraId="55A036BA" w14:textId="4183C73F" w:rsidR="007D4570" w:rsidRPr="007D4570" w:rsidRDefault="007D4570" w:rsidP="007D4570">
      <w:pPr>
        <w:pStyle w:val="ListBullet"/>
      </w:pPr>
      <w:r>
        <w:t>European Medicines Agency (EMA)</w:t>
      </w:r>
      <w:r w:rsidRPr="007D4570">
        <w:t xml:space="preserve">: </w:t>
      </w:r>
      <w:hyperlink r:id="rId23" w:history="1">
        <w:r w:rsidRPr="007D4570">
          <w:rPr>
            <w:rStyle w:val="Hyperlink"/>
          </w:rPr>
          <w:t>EMA considerations on COVID-19 vaccine approval (EMA/592928/2020)</w:t>
        </w:r>
      </w:hyperlink>
      <w:r>
        <w:t xml:space="preserve"> (19 November </w:t>
      </w:r>
      <w:r w:rsidRPr="007D4570">
        <w:t>2020)</w:t>
      </w:r>
    </w:p>
    <w:p w14:paraId="7E605CA7" w14:textId="777FA4DC" w:rsidR="007D4570" w:rsidRPr="007D4570" w:rsidRDefault="007D4570" w:rsidP="007D4570">
      <w:pPr>
        <w:pStyle w:val="ListBullet"/>
      </w:pPr>
      <w:r>
        <w:t>United States Food and Drug Administration (</w:t>
      </w:r>
      <w:r w:rsidRPr="007D4570">
        <w:t>US FDA</w:t>
      </w:r>
      <w:r>
        <w:t>)</w:t>
      </w:r>
      <w:r w:rsidRPr="007D4570">
        <w:t xml:space="preserve">: </w:t>
      </w:r>
      <w:hyperlink r:id="rId24" w:history="1">
        <w:r w:rsidRPr="007D4570">
          <w:rPr>
            <w:rStyle w:val="Hyperlink"/>
          </w:rPr>
          <w:t>Development and licensure of vaccines to prevent COVID-19: guidance for industry</w:t>
        </w:r>
      </w:hyperlink>
      <w:r w:rsidRPr="007D4570">
        <w:t xml:space="preserve"> (June 2020)</w:t>
      </w:r>
    </w:p>
    <w:p w14:paraId="51CF5FC3" w14:textId="76E4781E" w:rsidR="007D4570" w:rsidRPr="007D4570" w:rsidRDefault="007D4570" w:rsidP="007D4570">
      <w:pPr>
        <w:pStyle w:val="ListBullet"/>
      </w:pPr>
      <w:r w:rsidRPr="007D4570">
        <w:t xml:space="preserve">US FDA: </w:t>
      </w:r>
      <w:hyperlink r:id="rId25" w:history="1">
        <w:r w:rsidRPr="007D4570">
          <w:rPr>
            <w:rStyle w:val="Hyperlink"/>
          </w:rPr>
          <w:t>Emergency use authorization for vaccines to prevent COVID-19: guidance for industry</w:t>
        </w:r>
      </w:hyperlink>
      <w:r>
        <w:t xml:space="preserve"> (25 May </w:t>
      </w:r>
      <w:r w:rsidRPr="007D4570">
        <w:t>2021)</w:t>
      </w:r>
    </w:p>
    <w:p w14:paraId="1B99A7AA" w14:textId="35E0FBD4" w:rsidR="007D4570" w:rsidRPr="007D4570" w:rsidRDefault="007D4570" w:rsidP="007D4570">
      <w:pPr>
        <w:pStyle w:val="ListBullet"/>
      </w:pPr>
      <w:r w:rsidRPr="007D4570">
        <w:t xml:space="preserve">US FDA: </w:t>
      </w:r>
      <w:hyperlink r:id="rId26" w:history="1">
        <w:r w:rsidRPr="007D4570">
          <w:rPr>
            <w:rStyle w:val="Hyperlink"/>
          </w:rPr>
          <w:t>COVID-19: developing drugs and biological products for treatment or prevention: guidance for industry</w:t>
        </w:r>
      </w:hyperlink>
      <w:r w:rsidRPr="007D4570">
        <w:t xml:space="preserve"> (February 2021)</w:t>
      </w:r>
    </w:p>
    <w:p w14:paraId="0CD17E5C" w14:textId="1329C145" w:rsidR="007D4570" w:rsidRPr="007D4570" w:rsidRDefault="007D4570" w:rsidP="007D4570">
      <w:pPr>
        <w:pStyle w:val="ListBullet"/>
      </w:pPr>
      <w:r w:rsidRPr="007D4570">
        <w:t xml:space="preserve">WHO: </w:t>
      </w:r>
      <w:hyperlink r:id="rId27" w:history="1">
        <w:r w:rsidRPr="007D4570">
          <w:rPr>
            <w:rStyle w:val="Hyperlink"/>
          </w:rPr>
          <w:t>Design of vaccine efficacy trials to be used during public health emergencies – points of consideration and key principles</w:t>
        </w:r>
      </w:hyperlink>
      <w:r w:rsidRPr="007D4570">
        <w:t xml:space="preserve"> (not </w:t>
      </w:r>
      <w:proofErr w:type="spellStart"/>
      <w:r w:rsidRPr="007D4570">
        <w:t>dated</w:t>
      </w:r>
      <w:proofErr w:type="spellEnd"/>
      <w:r w:rsidRPr="007D4570">
        <w:t>).</w:t>
      </w:r>
    </w:p>
    <w:p w14:paraId="53CE5EEC" w14:textId="77777777" w:rsidR="0074163C" w:rsidRDefault="0074163C" w:rsidP="0074163C">
      <w:pPr>
        <w:pStyle w:val="Heading4"/>
      </w:pPr>
      <w:bookmarkStart w:id="54" w:name="_Toc98931928"/>
      <w:r>
        <w:t>Summary of clinical studies</w:t>
      </w:r>
      <w:bookmarkEnd w:id="54"/>
    </w:p>
    <w:p w14:paraId="2F1C5D0D" w14:textId="377C6DCE" w:rsidR="0074163C" w:rsidRDefault="0074163C" w:rsidP="0074163C">
      <w:r>
        <w:t>The clinical dossier consisted of</w:t>
      </w:r>
      <w:r w:rsidR="005C4316">
        <w:t xml:space="preserve"> the Study C4591007 interim clinical study report, and post</w:t>
      </w:r>
      <w:r w:rsidR="005C4316">
        <w:noBreakHyphen/>
        <w:t xml:space="preserve">market data </w:t>
      </w:r>
      <w:r w:rsidR="00AF48DC">
        <w:t>providing safety data related to this</w:t>
      </w:r>
      <w:r w:rsidR="005C4316">
        <w:t xml:space="preserve"> submission.</w:t>
      </w:r>
    </w:p>
    <w:p w14:paraId="7277AD01" w14:textId="32DA090B" w:rsidR="007D4570" w:rsidRPr="007D4570" w:rsidRDefault="007D4570" w:rsidP="007D4570">
      <w:r w:rsidRPr="007D4570">
        <w:lastRenderedPageBreak/>
        <w:t xml:space="preserve">There are </w:t>
      </w:r>
      <w:r>
        <w:t>no clinical efficacy data. The s</w:t>
      </w:r>
      <w:r w:rsidRPr="007D4570">
        <w:t xml:space="preserve">ponsor stated the basis of demonstrating </w:t>
      </w:r>
      <w:r>
        <w:t>Comirnaty (tozinameran) vaccine</w:t>
      </w:r>
      <w:r w:rsidRPr="007D4570">
        <w:t xml:space="preserve"> effectiveness in children is immune response data. The interim </w:t>
      </w:r>
      <w:r>
        <w:t>clinical study report</w:t>
      </w:r>
      <w:r w:rsidRPr="007D4570">
        <w:t xml:space="preserve"> for Study C4591007 included immune respo</w:t>
      </w:r>
      <w:r>
        <w:t>nse data for children aged from 5 to under</w:t>
      </w:r>
      <w:r w:rsidRPr="007D4570">
        <w:t xml:space="preserve"> 12 years following a booster (third) dose of </w:t>
      </w:r>
      <w:r>
        <w:t>Comirnaty 10 </w:t>
      </w:r>
      <w:r w:rsidRPr="007D4570">
        <w:t>µg.</w:t>
      </w:r>
    </w:p>
    <w:p w14:paraId="5A22A3E0" w14:textId="0D3A0004" w:rsidR="005C4316" w:rsidRPr="005C4316" w:rsidRDefault="007D4570" w:rsidP="00417838">
      <w:pPr>
        <w:pStyle w:val="Heading4"/>
      </w:pPr>
      <w:bookmarkStart w:id="55" w:name="_Ref243301615"/>
      <w:bookmarkStart w:id="56" w:name="_Ref271040927"/>
      <w:bookmarkStart w:id="57" w:name="_Ref271040932"/>
      <w:bookmarkStart w:id="58" w:name="_Toc272414653"/>
      <w:bookmarkStart w:id="59" w:name="_Toc290888501"/>
      <w:bookmarkStart w:id="60" w:name="_Toc416353717"/>
      <w:r w:rsidRPr="007D4570">
        <w:t xml:space="preserve">Study </w:t>
      </w:r>
      <w:bookmarkEnd w:id="55"/>
      <w:bookmarkEnd w:id="56"/>
      <w:bookmarkEnd w:id="57"/>
      <w:bookmarkEnd w:id="58"/>
      <w:bookmarkEnd w:id="59"/>
      <w:bookmarkEnd w:id="60"/>
      <w:r w:rsidRPr="007D4570">
        <w:t>C4591007</w:t>
      </w:r>
      <w:r w:rsidR="00417838">
        <w:t xml:space="preserve"> overview</w:t>
      </w:r>
    </w:p>
    <w:p w14:paraId="3021E09D" w14:textId="74FCE410" w:rsidR="007D4570" w:rsidRPr="007D4570" w:rsidRDefault="007D4570" w:rsidP="007D4570">
      <w:r w:rsidRPr="007D4570">
        <w:t xml:space="preserve">Study </w:t>
      </w:r>
      <w:bookmarkStart w:id="61" w:name="_Hlk108975336"/>
      <w:r w:rsidRPr="007D4570">
        <w:t xml:space="preserve">C4591007 </w:t>
      </w:r>
      <w:bookmarkEnd w:id="61"/>
      <w:r w:rsidRPr="007D4570">
        <w:t xml:space="preserve">is an ongoing, Phase </w:t>
      </w:r>
      <w:r w:rsidR="007D7FFB">
        <w:t>I, II and III</w:t>
      </w:r>
      <w:r w:rsidRPr="007D4570">
        <w:t xml:space="preserve">, randomised, placebo-controlled study in healthy paediatric participants aged </w:t>
      </w:r>
      <w:r w:rsidR="007D7FFB">
        <w:t xml:space="preserve">from </w:t>
      </w:r>
      <w:r w:rsidRPr="007D4570">
        <w:t xml:space="preserve">6 months </w:t>
      </w:r>
      <w:r w:rsidR="007D7FFB">
        <w:t>to under</w:t>
      </w:r>
      <w:r w:rsidRPr="007D4570">
        <w:t xml:space="preserve"> 12 years of age. The study was designed to evaluate the safety, tolerability, and immunogenicity of </w:t>
      </w:r>
      <w:r w:rsidR="007D7FFB">
        <w:t>Comirnaty</w:t>
      </w:r>
      <w:r w:rsidRPr="007D4570">
        <w:t xml:space="preserve"> vaccination</w:t>
      </w:r>
      <w:r w:rsidR="007D7FFB">
        <w:t xml:space="preserve"> in an age de-escalation Phase I dose finding part and Phase II/III</w:t>
      </w:r>
      <w:r w:rsidRPr="007D4570">
        <w:t xml:space="preserve"> selected dose part, in protocol defined age </w:t>
      </w:r>
      <w:r w:rsidR="007D7FFB">
        <w:t>groups (from 5 to under 12 years; from 2 to under</w:t>
      </w:r>
      <w:r w:rsidRPr="007D4570">
        <w:t xml:space="preserve"> 5 years and </w:t>
      </w:r>
      <w:r w:rsidR="007D7FFB">
        <w:t xml:space="preserve">from 6 months to under </w:t>
      </w:r>
      <w:r w:rsidRPr="007D4570">
        <w:t xml:space="preserve">2 years). Participants aged </w:t>
      </w:r>
      <w:r w:rsidR="007D7FFB">
        <w:t>from 5 to under 12 years in Phase II/III</w:t>
      </w:r>
      <w:r w:rsidRPr="007D4570">
        <w:t xml:space="preserve"> of the study were randomised in 2:1 ratio to active vaccine (</w:t>
      </w:r>
      <w:r w:rsidR="007D7FFB">
        <w:t>Comirnaty (tozinameran)</w:t>
      </w:r>
      <w:r w:rsidRPr="007D4570">
        <w:t xml:space="preserve"> 10 µg) or matching saline placebo and admi</w:t>
      </w:r>
      <w:r w:rsidR="007D7FFB">
        <w:t xml:space="preserve">nistered study treatment in a </w:t>
      </w:r>
      <w:proofErr w:type="gramStart"/>
      <w:r w:rsidR="007D7FFB">
        <w:t>two </w:t>
      </w:r>
      <w:r w:rsidRPr="007D4570">
        <w:t>dose</w:t>
      </w:r>
      <w:proofErr w:type="gramEnd"/>
      <w:r w:rsidRPr="007D4570">
        <w:t xml:space="preserve"> schedule given 21 days ap</w:t>
      </w:r>
      <w:r w:rsidR="007D7FFB">
        <w:t>art as a primary series. Phase I and Phase II/III</w:t>
      </w:r>
      <w:r w:rsidRPr="007D4570">
        <w:t xml:space="preserve"> data from this study were evaluated in </w:t>
      </w:r>
      <w:bookmarkStart w:id="62" w:name="_Hlk108975278"/>
      <w:r w:rsidR="007D7FFB">
        <w:t>a previous submission;</w:t>
      </w:r>
      <w:r w:rsidR="007D7FFB" w:rsidRPr="007D7FFB">
        <w:rPr>
          <w:vertAlign w:val="superscript"/>
        </w:rPr>
        <w:fldChar w:fldCharType="begin"/>
      </w:r>
      <w:r w:rsidR="007D7FFB" w:rsidRPr="007D7FFB">
        <w:rPr>
          <w:vertAlign w:val="superscript"/>
        </w:rPr>
        <w:instrText xml:space="preserve"> NOTEREF _Ref114361843 \h </w:instrText>
      </w:r>
      <w:r w:rsidR="007D7FFB">
        <w:rPr>
          <w:vertAlign w:val="superscript"/>
        </w:rPr>
        <w:instrText xml:space="preserve"> \* MERGEFORMAT </w:instrText>
      </w:r>
      <w:r w:rsidR="007D7FFB" w:rsidRPr="007D7FFB">
        <w:rPr>
          <w:vertAlign w:val="superscript"/>
        </w:rPr>
      </w:r>
      <w:r w:rsidR="007D7FFB" w:rsidRPr="007D7FFB">
        <w:rPr>
          <w:vertAlign w:val="superscript"/>
        </w:rPr>
        <w:fldChar w:fldCharType="separate"/>
      </w:r>
      <w:r w:rsidR="005C4316">
        <w:rPr>
          <w:vertAlign w:val="superscript"/>
        </w:rPr>
        <w:t>16</w:t>
      </w:r>
      <w:r w:rsidR="007D7FFB" w:rsidRPr="007D7FFB">
        <w:rPr>
          <w:vertAlign w:val="superscript"/>
        </w:rPr>
        <w:fldChar w:fldCharType="end"/>
      </w:r>
      <w:r w:rsidRPr="007D4570">
        <w:t xml:space="preserve"> to support the extension of indication to individuals aged </w:t>
      </w:r>
      <w:r w:rsidR="007D7FFB">
        <w:t>from 5 to under</w:t>
      </w:r>
      <w:r w:rsidRPr="007D4570">
        <w:t xml:space="preserve"> 12 years</w:t>
      </w:r>
      <w:bookmarkEnd w:id="62"/>
      <w:r w:rsidRPr="007D4570">
        <w:t xml:space="preserve">. This is considered acceptable. </w:t>
      </w:r>
    </w:p>
    <w:p w14:paraId="1EB2C4C6" w14:textId="3E677EC5" w:rsidR="007D4570" w:rsidRPr="007D4570" w:rsidRDefault="007D7FFB" w:rsidP="007D4570">
      <w:r>
        <w:t>The s</w:t>
      </w:r>
      <w:r w:rsidR="007D4570" w:rsidRPr="007D4570">
        <w:t xml:space="preserve">ponsor stated the primary series of </w:t>
      </w:r>
      <w:r>
        <w:t>Comirnaty (tozinameran) was initially planned as a two-</w:t>
      </w:r>
      <w:r w:rsidR="007D4570" w:rsidRPr="007D4570">
        <w:t xml:space="preserve">dose series; however, based on emerging clinical and real-world data, the protocol was amended to add a third dose at the selected dose level for each age group. The current </w:t>
      </w:r>
      <w:r>
        <w:t>clinical study report</w:t>
      </w:r>
      <w:r w:rsidR="007D4570" w:rsidRPr="007D4570">
        <w:t xml:space="preserve"> includes interim safety</w:t>
      </w:r>
      <w:r>
        <w:t xml:space="preserve"> and immunogenicity data up to one</w:t>
      </w:r>
      <w:r w:rsidR="007D4570" w:rsidRPr="007D4570">
        <w:t xml:space="preserve"> month after a booster (third) dose of </w:t>
      </w:r>
      <w:r>
        <w:t>Comirnaty 10 µg administered to Phase II/III</w:t>
      </w:r>
      <w:r w:rsidR="007D4570" w:rsidRPr="007D4570">
        <w:t xml:space="preserve"> study participants </w:t>
      </w:r>
      <w:r w:rsidRPr="007D7FFB">
        <w:t>aged from 5 to under 12 years</w:t>
      </w:r>
      <w:r w:rsidR="007D4570" w:rsidRPr="007D4570">
        <w:t xml:space="preserve">. </w:t>
      </w:r>
      <w:r w:rsidR="007D4570" w:rsidRPr="007D4570">
        <w:rPr>
          <w:lang w:val="en-GB"/>
        </w:rPr>
        <w:t xml:space="preserve">Note that the protocol specified timing of booster vaccination for participants </w:t>
      </w:r>
      <w:r w:rsidRPr="007D4570">
        <w:t xml:space="preserve">aged </w:t>
      </w:r>
      <w:r>
        <w:t>from 5 to under</w:t>
      </w:r>
      <w:r w:rsidRPr="007D4570">
        <w:t xml:space="preserve"> 12 years</w:t>
      </w:r>
      <w:r w:rsidRPr="007D4570">
        <w:rPr>
          <w:lang w:val="en-GB"/>
        </w:rPr>
        <w:t xml:space="preserve"> </w:t>
      </w:r>
      <w:r>
        <w:rPr>
          <w:lang w:val="en-GB"/>
        </w:rPr>
        <w:t xml:space="preserve">was at least </w:t>
      </w:r>
      <w:r w:rsidR="007D4570" w:rsidRPr="007D4570">
        <w:rPr>
          <w:lang w:val="en-GB"/>
        </w:rPr>
        <w:t>6 months after Dose 2); therefore, booster (third) doses have been administered to participants in this age group in an open-label manner.</w:t>
      </w:r>
      <w:r w:rsidR="007D4570" w:rsidRPr="007D4570">
        <w:rPr>
          <w:rFonts w:ascii="Calibri" w:hAnsi="Calibri" w:cs="Calibri"/>
        </w:rPr>
        <w:t xml:space="preserve"> </w:t>
      </w:r>
      <w:r w:rsidRPr="007D4570">
        <w:t>The</w:t>
      </w:r>
      <w:r>
        <w:t xml:space="preserve"> s</w:t>
      </w:r>
      <w:r w:rsidR="007D4570" w:rsidRPr="007D4570">
        <w:t xml:space="preserve">ponsor confirmed the formulation of </w:t>
      </w:r>
      <w:r>
        <w:t>Comirnaty (tozinameran)</w:t>
      </w:r>
      <w:r w:rsidR="007D4570" w:rsidRPr="007D4570">
        <w:t xml:space="preserve"> 10 µg used for the booster dose was the same formulation used for the </w:t>
      </w:r>
      <w:r>
        <w:t>2-dose primary series. The PBS/s</w:t>
      </w:r>
      <w:r w:rsidR="007D4570" w:rsidRPr="007D4570">
        <w:t>ucrose</w:t>
      </w:r>
      <w:r>
        <w:t>-buffered</w:t>
      </w:r>
      <w:r w:rsidR="007D4570" w:rsidRPr="007D4570">
        <w:t xml:space="preserve"> formulation was</w:t>
      </w:r>
      <w:r>
        <w:t xml:space="preserve"> used rather than the marketed tris/s</w:t>
      </w:r>
      <w:r w:rsidR="007D4570" w:rsidRPr="007D4570">
        <w:t>ucrose</w:t>
      </w:r>
      <w:r>
        <w:t>-buffered</w:t>
      </w:r>
      <w:r w:rsidR="007D4570" w:rsidRPr="007D4570">
        <w:t xml:space="preserve"> formulation; it is noted that issues relating to formulation were addressed previously in </w:t>
      </w:r>
      <w:r>
        <w:t>a previous submission to the TGA</w:t>
      </w:r>
      <w:r w:rsidR="007D4570" w:rsidRPr="007D4570">
        <w:t>.</w:t>
      </w:r>
      <w:r w:rsidRPr="007D7FFB">
        <w:rPr>
          <w:vertAlign w:val="superscript"/>
        </w:rPr>
        <w:fldChar w:fldCharType="begin"/>
      </w:r>
      <w:r w:rsidRPr="007D7FFB">
        <w:rPr>
          <w:vertAlign w:val="superscript"/>
        </w:rPr>
        <w:instrText xml:space="preserve"> NOTEREF _Ref114361843 \h </w:instrText>
      </w:r>
      <w:r>
        <w:rPr>
          <w:vertAlign w:val="superscript"/>
        </w:rPr>
        <w:instrText xml:space="preserve"> \* MERGEFORMAT </w:instrText>
      </w:r>
      <w:r w:rsidRPr="007D7FFB">
        <w:rPr>
          <w:vertAlign w:val="superscript"/>
        </w:rPr>
      </w:r>
      <w:r w:rsidRPr="007D7FFB">
        <w:rPr>
          <w:vertAlign w:val="superscript"/>
        </w:rPr>
        <w:fldChar w:fldCharType="separate"/>
      </w:r>
      <w:r w:rsidR="005C4316">
        <w:rPr>
          <w:vertAlign w:val="superscript"/>
        </w:rPr>
        <w:t>16</w:t>
      </w:r>
      <w:r w:rsidRPr="007D7FFB">
        <w:rPr>
          <w:vertAlign w:val="superscript"/>
        </w:rPr>
        <w:fldChar w:fldCharType="end"/>
      </w:r>
    </w:p>
    <w:p w14:paraId="4B339C52" w14:textId="5C21E90E" w:rsidR="007D4570" w:rsidRDefault="007D4570" w:rsidP="007D4570">
      <w:r w:rsidRPr="007D4570">
        <w:t xml:space="preserve">The study was conducted at 68 centres as of </w:t>
      </w:r>
      <w:r w:rsidR="007D7FFB">
        <w:t>the data cut-off, located in four</w:t>
      </w:r>
      <w:r w:rsidRPr="007D4570">
        <w:t xml:space="preserve"> countries (Finland, Poland, </w:t>
      </w:r>
      <w:proofErr w:type="gramStart"/>
      <w:r w:rsidRPr="007D4570">
        <w:t>Spain</w:t>
      </w:r>
      <w:proofErr w:type="gramEnd"/>
      <w:r w:rsidRPr="007D4570">
        <w:t xml:space="preserve"> and United</w:t>
      </w:r>
      <w:r w:rsidR="007D7FFB">
        <w:t xml:space="preserve"> States of America). The Phase II/III</w:t>
      </w:r>
      <w:r w:rsidRPr="007D4570">
        <w:t xml:space="preserve"> study commenced on 7</w:t>
      </w:r>
      <w:r w:rsidR="007D7FFB">
        <w:rPr>
          <w:vertAlign w:val="superscript"/>
        </w:rPr>
        <w:t xml:space="preserve"> </w:t>
      </w:r>
      <w:r w:rsidRPr="007D4570">
        <w:t xml:space="preserve">June 2021 and is ongoing. Data cut-off for the interim </w:t>
      </w:r>
      <w:r w:rsidR="007D7FFB">
        <w:t>clinical study report</w:t>
      </w:r>
      <w:r w:rsidRPr="007D4570">
        <w:t xml:space="preserve"> was 22</w:t>
      </w:r>
      <w:r w:rsidR="007D7FFB">
        <w:t> </w:t>
      </w:r>
      <w:r w:rsidRPr="007D4570">
        <w:t>March 2022.</w:t>
      </w:r>
    </w:p>
    <w:p w14:paraId="1BF6A9FC" w14:textId="3616A065" w:rsidR="005C4316" w:rsidRPr="007D4570" w:rsidRDefault="005C4316" w:rsidP="005C4316">
      <w:pPr>
        <w:pStyle w:val="Heading5"/>
      </w:pPr>
      <w:r>
        <w:t>Major inclusion and exclusion criteria</w:t>
      </w:r>
    </w:p>
    <w:p w14:paraId="1600DF11" w14:textId="36021714" w:rsidR="007D4570" w:rsidRPr="007D4570" w:rsidRDefault="007D4570" w:rsidP="007D4570">
      <w:r w:rsidRPr="007D4570">
        <w:t>Major inclusion criteria</w:t>
      </w:r>
      <w:r w:rsidR="007D7FFB">
        <w:t xml:space="preserve"> included</w:t>
      </w:r>
      <w:r w:rsidRPr="007D4570">
        <w:t>:</w:t>
      </w:r>
    </w:p>
    <w:p w14:paraId="3A7A4A85" w14:textId="09A69EDC" w:rsidR="007D4570" w:rsidRPr="007D4570" w:rsidRDefault="007D7FFB" w:rsidP="007D7FFB">
      <w:pPr>
        <w:pStyle w:val="ListBullet"/>
        <w:rPr>
          <w:lang w:eastAsia="ja-JP"/>
        </w:rPr>
      </w:pPr>
      <w:r>
        <w:rPr>
          <w:lang w:eastAsia="ja-JP"/>
        </w:rPr>
        <w:t>h</w:t>
      </w:r>
      <w:r w:rsidR="007D4570" w:rsidRPr="007D4570">
        <w:rPr>
          <w:lang w:eastAsia="ja-JP"/>
        </w:rPr>
        <w:t xml:space="preserve">ealthy female and male participants aged </w:t>
      </w:r>
      <w:r>
        <w:rPr>
          <w:lang w:eastAsia="ja-JP"/>
        </w:rPr>
        <w:t>from 6 months to under</w:t>
      </w:r>
      <w:r w:rsidR="007D4570" w:rsidRPr="007D4570">
        <w:rPr>
          <w:lang w:eastAsia="ja-JP"/>
        </w:rPr>
        <w:t xml:space="preserve"> 12 years of age at the time of </w:t>
      </w:r>
      <w:proofErr w:type="gramStart"/>
      <w:r w:rsidR="007D4570" w:rsidRPr="007D4570">
        <w:rPr>
          <w:lang w:eastAsia="ja-JP"/>
        </w:rPr>
        <w:t>randomisation</w:t>
      </w:r>
      <w:r>
        <w:rPr>
          <w:lang w:eastAsia="ja-JP"/>
        </w:rPr>
        <w:t>;</w:t>
      </w:r>
      <w:proofErr w:type="gramEnd"/>
    </w:p>
    <w:p w14:paraId="0089A4C4" w14:textId="0487D998" w:rsidR="007D4570" w:rsidRPr="007D4570" w:rsidRDefault="007D7FFB" w:rsidP="007D7FFB">
      <w:pPr>
        <w:pStyle w:val="ListBullet"/>
        <w:rPr>
          <w:lang w:eastAsia="ja-JP"/>
        </w:rPr>
      </w:pPr>
      <w:r>
        <w:rPr>
          <w:lang w:eastAsia="ja-JP"/>
        </w:rPr>
        <w:t>h</w:t>
      </w:r>
      <w:r w:rsidR="007D4570" w:rsidRPr="007D4570">
        <w:rPr>
          <w:lang w:eastAsia="ja-JP"/>
        </w:rPr>
        <w:t>ealthy participants with pre-existing stable disease (defined as disease not requiring significant change in the therapy or hospitalisation for worsening</w:t>
      </w:r>
      <w:r>
        <w:rPr>
          <w:lang w:eastAsia="ja-JP"/>
        </w:rPr>
        <w:t xml:space="preserve"> disease during the 6 weeks before enrolment</w:t>
      </w:r>
      <w:proofErr w:type="gramStart"/>
      <w:r>
        <w:rPr>
          <w:lang w:eastAsia="ja-JP"/>
        </w:rPr>
        <w:t>);</w:t>
      </w:r>
      <w:proofErr w:type="gramEnd"/>
    </w:p>
    <w:p w14:paraId="3B829B84" w14:textId="20A54EE2" w:rsidR="007D4570" w:rsidRPr="007D4570" w:rsidRDefault="007D7FFB" w:rsidP="007D7FFB">
      <w:pPr>
        <w:pStyle w:val="ListBullet"/>
        <w:rPr>
          <w:lang w:eastAsia="ja-JP"/>
        </w:rPr>
      </w:pPr>
      <w:r>
        <w:rPr>
          <w:lang w:eastAsia="ja-JP"/>
        </w:rPr>
        <w:t>p</w:t>
      </w:r>
      <w:r w:rsidR="007D4570" w:rsidRPr="007D4570">
        <w:rPr>
          <w:lang w:eastAsia="ja-JP"/>
        </w:rPr>
        <w:t xml:space="preserve">ast clinical or microbiological diagnosis of COVID-19 and stable HIV, </w:t>
      </w:r>
      <w:r>
        <w:rPr>
          <w:lang w:eastAsia="ja-JP"/>
        </w:rPr>
        <w:t>hepatitis B or C (</w:t>
      </w:r>
      <w:r w:rsidR="006365BD">
        <w:rPr>
          <w:lang w:eastAsia="ja-JP"/>
        </w:rPr>
        <w:t xml:space="preserve">HBV, </w:t>
      </w:r>
      <w:r w:rsidR="007D4570" w:rsidRPr="007D4570">
        <w:rPr>
          <w:lang w:eastAsia="ja-JP"/>
        </w:rPr>
        <w:t>HBV</w:t>
      </w:r>
      <w:r w:rsidR="006365BD">
        <w:rPr>
          <w:lang w:eastAsia="ja-JP"/>
        </w:rPr>
        <w:t>)</w:t>
      </w:r>
      <w:r w:rsidR="007D4570" w:rsidRPr="007D4570">
        <w:rPr>
          <w:lang w:eastAsia="ja-JP"/>
        </w:rPr>
        <w:t xml:space="preserve"> infection were eligible</w:t>
      </w:r>
      <w:r>
        <w:rPr>
          <w:lang w:eastAsia="ja-JP"/>
        </w:rPr>
        <w:t>.</w:t>
      </w:r>
    </w:p>
    <w:p w14:paraId="1C94E628" w14:textId="5D0D2CD6" w:rsidR="007D4570" w:rsidRPr="007D4570" w:rsidRDefault="007D4570" w:rsidP="006063BE">
      <w:pPr>
        <w:keepNext/>
      </w:pPr>
      <w:r w:rsidRPr="007D4570">
        <w:t>Major exclusion criteria</w:t>
      </w:r>
      <w:r w:rsidR="006365BD">
        <w:t xml:space="preserve"> included</w:t>
      </w:r>
      <w:r w:rsidRPr="007D4570">
        <w:t>:</w:t>
      </w:r>
    </w:p>
    <w:p w14:paraId="174E4B40" w14:textId="36ACA953" w:rsidR="007D4570" w:rsidRPr="007D4570" w:rsidRDefault="006365BD" w:rsidP="007D7FFB">
      <w:pPr>
        <w:pStyle w:val="ListBullet"/>
        <w:rPr>
          <w:lang w:eastAsia="ja-JP"/>
        </w:rPr>
      </w:pPr>
      <w:r>
        <w:rPr>
          <w:lang w:eastAsia="ja-JP"/>
        </w:rPr>
        <w:t>p</w:t>
      </w:r>
      <w:r w:rsidR="007D4570" w:rsidRPr="007D4570">
        <w:rPr>
          <w:lang w:eastAsia="ja-JP"/>
        </w:rPr>
        <w:t xml:space="preserve">revious vaccination with any coronavirus </w:t>
      </w:r>
      <w:proofErr w:type="gramStart"/>
      <w:r w:rsidR="007D4570" w:rsidRPr="007D4570">
        <w:rPr>
          <w:lang w:eastAsia="ja-JP"/>
        </w:rPr>
        <w:t>vaccine</w:t>
      </w:r>
      <w:r>
        <w:rPr>
          <w:lang w:eastAsia="ja-JP"/>
        </w:rPr>
        <w:t>;</w:t>
      </w:r>
      <w:proofErr w:type="gramEnd"/>
    </w:p>
    <w:p w14:paraId="31A98B00" w14:textId="5A3C110B" w:rsidR="007D4570" w:rsidRPr="007D4570" w:rsidRDefault="006365BD" w:rsidP="007D7FFB">
      <w:pPr>
        <w:pStyle w:val="ListBullet"/>
        <w:rPr>
          <w:lang w:eastAsia="ja-JP"/>
        </w:rPr>
      </w:pPr>
      <w:r>
        <w:rPr>
          <w:lang w:eastAsia="ja-JP"/>
        </w:rPr>
        <w:t>u</w:t>
      </w:r>
      <w:r w:rsidR="007D4570" w:rsidRPr="007D4570">
        <w:rPr>
          <w:lang w:eastAsia="ja-JP"/>
        </w:rPr>
        <w:t>se of medications intended to prevent COVID-</w:t>
      </w:r>
      <w:proofErr w:type="gramStart"/>
      <w:r w:rsidR="007D4570" w:rsidRPr="007D4570">
        <w:rPr>
          <w:lang w:eastAsia="ja-JP"/>
        </w:rPr>
        <w:t>19</w:t>
      </w:r>
      <w:r>
        <w:rPr>
          <w:lang w:eastAsia="ja-JP"/>
        </w:rPr>
        <w:t>;</w:t>
      </w:r>
      <w:proofErr w:type="gramEnd"/>
    </w:p>
    <w:p w14:paraId="5046540B" w14:textId="5A7F3873" w:rsidR="007D4570" w:rsidRPr="007D4570" w:rsidRDefault="006365BD" w:rsidP="007D7FFB">
      <w:pPr>
        <w:pStyle w:val="ListBullet"/>
        <w:rPr>
          <w:lang w:eastAsia="ja-JP"/>
        </w:rPr>
      </w:pPr>
      <w:r>
        <w:rPr>
          <w:lang w:eastAsia="ja-JP"/>
        </w:rPr>
        <w:lastRenderedPageBreak/>
        <w:t>s</w:t>
      </w:r>
      <w:r w:rsidR="007D4570" w:rsidRPr="007D4570">
        <w:rPr>
          <w:lang w:eastAsia="ja-JP"/>
        </w:rPr>
        <w:t xml:space="preserve">evere reaction associated with any vaccine or severe allergic reaction to any component of the study </w:t>
      </w:r>
      <w:proofErr w:type="gramStart"/>
      <w:r w:rsidR="007D4570" w:rsidRPr="007D4570">
        <w:rPr>
          <w:lang w:eastAsia="ja-JP"/>
        </w:rPr>
        <w:t>intervention</w:t>
      </w:r>
      <w:r>
        <w:rPr>
          <w:lang w:eastAsia="ja-JP"/>
        </w:rPr>
        <w:t>;</w:t>
      </w:r>
      <w:proofErr w:type="gramEnd"/>
    </w:p>
    <w:p w14:paraId="35130A0E" w14:textId="3B69C0B9" w:rsidR="007D4570" w:rsidRPr="007D4570" w:rsidRDefault="006365BD" w:rsidP="007D7FFB">
      <w:pPr>
        <w:pStyle w:val="ListBullet"/>
        <w:rPr>
          <w:lang w:eastAsia="ja-JP"/>
        </w:rPr>
      </w:pPr>
      <w:r>
        <w:rPr>
          <w:lang w:eastAsia="ja-JP"/>
        </w:rPr>
        <w:t>i</w:t>
      </w:r>
      <w:r w:rsidR="007D4570" w:rsidRPr="007D4570">
        <w:rPr>
          <w:lang w:eastAsia="ja-JP"/>
        </w:rPr>
        <w:t xml:space="preserve">mmunocompromised individuals with known or suspected </w:t>
      </w:r>
      <w:proofErr w:type="gramStart"/>
      <w:r w:rsidR="007D4570" w:rsidRPr="007D4570">
        <w:rPr>
          <w:lang w:eastAsia="ja-JP"/>
        </w:rPr>
        <w:t>immunodeficiency</w:t>
      </w:r>
      <w:r>
        <w:rPr>
          <w:lang w:eastAsia="ja-JP"/>
        </w:rPr>
        <w:t>;</w:t>
      </w:r>
      <w:proofErr w:type="gramEnd"/>
    </w:p>
    <w:p w14:paraId="36758FAE" w14:textId="03749B88" w:rsidR="007D4570" w:rsidRPr="007D4570" w:rsidRDefault="006365BD" w:rsidP="007D7FFB">
      <w:pPr>
        <w:pStyle w:val="ListBullet"/>
        <w:rPr>
          <w:lang w:eastAsia="ja-JP"/>
        </w:rPr>
      </w:pPr>
      <w:r>
        <w:rPr>
          <w:lang w:eastAsia="ja-JP"/>
        </w:rPr>
        <w:t>i</w:t>
      </w:r>
      <w:r w:rsidR="007D4570" w:rsidRPr="007D4570">
        <w:rPr>
          <w:lang w:eastAsia="ja-JP"/>
        </w:rPr>
        <w:t>ndividuals with a history of autoimmune disease or an active autoimmune disease requiring therapeutic intervention (stable type 1 diabetes and hypothyroidism were permitted</w:t>
      </w:r>
      <w:proofErr w:type="gramStart"/>
      <w:r w:rsidR="007D4570" w:rsidRPr="007D4570">
        <w:rPr>
          <w:lang w:eastAsia="ja-JP"/>
        </w:rPr>
        <w:t>)</w:t>
      </w:r>
      <w:r>
        <w:rPr>
          <w:lang w:eastAsia="ja-JP"/>
        </w:rPr>
        <w:t>;</w:t>
      </w:r>
      <w:proofErr w:type="gramEnd"/>
    </w:p>
    <w:p w14:paraId="5715E2D2" w14:textId="783B6F5A" w:rsidR="007D4570" w:rsidRPr="007D4570" w:rsidRDefault="006365BD" w:rsidP="007D7FFB">
      <w:pPr>
        <w:pStyle w:val="ListBullet"/>
        <w:rPr>
          <w:lang w:eastAsia="ja-JP"/>
        </w:rPr>
      </w:pPr>
      <w:r>
        <w:rPr>
          <w:lang w:eastAsia="ja-JP"/>
        </w:rPr>
        <w:t>p</w:t>
      </w:r>
      <w:r w:rsidR="007D4570" w:rsidRPr="007D4570">
        <w:rPr>
          <w:lang w:eastAsia="ja-JP"/>
        </w:rPr>
        <w:t xml:space="preserve">revious or current diagnosis of </w:t>
      </w:r>
      <w:r>
        <w:rPr>
          <w:lang w:eastAsia="ja-JP"/>
        </w:rPr>
        <w:t>multisystem inflammatory syndrome in children (</w:t>
      </w:r>
      <w:r w:rsidR="007D4570" w:rsidRPr="007D4570">
        <w:rPr>
          <w:lang w:eastAsia="ja-JP"/>
        </w:rPr>
        <w:t>MIS-C</w:t>
      </w:r>
      <w:r>
        <w:rPr>
          <w:lang w:eastAsia="ja-JP"/>
        </w:rPr>
        <w:t>)</w:t>
      </w:r>
      <w:r w:rsidR="007D4570" w:rsidRPr="007D4570">
        <w:rPr>
          <w:lang w:eastAsia="ja-JP"/>
        </w:rPr>
        <w:t xml:space="preserve"> and other medical or psychiatric condition or laboratory abnormality that may increase the risk of study participation.</w:t>
      </w:r>
    </w:p>
    <w:p w14:paraId="15878EEC" w14:textId="77777777" w:rsidR="006365BD" w:rsidRDefault="007D4570" w:rsidP="007D4570">
      <w:r w:rsidRPr="007D4570">
        <w:t>Concomitant therapies prohibited during the stud</w:t>
      </w:r>
      <w:r w:rsidR="006365BD">
        <w:t>y included any:</w:t>
      </w:r>
    </w:p>
    <w:p w14:paraId="034DC850" w14:textId="77777777" w:rsidR="006365BD" w:rsidRDefault="006365BD" w:rsidP="006365BD">
      <w:pPr>
        <w:pStyle w:val="ListBullet"/>
      </w:pPr>
      <w:r>
        <w:t xml:space="preserve">non-live </w:t>
      </w:r>
      <w:proofErr w:type="gramStart"/>
      <w:r>
        <w:t>vaccine;</w:t>
      </w:r>
      <w:proofErr w:type="gramEnd"/>
    </w:p>
    <w:p w14:paraId="39C56607" w14:textId="77777777" w:rsidR="006365BD" w:rsidRDefault="007D4570" w:rsidP="006365BD">
      <w:pPr>
        <w:pStyle w:val="ListBullet"/>
      </w:pPr>
      <w:r w:rsidRPr="007D4570">
        <w:t>seasona</w:t>
      </w:r>
      <w:r w:rsidR="006365BD">
        <w:t xml:space="preserve">l or pandemic influenza </w:t>
      </w:r>
      <w:proofErr w:type="gramStart"/>
      <w:r w:rsidR="006365BD">
        <w:t>vaccine;</w:t>
      </w:r>
      <w:proofErr w:type="gramEnd"/>
    </w:p>
    <w:p w14:paraId="08C96E9A" w14:textId="411D7D1C" w:rsidR="006365BD" w:rsidRDefault="007D4570" w:rsidP="006365BD">
      <w:pPr>
        <w:pStyle w:val="ListBullet"/>
      </w:pPr>
      <w:r w:rsidRPr="007D4570">
        <w:t>r</w:t>
      </w:r>
      <w:r w:rsidR="006365BD">
        <w:t xml:space="preserve">otavirus vaccine within 14 </w:t>
      </w:r>
      <w:proofErr w:type="gramStart"/>
      <w:r w:rsidR="006365BD">
        <w:t>days;</w:t>
      </w:r>
      <w:proofErr w:type="gramEnd"/>
    </w:p>
    <w:p w14:paraId="5674447B" w14:textId="77777777" w:rsidR="006365BD" w:rsidRDefault="007D4570" w:rsidP="007D4570">
      <w:pPr>
        <w:pStyle w:val="ListBullet"/>
      </w:pPr>
      <w:r w:rsidRPr="007D4570">
        <w:t>live vaccine (excluding live influenza and rotavirus vaccines) within 28 days, before st</w:t>
      </w:r>
      <w:r w:rsidR="006365BD">
        <w:t>udy intervention administration; or</w:t>
      </w:r>
    </w:p>
    <w:p w14:paraId="7DAB7F9B" w14:textId="2B5EF531" w:rsidR="007D4570" w:rsidRDefault="006365BD" w:rsidP="007D4570">
      <w:pPr>
        <w:pStyle w:val="ListBullet"/>
      </w:pPr>
      <w:r>
        <w:t>use of s</w:t>
      </w:r>
      <w:r w:rsidR="007D4570" w:rsidRPr="007D4570">
        <w:t xml:space="preserve">ystemic corticosteroids (&gt; 2 mg/kg/dose of </w:t>
      </w:r>
      <w:r>
        <w:t>prednisone or equivalent) for ≥ 14 </w:t>
      </w:r>
      <w:r w:rsidR="007D4570" w:rsidRPr="007D4570">
        <w:t xml:space="preserve">days from 28 days </w:t>
      </w:r>
      <w:r>
        <w:t xml:space="preserve">prior to enrolment through the </w:t>
      </w:r>
      <w:proofErr w:type="gramStart"/>
      <w:r>
        <w:t>one</w:t>
      </w:r>
      <w:r w:rsidR="007D4570" w:rsidRPr="007D4570">
        <w:t xml:space="preserve"> month</w:t>
      </w:r>
      <w:proofErr w:type="gramEnd"/>
      <w:r w:rsidR="007D4570" w:rsidRPr="007D4570">
        <w:t xml:space="preserve"> follow-up after Dose 3 and prophylactic anti-</w:t>
      </w:r>
      <w:proofErr w:type="spellStart"/>
      <w:r w:rsidR="007D4570" w:rsidRPr="007D4570">
        <w:t>pyretics</w:t>
      </w:r>
      <w:proofErr w:type="spellEnd"/>
      <w:r w:rsidR="007D4570" w:rsidRPr="007D4570">
        <w:t xml:space="preserve"> and other pain medication to prevent symptoms associated with study intervention administration.</w:t>
      </w:r>
    </w:p>
    <w:p w14:paraId="74F129F2" w14:textId="16B808BE" w:rsidR="00100607" w:rsidRPr="00100607" w:rsidRDefault="00100607" w:rsidP="00100607">
      <w:pPr>
        <w:pStyle w:val="Heading5"/>
      </w:pPr>
      <w:r>
        <w:t xml:space="preserve">Primary and secondary objectives, </w:t>
      </w:r>
      <w:proofErr w:type="spellStart"/>
      <w:r>
        <w:t>estimands</w:t>
      </w:r>
      <w:proofErr w:type="spellEnd"/>
      <w:r>
        <w:t>, and endpoints</w:t>
      </w:r>
    </w:p>
    <w:p w14:paraId="374B5E09" w14:textId="40BE6BD1" w:rsidR="007D4570" w:rsidRPr="006365BD" w:rsidRDefault="006365BD" w:rsidP="006365BD">
      <w:r>
        <w:t>The Phase II/III</w:t>
      </w:r>
      <w:r w:rsidR="007D4570" w:rsidRPr="006365BD">
        <w:t xml:space="preserve"> primary and secondary objectives, </w:t>
      </w:r>
      <w:proofErr w:type="spellStart"/>
      <w:r w:rsidR="007D4570" w:rsidRPr="006365BD">
        <w:t>estimands</w:t>
      </w:r>
      <w:proofErr w:type="spellEnd"/>
      <w:r w:rsidR="007D4570" w:rsidRPr="006365BD">
        <w:t xml:space="preserve"> and endpoints of relevance to the current submission are provided below.</w:t>
      </w:r>
    </w:p>
    <w:p w14:paraId="14AD9C40" w14:textId="232FB396" w:rsidR="00431EF5" w:rsidRDefault="00431EF5" w:rsidP="00431EF5">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5</w:t>
      </w:r>
      <w:r w:rsidR="00BC0ACB">
        <w:rPr>
          <w:noProof/>
        </w:rPr>
        <w:fldChar w:fldCharType="end"/>
      </w:r>
      <w:r>
        <w:t xml:space="preserve">: Study C4591007 Phase II/III Objectives, </w:t>
      </w:r>
      <w:proofErr w:type="spellStart"/>
      <w:r>
        <w:t>estimands</w:t>
      </w:r>
      <w:proofErr w:type="spellEnd"/>
      <w:r>
        <w:t>, and endpoints (primary safety)</w:t>
      </w:r>
    </w:p>
    <w:tbl>
      <w:tblPr>
        <w:tblStyle w:val="TableTGAblue"/>
        <w:tblW w:w="8540" w:type="dxa"/>
        <w:tblLayout w:type="fixed"/>
        <w:tblLook w:val="04A0" w:firstRow="1" w:lastRow="0" w:firstColumn="1" w:lastColumn="0" w:noHBand="0" w:noVBand="1"/>
      </w:tblPr>
      <w:tblGrid>
        <w:gridCol w:w="1520"/>
        <w:gridCol w:w="7020"/>
      </w:tblGrid>
      <w:tr w:rsidR="00682BA0" w14:paraId="3EFBDE51" w14:textId="77777777" w:rsidTr="00682BA0">
        <w:trPr>
          <w:cnfStyle w:val="100000000000" w:firstRow="1" w:lastRow="0" w:firstColumn="0" w:lastColumn="0" w:oddVBand="0" w:evenVBand="0" w:oddHBand="0" w:evenHBand="0" w:firstRowFirstColumn="0" w:firstRowLastColumn="0" w:lastRowFirstColumn="0" w:lastRowLastColumn="0"/>
        </w:trPr>
        <w:tc>
          <w:tcPr>
            <w:tcW w:w="8540" w:type="dxa"/>
            <w:gridSpan w:val="2"/>
          </w:tcPr>
          <w:p w14:paraId="1CE60288" w14:textId="4B4845D7" w:rsidR="00682BA0" w:rsidRPr="00682BA0" w:rsidRDefault="00682BA0" w:rsidP="00682BA0">
            <w:pPr>
              <w:ind w:left="0"/>
              <w:rPr>
                <w:bCs/>
              </w:rPr>
            </w:pPr>
            <w:r w:rsidRPr="00682BA0">
              <w:rPr>
                <w:bCs/>
              </w:rPr>
              <w:t>Study C4591007 Phase II/III – primary safety</w:t>
            </w:r>
          </w:p>
        </w:tc>
      </w:tr>
      <w:tr w:rsidR="00E520C2" w14:paraId="0E675FCA" w14:textId="77777777" w:rsidTr="00E520C2">
        <w:tc>
          <w:tcPr>
            <w:tcW w:w="1520" w:type="dxa"/>
          </w:tcPr>
          <w:p w14:paraId="5F8CAB21" w14:textId="14D3AC57" w:rsidR="006E198B" w:rsidRDefault="006E198B" w:rsidP="00E520C2">
            <w:pPr>
              <w:ind w:left="0"/>
              <w:rPr>
                <w:b/>
                <w:bCs/>
              </w:rPr>
            </w:pPr>
            <w:r>
              <w:rPr>
                <w:b/>
                <w:bCs/>
              </w:rPr>
              <w:t>Objectives</w:t>
            </w:r>
          </w:p>
        </w:tc>
        <w:tc>
          <w:tcPr>
            <w:tcW w:w="7020" w:type="dxa"/>
          </w:tcPr>
          <w:p w14:paraId="328E0BCC" w14:textId="4B35D09B" w:rsidR="006E198B" w:rsidRPr="00E520C2" w:rsidRDefault="006E198B" w:rsidP="007D4570">
            <w:pPr>
              <w:rPr>
                <w:b/>
                <w:bCs/>
              </w:rPr>
            </w:pPr>
            <w:r w:rsidRPr="00E520C2">
              <w:t xml:space="preserve">To define the safety profile of prophylactic Comirnaty vaccine in </w:t>
            </w:r>
            <w:r w:rsidRPr="00431EF5">
              <w:rPr>
                <w:i/>
              </w:rPr>
              <w:t>all participants</w:t>
            </w:r>
            <w:r w:rsidRPr="00E520C2">
              <w:t xml:space="preserve"> (selected dose, lower dose, and obtaining serum sampl</w:t>
            </w:r>
            <w:r w:rsidR="00431EF5">
              <w:t>es for</w:t>
            </w:r>
            <w:r w:rsidRPr="00E520C2">
              <w:t xml:space="preserve"> potential troponin I </w:t>
            </w:r>
            <w:proofErr w:type="gramStart"/>
            <w:r w:rsidRPr="00E520C2">
              <w:t>testing</w:t>
            </w:r>
            <w:proofErr w:type="gramEnd"/>
            <w:r w:rsidRPr="00E520C2">
              <w:t xml:space="preserve"> portions of the study) in Phase II/III in each age group.</w:t>
            </w:r>
          </w:p>
        </w:tc>
      </w:tr>
      <w:tr w:rsidR="00E520C2" w14:paraId="089E7C23" w14:textId="77777777" w:rsidTr="00E520C2">
        <w:tc>
          <w:tcPr>
            <w:tcW w:w="1520" w:type="dxa"/>
          </w:tcPr>
          <w:p w14:paraId="2ED27138" w14:textId="076F47E9" w:rsidR="006E198B" w:rsidRDefault="006E198B" w:rsidP="00E520C2">
            <w:pPr>
              <w:ind w:left="0"/>
              <w:rPr>
                <w:b/>
                <w:bCs/>
              </w:rPr>
            </w:pPr>
            <w:proofErr w:type="spellStart"/>
            <w:r>
              <w:rPr>
                <w:b/>
                <w:bCs/>
              </w:rPr>
              <w:t>Estimands</w:t>
            </w:r>
            <w:proofErr w:type="spellEnd"/>
          </w:p>
        </w:tc>
        <w:tc>
          <w:tcPr>
            <w:tcW w:w="7020" w:type="dxa"/>
          </w:tcPr>
          <w:p w14:paraId="62AA3C12" w14:textId="77777777" w:rsidR="006E198B" w:rsidRPr="00E520C2" w:rsidRDefault="006E198B" w:rsidP="006E198B">
            <w:r w:rsidRPr="00E520C2">
              <w:t>In participants receiving at least one dose of study intervention from each vaccine group, the percentage of participants in each age group reporting:</w:t>
            </w:r>
          </w:p>
          <w:p w14:paraId="37CF6352" w14:textId="5DF99B5D" w:rsidR="006E198B" w:rsidRPr="00E520C2" w:rsidRDefault="006E198B" w:rsidP="006E198B">
            <w:pPr>
              <w:pStyle w:val="ListBullet"/>
            </w:pPr>
            <w:r w:rsidRPr="00E520C2">
              <w:t>local reactions for up to 7 days following each dose</w:t>
            </w:r>
          </w:p>
          <w:p w14:paraId="2A220008" w14:textId="730B75E9" w:rsidR="006E198B" w:rsidRPr="00E520C2" w:rsidRDefault="006E198B" w:rsidP="006E198B">
            <w:pPr>
              <w:pStyle w:val="ListBullet"/>
            </w:pPr>
            <w:r w:rsidRPr="00E520C2">
              <w:t>systemic events for up to 7 days following each dose</w:t>
            </w:r>
          </w:p>
          <w:p w14:paraId="7567F211" w14:textId="64E1F8BC" w:rsidR="006E198B" w:rsidRPr="00E520C2" w:rsidRDefault="006E198B" w:rsidP="006E198B">
            <w:pPr>
              <w:pStyle w:val="ListBullet"/>
            </w:pPr>
            <w:r w:rsidRPr="00E520C2">
              <w:t>adverse events from Dose 1 to one month after Dose 2</w:t>
            </w:r>
          </w:p>
          <w:p w14:paraId="2FBE7B1A" w14:textId="1A332ADD" w:rsidR="006E198B" w:rsidRPr="00E520C2" w:rsidRDefault="006E198B" w:rsidP="006E198B">
            <w:pPr>
              <w:pStyle w:val="ListBullet"/>
            </w:pPr>
            <w:r w:rsidRPr="00E520C2">
              <w:t>serious adverse events from Dose 1 to 6 months after Dose 2</w:t>
            </w:r>
          </w:p>
          <w:p w14:paraId="4D137FA7" w14:textId="1EED391D" w:rsidR="006E198B" w:rsidRPr="00E520C2" w:rsidRDefault="006E198B" w:rsidP="006E198B">
            <w:pPr>
              <w:pStyle w:val="ListBullet"/>
            </w:pPr>
            <w:r w:rsidRPr="00E520C2">
              <w:t>adverse events from Dose 3 to one month after Dose 3</w:t>
            </w:r>
          </w:p>
          <w:p w14:paraId="5A4E4AF5" w14:textId="0982082A" w:rsidR="006E198B" w:rsidRPr="006E198B" w:rsidRDefault="006E198B" w:rsidP="006E198B">
            <w:pPr>
              <w:pStyle w:val="ListBullet"/>
            </w:pPr>
            <w:r w:rsidRPr="00E520C2">
              <w:t>serious adverse events from Dose 3 to 6 months after Dose 3</w:t>
            </w:r>
          </w:p>
        </w:tc>
      </w:tr>
      <w:tr w:rsidR="00E520C2" w14:paraId="2BFD12F7" w14:textId="77777777" w:rsidTr="00E520C2">
        <w:tc>
          <w:tcPr>
            <w:tcW w:w="1520" w:type="dxa"/>
          </w:tcPr>
          <w:p w14:paraId="430D0A1B" w14:textId="0673DDF3" w:rsidR="006E198B" w:rsidRDefault="006E198B" w:rsidP="00E520C2">
            <w:pPr>
              <w:ind w:left="0"/>
              <w:rPr>
                <w:b/>
                <w:bCs/>
              </w:rPr>
            </w:pPr>
            <w:r>
              <w:rPr>
                <w:b/>
                <w:bCs/>
              </w:rPr>
              <w:lastRenderedPageBreak/>
              <w:t>Endpoints</w:t>
            </w:r>
          </w:p>
        </w:tc>
        <w:tc>
          <w:tcPr>
            <w:tcW w:w="7020" w:type="dxa"/>
          </w:tcPr>
          <w:p w14:paraId="5276A12E" w14:textId="3C23239D" w:rsidR="006E198B" w:rsidRPr="00E520C2" w:rsidRDefault="00E520C2" w:rsidP="00E520C2">
            <w:r w:rsidRPr="00E520C2">
              <w:t>In p</w:t>
            </w:r>
            <w:r w:rsidR="006E198B" w:rsidRPr="00E520C2">
              <w:t>articipants from 16 to under 18 years of age; 12 to under 16</w:t>
            </w:r>
            <w:r>
              <w:t> </w:t>
            </w:r>
            <w:r w:rsidR="006E198B" w:rsidRPr="00E520C2">
              <w:t>years of age, 5 to under 12 years of age, and 2 to under</w:t>
            </w:r>
            <w:r w:rsidRPr="00E520C2">
              <w:t xml:space="preserve"> </w:t>
            </w:r>
            <w:r w:rsidR="006E198B" w:rsidRPr="00E520C2">
              <w:t>5 years of age:</w:t>
            </w:r>
          </w:p>
          <w:p w14:paraId="75862623" w14:textId="01D9BF99" w:rsidR="00E520C2" w:rsidRPr="00E520C2" w:rsidRDefault="00E520C2" w:rsidP="00E520C2">
            <w:pPr>
              <w:pStyle w:val="ListBullet"/>
              <w:rPr>
                <w:szCs w:val="22"/>
              </w:rPr>
            </w:pPr>
            <w:r>
              <w:rPr>
                <w:szCs w:val="22"/>
              </w:rPr>
              <w:t>l</w:t>
            </w:r>
            <w:r w:rsidR="006E198B" w:rsidRPr="00E520C2">
              <w:rPr>
                <w:szCs w:val="22"/>
              </w:rPr>
              <w:t>ocal reactions (pain at the injection site, redness, and swelling</w:t>
            </w:r>
            <w:proofErr w:type="gramStart"/>
            <w:r w:rsidR="006E198B" w:rsidRPr="00E520C2">
              <w:rPr>
                <w:szCs w:val="22"/>
              </w:rPr>
              <w:t>)</w:t>
            </w:r>
            <w:r>
              <w:rPr>
                <w:szCs w:val="22"/>
              </w:rPr>
              <w:t>;</w:t>
            </w:r>
            <w:proofErr w:type="gramEnd"/>
          </w:p>
          <w:p w14:paraId="535E4782" w14:textId="786D208D" w:rsidR="00E520C2" w:rsidRPr="00E520C2" w:rsidRDefault="00E520C2" w:rsidP="00E520C2">
            <w:pPr>
              <w:pStyle w:val="ListBullet"/>
              <w:rPr>
                <w:szCs w:val="22"/>
              </w:rPr>
            </w:pPr>
            <w:r>
              <w:rPr>
                <w:szCs w:val="22"/>
              </w:rPr>
              <w:t>s</w:t>
            </w:r>
            <w:r w:rsidR="006E198B" w:rsidRPr="00E520C2">
              <w:rPr>
                <w:szCs w:val="22"/>
              </w:rPr>
              <w:t xml:space="preserve">ystemic events (fever, fatigue, headache, chills, vomiting, </w:t>
            </w:r>
            <w:r w:rsidRPr="00E520C2">
              <w:rPr>
                <w:szCs w:val="22"/>
              </w:rPr>
              <w:t>diarrhoea</w:t>
            </w:r>
            <w:r w:rsidR="006E198B" w:rsidRPr="00E520C2">
              <w:rPr>
                <w:szCs w:val="22"/>
              </w:rPr>
              <w:t xml:space="preserve">, new or worsened muscle pain, </w:t>
            </w:r>
            <w:r w:rsidRPr="00E520C2">
              <w:rPr>
                <w:szCs w:val="22"/>
              </w:rPr>
              <w:t>and new or worsened joint pain</w:t>
            </w:r>
            <w:proofErr w:type="gramStart"/>
            <w:r w:rsidRPr="00E520C2">
              <w:rPr>
                <w:szCs w:val="22"/>
              </w:rPr>
              <w:t>)</w:t>
            </w:r>
            <w:r>
              <w:rPr>
                <w:szCs w:val="22"/>
              </w:rPr>
              <w:t>;</w:t>
            </w:r>
            <w:proofErr w:type="gramEnd"/>
          </w:p>
          <w:p w14:paraId="6E8B7668" w14:textId="77777777" w:rsidR="00E520C2" w:rsidRDefault="00E520C2" w:rsidP="00E520C2">
            <w:pPr>
              <w:pStyle w:val="ListBullet"/>
              <w:rPr>
                <w:szCs w:val="22"/>
              </w:rPr>
            </w:pPr>
            <w:r>
              <w:rPr>
                <w:szCs w:val="22"/>
              </w:rPr>
              <w:t>a</w:t>
            </w:r>
            <w:r w:rsidRPr="00E520C2">
              <w:rPr>
                <w:szCs w:val="22"/>
              </w:rPr>
              <w:t>dverse events</w:t>
            </w:r>
            <w:r>
              <w:rPr>
                <w:szCs w:val="22"/>
              </w:rPr>
              <w:t>; and</w:t>
            </w:r>
          </w:p>
          <w:p w14:paraId="2CF50DD5" w14:textId="18040DA0" w:rsidR="00E520C2" w:rsidRPr="00E520C2" w:rsidRDefault="00E520C2" w:rsidP="00E520C2">
            <w:pPr>
              <w:pStyle w:val="ListBullet"/>
              <w:rPr>
                <w:szCs w:val="22"/>
              </w:rPr>
            </w:pPr>
            <w:r w:rsidRPr="00E520C2">
              <w:rPr>
                <w:szCs w:val="22"/>
              </w:rPr>
              <w:t>serious adverse events</w:t>
            </w:r>
          </w:p>
          <w:p w14:paraId="13A84C33" w14:textId="6ED372C3" w:rsidR="00E520C2" w:rsidRDefault="00E520C2" w:rsidP="00E520C2">
            <w:r>
              <w:t>In participants from 6 months to under 2 years of age:</w:t>
            </w:r>
          </w:p>
          <w:p w14:paraId="57C42A52" w14:textId="07DD3639" w:rsidR="00E520C2" w:rsidRDefault="00E520C2" w:rsidP="00E520C2">
            <w:pPr>
              <w:pStyle w:val="ListBullet"/>
            </w:pPr>
            <w:r>
              <w:t>l</w:t>
            </w:r>
            <w:r w:rsidR="006E198B" w:rsidRPr="00E520C2">
              <w:t>ocal reactions (tenderness at the injection site, redness, a</w:t>
            </w:r>
            <w:r>
              <w:t>nd swelling</w:t>
            </w:r>
            <w:proofErr w:type="gramStart"/>
            <w:r>
              <w:t>);</w:t>
            </w:r>
            <w:proofErr w:type="gramEnd"/>
          </w:p>
          <w:p w14:paraId="0E3A7ED4" w14:textId="35F4B728" w:rsidR="00E520C2" w:rsidRDefault="00E520C2" w:rsidP="00E520C2">
            <w:pPr>
              <w:pStyle w:val="ListBullet"/>
            </w:pPr>
            <w:r>
              <w:t>s</w:t>
            </w:r>
            <w:r w:rsidR="006E198B" w:rsidRPr="00E520C2">
              <w:t>ystemic events (fever, decreased appetite, dr</w:t>
            </w:r>
            <w:r>
              <w:t>owsiness, and irritability</w:t>
            </w:r>
            <w:proofErr w:type="gramStart"/>
            <w:r>
              <w:t>);</w:t>
            </w:r>
            <w:proofErr w:type="gramEnd"/>
          </w:p>
          <w:p w14:paraId="488C8245" w14:textId="77777777" w:rsidR="00E520C2" w:rsidRDefault="00E520C2" w:rsidP="00E520C2">
            <w:pPr>
              <w:pStyle w:val="ListBullet"/>
            </w:pPr>
            <w:r>
              <w:t>adverse events; and</w:t>
            </w:r>
          </w:p>
          <w:p w14:paraId="66497AE8" w14:textId="4DEB0000" w:rsidR="006E198B" w:rsidRPr="00E520C2" w:rsidRDefault="00E520C2" w:rsidP="00E520C2">
            <w:pPr>
              <w:pStyle w:val="ListBullet"/>
            </w:pPr>
            <w:r>
              <w:t>serious adverse events.</w:t>
            </w:r>
          </w:p>
        </w:tc>
      </w:tr>
      <w:tr w:rsidR="00E520C2" w14:paraId="28E0D27E" w14:textId="77777777" w:rsidTr="00E520C2">
        <w:tc>
          <w:tcPr>
            <w:tcW w:w="1520" w:type="dxa"/>
          </w:tcPr>
          <w:p w14:paraId="26CD4ACD" w14:textId="4DFE4C29" w:rsidR="006E198B" w:rsidRDefault="006E198B" w:rsidP="00E520C2">
            <w:pPr>
              <w:ind w:left="0"/>
              <w:rPr>
                <w:b/>
                <w:bCs/>
              </w:rPr>
            </w:pPr>
            <w:r>
              <w:rPr>
                <w:b/>
                <w:bCs/>
              </w:rPr>
              <w:t>Comments</w:t>
            </w:r>
          </w:p>
        </w:tc>
        <w:tc>
          <w:tcPr>
            <w:tcW w:w="7020" w:type="dxa"/>
          </w:tcPr>
          <w:p w14:paraId="662DBF99" w14:textId="637D30DF" w:rsidR="00E520C2" w:rsidRPr="00E520C2" w:rsidRDefault="00E520C2" w:rsidP="00E520C2">
            <w:pPr>
              <w:rPr>
                <w:i/>
              </w:rPr>
            </w:pPr>
            <w:r w:rsidRPr="00E520C2">
              <w:rPr>
                <w:i/>
              </w:rPr>
              <w:t xml:space="preserve">Data from 5 to under </w:t>
            </w:r>
            <w:r w:rsidR="006E198B" w:rsidRPr="00E520C2">
              <w:rPr>
                <w:i/>
              </w:rPr>
              <w:t xml:space="preserve">12 years of age group previously reported in </w:t>
            </w:r>
            <w:r>
              <w:rPr>
                <w:i/>
              </w:rPr>
              <w:t>Study C4591007 i</w:t>
            </w:r>
            <w:r w:rsidR="006E198B" w:rsidRPr="00E520C2">
              <w:rPr>
                <w:i/>
              </w:rPr>
              <w:t>nte</w:t>
            </w:r>
            <w:r>
              <w:rPr>
                <w:i/>
              </w:rPr>
              <w:t>rim clinical study report date:</w:t>
            </w:r>
            <w:r w:rsidRPr="00E520C2">
              <w:rPr>
                <w:i/>
              </w:rPr>
              <w:t xml:space="preserve"> 30 September 2021</w:t>
            </w:r>
          </w:p>
          <w:p w14:paraId="769829E3" w14:textId="77777777" w:rsidR="00E520C2" w:rsidRPr="00A7518A" w:rsidRDefault="00E520C2" w:rsidP="00E520C2">
            <w:pPr>
              <w:rPr>
                <w:b/>
              </w:rPr>
            </w:pPr>
            <w:r w:rsidRPr="00A7518A">
              <w:rPr>
                <w:b/>
              </w:rPr>
              <w:t xml:space="preserve">Post-Dose 3 data for 5 to under </w:t>
            </w:r>
            <w:r w:rsidR="006E198B" w:rsidRPr="00A7518A">
              <w:rPr>
                <w:b/>
              </w:rPr>
              <w:t xml:space="preserve">12 years of age group included in this </w:t>
            </w:r>
            <w:r w:rsidRPr="00A7518A">
              <w:rPr>
                <w:b/>
              </w:rPr>
              <w:t>clinical study report.</w:t>
            </w:r>
          </w:p>
          <w:p w14:paraId="2CBB4F60" w14:textId="64AA5BFF" w:rsidR="006E198B" w:rsidRPr="00E520C2" w:rsidRDefault="006E198B" w:rsidP="00E520C2">
            <w:r w:rsidRPr="00E520C2">
              <w:t xml:space="preserve">Other age groups, lower-dose, and troponin data to be reported </w:t>
            </w:r>
            <w:proofErr w:type="gramStart"/>
            <w:r w:rsidRPr="00E520C2">
              <w:t>at a later time</w:t>
            </w:r>
            <w:proofErr w:type="gramEnd"/>
          </w:p>
        </w:tc>
      </w:tr>
    </w:tbl>
    <w:p w14:paraId="1D7A98C7" w14:textId="50E58043" w:rsidR="000E1F69" w:rsidRDefault="008E052A" w:rsidP="008E052A">
      <w:pPr>
        <w:pStyle w:val="TableDescription"/>
        <w:rPr>
          <w:b/>
          <w:bCs/>
        </w:rPr>
      </w:pPr>
      <w:r>
        <w:rPr>
          <w:lang w:eastAsia="ja-JP"/>
        </w:rPr>
        <w:t xml:space="preserve">Extract from </w:t>
      </w:r>
      <w:r w:rsidRPr="007D4570">
        <w:rPr>
          <w:lang w:eastAsia="ja-JP"/>
        </w:rPr>
        <w:t>Study C4591007</w:t>
      </w:r>
      <w:r>
        <w:rPr>
          <w:lang w:eastAsia="ja-JP"/>
        </w:rPr>
        <w:t xml:space="preserve"> interim clinical study report</w:t>
      </w:r>
    </w:p>
    <w:p w14:paraId="38B77D4E" w14:textId="1111B2E6" w:rsidR="00431EF5" w:rsidRDefault="00431EF5" w:rsidP="008E052A">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6</w:t>
      </w:r>
      <w:r w:rsidR="00BC0ACB">
        <w:rPr>
          <w:noProof/>
        </w:rPr>
        <w:fldChar w:fldCharType="end"/>
      </w:r>
      <w:r>
        <w:t>:</w:t>
      </w:r>
      <w:r w:rsidR="008E052A">
        <w:t xml:space="preserve"> Study C4591007 Phase II, III Objectives, </w:t>
      </w:r>
      <w:proofErr w:type="spellStart"/>
      <w:r w:rsidR="008E052A">
        <w:t>estimands</w:t>
      </w:r>
      <w:proofErr w:type="spellEnd"/>
      <w:r w:rsidR="008E052A">
        <w:t>, and</w:t>
      </w:r>
      <w:r>
        <w:t xml:space="preserve"> </w:t>
      </w:r>
      <w:r w:rsidR="008E052A">
        <w:t>endpoints (secondary; immunogenicity/e</w:t>
      </w:r>
      <w:r w:rsidRPr="00431EF5">
        <w:t>fficacy</w:t>
      </w:r>
      <w:r w:rsidR="008E052A">
        <w:t>)</w:t>
      </w:r>
    </w:p>
    <w:tbl>
      <w:tblPr>
        <w:tblStyle w:val="TableTGAblue"/>
        <w:tblW w:w="0" w:type="auto"/>
        <w:tblLook w:val="04A0" w:firstRow="1" w:lastRow="0" w:firstColumn="1" w:lastColumn="0" w:noHBand="0" w:noVBand="1"/>
      </w:tblPr>
      <w:tblGrid>
        <w:gridCol w:w="1460"/>
        <w:gridCol w:w="7024"/>
      </w:tblGrid>
      <w:tr w:rsidR="00682BA0" w14:paraId="543B2C0D" w14:textId="77777777" w:rsidTr="00682BA0">
        <w:trPr>
          <w:cnfStyle w:val="100000000000" w:firstRow="1" w:lastRow="0" w:firstColumn="0" w:lastColumn="0" w:oddVBand="0" w:evenVBand="0" w:oddHBand="0" w:evenHBand="0" w:firstRowFirstColumn="0" w:firstRowLastColumn="0" w:lastRowFirstColumn="0" w:lastRowLastColumn="0"/>
        </w:trPr>
        <w:tc>
          <w:tcPr>
            <w:tcW w:w="8484" w:type="dxa"/>
            <w:gridSpan w:val="2"/>
          </w:tcPr>
          <w:p w14:paraId="5AAA5992" w14:textId="490CDA8D" w:rsidR="00682BA0" w:rsidRDefault="00682BA0" w:rsidP="00682BA0">
            <w:pPr>
              <w:ind w:left="0"/>
              <w:rPr>
                <w:b w:val="0"/>
                <w:bCs/>
              </w:rPr>
            </w:pPr>
            <w:r w:rsidRPr="00682BA0">
              <w:rPr>
                <w:bCs/>
              </w:rPr>
              <w:t>Study C4591007 Phase II/III</w:t>
            </w:r>
            <w:r>
              <w:rPr>
                <w:bCs/>
              </w:rPr>
              <w:t xml:space="preserve"> – immunogenicity/efficacy</w:t>
            </w:r>
          </w:p>
        </w:tc>
      </w:tr>
      <w:tr w:rsidR="00431EF5" w14:paraId="1A451F50" w14:textId="77777777" w:rsidTr="00431EF5">
        <w:tc>
          <w:tcPr>
            <w:tcW w:w="1460" w:type="dxa"/>
          </w:tcPr>
          <w:p w14:paraId="7D15CBC8" w14:textId="0C545FDD" w:rsidR="00431EF5" w:rsidRDefault="00431EF5" w:rsidP="00431EF5">
            <w:pPr>
              <w:ind w:left="0"/>
              <w:rPr>
                <w:b/>
                <w:bCs/>
              </w:rPr>
            </w:pPr>
            <w:r>
              <w:rPr>
                <w:b/>
                <w:bCs/>
              </w:rPr>
              <w:t>Objectives</w:t>
            </w:r>
          </w:p>
        </w:tc>
        <w:tc>
          <w:tcPr>
            <w:tcW w:w="7024" w:type="dxa"/>
          </w:tcPr>
          <w:p w14:paraId="4837A86C" w14:textId="49604475" w:rsidR="00431EF5" w:rsidRPr="008E052A" w:rsidRDefault="00431EF5" w:rsidP="008E052A">
            <w:r w:rsidRPr="008E052A">
              <w:t xml:space="preserve">To describe the immune responses elicited by prophylactic </w:t>
            </w:r>
            <w:r w:rsidR="008E052A">
              <w:t>Comirnaty</w:t>
            </w:r>
            <w:r w:rsidRPr="008E052A">
              <w:t xml:space="preserve"> </w:t>
            </w:r>
            <w:r w:rsidR="008E052A">
              <w:t xml:space="preserve">vaccination </w:t>
            </w:r>
            <w:r w:rsidRPr="008E052A">
              <w:t>at the dose level selected in each age group and per</w:t>
            </w:r>
            <w:r w:rsidR="008E052A">
              <w:t>sistence of immune response in Phase II/III</w:t>
            </w:r>
            <w:r w:rsidRPr="008E052A">
              <w:t xml:space="preserve"> participants without serological or virological evidence of past SARS-CoV-2 infection.</w:t>
            </w:r>
          </w:p>
        </w:tc>
      </w:tr>
      <w:tr w:rsidR="00431EF5" w14:paraId="3829EF7F" w14:textId="77777777" w:rsidTr="00431EF5">
        <w:tc>
          <w:tcPr>
            <w:tcW w:w="1460" w:type="dxa"/>
          </w:tcPr>
          <w:p w14:paraId="68CEFF00" w14:textId="53B5311F" w:rsidR="00431EF5" w:rsidRDefault="00431EF5" w:rsidP="00431EF5">
            <w:pPr>
              <w:ind w:left="0"/>
              <w:rPr>
                <w:b/>
                <w:bCs/>
              </w:rPr>
            </w:pPr>
            <w:proofErr w:type="spellStart"/>
            <w:r>
              <w:rPr>
                <w:b/>
                <w:bCs/>
              </w:rPr>
              <w:t>Estimands</w:t>
            </w:r>
            <w:proofErr w:type="spellEnd"/>
          </w:p>
        </w:tc>
        <w:tc>
          <w:tcPr>
            <w:tcW w:w="7024" w:type="dxa"/>
          </w:tcPr>
          <w:p w14:paraId="42E66150" w14:textId="77777777" w:rsidR="008E052A" w:rsidRDefault="00431EF5" w:rsidP="008E052A">
            <w:r w:rsidRPr="008E052A">
              <w:t>In evaluable participants with no serological or virological evidence of past SARS-CoV-2 infection f</w:t>
            </w:r>
            <w:r w:rsidR="008E052A">
              <w:t>rom each vaccine and age group:</w:t>
            </w:r>
          </w:p>
          <w:p w14:paraId="0CDBE206" w14:textId="77777777" w:rsidR="008E052A" w:rsidRDefault="008E052A" w:rsidP="008E052A">
            <w:pPr>
              <w:pStyle w:val="ListBullet"/>
            </w:pPr>
            <w:r>
              <w:t>geometric mean titres (</w:t>
            </w:r>
            <w:r w:rsidR="00431EF5" w:rsidRPr="008E052A">
              <w:t>GMTs</w:t>
            </w:r>
            <w:r>
              <w:t>) at each time point</w:t>
            </w:r>
          </w:p>
          <w:p w14:paraId="68199304" w14:textId="2AD860B2" w:rsidR="00431EF5" w:rsidRPr="008E052A" w:rsidRDefault="008E052A" w:rsidP="008E052A">
            <w:pPr>
              <w:pStyle w:val="ListBullet"/>
            </w:pPr>
            <w:r>
              <w:t>geometric mean fold rise (</w:t>
            </w:r>
            <w:r w:rsidR="00431EF5" w:rsidRPr="008E052A">
              <w:t>GMFRs</w:t>
            </w:r>
            <w:r>
              <w:t>)</w:t>
            </w:r>
            <w:r w:rsidR="00431EF5" w:rsidRPr="008E052A">
              <w:t xml:space="preserve"> from before Dose 1 to each subsequent time point after Dose 2 or Dose 3</w:t>
            </w:r>
          </w:p>
        </w:tc>
      </w:tr>
      <w:tr w:rsidR="00431EF5" w14:paraId="36B6C073" w14:textId="77777777" w:rsidTr="00431EF5">
        <w:tc>
          <w:tcPr>
            <w:tcW w:w="1460" w:type="dxa"/>
          </w:tcPr>
          <w:p w14:paraId="3BD5BC52" w14:textId="33D01069" w:rsidR="00431EF5" w:rsidRDefault="00431EF5" w:rsidP="00431EF5">
            <w:pPr>
              <w:ind w:left="0"/>
              <w:rPr>
                <w:b/>
                <w:bCs/>
              </w:rPr>
            </w:pPr>
            <w:r>
              <w:rPr>
                <w:b/>
                <w:bCs/>
              </w:rPr>
              <w:t>Endpoints</w:t>
            </w:r>
          </w:p>
        </w:tc>
        <w:tc>
          <w:tcPr>
            <w:tcW w:w="7024" w:type="dxa"/>
          </w:tcPr>
          <w:p w14:paraId="11A65FD2" w14:textId="79FABF5B" w:rsidR="00431EF5" w:rsidRPr="008E052A" w:rsidRDefault="008E052A" w:rsidP="008E052A">
            <w:r>
              <w:t>SARS-CoV-2 neutralising tit</w:t>
            </w:r>
            <w:r w:rsidR="00431EF5" w:rsidRPr="008E052A">
              <w:t>r</w:t>
            </w:r>
            <w:r>
              <w:t>e</w:t>
            </w:r>
            <w:r w:rsidR="00431EF5" w:rsidRPr="008E052A">
              <w:t>s</w:t>
            </w:r>
          </w:p>
        </w:tc>
      </w:tr>
      <w:tr w:rsidR="00431EF5" w14:paraId="662DB547" w14:textId="77777777" w:rsidTr="00431EF5">
        <w:tc>
          <w:tcPr>
            <w:tcW w:w="1460" w:type="dxa"/>
          </w:tcPr>
          <w:p w14:paraId="1C01C85B" w14:textId="203A63C1" w:rsidR="00431EF5" w:rsidRDefault="00431EF5" w:rsidP="00431EF5">
            <w:pPr>
              <w:ind w:left="0"/>
              <w:rPr>
                <w:b/>
                <w:bCs/>
              </w:rPr>
            </w:pPr>
            <w:r>
              <w:rPr>
                <w:b/>
                <w:bCs/>
              </w:rPr>
              <w:lastRenderedPageBreak/>
              <w:t>Comments</w:t>
            </w:r>
          </w:p>
        </w:tc>
        <w:tc>
          <w:tcPr>
            <w:tcW w:w="7024" w:type="dxa"/>
          </w:tcPr>
          <w:p w14:paraId="3DD81639" w14:textId="1F79544B" w:rsidR="008E052A" w:rsidRPr="008E052A" w:rsidRDefault="008E052A" w:rsidP="008E052A">
            <w:pPr>
              <w:rPr>
                <w:i/>
              </w:rPr>
            </w:pPr>
            <w:r w:rsidRPr="008E052A">
              <w:rPr>
                <w:i/>
              </w:rPr>
              <w:t xml:space="preserve">Data from 5 to under </w:t>
            </w:r>
            <w:r w:rsidR="00431EF5" w:rsidRPr="008E052A">
              <w:rPr>
                <w:i/>
              </w:rPr>
              <w:t xml:space="preserve">12 years of age group previously reported in </w:t>
            </w:r>
            <w:r w:rsidRPr="008E052A">
              <w:rPr>
                <w:i/>
              </w:rPr>
              <w:t>Study C4591007 i</w:t>
            </w:r>
            <w:r w:rsidR="00431EF5" w:rsidRPr="008E052A">
              <w:rPr>
                <w:i/>
              </w:rPr>
              <w:t>nte</w:t>
            </w:r>
            <w:r w:rsidRPr="008E052A">
              <w:rPr>
                <w:i/>
              </w:rPr>
              <w:t>rim clinical study report date: 30 September 2021</w:t>
            </w:r>
          </w:p>
          <w:p w14:paraId="58C0FCEF" w14:textId="77777777" w:rsidR="008E052A" w:rsidRPr="00A7518A" w:rsidRDefault="008E052A" w:rsidP="008E052A">
            <w:pPr>
              <w:rPr>
                <w:b/>
              </w:rPr>
            </w:pPr>
            <w:r w:rsidRPr="00A7518A">
              <w:rPr>
                <w:b/>
              </w:rPr>
              <w:t xml:space="preserve">Post-Dose 3 data for 5 to under </w:t>
            </w:r>
            <w:r w:rsidR="00431EF5" w:rsidRPr="00A7518A">
              <w:rPr>
                <w:b/>
              </w:rPr>
              <w:t xml:space="preserve">12 years of age group included in this </w:t>
            </w:r>
            <w:r w:rsidRPr="00A7518A">
              <w:rPr>
                <w:b/>
              </w:rPr>
              <w:t>clinical study report.</w:t>
            </w:r>
          </w:p>
          <w:p w14:paraId="0B7016F7" w14:textId="6EF8C596" w:rsidR="00431EF5" w:rsidRPr="008E052A" w:rsidRDefault="00431EF5" w:rsidP="008E052A">
            <w:r w:rsidRPr="008E052A">
              <w:t xml:space="preserve">Other age groups to be reported </w:t>
            </w:r>
            <w:proofErr w:type="gramStart"/>
            <w:r w:rsidRPr="008E052A">
              <w:t>at a later time</w:t>
            </w:r>
            <w:proofErr w:type="gramEnd"/>
          </w:p>
        </w:tc>
      </w:tr>
    </w:tbl>
    <w:p w14:paraId="00FD2C75" w14:textId="0C7414F4" w:rsidR="008E052A" w:rsidRDefault="008E052A" w:rsidP="008E052A">
      <w:pPr>
        <w:pStyle w:val="TableDescription"/>
        <w:rPr>
          <w:b/>
          <w:bCs/>
        </w:rPr>
      </w:pPr>
      <w:r>
        <w:rPr>
          <w:lang w:eastAsia="ja-JP"/>
        </w:rPr>
        <w:t xml:space="preserve">Extract from </w:t>
      </w:r>
      <w:r w:rsidRPr="007D4570">
        <w:rPr>
          <w:lang w:eastAsia="ja-JP"/>
        </w:rPr>
        <w:t>Study C4591007</w:t>
      </w:r>
      <w:r>
        <w:rPr>
          <w:lang w:eastAsia="ja-JP"/>
        </w:rPr>
        <w:t xml:space="preserve"> interim clinical study report</w:t>
      </w:r>
    </w:p>
    <w:p w14:paraId="4F2719C2" w14:textId="79029631" w:rsidR="008E052A" w:rsidRDefault="008E052A" w:rsidP="008E052A">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7</w:t>
      </w:r>
      <w:r w:rsidR="00BC0ACB">
        <w:rPr>
          <w:noProof/>
        </w:rPr>
        <w:fldChar w:fldCharType="end"/>
      </w:r>
      <w:r w:rsidR="00682BA0">
        <w:t>: Study C4591007 Phase II/</w:t>
      </w:r>
      <w:r w:rsidR="00A7518A">
        <w:t xml:space="preserve">III Objectives, </w:t>
      </w:r>
      <w:proofErr w:type="spellStart"/>
      <w:r w:rsidR="00A7518A">
        <w:t>estimands</w:t>
      </w:r>
      <w:proofErr w:type="spellEnd"/>
      <w:r w:rsidR="00A7518A">
        <w:t>, and endpoints (exploratory)</w:t>
      </w:r>
    </w:p>
    <w:tbl>
      <w:tblPr>
        <w:tblStyle w:val="TableTGAblue"/>
        <w:tblW w:w="0" w:type="auto"/>
        <w:tblLook w:val="04A0" w:firstRow="1" w:lastRow="0" w:firstColumn="1" w:lastColumn="0" w:noHBand="0" w:noVBand="1"/>
      </w:tblPr>
      <w:tblGrid>
        <w:gridCol w:w="1460"/>
        <w:gridCol w:w="3570"/>
        <w:gridCol w:w="3454"/>
      </w:tblGrid>
      <w:tr w:rsidR="00682BA0" w14:paraId="6C2DE05C" w14:textId="6AB36895" w:rsidTr="00682BA0">
        <w:trPr>
          <w:cnfStyle w:val="100000000000" w:firstRow="1" w:lastRow="0" w:firstColumn="0" w:lastColumn="0" w:oddVBand="0" w:evenVBand="0" w:oddHBand="0" w:evenHBand="0" w:firstRowFirstColumn="0" w:firstRowLastColumn="0" w:lastRowFirstColumn="0" w:lastRowLastColumn="0"/>
        </w:trPr>
        <w:tc>
          <w:tcPr>
            <w:tcW w:w="8484" w:type="dxa"/>
            <w:gridSpan w:val="3"/>
          </w:tcPr>
          <w:p w14:paraId="7FBFFC1C" w14:textId="15FC547E" w:rsidR="00682BA0" w:rsidRDefault="00682BA0" w:rsidP="00682BA0">
            <w:pPr>
              <w:ind w:left="0"/>
            </w:pPr>
            <w:r w:rsidRPr="00682BA0">
              <w:rPr>
                <w:bCs/>
              </w:rPr>
              <w:t>Study C4591007 Phase II/III</w:t>
            </w:r>
            <w:r>
              <w:rPr>
                <w:bCs/>
              </w:rPr>
              <w:t xml:space="preserve"> – exploratory</w:t>
            </w:r>
          </w:p>
        </w:tc>
      </w:tr>
      <w:tr w:rsidR="00A7518A" w14:paraId="0BA4EF61" w14:textId="0337B22A" w:rsidTr="00A7518A">
        <w:tc>
          <w:tcPr>
            <w:tcW w:w="1460" w:type="dxa"/>
          </w:tcPr>
          <w:p w14:paraId="37050CED" w14:textId="54611369" w:rsidR="00A7518A" w:rsidRPr="008E052A" w:rsidRDefault="00A7518A" w:rsidP="008E052A">
            <w:pPr>
              <w:ind w:left="0"/>
              <w:rPr>
                <w:b/>
              </w:rPr>
            </w:pPr>
            <w:r w:rsidRPr="008E052A">
              <w:rPr>
                <w:b/>
              </w:rPr>
              <w:t>Objectives</w:t>
            </w:r>
          </w:p>
        </w:tc>
        <w:tc>
          <w:tcPr>
            <w:tcW w:w="3570" w:type="dxa"/>
          </w:tcPr>
          <w:p w14:paraId="57CDC254" w14:textId="4845E85F" w:rsidR="00A7518A" w:rsidRDefault="00A7518A" w:rsidP="007D4570">
            <w:r>
              <w:t>To evaluate the immune response over time to prophylactic Comirnaty vaccination at the dose level selected in each age group and persistence of immune response in Phase II/III participants with and without serological or virological evidence of past SARS-CoV-2 infection.</w:t>
            </w:r>
          </w:p>
        </w:tc>
        <w:tc>
          <w:tcPr>
            <w:tcW w:w="3454" w:type="dxa"/>
          </w:tcPr>
          <w:p w14:paraId="0ABAAFA1" w14:textId="41621E11" w:rsidR="00A7518A" w:rsidRDefault="00A7518A" w:rsidP="007D4570">
            <w:r>
              <w:t>To describe immune response to emerging variants of concern (VOC)</w:t>
            </w:r>
          </w:p>
        </w:tc>
      </w:tr>
      <w:tr w:rsidR="00A7518A" w14:paraId="3176E4F7" w14:textId="36F07A13" w:rsidTr="00A7518A">
        <w:tc>
          <w:tcPr>
            <w:tcW w:w="1460" w:type="dxa"/>
          </w:tcPr>
          <w:p w14:paraId="51800E11" w14:textId="0FF18FF7" w:rsidR="00A7518A" w:rsidRPr="008E052A" w:rsidRDefault="00A7518A" w:rsidP="008E052A">
            <w:pPr>
              <w:ind w:left="0"/>
              <w:rPr>
                <w:b/>
              </w:rPr>
            </w:pPr>
            <w:proofErr w:type="spellStart"/>
            <w:r w:rsidRPr="008E052A">
              <w:rPr>
                <w:b/>
              </w:rPr>
              <w:t>Estimands</w:t>
            </w:r>
            <w:proofErr w:type="spellEnd"/>
          </w:p>
        </w:tc>
        <w:tc>
          <w:tcPr>
            <w:tcW w:w="3570" w:type="dxa"/>
          </w:tcPr>
          <w:p w14:paraId="2E681842" w14:textId="47E09778" w:rsidR="00A7518A" w:rsidRDefault="00A7518A" w:rsidP="00623A78">
            <w:r>
              <w:t>In evaluable participants with or without serological or virological evidence of past SARS-CoV-2 infection from each vaccine group:</w:t>
            </w:r>
          </w:p>
          <w:p w14:paraId="0E1FAE43" w14:textId="6887CFC1" w:rsidR="00A7518A" w:rsidRDefault="00A7518A" w:rsidP="00623A78">
            <w:pPr>
              <w:pStyle w:val="ListBullet"/>
            </w:pPr>
            <w:r>
              <w:t xml:space="preserve">GMCs and/or GMTs at each time </w:t>
            </w:r>
            <w:proofErr w:type="gramStart"/>
            <w:r>
              <w:t>point;</w:t>
            </w:r>
            <w:proofErr w:type="gramEnd"/>
          </w:p>
          <w:p w14:paraId="38A87400" w14:textId="62A87A53" w:rsidR="00A7518A" w:rsidRPr="00A7518A" w:rsidRDefault="00A7518A" w:rsidP="00A7518A">
            <w:pPr>
              <w:pStyle w:val="ListBullet"/>
            </w:pPr>
            <w:r>
              <w:t>GMFRs from before Dose 1 to each subsequent time point after Dose 2 or Dose 3.</w:t>
            </w:r>
          </w:p>
        </w:tc>
        <w:tc>
          <w:tcPr>
            <w:tcW w:w="3454" w:type="dxa"/>
          </w:tcPr>
          <w:p w14:paraId="4287F96B" w14:textId="77777777" w:rsidR="00A7518A" w:rsidRDefault="00A7518A" w:rsidP="00623A78"/>
        </w:tc>
      </w:tr>
      <w:tr w:rsidR="00A7518A" w14:paraId="490D257B" w14:textId="75785635" w:rsidTr="00A7518A">
        <w:tc>
          <w:tcPr>
            <w:tcW w:w="1460" w:type="dxa"/>
          </w:tcPr>
          <w:p w14:paraId="393A9DB7" w14:textId="1CCEC7D8" w:rsidR="00A7518A" w:rsidRPr="008E052A" w:rsidRDefault="00A7518A" w:rsidP="008E052A">
            <w:pPr>
              <w:ind w:left="0"/>
              <w:rPr>
                <w:b/>
              </w:rPr>
            </w:pPr>
            <w:r w:rsidRPr="008E052A">
              <w:rPr>
                <w:b/>
              </w:rPr>
              <w:t>Endpoints</w:t>
            </w:r>
          </w:p>
        </w:tc>
        <w:tc>
          <w:tcPr>
            <w:tcW w:w="3570" w:type="dxa"/>
          </w:tcPr>
          <w:p w14:paraId="18C141FC" w14:textId="3ADC9EAF" w:rsidR="00A7518A" w:rsidRDefault="00A7518A" w:rsidP="007D4570">
            <w:r>
              <w:t>Full length S-binding IgG levels and/or SARS-CoV-2 neutralising titres</w:t>
            </w:r>
          </w:p>
        </w:tc>
        <w:tc>
          <w:tcPr>
            <w:tcW w:w="3454" w:type="dxa"/>
          </w:tcPr>
          <w:p w14:paraId="24903561" w14:textId="73CF88C5" w:rsidR="00A7518A" w:rsidRDefault="00A7518A" w:rsidP="007D4570">
            <w:r>
              <w:t>SARS-CoV-2 neutralising titres to VOCs.</w:t>
            </w:r>
          </w:p>
        </w:tc>
      </w:tr>
      <w:tr w:rsidR="00A7518A" w14:paraId="447A4EF6" w14:textId="4B5C831C" w:rsidTr="00B956EE">
        <w:tc>
          <w:tcPr>
            <w:tcW w:w="1460" w:type="dxa"/>
          </w:tcPr>
          <w:p w14:paraId="1863BDB9" w14:textId="6E86673E" w:rsidR="00A7518A" w:rsidRPr="008E052A" w:rsidRDefault="00A7518A" w:rsidP="008E052A">
            <w:pPr>
              <w:ind w:left="0"/>
              <w:rPr>
                <w:b/>
              </w:rPr>
            </w:pPr>
            <w:r w:rsidRPr="008E052A">
              <w:rPr>
                <w:b/>
              </w:rPr>
              <w:t>Comments</w:t>
            </w:r>
          </w:p>
        </w:tc>
        <w:tc>
          <w:tcPr>
            <w:tcW w:w="7024" w:type="dxa"/>
            <w:gridSpan w:val="2"/>
          </w:tcPr>
          <w:p w14:paraId="0A5CBF6C" w14:textId="77777777" w:rsidR="00A7518A" w:rsidRPr="00A7518A" w:rsidRDefault="00A7518A" w:rsidP="007D4570">
            <w:pPr>
              <w:rPr>
                <w:b/>
              </w:rPr>
            </w:pPr>
            <w:r w:rsidRPr="00A7518A">
              <w:rPr>
                <w:b/>
              </w:rPr>
              <w:t>Post-Dose 3 data for 5 to under 12 years of age group included in this clinical study report.</w:t>
            </w:r>
          </w:p>
          <w:p w14:paraId="371E9DD7" w14:textId="23284124" w:rsidR="00A7518A" w:rsidRDefault="00A7518A" w:rsidP="00A7518A">
            <w:r>
              <w:t xml:space="preserve">Other age groups to be reported </w:t>
            </w:r>
            <w:proofErr w:type="gramStart"/>
            <w:r>
              <w:t>at a later time</w:t>
            </w:r>
            <w:proofErr w:type="gramEnd"/>
            <w:r>
              <w:t>.</w:t>
            </w:r>
          </w:p>
        </w:tc>
      </w:tr>
    </w:tbl>
    <w:p w14:paraId="556A5383" w14:textId="79DA1388" w:rsidR="00A7518A" w:rsidRDefault="00A7518A" w:rsidP="00A7518A">
      <w:pPr>
        <w:pStyle w:val="TableDescription"/>
        <w:rPr>
          <w:b/>
          <w:bCs/>
        </w:rPr>
      </w:pPr>
      <w:bookmarkStart w:id="63" w:name="_Hlk109907644"/>
      <w:bookmarkStart w:id="64" w:name="_Hlk109033710"/>
      <w:r>
        <w:rPr>
          <w:lang w:eastAsia="ja-JP"/>
        </w:rPr>
        <w:t xml:space="preserve">Extract from </w:t>
      </w:r>
      <w:r w:rsidRPr="007D4570">
        <w:rPr>
          <w:lang w:eastAsia="ja-JP"/>
        </w:rPr>
        <w:t>Study C4591007</w:t>
      </w:r>
      <w:r>
        <w:rPr>
          <w:lang w:eastAsia="ja-JP"/>
        </w:rPr>
        <w:t xml:space="preserve"> interim clinical study report</w:t>
      </w:r>
    </w:p>
    <w:p w14:paraId="6B8BBE3D" w14:textId="779DE4C6" w:rsidR="007D4570" w:rsidRPr="007D4570" w:rsidRDefault="007D4570" w:rsidP="00A7518A">
      <w:pPr>
        <w:rPr>
          <w:lang w:eastAsia="ja-JP"/>
        </w:rPr>
      </w:pPr>
      <w:r w:rsidRPr="007D4570">
        <w:rPr>
          <w:lang w:eastAsia="ja-JP"/>
        </w:rPr>
        <w:t xml:space="preserve">Immunogenicity data include SARS-CoV-2 neutralising titres against the wild-type </w:t>
      </w:r>
      <w:r w:rsidR="00A7518A">
        <w:rPr>
          <w:lang w:eastAsia="ja-JP"/>
        </w:rPr>
        <w:t xml:space="preserve">virus </w:t>
      </w:r>
      <w:r w:rsidRPr="007D4570">
        <w:rPr>
          <w:lang w:eastAsia="ja-JP"/>
        </w:rPr>
        <w:t>strain</w:t>
      </w:r>
      <w:bookmarkEnd w:id="63"/>
      <w:r w:rsidRPr="007D4570">
        <w:rPr>
          <w:lang w:eastAsia="ja-JP"/>
        </w:rPr>
        <w:t xml:space="preserve"> and Omicron variant after a booster (third) dose of </w:t>
      </w:r>
      <w:r w:rsidR="00A7518A">
        <w:rPr>
          <w:lang w:eastAsia="ja-JP"/>
        </w:rPr>
        <w:t xml:space="preserve">Comirnaty (tozinameran) 10 µg, up to </w:t>
      </w:r>
      <w:proofErr w:type="gramStart"/>
      <w:r w:rsidR="00A7518A">
        <w:rPr>
          <w:lang w:eastAsia="ja-JP"/>
        </w:rPr>
        <w:t xml:space="preserve">one </w:t>
      </w:r>
      <w:r w:rsidRPr="007D4570">
        <w:rPr>
          <w:lang w:eastAsia="ja-JP"/>
        </w:rPr>
        <w:t>month</w:t>
      </w:r>
      <w:proofErr w:type="gramEnd"/>
      <w:r w:rsidRPr="007D4570">
        <w:rPr>
          <w:lang w:eastAsia="ja-JP"/>
        </w:rPr>
        <w:t xml:space="preserve"> post-Dose 3.</w:t>
      </w:r>
    </w:p>
    <w:bookmarkEnd w:id="64"/>
    <w:p w14:paraId="6B0E2890" w14:textId="24B4E8C4" w:rsidR="007D4570" w:rsidRPr="007D4570" w:rsidRDefault="00A7518A" w:rsidP="007D4570">
      <w:pPr>
        <w:rPr>
          <w:lang w:eastAsia="ja-JP"/>
        </w:rPr>
      </w:pPr>
      <w:r>
        <w:rPr>
          <w:lang w:eastAsia="ja-JP"/>
        </w:rPr>
        <w:lastRenderedPageBreak/>
        <w:t>As per the protocol amendment 6 (schedule of assessments)</w:t>
      </w:r>
      <w:r w:rsidR="007D4570" w:rsidRPr="007D4570">
        <w:rPr>
          <w:lang w:eastAsia="ja-JP"/>
        </w:rPr>
        <w:t xml:space="preserve"> serum sampling for immunogenicity was to be conducted at the following time points:</w:t>
      </w:r>
    </w:p>
    <w:p w14:paraId="193706A3" w14:textId="2B8827F7" w:rsidR="007D4570" w:rsidRPr="007D4570" w:rsidRDefault="00A7518A" w:rsidP="00A7518A">
      <w:pPr>
        <w:pStyle w:val="ListBullet"/>
        <w:rPr>
          <w:lang w:eastAsia="ja-JP"/>
        </w:rPr>
      </w:pPr>
      <w:r>
        <w:rPr>
          <w:lang w:eastAsia="ja-JP"/>
        </w:rPr>
        <w:t>b</w:t>
      </w:r>
      <w:r w:rsidR="007D4570" w:rsidRPr="007D4570">
        <w:rPr>
          <w:lang w:eastAsia="ja-JP"/>
        </w:rPr>
        <w:t>efore Dose 1 (Visit 1</w:t>
      </w:r>
      <w:proofErr w:type="gramStart"/>
      <w:r w:rsidR="007D4570" w:rsidRPr="007D4570">
        <w:rPr>
          <w:lang w:eastAsia="ja-JP"/>
        </w:rPr>
        <w:t>)</w:t>
      </w:r>
      <w:r>
        <w:rPr>
          <w:lang w:eastAsia="ja-JP"/>
        </w:rPr>
        <w:t>;</w:t>
      </w:r>
      <w:proofErr w:type="gramEnd"/>
    </w:p>
    <w:p w14:paraId="6F066B76" w14:textId="3B6E5DC4" w:rsidR="007D4570" w:rsidRPr="007D4570" w:rsidRDefault="00A7518A" w:rsidP="00A7518A">
      <w:pPr>
        <w:pStyle w:val="ListBullet"/>
        <w:rPr>
          <w:lang w:eastAsia="ja-JP"/>
        </w:rPr>
      </w:pPr>
      <w:r>
        <w:rPr>
          <w:lang w:eastAsia="ja-JP"/>
        </w:rPr>
        <w:t>one</w:t>
      </w:r>
      <w:r w:rsidR="007D4570" w:rsidRPr="007D4570">
        <w:rPr>
          <w:lang w:eastAsia="ja-JP"/>
        </w:rPr>
        <w:t xml:space="preserve"> month after Dose 2 (Visit 4</w:t>
      </w:r>
      <w:proofErr w:type="gramStart"/>
      <w:r w:rsidR="007D4570" w:rsidRPr="007D4570">
        <w:rPr>
          <w:lang w:eastAsia="ja-JP"/>
        </w:rPr>
        <w:t>)</w:t>
      </w:r>
      <w:r>
        <w:rPr>
          <w:lang w:eastAsia="ja-JP"/>
        </w:rPr>
        <w:t>;</w:t>
      </w:r>
      <w:proofErr w:type="gramEnd"/>
    </w:p>
    <w:p w14:paraId="64557C4F" w14:textId="01C7D854" w:rsidR="007D4570" w:rsidRPr="007D4570" w:rsidRDefault="00A7518A" w:rsidP="00A7518A">
      <w:pPr>
        <w:pStyle w:val="ListBullet"/>
        <w:rPr>
          <w:lang w:eastAsia="ja-JP"/>
        </w:rPr>
      </w:pPr>
      <w:r>
        <w:rPr>
          <w:lang w:eastAsia="ja-JP"/>
        </w:rPr>
        <w:t>b</w:t>
      </w:r>
      <w:r w:rsidR="007D4570" w:rsidRPr="007D4570">
        <w:rPr>
          <w:lang w:eastAsia="ja-JP"/>
        </w:rPr>
        <w:t>efore Dose 3 (Visit 5A)</w:t>
      </w:r>
      <w:r>
        <w:rPr>
          <w:lang w:eastAsia="ja-JP"/>
        </w:rPr>
        <w:t>; and</w:t>
      </w:r>
    </w:p>
    <w:p w14:paraId="3E8ED903" w14:textId="42FC6641" w:rsidR="007D4570" w:rsidRPr="007D4570" w:rsidRDefault="00A7518A" w:rsidP="00A7518A">
      <w:pPr>
        <w:pStyle w:val="ListBullet"/>
        <w:rPr>
          <w:lang w:eastAsia="ja-JP"/>
        </w:rPr>
      </w:pPr>
      <w:r>
        <w:rPr>
          <w:lang w:eastAsia="ja-JP"/>
        </w:rPr>
        <w:t>one</w:t>
      </w:r>
      <w:r w:rsidR="007D4570" w:rsidRPr="007D4570">
        <w:rPr>
          <w:lang w:eastAsia="ja-JP"/>
        </w:rPr>
        <w:t xml:space="preserve"> month after Dose 3 (Visit 5B)</w:t>
      </w:r>
      <w:r>
        <w:rPr>
          <w:lang w:eastAsia="ja-JP"/>
        </w:rPr>
        <w:t>.</w:t>
      </w:r>
    </w:p>
    <w:p w14:paraId="09281AAA" w14:textId="0C34E285" w:rsidR="007D4570" w:rsidRPr="007D4570" w:rsidRDefault="007D4570" w:rsidP="007D4570">
      <w:pPr>
        <w:rPr>
          <w:lang w:eastAsia="ja-JP"/>
        </w:rPr>
      </w:pPr>
      <w:r w:rsidRPr="007D4570">
        <w:rPr>
          <w:lang w:eastAsia="ja-JP"/>
        </w:rPr>
        <w:t xml:space="preserve">For immunogenicity analyses, </w:t>
      </w:r>
      <w:bookmarkStart w:id="65" w:name="_Hlk109907663"/>
      <w:r w:rsidRPr="007D4570">
        <w:rPr>
          <w:lang w:eastAsia="ja-JP"/>
        </w:rPr>
        <w:t>a validated SARS-CoV-2 neutralisation assay</w:t>
      </w:r>
      <w:bookmarkEnd w:id="65"/>
      <w:r w:rsidRPr="007D4570">
        <w:rPr>
          <w:lang w:eastAsia="ja-JP"/>
        </w:rPr>
        <w:t xml:space="preserve"> was used to detect the wild-type reference strain at the central laboratory. All samples to test for SARS-CoV-2 exposure (serum for </w:t>
      </w:r>
      <w:r w:rsidRPr="00A7518A">
        <w:rPr>
          <w:i/>
          <w:lang w:eastAsia="ja-JP"/>
        </w:rPr>
        <w:t>N</w:t>
      </w:r>
      <w:r w:rsidRPr="007D4570">
        <w:rPr>
          <w:lang w:eastAsia="ja-JP"/>
        </w:rPr>
        <w:t xml:space="preserve">-binding assay or nasal swab for </w:t>
      </w:r>
      <w:r w:rsidR="00A74DF2" w:rsidRPr="00A74DF2">
        <w:rPr>
          <w:lang w:eastAsia="ja-JP"/>
        </w:rPr>
        <w:t>nucleic acid amplification test</w:t>
      </w:r>
      <w:r w:rsidR="00A74DF2">
        <w:rPr>
          <w:lang w:eastAsia="ja-JP"/>
        </w:rPr>
        <w:t xml:space="preserve"> (</w:t>
      </w:r>
      <w:r w:rsidRPr="007D4570">
        <w:rPr>
          <w:lang w:eastAsia="ja-JP"/>
        </w:rPr>
        <w:t>NAAT</w:t>
      </w:r>
      <w:r w:rsidR="00A74DF2">
        <w:rPr>
          <w:lang w:eastAsia="ja-JP"/>
        </w:rPr>
        <w:t>)</w:t>
      </w:r>
      <w:r w:rsidRPr="007D4570">
        <w:rPr>
          <w:lang w:eastAsia="ja-JP"/>
        </w:rPr>
        <w:t>) were analysed at a central laboratory.</w:t>
      </w:r>
    </w:p>
    <w:p w14:paraId="5D3B73F9" w14:textId="77777777" w:rsidR="00A74DF2" w:rsidRDefault="007D4570" w:rsidP="007D4570">
      <w:r w:rsidRPr="007D4570">
        <w:rPr>
          <w:lang w:eastAsia="ja-JP"/>
        </w:rPr>
        <w:t xml:space="preserve">The fluorescent focus reduction neutralisation test (FFRNT) is a non-validated assay used to detect the Omicron variant in the Omicron neutralisation subset. These analyses were conducted at the University of Texas Medical Branch. </w:t>
      </w:r>
      <w:r w:rsidR="00A74DF2">
        <w:t>The sponsor stated that:</w:t>
      </w:r>
    </w:p>
    <w:p w14:paraId="6293A5AD" w14:textId="3C233E6F" w:rsidR="007D4570" w:rsidRPr="007D4570" w:rsidRDefault="007D4570" w:rsidP="00682BA0">
      <w:pPr>
        <w:ind w:left="720"/>
        <w:rPr>
          <w:lang w:eastAsia="ja-JP"/>
        </w:rPr>
      </w:pPr>
      <w:r w:rsidRPr="007D4570">
        <w:rPr>
          <w:i/>
          <w:iCs/>
        </w:rPr>
        <w:t xml:space="preserve">The FFRNT is a non-validated assay </w:t>
      </w:r>
      <w:proofErr w:type="gramStart"/>
      <w:r w:rsidRPr="007D4570">
        <w:rPr>
          <w:i/>
          <w:iCs/>
        </w:rPr>
        <w:t>similar to</w:t>
      </w:r>
      <w:proofErr w:type="gramEnd"/>
      <w:r w:rsidRPr="007D4570">
        <w:rPr>
          <w:i/>
          <w:iCs/>
        </w:rPr>
        <w:t xml:space="preserve"> the 50% plaque-reduction neutralisation test (PRNT) assay which has been used to generate confirmatory data against the reference strain and other variants. The FFRNT assay has higher throughput and correlates well with the PRNT assay. All samples were tested at the same time to ensure comparability of results.</w:t>
      </w:r>
    </w:p>
    <w:p w14:paraId="5547C759" w14:textId="54856A8D" w:rsidR="007D4570" w:rsidRPr="007D4570" w:rsidRDefault="007D4570" w:rsidP="007D4570">
      <w:bookmarkStart w:id="66" w:name="_Hlk109035473"/>
      <w:r w:rsidRPr="007D4570">
        <w:t xml:space="preserve">The immunogenicity and safety </w:t>
      </w:r>
      <w:proofErr w:type="spellStart"/>
      <w:r w:rsidRPr="007D4570">
        <w:t>estimands</w:t>
      </w:r>
      <w:proofErr w:type="spellEnd"/>
      <w:r w:rsidRPr="007D4570">
        <w:t xml:space="preserve"> and endpoints used in the study were stated to be consistent with those used in </w:t>
      </w:r>
      <w:r w:rsidR="00A74DF2">
        <w:t>Comirnaty (tozinameran) vaccine</w:t>
      </w:r>
      <w:r w:rsidRPr="007D4570">
        <w:t xml:space="preserve"> studies (</w:t>
      </w:r>
      <w:r w:rsidR="00A74DF2">
        <w:t>Studies </w:t>
      </w:r>
      <w:r w:rsidRPr="007D4570">
        <w:t xml:space="preserve">C4591001, </w:t>
      </w:r>
      <w:r w:rsidR="00A74DF2">
        <w:t xml:space="preserve">and </w:t>
      </w:r>
      <w:r w:rsidRPr="007D4570">
        <w:t>C4591007).</w:t>
      </w:r>
    </w:p>
    <w:p w14:paraId="3DB77195" w14:textId="7C261401" w:rsidR="007D4570" w:rsidRDefault="00A74DF2" w:rsidP="007D4570">
      <w:r>
        <w:t>The s</w:t>
      </w:r>
      <w:r w:rsidR="007D4570" w:rsidRPr="007D4570">
        <w:t>ponsor clarified serum sampl</w:t>
      </w:r>
      <w:r>
        <w:t xml:space="preserve">ing for immunogenicity at the </w:t>
      </w:r>
      <w:proofErr w:type="gramStart"/>
      <w:r>
        <w:t xml:space="preserve">one </w:t>
      </w:r>
      <w:r w:rsidR="007D4570" w:rsidRPr="007D4570">
        <w:t>month</w:t>
      </w:r>
      <w:proofErr w:type="gramEnd"/>
      <w:r w:rsidR="007D4570" w:rsidRPr="007D4570">
        <w:t xml:space="preserve"> post-Dose 2 (Visit 4) time point was only planned for a certain number of participants as per protocol.</w:t>
      </w:r>
    </w:p>
    <w:p w14:paraId="5BDA59A1" w14:textId="2EBDE797" w:rsidR="00100607" w:rsidRPr="007D4570" w:rsidRDefault="00100607" w:rsidP="00100607">
      <w:pPr>
        <w:pStyle w:val="Heading5"/>
      </w:pPr>
      <w:r>
        <w:t>Study populations</w:t>
      </w:r>
    </w:p>
    <w:bookmarkEnd w:id="66"/>
    <w:p w14:paraId="418D2936" w14:textId="77777777" w:rsidR="007D4570" w:rsidRPr="007D4570" w:rsidRDefault="007D4570" w:rsidP="007D4570">
      <w:r w:rsidRPr="007D4570">
        <w:t xml:space="preserve">Immunogenicity analyses were conducted for an immunogenicity set of participants based on all-available and evaluable immunogenicity populations. The immunogenicity set was comprised of: </w:t>
      </w:r>
    </w:p>
    <w:p w14:paraId="5F72CC6A" w14:textId="46B653D1" w:rsidR="007D4570" w:rsidRPr="007D4570" w:rsidRDefault="00A74DF2" w:rsidP="00A74DF2">
      <w:pPr>
        <w:pStyle w:val="ListBullet"/>
        <w:rPr>
          <w:lang w:eastAsia="ja-JP"/>
        </w:rPr>
      </w:pPr>
      <w:r w:rsidRPr="00A74DF2">
        <w:rPr>
          <w:bCs/>
          <w:i/>
          <w:lang w:eastAsia="ja-JP"/>
        </w:rPr>
        <w:t>three d</w:t>
      </w:r>
      <w:r w:rsidR="007D4570" w:rsidRPr="00A74DF2">
        <w:rPr>
          <w:bCs/>
          <w:i/>
          <w:lang w:eastAsia="ja-JP"/>
        </w:rPr>
        <w:t>ose set</w:t>
      </w:r>
      <w:r w:rsidR="007D4570" w:rsidRPr="007D4570">
        <w:rPr>
          <w:lang w:eastAsia="ja-JP"/>
        </w:rPr>
        <w:t>: included up to 130 participants who rece</w:t>
      </w:r>
      <w:r>
        <w:rPr>
          <w:lang w:eastAsia="ja-JP"/>
        </w:rPr>
        <w:t xml:space="preserve">ived Dose 3 and completed the </w:t>
      </w:r>
      <w:proofErr w:type="gramStart"/>
      <w:r>
        <w:rPr>
          <w:lang w:eastAsia="ja-JP"/>
        </w:rPr>
        <w:t xml:space="preserve">one </w:t>
      </w:r>
      <w:r w:rsidR="007D4570" w:rsidRPr="007D4570">
        <w:rPr>
          <w:lang w:eastAsia="ja-JP"/>
        </w:rPr>
        <w:t>month</w:t>
      </w:r>
      <w:proofErr w:type="gramEnd"/>
      <w:r w:rsidR="007D4570" w:rsidRPr="007D4570">
        <w:rPr>
          <w:lang w:eastAsia="ja-JP"/>
        </w:rPr>
        <w:t xml:space="preserve"> post-Dose 3 visit prior to 15 March 2022. Up to 30 participants within this set </w:t>
      </w:r>
      <w:bookmarkStart w:id="67" w:name="_Hlk109906367"/>
      <w:r w:rsidR="007D4570" w:rsidRPr="007D4570">
        <w:rPr>
          <w:lang w:eastAsia="ja-JP"/>
        </w:rPr>
        <w:t>h</w:t>
      </w:r>
      <w:r>
        <w:rPr>
          <w:lang w:eastAsia="ja-JP"/>
        </w:rPr>
        <w:t xml:space="preserve">ad blood sample collection at </w:t>
      </w:r>
      <w:proofErr w:type="gramStart"/>
      <w:r>
        <w:rPr>
          <w:lang w:eastAsia="ja-JP"/>
        </w:rPr>
        <w:t xml:space="preserve">one </w:t>
      </w:r>
      <w:r w:rsidR="007D4570" w:rsidRPr="007D4570">
        <w:rPr>
          <w:lang w:eastAsia="ja-JP"/>
        </w:rPr>
        <w:t>month</w:t>
      </w:r>
      <w:proofErr w:type="gramEnd"/>
      <w:r w:rsidR="007D4570" w:rsidRPr="007D4570">
        <w:rPr>
          <w:lang w:eastAsia="ja-JP"/>
        </w:rPr>
        <w:t xml:space="preserve"> post-Dose 2</w:t>
      </w:r>
      <w:bookmarkEnd w:id="67"/>
      <w:r w:rsidR="007D4570" w:rsidRPr="007D4570">
        <w:rPr>
          <w:lang w:eastAsia="ja-JP"/>
        </w:rPr>
        <w:t xml:space="preserve">, with sera from these participants also analysed for Omicron </w:t>
      </w:r>
      <w:r>
        <w:rPr>
          <w:lang w:eastAsia="ja-JP"/>
        </w:rPr>
        <w:t xml:space="preserve">variant </w:t>
      </w:r>
      <w:r w:rsidR="007D4570" w:rsidRPr="007D4570">
        <w:rPr>
          <w:lang w:eastAsia="ja-JP"/>
        </w:rPr>
        <w:t xml:space="preserve">neutralisation. </w:t>
      </w:r>
    </w:p>
    <w:p w14:paraId="5218E981" w14:textId="778107BB" w:rsidR="007D4570" w:rsidRPr="007D4570" w:rsidRDefault="00A74DF2" w:rsidP="00A74DF2">
      <w:pPr>
        <w:pStyle w:val="ListBullet"/>
        <w:rPr>
          <w:lang w:eastAsia="ja-JP"/>
        </w:rPr>
      </w:pPr>
      <w:r>
        <w:rPr>
          <w:bCs/>
          <w:i/>
          <w:lang w:eastAsia="ja-JP"/>
        </w:rPr>
        <w:t xml:space="preserve">two dose set: </w:t>
      </w:r>
      <w:r w:rsidR="007D4570" w:rsidRPr="007D4570">
        <w:rPr>
          <w:lang w:eastAsia="ja-JP"/>
        </w:rPr>
        <w:t xml:space="preserve">included up to 70 </w:t>
      </w:r>
      <w:bookmarkStart w:id="68" w:name="_Hlk109906538"/>
      <w:r w:rsidR="007D4570" w:rsidRPr="007D4570">
        <w:rPr>
          <w:lang w:eastAsia="ja-JP"/>
        </w:rPr>
        <w:t xml:space="preserve">additional participants </w:t>
      </w:r>
      <w:bookmarkEnd w:id="68"/>
      <w:r w:rsidR="007D4570" w:rsidRPr="007D4570">
        <w:rPr>
          <w:lang w:eastAsia="ja-JP"/>
        </w:rPr>
        <w:t>randomly selected from the previously analysed Dose 2 evaluable immunogenicity population who were without evidence of prior infecti</w:t>
      </w:r>
      <w:r>
        <w:rPr>
          <w:lang w:eastAsia="ja-JP"/>
        </w:rPr>
        <w:t xml:space="preserve">on up to </w:t>
      </w:r>
      <w:proofErr w:type="gramStart"/>
      <w:r>
        <w:rPr>
          <w:lang w:eastAsia="ja-JP"/>
        </w:rPr>
        <w:t>one month</w:t>
      </w:r>
      <w:proofErr w:type="gramEnd"/>
      <w:r>
        <w:rPr>
          <w:lang w:eastAsia="ja-JP"/>
        </w:rPr>
        <w:t xml:space="preserve"> post-Dose 2 (that is, included in the two</w:t>
      </w:r>
      <w:r>
        <w:rPr>
          <w:lang w:eastAsia="ja-JP"/>
        </w:rPr>
        <w:noBreakHyphen/>
      </w:r>
      <w:r w:rsidR="007D4570" w:rsidRPr="007D4570">
        <w:rPr>
          <w:lang w:eastAsia="ja-JP"/>
        </w:rPr>
        <w:t xml:space="preserve">dose immunobridging analysis). </w:t>
      </w:r>
    </w:p>
    <w:p w14:paraId="20C2E264" w14:textId="1C9B9F80" w:rsidR="007D4570" w:rsidRPr="007D4570" w:rsidRDefault="007D4570" w:rsidP="007D4570">
      <w:r w:rsidRPr="007D4570">
        <w:t>The Dose 2 and Dose 3 evaluable immunogenicity populations included participants who received all doses of vaccine at the same dose level as randomised (</w:t>
      </w:r>
      <w:r w:rsidR="00A74DF2">
        <w:t>that is, either 2 or 3 </w:t>
      </w:r>
      <w:r w:rsidRPr="007D4570">
        <w:t>doses) within the protocol specified window for each dose, had ≥ 1 valid and determinate i</w:t>
      </w:r>
      <w:r w:rsidR="00A74DF2">
        <w:t>mmunogenicity result within 28 to</w:t>
      </w:r>
      <w:r w:rsidRPr="007D4570">
        <w:t xml:space="preserve"> 42 days after vaccination, and did not have any important protocol deviations impacting evaluability.</w:t>
      </w:r>
    </w:p>
    <w:p w14:paraId="6F73D8B6" w14:textId="77777777" w:rsidR="007D4570" w:rsidRPr="007A0D27" w:rsidRDefault="007D4570" w:rsidP="007D4570">
      <w:r w:rsidRPr="007A0D27">
        <w:t>Immunogenicity results were reported as:</w:t>
      </w:r>
    </w:p>
    <w:p w14:paraId="4A4DBBC6" w14:textId="63D690D2" w:rsidR="007D4570" w:rsidRPr="007A0D27" w:rsidRDefault="00A74DF2" w:rsidP="00A74DF2">
      <w:pPr>
        <w:pStyle w:val="ListBullet"/>
        <w:rPr>
          <w:lang w:eastAsia="ja-JP"/>
        </w:rPr>
      </w:pPr>
      <w:r w:rsidRPr="007A0D27">
        <w:rPr>
          <w:lang w:eastAsia="ja-JP"/>
        </w:rPr>
        <w:t>SARS-CoV-2 50% neutralis</w:t>
      </w:r>
      <w:r w:rsidR="007D4570" w:rsidRPr="007A0D27">
        <w:rPr>
          <w:lang w:eastAsia="ja-JP"/>
        </w:rPr>
        <w:t>i</w:t>
      </w:r>
      <w:r w:rsidR="007A0D27" w:rsidRPr="007A0D27">
        <w:rPr>
          <w:lang w:eastAsia="ja-JP"/>
        </w:rPr>
        <w:t>ng geometric mean tit</w:t>
      </w:r>
      <w:r w:rsidRPr="007A0D27">
        <w:rPr>
          <w:lang w:eastAsia="ja-JP"/>
        </w:rPr>
        <w:t>r</w:t>
      </w:r>
      <w:r w:rsidR="007A0D27" w:rsidRPr="007A0D27">
        <w:rPr>
          <w:lang w:eastAsia="ja-JP"/>
        </w:rPr>
        <w:t>e</w:t>
      </w:r>
      <w:r w:rsidRPr="007A0D27">
        <w:rPr>
          <w:lang w:eastAsia="ja-JP"/>
        </w:rPr>
        <w:t>s (GMTs</w:t>
      </w:r>
      <w:proofErr w:type="gramStart"/>
      <w:r w:rsidRPr="007A0D27">
        <w:rPr>
          <w:lang w:eastAsia="ja-JP"/>
        </w:rPr>
        <w:t>);</w:t>
      </w:r>
      <w:proofErr w:type="gramEnd"/>
    </w:p>
    <w:p w14:paraId="232965EF" w14:textId="1F874E36" w:rsidR="007D4570" w:rsidRPr="007A0D27" w:rsidRDefault="00A74DF2" w:rsidP="00A74DF2">
      <w:pPr>
        <w:pStyle w:val="ListBullet"/>
        <w:rPr>
          <w:lang w:eastAsia="ja-JP"/>
        </w:rPr>
      </w:pPr>
      <w:r w:rsidRPr="007A0D27">
        <w:rPr>
          <w:lang w:eastAsia="ja-JP"/>
        </w:rPr>
        <w:t>g</w:t>
      </w:r>
      <w:r w:rsidR="007D4570" w:rsidRPr="007A0D27">
        <w:rPr>
          <w:lang w:eastAsia="ja-JP"/>
        </w:rPr>
        <w:t>eometric mean ratio (</w:t>
      </w:r>
      <w:r w:rsidRPr="007A0D27">
        <w:rPr>
          <w:lang w:eastAsia="ja-JP"/>
        </w:rPr>
        <w:t xml:space="preserve">GMR) of SARS-CoV-2 50% neutralising </w:t>
      </w:r>
      <w:proofErr w:type="gramStart"/>
      <w:r w:rsidRPr="007A0D27">
        <w:rPr>
          <w:lang w:eastAsia="ja-JP"/>
        </w:rPr>
        <w:t>tit</w:t>
      </w:r>
      <w:r w:rsidR="007D4570" w:rsidRPr="007A0D27">
        <w:rPr>
          <w:lang w:eastAsia="ja-JP"/>
        </w:rPr>
        <w:t>r</w:t>
      </w:r>
      <w:r w:rsidRPr="007A0D27">
        <w:rPr>
          <w:lang w:eastAsia="ja-JP"/>
        </w:rPr>
        <w:t>es;</w:t>
      </w:r>
      <w:proofErr w:type="gramEnd"/>
    </w:p>
    <w:p w14:paraId="063854D9" w14:textId="37C71E68" w:rsidR="007D4570" w:rsidRPr="007A0D27" w:rsidRDefault="00A74DF2" w:rsidP="00A74DF2">
      <w:pPr>
        <w:pStyle w:val="ListBullet"/>
        <w:rPr>
          <w:lang w:eastAsia="ja-JP"/>
        </w:rPr>
      </w:pPr>
      <w:r w:rsidRPr="007A0D27">
        <w:rPr>
          <w:lang w:eastAsia="ja-JP"/>
        </w:rPr>
        <w:t>p</w:t>
      </w:r>
      <w:r w:rsidR="007D4570" w:rsidRPr="007A0D27">
        <w:rPr>
          <w:lang w:eastAsia="ja-JP"/>
        </w:rPr>
        <w:t>ercentages/difference in percentages of partici</w:t>
      </w:r>
      <w:r w:rsidRPr="007A0D27">
        <w:rPr>
          <w:lang w:eastAsia="ja-JP"/>
        </w:rPr>
        <w:t>pants who achieved seroresponse; and</w:t>
      </w:r>
    </w:p>
    <w:p w14:paraId="3A1BC633" w14:textId="1035075A" w:rsidR="007D4570" w:rsidRPr="007A0D27" w:rsidRDefault="00A74DF2" w:rsidP="00A74DF2">
      <w:pPr>
        <w:pStyle w:val="ListBullet"/>
        <w:rPr>
          <w:lang w:eastAsia="ja-JP"/>
        </w:rPr>
      </w:pPr>
      <w:r w:rsidRPr="007A0D27">
        <w:rPr>
          <w:lang w:eastAsia="ja-JP"/>
        </w:rPr>
        <w:lastRenderedPageBreak/>
        <w:t>g</w:t>
      </w:r>
      <w:r w:rsidR="007D4570" w:rsidRPr="007A0D27">
        <w:rPr>
          <w:lang w:eastAsia="ja-JP"/>
        </w:rPr>
        <w:t>eometric mean-fold rises (GMFRs) of SARS-C</w:t>
      </w:r>
      <w:r w:rsidRPr="007A0D27">
        <w:rPr>
          <w:lang w:eastAsia="ja-JP"/>
        </w:rPr>
        <w:t>oV-2 50% neutralising tit</w:t>
      </w:r>
      <w:r w:rsidR="007D4570" w:rsidRPr="007A0D27">
        <w:rPr>
          <w:lang w:eastAsia="ja-JP"/>
        </w:rPr>
        <w:t>r</w:t>
      </w:r>
      <w:r w:rsidRPr="007A0D27">
        <w:rPr>
          <w:lang w:eastAsia="ja-JP"/>
        </w:rPr>
        <w:t>e</w:t>
      </w:r>
      <w:r w:rsidR="007D4570" w:rsidRPr="007A0D27">
        <w:rPr>
          <w:lang w:eastAsia="ja-JP"/>
        </w:rPr>
        <w:t>s</w:t>
      </w:r>
      <w:r w:rsidRPr="007A0D27">
        <w:rPr>
          <w:lang w:eastAsia="ja-JP"/>
        </w:rPr>
        <w:t>.</w:t>
      </w:r>
      <w:r w:rsidR="007D4570" w:rsidRPr="007A0D27">
        <w:rPr>
          <w:lang w:eastAsia="ja-JP"/>
        </w:rPr>
        <w:t xml:space="preserve"> </w:t>
      </w:r>
    </w:p>
    <w:p w14:paraId="568F634D" w14:textId="1F51F477" w:rsidR="007D4570" w:rsidRPr="007A0D27" w:rsidRDefault="007D4570" w:rsidP="007D4570">
      <w:r w:rsidRPr="007A0D27">
        <w:t xml:space="preserve">The safety population included all participants who received a third dose of </w:t>
      </w:r>
      <w:r w:rsidR="00682BA0" w:rsidRPr="007A0D27">
        <w:t xml:space="preserve">Comirnaty (tozinameran) </w:t>
      </w:r>
      <w:r w:rsidR="00A74DF2" w:rsidRPr="007A0D27">
        <w:t>10 µg by 22</w:t>
      </w:r>
      <w:r w:rsidRPr="007A0D27">
        <w:t xml:space="preserve"> February 2022.</w:t>
      </w:r>
    </w:p>
    <w:p w14:paraId="55E15378" w14:textId="77777777" w:rsidR="007D4570" w:rsidRPr="007D4570" w:rsidRDefault="007D4570" w:rsidP="00100607">
      <w:pPr>
        <w:pStyle w:val="Heading5"/>
      </w:pPr>
      <w:r w:rsidRPr="007D4570">
        <w:t>Statistical methods</w:t>
      </w:r>
    </w:p>
    <w:p w14:paraId="404BFBE9" w14:textId="1D77A4FE" w:rsidR="007D4570" w:rsidRPr="007D4570" w:rsidRDefault="007D4570" w:rsidP="007D4570">
      <w:bookmarkStart w:id="69" w:name="_Hlk109907541"/>
      <w:r w:rsidRPr="007D4570">
        <w:t>Immunogenicity analyses were based on immune responses at each time point with descriptive comp</w:t>
      </w:r>
      <w:r w:rsidR="00A74DF2">
        <w:t xml:space="preserve">arison of immune responses at </w:t>
      </w:r>
      <w:proofErr w:type="gramStart"/>
      <w:r w:rsidR="00A74DF2">
        <w:t xml:space="preserve">one </w:t>
      </w:r>
      <w:r w:rsidRPr="007D4570">
        <w:t>month</w:t>
      </w:r>
      <w:proofErr w:type="gramEnd"/>
      <w:r w:rsidRPr="007D4570">
        <w:t xml:space="preserve"> post-Dose 3 comp</w:t>
      </w:r>
      <w:r w:rsidR="00A74DF2">
        <w:t xml:space="preserve">ared with immune responses at one </w:t>
      </w:r>
      <w:r w:rsidRPr="007D4570">
        <w:t>month post-Dose 2</w:t>
      </w:r>
      <w:bookmarkEnd w:id="69"/>
      <w:r w:rsidRPr="007D4570">
        <w:t xml:space="preserve">. </w:t>
      </w:r>
    </w:p>
    <w:p w14:paraId="3E0BE0E7" w14:textId="0AB2BB9D" w:rsidR="007D4570" w:rsidRPr="007D4570" w:rsidRDefault="007D4570" w:rsidP="007D4570">
      <w:r w:rsidRPr="007D4570">
        <w:t>Results were reported as SARS-CoV-2 50% neutralising GMTs, the GMR of the two time points, percentages of children with seroresponse, and as the difference in percentages of children with seroresponse between t</w:t>
      </w:r>
      <w:r w:rsidR="00A74DF2">
        <w:t>he two time points, as follows:</w:t>
      </w:r>
    </w:p>
    <w:p w14:paraId="6E5B02DE" w14:textId="5E352E68" w:rsidR="00A74DF2" w:rsidRDefault="00A74DF2" w:rsidP="007D4570">
      <w:pPr>
        <w:pStyle w:val="ListBullet"/>
      </w:pPr>
      <w:r>
        <w:rPr>
          <w:i/>
        </w:rPr>
        <w:t>G</w:t>
      </w:r>
      <w:r w:rsidRPr="00A74DF2">
        <w:rPr>
          <w:i/>
        </w:rPr>
        <w:t>eometric mean titres (GMTs):</w:t>
      </w:r>
      <w:r w:rsidR="007D4570" w:rsidRPr="007D4570">
        <w:t xml:space="preserve"> 2-sided 95% confidence intervals (CI) for GMTs were obtained by taking log transforms of assay results, calculating the 95% CI with reference to Student’s t-distribution, then exponentiating the confidence limits. </w:t>
      </w:r>
      <w:r w:rsidRPr="007D4570">
        <w:t>Titres</w:t>
      </w:r>
      <w:r w:rsidR="007D4570" w:rsidRPr="007D4570">
        <w:t xml:space="preserve"> bel</w:t>
      </w:r>
      <w:r>
        <w:t xml:space="preserve">ow </w:t>
      </w:r>
      <w:r w:rsidR="00890F0C">
        <w:t>the lower limit of quantification (</w:t>
      </w:r>
      <w:r>
        <w:t>LLOQ</w:t>
      </w:r>
      <w:r w:rsidR="00890F0C">
        <w:t>)</w:t>
      </w:r>
      <w:r>
        <w:t xml:space="preserve"> were set to 0.5 × LLOQ.</w:t>
      </w:r>
    </w:p>
    <w:p w14:paraId="2146B05A" w14:textId="3CB22715" w:rsidR="007D4570" w:rsidRPr="007D4570" w:rsidRDefault="007D4570" w:rsidP="007D4570">
      <w:pPr>
        <w:pStyle w:val="ListBullet"/>
      </w:pPr>
      <w:r w:rsidRPr="00A74DF2">
        <w:rPr>
          <w:i/>
        </w:rPr>
        <w:t>Seroresponse</w:t>
      </w:r>
      <w:r w:rsidRPr="007D4570">
        <w:t>: Defined as achieving a ≥ 4-fold rise in SARS-CoV-2 neutralising titres from baseline (before Dose 1). If the baseline measurement was below the LLOQ, the post-vaccination measure of ≥ 4 × LLOQ was consi</w:t>
      </w:r>
      <w:r w:rsidR="00A74DF2">
        <w:t>dered seroresponse. The exact 2</w:t>
      </w:r>
      <w:r w:rsidR="00A74DF2">
        <w:noBreakHyphen/>
      </w:r>
      <w:r w:rsidRPr="007D4570">
        <w:t xml:space="preserve">sided 95% CI for percentage of participants with seroresponse was computed using the F distribution (Clopper-Pearson). </w:t>
      </w:r>
    </w:p>
    <w:p w14:paraId="2FE82ABD" w14:textId="77777777" w:rsidR="007D4570" w:rsidRPr="007D4570" w:rsidRDefault="007D4570" w:rsidP="007D4570">
      <w:pPr>
        <w:rPr>
          <w:i/>
          <w:iCs/>
        </w:rPr>
      </w:pPr>
      <w:r w:rsidRPr="00A74DF2">
        <w:rPr>
          <w:i/>
          <w:iCs/>
        </w:rPr>
        <w:t>Comparison using two different groups of participants</w:t>
      </w:r>
      <w:r w:rsidRPr="007D4570">
        <w:rPr>
          <w:i/>
          <w:iCs/>
        </w:rPr>
        <w:t xml:space="preserve">: </w:t>
      </w:r>
    </w:p>
    <w:p w14:paraId="78BC576B" w14:textId="7F312CD4" w:rsidR="007D4570" w:rsidRPr="007D4570" w:rsidRDefault="007D4570" w:rsidP="007D4570">
      <w:r w:rsidRPr="007D4570">
        <w:t>Compar</w:t>
      </w:r>
      <w:r w:rsidR="00A74DF2">
        <w:t xml:space="preserve">isons were made using data at </w:t>
      </w:r>
      <w:proofErr w:type="gramStart"/>
      <w:r w:rsidR="00A74DF2">
        <w:t xml:space="preserve">one </w:t>
      </w:r>
      <w:r w:rsidRPr="007D4570">
        <w:t>month</w:t>
      </w:r>
      <w:proofErr w:type="gramEnd"/>
      <w:r w:rsidRPr="007D4570">
        <w:t xml:space="preserve"> post-Dos</w:t>
      </w:r>
      <w:r w:rsidR="00A74DF2">
        <w:t>e 3 (only participants in the 3</w:t>
      </w:r>
      <w:r w:rsidR="00A74DF2">
        <w:noBreakHyphen/>
      </w:r>
      <w:r w:rsidRPr="007D4570">
        <w:t>dose set contributed data to this time poi</w:t>
      </w:r>
      <w:r w:rsidR="00A74DF2">
        <w:t>nt) versus all available data at one month post</w:t>
      </w:r>
      <w:r w:rsidR="00A74DF2">
        <w:noBreakHyphen/>
      </w:r>
      <w:r w:rsidRPr="007D4570">
        <w:t>Dose 2 (all participants in the 2-dose set and the approximately 30 participants in the 3-dose set who h</w:t>
      </w:r>
      <w:r w:rsidR="00A74DF2">
        <w:t xml:space="preserve">ad blood sample collection at one </w:t>
      </w:r>
      <w:r w:rsidRPr="007D4570">
        <w:t xml:space="preserve">month post-Dose 2 contributed data to this time point). </w:t>
      </w:r>
    </w:p>
    <w:p w14:paraId="6917DC47" w14:textId="77777777" w:rsidR="00A74DF2" w:rsidRDefault="00A74DF2" w:rsidP="007D4570">
      <w:pPr>
        <w:pStyle w:val="ListBullet"/>
      </w:pPr>
      <w:r>
        <w:rPr>
          <w:i/>
        </w:rPr>
        <w:t>Geometric mean ratio (</w:t>
      </w:r>
      <w:r w:rsidR="007D4570" w:rsidRPr="00A74DF2">
        <w:rPr>
          <w:i/>
        </w:rPr>
        <w:t>GMR</w:t>
      </w:r>
      <w:r>
        <w:rPr>
          <w:i/>
        </w:rPr>
        <w:t>)</w:t>
      </w:r>
      <w:r w:rsidR="007D4570" w:rsidRPr="007D4570">
        <w:t>: Calculated as the mean of the difference of logarithmically transformed titres between the two groups of participants at the two time points and exponentiating the mean. The associated 2-sided 95% CIs were obtained by constructing CIs using Student’s t-distribution for the mean difference on the logarithm scale and expone</w:t>
      </w:r>
      <w:r>
        <w:t>ntiating the confidence limits.</w:t>
      </w:r>
    </w:p>
    <w:p w14:paraId="04246934" w14:textId="03E7A7AA" w:rsidR="007D4570" w:rsidRPr="007D4570" w:rsidRDefault="007D4570" w:rsidP="007D4570">
      <w:pPr>
        <w:pStyle w:val="ListBullet"/>
      </w:pPr>
      <w:r w:rsidRPr="00A74DF2">
        <w:rPr>
          <w:i/>
        </w:rPr>
        <w:t>Difference in seroresponse rate</w:t>
      </w:r>
      <w:r w:rsidRPr="007D4570">
        <w:t xml:space="preserve">: The difference in percentages of participants who achieved seroresponse and the associated 2-sided 95% CI calculated using the Miettinen and </w:t>
      </w:r>
      <w:proofErr w:type="spellStart"/>
      <w:r w:rsidRPr="007D4570">
        <w:t>Nurminen</w:t>
      </w:r>
      <w:proofErr w:type="spellEnd"/>
      <w:r w:rsidRPr="007D4570">
        <w:t xml:space="preserve"> method were provided. </w:t>
      </w:r>
    </w:p>
    <w:p w14:paraId="03E4A578" w14:textId="77777777" w:rsidR="007D4570" w:rsidRPr="00A74DF2" w:rsidRDefault="007D4570" w:rsidP="007D4570">
      <w:r w:rsidRPr="00A74DF2">
        <w:rPr>
          <w:i/>
          <w:iCs/>
        </w:rPr>
        <w:t>Comparison within same set of participants (3-dose set with assay results at both time points):</w:t>
      </w:r>
      <w:r w:rsidRPr="00A74DF2">
        <w:t xml:space="preserve"> </w:t>
      </w:r>
    </w:p>
    <w:p w14:paraId="1DB5AB2B" w14:textId="77777777" w:rsidR="00F647BA" w:rsidRDefault="00A74DF2" w:rsidP="007D4570">
      <w:pPr>
        <w:pStyle w:val="ListBullet"/>
      </w:pPr>
      <w:r w:rsidRPr="00A74DF2">
        <w:rPr>
          <w:i/>
        </w:rPr>
        <w:t>Geometric mean ratio (GMR</w:t>
      </w:r>
      <w:r>
        <w:rPr>
          <w:u w:val="single"/>
        </w:rPr>
        <w:t>)</w:t>
      </w:r>
      <w:r w:rsidR="007D4570" w:rsidRPr="007D4570">
        <w:t>: Calculated as the mean of the difference of logarithmically transformed titres at the two time points and exponentiating the mean. The associated 2-sided 95% CIs were obta</w:t>
      </w:r>
      <w:r w:rsidR="00F647BA">
        <w:t>ined by constructing CIs using one</w:t>
      </w:r>
      <w:r w:rsidR="007D4570" w:rsidRPr="007D4570">
        <w:t>-sample Student’s t-distribution for the mean difference on the logarithm scale and exponentiating the confidence limits.</w:t>
      </w:r>
    </w:p>
    <w:p w14:paraId="79CACC9D" w14:textId="04928904" w:rsidR="007D4570" w:rsidRPr="007D4570" w:rsidRDefault="007D4570" w:rsidP="007D4570">
      <w:pPr>
        <w:pStyle w:val="ListBullet"/>
      </w:pPr>
      <w:r w:rsidRPr="00F647BA">
        <w:rPr>
          <w:i/>
        </w:rPr>
        <w:t>Difference in seroresponse rate</w:t>
      </w:r>
      <w:r w:rsidRPr="00F647BA">
        <w:t>:</w:t>
      </w:r>
      <w:r w:rsidRPr="007D4570">
        <w:t xml:space="preserve"> The 2-sided 95% CI for the difference in percentages of participants who achieved seroresponse was calculated using an adjusted Wald interval as described by </w:t>
      </w:r>
      <w:proofErr w:type="spellStart"/>
      <w:r w:rsidRPr="007D4570">
        <w:t>Agresti</w:t>
      </w:r>
      <w:proofErr w:type="spellEnd"/>
      <w:r w:rsidRPr="007D4570">
        <w:t xml:space="preserve"> and Min (2005).</w:t>
      </w:r>
      <w:r w:rsidR="007C58FC">
        <w:rPr>
          <w:rStyle w:val="FootnoteReference"/>
        </w:rPr>
        <w:footnoteReference w:id="33"/>
      </w:r>
    </w:p>
    <w:p w14:paraId="7418A230" w14:textId="656E69E8" w:rsidR="007D4570" w:rsidRPr="007D4570" w:rsidRDefault="007D4570" w:rsidP="007D4570">
      <w:r w:rsidRPr="007D4570">
        <w:lastRenderedPageBreak/>
        <w:t>Data were analysed combining the available assay results from the 2-dose set and 3-dose set to evaluate immune responses at each time point. A separate summary for participants in the 3-dose s</w:t>
      </w:r>
      <w:r w:rsidR="00F647BA">
        <w:t xml:space="preserve">et with assay results at both </w:t>
      </w:r>
      <w:proofErr w:type="gramStart"/>
      <w:r w:rsidR="00F647BA">
        <w:t>one month</w:t>
      </w:r>
      <w:proofErr w:type="gramEnd"/>
      <w:r w:rsidR="00F647BA">
        <w:t xml:space="preserve"> post-Dose 2, and one month post</w:t>
      </w:r>
      <w:r w:rsidR="00F647BA">
        <w:noBreakHyphen/>
      </w:r>
      <w:r w:rsidRPr="007D4570">
        <w:t>Dose 3 was also provided. Analyses were conducted for participants either without, or with or without, evidence of prior SARS-CoV-2 infection</w:t>
      </w:r>
      <w:r w:rsidR="00F647BA">
        <w:t xml:space="preserve"> up to </w:t>
      </w:r>
      <w:proofErr w:type="gramStart"/>
      <w:r w:rsidR="00F647BA">
        <w:t>one month</w:t>
      </w:r>
      <w:proofErr w:type="gramEnd"/>
      <w:r w:rsidR="00F647BA">
        <w:t xml:space="preserve"> post-Dose 2 or one </w:t>
      </w:r>
      <w:r w:rsidRPr="007D4570">
        <w:t xml:space="preserve">month post-Dose 3. Prior infection was determined by </w:t>
      </w:r>
      <w:r w:rsidR="00F647BA" w:rsidRPr="006063BE">
        <w:t>N</w:t>
      </w:r>
      <w:r w:rsidR="00F647BA">
        <w:t xml:space="preserve">-binding assay (at Baseline, </w:t>
      </w:r>
      <w:proofErr w:type="gramStart"/>
      <w:r w:rsidR="00F647BA">
        <w:t>one month</w:t>
      </w:r>
      <w:proofErr w:type="gramEnd"/>
      <w:r w:rsidR="00F647BA">
        <w:t xml:space="preserve"> post-Dose 2, Dose 3, and one </w:t>
      </w:r>
      <w:r w:rsidRPr="007D4570">
        <w:t xml:space="preserve">month post-Dose 3) and by </w:t>
      </w:r>
      <w:r w:rsidR="007C58FC">
        <w:t>n</w:t>
      </w:r>
      <w:r w:rsidR="007C58FC" w:rsidRPr="007C58FC">
        <w:t>ucleic acid amplification test</w:t>
      </w:r>
      <w:r w:rsidR="007C58FC">
        <w:t xml:space="preserve"> (</w:t>
      </w:r>
      <w:r w:rsidRPr="007D4570">
        <w:t>NAA</w:t>
      </w:r>
      <w:r w:rsidR="007C58FC">
        <w:t>T)</w:t>
      </w:r>
      <w:r w:rsidRPr="007D4570">
        <w:t xml:space="preserve"> at </w:t>
      </w:r>
      <w:r w:rsidR="007C58FC">
        <w:t>B</w:t>
      </w:r>
      <w:r w:rsidRPr="007D4570">
        <w:t>aseline, Dose 2 and at Dose 3 visits, and any unscheduled illness visits.</w:t>
      </w:r>
    </w:p>
    <w:p w14:paraId="215CD63F" w14:textId="4CC103C4" w:rsidR="007D4570" w:rsidRPr="007D4570" w:rsidRDefault="007D4570" w:rsidP="007D4570">
      <w:r w:rsidRPr="007D4570">
        <w:t>Analyses were conducted on the Omicron neutralisation subset, comprising up to approximately 30 participants in the 3-dose set who had bl</w:t>
      </w:r>
      <w:r w:rsidR="00F647BA">
        <w:t xml:space="preserve">ood sample collection at both </w:t>
      </w:r>
      <w:proofErr w:type="gramStart"/>
      <w:r w:rsidR="00F647BA">
        <w:t xml:space="preserve">one </w:t>
      </w:r>
      <w:r w:rsidR="00682BA0">
        <w:t>month</w:t>
      </w:r>
      <w:proofErr w:type="gramEnd"/>
      <w:r w:rsidR="00682BA0">
        <w:t xml:space="preserve"> post-Dose 2- and one </w:t>
      </w:r>
      <w:r w:rsidRPr="007D4570">
        <w:t>month post-Dose 3. Analyses were conducted for participants either</w:t>
      </w:r>
      <w:r w:rsidRPr="007D4570">
        <w:rPr>
          <w:lang w:eastAsia="ja-JP"/>
        </w:rPr>
        <w:t xml:space="preserve"> </w:t>
      </w:r>
      <w:r w:rsidRPr="007D4570">
        <w:t>without, or with or without, evidence of pri</w:t>
      </w:r>
      <w:r w:rsidR="00F647BA">
        <w:t xml:space="preserve">or SARS-CoV-2 infection up to </w:t>
      </w:r>
      <w:proofErr w:type="gramStart"/>
      <w:r w:rsidR="00F647BA">
        <w:t xml:space="preserve">one </w:t>
      </w:r>
      <w:r w:rsidRPr="007D4570">
        <w:t>month</w:t>
      </w:r>
      <w:proofErr w:type="gramEnd"/>
      <w:r w:rsidRPr="007D4570">
        <w:t xml:space="preserve"> post-Dose 3 as determined by </w:t>
      </w:r>
      <w:r w:rsidRPr="00AF48DC">
        <w:t>N</w:t>
      </w:r>
      <w:r w:rsidRPr="007D4570">
        <w:t>-binding antibody or NAAT results.</w:t>
      </w:r>
    </w:p>
    <w:p w14:paraId="0193FACB" w14:textId="0B01A5CD" w:rsidR="007D4570" w:rsidRPr="007D4570" w:rsidRDefault="00417838" w:rsidP="00417838">
      <w:pPr>
        <w:pStyle w:val="Heading4"/>
        <w:rPr>
          <w:lang w:val="en-GB"/>
        </w:rPr>
      </w:pPr>
      <w:r>
        <w:rPr>
          <w:lang w:val="en-GB"/>
        </w:rPr>
        <w:t>Study C4591007 immunogenicity results</w:t>
      </w:r>
    </w:p>
    <w:p w14:paraId="2508F14C" w14:textId="1E2699B9" w:rsidR="007D4570" w:rsidRPr="007D4570" w:rsidRDefault="00F647BA" w:rsidP="00417838">
      <w:pPr>
        <w:pStyle w:val="Heading5"/>
      </w:pPr>
      <w:r>
        <w:t>Patient flow</w:t>
      </w:r>
    </w:p>
    <w:p w14:paraId="631DC940" w14:textId="3CFBE722" w:rsidR="007D4570" w:rsidRPr="007D4570" w:rsidRDefault="007D4570" w:rsidP="007D4570">
      <w:r w:rsidRPr="007D4570">
        <w:t xml:space="preserve">In the 3-dose set, 123 (94.6%) participants received Dose 3 of </w:t>
      </w:r>
      <w:r w:rsidR="00026212">
        <w:t>Comirnaty (tozinameran)</w:t>
      </w:r>
      <w:r w:rsidRPr="007D4570">
        <w:t xml:space="preserve"> 10 µg. There were 7 (5.4%) participants who received </w:t>
      </w:r>
      <w:r w:rsidR="00026212">
        <w:t>Comirnaty (tozinameran)</w:t>
      </w:r>
      <w:r w:rsidRPr="007D4570">
        <w:t xml:space="preserve"> Dose 3 at the age-approp</w:t>
      </w:r>
      <w:r w:rsidR="00026212">
        <w:t>riate dose level of 30 µg (that is,</w:t>
      </w:r>
      <w:r w:rsidRPr="007D4570">
        <w:t xml:space="preserve"> turned 12 years of age during or after the two-dose primary series vaccination period) and excluded from further analyses. All participants received the booster dose 7 </w:t>
      </w:r>
      <w:r w:rsidR="00026212">
        <w:t>to</w:t>
      </w:r>
      <w:r w:rsidRPr="007D4570">
        <w:t xml:space="preserve"> 9 months after Dose 2. </w:t>
      </w:r>
    </w:p>
    <w:p w14:paraId="08BE7D06" w14:textId="2E2A564D" w:rsidR="007D4570" w:rsidRPr="007D4570" w:rsidRDefault="007D4570" w:rsidP="007D4570">
      <w:bookmarkStart w:id="70" w:name="_Hlk109905145"/>
      <w:r w:rsidRPr="007D4570">
        <w:t xml:space="preserve">The Dose 3 evaluable immunogenicity population </w:t>
      </w:r>
      <w:bookmarkStart w:id="71" w:name="_Hlk109905161"/>
      <w:bookmarkEnd w:id="70"/>
      <w:r w:rsidR="00026212">
        <w:t>included 115 participants 5 to under 12 </w:t>
      </w:r>
      <w:r w:rsidRPr="007D4570">
        <w:t>years of age who rec</w:t>
      </w:r>
      <w:r w:rsidR="00026212">
        <w:t>eived a booster (third) dose of Comirnaty (tozinameran)</w:t>
      </w:r>
      <w:r w:rsidRPr="007D4570">
        <w:t xml:space="preserve"> 10 µg</w:t>
      </w:r>
      <w:bookmarkEnd w:id="71"/>
      <w:r w:rsidRPr="007D4570">
        <w:t>.</w:t>
      </w:r>
    </w:p>
    <w:p w14:paraId="0ECF0608" w14:textId="1BE05167" w:rsidR="007D4570" w:rsidRPr="007D4570" w:rsidRDefault="007D4570" w:rsidP="007D4570">
      <w:r w:rsidRPr="007D4570">
        <w:t xml:space="preserve">Eight (6.5%) participants were excluded from the Dose 3 evaluable immunogenicity population, most commonly due to lack of a valid and determinate </w:t>
      </w:r>
      <w:r w:rsidR="00026212">
        <w:t>assay immunogenicity result 28 to</w:t>
      </w:r>
      <w:r w:rsidRPr="007D4570">
        <w:t xml:space="preserve"> 42 days after Dose 3 (4.9%). There were 67 (54.5%) participants without prior evidence</w:t>
      </w:r>
      <w:r w:rsidR="00026212">
        <w:t xml:space="preserve"> of SARS-CoV-2 infection up to one month after Dose 3; the s</w:t>
      </w:r>
      <w:r w:rsidRPr="007D4570">
        <w:t>ponsor stated the number of participants without prior infection was impacted by the Omicron</w:t>
      </w:r>
      <w:r w:rsidR="00884CA6">
        <w:t xml:space="preserve"> variant</w:t>
      </w:r>
      <w:r w:rsidRPr="007D4570">
        <w:t xml:space="preserve"> wave that overlapped with Dose 3 administration. </w:t>
      </w:r>
    </w:p>
    <w:p w14:paraId="16E2D1F4" w14:textId="0995B5D5" w:rsidR="00417838" w:rsidRPr="007D4570" w:rsidRDefault="007D4570" w:rsidP="007D4570">
      <w:r w:rsidRPr="007D4570">
        <w:t>In the 3-dose Set, the majority of participants (74.0%)</w:t>
      </w:r>
      <w:r w:rsidR="00026212">
        <w:t xml:space="preserve"> did not have a blood draw at </w:t>
      </w:r>
      <w:proofErr w:type="gramStart"/>
      <w:r w:rsidR="00026212">
        <w:t xml:space="preserve">one </w:t>
      </w:r>
      <w:r w:rsidRPr="007D4570">
        <w:t>month</w:t>
      </w:r>
      <w:proofErr w:type="gramEnd"/>
      <w:r w:rsidRPr="007D4570">
        <w:t xml:space="preserve"> post-Dose 2, resulting in a much smaller sample size of participants in the Dose 2 evaluable immunogenicity population</w:t>
      </w:r>
      <w:r w:rsidR="00D04F53">
        <w:t>. In response to questions the s</w:t>
      </w:r>
      <w:r w:rsidRPr="007D4570">
        <w:t xml:space="preserve">ponsor clarified as per </w:t>
      </w:r>
      <w:r w:rsidR="00026212">
        <w:t xml:space="preserve">protocol, blood collection at </w:t>
      </w:r>
      <w:proofErr w:type="gramStart"/>
      <w:r w:rsidR="00026212">
        <w:t xml:space="preserve">one </w:t>
      </w:r>
      <w:r w:rsidRPr="007D4570">
        <w:t>month</w:t>
      </w:r>
      <w:proofErr w:type="gramEnd"/>
      <w:r w:rsidRPr="007D4570">
        <w:t xml:space="preserve"> post-Dose 2 was only planned for a certain number of participants in each age group for assessment of 2-dose immuno</w:t>
      </w:r>
      <w:r w:rsidR="00026212">
        <w:t>bridging objective at the time.</w:t>
      </w:r>
    </w:p>
    <w:p w14:paraId="58C176DE" w14:textId="20F48036" w:rsidR="00026212" w:rsidRDefault="00026212" w:rsidP="00026212">
      <w:pPr>
        <w:pStyle w:val="Tabletitle0"/>
      </w:pPr>
      <w:r>
        <w:lastRenderedPageBreak/>
        <w:t xml:space="preserve">Table </w:t>
      </w:r>
      <w:r w:rsidR="00BC0ACB">
        <w:fldChar w:fldCharType="begin"/>
      </w:r>
      <w:r w:rsidR="00BC0ACB">
        <w:instrText xml:space="preserve"> SEQ Table \* ARABIC </w:instrText>
      </w:r>
      <w:r w:rsidR="00BC0ACB">
        <w:fldChar w:fldCharType="separate"/>
      </w:r>
      <w:r w:rsidR="001E0AB7">
        <w:rPr>
          <w:noProof/>
        </w:rPr>
        <w:t>8</w:t>
      </w:r>
      <w:r w:rsidR="00BC0ACB">
        <w:rPr>
          <w:noProof/>
        </w:rPr>
        <w:fldChar w:fldCharType="end"/>
      </w:r>
      <w:r>
        <w:t>: Study C4591007 (Phase II/III) Immunogenicity populations (immunogenicity set, from 5 to under 12 years of age)</w:t>
      </w:r>
    </w:p>
    <w:p w14:paraId="7F2DA201" w14:textId="77777777" w:rsidR="007D4570" w:rsidRPr="00D04F53" w:rsidRDefault="007D4570" w:rsidP="00D04F53">
      <w:r w:rsidRPr="00D04F53">
        <w:rPr>
          <w:noProof/>
          <w:lang w:val="en-GB" w:eastAsia="en-GB"/>
        </w:rPr>
        <w:drawing>
          <wp:inline distT="0" distB="0" distL="0" distR="0" wp14:anchorId="1579CE7E" wp14:editId="399E1543">
            <wp:extent cx="5270740" cy="3229248"/>
            <wp:effectExtent l="0" t="0" r="6350" b="9525"/>
            <wp:docPr id="3" name="Picture 3" descr="Study C4591007 (Phase II/III) Immunogenicity populations (immunogenicity set, from 5 to under 12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5026" cy="3238001"/>
                    </a:xfrm>
                    <a:prstGeom prst="rect">
                      <a:avLst/>
                    </a:prstGeom>
                  </pic:spPr>
                </pic:pic>
              </a:graphicData>
            </a:graphic>
          </wp:inline>
        </w:drawing>
      </w:r>
    </w:p>
    <w:p w14:paraId="49216D45" w14:textId="3B37AD2C" w:rsidR="007D4570" w:rsidRPr="00D04F53" w:rsidRDefault="007D4570" w:rsidP="00D04F53">
      <w:r w:rsidRPr="00D04F53">
        <w:rPr>
          <w:noProof/>
          <w:lang w:val="en-GB" w:eastAsia="en-GB"/>
        </w:rPr>
        <w:drawing>
          <wp:inline distT="0" distB="0" distL="0" distR="0" wp14:anchorId="2396CEB5" wp14:editId="7ED043DB">
            <wp:extent cx="5270500" cy="3812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4750" b="59167"/>
                    <a:stretch/>
                  </pic:blipFill>
                  <pic:spPr bwMode="auto">
                    <a:xfrm>
                      <a:off x="0" y="0"/>
                      <a:ext cx="5353127" cy="387251"/>
                    </a:xfrm>
                    <a:prstGeom prst="rect">
                      <a:avLst/>
                    </a:prstGeom>
                    <a:ln>
                      <a:noFill/>
                    </a:ln>
                    <a:extLst>
                      <a:ext uri="{53640926-AAD7-44D8-BBD7-CCE9431645EC}">
                        <a14:shadowObscured xmlns:a14="http://schemas.microsoft.com/office/drawing/2010/main"/>
                      </a:ext>
                    </a:extLst>
                  </pic:spPr>
                </pic:pic>
              </a:graphicData>
            </a:graphic>
          </wp:inline>
        </w:drawing>
      </w:r>
    </w:p>
    <w:p w14:paraId="228A7E23" w14:textId="77777777" w:rsidR="00890F0C" w:rsidRPr="00890F0C" w:rsidRDefault="00890F0C" w:rsidP="00890F0C">
      <w:pPr>
        <w:pStyle w:val="TableDescription"/>
        <w:rPr>
          <w:lang w:val="en-GB"/>
        </w:rPr>
      </w:pPr>
      <w:r w:rsidRPr="00890F0C">
        <w:rPr>
          <w:lang w:val="en-GB"/>
        </w:rPr>
        <w:t>Abbreviations: NAAT = nucleic acid amplification test; N-binding = SARS-CoV-2 nucleoprotein</w:t>
      </w:r>
      <w:r w:rsidRPr="00890F0C">
        <w:rPr>
          <w:rFonts w:hint="eastAsia"/>
          <w:lang w:val="en-GB"/>
        </w:rPr>
        <w:t>–</w:t>
      </w:r>
      <w:r w:rsidRPr="00890F0C">
        <w:rPr>
          <w:lang w:val="en-GB"/>
        </w:rPr>
        <w:t>binding; SARS-CoV-2 = severe acute respiratory syndrome coronavirus 2.</w:t>
      </w:r>
    </w:p>
    <w:p w14:paraId="225786DE" w14:textId="10B667A2" w:rsidR="00890F0C" w:rsidRPr="00D04F53" w:rsidRDefault="00890F0C" w:rsidP="00D04F53">
      <w:pPr>
        <w:pStyle w:val="TableDescription"/>
      </w:pPr>
      <w:r w:rsidRPr="00D04F53">
        <w:t>Note: 3-Dose immunogenicity set included the first 130 participants</w:t>
      </w:r>
      <w:r w:rsidR="00D04F53" w:rsidRPr="00D04F53">
        <w:t xml:space="preserve"> received Dose 3 and completed one</w:t>
      </w:r>
      <w:r w:rsidRPr="00D04F53">
        <w:t xml:space="preserve"> month post</w:t>
      </w:r>
      <w:r w:rsidRPr="00D04F53">
        <w:rPr>
          <w:rFonts w:hint="eastAsia"/>
        </w:rPr>
        <w:t>–</w:t>
      </w:r>
      <w:r w:rsidRPr="00D04F53">
        <w:t>Dose 3 visit prior to Marc</w:t>
      </w:r>
      <w:r w:rsidR="00D04F53" w:rsidRPr="00D04F53">
        <w:t xml:space="preserve">h 15, 2022. Among those, 30 had </w:t>
      </w:r>
      <w:r w:rsidRPr="00D04F53">
        <w:t>blood sample coll</w:t>
      </w:r>
      <w:r w:rsidR="00D04F53" w:rsidRPr="00D04F53">
        <w:t xml:space="preserve">ection at one </w:t>
      </w:r>
      <w:r w:rsidRPr="00D04F53">
        <w:t>month post</w:t>
      </w:r>
      <w:r w:rsidRPr="00D04F53">
        <w:rPr>
          <w:rFonts w:hint="eastAsia"/>
        </w:rPr>
        <w:t>–</w:t>
      </w:r>
      <w:r w:rsidR="00D04F53" w:rsidRPr="00D04F53">
        <w:t>Dose 2. Seven</w:t>
      </w:r>
      <w:r w:rsidRPr="00D04F53">
        <w:t xml:space="preserve"> Participants that received </w:t>
      </w:r>
      <w:proofErr w:type="gramStart"/>
      <w:r w:rsidRPr="00D04F53">
        <w:t>age appropriate</w:t>
      </w:r>
      <w:proofErr w:type="gramEnd"/>
      <w:r w:rsidRPr="00D04F53">
        <w:t xml:space="preserve"> dose of </w:t>
      </w:r>
      <w:r w:rsidR="00D04F53" w:rsidRPr="00D04F53">
        <w:t>Comirnaty</w:t>
      </w:r>
      <w:r w:rsidRPr="00D04F53">
        <w:t xml:space="preserve"> 30 </w:t>
      </w:r>
      <w:r w:rsidRPr="00D04F53">
        <w:rPr>
          <w:rFonts w:hint="eastAsia"/>
        </w:rPr>
        <w:t>μ</w:t>
      </w:r>
      <w:r w:rsidRPr="00D04F53">
        <w:t xml:space="preserve">g were </w:t>
      </w:r>
      <w:r w:rsidR="00D04F53" w:rsidRPr="00D04F53">
        <w:t xml:space="preserve">excluded from further analysis. </w:t>
      </w:r>
      <w:r w:rsidRPr="00D04F53">
        <w:t>2-Dose immunogenicity set included extra 67 participants randomly selected from previous Dose-2 evaluable immunogenicity population and without evidence of infection up to</w:t>
      </w:r>
      <w:r w:rsidR="00D04F53">
        <w:t xml:space="preserve"> one</w:t>
      </w:r>
      <w:r w:rsidRPr="00D04F53">
        <w:t>-month post</w:t>
      </w:r>
      <w:r w:rsidRPr="00890F0C">
        <w:rPr>
          <w:rFonts w:hint="eastAsia"/>
          <w:lang w:val="en-GB"/>
        </w:rPr>
        <w:t>–</w:t>
      </w:r>
      <w:r w:rsidRPr="00890F0C">
        <w:rPr>
          <w:lang w:val="en-GB"/>
        </w:rPr>
        <w:t>Dose 2 subset used for 2-dose immunobridging analysis.</w:t>
      </w:r>
    </w:p>
    <w:p w14:paraId="12DDAC0C" w14:textId="77777777" w:rsidR="00890F0C" w:rsidRPr="00890F0C" w:rsidRDefault="00890F0C" w:rsidP="00890F0C">
      <w:pPr>
        <w:pStyle w:val="TableDescription"/>
        <w:rPr>
          <w:lang w:val="en-GB"/>
        </w:rPr>
      </w:pPr>
      <w:r w:rsidRPr="00890F0C">
        <w:rPr>
          <w:lang w:val="en-GB"/>
        </w:rPr>
        <w:t>a. n = Number of participants with the specified characteristic, or the total sample.</w:t>
      </w:r>
    </w:p>
    <w:p w14:paraId="5D1E0114" w14:textId="77777777" w:rsidR="00890F0C" w:rsidRPr="00890F0C" w:rsidRDefault="00890F0C" w:rsidP="00890F0C">
      <w:pPr>
        <w:pStyle w:val="TableDescription"/>
        <w:rPr>
          <w:lang w:val="en-GB"/>
        </w:rPr>
      </w:pPr>
      <w:r w:rsidRPr="00890F0C">
        <w:rPr>
          <w:lang w:val="en-GB"/>
        </w:rPr>
        <w:t>b. These values are the denominators for the percentage calculations.</w:t>
      </w:r>
    </w:p>
    <w:p w14:paraId="14C244FA" w14:textId="3148EC1C" w:rsidR="00890F0C" w:rsidRPr="00890F0C" w:rsidRDefault="00890F0C" w:rsidP="00890F0C">
      <w:pPr>
        <w:pStyle w:val="TableDescription"/>
        <w:rPr>
          <w:lang w:val="en-GB"/>
        </w:rPr>
      </w:pPr>
      <w:r w:rsidRPr="00890F0C">
        <w:rPr>
          <w:lang w:val="en-GB"/>
        </w:rPr>
        <w:t>c. Having no evidence of pa</w:t>
      </w:r>
      <w:r w:rsidR="00D04F53">
        <w:rPr>
          <w:lang w:val="en-GB"/>
        </w:rPr>
        <w:t xml:space="preserve">st SARS-CoV-2 infection up to one </w:t>
      </w:r>
      <w:r w:rsidRPr="00890F0C">
        <w:rPr>
          <w:lang w:val="en-GB"/>
        </w:rPr>
        <w:t>month post</w:t>
      </w:r>
      <w:r w:rsidRPr="00890F0C">
        <w:rPr>
          <w:rFonts w:hint="eastAsia"/>
          <w:lang w:val="en-GB"/>
        </w:rPr>
        <w:t>–</w:t>
      </w:r>
      <w:r w:rsidRPr="00890F0C">
        <w:rPr>
          <w:lang w:val="en-GB"/>
        </w:rPr>
        <w:t>Dose 2 was defined as having a negative N-binding antibody (ser</w:t>
      </w:r>
      <w:r w:rsidR="00D04F53">
        <w:rPr>
          <w:lang w:val="en-GB"/>
        </w:rPr>
        <w:t xml:space="preserve">um) result at the Dose </w:t>
      </w:r>
      <w:proofErr w:type="gramStart"/>
      <w:r w:rsidR="00D04F53">
        <w:rPr>
          <w:lang w:val="en-GB"/>
        </w:rPr>
        <w:t xml:space="preserve">1 and one </w:t>
      </w:r>
      <w:r w:rsidRPr="00890F0C">
        <w:rPr>
          <w:lang w:val="en-GB"/>
        </w:rPr>
        <w:t>month</w:t>
      </w:r>
      <w:proofErr w:type="gramEnd"/>
      <w:r w:rsidRPr="00890F0C">
        <w:rPr>
          <w:lang w:val="en-GB"/>
        </w:rPr>
        <w:t xml:space="preserve"> post</w:t>
      </w:r>
      <w:r w:rsidRPr="00890F0C">
        <w:rPr>
          <w:rFonts w:hint="eastAsia"/>
          <w:lang w:val="en-GB"/>
        </w:rPr>
        <w:t>–</w:t>
      </w:r>
      <w:r w:rsidRPr="00890F0C">
        <w:rPr>
          <w:lang w:val="en-GB"/>
        </w:rPr>
        <w:t>Dose 2 study visits; a negative NAAT (nasal swab) result at the Dose 1 and Dose 2 study visits and any u</w:t>
      </w:r>
      <w:r w:rsidR="00D04F53">
        <w:rPr>
          <w:lang w:val="en-GB"/>
        </w:rPr>
        <w:t xml:space="preserve">nscheduled visit prior to the one </w:t>
      </w:r>
      <w:r w:rsidRPr="00890F0C">
        <w:rPr>
          <w:lang w:val="en-GB"/>
        </w:rPr>
        <w:t>month post</w:t>
      </w:r>
      <w:r w:rsidRPr="00890F0C">
        <w:rPr>
          <w:rFonts w:hint="eastAsia"/>
          <w:lang w:val="en-GB"/>
        </w:rPr>
        <w:t>–</w:t>
      </w:r>
      <w:r w:rsidRPr="00890F0C">
        <w:rPr>
          <w:lang w:val="en-GB"/>
        </w:rPr>
        <w:t>Dose 2 bl</w:t>
      </w:r>
      <w:r w:rsidR="00D04F53">
        <w:rPr>
          <w:lang w:val="en-GB"/>
        </w:rPr>
        <w:t xml:space="preserve">ood </w:t>
      </w:r>
      <w:r w:rsidRPr="00890F0C">
        <w:rPr>
          <w:lang w:val="en-GB"/>
        </w:rPr>
        <w:t>sample collection; and no medical history of COVID-19.</w:t>
      </w:r>
    </w:p>
    <w:p w14:paraId="7BDCE63C" w14:textId="7F27B2A3" w:rsidR="00890F0C" w:rsidRPr="00890F0C" w:rsidRDefault="00890F0C" w:rsidP="00890F0C">
      <w:pPr>
        <w:pStyle w:val="TableDescription"/>
        <w:rPr>
          <w:lang w:val="en-GB"/>
        </w:rPr>
      </w:pPr>
      <w:r w:rsidRPr="00890F0C">
        <w:rPr>
          <w:lang w:val="en-GB"/>
        </w:rPr>
        <w:t>d. Participants may ha</w:t>
      </w:r>
      <w:r w:rsidR="00D04F53">
        <w:rPr>
          <w:lang w:val="en-GB"/>
        </w:rPr>
        <w:t>ve been excluded for more than one</w:t>
      </w:r>
      <w:r w:rsidRPr="00890F0C">
        <w:rPr>
          <w:lang w:val="en-GB"/>
        </w:rPr>
        <w:t xml:space="preserve"> reason.</w:t>
      </w:r>
    </w:p>
    <w:p w14:paraId="75662893" w14:textId="5A66C77E" w:rsidR="00890F0C" w:rsidRPr="00890F0C" w:rsidRDefault="00890F0C" w:rsidP="00890F0C">
      <w:pPr>
        <w:pStyle w:val="TableDescription"/>
        <w:rPr>
          <w:lang w:val="en-GB"/>
        </w:rPr>
      </w:pPr>
      <w:r w:rsidRPr="00890F0C">
        <w:rPr>
          <w:lang w:val="en-GB"/>
        </w:rPr>
        <w:t>e. Having no evidence of pa</w:t>
      </w:r>
      <w:r w:rsidR="00D04F53">
        <w:rPr>
          <w:lang w:val="en-GB"/>
        </w:rPr>
        <w:t xml:space="preserve">st SARS-CoV-2 infection up to one </w:t>
      </w:r>
      <w:r w:rsidRPr="00890F0C">
        <w:rPr>
          <w:lang w:val="en-GB"/>
        </w:rPr>
        <w:t>month post</w:t>
      </w:r>
      <w:r w:rsidRPr="00890F0C">
        <w:rPr>
          <w:rFonts w:hint="eastAsia"/>
          <w:lang w:val="en-GB"/>
        </w:rPr>
        <w:t>–</w:t>
      </w:r>
      <w:r w:rsidRPr="00890F0C">
        <w:rPr>
          <w:lang w:val="en-GB"/>
        </w:rPr>
        <w:t>Dose 3 was defined as having a negative N-binding antibody (serum</w:t>
      </w:r>
      <w:r w:rsidR="00D04F53">
        <w:rPr>
          <w:lang w:val="en-GB"/>
        </w:rPr>
        <w:t xml:space="preserve">) result at the Dose 1, one month </w:t>
      </w:r>
      <w:r w:rsidRPr="00890F0C">
        <w:rPr>
          <w:lang w:val="en-GB"/>
        </w:rPr>
        <w:t>post</w:t>
      </w:r>
      <w:r w:rsidRPr="00890F0C">
        <w:rPr>
          <w:rFonts w:hint="eastAsia"/>
          <w:lang w:val="en-GB"/>
        </w:rPr>
        <w:t>–</w:t>
      </w:r>
      <w:r w:rsidRPr="00890F0C">
        <w:rPr>
          <w:lang w:val="en-GB"/>
        </w:rPr>
        <w:t xml:space="preserve">Dose </w:t>
      </w:r>
      <w:r w:rsidR="00D04F53">
        <w:rPr>
          <w:lang w:val="en-GB"/>
        </w:rPr>
        <w:t xml:space="preserve">2 (if available), Dose 3, and one </w:t>
      </w:r>
      <w:r w:rsidRPr="00890F0C">
        <w:rPr>
          <w:lang w:val="en-GB"/>
        </w:rPr>
        <w:t>month post</w:t>
      </w:r>
      <w:r w:rsidRPr="00890F0C">
        <w:rPr>
          <w:rFonts w:hint="eastAsia"/>
          <w:lang w:val="en-GB"/>
        </w:rPr>
        <w:t>–</w:t>
      </w:r>
      <w:r w:rsidRPr="00890F0C">
        <w:rPr>
          <w:lang w:val="en-GB"/>
        </w:rPr>
        <w:t xml:space="preserve">Dose 3 study visits; a negative NAAT (nasal swab) result at the Dose 1, Dose 2, </w:t>
      </w:r>
      <w:r w:rsidR="00D04F53">
        <w:rPr>
          <w:lang w:val="en-GB"/>
        </w:rPr>
        <w:t xml:space="preserve">and Dose 3 study visits and any </w:t>
      </w:r>
      <w:r w:rsidRPr="00890F0C">
        <w:rPr>
          <w:lang w:val="en-GB"/>
        </w:rPr>
        <w:t>u</w:t>
      </w:r>
      <w:r w:rsidR="00D04F53">
        <w:rPr>
          <w:lang w:val="en-GB"/>
        </w:rPr>
        <w:t xml:space="preserve">nscheduled visit prior to the one </w:t>
      </w:r>
      <w:r w:rsidRPr="00890F0C">
        <w:rPr>
          <w:lang w:val="en-GB"/>
        </w:rPr>
        <w:t>month post</w:t>
      </w:r>
      <w:r w:rsidRPr="00890F0C">
        <w:rPr>
          <w:rFonts w:hint="eastAsia"/>
          <w:lang w:val="en-GB"/>
        </w:rPr>
        <w:t>–</w:t>
      </w:r>
      <w:r w:rsidRPr="00890F0C">
        <w:rPr>
          <w:lang w:val="en-GB"/>
        </w:rPr>
        <w:t>Dose 3 blood sample collection; and no medical history of COVID-19.</w:t>
      </w:r>
    </w:p>
    <w:p w14:paraId="2269DB5E" w14:textId="69DFE210" w:rsidR="007D4570" w:rsidRPr="007D4570" w:rsidRDefault="007D4570" w:rsidP="00417838">
      <w:pPr>
        <w:pStyle w:val="Heading5"/>
        <w:rPr>
          <w:iCs/>
          <w:u w:val="single"/>
          <w:lang w:eastAsia="ja-JP"/>
        </w:rPr>
      </w:pPr>
      <w:bookmarkStart w:id="72" w:name="_Hlk111311129"/>
      <w:r w:rsidRPr="007D4570">
        <w:rPr>
          <w:lang w:eastAsia="ja-JP"/>
        </w:rPr>
        <w:t>Baseline data</w:t>
      </w:r>
    </w:p>
    <w:p w14:paraId="52115CD2" w14:textId="77777777" w:rsidR="007D4570" w:rsidRPr="007D4570" w:rsidRDefault="007D4570" w:rsidP="007D4570">
      <w:pPr>
        <w:rPr>
          <w:lang w:eastAsia="ja-JP"/>
        </w:rPr>
      </w:pPr>
      <w:bookmarkStart w:id="73" w:name="_Hlk109908010"/>
      <w:bookmarkEnd w:id="72"/>
      <w:r w:rsidRPr="007D4570">
        <w:rPr>
          <w:lang w:eastAsia="ja-JP"/>
        </w:rPr>
        <w:t xml:space="preserve">Among the 67 participants of </w:t>
      </w:r>
      <w:bookmarkStart w:id="74" w:name="_Hlk109242016"/>
      <w:r w:rsidRPr="007D4570">
        <w:rPr>
          <w:lang w:eastAsia="ja-JP"/>
        </w:rPr>
        <w:t xml:space="preserve">the </w:t>
      </w:r>
      <w:bookmarkStart w:id="75" w:name="_Hlk109812154"/>
      <w:r w:rsidRPr="007D4570">
        <w:rPr>
          <w:lang w:eastAsia="ja-JP"/>
        </w:rPr>
        <w:t xml:space="preserve">Dose 3 evaluable immunogenicity population </w:t>
      </w:r>
      <w:bookmarkEnd w:id="74"/>
      <w:bookmarkEnd w:id="75"/>
      <w:r w:rsidRPr="007D4570">
        <w:rPr>
          <w:lang w:eastAsia="ja-JP"/>
        </w:rPr>
        <w:t>without prior evidence of SARS-CoV-2 infection up to 1 month after Dose 3</w:t>
      </w:r>
      <w:bookmarkEnd w:id="73"/>
      <w:r w:rsidRPr="007D4570">
        <w:rPr>
          <w:lang w:eastAsia="ja-JP"/>
        </w:rPr>
        <w:t>, 52.2% were male, 74.6% were White and all were from the USA. The median age at Dose 1 was 8.0 years. There were 4.5% participants reported as obese and 25.4% participants with comorbidities that increase the risk of severe COVID-19 disease (including obesity).</w:t>
      </w:r>
    </w:p>
    <w:p w14:paraId="72A86C60" w14:textId="538F2366" w:rsidR="007D4570" w:rsidRPr="00026212" w:rsidRDefault="007D4570" w:rsidP="00026212">
      <w:pPr>
        <w:rPr>
          <w:lang w:eastAsia="ja-JP"/>
        </w:rPr>
      </w:pPr>
      <w:r w:rsidRPr="007D4570">
        <w:rPr>
          <w:lang w:eastAsia="ja-JP"/>
        </w:rPr>
        <w:lastRenderedPageBreak/>
        <w:t>Demographic characteristics in the Dose 3 evaluable immunogenicity population were similar. There were 4.3% parti</w:t>
      </w:r>
      <w:r w:rsidR="00026212">
        <w:rPr>
          <w:lang w:eastAsia="ja-JP"/>
        </w:rPr>
        <w:t>cipants SARS-CoV-2 positive at Baseline.</w:t>
      </w:r>
    </w:p>
    <w:p w14:paraId="725805EE" w14:textId="23E2B90B" w:rsidR="007D4570" w:rsidRPr="007D4570" w:rsidRDefault="006D74F5" w:rsidP="00417838">
      <w:pPr>
        <w:pStyle w:val="Heading5"/>
        <w:rPr>
          <w:lang w:eastAsia="ja-JP"/>
        </w:rPr>
      </w:pPr>
      <w:r>
        <w:rPr>
          <w:lang w:eastAsia="ja-JP"/>
        </w:rPr>
        <w:t>SARS-CoV-2 n</w:t>
      </w:r>
      <w:r w:rsidR="007D4570" w:rsidRPr="007D4570">
        <w:rPr>
          <w:lang w:eastAsia="ja-JP"/>
        </w:rPr>
        <w:t xml:space="preserve">eutralising </w:t>
      </w:r>
      <w:r>
        <w:rPr>
          <w:lang w:eastAsia="ja-JP"/>
        </w:rPr>
        <w:t>t</w:t>
      </w:r>
      <w:r w:rsidRPr="007D4570">
        <w:rPr>
          <w:lang w:eastAsia="ja-JP"/>
        </w:rPr>
        <w:t>itres</w:t>
      </w:r>
    </w:p>
    <w:p w14:paraId="35E86DA7" w14:textId="27D75D02" w:rsidR="007D4570" w:rsidRPr="007D4570" w:rsidRDefault="007D4570" w:rsidP="007D4570">
      <w:pPr>
        <w:tabs>
          <w:tab w:val="num" w:pos="2325"/>
        </w:tabs>
        <w:rPr>
          <w:iCs/>
          <w:lang w:eastAsia="ja-JP"/>
        </w:rPr>
      </w:pPr>
      <w:r w:rsidRPr="007D4570">
        <w:rPr>
          <w:iCs/>
          <w:lang w:eastAsia="ja-JP"/>
        </w:rPr>
        <w:t>Secondary objectives of Study C4591007 included assessment of immunogenicity endpoints in participants without evidence of past SARS-CoV-2 infection</w:t>
      </w:r>
      <w:r w:rsidR="00417838">
        <w:rPr>
          <w:iCs/>
          <w:lang w:eastAsia="ja-JP"/>
        </w:rPr>
        <w:t xml:space="preserve"> to the reference SARS</w:t>
      </w:r>
      <w:r w:rsidR="00417838">
        <w:rPr>
          <w:iCs/>
          <w:lang w:eastAsia="ja-JP"/>
        </w:rPr>
        <w:noBreakHyphen/>
        <w:t>CoV-2 strain</w:t>
      </w:r>
      <w:r w:rsidRPr="007D4570">
        <w:rPr>
          <w:iCs/>
          <w:lang w:eastAsia="ja-JP"/>
        </w:rPr>
        <w:t>. Immune responses in participants with or without evidence of past SARS-Co</w:t>
      </w:r>
      <w:r w:rsidR="00D04F53">
        <w:rPr>
          <w:iCs/>
          <w:lang w:eastAsia="ja-JP"/>
        </w:rPr>
        <w:t>V-2 infection were exploratory.</w:t>
      </w:r>
    </w:p>
    <w:p w14:paraId="30C3729D" w14:textId="57ADD75F" w:rsidR="007D4570" w:rsidRPr="007D4570" w:rsidRDefault="007D4570" w:rsidP="007D4570">
      <w:pPr>
        <w:tabs>
          <w:tab w:val="num" w:pos="2325"/>
        </w:tabs>
        <w:rPr>
          <w:iCs/>
          <w:lang w:eastAsia="ja-JP"/>
        </w:rPr>
      </w:pPr>
      <w:r w:rsidRPr="007D4570">
        <w:rPr>
          <w:iCs/>
          <w:lang w:eastAsia="ja-JP"/>
        </w:rPr>
        <w:t>Of note, the total evaluable immunogenicity population comprises the combined 2-dose set (participants who co</w:t>
      </w:r>
      <w:r w:rsidR="006D74F5">
        <w:rPr>
          <w:iCs/>
          <w:lang w:eastAsia="ja-JP"/>
        </w:rPr>
        <w:t xml:space="preserve">mpleted the </w:t>
      </w:r>
      <w:proofErr w:type="gramStart"/>
      <w:r w:rsidR="006D74F5">
        <w:rPr>
          <w:iCs/>
          <w:lang w:eastAsia="ja-JP"/>
        </w:rPr>
        <w:t xml:space="preserve">one </w:t>
      </w:r>
      <w:r w:rsidRPr="007D4570">
        <w:rPr>
          <w:iCs/>
          <w:lang w:eastAsia="ja-JP"/>
        </w:rPr>
        <w:t>month</w:t>
      </w:r>
      <w:proofErr w:type="gramEnd"/>
      <w:r w:rsidRPr="007D4570">
        <w:rPr>
          <w:iCs/>
          <w:lang w:eastAsia="ja-JP"/>
        </w:rPr>
        <w:t xml:space="preserve"> post-Dose 2 visit) and 3-dose set (p</w:t>
      </w:r>
      <w:r w:rsidR="006D74F5">
        <w:rPr>
          <w:iCs/>
          <w:lang w:eastAsia="ja-JP"/>
        </w:rPr>
        <w:t xml:space="preserve">articipants who completed the one </w:t>
      </w:r>
      <w:r w:rsidRPr="007D4570">
        <w:rPr>
          <w:iCs/>
          <w:lang w:eastAsia="ja-JP"/>
        </w:rPr>
        <w:t>month post-Dose 3 visit). Analyses of GMFR, GMR, and differences in seroresponse rates were based on the total of available titres across the c</w:t>
      </w:r>
      <w:r w:rsidR="00417838">
        <w:rPr>
          <w:iCs/>
          <w:lang w:eastAsia="ja-JP"/>
        </w:rPr>
        <w:t>ombined 3-dose and 2-dose sets.</w:t>
      </w:r>
    </w:p>
    <w:p w14:paraId="5510CDCC" w14:textId="77A26483" w:rsidR="007D4570" w:rsidRPr="007D4570" w:rsidRDefault="007D4570" w:rsidP="00417838">
      <w:pPr>
        <w:pStyle w:val="Heading5"/>
        <w:rPr>
          <w:rFonts w:eastAsia="MS Mincho"/>
          <w:lang w:eastAsia="ja-JP"/>
        </w:rPr>
      </w:pPr>
      <w:r w:rsidRPr="007D4570">
        <w:rPr>
          <w:rFonts w:eastAsia="MS Mincho"/>
          <w:lang w:eastAsia="ja-JP"/>
        </w:rPr>
        <w:t>G</w:t>
      </w:r>
      <w:r w:rsidR="00417838">
        <w:rPr>
          <w:rFonts w:eastAsia="MS Mincho"/>
          <w:lang w:eastAsia="ja-JP"/>
        </w:rPr>
        <w:t>eometric mean titres</w:t>
      </w:r>
    </w:p>
    <w:p w14:paraId="35ADD1B0" w14:textId="33D4D148" w:rsidR="00417838" w:rsidRPr="007D4570" w:rsidRDefault="007D4570" w:rsidP="007D4570">
      <w:pPr>
        <w:rPr>
          <w:iCs/>
        </w:rPr>
      </w:pPr>
      <w:r w:rsidRPr="007D4570">
        <w:rPr>
          <w:iCs/>
        </w:rPr>
        <w:t>Among the total evaluable immunogenicity population</w:t>
      </w:r>
      <w:r w:rsidR="006D74F5">
        <w:rPr>
          <w:iCs/>
        </w:rPr>
        <w:t xml:space="preserve"> without prior evidence of SARS</w:t>
      </w:r>
      <w:r w:rsidR="006D74F5">
        <w:rPr>
          <w:iCs/>
        </w:rPr>
        <w:noBreakHyphen/>
      </w:r>
      <w:r w:rsidRPr="007D4570">
        <w:rPr>
          <w:iCs/>
        </w:rPr>
        <w:t xml:space="preserve">CoV-2 infection, </w:t>
      </w:r>
      <w:bookmarkStart w:id="76" w:name="_Hlk109908232"/>
      <w:r w:rsidRPr="007D4570">
        <w:rPr>
          <w:iCs/>
        </w:rPr>
        <w:t>observed GMTs increased fr</w:t>
      </w:r>
      <w:r w:rsidR="006D74F5">
        <w:rPr>
          <w:iCs/>
        </w:rPr>
        <w:t>om pre-vaccination of 20.5 (95% CI: </w:t>
      </w:r>
      <w:r w:rsidRPr="007D4570">
        <w:rPr>
          <w:iCs/>
        </w:rPr>
        <w:t>20.5, 20.5; n = 146) to 1253.</w:t>
      </w:r>
      <w:r w:rsidR="006D74F5">
        <w:rPr>
          <w:iCs/>
        </w:rPr>
        <w:t xml:space="preserve">9 (95% CI: 1116.0, 1408.9) at </w:t>
      </w:r>
      <w:proofErr w:type="gramStart"/>
      <w:r w:rsidR="006D74F5">
        <w:rPr>
          <w:iCs/>
        </w:rPr>
        <w:t xml:space="preserve">one </w:t>
      </w:r>
      <w:r w:rsidRPr="007D4570">
        <w:rPr>
          <w:iCs/>
        </w:rPr>
        <w:t>month</w:t>
      </w:r>
      <w:proofErr w:type="gramEnd"/>
      <w:r w:rsidRPr="007D4570">
        <w:rPr>
          <w:iCs/>
        </w:rPr>
        <w:t xml:space="preserve"> post-Dose 2 (n = 96). Observed GMTs had waned to 271.0 (95% CI: 229.1, 320.6) prior to Dose 3, increasing to 2720.</w:t>
      </w:r>
      <w:r w:rsidR="006D74F5">
        <w:rPr>
          <w:iCs/>
        </w:rPr>
        <w:t xml:space="preserve">9 (95% CI: 2280.1, 3247.0) at </w:t>
      </w:r>
      <w:proofErr w:type="gramStart"/>
      <w:r w:rsidR="006D74F5">
        <w:rPr>
          <w:iCs/>
        </w:rPr>
        <w:t xml:space="preserve">one </w:t>
      </w:r>
      <w:r w:rsidRPr="007D4570">
        <w:rPr>
          <w:iCs/>
        </w:rPr>
        <w:t>month</w:t>
      </w:r>
      <w:proofErr w:type="gramEnd"/>
      <w:r w:rsidRPr="007D4570">
        <w:rPr>
          <w:iCs/>
        </w:rPr>
        <w:t xml:space="preserve"> post-Dose 3 (n = 67)</w:t>
      </w:r>
      <w:bookmarkEnd w:id="76"/>
      <w:r w:rsidR="006D74F5">
        <w:rPr>
          <w:iCs/>
        </w:rPr>
        <w:t>.</w:t>
      </w:r>
    </w:p>
    <w:p w14:paraId="580A882C" w14:textId="6BBA89ED" w:rsidR="006D74F5" w:rsidRDefault="006D74F5" w:rsidP="008A6966">
      <w:pPr>
        <w:pStyle w:val="Tabletitle0"/>
        <w:pageBreakBefore/>
      </w:pPr>
      <w:r>
        <w:lastRenderedPageBreak/>
        <w:t xml:space="preserve">Table </w:t>
      </w:r>
      <w:r w:rsidR="00BC0ACB">
        <w:fldChar w:fldCharType="begin"/>
      </w:r>
      <w:r w:rsidR="00BC0ACB">
        <w:instrText xml:space="preserve"> SEQ Table \* ARABIC </w:instrText>
      </w:r>
      <w:r w:rsidR="00BC0ACB">
        <w:fldChar w:fldCharType="separate"/>
      </w:r>
      <w:r w:rsidR="001E0AB7">
        <w:rPr>
          <w:noProof/>
        </w:rPr>
        <w:t>9</w:t>
      </w:r>
      <w:r w:rsidR="00BC0ACB">
        <w:rPr>
          <w:noProof/>
        </w:rPr>
        <w:fldChar w:fldCharType="end"/>
      </w:r>
      <w:r>
        <w:t xml:space="preserve">: Study C4591007 Phase II/III </w:t>
      </w:r>
      <w:r w:rsidRPr="007D4570">
        <w:rPr>
          <w:bCs/>
        </w:rPr>
        <w:t>Summary of geometric mean titres</w:t>
      </w:r>
      <w:r w:rsidRPr="007D4570">
        <w:t xml:space="preserve"> </w:t>
      </w:r>
      <w:r>
        <w:t>(NT50) in p</w:t>
      </w:r>
      <w:r w:rsidRPr="007D4570">
        <w:t>articipants without evidenc</w:t>
      </w:r>
      <w:r>
        <w:t>e of infection aged from 5 to under 12 years of age (immunogenicity set, e</w:t>
      </w:r>
      <w:r w:rsidRPr="007D4570">
        <w:t xml:space="preserve">valuable </w:t>
      </w:r>
      <w:r>
        <w:t>immunogenicity p</w:t>
      </w:r>
      <w:r w:rsidRPr="007D4570">
        <w:t>opulation</w:t>
      </w:r>
      <w:r>
        <w:t>)</w:t>
      </w:r>
    </w:p>
    <w:p w14:paraId="554069E2" w14:textId="77777777" w:rsidR="007D4570" w:rsidRPr="007D4570" w:rsidRDefault="007D4570" w:rsidP="007D4570">
      <w:pPr>
        <w:rPr>
          <w:iCs/>
        </w:rPr>
      </w:pPr>
      <w:r w:rsidRPr="007D4570">
        <w:rPr>
          <w:noProof/>
          <w:lang w:val="en-GB" w:eastAsia="en-GB"/>
        </w:rPr>
        <w:drawing>
          <wp:inline distT="0" distB="0" distL="0" distR="0" wp14:anchorId="5B9C4B42" wp14:editId="1BC37363">
            <wp:extent cx="5357004" cy="1451721"/>
            <wp:effectExtent l="0" t="0" r="0" b="0"/>
            <wp:docPr id="21" name="Picture 21" descr="Study C4591007 Phase II/III Summary of geometric mean titres (NT50) in participants without evidence of infection aged from 5 to under 12 years of age (immunogenicity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4169" cy="1459083"/>
                    </a:xfrm>
                    <a:prstGeom prst="rect">
                      <a:avLst/>
                    </a:prstGeom>
                  </pic:spPr>
                </pic:pic>
              </a:graphicData>
            </a:graphic>
          </wp:inline>
        </w:drawing>
      </w:r>
    </w:p>
    <w:p w14:paraId="1FE0C692" w14:textId="6E80B6CC" w:rsidR="001B3FEB" w:rsidRPr="001B3FEB" w:rsidRDefault="001B3FEB" w:rsidP="001B3FEB">
      <w:pPr>
        <w:pStyle w:val="TableDescription"/>
      </w:pPr>
      <w:r w:rsidRPr="001B3FEB">
        <w:t xml:space="preserve">Abbreviations: GMT = geometric mean </w:t>
      </w:r>
      <w:r w:rsidR="00417838" w:rsidRPr="001B3FEB">
        <w:t>titre</w:t>
      </w:r>
      <w:r w:rsidRPr="001B3FEB">
        <w:t>; LLOQ = lower limit of quantitation; NAAT = nucleic acid amplification test; N-binding = SARS-CoV-2 nucleoprotein–binding;</w:t>
      </w:r>
      <w:r>
        <w:t xml:space="preserve"> NT50 = 50% neutralis</w:t>
      </w:r>
      <w:r w:rsidRPr="001B3FEB">
        <w:t xml:space="preserve">ing </w:t>
      </w:r>
      <w:r w:rsidR="005B3DA0" w:rsidRPr="001B3FEB">
        <w:t>titre</w:t>
      </w:r>
      <w:r w:rsidRPr="001B3FEB">
        <w:t>; Prevax = before vaccination; SARS-CoV-2 = severe acute respiratory syndrome coronavirus 2.</w:t>
      </w:r>
    </w:p>
    <w:p w14:paraId="3122AEC3" w14:textId="3459341C" w:rsidR="001B3FEB" w:rsidRPr="001B3FEB" w:rsidRDefault="001B3FEB" w:rsidP="001B3FEB">
      <w:pPr>
        <w:pStyle w:val="TableDescription"/>
      </w:pPr>
      <w:r w:rsidRPr="001B3FEB">
        <w:t>Note: 3-Dose immunogenicity set included the first 130 participants</w:t>
      </w:r>
      <w:r>
        <w:t xml:space="preserve"> received Dose 3 and completed one </w:t>
      </w:r>
      <w:r w:rsidRPr="001B3FEB">
        <w:t>month post–Dose 3 visit prior to March 15, 2022. Among those, 30 ha</w:t>
      </w:r>
      <w:r>
        <w:t xml:space="preserve">d blood sample collection at one month post–Dose 2. </w:t>
      </w:r>
      <w:r w:rsidRPr="001B3FEB">
        <w:t>2-Dose immunogenicity set included extra 67 participants randomly selected from previous Dose-2 evaluable immunogenicity population and with</w:t>
      </w:r>
      <w:r>
        <w:t>out evidence of infection up to one </w:t>
      </w:r>
      <w:r w:rsidRPr="001B3FEB">
        <w:t>month post–Dose 2 subset used for 2-dose immunobridging analysis.</w:t>
      </w:r>
    </w:p>
    <w:p w14:paraId="358D5242" w14:textId="7A5A2D46" w:rsidR="001B3FEB" w:rsidRPr="001B3FEB" w:rsidRDefault="001B3FEB" w:rsidP="001B3FEB">
      <w:pPr>
        <w:pStyle w:val="TableDescription"/>
      </w:pPr>
      <w:r w:rsidRPr="001B3FEB">
        <w:t>Note: Participants included in this analysis had no serological or virological evidence of past SARS-CoV-2 infectio</w:t>
      </w:r>
      <w:r>
        <w:t xml:space="preserve">n up to the </w:t>
      </w:r>
      <w:proofErr w:type="gramStart"/>
      <w:r>
        <w:t>one month</w:t>
      </w:r>
      <w:proofErr w:type="gramEnd"/>
      <w:r>
        <w:t xml:space="preserve"> post–Dose 2 (for one </w:t>
      </w:r>
      <w:r w:rsidRPr="001B3FEB">
        <w:t>mo</w:t>
      </w:r>
      <w:r>
        <w:t xml:space="preserve">nth post–Dose 2 </w:t>
      </w:r>
      <w:r w:rsidR="007A0D27">
        <w:t>time point</w:t>
      </w:r>
      <w:r>
        <w:t>) or one month post</w:t>
      </w:r>
      <w:r>
        <w:noBreakHyphen/>
      </w:r>
      <w:r w:rsidR="007A0D27">
        <w:t xml:space="preserve">Dose 3 (for pre–Dose 3 and one </w:t>
      </w:r>
      <w:r w:rsidRPr="001B3FEB">
        <w:t xml:space="preserve">month post–Dose 3 </w:t>
      </w:r>
      <w:r w:rsidR="007A0D27" w:rsidRPr="001B3FEB">
        <w:t>time points</w:t>
      </w:r>
      <w:r w:rsidRPr="001B3FEB">
        <w:t>) study blood sample collection.</w:t>
      </w:r>
    </w:p>
    <w:p w14:paraId="30177ED9" w14:textId="403394EA" w:rsidR="001B3FEB" w:rsidRPr="001B3FEB" w:rsidRDefault="001B3FEB" w:rsidP="001B3FEB">
      <w:pPr>
        <w:pStyle w:val="TableDescription"/>
      </w:pPr>
      <w:r w:rsidRPr="001B3FEB">
        <w:t>Having no evidence of pa</w:t>
      </w:r>
      <w:r>
        <w:t xml:space="preserve">st SARS-CoV-2 infection up to one </w:t>
      </w:r>
      <w:r w:rsidRPr="001B3FEB">
        <w:t>month post–Dose 2 was defined as having a negative N-binding antibody (serum) r</w:t>
      </w:r>
      <w:r>
        <w:t xml:space="preserve">esult at the Dose </w:t>
      </w:r>
      <w:proofErr w:type="gramStart"/>
      <w:r>
        <w:t>1 and one month</w:t>
      </w:r>
      <w:proofErr w:type="gramEnd"/>
      <w:r>
        <w:t xml:space="preserve"> </w:t>
      </w:r>
      <w:r w:rsidRPr="001B3FEB">
        <w:t xml:space="preserve">post–Dose 2 study visits; a negative NAAT (nasal swab) result at the Dose 1 and Dose 2 study visits </w:t>
      </w:r>
      <w:r>
        <w:t xml:space="preserve">and any unscheduled visit prior to the one </w:t>
      </w:r>
      <w:r w:rsidRPr="001B3FEB">
        <w:t xml:space="preserve">month post–Dose 2 blood sample collection; and no medical history of COVID-19. Having no evidence of </w:t>
      </w:r>
      <w:r>
        <w:t xml:space="preserve">past SARS-CoV-2 infection up to one </w:t>
      </w:r>
      <w:r w:rsidRPr="001B3FEB">
        <w:t>month post–Dose 3 was</w:t>
      </w:r>
      <w:r w:rsidR="005B3DA0">
        <w:t xml:space="preserve"> defined as having a negative N</w:t>
      </w:r>
      <w:r w:rsidR="005B3DA0">
        <w:noBreakHyphen/>
      </w:r>
      <w:r w:rsidRPr="001B3FEB">
        <w:t xml:space="preserve">binding antibody </w:t>
      </w:r>
      <w:r>
        <w:t xml:space="preserve">(serum) result at the Dose 1, one </w:t>
      </w:r>
      <w:r w:rsidRPr="001B3FEB">
        <w:t>month post</w:t>
      </w:r>
      <w:r>
        <w:t xml:space="preserve">–Dose 2 (if available), Dose 3, </w:t>
      </w:r>
      <w:r w:rsidR="005B3DA0">
        <w:t>and one </w:t>
      </w:r>
      <w:r w:rsidRPr="001B3FEB">
        <w:t xml:space="preserve">month post–Dose 3 study visits; a negative NAAT (nasal swab) result at the Dose 1, Dose 2, and Dose 3 study visits </w:t>
      </w:r>
      <w:r w:rsidR="005B3DA0">
        <w:t xml:space="preserve">and any unscheduled visit prior to the one </w:t>
      </w:r>
      <w:r w:rsidRPr="001B3FEB">
        <w:t>month post–Dose 3 blood sample collection; and no medical history of COVID-19.</w:t>
      </w:r>
    </w:p>
    <w:p w14:paraId="106A280C" w14:textId="77777777" w:rsidR="001B3FEB" w:rsidRPr="001B3FEB" w:rsidRDefault="001B3FEB" w:rsidP="001B3FEB">
      <w:pPr>
        <w:pStyle w:val="TableDescription"/>
      </w:pPr>
      <w:r w:rsidRPr="001B3FEB">
        <w:t>a. Protocol-specified timing for blood sample collection.</w:t>
      </w:r>
    </w:p>
    <w:p w14:paraId="538F0656" w14:textId="77777777" w:rsidR="001B3FEB" w:rsidRPr="001B3FEB" w:rsidRDefault="001B3FEB" w:rsidP="001B3FEB">
      <w:pPr>
        <w:pStyle w:val="TableDescription"/>
      </w:pPr>
      <w:r w:rsidRPr="001B3FEB">
        <w:t>b. n = Number of participants with valid and determinate assay results for the specified assay at the given dose/sampling time point.</w:t>
      </w:r>
    </w:p>
    <w:p w14:paraId="73146C15" w14:textId="481D8641" w:rsidR="001B3FEB" w:rsidRPr="001B3FEB" w:rsidRDefault="001B3FEB" w:rsidP="001B3FEB">
      <w:pPr>
        <w:pStyle w:val="TableDescription"/>
      </w:pPr>
      <w:r w:rsidRPr="001B3FEB">
        <w:t xml:space="preserve">c. GMTs and 2-sided 95% CIs were calculated by exponentiating the mean logarithm of the </w:t>
      </w:r>
      <w:r w:rsidR="007A0D27" w:rsidRPr="001B3FEB">
        <w:t>titres</w:t>
      </w:r>
      <w:r w:rsidRPr="001B3FEB">
        <w:t xml:space="preserve"> and the corresponding CIs (based on the </w:t>
      </w:r>
      <w:proofErr w:type="gramStart"/>
      <w:r w:rsidRPr="001B3FEB">
        <w:t>Student</w:t>
      </w:r>
      <w:proofErr w:type="gramEnd"/>
      <w:r w:rsidR="005B3DA0">
        <w:t xml:space="preserve"> t distribution). Assay results </w:t>
      </w:r>
      <w:r w:rsidRPr="001B3FEB">
        <w:t>below the LLOQ were set to 0.5 × LLOQ.</w:t>
      </w:r>
    </w:p>
    <w:p w14:paraId="1DC3BA2A" w14:textId="1EE90CEA" w:rsidR="005B3DA0" w:rsidRPr="005B3DA0" w:rsidRDefault="007D4570" w:rsidP="005B3DA0">
      <w:r w:rsidRPr="007D4570">
        <w:t xml:space="preserve">The difference in observed </w:t>
      </w:r>
      <w:r w:rsidR="006D74F5">
        <w:t xml:space="preserve">GMTs at </w:t>
      </w:r>
      <w:proofErr w:type="gramStart"/>
      <w:r w:rsidR="006D74F5">
        <w:t xml:space="preserve">one </w:t>
      </w:r>
      <w:r w:rsidRPr="007D4570">
        <w:t>month</w:t>
      </w:r>
      <w:proofErr w:type="gramEnd"/>
      <w:r w:rsidRPr="007D4570">
        <w:t xml:space="preserve"> post-Dose 2 for the 3-dose set and 2-dose set is noted; 165</w:t>
      </w:r>
      <w:r w:rsidR="006D74F5">
        <w:t>9.4 (95% CI: 1385.1, 1988.0) versus</w:t>
      </w:r>
      <w:r w:rsidRPr="007D4570">
        <w:t xml:space="preserve"> 1110.7 (95% CI: 965.3, 1278.1)</w:t>
      </w:r>
      <w:r w:rsidR="006D74F5">
        <w:t>. In response to questions the s</w:t>
      </w:r>
      <w:r w:rsidRPr="007D4570">
        <w:t>ponsor noted the small proportio</w:t>
      </w:r>
      <w:r w:rsidR="006D74F5">
        <w:t xml:space="preserve">n of Dose 3 Set subjects with </w:t>
      </w:r>
      <w:proofErr w:type="gramStart"/>
      <w:r w:rsidR="006D74F5">
        <w:t xml:space="preserve">one </w:t>
      </w:r>
      <w:r w:rsidRPr="007D4570">
        <w:t>month</w:t>
      </w:r>
      <w:proofErr w:type="gramEnd"/>
      <w:r w:rsidRPr="007D4570">
        <w:t xml:space="preserve"> post-Dose 2 data and considered the d</w:t>
      </w:r>
      <w:r w:rsidR="006D74F5">
        <w:t xml:space="preserve">ifference in observed GMTs at one </w:t>
      </w:r>
      <w:r w:rsidRPr="007D4570">
        <w:t xml:space="preserve">month post-Dose 2 time point </w:t>
      </w:r>
      <w:r w:rsidR="006D74F5">
        <w:t>for the small subset of Dose 3 set and Dose 2 s</w:t>
      </w:r>
      <w:r w:rsidRPr="007D4570">
        <w:t>et could be a chance observation due to sampling variability.</w:t>
      </w:r>
      <w:r w:rsidR="005B3DA0">
        <w:t xml:space="preserve"> This is considered acceptable.</w:t>
      </w:r>
    </w:p>
    <w:p w14:paraId="5B1EF962" w14:textId="30CC359B" w:rsidR="006D74F5" w:rsidRPr="005B3DA0" w:rsidRDefault="006D74F5" w:rsidP="008A6966">
      <w:pPr>
        <w:pStyle w:val="FigureTitle"/>
        <w:pageBreakBefore/>
      </w:pPr>
      <w:r w:rsidRPr="005B3DA0">
        <w:lastRenderedPageBreak/>
        <w:t xml:space="preserve">Figure </w:t>
      </w:r>
      <w:r w:rsidR="00BC0ACB">
        <w:fldChar w:fldCharType="begin"/>
      </w:r>
      <w:r w:rsidR="00BC0ACB">
        <w:instrText xml:space="preserve"> SEQ Figure \* ARABIC </w:instrText>
      </w:r>
      <w:r w:rsidR="00BC0ACB">
        <w:fldChar w:fldCharType="separate"/>
      </w:r>
      <w:r w:rsidR="00426D5A" w:rsidRPr="005B3DA0">
        <w:t>3</w:t>
      </w:r>
      <w:r w:rsidR="00BC0ACB">
        <w:fldChar w:fldCharType="end"/>
      </w:r>
      <w:r w:rsidRPr="005B3DA0">
        <w:t>: Study C4591007 Phase II/III Reverse cumulative distribution curves, SARS-CoV-2 neutralisation assay (NT50) in participants without evidence of infection, who received Dose 3 of Comirnaty vaccine, aged from 5 to under 12 years of age (evaluable immunogenicity population)</w:t>
      </w:r>
    </w:p>
    <w:p w14:paraId="2E995875" w14:textId="38D43CEF" w:rsidR="007D4570" w:rsidRDefault="007D4570" w:rsidP="005B3DA0">
      <w:r w:rsidRPr="005B3DA0">
        <w:rPr>
          <w:noProof/>
          <w:lang w:val="en-GB" w:eastAsia="en-GB"/>
        </w:rPr>
        <w:drawing>
          <wp:inline distT="0" distB="0" distL="0" distR="0" wp14:anchorId="0D57B492" wp14:editId="77A17FAD">
            <wp:extent cx="5279366" cy="3070985"/>
            <wp:effectExtent l="0" t="0" r="0" b="0"/>
            <wp:docPr id="26" name="Picture 26" descr="Study C4591007 Phase II/III Reverse cumulative distribution curves, SARS-CoV-2 neutralisation assay (NT50) in participants without evidence of infection, who received Dose 3 of Comirnaty vaccine, aged from 5 to under 12 years of ag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43" r="1997"/>
                    <a:stretch/>
                  </pic:blipFill>
                  <pic:spPr bwMode="auto">
                    <a:xfrm>
                      <a:off x="0" y="0"/>
                      <a:ext cx="5290364" cy="3077383"/>
                    </a:xfrm>
                    <a:prstGeom prst="rect">
                      <a:avLst/>
                    </a:prstGeom>
                    <a:ln>
                      <a:noFill/>
                    </a:ln>
                    <a:extLst>
                      <a:ext uri="{53640926-AAD7-44D8-BBD7-CCE9431645EC}">
                        <a14:shadowObscured xmlns:a14="http://schemas.microsoft.com/office/drawing/2010/main"/>
                      </a:ext>
                    </a:extLst>
                  </pic:spPr>
                </pic:pic>
              </a:graphicData>
            </a:graphic>
          </wp:inline>
        </w:drawing>
      </w:r>
    </w:p>
    <w:p w14:paraId="41327B9C" w14:textId="3BB0D6BD" w:rsidR="005B3DA0" w:rsidRDefault="005B3DA0" w:rsidP="005B3DA0">
      <w:pPr>
        <w:pStyle w:val="FigureDescription"/>
      </w:pPr>
      <w:r>
        <w:t>Abbreviations: LLOQ = lower limit of quantification; NT50 = 50% neutralis</w:t>
      </w:r>
      <w:r w:rsidRPr="001B3FEB">
        <w:t>ing titre</w:t>
      </w:r>
      <w:r>
        <w:t>.</w:t>
      </w:r>
    </w:p>
    <w:p w14:paraId="0A2ADAFE" w14:textId="4DD76325" w:rsidR="005B3DA0" w:rsidRPr="005B3DA0" w:rsidRDefault="005B3DA0" w:rsidP="005B3DA0">
      <w:pPr>
        <w:pStyle w:val="FigureDescription"/>
      </w:pPr>
      <w:r>
        <w:t>BNT162b2 refers to Comirnaty (tozinameran) COVID-19 vaccine.</w:t>
      </w:r>
    </w:p>
    <w:p w14:paraId="7AA1A6A0" w14:textId="513A943D" w:rsidR="00280B8B" w:rsidRPr="007D4570" w:rsidRDefault="007D4570" w:rsidP="005B3DA0">
      <w:r w:rsidRPr="005B3DA0">
        <w:t>Similar results were observed for the 17 participants in the 3-dose s</w:t>
      </w:r>
      <w:r w:rsidR="006D74F5" w:rsidRPr="005B3DA0">
        <w:t xml:space="preserve">et with assay results </w:t>
      </w:r>
      <w:r w:rsidR="006D74F5">
        <w:t xml:space="preserve">at both </w:t>
      </w:r>
      <w:proofErr w:type="gramStart"/>
      <w:r w:rsidR="006D74F5">
        <w:t xml:space="preserve">one </w:t>
      </w:r>
      <w:r w:rsidRPr="007D4570">
        <w:t>month</w:t>
      </w:r>
      <w:proofErr w:type="gramEnd"/>
      <w:r w:rsidRPr="007D4570">
        <w:t xml:space="preserve"> po</w:t>
      </w:r>
      <w:r w:rsidR="006D74F5">
        <w:t xml:space="preserve">st-Dose 2, and one </w:t>
      </w:r>
      <w:r w:rsidRPr="007D4570">
        <w:t>month post-Dose 3 time points, without prior ev</w:t>
      </w:r>
      <w:r w:rsidR="005B3DA0">
        <w:t>idence of SARS-CoV-2 infection.</w:t>
      </w:r>
    </w:p>
    <w:p w14:paraId="2DF7437B" w14:textId="5D814ACB" w:rsidR="006C43E9" w:rsidRPr="006C43E9" w:rsidRDefault="006C43E9" w:rsidP="008A6966">
      <w:pPr>
        <w:pStyle w:val="Tabletitle0"/>
        <w:pageBreakBefore/>
        <w:rPr>
          <w:iCs/>
        </w:rPr>
      </w:pPr>
      <w:r>
        <w:lastRenderedPageBreak/>
        <w:t xml:space="preserve">Table </w:t>
      </w:r>
      <w:r w:rsidR="00BC0ACB">
        <w:fldChar w:fldCharType="begin"/>
      </w:r>
      <w:r w:rsidR="00BC0ACB">
        <w:instrText xml:space="preserve"> SEQ Table \* ARABIC </w:instrText>
      </w:r>
      <w:r w:rsidR="00BC0ACB">
        <w:fldChar w:fldCharType="separate"/>
      </w:r>
      <w:r w:rsidR="001E0AB7">
        <w:rPr>
          <w:noProof/>
        </w:rPr>
        <w:t>10</w:t>
      </w:r>
      <w:r w:rsidR="00BC0ACB">
        <w:rPr>
          <w:noProof/>
        </w:rPr>
        <w:fldChar w:fldCharType="end"/>
      </w:r>
      <w:r>
        <w:t xml:space="preserve">: Study C4591007 Phase II/III </w:t>
      </w:r>
      <w:r w:rsidRPr="007D4570">
        <w:rPr>
          <w:bCs/>
        </w:rPr>
        <w:t>Summary of geometric mean titres</w:t>
      </w:r>
      <w:r w:rsidRPr="007D4570">
        <w:t xml:space="preserve"> </w:t>
      </w:r>
      <w:r>
        <w:t>(NT50) in p</w:t>
      </w:r>
      <w:r w:rsidRPr="007D4570">
        <w:t>articipants without evidenc</w:t>
      </w:r>
      <w:r>
        <w:t xml:space="preserve">e of infection, with assay result at both </w:t>
      </w:r>
      <w:proofErr w:type="gramStart"/>
      <w:r>
        <w:t>one month</w:t>
      </w:r>
      <w:proofErr w:type="gramEnd"/>
      <w:r>
        <w:t xml:space="preserve"> post-Dose 2 and one month post-Dose 3, aged from 5 to under 12 years of age (e</w:t>
      </w:r>
      <w:r w:rsidRPr="007D4570">
        <w:t xml:space="preserve">valuable </w:t>
      </w:r>
      <w:r>
        <w:t>immunogenicity p</w:t>
      </w:r>
      <w:r w:rsidRPr="007D4570">
        <w:t>opulation</w:t>
      </w:r>
      <w:r>
        <w:t>)</w:t>
      </w:r>
    </w:p>
    <w:p w14:paraId="7725B8B7" w14:textId="03F9C0A7" w:rsidR="007D4570" w:rsidRDefault="007D4570" w:rsidP="007D4570">
      <w:pPr>
        <w:rPr>
          <w:iCs/>
        </w:rPr>
      </w:pPr>
      <w:r w:rsidRPr="007D4570">
        <w:rPr>
          <w:noProof/>
          <w:lang w:val="en-GB" w:eastAsia="en-GB"/>
        </w:rPr>
        <w:drawing>
          <wp:inline distT="0" distB="0" distL="0" distR="0" wp14:anchorId="1FE4208E" wp14:editId="6B9BF77D">
            <wp:extent cx="5408762" cy="1363251"/>
            <wp:effectExtent l="0" t="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9591"/>
                    <a:stretch/>
                  </pic:blipFill>
                  <pic:spPr bwMode="auto">
                    <a:xfrm>
                      <a:off x="0" y="0"/>
                      <a:ext cx="5444028" cy="1372140"/>
                    </a:xfrm>
                    <a:prstGeom prst="rect">
                      <a:avLst/>
                    </a:prstGeom>
                    <a:ln>
                      <a:noFill/>
                    </a:ln>
                    <a:extLst>
                      <a:ext uri="{53640926-AAD7-44D8-BBD7-CCE9431645EC}">
                        <a14:shadowObscured xmlns:a14="http://schemas.microsoft.com/office/drawing/2010/main"/>
                      </a:ext>
                    </a:extLst>
                  </pic:spPr>
                </pic:pic>
              </a:graphicData>
            </a:graphic>
          </wp:inline>
        </w:drawing>
      </w:r>
    </w:p>
    <w:p w14:paraId="60451BD5" w14:textId="0908761A" w:rsidR="00280B8B" w:rsidRPr="00280B8B" w:rsidRDefault="00280B8B" w:rsidP="00280B8B">
      <w:pPr>
        <w:pStyle w:val="TableDescription"/>
      </w:pPr>
      <w:r w:rsidRPr="00280B8B">
        <w:t xml:space="preserve">Abbreviations: </w:t>
      </w:r>
      <w:r>
        <w:t xml:space="preserve">CI = confidence interval(s); </w:t>
      </w:r>
      <w:r w:rsidRPr="00280B8B">
        <w:t>GMT = geometric mean titre; LLOQ = lower limit of quantitation; NAAT = nucleic acid amplification test; N-binding = SARS-CoV-2 nucleoprotein–binding;</w:t>
      </w:r>
      <w:r>
        <w:t xml:space="preserve"> NT50 = 50% neutralis</w:t>
      </w:r>
      <w:r w:rsidRPr="00280B8B">
        <w:t>ing titre; Prevax = before vaccination; SARS-CoV-2 = severe acute respiratory syndrome coronavirus 2.</w:t>
      </w:r>
    </w:p>
    <w:p w14:paraId="6379AF77" w14:textId="48849C3A" w:rsidR="00280B8B" w:rsidRPr="00280B8B" w:rsidRDefault="00280B8B" w:rsidP="00280B8B">
      <w:pPr>
        <w:pStyle w:val="TableDescription"/>
      </w:pPr>
      <w:r w:rsidRPr="00280B8B">
        <w:t>Note: 3-Dose immunogenicity set included the first 130 participants</w:t>
      </w:r>
      <w:r>
        <w:t xml:space="preserve"> received Dose 3 and completed one</w:t>
      </w:r>
      <w:r w:rsidRPr="00280B8B">
        <w:t xml:space="preserve"> month post–Dose 3 visit prior to </w:t>
      </w:r>
      <w:r>
        <w:t xml:space="preserve">15 </w:t>
      </w:r>
      <w:r w:rsidRPr="00280B8B">
        <w:t>Marc</w:t>
      </w:r>
      <w:r>
        <w:t xml:space="preserve">h 2022. Among those, 30 had </w:t>
      </w:r>
      <w:r w:rsidRPr="00280B8B">
        <w:t>blood sample collection a</w:t>
      </w:r>
      <w:r>
        <w:t xml:space="preserve">t one </w:t>
      </w:r>
      <w:r w:rsidRPr="00280B8B">
        <w:t>month post–Dose 2.</w:t>
      </w:r>
    </w:p>
    <w:p w14:paraId="3032F488" w14:textId="54154246" w:rsidR="00280B8B" w:rsidRPr="00280B8B" w:rsidRDefault="00280B8B" w:rsidP="00280B8B">
      <w:pPr>
        <w:pStyle w:val="TableDescription"/>
      </w:pPr>
      <w:r w:rsidRPr="00280B8B">
        <w:t>Note: Participants included in this analysis had no serological or virological evidence of pa</w:t>
      </w:r>
      <w:r>
        <w:t xml:space="preserve">st SARS-CoV-2 infection up to one </w:t>
      </w:r>
      <w:r w:rsidRPr="00280B8B">
        <w:t>month post–Dose 3 study</w:t>
      </w:r>
      <w:r>
        <w:t xml:space="preserve"> </w:t>
      </w:r>
      <w:r w:rsidRPr="00280B8B">
        <w:t>blood sample collection. Having no evidence of pa</w:t>
      </w:r>
      <w:r>
        <w:t xml:space="preserve">st SARS-CoV-2 infection up to one </w:t>
      </w:r>
      <w:r w:rsidRPr="00280B8B">
        <w:t>month post–Dose 3 was defined as having a negative N-binding</w:t>
      </w:r>
      <w:r>
        <w:t xml:space="preserve"> </w:t>
      </w:r>
      <w:r w:rsidRPr="00280B8B">
        <w:t xml:space="preserve">antibody </w:t>
      </w:r>
      <w:r>
        <w:t xml:space="preserve">(serum) result at the Dose 1, one month post–Dose 2, Dose 3 and one </w:t>
      </w:r>
      <w:r w:rsidRPr="00280B8B">
        <w:t xml:space="preserve">month post–Dose 3 study visits; a negative </w:t>
      </w:r>
      <w:r>
        <w:t xml:space="preserve">NAAT (nasal swab) result at the </w:t>
      </w:r>
      <w:r w:rsidRPr="00280B8B">
        <w:t>Dose 1, Dose 2, and Dose 3 study visits and any un</w:t>
      </w:r>
      <w:r>
        <w:t xml:space="preserve">scheduled visit prior to the one </w:t>
      </w:r>
      <w:r w:rsidRPr="00280B8B">
        <w:t>month post–Dose 3 study blood sample col</w:t>
      </w:r>
      <w:r>
        <w:t xml:space="preserve">lection; and no medical history </w:t>
      </w:r>
      <w:r w:rsidRPr="00280B8B">
        <w:t>of COVID-19.</w:t>
      </w:r>
    </w:p>
    <w:p w14:paraId="2DDBD9B4" w14:textId="77777777" w:rsidR="00280B8B" w:rsidRPr="00280B8B" w:rsidRDefault="00280B8B" w:rsidP="00280B8B">
      <w:pPr>
        <w:pStyle w:val="TableDescription"/>
      </w:pPr>
      <w:r w:rsidRPr="00280B8B">
        <w:t>a. Protocol-specified timing for blood sample collection.</w:t>
      </w:r>
    </w:p>
    <w:p w14:paraId="663B8F20" w14:textId="77777777" w:rsidR="00280B8B" w:rsidRPr="00280B8B" w:rsidRDefault="00280B8B" w:rsidP="00280B8B">
      <w:pPr>
        <w:pStyle w:val="TableDescription"/>
      </w:pPr>
      <w:r w:rsidRPr="00280B8B">
        <w:t>b. n = Number of participants with valid and determinate assay results for the specified assay at the given dose/sampling time point.</w:t>
      </w:r>
    </w:p>
    <w:p w14:paraId="15EEBC6F" w14:textId="61820066" w:rsidR="00280B8B" w:rsidRPr="00280B8B" w:rsidRDefault="00280B8B" w:rsidP="00280B8B">
      <w:pPr>
        <w:pStyle w:val="TableDescription"/>
      </w:pPr>
      <w:r w:rsidRPr="00280B8B">
        <w:t xml:space="preserve">c. GMTs and 2-sided 95% CIs were calculated by exponentiating the mean logarithm of the </w:t>
      </w:r>
      <w:r w:rsidR="007A0D27" w:rsidRPr="00280B8B">
        <w:t>titres</w:t>
      </w:r>
      <w:r w:rsidRPr="00280B8B">
        <w:t xml:space="preserve"> and the corresponding CIs (based on the </w:t>
      </w:r>
      <w:proofErr w:type="gramStart"/>
      <w:r w:rsidRPr="00280B8B">
        <w:t>Student</w:t>
      </w:r>
      <w:proofErr w:type="gramEnd"/>
      <w:r w:rsidRPr="00280B8B">
        <w:t xml:space="preserve"> t distribution). Assay results</w:t>
      </w:r>
    </w:p>
    <w:p w14:paraId="1F606E28" w14:textId="02BFA0D4" w:rsidR="00280B8B" w:rsidRPr="007D4570" w:rsidRDefault="00280B8B" w:rsidP="00280B8B">
      <w:pPr>
        <w:pStyle w:val="TableDescription"/>
      </w:pPr>
      <w:r w:rsidRPr="00280B8B">
        <w:t>below the LLOQ were set to 0.5 × LLOQ.</w:t>
      </w:r>
    </w:p>
    <w:p w14:paraId="40D1E800" w14:textId="351E246A" w:rsidR="007D4570" w:rsidRPr="007D4570" w:rsidRDefault="006C43E9" w:rsidP="0011024E">
      <w:pPr>
        <w:pStyle w:val="Heading5"/>
        <w:rPr>
          <w:rFonts w:eastAsia="MS Mincho"/>
          <w:lang w:eastAsia="ja-JP"/>
        </w:rPr>
      </w:pPr>
      <w:r>
        <w:rPr>
          <w:rFonts w:eastAsia="MS Mincho"/>
          <w:lang w:eastAsia="ja-JP"/>
        </w:rPr>
        <w:t>Geometric mean ratio of neutralising tit</w:t>
      </w:r>
      <w:r w:rsidR="007D4570" w:rsidRPr="007D4570">
        <w:rPr>
          <w:rFonts w:eastAsia="MS Mincho"/>
          <w:lang w:eastAsia="ja-JP"/>
        </w:rPr>
        <w:t>r</w:t>
      </w:r>
      <w:r w:rsidR="0011024E">
        <w:rPr>
          <w:rFonts w:eastAsia="MS Mincho"/>
          <w:lang w:eastAsia="ja-JP"/>
        </w:rPr>
        <w:t>es</w:t>
      </w:r>
    </w:p>
    <w:p w14:paraId="39D239D8" w14:textId="3E99462B" w:rsidR="00280B8B" w:rsidRDefault="007D4570" w:rsidP="007D4570">
      <w:pPr>
        <w:rPr>
          <w:iCs/>
        </w:rPr>
      </w:pPr>
      <w:bookmarkStart w:id="77" w:name="_Hlk109912891"/>
      <w:r w:rsidRPr="007D4570">
        <w:rPr>
          <w:iCs/>
        </w:rPr>
        <w:t xml:space="preserve">The GMR of neutralising titres </w:t>
      </w:r>
      <w:r w:rsidR="0011024E">
        <w:rPr>
          <w:iCs/>
        </w:rPr>
        <w:t>against the reference SARS</w:t>
      </w:r>
      <w:r w:rsidR="0011024E">
        <w:rPr>
          <w:iCs/>
        </w:rPr>
        <w:noBreakHyphen/>
        <w:t xml:space="preserve">CoV-2 strain </w:t>
      </w:r>
      <w:r w:rsidRPr="007D4570">
        <w:rPr>
          <w:iCs/>
        </w:rPr>
        <w:t xml:space="preserve">available </w:t>
      </w:r>
      <w:r w:rsidR="006C43E9">
        <w:rPr>
          <w:iCs/>
        </w:rPr>
        <w:t xml:space="preserve">at </w:t>
      </w:r>
      <w:proofErr w:type="gramStart"/>
      <w:r w:rsidR="006C43E9">
        <w:rPr>
          <w:iCs/>
        </w:rPr>
        <w:t>one month</w:t>
      </w:r>
      <w:proofErr w:type="gramEnd"/>
      <w:r w:rsidR="006C43E9">
        <w:rPr>
          <w:iCs/>
        </w:rPr>
        <w:t xml:space="preserve"> post-Dose 3 versus titres available at one </w:t>
      </w:r>
      <w:r w:rsidRPr="007D4570">
        <w:rPr>
          <w:iCs/>
        </w:rPr>
        <w:t xml:space="preserve">month post-Dose 2 in the evaluable immunogenicity population without evidence of prior SARS-CoV-2 infection was 2.17 (95% CI: 1.76, 2.68). </w:t>
      </w:r>
      <w:bookmarkEnd w:id="77"/>
      <w:r w:rsidRPr="007D4570">
        <w:rPr>
          <w:iCs/>
        </w:rPr>
        <w:t>GMR results were comparable for the evaluable immunogenicity populat</w:t>
      </w:r>
      <w:r w:rsidR="006C43E9">
        <w:rPr>
          <w:iCs/>
        </w:rPr>
        <w:t>ion (2.53 (95% CI: 2.11, 3.04)</w:t>
      </w:r>
      <w:r w:rsidRPr="007D4570">
        <w:rPr>
          <w:iCs/>
        </w:rPr>
        <w:t>) and the all-available i</w:t>
      </w:r>
      <w:r w:rsidR="006C43E9">
        <w:rPr>
          <w:iCs/>
        </w:rPr>
        <w:t>mmunogenicity population (2.52 (95% CI: 2.10, 3.02)</w:t>
      </w:r>
      <w:r w:rsidRPr="007D4570">
        <w:rPr>
          <w:iCs/>
        </w:rPr>
        <w:t>).</w:t>
      </w:r>
    </w:p>
    <w:p w14:paraId="17D9CBEC" w14:textId="1CD07F78" w:rsidR="006C43E9" w:rsidRPr="006C43E9" w:rsidRDefault="006C43E9" w:rsidP="008A6966">
      <w:pPr>
        <w:pStyle w:val="Tabletitle0"/>
        <w:pageBreakBefore/>
        <w:rPr>
          <w:iCs/>
        </w:rPr>
      </w:pPr>
      <w:r>
        <w:lastRenderedPageBreak/>
        <w:t xml:space="preserve">Table </w:t>
      </w:r>
      <w:r w:rsidR="00BC0ACB">
        <w:fldChar w:fldCharType="begin"/>
      </w:r>
      <w:r w:rsidR="00BC0ACB">
        <w:instrText xml:space="preserve"> SEQ Table \* ARABIC </w:instrText>
      </w:r>
      <w:r w:rsidR="00BC0ACB">
        <w:fldChar w:fldCharType="separate"/>
      </w:r>
      <w:r w:rsidR="001E0AB7">
        <w:rPr>
          <w:noProof/>
        </w:rPr>
        <w:t>11</w:t>
      </w:r>
      <w:r w:rsidR="00BC0ACB">
        <w:rPr>
          <w:noProof/>
        </w:rPr>
        <w:fldChar w:fldCharType="end"/>
      </w:r>
      <w:r>
        <w:t xml:space="preserve">: Study C4591007 Phase II/III </w:t>
      </w:r>
      <w:r w:rsidRPr="007D4570">
        <w:rPr>
          <w:bCs/>
        </w:rPr>
        <w:t xml:space="preserve">Summary of geometric mean </w:t>
      </w:r>
      <w:r>
        <w:rPr>
          <w:bCs/>
        </w:rPr>
        <w:t>ratios</w:t>
      </w:r>
      <w:r w:rsidRPr="007D4570">
        <w:t xml:space="preserve"> </w:t>
      </w:r>
      <w:r>
        <w:t xml:space="preserve">(NT50), comparison of </w:t>
      </w:r>
      <w:proofErr w:type="gramStart"/>
      <w:r>
        <w:t>one month</w:t>
      </w:r>
      <w:proofErr w:type="gramEnd"/>
      <w:r>
        <w:t xml:space="preserve"> post-Dose 2 and one month post-Dose 3, in p</w:t>
      </w:r>
      <w:r w:rsidRPr="007D4570">
        <w:t>articipants without evidenc</w:t>
      </w:r>
      <w:r>
        <w:t>e of infection aged from 5 to under 12 years of age (immunogenicity set, e</w:t>
      </w:r>
      <w:r w:rsidRPr="007D4570">
        <w:t xml:space="preserve">valuable </w:t>
      </w:r>
      <w:r>
        <w:t>immunogenicity p</w:t>
      </w:r>
      <w:r w:rsidRPr="007D4570">
        <w:t>opulation</w:t>
      </w:r>
      <w:r>
        <w:t>)</w:t>
      </w:r>
    </w:p>
    <w:p w14:paraId="60E30263" w14:textId="358CD3D4" w:rsidR="007D4570" w:rsidRDefault="007D4570" w:rsidP="007D4570">
      <w:pPr>
        <w:rPr>
          <w:b/>
          <w:iCs/>
        </w:rPr>
      </w:pPr>
      <w:r w:rsidRPr="007D4570">
        <w:rPr>
          <w:noProof/>
          <w:lang w:val="en-GB" w:eastAsia="en-GB"/>
        </w:rPr>
        <w:drawing>
          <wp:inline distT="0" distB="0" distL="0" distR="0" wp14:anchorId="5C1250AF" wp14:editId="4BC9B045">
            <wp:extent cx="5321935" cy="1021511"/>
            <wp:effectExtent l="0" t="0" r="0" b="7620"/>
            <wp:docPr id="29" name="Picture 29" descr="Study C4591007 Phase II/III Summary of geometric mean ratios (NT50), comparison of one month post-Dose 2 and one month post-Dose 3, in participants without evidence of infection aged from 5 to under 12 years of age (immunogenicity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63107"/>
                    <a:stretch/>
                  </pic:blipFill>
                  <pic:spPr bwMode="auto">
                    <a:xfrm>
                      <a:off x="0" y="0"/>
                      <a:ext cx="5355167" cy="1027890"/>
                    </a:xfrm>
                    <a:prstGeom prst="rect">
                      <a:avLst/>
                    </a:prstGeom>
                    <a:ln>
                      <a:noFill/>
                    </a:ln>
                    <a:extLst>
                      <a:ext uri="{53640926-AAD7-44D8-BBD7-CCE9431645EC}">
                        <a14:shadowObscured xmlns:a14="http://schemas.microsoft.com/office/drawing/2010/main"/>
                      </a:ext>
                    </a:extLst>
                  </pic:spPr>
                </pic:pic>
              </a:graphicData>
            </a:graphic>
          </wp:inline>
        </w:drawing>
      </w:r>
    </w:p>
    <w:p w14:paraId="4973D14C" w14:textId="1F4EBB5E" w:rsidR="00280B8B" w:rsidRPr="00280B8B" w:rsidRDefault="00280B8B" w:rsidP="00280B8B">
      <w:pPr>
        <w:pStyle w:val="TableDescription"/>
      </w:pPr>
      <w:r w:rsidRPr="00280B8B">
        <w:t xml:space="preserve">Abbreviations: </w:t>
      </w:r>
      <w:r>
        <w:t xml:space="preserve">1MPD2 = </w:t>
      </w:r>
      <w:proofErr w:type="gramStart"/>
      <w:r>
        <w:t>one month</w:t>
      </w:r>
      <w:proofErr w:type="gramEnd"/>
      <w:r>
        <w:t xml:space="preserve"> post-Dose 2; 1MPD3 = one month post-Dose 3; </w:t>
      </w:r>
      <w:r w:rsidRPr="00280B8B">
        <w:t>GMR = geometric mean ratio; GMT = geometric mean titre; LLOQ = lower limit of quantitation; NAAT = nucleic acid amplification test; N-binding = SARS</w:t>
      </w:r>
      <w:r>
        <w:t>-</w:t>
      </w:r>
      <w:r w:rsidRPr="00280B8B">
        <w:t>CoV-2 nucleoprotein–bin</w:t>
      </w:r>
      <w:r>
        <w:t>ding; NT50 = 50% neutralising tit</w:t>
      </w:r>
      <w:r w:rsidRPr="00280B8B">
        <w:t>r</w:t>
      </w:r>
      <w:r>
        <w:t>e</w:t>
      </w:r>
      <w:r w:rsidR="002A6B05">
        <w:t>; SARS</w:t>
      </w:r>
      <w:r w:rsidR="002A6B05">
        <w:noBreakHyphen/>
      </w:r>
      <w:r w:rsidRPr="00280B8B">
        <w:t>CoV-2 = severe acute respiratory syndrome coronavirus 2.</w:t>
      </w:r>
    </w:p>
    <w:p w14:paraId="27D1B3FA" w14:textId="51016F78" w:rsidR="00280B8B" w:rsidRPr="00280B8B" w:rsidRDefault="002A6B05" w:rsidP="00280B8B">
      <w:pPr>
        <w:pStyle w:val="TableDescription"/>
      </w:pPr>
      <w:r>
        <w:t xml:space="preserve">Note: The </w:t>
      </w:r>
      <w:proofErr w:type="gramStart"/>
      <w:r>
        <w:t xml:space="preserve">one </w:t>
      </w:r>
      <w:r w:rsidR="00280B8B" w:rsidRPr="00280B8B">
        <w:t>month</w:t>
      </w:r>
      <w:proofErr w:type="gramEnd"/>
      <w:r w:rsidR="00280B8B" w:rsidRPr="00280B8B">
        <w:t xml:space="preserve"> post–Dose 3 (1MPD3) group includes participants in the 3-dose immunogenicity set who had assay results </w:t>
      </w:r>
      <w:r>
        <w:t xml:space="preserve">at one month post–Dose 3 and the one </w:t>
      </w:r>
      <w:r w:rsidR="00280B8B" w:rsidRPr="00280B8B">
        <w:t>mon</w:t>
      </w:r>
      <w:r w:rsidR="00280B8B">
        <w:t>th post–</w:t>
      </w:r>
      <w:r w:rsidR="00280B8B" w:rsidRPr="00280B8B">
        <w:t>Dose 2 (1MPD2) group includes participants in the 2-dose or 3-dose immunogenicity</w:t>
      </w:r>
      <w:r>
        <w:t xml:space="preserve"> set who had assay results at one </w:t>
      </w:r>
      <w:r w:rsidR="00280B8B" w:rsidRPr="00280B8B">
        <w:t>month post–Dose 2.</w:t>
      </w:r>
    </w:p>
    <w:p w14:paraId="2E880F1D" w14:textId="7F76EC66" w:rsidR="00280B8B" w:rsidRPr="00280B8B" w:rsidRDefault="00280B8B" w:rsidP="00280B8B">
      <w:pPr>
        <w:pStyle w:val="TableDescription"/>
      </w:pPr>
      <w:r w:rsidRPr="00280B8B">
        <w:t>Note: Participants included in this analysis had no serological or virological evidence of past SARS-CoV-2 infectio</w:t>
      </w:r>
      <w:r w:rsidR="002A6B05">
        <w:t xml:space="preserve">n up to the </w:t>
      </w:r>
      <w:proofErr w:type="gramStart"/>
      <w:r w:rsidR="002A6B05">
        <w:t>one month</w:t>
      </w:r>
      <w:proofErr w:type="gramEnd"/>
      <w:r w:rsidR="002A6B05">
        <w:t xml:space="preserve"> post–Dose 2 (for one</w:t>
      </w:r>
      <w:r w:rsidRPr="00280B8B">
        <w:t xml:space="preserve"> month post–Do</w:t>
      </w:r>
      <w:r w:rsidR="002A6B05">
        <w:t xml:space="preserve">se 2 </w:t>
      </w:r>
      <w:r w:rsidR="007A0D27">
        <w:t>time point</w:t>
      </w:r>
      <w:r w:rsidR="002A6B05">
        <w:t>) or one month post</w:t>
      </w:r>
      <w:r w:rsidR="002A6B05">
        <w:noBreakHyphen/>
        <w:t>Dose </w:t>
      </w:r>
      <w:r w:rsidR="007A0D27">
        <w:t xml:space="preserve">3 (for one </w:t>
      </w:r>
      <w:r w:rsidRPr="00280B8B">
        <w:t xml:space="preserve">month post–Dose 3 </w:t>
      </w:r>
      <w:r w:rsidR="007A0D27" w:rsidRPr="00280B8B">
        <w:t>time point</w:t>
      </w:r>
      <w:r w:rsidRPr="00280B8B">
        <w:t xml:space="preserve">) study blood sample collection. </w:t>
      </w:r>
      <w:r w:rsidR="002A6B05">
        <w:t>Having no evidence of past SARS</w:t>
      </w:r>
      <w:r w:rsidR="002A6B05">
        <w:noBreakHyphen/>
        <w:t xml:space="preserve">CoV-2 infection up to one </w:t>
      </w:r>
      <w:r w:rsidRPr="00280B8B">
        <w:t>month post–Dose 2 was defined as having a negative N-binding antibody (serum) r</w:t>
      </w:r>
      <w:r w:rsidR="002A6B05">
        <w:t xml:space="preserve">esult at the Dose </w:t>
      </w:r>
      <w:proofErr w:type="gramStart"/>
      <w:r w:rsidR="002A6B05">
        <w:t>1 and one month</w:t>
      </w:r>
      <w:proofErr w:type="gramEnd"/>
      <w:r w:rsidR="002A6B05">
        <w:t xml:space="preserve"> </w:t>
      </w:r>
      <w:r w:rsidRPr="00280B8B">
        <w:t>post–Dose 2 study visits; a negative NAAT (nasal swab) result at the Dose 1 and Dose 2 study visits and any u</w:t>
      </w:r>
      <w:r w:rsidR="002A6B05">
        <w:t xml:space="preserve">nscheduled visit prior to the one month </w:t>
      </w:r>
      <w:r w:rsidRPr="00280B8B">
        <w:t>post–Dose 2 blood sample collection; and no medical history of COVID-19. Having no evidence of past SAR</w:t>
      </w:r>
      <w:r w:rsidR="002A6B05">
        <w:t xml:space="preserve">S-CoV-2 infection up to one month </w:t>
      </w:r>
      <w:r w:rsidRPr="00280B8B">
        <w:t xml:space="preserve">post–Dose 3 was defined as having a negative N-binding antibody </w:t>
      </w:r>
      <w:r w:rsidR="002A6B05">
        <w:t xml:space="preserve">(serum) result at the Dose 1, one </w:t>
      </w:r>
      <w:r w:rsidRPr="00280B8B">
        <w:t xml:space="preserve">month post–Dose 2 (if </w:t>
      </w:r>
      <w:r w:rsidR="002A6B05">
        <w:t xml:space="preserve">available), Dose 3, and one month </w:t>
      </w:r>
      <w:r w:rsidRPr="00280B8B">
        <w:t>post–Dose 3 study visits; a negative NAAT (nasal swab) result at the Dose 1, Dose 2, and Dose 3 study visits and any</w:t>
      </w:r>
      <w:r w:rsidR="002A6B05">
        <w:t xml:space="preserve"> unscheduled visit prior to the one </w:t>
      </w:r>
      <w:r w:rsidRPr="00280B8B">
        <w:t>month post–Dose 3 blood sample collection; and no medical history of COVID-19.</w:t>
      </w:r>
    </w:p>
    <w:p w14:paraId="34B89797" w14:textId="77777777" w:rsidR="00280B8B" w:rsidRPr="00280B8B" w:rsidRDefault="00280B8B" w:rsidP="00280B8B">
      <w:pPr>
        <w:pStyle w:val="TableDescription"/>
      </w:pPr>
      <w:r w:rsidRPr="00280B8B">
        <w:t>a. Protocol-specified timing for blood sample collection.</w:t>
      </w:r>
    </w:p>
    <w:p w14:paraId="289C3D58" w14:textId="77777777" w:rsidR="00280B8B" w:rsidRPr="00280B8B" w:rsidRDefault="00280B8B" w:rsidP="00280B8B">
      <w:pPr>
        <w:pStyle w:val="TableDescription"/>
      </w:pPr>
      <w:r w:rsidRPr="00280B8B">
        <w:t>b. n = Number of participants with valid and determinate assay results for the specified assay at the given dose/sampling time point.</w:t>
      </w:r>
    </w:p>
    <w:p w14:paraId="0E41D12B" w14:textId="059A6B8C" w:rsidR="00280B8B" w:rsidRPr="00280B8B" w:rsidRDefault="00280B8B" w:rsidP="00280B8B">
      <w:pPr>
        <w:pStyle w:val="TableDescription"/>
      </w:pPr>
      <w:r w:rsidRPr="00280B8B">
        <w:t xml:space="preserve">c. GMTs and 2-sided 95% CIs were calculated by exponentiating the mean logarithm of the </w:t>
      </w:r>
      <w:r w:rsidR="002A6B05" w:rsidRPr="00280B8B">
        <w:t>titres</w:t>
      </w:r>
      <w:r w:rsidRPr="00280B8B">
        <w:t xml:space="preserve"> and the corresponding CIs (based on the </w:t>
      </w:r>
      <w:proofErr w:type="gramStart"/>
      <w:r w:rsidRPr="00280B8B">
        <w:t>Student</w:t>
      </w:r>
      <w:proofErr w:type="gramEnd"/>
      <w:r w:rsidR="002A6B05">
        <w:t xml:space="preserve"> t distribution). Assay results </w:t>
      </w:r>
      <w:r w:rsidRPr="00280B8B">
        <w:t>below the LLOQ were set to 0.5 × LLOQ.</w:t>
      </w:r>
    </w:p>
    <w:p w14:paraId="76A739B7" w14:textId="0718D6EA" w:rsidR="00280B8B" w:rsidRPr="00280B8B" w:rsidRDefault="00280B8B" w:rsidP="00280B8B">
      <w:pPr>
        <w:pStyle w:val="TableDescription"/>
      </w:pPr>
      <w:r w:rsidRPr="00280B8B">
        <w:t xml:space="preserve">d. GMRs and 2-sided 95% CIs were calculated by exponentiating the mean difference of the logarithms of the </w:t>
      </w:r>
      <w:r w:rsidR="002A6B05" w:rsidRPr="00280B8B">
        <w:t>titres</w:t>
      </w:r>
      <w:r w:rsidR="002A6B05">
        <w:t xml:space="preserve"> ((1MPD3 Group at one month </w:t>
      </w:r>
      <w:r w:rsidRPr="00280B8B">
        <w:t>Post–D</w:t>
      </w:r>
      <w:r w:rsidR="002A6B05">
        <w:t xml:space="preserve">ose 3 </w:t>
      </w:r>
      <w:r w:rsidR="007A0D27">
        <w:t>time point</w:t>
      </w:r>
      <w:r w:rsidR="002A6B05">
        <w:t>) minus (1MPD2 Group at one month post</w:t>
      </w:r>
      <w:r w:rsidR="002A6B05">
        <w:noBreakHyphen/>
        <w:t xml:space="preserve">Dose 2 </w:t>
      </w:r>
      <w:r w:rsidR="007A0D27">
        <w:t>time point</w:t>
      </w:r>
      <w:r w:rsidR="002A6B05">
        <w:t>)</w:t>
      </w:r>
      <w:r w:rsidRPr="00280B8B">
        <w:t xml:space="preserve">) and the corresponding CI (based on the </w:t>
      </w:r>
      <w:proofErr w:type="gramStart"/>
      <w:r w:rsidRPr="00280B8B">
        <w:t>Student</w:t>
      </w:r>
      <w:proofErr w:type="gramEnd"/>
      <w:r w:rsidRPr="00280B8B">
        <w:t xml:space="preserve"> t distribution).</w:t>
      </w:r>
    </w:p>
    <w:p w14:paraId="2B05DFCF" w14:textId="74A7F1ED" w:rsidR="002A6B05" w:rsidRPr="007D4570" w:rsidRDefault="007D4570" w:rsidP="007D4570">
      <w:pPr>
        <w:rPr>
          <w:bCs/>
          <w:iCs/>
        </w:rPr>
      </w:pPr>
      <w:bookmarkStart w:id="78" w:name="_Hlk109154690"/>
      <w:r w:rsidRPr="007D4570">
        <w:rPr>
          <w:bCs/>
          <w:iCs/>
        </w:rPr>
        <w:t>Among the 17 participants without prior evidence of SARS-CoV-2 infection in the 3-dose s</w:t>
      </w:r>
      <w:r w:rsidR="007A0D27">
        <w:rPr>
          <w:bCs/>
          <w:iCs/>
        </w:rPr>
        <w:t xml:space="preserve">et with assay results at both </w:t>
      </w:r>
      <w:proofErr w:type="gramStart"/>
      <w:r w:rsidR="007A0D27">
        <w:rPr>
          <w:bCs/>
          <w:iCs/>
        </w:rPr>
        <w:t xml:space="preserve">one </w:t>
      </w:r>
      <w:r w:rsidRPr="007D4570">
        <w:rPr>
          <w:bCs/>
          <w:iCs/>
        </w:rPr>
        <w:t>month</w:t>
      </w:r>
      <w:proofErr w:type="gramEnd"/>
      <w:r w:rsidRPr="007D4570">
        <w:rPr>
          <w:bCs/>
          <w:iCs/>
        </w:rPr>
        <w:t xml:space="preserve"> pos</w:t>
      </w:r>
      <w:r w:rsidR="007A0D27">
        <w:rPr>
          <w:bCs/>
          <w:iCs/>
        </w:rPr>
        <w:t xml:space="preserve">t-Dose 2 and at one </w:t>
      </w:r>
      <w:r w:rsidRPr="007D4570">
        <w:rPr>
          <w:bCs/>
          <w:iCs/>
        </w:rPr>
        <w:t>month post-Dose 3, the GMR</w:t>
      </w:r>
      <w:r w:rsidR="002A6B05">
        <w:rPr>
          <w:bCs/>
          <w:iCs/>
        </w:rPr>
        <w:t xml:space="preserve"> was 1.55 (95% CI: 1.11, 2.17).</w:t>
      </w:r>
    </w:p>
    <w:bookmarkEnd w:id="78"/>
    <w:p w14:paraId="1B4D6D7B" w14:textId="7CD9F08C" w:rsidR="00B956EE" w:rsidRPr="00B956EE" w:rsidRDefault="00B956EE" w:rsidP="0045015F">
      <w:pPr>
        <w:pStyle w:val="Tabletitle0"/>
        <w:pageBreakBefore/>
        <w:rPr>
          <w:iCs/>
        </w:rPr>
      </w:pPr>
      <w:r>
        <w:lastRenderedPageBreak/>
        <w:t xml:space="preserve">Table </w:t>
      </w:r>
      <w:r w:rsidR="00BC0ACB">
        <w:fldChar w:fldCharType="begin"/>
      </w:r>
      <w:r w:rsidR="00BC0ACB">
        <w:instrText xml:space="preserve"> SEQ Table \* ARABIC </w:instrText>
      </w:r>
      <w:r w:rsidR="00BC0ACB">
        <w:fldChar w:fldCharType="separate"/>
      </w:r>
      <w:r w:rsidR="001E0AB7">
        <w:rPr>
          <w:noProof/>
        </w:rPr>
        <w:t>12</w:t>
      </w:r>
      <w:r w:rsidR="00BC0ACB">
        <w:rPr>
          <w:noProof/>
        </w:rPr>
        <w:fldChar w:fldCharType="end"/>
      </w:r>
      <w:r>
        <w:t xml:space="preserve">: Study C4591007 Phase II/III </w:t>
      </w:r>
      <w:r>
        <w:rPr>
          <w:bCs/>
        </w:rPr>
        <w:t>Summary of geometric mean ratios</w:t>
      </w:r>
      <w:r>
        <w:t xml:space="preserve"> (NT50), comparison of </w:t>
      </w:r>
      <w:proofErr w:type="gramStart"/>
      <w:r>
        <w:t>one month</w:t>
      </w:r>
      <w:proofErr w:type="gramEnd"/>
      <w:r>
        <w:t xml:space="preserve"> post-Dose 2 and one month post-Dose 3, in participants without evidence of infection</w:t>
      </w:r>
      <w:r w:rsidR="007E236D">
        <w:t xml:space="preserve"> with assay results at both one month post-Dose 2 and one month post-Dose 3,</w:t>
      </w:r>
      <w:r>
        <w:t xml:space="preserve"> aged from 5 to under 12 years of age (immunogenicity set, evaluable immunogenicity population)</w:t>
      </w:r>
    </w:p>
    <w:p w14:paraId="3779D35F" w14:textId="395CE99C" w:rsidR="007D4570" w:rsidRDefault="007D4570" w:rsidP="007E236D">
      <w:pPr>
        <w:rPr>
          <w:b/>
          <w:iCs/>
        </w:rPr>
      </w:pPr>
      <w:r w:rsidRPr="007D4570">
        <w:rPr>
          <w:noProof/>
          <w:lang w:val="en-GB" w:eastAsia="en-GB"/>
        </w:rPr>
        <w:drawing>
          <wp:inline distT="0" distB="0" distL="0" distR="0" wp14:anchorId="464C1743" wp14:editId="36ADF946">
            <wp:extent cx="5374256" cy="867417"/>
            <wp:effectExtent l="0" t="0" r="0" b="8890"/>
            <wp:docPr id="28" name="Picture 28" descr="Study C4591007 Phase II/III Summary of geometric mean ratios (NT50), comparison of one month post-Dose 2 and one month post-Dose 3, in participants without evidence of infection aged from 5 to under 12 years of age (immunogenicity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58424"/>
                    <a:stretch/>
                  </pic:blipFill>
                  <pic:spPr bwMode="auto">
                    <a:xfrm>
                      <a:off x="0" y="0"/>
                      <a:ext cx="5484117" cy="885149"/>
                    </a:xfrm>
                    <a:prstGeom prst="rect">
                      <a:avLst/>
                    </a:prstGeom>
                    <a:ln>
                      <a:noFill/>
                    </a:ln>
                    <a:extLst>
                      <a:ext uri="{53640926-AAD7-44D8-BBD7-CCE9431645EC}">
                        <a14:shadowObscured xmlns:a14="http://schemas.microsoft.com/office/drawing/2010/main"/>
                      </a:ext>
                    </a:extLst>
                  </pic:spPr>
                </pic:pic>
              </a:graphicData>
            </a:graphic>
          </wp:inline>
        </w:drawing>
      </w:r>
    </w:p>
    <w:p w14:paraId="73244A58" w14:textId="286DC7B4" w:rsidR="002A6B05" w:rsidRPr="002A6B05" w:rsidRDefault="002A6B05" w:rsidP="002A6B05">
      <w:pPr>
        <w:pStyle w:val="TableDescription"/>
      </w:pPr>
      <w:r w:rsidRPr="002A6B05">
        <w:t>Abbreviations: GMR = geometric mean ratio; GMT = geometric mean titre; LLOQ = lower limit of quantitation; NAAT = nucleic acid amplification test; N-binding = SARS</w:t>
      </w:r>
      <w:r>
        <w:t>-</w:t>
      </w:r>
      <w:r w:rsidRPr="002A6B05">
        <w:t>CoV-2 nucleoprote</w:t>
      </w:r>
      <w:r>
        <w:t>in–binding; NT50 = 50% neutralising tit</w:t>
      </w:r>
      <w:r w:rsidRPr="002A6B05">
        <w:t>r</w:t>
      </w:r>
      <w:r>
        <w:t>e</w:t>
      </w:r>
      <w:r w:rsidRPr="002A6B05">
        <w:t>; SARS-CoV-2 = severe acute respiratory syndrome coronavirus 2.</w:t>
      </w:r>
    </w:p>
    <w:p w14:paraId="59DA6354" w14:textId="3E7FA55B" w:rsidR="002A6B05" w:rsidRPr="002A6B05" w:rsidRDefault="002A6B05" w:rsidP="002A6B05">
      <w:pPr>
        <w:pStyle w:val="TableDescription"/>
      </w:pPr>
      <w:r w:rsidRPr="002A6B05">
        <w:t>Note: Participants included in this analysis had no serological or virological evidence of pa</w:t>
      </w:r>
      <w:r>
        <w:t xml:space="preserve">st SARS-CoV-2 infection up to one </w:t>
      </w:r>
      <w:r w:rsidRPr="002A6B05">
        <w:t>month post–Dose 3</w:t>
      </w:r>
      <w:r>
        <w:t xml:space="preserve"> study blood sample collection. </w:t>
      </w:r>
      <w:r w:rsidRPr="002A6B05">
        <w:t>Having no evidence of p</w:t>
      </w:r>
      <w:r>
        <w:t xml:space="preserve">ast SARS-CoV-2 infection up to one </w:t>
      </w:r>
      <w:r w:rsidRPr="002A6B05">
        <w:t>month post–Dose 3 was defined as having a negative N-binding antibody (serum) resu</w:t>
      </w:r>
      <w:r>
        <w:t xml:space="preserve">lt at the Dose 1, one month post–Dose 2, Dose 3 and one </w:t>
      </w:r>
      <w:r w:rsidRPr="002A6B05">
        <w:t xml:space="preserve">month post–Dose 3 study visits; a negative </w:t>
      </w:r>
      <w:r>
        <w:t xml:space="preserve">NAAT (nasal swab) result at the </w:t>
      </w:r>
      <w:r w:rsidRPr="002A6B05">
        <w:t>Dose 1, Dose 2, and Dose 3 study visits and any u</w:t>
      </w:r>
      <w:r>
        <w:t xml:space="preserve">nscheduled visit prior to the one </w:t>
      </w:r>
      <w:r w:rsidRPr="002A6B05">
        <w:t>month post–Dose 3 study blood sample collection; and no medical history of COVID-19.</w:t>
      </w:r>
    </w:p>
    <w:p w14:paraId="2A216855" w14:textId="77777777" w:rsidR="002A6B05" w:rsidRPr="002A6B05" w:rsidRDefault="002A6B05" w:rsidP="002A6B05">
      <w:pPr>
        <w:pStyle w:val="TableDescription"/>
      </w:pPr>
      <w:r w:rsidRPr="002A6B05">
        <w:t>a. Protocol-specified timing for blood sample collection.</w:t>
      </w:r>
    </w:p>
    <w:p w14:paraId="5EAC3E0C" w14:textId="77777777" w:rsidR="002A6B05" w:rsidRPr="002A6B05" w:rsidRDefault="002A6B05" w:rsidP="002A6B05">
      <w:pPr>
        <w:pStyle w:val="TableDescription"/>
      </w:pPr>
      <w:r w:rsidRPr="002A6B05">
        <w:t>b. n = Number of participants with valid and determinate assay results for the specified assay at both sampling time points.</w:t>
      </w:r>
    </w:p>
    <w:p w14:paraId="60746B03" w14:textId="2F50D747" w:rsidR="002A6B05" w:rsidRPr="002A6B05" w:rsidRDefault="002A6B05" w:rsidP="002A6B05">
      <w:pPr>
        <w:pStyle w:val="TableDescription"/>
      </w:pPr>
      <w:r w:rsidRPr="002A6B05">
        <w:t xml:space="preserve">c. GMTs and 2-sided 95% CIs were calculated by exponentiating the mean logarithm of the </w:t>
      </w:r>
      <w:r w:rsidR="007A0D27" w:rsidRPr="002A6B05">
        <w:t>titres</w:t>
      </w:r>
      <w:r w:rsidRPr="002A6B05">
        <w:t xml:space="preserve"> and the corresponding CIs (based on the </w:t>
      </w:r>
      <w:proofErr w:type="gramStart"/>
      <w:r w:rsidRPr="002A6B05">
        <w:t>Student</w:t>
      </w:r>
      <w:proofErr w:type="gramEnd"/>
      <w:r>
        <w:t xml:space="preserve"> t distribution). Assay results below the LLOQ were set to 0.5 × </w:t>
      </w:r>
      <w:r w:rsidRPr="002A6B05">
        <w:t>LLOQ.</w:t>
      </w:r>
    </w:p>
    <w:p w14:paraId="3C7ADD6A" w14:textId="256E3530" w:rsidR="002A6B05" w:rsidRPr="002A6B05" w:rsidRDefault="002A6B05" w:rsidP="002A6B05">
      <w:pPr>
        <w:pStyle w:val="TableDescription"/>
      </w:pPr>
      <w:r w:rsidRPr="002A6B05">
        <w:t>d. GMRs and 2-sided 95% CIs were calculated by exponentiating the mean difference of the logarit</w:t>
      </w:r>
      <w:r>
        <w:t>hms of the titres (</w:t>
      </w:r>
      <w:proofErr w:type="gramStart"/>
      <w:r>
        <w:t>one month</w:t>
      </w:r>
      <w:proofErr w:type="gramEnd"/>
      <w:r>
        <w:t xml:space="preserve"> post-Dose 3 minus one month </w:t>
      </w:r>
      <w:r w:rsidRPr="002A6B05">
        <w:t>post–Dose 2) and the corresponding CI (based on the 1-sample Student t distribution).</w:t>
      </w:r>
    </w:p>
    <w:p w14:paraId="57AEB7A8" w14:textId="2F2AD398" w:rsidR="007D4570" w:rsidRPr="007D4570" w:rsidRDefault="007E236D" w:rsidP="0011024E">
      <w:pPr>
        <w:pStyle w:val="Heading5"/>
        <w:rPr>
          <w:rFonts w:eastAsia="MS Mincho"/>
          <w:lang w:eastAsia="ja-JP"/>
        </w:rPr>
      </w:pPr>
      <w:r>
        <w:rPr>
          <w:rFonts w:eastAsia="MS Mincho"/>
          <w:lang w:eastAsia="ja-JP"/>
        </w:rPr>
        <w:t>Geom</w:t>
      </w:r>
      <w:r w:rsidR="0011024E">
        <w:rPr>
          <w:rFonts w:eastAsia="MS Mincho"/>
          <w:lang w:eastAsia="ja-JP"/>
        </w:rPr>
        <w:t>etric mean fold rise in titres</w:t>
      </w:r>
    </w:p>
    <w:p w14:paraId="299B1842" w14:textId="2F2C8C70" w:rsidR="00420994" w:rsidRPr="007D4570" w:rsidRDefault="007D4570" w:rsidP="007D4570">
      <w:pPr>
        <w:tabs>
          <w:tab w:val="num" w:pos="2325"/>
        </w:tabs>
        <w:rPr>
          <w:iCs/>
        </w:rPr>
      </w:pPr>
      <w:r w:rsidRPr="007D4570">
        <w:rPr>
          <w:iCs/>
        </w:rPr>
        <w:t xml:space="preserve">The </w:t>
      </w:r>
      <w:r w:rsidR="00AA4138">
        <w:rPr>
          <w:iCs/>
        </w:rPr>
        <w:t>geometric mean fold rise (</w:t>
      </w:r>
      <w:r w:rsidRPr="007D4570">
        <w:rPr>
          <w:iCs/>
        </w:rPr>
        <w:t>GMFR</w:t>
      </w:r>
      <w:r w:rsidR="00AA4138">
        <w:rPr>
          <w:iCs/>
        </w:rPr>
        <w:t>)</w:t>
      </w:r>
      <w:r w:rsidRPr="007D4570">
        <w:rPr>
          <w:iCs/>
        </w:rPr>
        <w:t xml:space="preserve"> of SARS-CoV-2 50% serum neut</w:t>
      </w:r>
      <w:r w:rsidR="007E236D">
        <w:rPr>
          <w:iCs/>
        </w:rPr>
        <w:t>ralising titres</w:t>
      </w:r>
      <w:r w:rsidR="0011024E">
        <w:rPr>
          <w:iCs/>
        </w:rPr>
        <w:t xml:space="preserve"> (for the reference SARS-CoV-2 strain)</w:t>
      </w:r>
      <w:r w:rsidR="007E236D">
        <w:rPr>
          <w:iCs/>
        </w:rPr>
        <w:t xml:space="preserve"> from Dose 3 to one</w:t>
      </w:r>
      <w:r w:rsidRPr="007D4570">
        <w:rPr>
          <w:iCs/>
        </w:rPr>
        <w:t xml:space="preserve"> month after Dose 3 was 10.0 (95% CI: 8.1, 12.4) among the 67 participants in the evaluable immunogenicity population without prior evidence of SARS-CoV-2 infection. Results in populations including participants with prior SARS-CoV-2 infection also demonstrated increased fold-rise in titres after Dose 3, albeit of a smaller magnitude than that observed in participants without previous infection.</w:t>
      </w:r>
    </w:p>
    <w:p w14:paraId="00DA326B" w14:textId="64752DCF" w:rsidR="008C3866" w:rsidRPr="008C3866" w:rsidRDefault="008C3866" w:rsidP="009D36C2">
      <w:pPr>
        <w:pStyle w:val="Tabletitle0"/>
        <w:pageBreakBefore/>
        <w:rPr>
          <w:iCs/>
        </w:rPr>
      </w:pPr>
      <w:r>
        <w:lastRenderedPageBreak/>
        <w:t xml:space="preserve">Table </w:t>
      </w:r>
      <w:r w:rsidR="00BC0ACB">
        <w:fldChar w:fldCharType="begin"/>
      </w:r>
      <w:r w:rsidR="00BC0ACB">
        <w:instrText xml:space="preserve"> SEQ Table \* ARABIC </w:instrText>
      </w:r>
      <w:r w:rsidR="00BC0ACB">
        <w:fldChar w:fldCharType="separate"/>
      </w:r>
      <w:r w:rsidR="001E0AB7">
        <w:rPr>
          <w:noProof/>
        </w:rPr>
        <w:t>13</w:t>
      </w:r>
      <w:r w:rsidR="00BC0ACB">
        <w:rPr>
          <w:noProof/>
        </w:rPr>
        <w:fldChar w:fldCharType="end"/>
      </w:r>
      <w:r>
        <w:t xml:space="preserve">: Study C4591007 Phase II/III </w:t>
      </w:r>
      <w:r>
        <w:rPr>
          <w:bCs/>
        </w:rPr>
        <w:t>Summary of geometric mean fold ratios</w:t>
      </w:r>
      <w:r>
        <w:t xml:space="preserve"> (NT50), in participants aged from 5 to under 12 years of age (immunogenicity set, evaluable immunogenicity population)</w:t>
      </w:r>
    </w:p>
    <w:p w14:paraId="5F0B6EF2" w14:textId="730A64ED" w:rsidR="007D4570" w:rsidRDefault="007D4570" w:rsidP="007D4570">
      <w:pPr>
        <w:tabs>
          <w:tab w:val="num" w:pos="2325"/>
        </w:tabs>
        <w:rPr>
          <w:b/>
          <w:bCs/>
          <w:iCs/>
        </w:rPr>
      </w:pPr>
      <w:r w:rsidRPr="007D4570">
        <w:rPr>
          <w:noProof/>
          <w:lang w:val="en-GB" w:eastAsia="en-GB"/>
        </w:rPr>
        <w:drawing>
          <wp:inline distT="0" distB="0" distL="0" distR="0" wp14:anchorId="6284FBE5" wp14:editId="04E36D5F">
            <wp:extent cx="5305245" cy="150075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48418"/>
                    <a:stretch/>
                  </pic:blipFill>
                  <pic:spPr bwMode="auto">
                    <a:xfrm>
                      <a:off x="0" y="0"/>
                      <a:ext cx="5329874" cy="1507717"/>
                    </a:xfrm>
                    <a:prstGeom prst="rect">
                      <a:avLst/>
                    </a:prstGeom>
                    <a:ln>
                      <a:noFill/>
                    </a:ln>
                    <a:extLst>
                      <a:ext uri="{53640926-AAD7-44D8-BBD7-CCE9431645EC}">
                        <a14:shadowObscured xmlns:a14="http://schemas.microsoft.com/office/drawing/2010/main"/>
                      </a:ext>
                    </a:extLst>
                  </pic:spPr>
                </pic:pic>
              </a:graphicData>
            </a:graphic>
          </wp:inline>
        </w:drawing>
      </w:r>
    </w:p>
    <w:p w14:paraId="085F1577" w14:textId="0C48F5AD" w:rsidR="00420994" w:rsidRDefault="00AA4138" w:rsidP="00420994">
      <w:pPr>
        <w:pStyle w:val="TableDescription"/>
      </w:pPr>
      <w:r w:rsidRPr="00AA4138">
        <w:t>Abbreviations: GMFR = geometric mean fold rise; LLOQ = lower limit of quantitation; NT</w:t>
      </w:r>
      <w:r w:rsidR="00420994">
        <w:t>50</w:t>
      </w:r>
      <w:r w:rsidRPr="00AA4138">
        <w:t xml:space="preserve"> = 50% neutralising </w:t>
      </w:r>
      <w:r w:rsidR="00420994" w:rsidRPr="00AA4138">
        <w:t>titre</w:t>
      </w:r>
      <w:r w:rsidR="00420994">
        <w:t>; SARS-CoV-</w:t>
      </w:r>
      <w:r w:rsidRPr="00AA4138">
        <w:t>severe acute r</w:t>
      </w:r>
      <w:r w:rsidR="00420994">
        <w:t>espiratory syndrome coronavirus </w:t>
      </w:r>
      <w:r w:rsidRPr="00AA4138">
        <w:t>2.</w:t>
      </w:r>
    </w:p>
    <w:p w14:paraId="0F1D23B6" w14:textId="525B4E1B" w:rsidR="00420994" w:rsidRDefault="00AA4138" w:rsidP="00420994">
      <w:pPr>
        <w:pStyle w:val="TableDescription"/>
      </w:pPr>
      <w:r w:rsidRPr="00AA4138">
        <w:t>* Participants included in this analysis had no sero</w:t>
      </w:r>
      <w:r w:rsidR="00420994">
        <w:t xml:space="preserve">logical or virological evidence </w:t>
      </w:r>
      <w:r w:rsidRPr="00AA4138">
        <w:t>of past SARS-CoV-2 infe</w:t>
      </w:r>
      <w:r w:rsidR="007A0D27">
        <w:t xml:space="preserve">ction up to one </w:t>
      </w:r>
      <w:r w:rsidRPr="00AA4138">
        <w:t>month post-Dose 3 study blood sample collection, Having</w:t>
      </w:r>
      <w:r w:rsidR="00420994">
        <w:t xml:space="preserve"> no evidence of past SARS-CoV-2 infection up to one </w:t>
      </w:r>
      <w:r w:rsidRPr="00AA4138">
        <w:t xml:space="preserve">month post-Dose 3 was defined as having a negative N-binding antibody </w:t>
      </w:r>
      <w:r w:rsidR="00420994">
        <w:t xml:space="preserve">(serum) result at the Dose 1, one month </w:t>
      </w:r>
      <w:r w:rsidRPr="00AA4138">
        <w:t>post-Dos</w:t>
      </w:r>
      <w:r w:rsidR="00420994">
        <w:t xml:space="preserve">e 2 (if available), Dose 3 and one </w:t>
      </w:r>
      <w:r w:rsidRPr="00AA4138">
        <w:t>month post-Dose 3 study visits; a negative NAAT (nasal swab</w:t>
      </w:r>
      <w:r w:rsidR="00420994">
        <w:t xml:space="preserve">) result at the Dose 1, Dose 2, </w:t>
      </w:r>
      <w:r w:rsidRPr="00AA4138">
        <w:t>and Dose 8 study visits and any unscheduled vi</w:t>
      </w:r>
      <w:r w:rsidR="00420994">
        <w:t xml:space="preserve">sit prior to the one </w:t>
      </w:r>
      <w:r w:rsidRPr="00AA4138">
        <w:t>month post-Dose 3 study blood sa</w:t>
      </w:r>
      <w:r w:rsidR="00420994">
        <w:t>mple collection; and no medical history of COVID</w:t>
      </w:r>
      <w:r w:rsidR="00420994">
        <w:noBreakHyphen/>
        <w:t>19.</w:t>
      </w:r>
    </w:p>
    <w:p w14:paraId="0590FD4D" w14:textId="64748870" w:rsidR="00420994" w:rsidRDefault="00AA4138" w:rsidP="00420994">
      <w:pPr>
        <w:pStyle w:val="TableDescription"/>
      </w:pPr>
      <w:proofErr w:type="gramStart"/>
      <w:r w:rsidRPr="00AA4138">
        <w:t>a,</w:t>
      </w:r>
      <w:proofErr w:type="gramEnd"/>
      <w:r w:rsidRPr="00AA4138">
        <w:t xml:space="preserve"> Protocol-specified timi</w:t>
      </w:r>
      <w:r w:rsidR="00420994">
        <w:t>ng for blood sample collection.</w:t>
      </w:r>
    </w:p>
    <w:p w14:paraId="50170EBF" w14:textId="77777777" w:rsidR="00420994" w:rsidRDefault="00AA4138" w:rsidP="00420994">
      <w:pPr>
        <w:pStyle w:val="TableDescription"/>
      </w:pPr>
      <w:r w:rsidRPr="00AA4138">
        <w:t>b. n= Number</w:t>
      </w:r>
      <w:r w:rsidR="00420994">
        <w:t xml:space="preserve"> of participants with valid and </w:t>
      </w:r>
      <w:r w:rsidRPr="00AA4138">
        <w:t>determinate assay results for the specified assay at both before Dose 3 and the g</w:t>
      </w:r>
      <w:r w:rsidR="00420994">
        <w:t>iven dose /sampling time point.</w:t>
      </w:r>
    </w:p>
    <w:p w14:paraId="729408E1" w14:textId="3A5DDC3E" w:rsidR="00AA4138" w:rsidRPr="00AA4138" w:rsidRDefault="00AA4138" w:rsidP="00420994">
      <w:pPr>
        <w:pStyle w:val="TableDescription"/>
      </w:pPr>
      <w:r w:rsidRPr="00AA4138">
        <w:t xml:space="preserve">c. </w:t>
      </w:r>
      <w:r w:rsidR="00420994">
        <w:t>GMFRs and 2-</w:t>
      </w:r>
      <w:r w:rsidRPr="00AA4138">
        <w:t>sided 95% CIs were calculated by exponentiating the mean logarithm of the fold rises and the cor</w:t>
      </w:r>
      <w:r w:rsidR="00420994">
        <w:t>responding Cis (based on the 1-</w:t>
      </w:r>
      <w:r w:rsidRPr="00AA4138">
        <w:t>sample Student t distribution). Assay results below the LLOQ were set to 0.5 x LLOQ</w:t>
      </w:r>
      <w:r w:rsidR="00420994">
        <w:t xml:space="preserve"> </w:t>
      </w:r>
      <w:r w:rsidRPr="00AA4138">
        <w:t>in the analysis.</w:t>
      </w:r>
    </w:p>
    <w:p w14:paraId="54AC2B21" w14:textId="302BDFBA" w:rsidR="007D4570" w:rsidRPr="007D4570" w:rsidRDefault="0011024E" w:rsidP="0011024E">
      <w:pPr>
        <w:pStyle w:val="Heading5"/>
        <w:rPr>
          <w:rFonts w:eastAsia="MS Mincho"/>
          <w:lang w:eastAsia="ja-JP"/>
        </w:rPr>
      </w:pPr>
      <w:r>
        <w:rPr>
          <w:rFonts w:eastAsia="MS Mincho"/>
          <w:lang w:eastAsia="ja-JP"/>
        </w:rPr>
        <w:t>Seroresponse rate</w:t>
      </w:r>
    </w:p>
    <w:p w14:paraId="6BFF7C6F" w14:textId="04AE711A" w:rsidR="007D4570" w:rsidRPr="007D4570" w:rsidRDefault="007D4570" w:rsidP="007D4570">
      <w:pPr>
        <w:rPr>
          <w:lang w:eastAsia="ja-JP"/>
        </w:rPr>
      </w:pPr>
      <w:r w:rsidRPr="007D4570">
        <w:rPr>
          <w:lang w:eastAsia="ja-JP"/>
        </w:rPr>
        <w:t>Among the total set of participants in the evaluable immunogenicity population without prior evidence of SARS-CoV-2 infection, the observed proportion of participants</w:t>
      </w:r>
      <w:r w:rsidR="008C3866">
        <w:rPr>
          <w:lang w:eastAsia="ja-JP"/>
        </w:rPr>
        <w:t xml:space="preserve"> who achieved seroresponse at one </w:t>
      </w:r>
      <w:r w:rsidRPr="007D4570">
        <w:rPr>
          <w:lang w:eastAsia="ja-JP"/>
        </w:rPr>
        <w:t>month after Dose 2 (n = 96) was 100.0% (95% CI: 96.2, 100.0). The seroresponse rate had waned to 77.6% (95% CI: 65.8, 86.9) in this population prior to Dose 3, and increased to 9</w:t>
      </w:r>
      <w:r w:rsidR="008C3866">
        <w:rPr>
          <w:lang w:eastAsia="ja-JP"/>
        </w:rPr>
        <w:t xml:space="preserve">8.5% (95% CI: 92.0, 100.0) at </w:t>
      </w:r>
      <w:proofErr w:type="gramStart"/>
      <w:r w:rsidR="008C3866">
        <w:rPr>
          <w:lang w:eastAsia="ja-JP"/>
        </w:rPr>
        <w:t xml:space="preserve">one </w:t>
      </w:r>
      <w:r w:rsidRPr="007D4570">
        <w:rPr>
          <w:lang w:eastAsia="ja-JP"/>
        </w:rPr>
        <w:t>month</w:t>
      </w:r>
      <w:proofErr w:type="gramEnd"/>
      <w:r w:rsidRPr="007D4570">
        <w:rPr>
          <w:lang w:eastAsia="ja-JP"/>
        </w:rPr>
        <w:t xml:space="preserve"> post-Dose 3. The dif</w:t>
      </w:r>
      <w:r w:rsidR="008C3866">
        <w:rPr>
          <w:lang w:eastAsia="ja-JP"/>
        </w:rPr>
        <w:t>ference in seroresponse rates (one month after Dose 3 minus one month after Dos</w:t>
      </w:r>
      <w:r w:rsidR="00420994">
        <w:rPr>
          <w:lang w:eastAsia="ja-JP"/>
        </w:rPr>
        <w:t>e</w:t>
      </w:r>
      <w:r w:rsidR="008C3866">
        <w:rPr>
          <w:lang w:eastAsia="ja-JP"/>
        </w:rPr>
        <w:t> </w:t>
      </w:r>
      <w:r w:rsidRPr="007D4570">
        <w:rPr>
          <w:lang w:eastAsia="ja-JP"/>
        </w:rPr>
        <w:t>2) in this population was -1.5% (95% CI: -8.0, 2.4).</w:t>
      </w:r>
    </w:p>
    <w:p w14:paraId="43559A4C" w14:textId="70B81F5A" w:rsidR="007D4570" w:rsidRPr="007D4570" w:rsidRDefault="007D4570" w:rsidP="007D4570">
      <w:pPr>
        <w:rPr>
          <w:lang w:eastAsia="ja-JP"/>
        </w:rPr>
      </w:pPr>
      <w:r w:rsidRPr="007D4570">
        <w:rPr>
          <w:lang w:eastAsia="ja-JP"/>
        </w:rPr>
        <w:t>The observed proportion of part</w:t>
      </w:r>
      <w:r w:rsidR="008C3866">
        <w:rPr>
          <w:lang w:eastAsia="ja-JP"/>
        </w:rPr>
        <w:t xml:space="preserve">icipants with seroresponse at </w:t>
      </w:r>
      <w:proofErr w:type="gramStart"/>
      <w:r w:rsidR="008C3866">
        <w:rPr>
          <w:lang w:eastAsia="ja-JP"/>
        </w:rPr>
        <w:t>one month</w:t>
      </w:r>
      <w:proofErr w:type="gramEnd"/>
      <w:r w:rsidR="008C3866">
        <w:rPr>
          <w:lang w:eastAsia="ja-JP"/>
        </w:rPr>
        <w:t xml:space="preserve"> post-Dose 2, pre-Dose 3, and </w:t>
      </w:r>
      <w:r w:rsidR="007A0D27">
        <w:rPr>
          <w:lang w:eastAsia="ja-JP"/>
        </w:rPr>
        <w:t>one</w:t>
      </w:r>
      <w:r w:rsidR="007A0D27" w:rsidRPr="007D4570">
        <w:rPr>
          <w:lang w:eastAsia="ja-JP"/>
        </w:rPr>
        <w:t xml:space="preserve"> month</w:t>
      </w:r>
      <w:r w:rsidRPr="007D4570">
        <w:rPr>
          <w:lang w:eastAsia="ja-JP"/>
        </w:rPr>
        <w:t xml:space="preserve"> post-Dose 3 were 100.0% (9</w:t>
      </w:r>
      <w:r w:rsidR="00420994">
        <w:rPr>
          <w:lang w:eastAsia="ja-JP"/>
        </w:rPr>
        <w:t>5% CI: 80.5, 100.0), 70.6% (95% </w:t>
      </w:r>
      <w:r w:rsidRPr="007D4570">
        <w:rPr>
          <w:lang w:eastAsia="ja-JP"/>
        </w:rPr>
        <w:t>CI: 44.0, 89.7), and 100.0% (95% CI: 80.5, 1</w:t>
      </w:r>
      <w:r w:rsidR="00420994">
        <w:rPr>
          <w:lang w:eastAsia="ja-JP"/>
        </w:rPr>
        <w:t>00.0) respectively among the 17 </w:t>
      </w:r>
      <w:r w:rsidRPr="007D4570">
        <w:rPr>
          <w:lang w:eastAsia="ja-JP"/>
        </w:rPr>
        <w:t>participants without prior evidence of SARS-CoV-2 infection in the 3-dose s</w:t>
      </w:r>
      <w:r w:rsidR="008C3866">
        <w:rPr>
          <w:lang w:eastAsia="ja-JP"/>
        </w:rPr>
        <w:t xml:space="preserve">et with assay results at both one month post-Dose 2 and at one </w:t>
      </w:r>
      <w:r w:rsidRPr="007D4570">
        <w:rPr>
          <w:lang w:eastAsia="ja-JP"/>
        </w:rPr>
        <w:t>month post-Dose 3. The diff</w:t>
      </w:r>
      <w:r w:rsidR="008C3866">
        <w:rPr>
          <w:lang w:eastAsia="ja-JP"/>
        </w:rPr>
        <w:t xml:space="preserve">erence in seroresponse rates (one month after Dose 3 minus one </w:t>
      </w:r>
      <w:r w:rsidRPr="007D4570">
        <w:rPr>
          <w:lang w:eastAsia="ja-JP"/>
        </w:rPr>
        <w:t>month after Dose 2) in this population was 0.0% (95% CI: -1</w:t>
      </w:r>
      <w:r w:rsidR="008C3866">
        <w:rPr>
          <w:lang w:eastAsia="ja-JP"/>
        </w:rPr>
        <w:t>0.3, 10.3).</w:t>
      </w:r>
    </w:p>
    <w:p w14:paraId="36EE06B4" w14:textId="7124B3BE" w:rsidR="00DB5CD7" w:rsidRPr="007D4570" w:rsidRDefault="007D4570" w:rsidP="0011024E">
      <w:pPr>
        <w:rPr>
          <w:lang w:eastAsia="ja-JP"/>
        </w:rPr>
      </w:pPr>
      <w:r w:rsidRPr="007D4570">
        <w:rPr>
          <w:lang w:eastAsia="ja-JP"/>
        </w:rPr>
        <w:t>Similar trends were observed for seroresponse rates in the evaluable immunogenicity population regardless of SARS-CoV-2 infection and all-available immunogenicity population.</w:t>
      </w:r>
    </w:p>
    <w:p w14:paraId="3EC75891" w14:textId="17470154" w:rsidR="008C3866" w:rsidRPr="008C3866" w:rsidRDefault="008C3866" w:rsidP="008C3866">
      <w:pPr>
        <w:pStyle w:val="Tabletitle0"/>
        <w:rPr>
          <w:iCs/>
        </w:rPr>
      </w:pPr>
      <w:r>
        <w:lastRenderedPageBreak/>
        <w:t xml:space="preserve">Table </w:t>
      </w:r>
      <w:r w:rsidR="00BC0ACB">
        <w:fldChar w:fldCharType="begin"/>
      </w:r>
      <w:r w:rsidR="00BC0ACB">
        <w:instrText xml:space="preserve"> SEQ Table \* ARABIC </w:instrText>
      </w:r>
      <w:r w:rsidR="00BC0ACB">
        <w:fldChar w:fldCharType="separate"/>
      </w:r>
      <w:r w:rsidR="001E0AB7">
        <w:rPr>
          <w:noProof/>
        </w:rPr>
        <w:t>14</w:t>
      </w:r>
      <w:r w:rsidR="00BC0ACB">
        <w:rPr>
          <w:noProof/>
        </w:rPr>
        <w:fldChar w:fldCharType="end"/>
      </w:r>
      <w:r>
        <w:t>: Study C4591007 Number (%) of participants with seroresponse (NT50), in participants without evidence of infection aged from 5 to under 12 years of age (immunogenicity set, evaluable immunogenicity population)</w:t>
      </w:r>
    </w:p>
    <w:p w14:paraId="3841EF62" w14:textId="62F6AC1E" w:rsidR="007D4570" w:rsidRDefault="007D4570" w:rsidP="007D4570">
      <w:pPr>
        <w:rPr>
          <w:lang w:eastAsia="ja-JP"/>
        </w:rPr>
      </w:pPr>
      <w:r w:rsidRPr="007D4570">
        <w:rPr>
          <w:noProof/>
          <w:lang w:val="en-GB" w:eastAsia="en-GB"/>
        </w:rPr>
        <w:drawing>
          <wp:inline distT="0" distB="0" distL="0" distR="0" wp14:anchorId="4B2A9578" wp14:editId="48EEE50F">
            <wp:extent cx="5443268" cy="1390668"/>
            <wp:effectExtent l="0" t="0" r="5080" b="0"/>
            <wp:docPr id="30" name="Picture 30" descr="Study C4591007 Number (%) of participants with seroresponse (NT50), in participants without evidence of infection aged from 5 to under 12 years of age (immunogenicity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9860" cy="1394907"/>
                    </a:xfrm>
                    <a:prstGeom prst="rect">
                      <a:avLst/>
                    </a:prstGeom>
                  </pic:spPr>
                </pic:pic>
              </a:graphicData>
            </a:graphic>
          </wp:inline>
        </w:drawing>
      </w:r>
    </w:p>
    <w:p w14:paraId="25CDFA58" w14:textId="65ADE233" w:rsidR="00420994" w:rsidRDefault="00420994" w:rsidP="00420994">
      <w:pPr>
        <w:pStyle w:val="TableDescription"/>
        <w:rPr>
          <w:lang w:eastAsia="ja-JP"/>
        </w:rPr>
      </w:pPr>
      <w:r>
        <w:rPr>
          <w:lang w:eastAsia="ja-JP"/>
        </w:rPr>
        <w:t>Abbreviations: LLOQ = lower limit of quantitation; NAAT = nucleic acid amplification test; N</w:t>
      </w:r>
      <w:r>
        <w:rPr>
          <w:lang w:eastAsia="ja-JP"/>
        </w:rPr>
        <w:noBreakHyphen/>
        <w:t xml:space="preserve">binding = SARS-CoV-2 nucleoprotein–binding; </w:t>
      </w:r>
      <w:r w:rsidR="00DB5CD7">
        <w:rPr>
          <w:lang w:eastAsia="ja-JP"/>
        </w:rPr>
        <w:t>NT50 = 50% neutralis</w:t>
      </w:r>
      <w:r>
        <w:rPr>
          <w:lang w:eastAsia="ja-JP"/>
        </w:rPr>
        <w:t xml:space="preserve">ing </w:t>
      </w:r>
      <w:r w:rsidR="00DB5CD7">
        <w:rPr>
          <w:lang w:eastAsia="ja-JP"/>
        </w:rPr>
        <w:t>titre</w:t>
      </w:r>
      <w:r>
        <w:rPr>
          <w:lang w:eastAsia="ja-JP"/>
        </w:rPr>
        <w:t>; Prevax = before vaccination; SARS-CoV-2 = severe acute respiratory syndrome coronavirus 2.</w:t>
      </w:r>
    </w:p>
    <w:p w14:paraId="15009FDE" w14:textId="269FA7F5" w:rsidR="00420994" w:rsidRDefault="00420994" w:rsidP="00420994">
      <w:pPr>
        <w:pStyle w:val="TableDescription"/>
        <w:rPr>
          <w:lang w:eastAsia="ja-JP"/>
        </w:rPr>
      </w:pPr>
      <w:r>
        <w:rPr>
          <w:lang w:eastAsia="ja-JP"/>
        </w:rPr>
        <w:t>Note: Seroresponse is defined as achieving a ≥4-fold rise from baseline (before Dose 1). If the baseline measurement is below the LLOQ, a post</w:t>
      </w:r>
      <w:r w:rsidR="00DB5CD7">
        <w:rPr>
          <w:lang w:eastAsia="ja-JP"/>
        </w:rPr>
        <w:t>-</w:t>
      </w:r>
      <w:r>
        <w:rPr>
          <w:lang w:eastAsia="ja-JP"/>
        </w:rPr>
        <w:t>vaccination assay result ≥4 × LLOQ is considered a seroresponse.</w:t>
      </w:r>
    </w:p>
    <w:p w14:paraId="3EE7F287" w14:textId="57E1DB65" w:rsidR="00420994" w:rsidRDefault="00420994" w:rsidP="00420994">
      <w:pPr>
        <w:pStyle w:val="TableDescription"/>
        <w:rPr>
          <w:lang w:eastAsia="ja-JP"/>
        </w:rPr>
      </w:pPr>
      <w:r>
        <w:rPr>
          <w:lang w:eastAsia="ja-JP"/>
        </w:rPr>
        <w:t xml:space="preserve">Note: 3-Dose immunogenicity set included the first 130 participants received Dose 3 and completed one month post–Dose 3 visit prior to </w:t>
      </w:r>
      <w:r w:rsidR="00533746">
        <w:rPr>
          <w:lang w:eastAsia="ja-JP"/>
        </w:rPr>
        <w:t xml:space="preserve">15 </w:t>
      </w:r>
      <w:r>
        <w:rPr>
          <w:lang w:eastAsia="ja-JP"/>
        </w:rPr>
        <w:t>March 2022. Among those, 30 had blood sample collection at one month post–Dose 2. 2-Dose immunogenicity set included extra 67 participants randomly selected from previous Dose-2 evaluable immunogenicity population and withou</w:t>
      </w:r>
      <w:r w:rsidR="007A0D27">
        <w:rPr>
          <w:lang w:eastAsia="ja-JP"/>
        </w:rPr>
        <w:t xml:space="preserve">t evidence of infection up to one </w:t>
      </w:r>
      <w:r>
        <w:rPr>
          <w:lang w:eastAsia="ja-JP"/>
        </w:rPr>
        <w:t>month post–Dose 2 subset used for 2-dose immunobridging analysis.</w:t>
      </w:r>
    </w:p>
    <w:p w14:paraId="6B8AADDC" w14:textId="24D09E93" w:rsidR="00420994" w:rsidRDefault="00420994" w:rsidP="00420994">
      <w:pPr>
        <w:pStyle w:val="TableDescription"/>
        <w:rPr>
          <w:lang w:eastAsia="ja-JP"/>
        </w:rPr>
      </w:pPr>
      <w:r>
        <w:rPr>
          <w:lang w:eastAsia="ja-JP"/>
        </w:rPr>
        <w:t xml:space="preserve">Note: Participants included in this analysis had no serological or virological evidence of past SARS-CoV-2 infection up to the </w:t>
      </w:r>
      <w:proofErr w:type="gramStart"/>
      <w:r>
        <w:rPr>
          <w:lang w:eastAsia="ja-JP"/>
        </w:rPr>
        <w:t>one month</w:t>
      </w:r>
      <w:proofErr w:type="gramEnd"/>
      <w:r>
        <w:rPr>
          <w:lang w:eastAsia="ja-JP"/>
        </w:rPr>
        <w:t xml:space="preserve"> post</w:t>
      </w:r>
      <w:r>
        <w:rPr>
          <w:lang w:eastAsia="ja-JP"/>
        </w:rPr>
        <w:noBreakHyphen/>
        <w:t>Dose 2 (for one month post</w:t>
      </w:r>
      <w:r>
        <w:rPr>
          <w:lang w:eastAsia="ja-JP"/>
        </w:rPr>
        <w:noBreakHyphen/>
        <w:t xml:space="preserve">Dose 2 </w:t>
      </w:r>
      <w:r w:rsidR="007A0D27">
        <w:rPr>
          <w:lang w:eastAsia="ja-JP"/>
        </w:rPr>
        <w:t>time point</w:t>
      </w:r>
      <w:r>
        <w:rPr>
          <w:lang w:eastAsia="ja-JP"/>
        </w:rPr>
        <w:t>) or one month post</w:t>
      </w:r>
      <w:r>
        <w:rPr>
          <w:lang w:eastAsia="ja-JP"/>
        </w:rPr>
        <w:noBreakHyphen/>
        <w:t>Dose 3 (for pre</w:t>
      </w:r>
      <w:r>
        <w:rPr>
          <w:lang w:eastAsia="ja-JP"/>
        </w:rPr>
        <w:noBreakHyphen/>
        <w:t xml:space="preserve">Dose 3 and one month post–Dose 3 </w:t>
      </w:r>
      <w:r w:rsidR="007A0D27">
        <w:rPr>
          <w:lang w:eastAsia="ja-JP"/>
        </w:rPr>
        <w:t>time points</w:t>
      </w:r>
      <w:r>
        <w:rPr>
          <w:lang w:eastAsia="ja-JP"/>
        </w:rPr>
        <w:t xml:space="preserve">) study blood sample collection. Having no evidence of past SARS-CoV-2 infection up to one month post–Dose 2 was defined as having a negative N-binding antibody (serum) result at the Dose </w:t>
      </w:r>
      <w:proofErr w:type="gramStart"/>
      <w:r>
        <w:rPr>
          <w:lang w:eastAsia="ja-JP"/>
        </w:rPr>
        <w:t>1 and one month</w:t>
      </w:r>
      <w:proofErr w:type="gramEnd"/>
      <w:r>
        <w:rPr>
          <w:lang w:eastAsia="ja-JP"/>
        </w:rPr>
        <w:t xml:space="preserve"> post–Dose 2 study visits; a negative NAAT (nasal swab) result at the Dose 1 and Dose 2 study visits and any u</w:t>
      </w:r>
      <w:r w:rsidR="007A0D27">
        <w:rPr>
          <w:lang w:eastAsia="ja-JP"/>
        </w:rPr>
        <w:t xml:space="preserve">nscheduled visit prior to the one </w:t>
      </w:r>
      <w:r>
        <w:rPr>
          <w:lang w:eastAsia="ja-JP"/>
        </w:rPr>
        <w:t xml:space="preserve">month post–Dose 2 blood sample collection; and no medical history of COVID-19. Having no evidence of past SARS-CoV-2 infection up to one </w:t>
      </w:r>
      <w:r w:rsidR="00DB5CD7">
        <w:rPr>
          <w:lang w:eastAsia="ja-JP"/>
        </w:rPr>
        <w:t>month post-</w:t>
      </w:r>
      <w:r>
        <w:rPr>
          <w:lang w:eastAsia="ja-JP"/>
        </w:rPr>
        <w:t>Dose 3 was</w:t>
      </w:r>
      <w:r w:rsidR="00DB5CD7">
        <w:rPr>
          <w:lang w:eastAsia="ja-JP"/>
        </w:rPr>
        <w:t xml:space="preserve"> defined as having a negative N</w:t>
      </w:r>
      <w:r w:rsidR="00DB5CD7">
        <w:rPr>
          <w:lang w:eastAsia="ja-JP"/>
        </w:rPr>
        <w:noBreakHyphen/>
      </w:r>
      <w:r>
        <w:rPr>
          <w:lang w:eastAsia="ja-JP"/>
        </w:rPr>
        <w:t>binding antibody (serum) res</w:t>
      </w:r>
      <w:r w:rsidR="00DB5CD7">
        <w:rPr>
          <w:lang w:eastAsia="ja-JP"/>
        </w:rPr>
        <w:t>ult at the Dose 1, one month post-Dose 2 (if available), Dose 3, and one </w:t>
      </w:r>
      <w:r>
        <w:rPr>
          <w:lang w:eastAsia="ja-JP"/>
        </w:rPr>
        <w:t>month post–Dose 3 study visits; a negative NAAT (nasal swab) result at the Dose 1, Dose 2, and Dose 3 study visits and any u</w:t>
      </w:r>
      <w:r w:rsidR="00DB5CD7">
        <w:rPr>
          <w:lang w:eastAsia="ja-JP"/>
        </w:rPr>
        <w:t xml:space="preserve">nscheduled visit prior to the one </w:t>
      </w:r>
      <w:r>
        <w:rPr>
          <w:lang w:eastAsia="ja-JP"/>
        </w:rPr>
        <w:t>mont</w:t>
      </w:r>
      <w:r w:rsidR="00DB5CD7">
        <w:rPr>
          <w:lang w:eastAsia="ja-JP"/>
        </w:rPr>
        <w:t>h post–</w:t>
      </w:r>
      <w:r>
        <w:rPr>
          <w:lang w:eastAsia="ja-JP"/>
        </w:rPr>
        <w:t>Dose 3 blood sample collection; and no medical history of COVID-19.</w:t>
      </w:r>
    </w:p>
    <w:p w14:paraId="423CB613" w14:textId="77777777" w:rsidR="00420994" w:rsidRDefault="00420994" w:rsidP="00420994">
      <w:pPr>
        <w:pStyle w:val="TableDescription"/>
        <w:rPr>
          <w:lang w:eastAsia="ja-JP"/>
        </w:rPr>
      </w:pPr>
      <w:r>
        <w:rPr>
          <w:lang w:eastAsia="ja-JP"/>
        </w:rPr>
        <w:t>a. Protocol-specified timing for blood sample collection.</w:t>
      </w:r>
    </w:p>
    <w:p w14:paraId="6393CC35" w14:textId="6DD8310A" w:rsidR="00420994" w:rsidRDefault="00420994" w:rsidP="00420994">
      <w:pPr>
        <w:pStyle w:val="TableDescription"/>
        <w:rPr>
          <w:lang w:eastAsia="ja-JP"/>
        </w:rPr>
      </w:pPr>
      <w:r>
        <w:rPr>
          <w:lang w:eastAsia="ja-JP"/>
        </w:rPr>
        <w:t xml:space="preserve">b. N = number of participants with valid and determinate assay results for the specified assay both at baseline (before Dose 1) and at the given </w:t>
      </w:r>
      <w:r w:rsidR="007A0D27">
        <w:rPr>
          <w:lang w:eastAsia="ja-JP"/>
        </w:rPr>
        <w:t xml:space="preserve">dose/sampling time point. These </w:t>
      </w:r>
      <w:r>
        <w:rPr>
          <w:lang w:eastAsia="ja-JP"/>
        </w:rPr>
        <w:t>values are the denominators for the percentage calculations.</w:t>
      </w:r>
    </w:p>
    <w:p w14:paraId="380E0BCF" w14:textId="77777777" w:rsidR="00420994" w:rsidRDefault="00420994" w:rsidP="00420994">
      <w:pPr>
        <w:pStyle w:val="TableDescription"/>
        <w:rPr>
          <w:lang w:eastAsia="ja-JP"/>
        </w:rPr>
      </w:pPr>
      <w:r>
        <w:rPr>
          <w:lang w:eastAsia="ja-JP"/>
        </w:rPr>
        <w:t>c. n = Number of participants with seroresponse for the given assay at the given dose/sampling time point.</w:t>
      </w:r>
    </w:p>
    <w:p w14:paraId="2C35DF01" w14:textId="0DE7D606" w:rsidR="00420994" w:rsidRPr="007D4570" w:rsidRDefault="00420994" w:rsidP="00420994">
      <w:pPr>
        <w:pStyle w:val="TableDescription"/>
        <w:rPr>
          <w:lang w:eastAsia="ja-JP"/>
        </w:rPr>
      </w:pPr>
      <w:r>
        <w:rPr>
          <w:lang w:eastAsia="ja-JP"/>
        </w:rPr>
        <w:t>d. Exact 2-sided CI based on the Clopper and Pearson method.</w:t>
      </w:r>
    </w:p>
    <w:p w14:paraId="175D28D9" w14:textId="53C04A70" w:rsidR="007D4570" w:rsidRPr="007D4570" w:rsidRDefault="008C3866" w:rsidP="0011024E">
      <w:pPr>
        <w:pStyle w:val="Heading5"/>
        <w:rPr>
          <w:lang w:eastAsia="ja-JP"/>
        </w:rPr>
      </w:pPr>
      <w:r>
        <w:rPr>
          <w:lang w:eastAsia="ja-JP"/>
        </w:rPr>
        <w:t>SARS-CoV-2 neutralising tit</w:t>
      </w:r>
      <w:r w:rsidR="007D4570" w:rsidRPr="007D4570">
        <w:rPr>
          <w:lang w:eastAsia="ja-JP"/>
        </w:rPr>
        <w:t>r</w:t>
      </w:r>
      <w:r>
        <w:rPr>
          <w:lang w:eastAsia="ja-JP"/>
        </w:rPr>
        <w:t xml:space="preserve">es </w:t>
      </w:r>
      <w:r w:rsidR="0011024E">
        <w:rPr>
          <w:lang w:eastAsia="ja-JP"/>
        </w:rPr>
        <w:t xml:space="preserve">for the Omicron </w:t>
      </w:r>
      <w:r>
        <w:rPr>
          <w:lang w:eastAsia="ja-JP"/>
        </w:rPr>
        <w:t>v</w:t>
      </w:r>
      <w:r w:rsidR="007D4570" w:rsidRPr="007D4570">
        <w:rPr>
          <w:lang w:eastAsia="ja-JP"/>
        </w:rPr>
        <w:t>ariant</w:t>
      </w:r>
    </w:p>
    <w:p w14:paraId="016DEBF8" w14:textId="77777777" w:rsidR="00DB5CD7" w:rsidRDefault="007D4570" w:rsidP="007D4570">
      <w:pPr>
        <w:rPr>
          <w:lang w:eastAsia="ja-JP"/>
        </w:rPr>
      </w:pPr>
      <w:r w:rsidRPr="007D4570">
        <w:rPr>
          <w:lang w:eastAsia="ja-JP"/>
        </w:rPr>
        <w:t xml:space="preserve">Immune responses to emerging variants of concern </w:t>
      </w:r>
      <w:proofErr w:type="gramStart"/>
      <w:r w:rsidRPr="007D4570">
        <w:rPr>
          <w:lang w:eastAsia="ja-JP"/>
        </w:rPr>
        <w:t>was</w:t>
      </w:r>
      <w:proofErr w:type="gramEnd"/>
      <w:r w:rsidRPr="007D4570">
        <w:rPr>
          <w:lang w:eastAsia="ja-JP"/>
        </w:rPr>
        <w:t xml:space="preserve"> an</w:t>
      </w:r>
      <w:r w:rsidR="00DB5CD7">
        <w:rPr>
          <w:lang w:eastAsia="ja-JP"/>
        </w:rPr>
        <w:t xml:space="preserve"> exploratory objective of Study C4591007.</w:t>
      </w:r>
    </w:p>
    <w:p w14:paraId="6BF4CFAA" w14:textId="6FE39CF0" w:rsidR="007D4570" w:rsidRPr="007D4570" w:rsidRDefault="00DB5CD7" w:rsidP="007D4570">
      <w:pPr>
        <w:rPr>
          <w:lang w:eastAsia="ja-JP"/>
        </w:rPr>
      </w:pPr>
      <w:r>
        <w:rPr>
          <w:lang w:eastAsia="ja-JP"/>
        </w:rPr>
        <w:t>Fl</w:t>
      </w:r>
      <w:r w:rsidRPr="00EE064D">
        <w:rPr>
          <w:lang w:eastAsia="ja-JP"/>
        </w:rPr>
        <w:t>uorescent focus reduction neutrali</w:t>
      </w:r>
      <w:r>
        <w:rPr>
          <w:lang w:eastAsia="ja-JP"/>
        </w:rPr>
        <w:t>s</w:t>
      </w:r>
      <w:r w:rsidRPr="00EE064D">
        <w:rPr>
          <w:lang w:eastAsia="ja-JP"/>
        </w:rPr>
        <w:t>ation test</w:t>
      </w:r>
      <w:r w:rsidRPr="007D4570">
        <w:rPr>
          <w:lang w:eastAsia="ja-JP"/>
        </w:rPr>
        <w:t xml:space="preserve"> </w:t>
      </w:r>
      <w:r>
        <w:rPr>
          <w:lang w:eastAsia="ja-JP"/>
        </w:rPr>
        <w:t>(</w:t>
      </w:r>
      <w:r w:rsidR="007D4570" w:rsidRPr="007D4570">
        <w:rPr>
          <w:lang w:eastAsia="ja-JP"/>
        </w:rPr>
        <w:t>FFRNT</w:t>
      </w:r>
      <w:r>
        <w:rPr>
          <w:lang w:eastAsia="ja-JP"/>
        </w:rPr>
        <w:t>)</w:t>
      </w:r>
      <w:r w:rsidR="007D4570" w:rsidRPr="007D4570">
        <w:rPr>
          <w:lang w:eastAsia="ja-JP"/>
        </w:rPr>
        <w:t xml:space="preserve"> assay (non-validated) data were provided for the evaluable immunogenicity population of participants without prior evidence of SARS-CoV-2 infection who received a third dose of </w:t>
      </w:r>
      <w:r>
        <w:rPr>
          <w:lang w:eastAsia="ja-JP"/>
        </w:rPr>
        <w:t>Comirnaty vaccine 10 µg;</w:t>
      </w:r>
      <w:r w:rsidR="007D4570" w:rsidRPr="007D4570">
        <w:rPr>
          <w:lang w:eastAsia="ja-JP"/>
        </w:rPr>
        <w:t xml:space="preserve"> 29</w:t>
      </w:r>
      <w:r>
        <w:rPr>
          <w:lang w:eastAsia="ja-JP"/>
        </w:rPr>
        <w:t xml:space="preserve"> participants</w:t>
      </w:r>
      <w:r w:rsidR="007D4570" w:rsidRPr="007D4570">
        <w:rPr>
          <w:lang w:eastAsia="ja-JP"/>
        </w:rPr>
        <w:t xml:space="preserve"> </w:t>
      </w:r>
      <w:r>
        <w:rPr>
          <w:lang w:eastAsia="ja-JP"/>
        </w:rPr>
        <w:t>had</w:t>
      </w:r>
      <w:r w:rsidR="007A0D27">
        <w:rPr>
          <w:lang w:eastAsia="ja-JP"/>
        </w:rPr>
        <w:t xml:space="preserve"> assay results available at </w:t>
      </w:r>
      <w:proofErr w:type="gramStart"/>
      <w:r w:rsidR="007A0D27">
        <w:rPr>
          <w:lang w:eastAsia="ja-JP"/>
        </w:rPr>
        <w:t xml:space="preserve">one </w:t>
      </w:r>
      <w:r w:rsidR="007D4570" w:rsidRPr="007D4570">
        <w:rPr>
          <w:lang w:eastAsia="ja-JP"/>
        </w:rPr>
        <w:t>month</w:t>
      </w:r>
      <w:proofErr w:type="gramEnd"/>
      <w:r w:rsidR="007D4570" w:rsidRPr="007D4570">
        <w:rPr>
          <w:lang w:eastAsia="ja-JP"/>
        </w:rPr>
        <w:t xml:space="preserve"> post-Dose 2 and witho</w:t>
      </w:r>
      <w:r w:rsidR="007A0D27">
        <w:rPr>
          <w:lang w:eastAsia="ja-JP"/>
        </w:rPr>
        <w:t>ut evidence of infection up to one</w:t>
      </w:r>
      <w:r w:rsidR="007D4570" w:rsidRPr="007D4570">
        <w:rPr>
          <w:lang w:eastAsia="ja-JP"/>
        </w:rPr>
        <w:t xml:space="preserve"> month after Dose 2, and n = 17 with assay results and withou</w:t>
      </w:r>
      <w:r w:rsidR="007A0D27">
        <w:rPr>
          <w:lang w:eastAsia="ja-JP"/>
        </w:rPr>
        <w:t xml:space="preserve">t evidence of infection up to one </w:t>
      </w:r>
      <w:r w:rsidR="007D4570" w:rsidRPr="007D4570">
        <w:rPr>
          <w:lang w:eastAsia="ja-JP"/>
        </w:rPr>
        <w:t xml:space="preserve">month post-Dose 3. </w:t>
      </w:r>
    </w:p>
    <w:p w14:paraId="29CFADDC" w14:textId="36434E27" w:rsidR="007D4570" w:rsidRPr="007D4570" w:rsidRDefault="007D4570" w:rsidP="007D4570">
      <w:pPr>
        <w:rPr>
          <w:lang w:eastAsia="ja-JP"/>
        </w:rPr>
      </w:pPr>
      <w:r w:rsidRPr="007D4570">
        <w:rPr>
          <w:lang w:eastAsia="ja-JP"/>
        </w:rPr>
        <w:lastRenderedPageBreak/>
        <w:t>The GMR of neutralising titres obtained in the</w:t>
      </w:r>
      <w:r w:rsidR="00DB5CD7">
        <w:rPr>
          <w:lang w:eastAsia="ja-JP"/>
        </w:rPr>
        <w:t xml:space="preserve"> FFRNT assay against Omicron versus</w:t>
      </w:r>
      <w:r w:rsidRPr="007D4570">
        <w:rPr>
          <w:lang w:eastAsia="ja-JP"/>
        </w:rPr>
        <w:t xml:space="preserve"> the reference strain was</w:t>
      </w:r>
      <w:r w:rsidR="00DB5CD7">
        <w:rPr>
          <w:lang w:eastAsia="ja-JP"/>
        </w:rPr>
        <w:t xml:space="preserve"> 0.09 (95% CI: 0.07, 0.10) at </w:t>
      </w:r>
      <w:proofErr w:type="gramStart"/>
      <w:r w:rsidR="00DB5CD7">
        <w:rPr>
          <w:lang w:eastAsia="ja-JP"/>
        </w:rPr>
        <w:t xml:space="preserve">one </w:t>
      </w:r>
      <w:r w:rsidRPr="007D4570">
        <w:rPr>
          <w:lang w:eastAsia="ja-JP"/>
        </w:rPr>
        <w:t>m</w:t>
      </w:r>
      <w:r w:rsidR="00DB5CD7">
        <w:rPr>
          <w:lang w:eastAsia="ja-JP"/>
        </w:rPr>
        <w:t>onth</w:t>
      </w:r>
      <w:proofErr w:type="gramEnd"/>
      <w:r w:rsidR="00DB5CD7">
        <w:rPr>
          <w:lang w:eastAsia="ja-JP"/>
        </w:rPr>
        <w:t xml:space="preserve"> post-Dose 2, and 0.36 (95% CI: 0.28, 0.47) at one </w:t>
      </w:r>
      <w:r w:rsidRPr="007D4570">
        <w:rPr>
          <w:lang w:eastAsia="ja-JP"/>
        </w:rPr>
        <w:t>month post-Dose 3</w:t>
      </w:r>
      <w:r w:rsidR="00DB5CD7">
        <w:rPr>
          <w:lang w:eastAsia="ja-JP"/>
        </w:rPr>
        <w:t>.</w:t>
      </w:r>
    </w:p>
    <w:p w14:paraId="1F4DA990" w14:textId="77777777" w:rsidR="007D4570" w:rsidRPr="007D4570" w:rsidRDefault="007D4570" w:rsidP="007D4570">
      <w:pPr>
        <w:rPr>
          <w:lang w:eastAsia="ja-JP"/>
        </w:rPr>
      </w:pPr>
      <w:r w:rsidRPr="007D4570">
        <w:rPr>
          <w:lang w:eastAsia="ja-JP"/>
        </w:rPr>
        <w:t>These data are however interpreted with caution given the small participant numbers and use of a non-validated assay.</w:t>
      </w:r>
    </w:p>
    <w:p w14:paraId="553C7E9C" w14:textId="62283859" w:rsidR="00C12E1A" w:rsidRDefault="00C12E1A" w:rsidP="00C12E1A">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15</w:t>
      </w:r>
      <w:r w:rsidR="00BC0ACB">
        <w:rPr>
          <w:noProof/>
        </w:rPr>
        <w:fldChar w:fldCharType="end"/>
      </w:r>
      <w:r>
        <w:t xml:space="preserve">: Study C4591007 Phase II/III </w:t>
      </w:r>
      <w:r>
        <w:rPr>
          <w:bCs/>
        </w:rPr>
        <w:t>Summary of geometric mean titres</w:t>
      </w:r>
      <w:r>
        <w:t xml:space="preserve"> (NT50) for Omicron neutralisation subset, in participants without evidence of infection aged from 5 to under 12 years of age (immunogenicity set, evaluable immunogenicity population)</w:t>
      </w:r>
    </w:p>
    <w:p w14:paraId="12F7F8BB" w14:textId="069C40BF" w:rsidR="007D4570" w:rsidRDefault="007D4570" w:rsidP="007D4570">
      <w:pPr>
        <w:rPr>
          <w:lang w:eastAsia="ja-JP"/>
        </w:rPr>
      </w:pPr>
      <w:r w:rsidRPr="007D4570">
        <w:rPr>
          <w:noProof/>
          <w:lang w:val="en-GB" w:eastAsia="en-GB"/>
        </w:rPr>
        <w:drawing>
          <wp:inline distT="0" distB="0" distL="0" distR="0" wp14:anchorId="6B401675" wp14:editId="476B10EA">
            <wp:extent cx="5255260" cy="1775012"/>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7183" cy="1782417"/>
                    </a:xfrm>
                    <a:prstGeom prst="rect">
                      <a:avLst/>
                    </a:prstGeom>
                  </pic:spPr>
                </pic:pic>
              </a:graphicData>
            </a:graphic>
          </wp:inline>
        </w:drawing>
      </w:r>
    </w:p>
    <w:p w14:paraId="3EB41317" w14:textId="06D93EC0" w:rsidR="00DB5CD7" w:rsidRDefault="00DB5CD7" w:rsidP="00DB5CD7">
      <w:pPr>
        <w:pStyle w:val="TableDescription"/>
        <w:rPr>
          <w:lang w:eastAsia="ja-JP"/>
        </w:rPr>
      </w:pPr>
      <w:r>
        <w:rPr>
          <w:lang w:eastAsia="ja-JP"/>
        </w:rPr>
        <w:t>Abbreviations: FFRNT=fluorescence focus reduction neutralisation test; GMT = geometric mean titre; LLOQ = lower limit of quantitation; NAAT = nucleic acid amplification test; N-binding = SARS-CoV-2 nucleoprotein–binding; NT50 = 50% neutralising titre; SARS-CoV-2 = severe acute respiratory syndrome coronavirus 2.</w:t>
      </w:r>
    </w:p>
    <w:p w14:paraId="3FC9097E" w14:textId="7501C587" w:rsidR="00DB5CD7" w:rsidRDefault="00DB5CD7" w:rsidP="00DB5CD7">
      <w:pPr>
        <w:pStyle w:val="TableDescription"/>
        <w:rPr>
          <w:lang w:eastAsia="ja-JP"/>
        </w:rPr>
      </w:pPr>
      <w:r>
        <w:rPr>
          <w:lang w:eastAsia="ja-JP"/>
        </w:rPr>
        <w:t xml:space="preserve">Note: Participants included in this analysis had no serological or virological evidence of past SARS-CoV-2 infection up to the </w:t>
      </w:r>
      <w:proofErr w:type="gramStart"/>
      <w:r>
        <w:rPr>
          <w:lang w:eastAsia="ja-JP"/>
        </w:rPr>
        <w:t>one month</w:t>
      </w:r>
      <w:proofErr w:type="gramEnd"/>
      <w:r>
        <w:rPr>
          <w:lang w:eastAsia="ja-JP"/>
        </w:rPr>
        <w:t xml:space="preserve"> post–Dose 2 (for one month post–Dose 2 </w:t>
      </w:r>
      <w:r w:rsidR="007A0D27">
        <w:rPr>
          <w:lang w:eastAsia="ja-JP"/>
        </w:rPr>
        <w:t>time point</w:t>
      </w:r>
      <w:r>
        <w:rPr>
          <w:lang w:eastAsia="ja-JP"/>
        </w:rPr>
        <w:t>) or one month post</w:t>
      </w:r>
      <w:r>
        <w:rPr>
          <w:lang w:eastAsia="ja-JP"/>
        </w:rPr>
        <w:noBreakHyphen/>
        <w:t xml:space="preserve">Dose 3 (for one month post–Dose 3 </w:t>
      </w:r>
      <w:r w:rsidR="007A0D27">
        <w:rPr>
          <w:lang w:eastAsia="ja-JP"/>
        </w:rPr>
        <w:t>time point</w:t>
      </w:r>
      <w:r>
        <w:rPr>
          <w:lang w:eastAsia="ja-JP"/>
        </w:rPr>
        <w:t xml:space="preserve">) study blood sample collection. Having no evidence of past SARS-CoV-2 infection up to one month post–Dose 2 was defined as having a negative N-binding antibody (serum) result at the Dose </w:t>
      </w:r>
      <w:proofErr w:type="gramStart"/>
      <w:r>
        <w:rPr>
          <w:lang w:eastAsia="ja-JP"/>
        </w:rPr>
        <w:t>1 and one month</w:t>
      </w:r>
      <w:proofErr w:type="gramEnd"/>
      <w:r>
        <w:rPr>
          <w:lang w:eastAsia="ja-JP"/>
        </w:rPr>
        <w:t xml:space="preserve"> post–Dose 2 study visits; a negative NAAT (nasal swab) result at the Dose 1 and Dose 2 study visits and any unscheduled visit prior to the one month post–Dose 2 blood sample collection; and no medical history of COVID-19. Having no evidence of past SARS-CoV-2 infection up to one month post–Dose 3 was defined as having a negative N-binding antibody (serum) result at the Dose 1, one month post–Dose 2 (if available), Dose 3, and one month post–Dose 3 study visits; a negative NAAT (nasal swab) result at the Dose 1, Dose 2, and Dose 3 study visits and any u</w:t>
      </w:r>
      <w:r w:rsidR="007A0D27">
        <w:rPr>
          <w:lang w:eastAsia="ja-JP"/>
        </w:rPr>
        <w:t xml:space="preserve">nscheduled visit prior to the one </w:t>
      </w:r>
      <w:r>
        <w:rPr>
          <w:lang w:eastAsia="ja-JP"/>
        </w:rPr>
        <w:t>month post–Dose 3 blood sample collection; and no medical history of COVID-19.</w:t>
      </w:r>
    </w:p>
    <w:p w14:paraId="1E7E0DF4" w14:textId="77777777" w:rsidR="00DB5CD7" w:rsidRDefault="00DB5CD7" w:rsidP="00DB5CD7">
      <w:pPr>
        <w:pStyle w:val="TableDescription"/>
        <w:rPr>
          <w:lang w:eastAsia="ja-JP"/>
        </w:rPr>
      </w:pPr>
      <w:r>
        <w:rPr>
          <w:lang w:eastAsia="ja-JP"/>
        </w:rPr>
        <w:t>a. Protocol-specified timing for blood sample collection.</w:t>
      </w:r>
    </w:p>
    <w:p w14:paraId="004F91B0" w14:textId="3B785289" w:rsidR="00DB5CD7" w:rsidRDefault="00DB5CD7" w:rsidP="00DB5CD7">
      <w:pPr>
        <w:pStyle w:val="TableDescription"/>
        <w:rPr>
          <w:lang w:eastAsia="ja-JP"/>
        </w:rPr>
      </w:pPr>
      <w:r>
        <w:rPr>
          <w:lang w:eastAsia="ja-JP"/>
        </w:rPr>
        <w:t>b. n = Number of participants with valid and determinate assay results for th</w:t>
      </w:r>
      <w:r w:rsidR="0000524F">
        <w:rPr>
          <w:lang w:eastAsia="ja-JP"/>
        </w:rPr>
        <w:t xml:space="preserve">e specified assays at the given </w:t>
      </w:r>
      <w:r>
        <w:rPr>
          <w:lang w:eastAsia="ja-JP"/>
        </w:rPr>
        <w:t>dose/sampling time point.</w:t>
      </w:r>
    </w:p>
    <w:p w14:paraId="336CA1A0" w14:textId="4363A7CA" w:rsidR="00DB5CD7" w:rsidRPr="007D4570" w:rsidRDefault="00DB5CD7" w:rsidP="00DB5CD7">
      <w:pPr>
        <w:pStyle w:val="TableDescription"/>
        <w:rPr>
          <w:lang w:eastAsia="ja-JP"/>
        </w:rPr>
      </w:pPr>
      <w:r>
        <w:rPr>
          <w:lang w:eastAsia="ja-JP"/>
        </w:rPr>
        <w:t>c. GMTs and 2-sided 95% CIs were calculated by exponentiating the mean logarithm of t</w:t>
      </w:r>
      <w:r w:rsidR="0000524F">
        <w:rPr>
          <w:lang w:eastAsia="ja-JP"/>
        </w:rPr>
        <w:t xml:space="preserve">he titres and the corresponding </w:t>
      </w:r>
      <w:r>
        <w:rPr>
          <w:lang w:eastAsia="ja-JP"/>
        </w:rPr>
        <w:t xml:space="preserve">CIs (based on the </w:t>
      </w:r>
      <w:proofErr w:type="gramStart"/>
      <w:r>
        <w:rPr>
          <w:lang w:eastAsia="ja-JP"/>
        </w:rPr>
        <w:t>Student</w:t>
      </w:r>
      <w:proofErr w:type="gramEnd"/>
      <w:r>
        <w:rPr>
          <w:lang w:eastAsia="ja-JP"/>
        </w:rPr>
        <w:t xml:space="preserve"> t distribution). Assay results below the LLOQ were set to 0.5</w:t>
      </w:r>
      <w:r w:rsidR="00533746">
        <w:rPr>
          <w:lang w:eastAsia="ja-JP"/>
        </w:rPr>
        <w:t> </w:t>
      </w:r>
      <w:r>
        <w:rPr>
          <w:lang w:eastAsia="ja-JP"/>
        </w:rPr>
        <w:t>×</w:t>
      </w:r>
      <w:r w:rsidR="00533746">
        <w:rPr>
          <w:lang w:eastAsia="ja-JP"/>
        </w:rPr>
        <w:t> </w:t>
      </w:r>
      <w:r>
        <w:rPr>
          <w:lang w:eastAsia="ja-JP"/>
        </w:rPr>
        <w:t>LLOQ.</w:t>
      </w:r>
    </w:p>
    <w:p w14:paraId="0643C280" w14:textId="330106D6" w:rsidR="007D4570" w:rsidRPr="007D4570" w:rsidRDefault="0011024E" w:rsidP="00C12E1A">
      <w:pPr>
        <w:pStyle w:val="Heading4"/>
      </w:pPr>
      <w:r>
        <w:t>Study C4591007 s</w:t>
      </w:r>
      <w:r w:rsidR="007D4570" w:rsidRPr="007D4570">
        <w:t>afety</w:t>
      </w:r>
      <w:r>
        <w:t xml:space="preserve"> data</w:t>
      </w:r>
    </w:p>
    <w:p w14:paraId="70894D36" w14:textId="254711D1" w:rsidR="007D4570" w:rsidRPr="007D4570" w:rsidRDefault="007D4570" w:rsidP="007D4570">
      <w:r w:rsidRPr="007D4570">
        <w:t xml:space="preserve">Safety data were provided in the interim </w:t>
      </w:r>
      <w:r w:rsidR="00100607">
        <w:t>clinical study report for Study</w:t>
      </w:r>
      <w:r w:rsidRPr="007D4570">
        <w:t xml:space="preserve"> C4591007</w:t>
      </w:r>
      <w:r w:rsidR="00100607">
        <w:t>, along with post-marketing data</w:t>
      </w:r>
      <w:r w:rsidRPr="007D4570">
        <w:t xml:space="preserve">. Safety analyses were conducted based on the safety population which was comprised of participants who received Dose 3 of </w:t>
      </w:r>
      <w:r w:rsidR="00116AC7">
        <w:t xml:space="preserve">Comirnaty (tozinameran) </w:t>
      </w:r>
      <w:r w:rsidR="0000524F">
        <w:t>10 </w:t>
      </w:r>
      <w:r w:rsidRPr="007D4570">
        <w:t xml:space="preserve">µg by 22 February 2022 (n = 401). </w:t>
      </w:r>
    </w:p>
    <w:p w14:paraId="5E6410F8" w14:textId="10AB3C2C" w:rsidR="007D4570" w:rsidRPr="007D4570" w:rsidRDefault="007D4570" w:rsidP="007D4570">
      <w:r w:rsidRPr="007D4570">
        <w:t xml:space="preserve">Safety assessments included reactogenicity, adverse events (AEs), serious adverse events (SAEs), and </w:t>
      </w:r>
      <w:r w:rsidR="00762AA5">
        <w:t>adverse events</w:t>
      </w:r>
      <w:r w:rsidRPr="007D4570">
        <w:t xml:space="preserve"> of special interest (AESIs).</w:t>
      </w:r>
    </w:p>
    <w:p w14:paraId="3FEBD9C7" w14:textId="1F3387C3" w:rsidR="007D4570" w:rsidRPr="007D4570" w:rsidRDefault="007D4570" w:rsidP="00762AA5">
      <w:pPr>
        <w:pStyle w:val="ListBullet"/>
        <w:rPr>
          <w:lang w:eastAsia="ja-JP"/>
        </w:rPr>
      </w:pPr>
      <w:r w:rsidRPr="007D4570">
        <w:rPr>
          <w:lang w:eastAsia="ja-JP"/>
        </w:rPr>
        <w:t xml:space="preserve">Reactogenicity: local reactions, systemic events (including fever) and use of antipyretic medication were recorded each evening by the participant or participant’s </w:t>
      </w:r>
      <w:r w:rsidRPr="007D4570">
        <w:rPr>
          <w:lang w:eastAsia="ja-JP"/>
        </w:rPr>
        <w:lastRenderedPageBreak/>
        <w:t>parent/guardian for 7 days after administration of</w:t>
      </w:r>
      <w:r w:rsidR="00762AA5">
        <w:rPr>
          <w:lang w:eastAsia="ja-JP"/>
        </w:rPr>
        <w:t xml:space="preserve"> Dose 3 in the reactogenicity e</w:t>
      </w:r>
      <w:r w:rsidR="00762AA5">
        <w:rPr>
          <w:lang w:eastAsia="ja-JP"/>
        </w:rPr>
        <w:noBreakHyphen/>
      </w:r>
      <w:r w:rsidRPr="007D4570">
        <w:rPr>
          <w:lang w:eastAsia="ja-JP"/>
        </w:rPr>
        <w:t xml:space="preserve">diary. The grading scales used to assess local reactions and systemic event were based on </w:t>
      </w:r>
      <w:r w:rsidR="00762AA5">
        <w:rPr>
          <w:lang w:eastAsia="ja-JP"/>
        </w:rPr>
        <w:t xml:space="preserve">the </w:t>
      </w:r>
      <w:r w:rsidR="00762AA5" w:rsidRPr="0000524F">
        <w:rPr>
          <w:lang w:eastAsia="ja-JP"/>
        </w:rPr>
        <w:t>US Food and Drug Administration (</w:t>
      </w:r>
      <w:r w:rsidRPr="0000524F">
        <w:rPr>
          <w:lang w:eastAsia="ja-JP"/>
        </w:rPr>
        <w:t>FDA</w:t>
      </w:r>
      <w:r w:rsidR="00762AA5" w:rsidRPr="0000524F">
        <w:rPr>
          <w:lang w:eastAsia="ja-JP"/>
        </w:rPr>
        <w:t>)</w:t>
      </w:r>
      <w:r w:rsidRPr="0000524F">
        <w:rPr>
          <w:lang w:eastAsia="ja-JP"/>
        </w:rPr>
        <w:t xml:space="preserve"> </w:t>
      </w:r>
      <w:proofErr w:type="spellStart"/>
      <w:r w:rsidR="00762AA5" w:rsidRPr="0000524F">
        <w:rPr>
          <w:lang w:eastAsia="ja-JP"/>
        </w:rPr>
        <w:t>Centers</w:t>
      </w:r>
      <w:proofErr w:type="spellEnd"/>
      <w:r w:rsidR="00762AA5" w:rsidRPr="0000524F">
        <w:rPr>
          <w:lang w:eastAsia="ja-JP"/>
        </w:rPr>
        <w:t xml:space="preserve"> for Biologics Evaluation and Research (</w:t>
      </w:r>
      <w:r w:rsidRPr="0000524F">
        <w:rPr>
          <w:lang w:eastAsia="ja-JP"/>
        </w:rPr>
        <w:t>CBER</w:t>
      </w:r>
      <w:r w:rsidR="00762AA5" w:rsidRPr="0000524F">
        <w:rPr>
          <w:lang w:eastAsia="ja-JP"/>
        </w:rPr>
        <w:t>)</w:t>
      </w:r>
      <w:r w:rsidRPr="0000524F">
        <w:rPr>
          <w:lang w:eastAsia="ja-JP"/>
        </w:rPr>
        <w:t xml:space="preserve"> guidelines).</w:t>
      </w:r>
      <w:r w:rsidR="0000524F" w:rsidRPr="0000524F">
        <w:rPr>
          <w:rStyle w:val="FootnoteReference"/>
          <w:lang w:eastAsia="ja-JP"/>
        </w:rPr>
        <w:footnoteReference w:id="34"/>
      </w:r>
    </w:p>
    <w:p w14:paraId="560E7F68" w14:textId="5516FDFD" w:rsidR="007D4570" w:rsidRPr="007D4570" w:rsidRDefault="00762AA5" w:rsidP="00116AC7">
      <w:pPr>
        <w:pStyle w:val="ListBullet"/>
        <w:rPr>
          <w:lang w:eastAsia="ja-JP"/>
        </w:rPr>
      </w:pPr>
      <w:r>
        <w:rPr>
          <w:lang w:eastAsia="ja-JP"/>
        </w:rPr>
        <w:t>Adverse events</w:t>
      </w:r>
      <w:r w:rsidR="007A0D27">
        <w:rPr>
          <w:lang w:eastAsia="ja-JP"/>
        </w:rPr>
        <w:t xml:space="preserve"> were collected from Dose 3 to one</w:t>
      </w:r>
      <w:r w:rsidR="007D4570" w:rsidRPr="007D4570">
        <w:rPr>
          <w:lang w:eastAsia="ja-JP"/>
        </w:rPr>
        <w:t xml:space="preserve"> month after Dose 3, and to the data cut-off date (22 March 2022). </w:t>
      </w:r>
      <w:r>
        <w:rPr>
          <w:lang w:eastAsia="ja-JP"/>
        </w:rPr>
        <w:t>Serious adverse events</w:t>
      </w:r>
      <w:r w:rsidR="007D4570" w:rsidRPr="007D4570">
        <w:rPr>
          <w:lang w:eastAsia="ja-JP"/>
        </w:rPr>
        <w:t xml:space="preserve"> were to be collected from Dose 3 to 6 months after Dose 3. </w:t>
      </w:r>
      <w:r>
        <w:rPr>
          <w:lang w:eastAsia="ja-JP"/>
        </w:rPr>
        <w:t>Adverse events</w:t>
      </w:r>
      <w:r w:rsidR="007D4570" w:rsidRPr="007D4570">
        <w:rPr>
          <w:lang w:eastAsia="ja-JP"/>
        </w:rPr>
        <w:t xml:space="preserve"> were coded using </w:t>
      </w:r>
      <w:r>
        <w:rPr>
          <w:lang w:eastAsia="ja-JP"/>
        </w:rPr>
        <w:t>Medical Dictionary for Regulatory Affairs (</w:t>
      </w:r>
      <w:r w:rsidR="007D4570" w:rsidRPr="007D4570">
        <w:rPr>
          <w:lang w:eastAsia="ja-JP"/>
        </w:rPr>
        <w:t>MedDRA</w:t>
      </w:r>
      <w:r>
        <w:rPr>
          <w:lang w:eastAsia="ja-JP"/>
        </w:rPr>
        <w:t>)</w:t>
      </w:r>
      <w:r w:rsidR="0000524F">
        <w:rPr>
          <w:lang w:eastAsia="ja-JP"/>
        </w:rPr>
        <w:t xml:space="preserve"> Version 24.1.</w:t>
      </w:r>
      <w:r w:rsidR="0000524F">
        <w:rPr>
          <w:rStyle w:val="FootnoteReference"/>
          <w:lang w:eastAsia="ja-JP"/>
        </w:rPr>
        <w:footnoteReference w:id="35"/>
      </w:r>
    </w:p>
    <w:p w14:paraId="053AAA00" w14:textId="568DBA69" w:rsidR="007D4570" w:rsidRPr="007D4570" w:rsidRDefault="007D4570" w:rsidP="00116AC7">
      <w:pPr>
        <w:pStyle w:val="ListBullet"/>
        <w:rPr>
          <w:lang w:eastAsia="ja-JP"/>
        </w:rPr>
      </w:pPr>
      <w:r w:rsidRPr="007D4570">
        <w:rPr>
          <w:lang w:eastAsia="ja-JP"/>
        </w:rPr>
        <w:t xml:space="preserve">Myocarditis and pericarditis were protocol designated </w:t>
      </w:r>
      <w:r w:rsidR="0000524F">
        <w:rPr>
          <w:lang w:eastAsia="ja-JP"/>
        </w:rPr>
        <w:t>adverse events of special interest in Study C4591007.</w:t>
      </w:r>
    </w:p>
    <w:p w14:paraId="5CAB85C7" w14:textId="77777777" w:rsidR="0000524F" w:rsidRDefault="007D4570" w:rsidP="00100607">
      <w:r w:rsidRPr="007D4570">
        <w:t>Safety data were reported as descriptive summary stati</w:t>
      </w:r>
      <w:r w:rsidR="0000524F">
        <w:t>stics.</w:t>
      </w:r>
    </w:p>
    <w:p w14:paraId="24738257" w14:textId="130C5F2A" w:rsidR="00100607" w:rsidRPr="007D4570" w:rsidRDefault="00762AA5" w:rsidP="00100607">
      <w:r>
        <w:t>Missing reactogenicity e</w:t>
      </w:r>
      <w:r>
        <w:noBreakHyphen/>
      </w:r>
      <w:r w:rsidR="00100607">
        <w:t>diary data were not imputed.</w:t>
      </w:r>
    </w:p>
    <w:p w14:paraId="04ED0FF9" w14:textId="2108F366" w:rsidR="007D4570" w:rsidRPr="007D4570" w:rsidRDefault="0000524F" w:rsidP="00762AA5">
      <w:pPr>
        <w:pStyle w:val="Heading5"/>
      </w:pPr>
      <w:r>
        <w:t>Patient flow (</w:t>
      </w:r>
      <w:r w:rsidR="00762AA5">
        <w:t>safety p</w:t>
      </w:r>
      <w:r w:rsidR="007D4570" w:rsidRPr="007D4570">
        <w:t>opulation</w:t>
      </w:r>
      <w:r w:rsidR="00884CA6">
        <w:t>)</w:t>
      </w:r>
    </w:p>
    <w:p w14:paraId="158A76A3" w14:textId="6128C4E6" w:rsidR="007D4570" w:rsidRPr="007D4570" w:rsidRDefault="00762AA5" w:rsidP="007D4570">
      <w:r>
        <w:t>Comirnaty (tozinameran) vaccine</w:t>
      </w:r>
      <w:r w:rsidR="007D4570" w:rsidRPr="007D4570">
        <w:t xml:space="preserve"> was administered to 425 participants. There were 24</w:t>
      </w:r>
      <w:r w:rsidR="00533746">
        <w:t> </w:t>
      </w:r>
      <w:r w:rsidR="007D4570" w:rsidRPr="007D4570">
        <w:t xml:space="preserve">(5.6%) subjects who turned 12 years of age during or after the </w:t>
      </w:r>
      <w:r>
        <w:t>Comirnaty (tozinameran) vaccine</w:t>
      </w:r>
      <w:r w:rsidRPr="007D4570">
        <w:t xml:space="preserve"> </w:t>
      </w:r>
      <w:r w:rsidR="007D4570" w:rsidRPr="007D4570">
        <w:t xml:space="preserve">10 µg two-dose primary series vaccination period and thus received Dose 3 at the age-appropriate dose level of </w:t>
      </w:r>
      <w:r>
        <w:t>Comirnaty (tozinameran) vaccine</w:t>
      </w:r>
      <w:r w:rsidRPr="007D4570">
        <w:t xml:space="preserve"> </w:t>
      </w:r>
      <w:r w:rsidR="007D4570" w:rsidRPr="007D4570">
        <w:t xml:space="preserve">30 µg; these subjects were excluded from further analyses. Overall, n = 401 (94.4%) received Dose 1, Dose 2, and Dose 3 of </w:t>
      </w:r>
      <w:r>
        <w:t xml:space="preserve">Comirnaty (tozinameran) </w:t>
      </w:r>
      <w:r w:rsidR="007D4570" w:rsidRPr="007D4570">
        <w:t>10 µg (safety population). No participants were excluded from the safety population for any reason and, as of the data cut-off date (22</w:t>
      </w:r>
      <w:r>
        <w:rPr>
          <w:vertAlign w:val="superscript"/>
        </w:rPr>
        <w:t> </w:t>
      </w:r>
      <w:r w:rsidR="007D4570" w:rsidRPr="007D4570">
        <w:t>March 2022), no participants discontinued from the vaccination period or were withdrawn from the study.</w:t>
      </w:r>
    </w:p>
    <w:p w14:paraId="7BF60103" w14:textId="2A6A13ED" w:rsidR="007D4570" w:rsidRPr="007D4570" w:rsidRDefault="007D4570" w:rsidP="007D4570">
      <w:r w:rsidRPr="007D4570">
        <w:t xml:space="preserve">As of the data cut-off date, 311 (77.6%) participants who received Dose 3 of </w:t>
      </w:r>
      <w:r w:rsidR="00762AA5">
        <w:t>Comirnaty (tozinameran) 10 µg completed the visit at one</w:t>
      </w:r>
      <w:r w:rsidRPr="007D4570">
        <w:t xml:space="preserve"> month after Dose 3. </w:t>
      </w:r>
    </w:p>
    <w:p w14:paraId="2193E15E" w14:textId="07181588" w:rsidR="00762AA5" w:rsidRDefault="00762AA5" w:rsidP="00145A89">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16</w:t>
      </w:r>
      <w:r w:rsidR="00BC0ACB">
        <w:rPr>
          <w:noProof/>
        </w:rPr>
        <w:fldChar w:fldCharType="end"/>
      </w:r>
      <w:r>
        <w:t>: Study C4591007 Phase II/III Disposition of participants who received Dose 3 of Comirnaty (tozinameran) vaccine, aged from 5 to under 12 years (safety population)</w:t>
      </w:r>
    </w:p>
    <w:p w14:paraId="1C980589" w14:textId="1D1CFB13" w:rsidR="007D4570" w:rsidRDefault="007D4570" w:rsidP="007D4570">
      <w:r w:rsidRPr="007D4570">
        <w:rPr>
          <w:noProof/>
          <w:lang w:val="en-GB" w:eastAsia="en-GB"/>
        </w:rPr>
        <w:drawing>
          <wp:inline distT="0" distB="0" distL="0" distR="0" wp14:anchorId="51E9EE2D" wp14:editId="09115319">
            <wp:extent cx="5009990" cy="1597233"/>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09" r="3330" b="32106"/>
                    <a:stretch/>
                  </pic:blipFill>
                  <pic:spPr bwMode="auto">
                    <a:xfrm>
                      <a:off x="0" y="0"/>
                      <a:ext cx="5020691" cy="1600644"/>
                    </a:xfrm>
                    <a:prstGeom prst="rect">
                      <a:avLst/>
                    </a:prstGeom>
                    <a:ln>
                      <a:noFill/>
                    </a:ln>
                    <a:extLst>
                      <a:ext uri="{53640926-AAD7-44D8-BBD7-CCE9431645EC}">
                        <a14:shadowObscured xmlns:a14="http://schemas.microsoft.com/office/drawing/2010/main"/>
                      </a:ext>
                    </a:extLst>
                  </pic:spPr>
                </pic:pic>
              </a:graphicData>
            </a:graphic>
          </wp:inline>
        </w:drawing>
      </w:r>
    </w:p>
    <w:p w14:paraId="5EED64ED" w14:textId="35A6E99D" w:rsidR="004A5B27" w:rsidRDefault="004A5B27" w:rsidP="004A5B27">
      <w:pPr>
        <w:pStyle w:val="TableDescription"/>
      </w:pPr>
      <w:r>
        <w:t>Note: BNT162b2 refers to Comirnaty (tozinameran) vaccine.</w:t>
      </w:r>
    </w:p>
    <w:p w14:paraId="7BD8C830" w14:textId="75CD456D" w:rsidR="0011024E" w:rsidRDefault="0011024E" w:rsidP="004A5B27">
      <w:pPr>
        <w:pStyle w:val="TableDescription"/>
      </w:pPr>
      <w:r>
        <w:t>a. N = number of participants in the specified group. This value is the dominator for the percentage calculations.</w:t>
      </w:r>
    </w:p>
    <w:p w14:paraId="7FDB324C" w14:textId="3D977F75" w:rsidR="0011024E" w:rsidRDefault="0011024E" w:rsidP="004A5B27">
      <w:pPr>
        <w:pStyle w:val="TableDescription"/>
      </w:pPr>
      <w:r>
        <w:t>b. n = number of participants with the specified characteristic.</w:t>
      </w:r>
    </w:p>
    <w:p w14:paraId="780179CD" w14:textId="61106B30" w:rsidR="004A5B27" w:rsidRPr="007D4570" w:rsidRDefault="004A5B27" w:rsidP="004A5B27">
      <w:pPr>
        <w:pStyle w:val="TableDescription"/>
      </w:pPr>
      <w:r>
        <w:t>Data cut-off date: 22 March 2022.</w:t>
      </w:r>
    </w:p>
    <w:p w14:paraId="5002F288" w14:textId="6DA4F036" w:rsidR="007D4570" w:rsidRPr="007D4570" w:rsidRDefault="007D4570" w:rsidP="00145A89">
      <w:pPr>
        <w:pStyle w:val="Heading5"/>
        <w:rPr>
          <w:iCs/>
          <w:u w:val="single"/>
        </w:rPr>
      </w:pPr>
      <w:r w:rsidRPr="007D4570">
        <w:lastRenderedPageBreak/>
        <w:t>Baseline data</w:t>
      </w:r>
    </w:p>
    <w:p w14:paraId="7AE7493B" w14:textId="7143F2D4" w:rsidR="004A5B27" w:rsidRDefault="007D4570" w:rsidP="007D4570">
      <w:pPr>
        <w:rPr>
          <w:lang w:eastAsia="ja-JP"/>
        </w:rPr>
      </w:pPr>
      <w:proofErr w:type="gramStart"/>
      <w:r w:rsidRPr="007D4570">
        <w:rPr>
          <w:lang w:eastAsia="ja-JP"/>
        </w:rPr>
        <w:t>The majority of</w:t>
      </w:r>
      <w:proofErr w:type="gramEnd"/>
      <w:r w:rsidRPr="007D4570">
        <w:rPr>
          <w:lang w:eastAsia="ja-JP"/>
        </w:rPr>
        <w:t xml:space="preserve"> subjects were male (52.4%), White (70.1%)</w:t>
      </w:r>
      <w:r w:rsidR="004A5B27">
        <w:rPr>
          <w:lang w:eastAsia="ja-JP"/>
        </w:rPr>
        <w:t>, and negative baseline SARS</w:t>
      </w:r>
      <w:r w:rsidR="004A5B27">
        <w:rPr>
          <w:lang w:eastAsia="ja-JP"/>
        </w:rPr>
        <w:noBreakHyphen/>
      </w:r>
      <w:r w:rsidR="00145A89">
        <w:rPr>
          <w:lang w:eastAsia="ja-JP"/>
        </w:rPr>
        <w:t>Co</w:t>
      </w:r>
      <w:r w:rsidR="004A5B27">
        <w:rPr>
          <w:lang w:eastAsia="ja-JP"/>
        </w:rPr>
        <w:t>V-2 status at B</w:t>
      </w:r>
      <w:r w:rsidRPr="007D4570">
        <w:rPr>
          <w:lang w:eastAsia="ja-JP"/>
        </w:rPr>
        <w:t>aseline (94.5%). The median age at D</w:t>
      </w:r>
      <w:r w:rsidR="00145A89">
        <w:rPr>
          <w:lang w:eastAsia="ja-JP"/>
        </w:rPr>
        <w:t>ose 1 was 8.0 </w:t>
      </w:r>
      <w:r w:rsidRPr="007D4570">
        <w:rPr>
          <w:lang w:eastAsia="ja-JP"/>
        </w:rPr>
        <w:t xml:space="preserve">years. All </w:t>
      </w:r>
      <w:r w:rsidR="004A5B27">
        <w:rPr>
          <w:lang w:eastAsia="ja-JP"/>
        </w:rPr>
        <w:t>participants were from the USA.</w:t>
      </w:r>
      <w:r w:rsidR="00206347">
        <w:rPr>
          <w:lang w:eastAsia="ja-JP"/>
        </w:rPr>
        <w:t xml:space="preserve"> See </w:t>
      </w:r>
      <w:r w:rsidR="00206347">
        <w:rPr>
          <w:lang w:eastAsia="ja-JP"/>
        </w:rPr>
        <w:fldChar w:fldCharType="begin"/>
      </w:r>
      <w:r w:rsidR="00206347">
        <w:rPr>
          <w:lang w:eastAsia="ja-JP"/>
        </w:rPr>
        <w:instrText xml:space="preserve"> REF _Ref114647942 \h </w:instrText>
      </w:r>
      <w:r w:rsidR="00206347">
        <w:rPr>
          <w:lang w:eastAsia="ja-JP"/>
        </w:rPr>
      </w:r>
      <w:r w:rsidR="00206347">
        <w:rPr>
          <w:lang w:eastAsia="ja-JP"/>
        </w:rPr>
        <w:fldChar w:fldCharType="separate"/>
      </w:r>
      <w:r w:rsidR="00206347">
        <w:t xml:space="preserve">Table </w:t>
      </w:r>
      <w:r w:rsidR="00206347">
        <w:rPr>
          <w:noProof/>
        </w:rPr>
        <w:t>17</w:t>
      </w:r>
      <w:r w:rsidR="00206347">
        <w:rPr>
          <w:lang w:eastAsia="ja-JP"/>
        </w:rPr>
        <w:fldChar w:fldCharType="end"/>
      </w:r>
      <w:r w:rsidR="00206347">
        <w:rPr>
          <w:lang w:eastAsia="ja-JP"/>
        </w:rPr>
        <w:t xml:space="preserve"> below, for further data.</w:t>
      </w:r>
    </w:p>
    <w:p w14:paraId="57301588" w14:textId="67E904CF" w:rsidR="00206347" w:rsidRDefault="00206347" w:rsidP="00206347">
      <w:pPr>
        <w:pStyle w:val="Tabletitle0"/>
      </w:pPr>
      <w:bookmarkStart w:id="79" w:name="_Ref114647942"/>
      <w:r>
        <w:t xml:space="preserve">Table </w:t>
      </w:r>
      <w:r w:rsidR="00BC0ACB">
        <w:fldChar w:fldCharType="begin"/>
      </w:r>
      <w:r w:rsidR="00BC0ACB">
        <w:instrText xml:space="preserve"> SEQ Table \* ARABIC </w:instrText>
      </w:r>
      <w:r w:rsidR="00BC0ACB">
        <w:fldChar w:fldCharType="separate"/>
      </w:r>
      <w:r w:rsidR="001E0AB7">
        <w:rPr>
          <w:noProof/>
        </w:rPr>
        <w:t>17</w:t>
      </w:r>
      <w:r w:rsidR="00BC0ACB">
        <w:rPr>
          <w:noProof/>
        </w:rPr>
        <w:fldChar w:fldCharType="end"/>
      </w:r>
      <w:bookmarkEnd w:id="79"/>
      <w:r>
        <w:t>: Study C4591007 Phase II/III Demographic characteristics of participants who received Dose 3 of Comirnaty (tozinameran) aged from 5 to under 12 years of age (safety population)</w:t>
      </w:r>
    </w:p>
    <w:p w14:paraId="43125EDB" w14:textId="5EDF7439" w:rsidR="009717C3" w:rsidRPr="009717C3" w:rsidRDefault="009717C3" w:rsidP="009717C3">
      <w:r>
        <w:rPr>
          <w:noProof/>
          <w:lang w:val="en-GB" w:eastAsia="en-GB"/>
        </w:rPr>
        <w:drawing>
          <wp:inline distT="0" distB="0" distL="0" distR="0" wp14:anchorId="195AE6DC" wp14:editId="7E3E7E87">
            <wp:extent cx="4518212" cy="4122724"/>
            <wp:effectExtent l="0" t="0" r="0" b="0"/>
            <wp:docPr id="6" name="Picture 6" descr="Study C4591007 Phase II/III Demographic characteristics of participants who received Dose 3 of Comirnaty (tozinameran) aged from 5 to under 12 years of ag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LJA\AppData\Local\Microsoft\Windows\INetCache\Content.Word\Screenshot 2022-09-21 01400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5548" cy="4147667"/>
                    </a:xfrm>
                    <a:prstGeom prst="rect">
                      <a:avLst/>
                    </a:prstGeom>
                    <a:noFill/>
                    <a:ln>
                      <a:noFill/>
                    </a:ln>
                  </pic:spPr>
                </pic:pic>
              </a:graphicData>
            </a:graphic>
          </wp:inline>
        </w:drawing>
      </w:r>
    </w:p>
    <w:p w14:paraId="296D896D" w14:textId="6CDF1D33" w:rsidR="004A5B27" w:rsidRDefault="009717C3" w:rsidP="007D4570">
      <w:pPr>
        <w:rPr>
          <w:lang w:eastAsia="ja-JP"/>
        </w:rPr>
      </w:pPr>
      <w:r>
        <w:rPr>
          <w:noProof/>
          <w:lang w:val="en-GB" w:eastAsia="en-GB"/>
        </w:rPr>
        <w:drawing>
          <wp:inline distT="0" distB="0" distL="0" distR="0" wp14:anchorId="4899BD03" wp14:editId="0CC03F5B">
            <wp:extent cx="4463767" cy="707214"/>
            <wp:effectExtent l="0" t="0" r="0" b="0"/>
            <wp:docPr id="10" name="Picture 10" descr="Study C4591007 Phase II/III Demographic characteristics of participants who received Dose 3 of Comirnaty (tozinameran) aged from 5 to under 12 years of ag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LJA\AppData\Local\Microsoft\Windows\INetCache\Content.Word\Screenshot 2022-09-21 01412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49990"/>
                    <a:stretch/>
                  </pic:blipFill>
                  <pic:spPr bwMode="auto">
                    <a:xfrm>
                      <a:off x="0" y="0"/>
                      <a:ext cx="4619030" cy="731813"/>
                    </a:xfrm>
                    <a:prstGeom prst="rect">
                      <a:avLst/>
                    </a:prstGeom>
                    <a:noFill/>
                    <a:ln>
                      <a:noFill/>
                    </a:ln>
                    <a:extLst>
                      <a:ext uri="{53640926-AAD7-44D8-BBD7-CCE9431645EC}">
                        <a14:shadowObscured xmlns:a14="http://schemas.microsoft.com/office/drawing/2010/main"/>
                      </a:ext>
                    </a:extLst>
                  </pic:spPr>
                </pic:pic>
              </a:graphicData>
            </a:graphic>
          </wp:inline>
        </w:drawing>
      </w:r>
    </w:p>
    <w:p w14:paraId="69610144" w14:textId="31FCF63E" w:rsidR="00206347" w:rsidRDefault="00206347" w:rsidP="00206347">
      <w:pPr>
        <w:pStyle w:val="TableDescription"/>
        <w:rPr>
          <w:lang w:eastAsia="ja-JP"/>
        </w:rPr>
      </w:pPr>
      <w:r>
        <w:rPr>
          <w:lang w:eastAsia="ja-JP"/>
        </w:rPr>
        <w:t xml:space="preserve">Abbreviations: CDC = </w:t>
      </w:r>
      <w:proofErr w:type="spellStart"/>
      <w:r>
        <w:rPr>
          <w:lang w:eastAsia="ja-JP"/>
        </w:rPr>
        <w:t>Centers</w:t>
      </w:r>
      <w:proofErr w:type="spellEnd"/>
      <w:r>
        <w:rPr>
          <w:lang w:eastAsia="ja-JP"/>
        </w:rPr>
        <w:t xml:space="preserve"> for Disease Control and Prevention; MMWR = Morbidity and Mortality Weekly Report; NAAT = nucleic acid amplification test; N-binding = SARS-CoV-2 nucleoprotein-binding; SARS-CoV-2 = severe acute respiratory syndrome coronavirus 2.</w:t>
      </w:r>
    </w:p>
    <w:p w14:paraId="497A8344" w14:textId="77777777" w:rsidR="00206347" w:rsidRDefault="00206347" w:rsidP="00206347">
      <w:pPr>
        <w:pStyle w:val="TableDescription"/>
        <w:rPr>
          <w:lang w:eastAsia="ja-JP"/>
        </w:rPr>
      </w:pPr>
      <w:r>
        <w:rPr>
          <w:lang w:eastAsia="ja-JP"/>
        </w:rPr>
        <w:t>a. N = number of participants in the specified group. This value is the denominator for the percentage calculations.</w:t>
      </w:r>
    </w:p>
    <w:p w14:paraId="7C0AA150" w14:textId="77777777" w:rsidR="00206347" w:rsidRDefault="00206347" w:rsidP="00206347">
      <w:pPr>
        <w:pStyle w:val="TableDescription"/>
        <w:rPr>
          <w:lang w:eastAsia="ja-JP"/>
        </w:rPr>
      </w:pPr>
      <w:r>
        <w:rPr>
          <w:lang w:eastAsia="ja-JP"/>
        </w:rPr>
        <w:t>b. n = Number of participants with the specified characteristic.</w:t>
      </w:r>
    </w:p>
    <w:p w14:paraId="0652C46B" w14:textId="43E831F5" w:rsidR="00206347" w:rsidRDefault="00206347" w:rsidP="00206347">
      <w:pPr>
        <w:pStyle w:val="TableDescription"/>
        <w:rPr>
          <w:lang w:eastAsia="ja-JP"/>
        </w:rPr>
      </w:pPr>
      <w:r>
        <w:rPr>
          <w:lang w:eastAsia="ja-JP"/>
        </w:rPr>
        <w:t xml:space="preserve">c. Obese is defined as a body mass index (BMI) at or above the 95th percentile according to the growth chart. Refer to the CDC growth charts at </w:t>
      </w:r>
      <w:hyperlink r:id="rId41" w:history="1">
        <w:r w:rsidRPr="00153D18">
          <w:rPr>
            <w:rStyle w:val="Hyperlink"/>
            <w:lang w:eastAsia="ja-JP"/>
          </w:rPr>
          <w:t>https://www.cdc.gov/growthcharts/html_charts/bmiagerev.htm</w:t>
        </w:r>
      </w:hyperlink>
      <w:r>
        <w:rPr>
          <w:lang w:eastAsia="ja-JP"/>
        </w:rPr>
        <w:t xml:space="preserve"> </w:t>
      </w:r>
    </w:p>
    <w:p w14:paraId="3045EA94" w14:textId="77777777" w:rsidR="00206347" w:rsidRDefault="00206347" w:rsidP="00206347">
      <w:pPr>
        <w:pStyle w:val="TableDescription"/>
        <w:rPr>
          <w:lang w:eastAsia="ja-JP"/>
        </w:rPr>
      </w:pPr>
      <w:r>
        <w:rPr>
          <w:lang w:eastAsia="ja-JP"/>
        </w:rPr>
        <w:t>d. Positive N-binding antibody result at Dose 1, positive NAAT result at Dose 1, or medical history of COVID-19.</w:t>
      </w:r>
    </w:p>
    <w:p w14:paraId="054501F7" w14:textId="77777777" w:rsidR="00206347" w:rsidRDefault="00206347" w:rsidP="00206347">
      <w:pPr>
        <w:pStyle w:val="TableDescription"/>
        <w:rPr>
          <w:lang w:eastAsia="ja-JP"/>
        </w:rPr>
      </w:pPr>
      <w:r>
        <w:rPr>
          <w:lang w:eastAsia="ja-JP"/>
        </w:rPr>
        <w:t>e. Negative N-binding antibody result at Dose 1, negative NAAT result at Dose 1, and no medical history of COVID-19.</w:t>
      </w:r>
    </w:p>
    <w:p w14:paraId="56B7661E" w14:textId="7177FFED" w:rsidR="00206347" w:rsidRDefault="00206347" w:rsidP="00206347">
      <w:pPr>
        <w:pStyle w:val="TableDescription"/>
        <w:rPr>
          <w:lang w:eastAsia="ja-JP"/>
        </w:rPr>
      </w:pPr>
      <w:r>
        <w:rPr>
          <w:lang w:eastAsia="ja-JP"/>
        </w:rPr>
        <w:lastRenderedPageBreak/>
        <w:t xml:space="preserve">f. Number of participants who have </w:t>
      </w:r>
      <w:r w:rsidR="007A0D27">
        <w:rPr>
          <w:lang w:eastAsia="ja-JP"/>
        </w:rPr>
        <w:t>one</w:t>
      </w:r>
      <w:r>
        <w:rPr>
          <w:lang w:eastAsia="ja-JP"/>
        </w:rPr>
        <w:t xml:space="preserve"> or more comorbidities that increase the risk of s</w:t>
      </w:r>
      <w:r w:rsidR="001A204F">
        <w:rPr>
          <w:lang w:eastAsia="ja-JP"/>
        </w:rPr>
        <w:t xml:space="preserve">evere COVID-19 disease: defined </w:t>
      </w:r>
      <w:r>
        <w:rPr>
          <w:lang w:eastAsia="ja-JP"/>
        </w:rPr>
        <w:t xml:space="preserve">as participants who had at least </w:t>
      </w:r>
      <w:r w:rsidR="007A0D27">
        <w:rPr>
          <w:lang w:eastAsia="ja-JP"/>
        </w:rPr>
        <w:t>one</w:t>
      </w:r>
      <w:r>
        <w:rPr>
          <w:lang w:eastAsia="ja-JP"/>
        </w:rPr>
        <w:t xml:space="preserve"> of the prespecified comorbidities based on MMWR </w:t>
      </w:r>
      <w:proofErr w:type="spellStart"/>
      <w:r>
        <w:rPr>
          <w:lang w:eastAsia="ja-JP"/>
        </w:rPr>
        <w:t>Morb</w:t>
      </w:r>
      <w:proofErr w:type="spellEnd"/>
      <w:r>
        <w:rPr>
          <w:lang w:eastAsia="ja-JP"/>
        </w:rPr>
        <w:t xml:space="preserve"> Mortal </w:t>
      </w:r>
      <w:proofErr w:type="spellStart"/>
      <w:r>
        <w:rPr>
          <w:lang w:eastAsia="ja-JP"/>
        </w:rPr>
        <w:t>Wkly</w:t>
      </w:r>
      <w:proofErr w:type="spellEnd"/>
      <w:r>
        <w:rPr>
          <w:lang w:eastAsia="ja-JP"/>
        </w:rPr>
        <w:t xml:space="preserve"> Rep. 2020;69(32):1081-8 and/or obesity (BMI ≥ 95th percentile).</w:t>
      </w:r>
    </w:p>
    <w:p w14:paraId="33E1F74A" w14:textId="77777777" w:rsidR="00206347" w:rsidRPr="007D4570" w:rsidRDefault="00206347" w:rsidP="00206347">
      <w:pPr>
        <w:rPr>
          <w:lang w:eastAsia="ja-JP"/>
        </w:rPr>
      </w:pPr>
      <w:r w:rsidRPr="007D4570">
        <w:rPr>
          <w:lang w:eastAsia="ja-JP"/>
        </w:rPr>
        <w:t xml:space="preserve">Obesity was reported for 9.7% participants and </w:t>
      </w:r>
      <w:bookmarkStart w:id="80" w:name="_Hlk109241958"/>
      <w:r w:rsidRPr="007D4570">
        <w:rPr>
          <w:lang w:eastAsia="ja-JP"/>
        </w:rPr>
        <w:t xml:space="preserve">there were 29.7% participants with co-morbidities that increase the risk of severe COVID-19 disease </w:t>
      </w:r>
      <w:bookmarkEnd w:id="80"/>
      <w:r w:rsidRPr="007D4570">
        <w:rPr>
          <w:lang w:eastAsia="ja-JP"/>
        </w:rPr>
        <w:t xml:space="preserve">(including obesity). </w:t>
      </w:r>
      <w:r>
        <w:rPr>
          <w:rFonts w:cs="Arial"/>
          <w:lang w:eastAsia="ja-JP"/>
        </w:rPr>
        <w:t>The s</w:t>
      </w:r>
      <w:r w:rsidRPr="007D4570">
        <w:rPr>
          <w:rFonts w:cs="Arial"/>
          <w:lang w:eastAsia="ja-JP"/>
        </w:rPr>
        <w:t xml:space="preserve">ponsor was requested to provide the table of co-morbidities, however, </w:t>
      </w:r>
      <w:r w:rsidRPr="007D4570">
        <w:rPr>
          <w:lang w:eastAsia="ja-JP"/>
        </w:rPr>
        <w:t xml:space="preserve">stated the </w:t>
      </w:r>
      <w:r>
        <w:rPr>
          <w:lang w:eastAsia="ja-JP"/>
        </w:rPr>
        <w:t>clinical study report</w:t>
      </w:r>
      <w:r w:rsidRPr="007D4570">
        <w:rPr>
          <w:lang w:eastAsia="ja-JP"/>
        </w:rPr>
        <w:t xml:space="preserve"> did not include additional tables of co-morbidities that increase the risk of severe COVID-19 disease.</w:t>
      </w:r>
    </w:p>
    <w:p w14:paraId="7ED8A81F" w14:textId="77777777" w:rsidR="00206347" w:rsidRPr="007D4570" w:rsidRDefault="00206347" w:rsidP="00206347">
      <w:pPr>
        <w:rPr>
          <w:lang w:eastAsia="ja-JP"/>
        </w:rPr>
      </w:pPr>
      <w:r w:rsidRPr="007D4570">
        <w:rPr>
          <w:lang w:eastAsia="ja-JP"/>
        </w:rPr>
        <w:t xml:space="preserve">In terms of medical history, the </w:t>
      </w:r>
      <w:proofErr w:type="gramStart"/>
      <w:r w:rsidRPr="007D4570">
        <w:rPr>
          <w:lang w:eastAsia="ja-JP"/>
        </w:rPr>
        <w:t>most commonly reported</w:t>
      </w:r>
      <w:proofErr w:type="gramEnd"/>
      <w:r w:rsidRPr="007D4570">
        <w:rPr>
          <w:lang w:eastAsia="ja-JP"/>
        </w:rPr>
        <w:t xml:space="preserve"> </w:t>
      </w:r>
      <w:r>
        <w:rPr>
          <w:lang w:eastAsia="ja-JP"/>
        </w:rPr>
        <w:t>System Organ Classes (</w:t>
      </w:r>
      <w:r w:rsidRPr="007D4570">
        <w:rPr>
          <w:lang w:eastAsia="ja-JP"/>
        </w:rPr>
        <w:t>SOCs</w:t>
      </w:r>
      <w:r>
        <w:rPr>
          <w:lang w:eastAsia="ja-JP"/>
        </w:rPr>
        <w:t>)</w:t>
      </w:r>
      <w:r w:rsidRPr="007D4570">
        <w:rPr>
          <w:lang w:eastAsia="ja-JP"/>
        </w:rPr>
        <w:t xml:space="preserve"> and </w:t>
      </w:r>
      <w:r>
        <w:rPr>
          <w:lang w:eastAsia="ja-JP"/>
        </w:rPr>
        <w:t>Preferred Terms (</w:t>
      </w:r>
      <w:r w:rsidRPr="007D4570">
        <w:rPr>
          <w:lang w:eastAsia="ja-JP"/>
        </w:rPr>
        <w:t>PTs</w:t>
      </w:r>
      <w:r>
        <w:rPr>
          <w:lang w:eastAsia="ja-JP"/>
        </w:rPr>
        <w:t xml:space="preserve">), reported in ≥ 2% of participants, </w:t>
      </w:r>
      <w:r w:rsidRPr="007D4570">
        <w:rPr>
          <w:lang w:eastAsia="ja-JP"/>
        </w:rPr>
        <w:t xml:space="preserve">were: </w:t>
      </w:r>
    </w:p>
    <w:p w14:paraId="58B6B016" w14:textId="77777777" w:rsidR="00206347" w:rsidRPr="007D4570" w:rsidRDefault="00206347" w:rsidP="00206347">
      <w:pPr>
        <w:pStyle w:val="ListBullet"/>
        <w:rPr>
          <w:rFonts w:eastAsiaTheme="minorHAnsi"/>
          <w:lang w:eastAsia="ja-JP"/>
        </w:rPr>
      </w:pPr>
      <w:r w:rsidRPr="000E75A8">
        <w:rPr>
          <w:i/>
          <w:lang w:eastAsia="ja-JP"/>
        </w:rPr>
        <w:t>Immune systems disorders</w:t>
      </w:r>
      <w:r w:rsidRPr="007D4570">
        <w:rPr>
          <w:lang w:eastAsia="ja-JP"/>
        </w:rPr>
        <w:t xml:space="preserve"> (25.4%): seasonal allergy (19.7%), food allergy (3.0%), drug hypersensitivity (2.5%)</w:t>
      </w:r>
    </w:p>
    <w:p w14:paraId="738E1B86" w14:textId="77777777" w:rsidR="00206347" w:rsidRPr="007D4570" w:rsidRDefault="00206347" w:rsidP="00206347">
      <w:pPr>
        <w:pStyle w:val="ListBullet"/>
        <w:rPr>
          <w:rFonts w:eastAsiaTheme="minorHAnsi"/>
          <w:lang w:eastAsia="ja-JP"/>
        </w:rPr>
      </w:pPr>
      <w:r w:rsidRPr="000E75A8">
        <w:rPr>
          <w:i/>
          <w:lang w:eastAsia="ja-JP"/>
        </w:rPr>
        <w:t>Respiratory, thoracic, and mediastinal disorders</w:t>
      </w:r>
      <w:r w:rsidRPr="007D4570">
        <w:rPr>
          <w:lang w:eastAsia="ja-JP"/>
        </w:rPr>
        <w:t xml:space="preserve"> (13.0%): asthma (7.7%)</w:t>
      </w:r>
    </w:p>
    <w:p w14:paraId="2DC2D439" w14:textId="77777777" w:rsidR="00206347" w:rsidRPr="007D4570" w:rsidRDefault="00206347" w:rsidP="00206347">
      <w:pPr>
        <w:pStyle w:val="ListBullet"/>
        <w:rPr>
          <w:rFonts w:eastAsiaTheme="minorHAnsi"/>
          <w:lang w:eastAsia="ja-JP"/>
        </w:rPr>
      </w:pPr>
      <w:r w:rsidRPr="000E75A8">
        <w:rPr>
          <w:i/>
          <w:lang w:eastAsia="ja-JP"/>
        </w:rPr>
        <w:t>Psychiatric disorders</w:t>
      </w:r>
      <w:r w:rsidRPr="007D4570">
        <w:rPr>
          <w:lang w:eastAsia="ja-JP"/>
        </w:rPr>
        <w:t xml:space="preserve"> (12.7%): attention deficit hyperactivity disorder (8.5%)</w:t>
      </w:r>
    </w:p>
    <w:p w14:paraId="265461F4" w14:textId="77777777" w:rsidR="00206347" w:rsidRPr="007D4570" w:rsidRDefault="00206347" w:rsidP="00206347">
      <w:pPr>
        <w:pStyle w:val="ListBullet"/>
        <w:rPr>
          <w:rFonts w:eastAsiaTheme="minorHAnsi"/>
          <w:lang w:eastAsia="ja-JP"/>
        </w:rPr>
      </w:pPr>
      <w:r w:rsidRPr="000E75A8">
        <w:rPr>
          <w:i/>
          <w:lang w:eastAsia="ja-JP"/>
        </w:rPr>
        <w:t>Skin and subcutaneous tissue disorders</w:t>
      </w:r>
      <w:r w:rsidRPr="007D4570">
        <w:rPr>
          <w:lang w:eastAsia="ja-JP"/>
        </w:rPr>
        <w:t xml:space="preserve"> (9.7%): eczema (7.0%)</w:t>
      </w:r>
    </w:p>
    <w:p w14:paraId="1B4C0B58" w14:textId="3C286B17" w:rsidR="00206347" w:rsidRPr="00206347" w:rsidRDefault="00206347" w:rsidP="000E75A8">
      <w:pPr>
        <w:rPr>
          <w:lang w:eastAsia="ja-JP"/>
        </w:rPr>
      </w:pPr>
      <w:r w:rsidRPr="007D4570">
        <w:rPr>
          <w:lang w:eastAsia="ja-JP"/>
        </w:rPr>
        <w:t xml:space="preserve">No participants in the safety population were HIV positive. One (0.2%) participant received a concomitant vaccine (influenza vaccine) after receiving Dose 3 of </w:t>
      </w:r>
      <w:r>
        <w:t xml:space="preserve">Comirnaty (tozinameran) vaccine </w:t>
      </w:r>
      <w:r>
        <w:rPr>
          <w:lang w:eastAsia="ja-JP"/>
        </w:rPr>
        <w:t>10 µg.</w:t>
      </w:r>
    </w:p>
    <w:p w14:paraId="33B94FDB" w14:textId="26643B35" w:rsidR="007D4570" w:rsidRPr="007D4570" w:rsidRDefault="007D4570" w:rsidP="00145A89">
      <w:pPr>
        <w:pStyle w:val="Heading5"/>
      </w:pPr>
      <w:r w:rsidRPr="007D4570">
        <w:t>Exposure</w:t>
      </w:r>
    </w:p>
    <w:p w14:paraId="67394A9D" w14:textId="77777777" w:rsidR="007D4570" w:rsidRPr="007D4570" w:rsidRDefault="007D4570" w:rsidP="007D4570">
      <w:r w:rsidRPr="007D4570">
        <w:t>The median (range) follow-up time after Dose 3 was 1.3 (1.0, 1.8) months.</w:t>
      </w:r>
    </w:p>
    <w:p w14:paraId="00BA4333" w14:textId="3EAA8EA9" w:rsidR="00145A89" w:rsidRDefault="007D4570" w:rsidP="007D4570">
      <w:pPr>
        <w:rPr>
          <w:rFonts w:ascii="Calibri" w:hAnsi="Calibri" w:cs="Calibri"/>
        </w:rPr>
      </w:pPr>
      <w:r w:rsidRPr="007D4570">
        <w:t>The technical issue on Day 1 i</w:t>
      </w:r>
      <w:r w:rsidR="001A204F">
        <w:t xml:space="preserve">s noted, with reactogenicity </w:t>
      </w:r>
      <w:proofErr w:type="spellStart"/>
      <w:r w:rsidR="001A204F">
        <w:t>eD</w:t>
      </w:r>
      <w:r w:rsidRPr="007D4570">
        <w:t>iary</w:t>
      </w:r>
      <w:proofErr w:type="spellEnd"/>
      <w:r w:rsidRPr="007D4570">
        <w:t xml:space="preserve"> data available for 60.8% particip</w:t>
      </w:r>
      <w:r w:rsidR="00145A89">
        <w:t>ants on Day 1 compared to 86.3% participants after Dose</w:t>
      </w:r>
      <w:r w:rsidRPr="007D4570">
        <w:t xml:space="preserve"> 1 and</w:t>
      </w:r>
      <w:r w:rsidR="00145A89">
        <w:t xml:space="preserve"> 92.0% after Dose </w:t>
      </w:r>
      <w:r w:rsidRPr="007D4570">
        <w:t>2.</w:t>
      </w:r>
      <w:bookmarkStart w:id="81" w:name="_Hlk110779105"/>
    </w:p>
    <w:p w14:paraId="1BF062DF" w14:textId="024CAAD7" w:rsidR="007D4570" w:rsidRPr="007D4570" w:rsidRDefault="007D4570" w:rsidP="007D4570">
      <w:r w:rsidRPr="007D4570">
        <w:t xml:space="preserve">In response to </w:t>
      </w:r>
      <w:r w:rsidR="00145A89">
        <w:t xml:space="preserve">TGA </w:t>
      </w:r>
      <w:r w:rsidRPr="007D4570">
        <w:t>questions</w:t>
      </w:r>
      <w:r w:rsidR="00145A89">
        <w:t>, the s</w:t>
      </w:r>
      <w:r w:rsidRPr="007D4570">
        <w:t>ponsor did not specifically address the reasons for the observed differences in pro</w:t>
      </w:r>
      <w:r w:rsidR="009717C3">
        <w:t xml:space="preserve">portion of participants with </w:t>
      </w:r>
      <w:proofErr w:type="spellStart"/>
      <w:r w:rsidR="009717C3">
        <w:t>eD</w:t>
      </w:r>
      <w:r w:rsidRPr="007D4570">
        <w:t>iary</w:t>
      </w:r>
      <w:proofErr w:type="spellEnd"/>
      <w:r w:rsidRPr="007D4570">
        <w:t xml:space="preserve"> data at all time points following Dose 3 </w:t>
      </w:r>
      <w:r w:rsidR="00145A89">
        <w:t>versus</w:t>
      </w:r>
      <w:r w:rsidRPr="007D4570">
        <w:t xml:space="preserve"> t</w:t>
      </w:r>
      <w:r w:rsidR="009717C3">
        <w:t>he first 2 doses</w:t>
      </w:r>
      <w:r w:rsidR="00145A89">
        <w:t>. However, the s</w:t>
      </w:r>
      <w:r w:rsidRPr="007D4570">
        <w:t xml:space="preserve">ponsor did clarify </w:t>
      </w:r>
      <w:bookmarkEnd w:id="81"/>
      <w:r w:rsidRPr="007D4570">
        <w:t xml:space="preserve">for those participants who did not have events recorded in the </w:t>
      </w:r>
      <w:proofErr w:type="spellStart"/>
      <w:r w:rsidRPr="007D4570">
        <w:t>eDiary</w:t>
      </w:r>
      <w:proofErr w:type="spellEnd"/>
      <w:r w:rsidRPr="007D4570">
        <w:t xml:space="preserve"> at least through Da</w:t>
      </w:r>
      <w:r w:rsidR="00145A89">
        <w:t>y 2, events were reported as adverse events</w:t>
      </w:r>
      <w:r w:rsidRPr="007D4570">
        <w:t>.</w:t>
      </w:r>
      <w:r w:rsidR="009717C3">
        <w:t xml:space="preserve"> This is considered acceptable.</w:t>
      </w:r>
    </w:p>
    <w:p w14:paraId="700DC5D2" w14:textId="737C6662" w:rsidR="007D4570" w:rsidRPr="007D4570" w:rsidRDefault="007D4570" w:rsidP="00145A89">
      <w:pPr>
        <w:pStyle w:val="Heading5"/>
      </w:pPr>
      <w:r w:rsidRPr="007D4570">
        <w:t>Reactogenicity</w:t>
      </w:r>
      <w:r w:rsidR="00E041DD">
        <w:t xml:space="preserve"> (events within 7 days after dosing)</w:t>
      </w:r>
    </w:p>
    <w:p w14:paraId="5B6B0E10" w14:textId="77777777" w:rsidR="007D4570" w:rsidRPr="007D4570" w:rsidRDefault="007D4570" w:rsidP="00145A89">
      <w:pPr>
        <w:pStyle w:val="Heading6"/>
        <w:rPr>
          <w:rFonts w:eastAsia="MS Mincho"/>
          <w:lang w:eastAsia="ja-JP"/>
        </w:rPr>
      </w:pPr>
      <w:r w:rsidRPr="007D4570">
        <w:rPr>
          <w:rFonts w:eastAsia="MS Mincho"/>
          <w:lang w:eastAsia="ja-JP"/>
        </w:rPr>
        <w:t>Local reactions</w:t>
      </w:r>
    </w:p>
    <w:p w14:paraId="3507508F" w14:textId="6141B03D" w:rsidR="007D4570" w:rsidRPr="007D4570" w:rsidRDefault="007D4570" w:rsidP="007D4570">
      <w:r w:rsidRPr="007D4570">
        <w:t xml:space="preserve">Pain at the injection site was the most common local reaction within 7 days of each dose. </w:t>
      </w:r>
      <w:proofErr w:type="gramStart"/>
      <w:r w:rsidRPr="007D4570">
        <w:t>The majority of</w:t>
      </w:r>
      <w:proofErr w:type="gramEnd"/>
      <w:r w:rsidRPr="007D4570">
        <w:t xml:space="preserve"> these reactions were mild or moderate in severity, with the proportion of subjects with moderate pain at the injection site higher after Dose 3 than the first </w:t>
      </w:r>
      <w:r w:rsidR="00145A89" w:rsidRPr="007D4570">
        <w:t>two</w:t>
      </w:r>
      <w:r w:rsidRPr="007D4570">
        <w:t xml:space="preserve"> doses. </w:t>
      </w:r>
    </w:p>
    <w:p w14:paraId="74AA4222" w14:textId="349B8163" w:rsidR="007D4570" w:rsidRPr="007D4570" w:rsidRDefault="007D4570" w:rsidP="007D4570">
      <w:r w:rsidRPr="007D4570">
        <w:t>Swelling and redness at the injection site were less common, with the incidence afte</w:t>
      </w:r>
      <w:r w:rsidR="00145A89">
        <w:t>r Dose </w:t>
      </w:r>
      <w:r w:rsidRPr="007D4570">
        <w:t>3 co</w:t>
      </w:r>
      <w:r w:rsidR="00145A89">
        <w:t>mparable to Dose 2. There were three</w:t>
      </w:r>
      <w:r w:rsidRPr="007D4570">
        <w:t xml:space="preserve"> (0.8%) participants with severe lo</w:t>
      </w:r>
      <w:r w:rsidR="00145A89">
        <w:t xml:space="preserve">cal reactions after Dose 3; </w:t>
      </w:r>
      <w:r w:rsidRPr="007D4570">
        <w:t xml:space="preserve">2 (0.5%) </w:t>
      </w:r>
      <w:r w:rsidR="00145A89">
        <w:t xml:space="preserve">participants </w:t>
      </w:r>
      <w:r w:rsidRPr="007D4570">
        <w:t>with severe pain</w:t>
      </w:r>
      <w:r w:rsidR="00145A89">
        <w:t xml:space="preserve"> at the injection site and one participant</w:t>
      </w:r>
      <w:r w:rsidRPr="007D4570">
        <w:t xml:space="preserve"> (0.3%) with severe redness at the injection site. No Grade 4 local reactions were report</w:t>
      </w:r>
      <w:r w:rsidR="00145A89">
        <w:t>ed after any dose.</w:t>
      </w:r>
    </w:p>
    <w:p w14:paraId="42B7F76E" w14:textId="6235EF56" w:rsidR="007D4570" w:rsidRPr="007D4570" w:rsidRDefault="007D4570" w:rsidP="007D4570">
      <w:r w:rsidRPr="007D4570">
        <w:t xml:space="preserve">The median onset for all local reactions after any dose of </w:t>
      </w:r>
      <w:r w:rsidR="00145A89">
        <w:t>Comirnaty (tozinameran) vaccine (</w:t>
      </w:r>
      <w:r w:rsidRPr="007D4570">
        <w:t>10 µg</w:t>
      </w:r>
      <w:r w:rsidR="00145A89">
        <w:t>)</w:t>
      </w:r>
      <w:r w:rsidRPr="007D4570">
        <w:t xml:space="preserve"> was 1 to 2 days, and all events resolved within a median duration of 1 to 2 days after onset.</w:t>
      </w:r>
    </w:p>
    <w:p w14:paraId="3A054F44" w14:textId="3BDA71E2" w:rsidR="00145A89" w:rsidRDefault="00145A89" w:rsidP="00145A89">
      <w:pPr>
        <w:pStyle w:val="FigureTitle"/>
      </w:pPr>
      <w:r>
        <w:lastRenderedPageBreak/>
        <w:t xml:space="preserve">Figure </w:t>
      </w:r>
      <w:r w:rsidR="00BC0ACB">
        <w:fldChar w:fldCharType="begin"/>
      </w:r>
      <w:r w:rsidR="00BC0ACB">
        <w:instrText xml:space="preserve"> SEQ Figure \* ARABIC </w:instrText>
      </w:r>
      <w:r w:rsidR="00BC0ACB">
        <w:fldChar w:fldCharType="separate"/>
      </w:r>
      <w:r w:rsidR="00426D5A">
        <w:rPr>
          <w:noProof/>
        </w:rPr>
        <w:t>4</w:t>
      </w:r>
      <w:r w:rsidR="00BC0ACB">
        <w:rPr>
          <w:noProof/>
        </w:rPr>
        <w:fldChar w:fldCharType="end"/>
      </w:r>
      <w:r>
        <w:t>: Study C4591007 Phase II/III Local reactions, by maximum severity, occurring within 7 days after each dose, in participants who received Dose 3 of Comirnaty (tozinameran) vaccine aged from 5 to under 12 years (safety population)</w:t>
      </w:r>
    </w:p>
    <w:p w14:paraId="464FC996" w14:textId="12F8BBB3" w:rsidR="009717C3" w:rsidRDefault="009717C3" w:rsidP="009717C3">
      <w:r>
        <w:rPr>
          <w:noProof/>
          <w:lang w:val="en-GB" w:eastAsia="en-GB"/>
        </w:rPr>
        <w:drawing>
          <wp:inline distT="0" distB="0" distL="0" distR="0" wp14:anchorId="748BA270" wp14:editId="6C05527A">
            <wp:extent cx="5382883" cy="2886460"/>
            <wp:effectExtent l="0" t="0" r="8890" b="9525"/>
            <wp:docPr id="13" name="Picture 13" descr="Study C4591007 Phase II/III Local reactions, by maximum severity, occurring within 7 days after each dose, in participants who received Dose 3 of Comirnaty (tozinameran) vaccine aged from 5 to under 12 yea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LLJA\AppData\Local\Microsoft\Windows\INetCache\Content.Word\Screenshot 2022-09-21 015057.png"/>
                    <pic:cNvPicPr>
                      <a:picLocks noChangeAspect="1" noChangeArrowheads="1"/>
                    </pic:cNvPicPr>
                  </pic:nvPicPr>
                  <pic:blipFill rotWithShape="1">
                    <a:blip r:embed="rId42">
                      <a:extLst>
                        <a:ext uri="{28A0092B-C50C-407E-A947-70E740481C1C}">
                          <a14:useLocalDpi xmlns:a14="http://schemas.microsoft.com/office/drawing/2010/main" val="0"/>
                        </a:ext>
                      </a:extLst>
                    </a:blip>
                    <a:srcRect r="1080" b="14384"/>
                    <a:stretch/>
                  </pic:blipFill>
                  <pic:spPr bwMode="auto">
                    <a:xfrm>
                      <a:off x="0" y="0"/>
                      <a:ext cx="5423201" cy="2908080"/>
                    </a:xfrm>
                    <a:prstGeom prst="rect">
                      <a:avLst/>
                    </a:prstGeom>
                    <a:noFill/>
                    <a:ln>
                      <a:noFill/>
                    </a:ln>
                    <a:extLst>
                      <a:ext uri="{53640926-AAD7-44D8-BBD7-CCE9431645EC}">
                        <a14:shadowObscured xmlns:a14="http://schemas.microsoft.com/office/drawing/2010/main"/>
                      </a:ext>
                    </a:extLst>
                  </pic:spPr>
                </pic:pic>
              </a:graphicData>
            </a:graphic>
          </wp:inline>
        </w:drawing>
      </w:r>
    </w:p>
    <w:p w14:paraId="6B4573B4" w14:textId="579B0D26" w:rsidR="001A204F" w:rsidRDefault="001A204F" w:rsidP="009717C3">
      <w:r>
        <w:rPr>
          <w:noProof/>
          <w:lang w:val="en-GB" w:eastAsia="en-GB"/>
        </w:rPr>
        <w:drawing>
          <wp:inline distT="0" distB="0" distL="0" distR="0" wp14:anchorId="657DFC39" wp14:editId="7E6CC668">
            <wp:extent cx="4543608" cy="169049"/>
            <wp:effectExtent l="0" t="0" r="0" b="2540"/>
            <wp:docPr id="14" name="Picture 14" descr="C:\Users\HILLJA\AppData\Local\Microsoft\Windows\INetCache\Content.Word\Screenshot 2022-09-21 015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LLJA\AppData\Local\Microsoft\Windows\INetCache\Content.Word\Screenshot 2022-09-21 015057.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30178" t="94939" r="24529" b="2341"/>
                    <a:stretch/>
                  </pic:blipFill>
                  <pic:spPr bwMode="auto">
                    <a:xfrm>
                      <a:off x="0" y="0"/>
                      <a:ext cx="5867016" cy="218288"/>
                    </a:xfrm>
                    <a:prstGeom prst="rect">
                      <a:avLst/>
                    </a:prstGeom>
                    <a:noFill/>
                    <a:ln>
                      <a:noFill/>
                    </a:ln>
                    <a:extLst>
                      <a:ext uri="{53640926-AAD7-44D8-BBD7-CCE9431645EC}">
                        <a14:shadowObscured xmlns:a14="http://schemas.microsoft.com/office/drawing/2010/main"/>
                      </a:ext>
                    </a:extLst>
                  </pic:spPr>
                </pic:pic>
              </a:graphicData>
            </a:graphic>
          </wp:inline>
        </w:drawing>
      </w:r>
    </w:p>
    <w:p w14:paraId="7999B62B" w14:textId="7A1203C5" w:rsidR="001A204F" w:rsidRPr="009717C3" w:rsidRDefault="001A204F" w:rsidP="001A204F">
      <w:pPr>
        <w:pStyle w:val="FigureDescription"/>
      </w:pPr>
      <w:r>
        <w:t xml:space="preserve">Numbers above each bar denotes the percentage of participants reporting </w:t>
      </w:r>
      <w:r w:rsidR="00731434">
        <w:t>the reaction with any severity.</w:t>
      </w:r>
    </w:p>
    <w:p w14:paraId="34AE5B41" w14:textId="77777777" w:rsidR="007D4570" w:rsidRPr="007D4570" w:rsidRDefault="007D4570" w:rsidP="00145A89">
      <w:pPr>
        <w:pStyle w:val="Heading6"/>
        <w:rPr>
          <w:rFonts w:eastAsia="MS Mincho"/>
          <w:lang w:eastAsia="ja-JP"/>
        </w:rPr>
      </w:pPr>
      <w:r w:rsidRPr="007D4570">
        <w:rPr>
          <w:rFonts w:eastAsia="MS Mincho"/>
          <w:lang w:eastAsia="ja-JP"/>
        </w:rPr>
        <w:t>Systemic events</w:t>
      </w:r>
    </w:p>
    <w:p w14:paraId="1FEFA5B5" w14:textId="74CDD5EE" w:rsidR="007D4570" w:rsidRPr="007D4570" w:rsidRDefault="007D4570" w:rsidP="007D4570">
      <w:r w:rsidRPr="007D4570">
        <w:t xml:space="preserve">The most common systemic events within 7 days after Dose 3 were fatigue (45.6%) and headache (34.0%). The incidence of headache and muscle pain increased after each dose, as did the use </w:t>
      </w:r>
      <w:r w:rsidR="00A11CCD">
        <w:t>of anti-pyretic/pain medication.</w:t>
      </w:r>
    </w:p>
    <w:p w14:paraId="7CADBF0B" w14:textId="56357E13" w:rsidR="007D4570" w:rsidRPr="009B448A" w:rsidRDefault="00145A89" w:rsidP="009B448A">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18</w:t>
      </w:r>
      <w:r w:rsidR="00BC0ACB">
        <w:rPr>
          <w:noProof/>
        </w:rPr>
        <w:fldChar w:fldCharType="end"/>
      </w:r>
      <w:r>
        <w:t>: Study C4591007 Phase II/III Perce</w:t>
      </w:r>
      <w:r w:rsidR="00A11CCD">
        <w:t>ntage of reported systemic events occurring within 7 days after each dose, in participants who received 3 doses of Comirnaty (tozinameran) vaccine, aged from 5 to under 12 years (safety population)</w:t>
      </w:r>
    </w:p>
    <w:tbl>
      <w:tblPr>
        <w:tblStyle w:val="TableTGAblue"/>
        <w:tblW w:w="5000" w:type="pct"/>
        <w:tblLook w:val="04A0" w:firstRow="1" w:lastRow="0" w:firstColumn="1" w:lastColumn="0" w:noHBand="0" w:noVBand="1"/>
      </w:tblPr>
      <w:tblGrid>
        <w:gridCol w:w="3420"/>
        <w:gridCol w:w="1688"/>
        <w:gridCol w:w="1688"/>
        <w:gridCol w:w="1688"/>
      </w:tblGrid>
      <w:tr w:rsidR="009B448A" w:rsidRPr="00731434" w14:paraId="3FB1C30A" w14:textId="77777777" w:rsidTr="009B448A">
        <w:trPr>
          <w:cnfStyle w:val="100000000000" w:firstRow="1" w:lastRow="0" w:firstColumn="0" w:lastColumn="0" w:oddVBand="0" w:evenVBand="0" w:oddHBand="0" w:evenHBand="0" w:firstRowFirstColumn="0" w:firstRowLastColumn="0" w:lastRowFirstColumn="0" w:lastRowLastColumn="0"/>
        </w:trPr>
        <w:tc>
          <w:tcPr>
            <w:tcW w:w="2015" w:type="pct"/>
          </w:tcPr>
          <w:p w14:paraId="7F30A085" w14:textId="5553E915" w:rsidR="009B448A" w:rsidRPr="00731434" w:rsidRDefault="009B448A" w:rsidP="009B448A">
            <w:pPr>
              <w:ind w:left="0"/>
              <w:rPr>
                <w:sz w:val="20"/>
              </w:rPr>
            </w:pPr>
            <w:r w:rsidRPr="00731434">
              <w:rPr>
                <w:sz w:val="20"/>
              </w:rPr>
              <w:t>Reported system event</w:t>
            </w:r>
          </w:p>
        </w:tc>
        <w:tc>
          <w:tcPr>
            <w:tcW w:w="995" w:type="pct"/>
          </w:tcPr>
          <w:p w14:paraId="078B10FF" w14:textId="74722420" w:rsidR="009B448A" w:rsidRPr="00731434" w:rsidRDefault="009B448A" w:rsidP="009B448A">
            <w:pPr>
              <w:rPr>
                <w:sz w:val="20"/>
              </w:rPr>
            </w:pPr>
            <w:r w:rsidRPr="00731434">
              <w:rPr>
                <w:sz w:val="20"/>
              </w:rPr>
              <w:t>Dose 1</w:t>
            </w:r>
          </w:p>
        </w:tc>
        <w:tc>
          <w:tcPr>
            <w:tcW w:w="995" w:type="pct"/>
          </w:tcPr>
          <w:p w14:paraId="7D17B1B8" w14:textId="6F680BA9" w:rsidR="009B448A" w:rsidRPr="00731434" w:rsidRDefault="009B448A" w:rsidP="009B448A">
            <w:pPr>
              <w:rPr>
                <w:sz w:val="20"/>
              </w:rPr>
            </w:pPr>
            <w:r w:rsidRPr="00731434">
              <w:rPr>
                <w:sz w:val="20"/>
              </w:rPr>
              <w:t>Dose 2</w:t>
            </w:r>
          </w:p>
        </w:tc>
        <w:tc>
          <w:tcPr>
            <w:tcW w:w="995" w:type="pct"/>
          </w:tcPr>
          <w:p w14:paraId="1109CAB2" w14:textId="00F7556A" w:rsidR="009B448A" w:rsidRPr="00731434" w:rsidRDefault="009B448A" w:rsidP="009B448A">
            <w:pPr>
              <w:rPr>
                <w:sz w:val="20"/>
              </w:rPr>
            </w:pPr>
            <w:r w:rsidRPr="00731434">
              <w:rPr>
                <w:sz w:val="20"/>
              </w:rPr>
              <w:t>Dose 3</w:t>
            </w:r>
          </w:p>
        </w:tc>
      </w:tr>
      <w:tr w:rsidR="009B448A" w:rsidRPr="00731434" w14:paraId="5C1630C2" w14:textId="77777777" w:rsidTr="009B448A">
        <w:tc>
          <w:tcPr>
            <w:tcW w:w="2015" w:type="pct"/>
          </w:tcPr>
          <w:p w14:paraId="38D8FEE4" w14:textId="30D5697B" w:rsidR="009B448A" w:rsidRPr="00731434" w:rsidRDefault="009B448A" w:rsidP="009B448A">
            <w:pPr>
              <w:ind w:left="0"/>
              <w:rPr>
                <w:sz w:val="20"/>
              </w:rPr>
            </w:pPr>
            <w:r w:rsidRPr="00731434">
              <w:rPr>
                <w:sz w:val="20"/>
              </w:rPr>
              <w:t>Fatigue</w:t>
            </w:r>
          </w:p>
        </w:tc>
        <w:tc>
          <w:tcPr>
            <w:tcW w:w="995" w:type="pct"/>
          </w:tcPr>
          <w:p w14:paraId="4E95A9D6" w14:textId="77777777" w:rsidR="009B448A" w:rsidRPr="00731434" w:rsidRDefault="009B448A" w:rsidP="009B448A">
            <w:pPr>
              <w:ind w:left="0"/>
              <w:rPr>
                <w:sz w:val="20"/>
              </w:rPr>
            </w:pPr>
            <w:r w:rsidRPr="00731434">
              <w:rPr>
                <w:sz w:val="20"/>
              </w:rPr>
              <w:t>37.4%</w:t>
            </w:r>
          </w:p>
        </w:tc>
        <w:tc>
          <w:tcPr>
            <w:tcW w:w="995" w:type="pct"/>
          </w:tcPr>
          <w:p w14:paraId="6BFF486C" w14:textId="77777777" w:rsidR="009B448A" w:rsidRPr="00731434" w:rsidRDefault="009B448A" w:rsidP="009B448A">
            <w:pPr>
              <w:ind w:left="0"/>
              <w:rPr>
                <w:sz w:val="20"/>
              </w:rPr>
            </w:pPr>
            <w:r w:rsidRPr="00731434">
              <w:rPr>
                <w:sz w:val="20"/>
              </w:rPr>
              <w:t>46.6%</w:t>
            </w:r>
          </w:p>
        </w:tc>
        <w:tc>
          <w:tcPr>
            <w:tcW w:w="995" w:type="pct"/>
          </w:tcPr>
          <w:p w14:paraId="422A1963" w14:textId="77777777" w:rsidR="009B448A" w:rsidRPr="00731434" w:rsidRDefault="009B448A" w:rsidP="009B448A">
            <w:pPr>
              <w:ind w:left="0"/>
              <w:rPr>
                <w:sz w:val="20"/>
              </w:rPr>
            </w:pPr>
            <w:r w:rsidRPr="00731434">
              <w:rPr>
                <w:sz w:val="20"/>
              </w:rPr>
              <w:t>45.6%</w:t>
            </w:r>
          </w:p>
        </w:tc>
      </w:tr>
      <w:tr w:rsidR="009B448A" w:rsidRPr="00731434" w14:paraId="49B756C4" w14:textId="77777777" w:rsidTr="009B448A">
        <w:tc>
          <w:tcPr>
            <w:tcW w:w="2015" w:type="pct"/>
          </w:tcPr>
          <w:p w14:paraId="5A595712" w14:textId="247C5163" w:rsidR="009B448A" w:rsidRPr="00731434" w:rsidRDefault="009B448A" w:rsidP="009B448A">
            <w:pPr>
              <w:ind w:left="0"/>
              <w:rPr>
                <w:sz w:val="20"/>
              </w:rPr>
            </w:pPr>
            <w:r w:rsidRPr="00731434">
              <w:rPr>
                <w:sz w:val="20"/>
              </w:rPr>
              <w:t>Headache</w:t>
            </w:r>
          </w:p>
        </w:tc>
        <w:tc>
          <w:tcPr>
            <w:tcW w:w="995" w:type="pct"/>
          </w:tcPr>
          <w:p w14:paraId="0D53E121" w14:textId="77777777" w:rsidR="009B448A" w:rsidRPr="00731434" w:rsidRDefault="009B448A" w:rsidP="009B448A">
            <w:pPr>
              <w:ind w:left="0"/>
              <w:rPr>
                <w:sz w:val="20"/>
              </w:rPr>
            </w:pPr>
            <w:r w:rsidRPr="00731434">
              <w:rPr>
                <w:sz w:val="20"/>
              </w:rPr>
              <w:t>23.6%</w:t>
            </w:r>
          </w:p>
        </w:tc>
        <w:tc>
          <w:tcPr>
            <w:tcW w:w="995" w:type="pct"/>
          </w:tcPr>
          <w:p w14:paraId="52125FFF" w14:textId="77777777" w:rsidR="009B448A" w:rsidRPr="00731434" w:rsidRDefault="009B448A" w:rsidP="009B448A">
            <w:pPr>
              <w:ind w:left="0"/>
              <w:rPr>
                <w:sz w:val="20"/>
              </w:rPr>
            </w:pPr>
            <w:r w:rsidRPr="00731434">
              <w:rPr>
                <w:sz w:val="20"/>
              </w:rPr>
              <w:t>30.1%</w:t>
            </w:r>
          </w:p>
        </w:tc>
        <w:tc>
          <w:tcPr>
            <w:tcW w:w="995" w:type="pct"/>
          </w:tcPr>
          <w:p w14:paraId="73F75157" w14:textId="77777777" w:rsidR="009B448A" w:rsidRPr="00731434" w:rsidRDefault="009B448A" w:rsidP="009B448A">
            <w:pPr>
              <w:ind w:left="0"/>
              <w:rPr>
                <w:sz w:val="20"/>
              </w:rPr>
            </w:pPr>
            <w:r w:rsidRPr="00731434">
              <w:rPr>
                <w:sz w:val="20"/>
              </w:rPr>
              <w:t>34.0%</w:t>
            </w:r>
          </w:p>
        </w:tc>
      </w:tr>
      <w:tr w:rsidR="009B448A" w:rsidRPr="00731434" w14:paraId="6D068342" w14:textId="77777777" w:rsidTr="009B448A">
        <w:tc>
          <w:tcPr>
            <w:tcW w:w="2015" w:type="pct"/>
          </w:tcPr>
          <w:p w14:paraId="19886849" w14:textId="0FB34A9F" w:rsidR="009B448A" w:rsidRPr="00731434" w:rsidRDefault="009B448A" w:rsidP="009B448A">
            <w:pPr>
              <w:ind w:left="0"/>
              <w:rPr>
                <w:sz w:val="20"/>
              </w:rPr>
            </w:pPr>
            <w:r w:rsidRPr="00731434">
              <w:rPr>
                <w:sz w:val="20"/>
              </w:rPr>
              <w:t>Muscle pain</w:t>
            </w:r>
          </w:p>
        </w:tc>
        <w:tc>
          <w:tcPr>
            <w:tcW w:w="995" w:type="pct"/>
          </w:tcPr>
          <w:p w14:paraId="4DE2A70D" w14:textId="63CBFAB0" w:rsidR="009B448A" w:rsidRPr="00731434" w:rsidRDefault="009B448A" w:rsidP="009B448A">
            <w:pPr>
              <w:ind w:left="0"/>
              <w:rPr>
                <w:sz w:val="20"/>
              </w:rPr>
            </w:pPr>
            <w:r w:rsidRPr="00731434">
              <w:rPr>
                <w:sz w:val="20"/>
              </w:rPr>
              <w:t>8.0%</w:t>
            </w:r>
          </w:p>
        </w:tc>
        <w:tc>
          <w:tcPr>
            <w:tcW w:w="995" w:type="pct"/>
          </w:tcPr>
          <w:p w14:paraId="35BD2FFD" w14:textId="4629057A" w:rsidR="009B448A" w:rsidRPr="00731434" w:rsidRDefault="009B448A" w:rsidP="009B448A">
            <w:pPr>
              <w:ind w:left="0"/>
              <w:rPr>
                <w:sz w:val="20"/>
              </w:rPr>
            </w:pPr>
            <w:r w:rsidRPr="00731434">
              <w:rPr>
                <w:sz w:val="20"/>
              </w:rPr>
              <w:t>12.5%</w:t>
            </w:r>
          </w:p>
        </w:tc>
        <w:tc>
          <w:tcPr>
            <w:tcW w:w="995" w:type="pct"/>
          </w:tcPr>
          <w:p w14:paraId="709EB9E4" w14:textId="312E5CB8" w:rsidR="009B448A" w:rsidRPr="00731434" w:rsidRDefault="009B448A" w:rsidP="009B448A">
            <w:pPr>
              <w:ind w:left="0"/>
              <w:rPr>
                <w:sz w:val="20"/>
              </w:rPr>
            </w:pPr>
            <w:r w:rsidRPr="00731434">
              <w:rPr>
                <w:sz w:val="20"/>
              </w:rPr>
              <w:t>18.3%</w:t>
            </w:r>
          </w:p>
        </w:tc>
      </w:tr>
      <w:tr w:rsidR="009B448A" w:rsidRPr="00731434" w14:paraId="6397C3C7" w14:textId="77777777" w:rsidTr="009B448A">
        <w:tc>
          <w:tcPr>
            <w:tcW w:w="2015" w:type="pct"/>
          </w:tcPr>
          <w:p w14:paraId="2DE67B08" w14:textId="73F756C9" w:rsidR="009B448A" w:rsidRPr="00731434" w:rsidRDefault="009B448A" w:rsidP="009B448A">
            <w:pPr>
              <w:ind w:left="0"/>
              <w:rPr>
                <w:sz w:val="20"/>
              </w:rPr>
            </w:pPr>
            <w:r w:rsidRPr="00731434">
              <w:rPr>
                <w:sz w:val="20"/>
              </w:rPr>
              <w:t>Chills</w:t>
            </w:r>
          </w:p>
        </w:tc>
        <w:tc>
          <w:tcPr>
            <w:tcW w:w="995" w:type="pct"/>
          </w:tcPr>
          <w:p w14:paraId="79844614" w14:textId="77777777" w:rsidR="009B448A" w:rsidRPr="00731434" w:rsidRDefault="009B448A" w:rsidP="009B448A">
            <w:pPr>
              <w:ind w:left="0"/>
              <w:rPr>
                <w:sz w:val="20"/>
              </w:rPr>
            </w:pPr>
            <w:r w:rsidRPr="00731434">
              <w:rPr>
                <w:sz w:val="20"/>
              </w:rPr>
              <w:t>6.0%</w:t>
            </w:r>
          </w:p>
        </w:tc>
        <w:tc>
          <w:tcPr>
            <w:tcW w:w="995" w:type="pct"/>
          </w:tcPr>
          <w:p w14:paraId="17D902CC" w14:textId="77777777" w:rsidR="009B448A" w:rsidRPr="00731434" w:rsidRDefault="009B448A" w:rsidP="009B448A">
            <w:pPr>
              <w:ind w:left="0"/>
              <w:rPr>
                <w:sz w:val="20"/>
              </w:rPr>
            </w:pPr>
            <w:r w:rsidRPr="00731434">
              <w:rPr>
                <w:sz w:val="20"/>
              </w:rPr>
              <w:t>10.3%</w:t>
            </w:r>
          </w:p>
        </w:tc>
        <w:tc>
          <w:tcPr>
            <w:tcW w:w="995" w:type="pct"/>
          </w:tcPr>
          <w:p w14:paraId="52D39C3A" w14:textId="77777777" w:rsidR="009B448A" w:rsidRPr="00731434" w:rsidRDefault="009B448A" w:rsidP="009B448A">
            <w:pPr>
              <w:ind w:left="0"/>
              <w:rPr>
                <w:sz w:val="20"/>
              </w:rPr>
            </w:pPr>
            <w:r w:rsidRPr="00731434">
              <w:rPr>
                <w:sz w:val="20"/>
              </w:rPr>
              <w:t>10.5%</w:t>
            </w:r>
          </w:p>
        </w:tc>
      </w:tr>
      <w:tr w:rsidR="009B448A" w:rsidRPr="00731434" w14:paraId="538E2A7D" w14:textId="77777777" w:rsidTr="009B448A">
        <w:tc>
          <w:tcPr>
            <w:tcW w:w="2015" w:type="pct"/>
          </w:tcPr>
          <w:p w14:paraId="503EA586" w14:textId="09C01C7C" w:rsidR="009B448A" w:rsidRPr="00731434" w:rsidRDefault="009B448A" w:rsidP="009B448A">
            <w:pPr>
              <w:ind w:left="0"/>
              <w:rPr>
                <w:sz w:val="20"/>
              </w:rPr>
            </w:pPr>
            <w:r w:rsidRPr="00731434">
              <w:rPr>
                <w:sz w:val="20"/>
              </w:rPr>
              <w:t>Joint pain</w:t>
            </w:r>
          </w:p>
        </w:tc>
        <w:tc>
          <w:tcPr>
            <w:tcW w:w="995" w:type="pct"/>
          </w:tcPr>
          <w:p w14:paraId="36577862" w14:textId="25AA344A" w:rsidR="009B448A" w:rsidRPr="00731434" w:rsidRDefault="009B448A" w:rsidP="009B448A">
            <w:pPr>
              <w:ind w:left="0"/>
              <w:rPr>
                <w:sz w:val="20"/>
              </w:rPr>
            </w:pPr>
            <w:r w:rsidRPr="00731434">
              <w:rPr>
                <w:sz w:val="20"/>
              </w:rPr>
              <w:t>3.8%</w:t>
            </w:r>
          </w:p>
        </w:tc>
        <w:tc>
          <w:tcPr>
            <w:tcW w:w="995" w:type="pct"/>
          </w:tcPr>
          <w:p w14:paraId="51C231D3" w14:textId="05E3A181" w:rsidR="009B448A" w:rsidRPr="00731434" w:rsidRDefault="009B448A" w:rsidP="009B448A">
            <w:pPr>
              <w:ind w:left="0"/>
              <w:rPr>
                <w:sz w:val="20"/>
              </w:rPr>
            </w:pPr>
            <w:r w:rsidRPr="00731434">
              <w:rPr>
                <w:sz w:val="20"/>
              </w:rPr>
              <w:t>5.5%</w:t>
            </w:r>
          </w:p>
        </w:tc>
        <w:tc>
          <w:tcPr>
            <w:tcW w:w="995" w:type="pct"/>
          </w:tcPr>
          <w:p w14:paraId="3357FD76" w14:textId="0623CE05" w:rsidR="009B448A" w:rsidRPr="00731434" w:rsidRDefault="009B448A" w:rsidP="009B448A">
            <w:pPr>
              <w:ind w:left="0"/>
              <w:rPr>
                <w:sz w:val="20"/>
              </w:rPr>
            </w:pPr>
            <w:r w:rsidRPr="00731434">
              <w:rPr>
                <w:sz w:val="20"/>
              </w:rPr>
              <w:t>6.7%</w:t>
            </w:r>
          </w:p>
        </w:tc>
      </w:tr>
      <w:tr w:rsidR="009B448A" w:rsidRPr="00731434" w14:paraId="776C6400" w14:textId="77777777" w:rsidTr="009B448A">
        <w:tc>
          <w:tcPr>
            <w:tcW w:w="2015" w:type="pct"/>
          </w:tcPr>
          <w:p w14:paraId="1000EF9B" w14:textId="4B8D2538" w:rsidR="009B448A" w:rsidRPr="00731434" w:rsidRDefault="009B448A" w:rsidP="009B448A">
            <w:pPr>
              <w:ind w:left="0"/>
              <w:rPr>
                <w:sz w:val="20"/>
              </w:rPr>
            </w:pPr>
            <w:r w:rsidRPr="00731434">
              <w:rPr>
                <w:sz w:val="20"/>
              </w:rPr>
              <w:t>Fever</w:t>
            </w:r>
          </w:p>
        </w:tc>
        <w:tc>
          <w:tcPr>
            <w:tcW w:w="995" w:type="pct"/>
          </w:tcPr>
          <w:p w14:paraId="5D8C3C96" w14:textId="77777777" w:rsidR="009B448A" w:rsidRPr="00731434" w:rsidRDefault="009B448A" w:rsidP="009B448A">
            <w:pPr>
              <w:ind w:left="0"/>
              <w:rPr>
                <w:sz w:val="20"/>
              </w:rPr>
            </w:pPr>
            <w:r w:rsidRPr="00731434">
              <w:rPr>
                <w:sz w:val="20"/>
              </w:rPr>
              <w:t>3.5%</w:t>
            </w:r>
          </w:p>
        </w:tc>
        <w:tc>
          <w:tcPr>
            <w:tcW w:w="995" w:type="pct"/>
          </w:tcPr>
          <w:p w14:paraId="79D034DE" w14:textId="77777777" w:rsidR="009B448A" w:rsidRPr="00731434" w:rsidRDefault="009B448A" w:rsidP="009B448A">
            <w:pPr>
              <w:ind w:left="0"/>
              <w:rPr>
                <w:sz w:val="20"/>
              </w:rPr>
            </w:pPr>
            <w:r w:rsidRPr="00731434">
              <w:rPr>
                <w:sz w:val="20"/>
              </w:rPr>
              <w:t>8.8%</w:t>
            </w:r>
          </w:p>
        </w:tc>
        <w:tc>
          <w:tcPr>
            <w:tcW w:w="995" w:type="pct"/>
          </w:tcPr>
          <w:p w14:paraId="0063FFC6" w14:textId="77777777" w:rsidR="009B448A" w:rsidRPr="00731434" w:rsidRDefault="009B448A" w:rsidP="009B448A">
            <w:pPr>
              <w:ind w:left="0"/>
              <w:rPr>
                <w:sz w:val="20"/>
              </w:rPr>
            </w:pPr>
            <w:r w:rsidRPr="00731434">
              <w:rPr>
                <w:sz w:val="20"/>
              </w:rPr>
              <w:t>6.7%</w:t>
            </w:r>
          </w:p>
        </w:tc>
      </w:tr>
      <w:tr w:rsidR="009B448A" w:rsidRPr="00731434" w14:paraId="542CF0F9" w14:textId="77777777" w:rsidTr="009B448A">
        <w:tc>
          <w:tcPr>
            <w:tcW w:w="2015" w:type="pct"/>
          </w:tcPr>
          <w:p w14:paraId="144559AD" w14:textId="02FE5583" w:rsidR="009B448A" w:rsidRPr="00731434" w:rsidRDefault="009B448A" w:rsidP="009B448A">
            <w:pPr>
              <w:ind w:left="0"/>
              <w:rPr>
                <w:sz w:val="20"/>
              </w:rPr>
            </w:pPr>
            <w:r w:rsidRPr="00731434">
              <w:rPr>
                <w:sz w:val="20"/>
              </w:rPr>
              <w:t>Diarrhoea</w:t>
            </w:r>
          </w:p>
        </w:tc>
        <w:tc>
          <w:tcPr>
            <w:tcW w:w="995" w:type="pct"/>
          </w:tcPr>
          <w:p w14:paraId="384E3FB9" w14:textId="77777777" w:rsidR="009B448A" w:rsidRPr="00731434" w:rsidRDefault="009B448A" w:rsidP="009B448A">
            <w:pPr>
              <w:ind w:left="0"/>
              <w:rPr>
                <w:sz w:val="20"/>
              </w:rPr>
            </w:pPr>
            <w:r w:rsidRPr="00731434">
              <w:rPr>
                <w:sz w:val="20"/>
              </w:rPr>
              <w:t>6.8%</w:t>
            </w:r>
          </w:p>
        </w:tc>
        <w:tc>
          <w:tcPr>
            <w:tcW w:w="995" w:type="pct"/>
          </w:tcPr>
          <w:p w14:paraId="762C6316" w14:textId="77777777" w:rsidR="009B448A" w:rsidRPr="00731434" w:rsidRDefault="009B448A" w:rsidP="009B448A">
            <w:pPr>
              <w:ind w:left="0"/>
              <w:rPr>
                <w:sz w:val="20"/>
              </w:rPr>
            </w:pPr>
            <w:r w:rsidRPr="00731434">
              <w:rPr>
                <w:sz w:val="20"/>
              </w:rPr>
              <w:t>6.5%</w:t>
            </w:r>
          </w:p>
        </w:tc>
        <w:tc>
          <w:tcPr>
            <w:tcW w:w="995" w:type="pct"/>
          </w:tcPr>
          <w:p w14:paraId="42F14CAD" w14:textId="77777777" w:rsidR="009B448A" w:rsidRPr="00731434" w:rsidRDefault="009B448A" w:rsidP="009B448A">
            <w:pPr>
              <w:ind w:left="0"/>
              <w:rPr>
                <w:sz w:val="20"/>
              </w:rPr>
            </w:pPr>
            <w:r w:rsidRPr="00731434">
              <w:rPr>
                <w:sz w:val="20"/>
              </w:rPr>
              <w:t>4.9%</w:t>
            </w:r>
          </w:p>
        </w:tc>
      </w:tr>
      <w:tr w:rsidR="009B448A" w:rsidRPr="00731434" w14:paraId="578518F7" w14:textId="77777777" w:rsidTr="009B448A">
        <w:tc>
          <w:tcPr>
            <w:tcW w:w="2015" w:type="pct"/>
          </w:tcPr>
          <w:p w14:paraId="5B2568FB" w14:textId="0D8D652D" w:rsidR="009B448A" w:rsidRPr="00731434" w:rsidRDefault="009B448A" w:rsidP="009B448A">
            <w:pPr>
              <w:ind w:left="0"/>
              <w:rPr>
                <w:sz w:val="20"/>
              </w:rPr>
            </w:pPr>
            <w:r w:rsidRPr="00731434">
              <w:rPr>
                <w:sz w:val="20"/>
              </w:rPr>
              <w:t>Vomiting</w:t>
            </w:r>
          </w:p>
        </w:tc>
        <w:tc>
          <w:tcPr>
            <w:tcW w:w="995" w:type="pct"/>
          </w:tcPr>
          <w:p w14:paraId="426FA11E" w14:textId="77777777" w:rsidR="009B448A" w:rsidRPr="00731434" w:rsidRDefault="009B448A" w:rsidP="009B448A">
            <w:pPr>
              <w:ind w:left="0"/>
              <w:rPr>
                <w:sz w:val="20"/>
              </w:rPr>
            </w:pPr>
            <w:r w:rsidRPr="00731434">
              <w:rPr>
                <w:sz w:val="20"/>
              </w:rPr>
              <w:t>2.0%</w:t>
            </w:r>
          </w:p>
        </w:tc>
        <w:tc>
          <w:tcPr>
            <w:tcW w:w="995" w:type="pct"/>
          </w:tcPr>
          <w:p w14:paraId="33CC7F12" w14:textId="77777777" w:rsidR="009B448A" w:rsidRPr="00731434" w:rsidRDefault="009B448A" w:rsidP="009B448A">
            <w:pPr>
              <w:ind w:left="0"/>
              <w:rPr>
                <w:sz w:val="20"/>
              </w:rPr>
            </w:pPr>
            <w:r w:rsidRPr="00731434">
              <w:rPr>
                <w:sz w:val="20"/>
              </w:rPr>
              <w:t>1.8%</w:t>
            </w:r>
          </w:p>
        </w:tc>
        <w:tc>
          <w:tcPr>
            <w:tcW w:w="995" w:type="pct"/>
          </w:tcPr>
          <w:p w14:paraId="2135B7F1" w14:textId="77777777" w:rsidR="009B448A" w:rsidRPr="00731434" w:rsidRDefault="009B448A" w:rsidP="009B448A">
            <w:pPr>
              <w:ind w:left="0"/>
              <w:rPr>
                <w:sz w:val="20"/>
              </w:rPr>
            </w:pPr>
            <w:r w:rsidRPr="00731434">
              <w:rPr>
                <w:sz w:val="20"/>
              </w:rPr>
              <w:t>2.4%</w:t>
            </w:r>
          </w:p>
        </w:tc>
      </w:tr>
      <w:tr w:rsidR="009B448A" w:rsidRPr="00731434" w14:paraId="0ABE8576" w14:textId="77777777" w:rsidTr="009B448A">
        <w:tc>
          <w:tcPr>
            <w:tcW w:w="2015" w:type="pct"/>
          </w:tcPr>
          <w:p w14:paraId="281B9D37" w14:textId="26C15F4C" w:rsidR="009B448A" w:rsidRPr="00731434" w:rsidRDefault="009B448A" w:rsidP="009B448A">
            <w:pPr>
              <w:ind w:left="0"/>
              <w:rPr>
                <w:sz w:val="20"/>
              </w:rPr>
            </w:pPr>
            <w:r w:rsidRPr="00731434">
              <w:rPr>
                <w:sz w:val="20"/>
              </w:rPr>
              <w:t>Antipyretic/pain medication use</w:t>
            </w:r>
          </w:p>
        </w:tc>
        <w:tc>
          <w:tcPr>
            <w:tcW w:w="995" w:type="pct"/>
          </w:tcPr>
          <w:p w14:paraId="12E5F75B" w14:textId="4A93E560" w:rsidR="009B448A" w:rsidRPr="00731434" w:rsidRDefault="009B448A" w:rsidP="009B448A">
            <w:pPr>
              <w:ind w:left="0"/>
              <w:rPr>
                <w:sz w:val="20"/>
              </w:rPr>
            </w:pPr>
            <w:r w:rsidRPr="00731434">
              <w:rPr>
                <w:sz w:val="20"/>
              </w:rPr>
              <w:t>13.3%</w:t>
            </w:r>
          </w:p>
        </w:tc>
        <w:tc>
          <w:tcPr>
            <w:tcW w:w="995" w:type="pct"/>
          </w:tcPr>
          <w:p w14:paraId="475CF888" w14:textId="17B4BC33" w:rsidR="009B448A" w:rsidRPr="00731434" w:rsidRDefault="009B448A" w:rsidP="009B448A">
            <w:pPr>
              <w:ind w:left="0"/>
              <w:rPr>
                <w:sz w:val="20"/>
              </w:rPr>
            </w:pPr>
            <w:r w:rsidRPr="00731434">
              <w:rPr>
                <w:sz w:val="20"/>
              </w:rPr>
              <w:t>21.8%</w:t>
            </w:r>
          </w:p>
        </w:tc>
        <w:tc>
          <w:tcPr>
            <w:tcW w:w="995" w:type="pct"/>
          </w:tcPr>
          <w:p w14:paraId="1729D343" w14:textId="473A2044" w:rsidR="009B448A" w:rsidRPr="00731434" w:rsidRDefault="009B448A" w:rsidP="009B448A">
            <w:pPr>
              <w:ind w:left="0"/>
              <w:rPr>
                <w:sz w:val="20"/>
              </w:rPr>
            </w:pPr>
            <w:r w:rsidRPr="00731434">
              <w:rPr>
                <w:sz w:val="20"/>
              </w:rPr>
              <w:t>30.7%</w:t>
            </w:r>
          </w:p>
        </w:tc>
      </w:tr>
    </w:tbl>
    <w:p w14:paraId="25348CAF" w14:textId="2FC8906B" w:rsidR="00A11CCD" w:rsidRDefault="00A11CCD" w:rsidP="00A11CCD">
      <w:pPr>
        <w:pStyle w:val="FigureTitle"/>
      </w:pPr>
      <w:r>
        <w:lastRenderedPageBreak/>
        <w:t xml:space="preserve">Figure </w:t>
      </w:r>
      <w:r w:rsidR="00BC0ACB">
        <w:fldChar w:fldCharType="begin"/>
      </w:r>
      <w:r w:rsidR="00BC0ACB">
        <w:instrText xml:space="preserve"> SEQ Figure \* ARABIC </w:instrText>
      </w:r>
      <w:r w:rsidR="00BC0ACB">
        <w:fldChar w:fldCharType="separate"/>
      </w:r>
      <w:r w:rsidR="00426D5A">
        <w:rPr>
          <w:noProof/>
        </w:rPr>
        <w:t>5</w:t>
      </w:r>
      <w:r w:rsidR="00BC0ACB">
        <w:rPr>
          <w:noProof/>
        </w:rPr>
        <w:fldChar w:fldCharType="end"/>
      </w:r>
      <w:r>
        <w:t>: Study C4591007 Phase II/III Systemic events, by maximum severity, occurring within 7 days after each dose, in participants who received Dose 3 of Comirnaty (tozinameran) vaccine aged from 5 to under 12 years (safety population)</w:t>
      </w:r>
    </w:p>
    <w:p w14:paraId="452B75DC" w14:textId="6C9EC5A1" w:rsidR="007D4570" w:rsidRPr="007D4570" w:rsidRDefault="007D4570" w:rsidP="007D4570">
      <w:pPr>
        <w:rPr>
          <w:b/>
        </w:rPr>
      </w:pPr>
      <w:r w:rsidRPr="007D4570">
        <w:rPr>
          <w:noProof/>
          <w:lang w:val="en-GB" w:eastAsia="en-GB"/>
        </w:rPr>
        <w:drawing>
          <wp:inline distT="0" distB="0" distL="0" distR="0" wp14:anchorId="0B2A13FD" wp14:editId="1BD6D4BE">
            <wp:extent cx="5405514" cy="2993366"/>
            <wp:effectExtent l="0" t="0" r="5080" b="0"/>
            <wp:docPr id="52" name="Picture 52" descr="Study C4591007 Phase II/III Systemic events, by maximum severity, occurring within 7 days after each dose, in participants who received Dose 3 of Comirnaty (tozinameran) vaccine aged from 5 to under 12 yea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76" r="1031" b="13572"/>
                    <a:stretch/>
                  </pic:blipFill>
                  <pic:spPr bwMode="auto">
                    <a:xfrm>
                      <a:off x="0" y="0"/>
                      <a:ext cx="5421528" cy="3002234"/>
                    </a:xfrm>
                    <a:prstGeom prst="rect">
                      <a:avLst/>
                    </a:prstGeom>
                    <a:ln>
                      <a:noFill/>
                    </a:ln>
                    <a:extLst>
                      <a:ext uri="{53640926-AAD7-44D8-BBD7-CCE9431645EC}">
                        <a14:shadowObscured xmlns:a14="http://schemas.microsoft.com/office/drawing/2010/main"/>
                      </a:ext>
                    </a:extLst>
                  </pic:spPr>
                </pic:pic>
              </a:graphicData>
            </a:graphic>
          </wp:inline>
        </w:drawing>
      </w:r>
    </w:p>
    <w:p w14:paraId="43B28112" w14:textId="58423B8E" w:rsidR="00731434" w:rsidRPr="00731434" w:rsidRDefault="00731434" w:rsidP="00731434">
      <w:pPr>
        <w:pStyle w:val="FigureDescription"/>
      </w:pPr>
      <w:r>
        <w:t>Severity was not collected for use of antipyretic or pain medication. The number above each bar denotes the percentage of participants reporting the severity with any severity.</w:t>
      </w:r>
    </w:p>
    <w:p w14:paraId="2F556113" w14:textId="1B12A8E9" w:rsidR="007D4570" w:rsidRDefault="007D4570" w:rsidP="007D4570">
      <w:proofErr w:type="gramStart"/>
      <w:r w:rsidRPr="007D4570">
        <w:t>The majority of</w:t>
      </w:r>
      <w:proofErr w:type="gramEnd"/>
      <w:r w:rsidRPr="007D4570">
        <w:t xml:space="preserve"> systemic events were mild or moderate in severity. Severe events were infrequent although repo</w:t>
      </w:r>
      <w:r w:rsidR="00A11CCD">
        <w:t>rted more commonly after Dose 3.</w:t>
      </w:r>
    </w:p>
    <w:p w14:paraId="76746B8F" w14:textId="5C652EA1" w:rsidR="00C41FB0" w:rsidRDefault="00C41FB0" w:rsidP="00C41FB0">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19</w:t>
      </w:r>
      <w:r w:rsidR="00BC0ACB">
        <w:rPr>
          <w:noProof/>
        </w:rPr>
        <w:fldChar w:fldCharType="end"/>
      </w:r>
      <w:r>
        <w:t>: Study C4591007 Phase II/III Systemic events rated as severe (Grade 3) in severity, occurring within 7 days after each dose, in participants who received Dose 3 of Comirnaty (tozinameran) vaccine aged from 5 to under 12</w:t>
      </w:r>
      <w:r w:rsidR="001F0729">
        <w:t xml:space="preserve"> years (safety </w:t>
      </w:r>
      <w:r>
        <w:t>population)</w:t>
      </w:r>
    </w:p>
    <w:tbl>
      <w:tblPr>
        <w:tblStyle w:val="TableTGAblue"/>
        <w:tblW w:w="5000" w:type="pct"/>
        <w:tblLook w:val="04A0" w:firstRow="1" w:lastRow="0" w:firstColumn="1" w:lastColumn="0" w:noHBand="0" w:noVBand="1"/>
      </w:tblPr>
      <w:tblGrid>
        <w:gridCol w:w="2937"/>
        <w:gridCol w:w="1213"/>
        <w:gridCol w:w="694"/>
        <w:gridCol w:w="1127"/>
        <w:gridCol w:w="694"/>
        <w:gridCol w:w="1127"/>
        <w:gridCol w:w="692"/>
      </w:tblGrid>
      <w:tr w:rsidR="007C1D4A" w:rsidRPr="00C41FB0" w14:paraId="3A0F59EE" w14:textId="60BBDC56" w:rsidTr="006063BE">
        <w:trPr>
          <w:cnfStyle w:val="100000000000" w:firstRow="1" w:lastRow="0" w:firstColumn="0" w:lastColumn="0" w:oddVBand="0" w:evenVBand="0" w:oddHBand="0" w:evenHBand="0" w:firstRowFirstColumn="0" w:firstRowLastColumn="0" w:lastRowFirstColumn="0" w:lastRowLastColumn="0"/>
        </w:trPr>
        <w:tc>
          <w:tcPr>
            <w:tcW w:w="1731" w:type="pct"/>
            <w:vMerge w:val="restart"/>
            <w:vAlign w:val="center"/>
          </w:tcPr>
          <w:p w14:paraId="244DFA9F" w14:textId="67AD3C94" w:rsidR="007C1D4A" w:rsidRPr="00C41FB0" w:rsidRDefault="007C1D4A" w:rsidP="007C1D4A">
            <w:pPr>
              <w:ind w:left="0" w:right="0"/>
              <w:jc w:val="center"/>
              <w:rPr>
                <w:sz w:val="20"/>
                <w:szCs w:val="20"/>
              </w:rPr>
            </w:pPr>
            <w:r w:rsidRPr="00C41FB0">
              <w:rPr>
                <w:sz w:val="20"/>
                <w:szCs w:val="20"/>
              </w:rPr>
              <w:t>Specified systemic event</w:t>
            </w:r>
          </w:p>
        </w:tc>
        <w:tc>
          <w:tcPr>
            <w:tcW w:w="1124" w:type="pct"/>
            <w:gridSpan w:val="2"/>
          </w:tcPr>
          <w:p w14:paraId="68A58074" w14:textId="7693E790" w:rsidR="007C1D4A" w:rsidRPr="00C41FB0" w:rsidRDefault="007C1D4A" w:rsidP="007C1D4A">
            <w:pPr>
              <w:ind w:left="0" w:right="0"/>
              <w:rPr>
                <w:sz w:val="20"/>
                <w:szCs w:val="20"/>
              </w:rPr>
            </w:pPr>
            <w:r>
              <w:rPr>
                <w:sz w:val="20"/>
                <w:szCs w:val="20"/>
              </w:rPr>
              <w:t>Dose 1</w:t>
            </w:r>
            <w:r w:rsidRPr="00C41FB0">
              <w:rPr>
                <w:sz w:val="20"/>
                <w:szCs w:val="20"/>
              </w:rPr>
              <w:br/>
            </w:r>
            <w:r>
              <w:rPr>
                <w:b w:val="0"/>
                <w:sz w:val="20"/>
                <w:szCs w:val="20"/>
              </w:rPr>
              <w:t>398</w:t>
            </w:r>
            <w:r w:rsidRPr="00C41FB0">
              <w:rPr>
                <w:b w:val="0"/>
                <w:sz w:val="20"/>
                <w:szCs w:val="20"/>
              </w:rPr>
              <w:t xml:space="preserve"> participants</w:t>
            </w:r>
            <w:r>
              <w:rPr>
                <w:b w:val="0"/>
                <w:sz w:val="20"/>
                <w:szCs w:val="20"/>
                <w:vertAlign w:val="superscript"/>
              </w:rPr>
              <w:t xml:space="preserve"> </w:t>
            </w:r>
            <w:r>
              <w:rPr>
                <w:sz w:val="20"/>
                <w:szCs w:val="20"/>
                <w:vertAlign w:val="superscript"/>
              </w:rPr>
              <w:t>a</w:t>
            </w:r>
          </w:p>
        </w:tc>
        <w:tc>
          <w:tcPr>
            <w:tcW w:w="1073" w:type="pct"/>
            <w:gridSpan w:val="2"/>
          </w:tcPr>
          <w:p w14:paraId="2DED86E9" w14:textId="079B374F" w:rsidR="007C1D4A" w:rsidRPr="001F0729" w:rsidRDefault="007C1D4A" w:rsidP="007C1D4A">
            <w:pPr>
              <w:ind w:left="0" w:right="0"/>
              <w:rPr>
                <w:sz w:val="20"/>
                <w:szCs w:val="20"/>
                <w:vertAlign w:val="superscript"/>
              </w:rPr>
            </w:pPr>
            <w:r w:rsidRPr="00C41FB0">
              <w:rPr>
                <w:sz w:val="20"/>
                <w:szCs w:val="20"/>
              </w:rPr>
              <w:t>Dose 2</w:t>
            </w:r>
            <w:r w:rsidRPr="00C41FB0">
              <w:rPr>
                <w:sz w:val="20"/>
                <w:szCs w:val="20"/>
              </w:rPr>
              <w:br/>
            </w:r>
            <w:r w:rsidRPr="00C41FB0">
              <w:rPr>
                <w:b w:val="0"/>
                <w:sz w:val="20"/>
                <w:szCs w:val="20"/>
              </w:rPr>
              <w:t>399 participants</w:t>
            </w:r>
            <w:r>
              <w:rPr>
                <w:b w:val="0"/>
                <w:sz w:val="20"/>
                <w:szCs w:val="20"/>
                <w:vertAlign w:val="superscript"/>
              </w:rPr>
              <w:t xml:space="preserve"> </w:t>
            </w:r>
            <w:r>
              <w:rPr>
                <w:sz w:val="20"/>
                <w:szCs w:val="20"/>
                <w:vertAlign w:val="superscript"/>
              </w:rPr>
              <w:t>a</w:t>
            </w:r>
          </w:p>
        </w:tc>
        <w:tc>
          <w:tcPr>
            <w:tcW w:w="1073" w:type="pct"/>
            <w:gridSpan w:val="2"/>
          </w:tcPr>
          <w:p w14:paraId="2200AD34" w14:textId="23283AFE" w:rsidR="007C1D4A" w:rsidRPr="001F0729" w:rsidRDefault="007C1D4A" w:rsidP="007C1D4A">
            <w:pPr>
              <w:ind w:left="0" w:right="0"/>
              <w:rPr>
                <w:sz w:val="20"/>
                <w:szCs w:val="20"/>
                <w:vertAlign w:val="superscript"/>
              </w:rPr>
            </w:pPr>
            <w:r w:rsidRPr="00C41FB0">
              <w:rPr>
                <w:sz w:val="20"/>
                <w:szCs w:val="20"/>
              </w:rPr>
              <w:t>Dose 3</w:t>
            </w:r>
            <w:r w:rsidRPr="00C41FB0">
              <w:rPr>
                <w:sz w:val="20"/>
                <w:szCs w:val="20"/>
              </w:rPr>
              <w:br/>
            </w:r>
            <w:r w:rsidRPr="00C41FB0">
              <w:rPr>
                <w:b w:val="0"/>
                <w:sz w:val="20"/>
                <w:szCs w:val="20"/>
              </w:rPr>
              <w:t>371 participants</w:t>
            </w:r>
            <w:r>
              <w:rPr>
                <w:b w:val="0"/>
                <w:sz w:val="20"/>
                <w:szCs w:val="20"/>
              </w:rPr>
              <w:t xml:space="preserve"> </w:t>
            </w:r>
            <w:r w:rsidRPr="001F0729">
              <w:rPr>
                <w:sz w:val="20"/>
                <w:szCs w:val="20"/>
                <w:vertAlign w:val="superscript"/>
              </w:rPr>
              <w:t>a</w:t>
            </w:r>
          </w:p>
        </w:tc>
      </w:tr>
      <w:tr w:rsidR="007C1D4A" w:rsidRPr="00C41FB0" w14:paraId="0906699B" w14:textId="0F017531" w:rsidTr="006063BE">
        <w:tc>
          <w:tcPr>
            <w:tcW w:w="1731" w:type="pct"/>
            <w:vMerge/>
          </w:tcPr>
          <w:p w14:paraId="6D7142C0" w14:textId="77777777" w:rsidR="007C1D4A" w:rsidRPr="00C41FB0" w:rsidRDefault="007C1D4A" w:rsidP="007C1D4A">
            <w:pPr>
              <w:ind w:left="0" w:right="0"/>
              <w:rPr>
                <w:sz w:val="20"/>
                <w:szCs w:val="20"/>
              </w:rPr>
            </w:pPr>
          </w:p>
        </w:tc>
        <w:tc>
          <w:tcPr>
            <w:tcW w:w="715" w:type="pct"/>
          </w:tcPr>
          <w:p w14:paraId="7C4C7B8B" w14:textId="357D5CBD" w:rsidR="007C1D4A" w:rsidRDefault="007C1D4A" w:rsidP="007C1D4A">
            <w:pPr>
              <w:ind w:left="0" w:right="0"/>
              <w:rPr>
                <w:sz w:val="20"/>
                <w:szCs w:val="20"/>
              </w:rPr>
            </w:pPr>
            <w:r>
              <w:rPr>
                <w:sz w:val="20"/>
                <w:szCs w:val="20"/>
              </w:rPr>
              <w:t xml:space="preserve">Number of </w:t>
            </w:r>
            <w:r w:rsidRPr="00C41FB0">
              <w:rPr>
                <w:sz w:val="20"/>
                <w:szCs w:val="20"/>
              </w:rPr>
              <w:t>events</w:t>
            </w:r>
            <w:r>
              <w:rPr>
                <w:sz w:val="20"/>
                <w:szCs w:val="20"/>
              </w:rPr>
              <w:t xml:space="preserve"> </w:t>
            </w:r>
            <w:r>
              <w:rPr>
                <w:b/>
                <w:sz w:val="20"/>
                <w:szCs w:val="20"/>
                <w:vertAlign w:val="superscript"/>
              </w:rPr>
              <w:t>b</w:t>
            </w:r>
          </w:p>
        </w:tc>
        <w:tc>
          <w:tcPr>
            <w:tcW w:w="409" w:type="pct"/>
          </w:tcPr>
          <w:p w14:paraId="4D5B4718" w14:textId="255B84A5" w:rsidR="007C1D4A" w:rsidRDefault="007C1D4A" w:rsidP="007C1D4A">
            <w:pPr>
              <w:ind w:left="0" w:right="0"/>
              <w:jc w:val="center"/>
              <w:rPr>
                <w:sz w:val="20"/>
                <w:szCs w:val="20"/>
              </w:rPr>
            </w:pPr>
            <w:r>
              <w:rPr>
                <w:sz w:val="20"/>
                <w:szCs w:val="20"/>
              </w:rPr>
              <w:t>%</w:t>
            </w:r>
          </w:p>
        </w:tc>
        <w:tc>
          <w:tcPr>
            <w:tcW w:w="664" w:type="pct"/>
          </w:tcPr>
          <w:p w14:paraId="2D1AA701" w14:textId="303DC92B" w:rsidR="007C1D4A" w:rsidRPr="001F0729" w:rsidRDefault="007C1D4A" w:rsidP="007C1D4A">
            <w:pPr>
              <w:ind w:left="0" w:right="0"/>
              <w:rPr>
                <w:b/>
                <w:sz w:val="20"/>
                <w:szCs w:val="20"/>
                <w:vertAlign w:val="superscript"/>
              </w:rPr>
            </w:pPr>
            <w:r>
              <w:rPr>
                <w:sz w:val="20"/>
                <w:szCs w:val="20"/>
              </w:rPr>
              <w:t xml:space="preserve">Number of </w:t>
            </w:r>
            <w:r w:rsidRPr="00C41FB0">
              <w:rPr>
                <w:sz w:val="20"/>
                <w:szCs w:val="20"/>
              </w:rPr>
              <w:t>events</w:t>
            </w:r>
            <w:r>
              <w:rPr>
                <w:sz w:val="20"/>
                <w:szCs w:val="20"/>
              </w:rPr>
              <w:t xml:space="preserve"> </w:t>
            </w:r>
            <w:r>
              <w:rPr>
                <w:b/>
                <w:sz w:val="20"/>
                <w:szCs w:val="20"/>
                <w:vertAlign w:val="superscript"/>
              </w:rPr>
              <w:t>b</w:t>
            </w:r>
          </w:p>
        </w:tc>
        <w:tc>
          <w:tcPr>
            <w:tcW w:w="409" w:type="pct"/>
          </w:tcPr>
          <w:p w14:paraId="78654C0F" w14:textId="3C7C1509" w:rsidR="007C1D4A" w:rsidRPr="00C41FB0" w:rsidRDefault="007C1D4A" w:rsidP="007C1D4A">
            <w:pPr>
              <w:ind w:left="0" w:right="0"/>
              <w:jc w:val="center"/>
              <w:rPr>
                <w:sz w:val="20"/>
                <w:szCs w:val="20"/>
              </w:rPr>
            </w:pPr>
            <w:r>
              <w:rPr>
                <w:sz w:val="20"/>
                <w:szCs w:val="20"/>
              </w:rPr>
              <w:t>%</w:t>
            </w:r>
          </w:p>
        </w:tc>
        <w:tc>
          <w:tcPr>
            <w:tcW w:w="664" w:type="pct"/>
          </w:tcPr>
          <w:p w14:paraId="72859086" w14:textId="0519B9F8" w:rsidR="007C1D4A" w:rsidRPr="001F0729" w:rsidRDefault="007C1D4A" w:rsidP="007C1D4A">
            <w:pPr>
              <w:ind w:left="0" w:right="0"/>
              <w:rPr>
                <w:b/>
                <w:sz w:val="20"/>
                <w:szCs w:val="20"/>
                <w:vertAlign w:val="superscript"/>
              </w:rPr>
            </w:pPr>
            <w:r w:rsidRPr="00C41FB0">
              <w:rPr>
                <w:sz w:val="20"/>
                <w:szCs w:val="20"/>
              </w:rPr>
              <w:t>Number of events</w:t>
            </w:r>
            <w:r>
              <w:rPr>
                <w:sz w:val="20"/>
                <w:szCs w:val="20"/>
              </w:rPr>
              <w:t xml:space="preserve"> </w:t>
            </w:r>
            <w:r>
              <w:rPr>
                <w:b/>
                <w:sz w:val="20"/>
                <w:szCs w:val="20"/>
                <w:vertAlign w:val="superscript"/>
              </w:rPr>
              <w:t>b</w:t>
            </w:r>
          </w:p>
        </w:tc>
        <w:tc>
          <w:tcPr>
            <w:tcW w:w="409" w:type="pct"/>
          </w:tcPr>
          <w:p w14:paraId="45F98F59" w14:textId="2705C940" w:rsidR="007C1D4A" w:rsidRPr="00C41FB0" w:rsidRDefault="007C1D4A" w:rsidP="007C1D4A">
            <w:pPr>
              <w:ind w:left="0" w:right="0"/>
              <w:jc w:val="center"/>
              <w:rPr>
                <w:sz w:val="20"/>
                <w:szCs w:val="20"/>
              </w:rPr>
            </w:pPr>
            <w:r>
              <w:rPr>
                <w:sz w:val="20"/>
                <w:szCs w:val="20"/>
              </w:rPr>
              <w:t>%</w:t>
            </w:r>
          </w:p>
        </w:tc>
      </w:tr>
      <w:tr w:rsidR="007C1D4A" w:rsidRPr="00C41FB0" w14:paraId="774FF6EF" w14:textId="11FD2C2A" w:rsidTr="006063BE">
        <w:tc>
          <w:tcPr>
            <w:tcW w:w="1731" w:type="pct"/>
          </w:tcPr>
          <w:p w14:paraId="79F9E117" w14:textId="12A7DE93" w:rsidR="007C1D4A" w:rsidRPr="00C41FB0" w:rsidRDefault="007C1D4A" w:rsidP="007C1D4A">
            <w:pPr>
              <w:ind w:left="0" w:right="0"/>
              <w:rPr>
                <w:sz w:val="20"/>
                <w:szCs w:val="20"/>
              </w:rPr>
            </w:pPr>
            <w:r w:rsidRPr="00C41FB0">
              <w:rPr>
                <w:sz w:val="20"/>
                <w:szCs w:val="20"/>
              </w:rPr>
              <w:t>Fatigue</w:t>
            </w:r>
          </w:p>
        </w:tc>
        <w:tc>
          <w:tcPr>
            <w:tcW w:w="715" w:type="pct"/>
          </w:tcPr>
          <w:p w14:paraId="4D8EF553" w14:textId="089BBE4F" w:rsidR="007C1D4A" w:rsidRPr="00C41FB0" w:rsidRDefault="007C1D4A" w:rsidP="007C1D4A">
            <w:pPr>
              <w:ind w:left="0" w:right="0"/>
              <w:jc w:val="center"/>
              <w:rPr>
                <w:sz w:val="20"/>
                <w:szCs w:val="20"/>
              </w:rPr>
            </w:pPr>
            <w:r>
              <w:rPr>
                <w:sz w:val="20"/>
                <w:szCs w:val="20"/>
              </w:rPr>
              <w:t>1</w:t>
            </w:r>
          </w:p>
        </w:tc>
        <w:tc>
          <w:tcPr>
            <w:tcW w:w="409" w:type="pct"/>
          </w:tcPr>
          <w:p w14:paraId="7A962330" w14:textId="00D8FBF8" w:rsidR="007C1D4A" w:rsidRPr="00C41FB0" w:rsidRDefault="007C1D4A" w:rsidP="007C1D4A">
            <w:pPr>
              <w:ind w:left="0" w:right="0"/>
              <w:jc w:val="center"/>
              <w:rPr>
                <w:sz w:val="20"/>
                <w:szCs w:val="20"/>
              </w:rPr>
            </w:pPr>
            <w:r>
              <w:rPr>
                <w:sz w:val="20"/>
                <w:szCs w:val="20"/>
              </w:rPr>
              <w:t>0.3%</w:t>
            </w:r>
          </w:p>
        </w:tc>
        <w:tc>
          <w:tcPr>
            <w:tcW w:w="664" w:type="pct"/>
          </w:tcPr>
          <w:p w14:paraId="023D2333" w14:textId="41C340B4" w:rsidR="007C1D4A" w:rsidRPr="00C41FB0" w:rsidRDefault="007C1D4A" w:rsidP="007C1D4A">
            <w:pPr>
              <w:ind w:left="0" w:right="0"/>
              <w:jc w:val="center"/>
              <w:rPr>
                <w:sz w:val="20"/>
                <w:szCs w:val="20"/>
              </w:rPr>
            </w:pPr>
            <w:r w:rsidRPr="00C41FB0">
              <w:rPr>
                <w:sz w:val="20"/>
                <w:szCs w:val="20"/>
              </w:rPr>
              <w:t>4</w:t>
            </w:r>
          </w:p>
        </w:tc>
        <w:tc>
          <w:tcPr>
            <w:tcW w:w="409" w:type="pct"/>
          </w:tcPr>
          <w:p w14:paraId="38609F66" w14:textId="69F71A80" w:rsidR="007C1D4A" w:rsidRPr="00C41FB0" w:rsidRDefault="007C1D4A" w:rsidP="007C1D4A">
            <w:pPr>
              <w:ind w:left="0" w:right="0"/>
              <w:jc w:val="center"/>
              <w:rPr>
                <w:sz w:val="20"/>
                <w:szCs w:val="20"/>
              </w:rPr>
            </w:pPr>
            <w:r w:rsidRPr="00C41FB0">
              <w:rPr>
                <w:sz w:val="20"/>
                <w:szCs w:val="20"/>
              </w:rPr>
              <w:t>1.0%</w:t>
            </w:r>
          </w:p>
        </w:tc>
        <w:tc>
          <w:tcPr>
            <w:tcW w:w="664" w:type="pct"/>
          </w:tcPr>
          <w:p w14:paraId="7E7C081B" w14:textId="0AB037CB" w:rsidR="007C1D4A" w:rsidRPr="00C41FB0" w:rsidRDefault="007C1D4A" w:rsidP="007C1D4A">
            <w:pPr>
              <w:ind w:left="0" w:right="0"/>
              <w:jc w:val="center"/>
              <w:rPr>
                <w:sz w:val="20"/>
                <w:szCs w:val="20"/>
              </w:rPr>
            </w:pPr>
            <w:r w:rsidRPr="00C41FB0">
              <w:rPr>
                <w:sz w:val="20"/>
                <w:szCs w:val="20"/>
              </w:rPr>
              <w:t>7</w:t>
            </w:r>
          </w:p>
        </w:tc>
        <w:tc>
          <w:tcPr>
            <w:tcW w:w="409" w:type="pct"/>
          </w:tcPr>
          <w:p w14:paraId="38941123" w14:textId="25590ADD" w:rsidR="007C1D4A" w:rsidRPr="00C41FB0" w:rsidRDefault="007C1D4A" w:rsidP="007C1D4A">
            <w:pPr>
              <w:ind w:left="0" w:right="0"/>
              <w:jc w:val="center"/>
              <w:rPr>
                <w:sz w:val="20"/>
                <w:szCs w:val="20"/>
              </w:rPr>
            </w:pPr>
            <w:r w:rsidRPr="00C41FB0">
              <w:rPr>
                <w:sz w:val="20"/>
                <w:szCs w:val="20"/>
              </w:rPr>
              <w:t>1.9%</w:t>
            </w:r>
          </w:p>
        </w:tc>
      </w:tr>
      <w:tr w:rsidR="007C1D4A" w:rsidRPr="00C41FB0" w14:paraId="663F71E1" w14:textId="2362494D" w:rsidTr="006063BE">
        <w:tc>
          <w:tcPr>
            <w:tcW w:w="1731" w:type="pct"/>
          </w:tcPr>
          <w:p w14:paraId="51C11ACC" w14:textId="7703FA32" w:rsidR="007C1D4A" w:rsidRPr="00C41FB0" w:rsidRDefault="007C1D4A" w:rsidP="007C1D4A">
            <w:pPr>
              <w:ind w:left="0" w:right="0"/>
              <w:rPr>
                <w:sz w:val="20"/>
                <w:szCs w:val="20"/>
              </w:rPr>
            </w:pPr>
            <w:r w:rsidRPr="00C41FB0">
              <w:rPr>
                <w:sz w:val="20"/>
                <w:szCs w:val="20"/>
              </w:rPr>
              <w:t>Headache</w:t>
            </w:r>
          </w:p>
        </w:tc>
        <w:tc>
          <w:tcPr>
            <w:tcW w:w="715" w:type="pct"/>
          </w:tcPr>
          <w:p w14:paraId="724BC1EE" w14:textId="77777777" w:rsidR="007C1D4A" w:rsidRPr="00C41FB0" w:rsidRDefault="007C1D4A" w:rsidP="007C1D4A">
            <w:pPr>
              <w:ind w:left="0" w:right="0"/>
              <w:jc w:val="center"/>
              <w:rPr>
                <w:sz w:val="20"/>
                <w:szCs w:val="20"/>
              </w:rPr>
            </w:pPr>
          </w:p>
        </w:tc>
        <w:tc>
          <w:tcPr>
            <w:tcW w:w="409" w:type="pct"/>
          </w:tcPr>
          <w:p w14:paraId="22774FFD" w14:textId="00665EB4" w:rsidR="007C1D4A" w:rsidRPr="00C41FB0" w:rsidRDefault="007C1D4A" w:rsidP="007C1D4A">
            <w:pPr>
              <w:ind w:left="0" w:right="0"/>
              <w:jc w:val="center"/>
              <w:rPr>
                <w:sz w:val="20"/>
                <w:szCs w:val="20"/>
              </w:rPr>
            </w:pPr>
          </w:p>
        </w:tc>
        <w:tc>
          <w:tcPr>
            <w:tcW w:w="664" w:type="pct"/>
          </w:tcPr>
          <w:p w14:paraId="782DD434" w14:textId="6CD0D48E" w:rsidR="007C1D4A" w:rsidRPr="00C41FB0" w:rsidRDefault="007C1D4A" w:rsidP="007C1D4A">
            <w:pPr>
              <w:ind w:left="0" w:right="0"/>
              <w:jc w:val="center"/>
              <w:rPr>
                <w:sz w:val="20"/>
                <w:szCs w:val="20"/>
              </w:rPr>
            </w:pPr>
            <w:r w:rsidRPr="00C41FB0">
              <w:rPr>
                <w:sz w:val="20"/>
                <w:szCs w:val="20"/>
              </w:rPr>
              <w:t>2</w:t>
            </w:r>
          </w:p>
        </w:tc>
        <w:tc>
          <w:tcPr>
            <w:tcW w:w="409" w:type="pct"/>
          </w:tcPr>
          <w:p w14:paraId="58E1D453" w14:textId="0E587DA3" w:rsidR="007C1D4A" w:rsidRPr="00C41FB0" w:rsidRDefault="007C1D4A" w:rsidP="007C1D4A">
            <w:pPr>
              <w:ind w:left="0" w:right="0"/>
              <w:jc w:val="center"/>
              <w:rPr>
                <w:sz w:val="20"/>
                <w:szCs w:val="20"/>
              </w:rPr>
            </w:pPr>
            <w:r w:rsidRPr="00C41FB0">
              <w:rPr>
                <w:sz w:val="20"/>
                <w:szCs w:val="20"/>
              </w:rPr>
              <w:t>0.5%</w:t>
            </w:r>
          </w:p>
        </w:tc>
        <w:tc>
          <w:tcPr>
            <w:tcW w:w="664" w:type="pct"/>
          </w:tcPr>
          <w:p w14:paraId="1132D5C4" w14:textId="640288E4" w:rsidR="007C1D4A" w:rsidRPr="00C41FB0" w:rsidRDefault="007C1D4A" w:rsidP="007C1D4A">
            <w:pPr>
              <w:ind w:left="0" w:right="0"/>
              <w:jc w:val="center"/>
              <w:rPr>
                <w:sz w:val="20"/>
                <w:szCs w:val="20"/>
              </w:rPr>
            </w:pPr>
            <w:r w:rsidRPr="00C41FB0">
              <w:rPr>
                <w:sz w:val="20"/>
                <w:szCs w:val="20"/>
              </w:rPr>
              <w:t>3</w:t>
            </w:r>
          </w:p>
        </w:tc>
        <w:tc>
          <w:tcPr>
            <w:tcW w:w="409" w:type="pct"/>
          </w:tcPr>
          <w:p w14:paraId="0CA2E3CC" w14:textId="504A6D0B" w:rsidR="007C1D4A" w:rsidRPr="00C41FB0" w:rsidRDefault="007C1D4A" w:rsidP="007C1D4A">
            <w:pPr>
              <w:ind w:left="0" w:right="0"/>
              <w:jc w:val="center"/>
              <w:rPr>
                <w:sz w:val="20"/>
                <w:szCs w:val="20"/>
              </w:rPr>
            </w:pPr>
            <w:r w:rsidRPr="00C41FB0">
              <w:rPr>
                <w:sz w:val="20"/>
                <w:szCs w:val="20"/>
              </w:rPr>
              <w:t>0.8%</w:t>
            </w:r>
          </w:p>
        </w:tc>
      </w:tr>
      <w:tr w:rsidR="007C1D4A" w:rsidRPr="00C41FB0" w14:paraId="1F5890E6" w14:textId="6009ADE6" w:rsidTr="006063BE">
        <w:tc>
          <w:tcPr>
            <w:tcW w:w="1731" w:type="pct"/>
          </w:tcPr>
          <w:p w14:paraId="2B00AEFD" w14:textId="1D5139FD" w:rsidR="007C1D4A" w:rsidRPr="00C41FB0" w:rsidRDefault="007C1D4A" w:rsidP="007C1D4A">
            <w:pPr>
              <w:ind w:left="0" w:right="0"/>
              <w:rPr>
                <w:sz w:val="20"/>
                <w:szCs w:val="20"/>
              </w:rPr>
            </w:pPr>
            <w:r w:rsidRPr="00C41FB0">
              <w:rPr>
                <w:sz w:val="20"/>
                <w:szCs w:val="20"/>
              </w:rPr>
              <w:t>Chills</w:t>
            </w:r>
          </w:p>
        </w:tc>
        <w:tc>
          <w:tcPr>
            <w:tcW w:w="715" w:type="pct"/>
          </w:tcPr>
          <w:p w14:paraId="5D839646" w14:textId="77777777" w:rsidR="007C1D4A" w:rsidRPr="00C41FB0" w:rsidRDefault="007C1D4A" w:rsidP="007C1D4A">
            <w:pPr>
              <w:ind w:left="0" w:right="0"/>
              <w:jc w:val="center"/>
              <w:rPr>
                <w:sz w:val="20"/>
                <w:szCs w:val="20"/>
              </w:rPr>
            </w:pPr>
          </w:p>
        </w:tc>
        <w:tc>
          <w:tcPr>
            <w:tcW w:w="409" w:type="pct"/>
          </w:tcPr>
          <w:p w14:paraId="15933A3A" w14:textId="5F5BBD8C" w:rsidR="007C1D4A" w:rsidRPr="00C41FB0" w:rsidRDefault="007C1D4A" w:rsidP="007C1D4A">
            <w:pPr>
              <w:ind w:left="0" w:right="0"/>
              <w:jc w:val="center"/>
              <w:rPr>
                <w:sz w:val="20"/>
                <w:szCs w:val="20"/>
              </w:rPr>
            </w:pPr>
          </w:p>
        </w:tc>
        <w:tc>
          <w:tcPr>
            <w:tcW w:w="664" w:type="pct"/>
          </w:tcPr>
          <w:p w14:paraId="5445E91D" w14:textId="56444EE3" w:rsidR="007C1D4A" w:rsidRPr="00C41FB0" w:rsidRDefault="007C1D4A" w:rsidP="007C1D4A">
            <w:pPr>
              <w:ind w:left="0" w:right="0"/>
              <w:jc w:val="center"/>
              <w:rPr>
                <w:sz w:val="20"/>
                <w:szCs w:val="20"/>
              </w:rPr>
            </w:pPr>
            <w:r w:rsidRPr="00C41FB0">
              <w:rPr>
                <w:sz w:val="20"/>
                <w:szCs w:val="20"/>
              </w:rPr>
              <w:t>1</w:t>
            </w:r>
          </w:p>
        </w:tc>
        <w:tc>
          <w:tcPr>
            <w:tcW w:w="409" w:type="pct"/>
          </w:tcPr>
          <w:p w14:paraId="62C6DE0C" w14:textId="2EAF4A60" w:rsidR="007C1D4A" w:rsidRPr="00C41FB0" w:rsidRDefault="007C1D4A" w:rsidP="007C1D4A">
            <w:pPr>
              <w:ind w:left="0" w:right="0"/>
              <w:jc w:val="center"/>
              <w:rPr>
                <w:sz w:val="20"/>
                <w:szCs w:val="20"/>
              </w:rPr>
            </w:pPr>
            <w:r w:rsidRPr="00C41FB0">
              <w:rPr>
                <w:sz w:val="20"/>
                <w:szCs w:val="20"/>
              </w:rPr>
              <w:t>0.3%</w:t>
            </w:r>
          </w:p>
        </w:tc>
        <w:tc>
          <w:tcPr>
            <w:tcW w:w="664" w:type="pct"/>
          </w:tcPr>
          <w:p w14:paraId="190CE923" w14:textId="52460D25" w:rsidR="007C1D4A" w:rsidRPr="00C41FB0" w:rsidRDefault="007C1D4A" w:rsidP="007C1D4A">
            <w:pPr>
              <w:ind w:left="0" w:right="0"/>
              <w:jc w:val="center"/>
              <w:rPr>
                <w:sz w:val="20"/>
                <w:szCs w:val="20"/>
              </w:rPr>
            </w:pPr>
            <w:r w:rsidRPr="00C41FB0">
              <w:rPr>
                <w:sz w:val="20"/>
                <w:szCs w:val="20"/>
              </w:rPr>
              <w:t>1</w:t>
            </w:r>
          </w:p>
        </w:tc>
        <w:tc>
          <w:tcPr>
            <w:tcW w:w="409" w:type="pct"/>
          </w:tcPr>
          <w:p w14:paraId="6E613182" w14:textId="64732F96" w:rsidR="007C1D4A" w:rsidRPr="00C41FB0" w:rsidRDefault="007C1D4A" w:rsidP="007C1D4A">
            <w:pPr>
              <w:ind w:left="0" w:right="0"/>
              <w:jc w:val="center"/>
              <w:rPr>
                <w:sz w:val="20"/>
                <w:szCs w:val="20"/>
              </w:rPr>
            </w:pPr>
            <w:r w:rsidRPr="00C41FB0">
              <w:rPr>
                <w:sz w:val="20"/>
                <w:szCs w:val="20"/>
              </w:rPr>
              <w:t>0.3%</w:t>
            </w:r>
          </w:p>
        </w:tc>
      </w:tr>
      <w:tr w:rsidR="007C1D4A" w:rsidRPr="00C41FB0" w14:paraId="4655C9B5" w14:textId="21B54A14" w:rsidTr="006063BE">
        <w:tc>
          <w:tcPr>
            <w:tcW w:w="1731" w:type="pct"/>
          </w:tcPr>
          <w:p w14:paraId="23BB8F57" w14:textId="4F913AEE" w:rsidR="007C1D4A" w:rsidRPr="00C41FB0" w:rsidRDefault="007C1D4A" w:rsidP="007C1D4A">
            <w:pPr>
              <w:ind w:left="0" w:right="0"/>
              <w:rPr>
                <w:sz w:val="20"/>
                <w:szCs w:val="20"/>
              </w:rPr>
            </w:pPr>
            <w:r w:rsidRPr="00C41FB0">
              <w:rPr>
                <w:sz w:val="20"/>
                <w:szCs w:val="20"/>
              </w:rPr>
              <w:t>Diarrhoea</w:t>
            </w:r>
          </w:p>
        </w:tc>
        <w:tc>
          <w:tcPr>
            <w:tcW w:w="715" w:type="pct"/>
          </w:tcPr>
          <w:p w14:paraId="67A4118D" w14:textId="77777777" w:rsidR="007C1D4A" w:rsidRPr="00C41FB0" w:rsidRDefault="007C1D4A" w:rsidP="007C1D4A">
            <w:pPr>
              <w:ind w:left="0" w:right="0"/>
              <w:jc w:val="center"/>
              <w:rPr>
                <w:sz w:val="20"/>
                <w:szCs w:val="20"/>
              </w:rPr>
            </w:pPr>
          </w:p>
        </w:tc>
        <w:tc>
          <w:tcPr>
            <w:tcW w:w="409" w:type="pct"/>
          </w:tcPr>
          <w:p w14:paraId="07F2E17B" w14:textId="1C28E348" w:rsidR="007C1D4A" w:rsidRPr="00C41FB0" w:rsidRDefault="007C1D4A" w:rsidP="007C1D4A">
            <w:pPr>
              <w:ind w:left="0" w:right="0"/>
              <w:jc w:val="center"/>
              <w:rPr>
                <w:sz w:val="20"/>
                <w:szCs w:val="20"/>
              </w:rPr>
            </w:pPr>
          </w:p>
        </w:tc>
        <w:tc>
          <w:tcPr>
            <w:tcW w:w="664" w:type="pct"/>
          </w:tcPr>
          <w:p w14:paraId="6D76B087" w14:textId="4C2D7BCA" w:rsidR="007C1D4A" w:rsidRPr="00C41FB0" w:rsidRDefault="007C1D4A" w:rsidP="007C1D4A">
            <w:pPr>
              <w:ind w:left="0" w:right="0"/>
              <w:jc w:val="center"/>
              <w:rPr>
                <w:sz w:val="20"/>
                <w:szCs w:val="20"/>
              </w:rPr>
            </w:pPr>
            <w:r w:rsidRPr="00C41FB0">
              <w:rPr>
                <w:sz w:val="20"/>
                <w:szCs w:val="20"/>
              </w:rPr>
              <w:t>-</w:t>
            </w:r>
          </w:p>
        </w:tc>
        <w:tc>
          <w:tcPr>
            <w:tcW w:w="409" w:type="pct"/>
          </w:tcPr>
          <w:p w14:paraId="2156ACB2" w14:textId="0F1174C0" w:rsidR="007C1D4A" w:rsidRPr="00C41FB0" w:rsidRDefault="007C1D4A" w:rsidP="007C1D4A">
            <w:pPr>
              <w:ind w:left="0" w:right="0"/>
              <w:jc w:val="center"/>
              <w:rPr>
                <w:sz w:val="20"/>
                <w:szCs w:val="20"/>
              </w:rPr>
            </w:pPr>
            <w:r w:rsidRPr="00C41FB0">
              <w:rPr>
                <w:sz w:val="20"/>
                <w:szCs w:val="20"/>
              </w:rPr>
              <w:t>-</w:t>
            </w:r>
          </w:p>
        </w:tc>
        <w:tc>
          <w:tcPr>
            <w:tcW w:w="664" w:type="pct"/>
          </w:tcPr>
          <w:p w14:paraId="7D5F2685" w14:textId="31F583F4" w:rsidR="007C1D4A" w:rsidRPr="00C41FB0" w:rsidRDefault="007C1D4A" w:rsidP="007C1D4A">
            <w:pPr>
              <w:ind w:left="0" w:right="0"/>
              <w:jc w:val="center"/>
              <w:rPr>
                <w:sz w:val="20"/>
                <w:szCs w:val="20"/>
              </w:rPr>
            </w:pPr>
            <w:r w:rsidRPr="00C41FB0">
              <w:rPr>
                <w:sz w:val="20"/>
                <w:szCs w:val="20"/>
              </w:rPr>
              <w:t>1</w:t>
            </w:r>
          </w:p>
        </w:tc>
        <w:tc>
          <w:tcPr>
            <w:tcW w:w="409" w:type="pct"/>
          </w:tcPr>
          <w:p w14:paraId="42E7B2DD" w14:textId="32D40826" w:rsidR="007C1D4A" w:rsidRPr="00C41FB0" w:rsidRDefault="007C1D4A" w:rsidP="007C1D4A">
            <w:pPr>
              <w:ind w:left="0" w:right="0"/>
              <w:jc w:val="center"/>
              <w:rPr>
                <w:sz w:val="20"/>
                <w:szCs w:val="20"/>
              </w:rPr>
            </w:pPr>
            <w:r w:rsidRPr="00C41FB0">
              <w:rPr>
                <w:sz w:val="20"/>
                <w:szCs w:val="20"/>
              </w:rPr>
              <w:t>0.3%</w:t>
            </w:r>
          </w:p>
        </w:tc>
      </w:tr>
      <w:tr w:rsidR="007C1D4A" w:rsidRPr="00C41FB0" w14:paraId="4133A68A" w14:textId="77777777" w:rsidTr="006063BE">
        <w:tc>
          <w:tcPr>
            <w:tcW w:w="1731" w:type="pct"/>
          </w:tcPr>
          <w:p w14:paraId="6E8534D5" w14:textId="4ADE17F3" w:rsidR="007C1D4A" w:rsidRPr="00C41FB0" w:rsidRDefault="007C1D4A" w:rsidP="007C1D4A">
            <w:pPr>
              <w:ind w:left="0" w:right="0"/>
              <w:rPr>
                <w:sz w:val="20"/>
                <w:szCs w:val="20"/>
              </w:rPr>
            </w:pPr>
            <w:r w:rsidRPr="00C41FB0">
              <w:rPr>
                <w:sz w:val="20"/>
                <w:szCs w:val="20"/>
              </w:rPr>
              <w:t>New or worsened muscle pain</w:t>
            </w:r>
          </w:p>
        </w:tc>
        <w:tc>
          <w:tcPr>
            <w:tcW w:w="715" w:type="pct"/>
          </w:tcPr>
          <w:p w14:paraId="3634E3DE" w14:textId="77777777" w:rsidR="007C1D4A" w:rsidRPr="00C41FB0" w:rsidRDefault="007C1D4A" w:rsidP="007C1D4A">
            <w:pPr>
              <w:ind w:left="0" w:right="0"/>
              <w:jc w:val="center"/>
              <w:rPr>
                <w:sz w:val="20"/>
                <w:szCs w:val="20"/>
              </w:rPr>
            </w:pPr>
          </w:p>
        </w:tc>
        <w:tc>
          <w:tcPr>
            <w:tcW w:w="409" w:type="pct"/>
          </w:tcPr>
          <w:p w14:paraId="03EFDA88" w14:textId="1C424A9B" w:rsidR="007C1D4A" w:rsidRPr="00C41FB0" w:rsidRDefault="007C1D4A" w:rsidP="007C1D4A">
            <w:pPr>
              <w:ind w:left="0" w:right="0"/>
              <w:jc w:val="center"/>
              <w:rPr>
                <w:sz w:val="20"/>
                <w:szCs w:val="20"/>
              </w:rPr>
            </w:pPr>
          </w:p>
        </w:tc>
        <w:tc>
          <w:tcPr>
            <w:tcW w:w="664" w:type="pct"/>
          </w:tcPr>
          <w:p w14:paraId="0748B489" w14:textId="0BC0F125" w:rsidR="007C1D4A" w:rsidRPr="00C41FB0" w:rsidRDefault="007C1D4A" w:rsidP="007C1D4A">
            <w:pPr>
              <w:ind w:left="0" w:right="0"/>
              <w:jc w:val="center"/>
              <w:rPr>
                <w:sz w:val="20"/>
                <w:szCs w:val="20"/>
              </w:rPr>
            </w:pPr>
            <w:r w:rsidRPr="00C41FB0">
              <w:rPr>
                <w:sz w:val="20"/>
                <w:szCs w:val="20"/>
              </w:rPr>
              <w:t>1</w:t>
            </w:r>
          </w:p>
        </w:tc>
        <w:tc>
          <w:tcPr>
            <w:tcW w:w="409" w:type="pct"/>
          </w:tcPr>
          <w:p w14:paraId="0B42A7A4" w14:textId="6A1F4673" w:rsidR="007C1D4A" w:rsidRPr="00C41FB0" w:rsidRDefault="007C1D4A" w:rsidP="007C1D4A">
            <w:pPr>
              <w:ind w:left="0" w:right="0"/>
              <w:jc w:val="center"/>
              <w:rPr>
                <w:sz w:val="20"/>
                <w:szCs w:val="20"/>
              </w:rPr>
            </w:pPr>
            <w:r w:rsidRPr="00C41FB0">
              <w:rPr>
                <w:sz w:val="20"/>
                <w:szCs w:val="20"/>
              </w:rPr>
              <w:t>0.3%</w:t>
            </w:r>
          </w:p>
        </w:tc>
        <w:tc>
          <w:tcPr>
            <w:tcW w:w="664" w:type="pct"/>
          </w:tcPr>
          <w:p w14:paraId="1725F714" w14:textId="4CD53FEA" w:rsidR="007C1D4A" w:rsidRPr="00C41FB0" w:rsidRDefault="007C1D4A" w:rsidP="007C1D4A">
            <w:pPr>
              <w:ind w:left="0" w:right="0"/>
              <w:jc w:val="center"/>
              <w:rPr>
                <w:sz w:val="20"/>
                <w:szCs w:val="20"/>
              </w:rPr>
            </w:pPr>
            <w:r w:rsidRPr="00C41FB0">
              <w:rPr>
                <w:sz w:val="20"/>
                <w:szCs w:val="20"/>
              </w:rPr>
              <w:t>-</w:t>
            </w:r>
          </w:p>
        </w:tc>
        <w:tc>
          <w:tcPr>
            <w:tcW w:w="409" w:type="pct"/>
          </w:tcPr>
          <w:p w14:paraId="26846C18" w14:textId="7D41A5B6" w:rsidR="007C1D4A" w:rsidRPr="00C41FB0" w:rsidRDefault="007C1D4A" w:rsidP="007C1D4A">
            <w:pPr>
              <w:ind w:left="0" w:right="0"/>
              <w:jc w:val="center"/>
              <w:rPr>
                <w:sz w:val="20"/>
                <w:szCs w:val="20"/>
              </w:rPr>
            </w:pPr>
            <w:r w:rsidRPr="00C41FB0">
              <w:rPr>
                <w:sz w:val="20"/>
                <w:szCs w:val="20"/>
              </w:rPr>
              <w:t>-</w:t>
            </w:r>
          </w:p>
        </w:tc>
      </w:tr>
      <w:tr w:rsidR="007C1D4A" w:rsidRPr="00C41FB0" w14:paraId="682D1B80" w14:textId="4DC59AB5" w:rsidTr="006063BE">
        <w:tc>
          <w:tcPr>
            <w:tcW w:w="1731" w:type="pct"/>
          </w:tcPr>
          <w:p w14:paraId="6427F54D" w14:textId="3B329053" w:rsidR="007C1D4A" w:rsidRPr="00C41FB0" w:rsidRDefault="007C1D4A" w:rsidP="007C1D4A">
            <w:pPr>
              <w:ind w:left="0" w:right="0"/>
              <w:rPr>
                <w:sz w:val="20"/>
                <w:szCs w:val="20"/>
              </w:rPr>
            </w:pPr>
            <w:r w:rsidRPr="00C41FB0">
              <w:rPr>
                <w:sz w:val="20"/>
                <w:szCs w:val="20"/>
              </w:rPr>
              <w:t>All systemic events</w:t>
            </w:r>
          </w:p>
        </w:tc>
        <w:tc>
          <w:tcPr>
            <w:tcW w:w="715" w:type="pct"/>
          </w:tcPr>
          <w:p w14:paraId="4860F163" w14:textId="758E6860" w:rsidR="007C1D4A" w:rsidRPr="00C41FB0" w:rsidRDefault="007C1D4A" w:rsidP="007C1D4A">
            <w:pPr>
              <w:ind w:left="0" w:right="0"/>
              <w:jc w:val="center"/>
              <w:rPr>
                <w:sz w:val="20"/>
                <w:szCs w:val="20"/>
              </w:rPr>
            </w:pPr>
            <w:r>
              <w:rPr>
                <w:sz w:val="20"/>
                <w:szCs w:val="20"/>
              </w:rPr>
              <w:t>1</w:t>
            </w:r>
          </w:p>
        </w:tc>
        <w:tc>
          <w:tcPr>
            <w:tcW w:w="409" w:type="pct"/>
          </w:tcPr>
          <w:p w14:paraId="319FD011" w14:textId="382A7C6B" w:rsidR="007C1D4A" w:rsidRPr="00C41FB0" w:rsidRDefault="007C1D4A" w:rsidP="007C1D4A">
            <w:pPr>
              <w:ind w:left="0" w:right="0"/>
              <w:jc w:val="center"/>
              <w:rPr>
                <w:sz w:val="20"/>
                <w:szCs w:val="20"/>
              </w:rPr>
            </w:pPr>
            <w:r>
              <w:rPr>
                <w:sz w:val="20"/>
                <w:szCs w:val="20"/>
              </w:rPr>
              <w:t>0.3%</w:t>
            </w:r>
          </w:p>
        </w:tc>
        <w:tc>
          <w:tcPr>
            <w:tcW w:w="664" w:type="pct"/>
          </w:tcPr>
          <w:p w14:paraId="6BFA6EED" w14:textId="239F4ED4" w:rsidR="007C1D4A" w:rsidRPr="00C41FB0" w:rsidRDefault="007C1D4A" w:rsidP="007C1D4A">
            <w:pPr>
              <w:ind w:left="0" w:right="0"/>
              <w:jc w:val="center"/>
              <w:rPr>
                <w:sz w:val="20"/>
                <w:szCs w:val="20"/>
              </w:rPr>
            </w:pPr>
            <w:r w:rsidRPr="00C41FB0">
              <w:rPr>
                <w:sz w:val="20"/>
                <w:szCs w:val="20"/>
              </w:rPr>
              <w:t>8</w:t>
            </w:r>
          </w:p>
        </w:tc>
        <w:tc>
          <w:tcPr>
            <w:tcW w:w="409" w:type="pct"/>
          </w:tcPr>
          <w:p w14:paraId="53778267" w14:textId="69E45177" w:rsidR="007C1D4A" w:rsidRPr="00C41FB0" w:rsidRDefault="007C1D4A" w:rsidP="007C1D4A">
            <w:pPr>
              <w:ind w:left="0" w:right="0"/>
              <w:jc w:val="center"/>
              <w:rPr>
                <w:sz w:val="20"/>
                <w:szCs w:val="20"/>
              </w:rPr>
            </w:pPr>
            <w:r w:rsidRPr="00C41FB0">
              <w:rPr>
                <w:sz w:val="20"/>
                <w:szCs w:val="20"/>
              </w:rPr>
              <w:t>2.0%</w:t>
            </w:r>
          </w:p>
        </w:tc>
        <w:tc>
          <w:tcPr>
            <w:tcW w:w="664" w:type="pct"/>
          </w:tcPr>
          <w:p w14:paraId="017E5FC8" w14:textId="106EA130" w:rsidR="007C1D4A" w:rsidRPr="00C41FB0" w:rsidRDefault="007C1D4A" w:rsidP="007C1D4A">
            <w:pPr>
              <w:ind w:left="0" w:right="0"/>
              <w:jc w:val="center"/>
              <w:rPr>
                <w:sz w:val="20"/>
                <w:szCs w:val="20"/>
              </w:rPr>
            </w:pPr>
            <w:r w:rsidRPr="00C41FB0">
              <w:rPr>
                <w:sz w:val="20"/>
                <w:szCs w:val="20"/>
              </w:rPr>
              <w:t>12</w:t>
            </w:r>
          </w:p>
        </w:tc>
        <w:tc>
          <w:tcPr>
            <w:tcW w:w="409" w:type="pct"/>
          </w:tcPr>
          <w:p w14:paraId="30CCE41A" w14:textId="1BA155B8" w:rsidR="007C1D4A" w:rsidRPr="00C41FB0" w:rsidRDefault="007C1D4A" w:rsidP="007C1D4A">
            <w:pPr>
              <w:ind w:left="0" w:right="0"/>
              <w:jc w:val="center"/>
              <w:rPr>
                <w:sz w:val="20"/>
                <w:szCs w:val="20"/>
              </w:rPr>
            </w:pPr>
            <w:r w:rsidRPr="00C41FB0">
              <w:rPr>
                <w:sz w:val="20"/>
                <w:szCs w:val="20"/>
              </w:rPr>
              <w:t>3.2%</w:t>
            </w:r>
          </w:p>
        </w:tc>
      </w:tr>
    </w:tbl>
    <w:p w14:paraId="53DAD9EA" w14:textId="77777777" w:rsidR="001F0729" w:rsidRDefault="001F0729" w:rsidP="001F0729">
      <w:pPr>
        <w:pStyle w:val="TableDescription"/>
        <w:rPr>
          <w:lang w:val="en-GB"/>
        </w:rPr>
      </w:pPr>
      <w:r>
        <w:t>a. </w:t>
      </w:r>
      <w:r>
        <w:rPr>
          <w:lang w:val="en-GB"/>
        </w:rPr>
        <w:t>N</w:t>
      </w:r>
      <w:r w:rsidR="0053177C">
        <w:rPr>
          <w:lang w:val="en-GB"/>
        </w:rPr>
        <w:t>umber of p</w:t>
      </w:r>
      <w:r>
        <w:rPr>
          <w:lang w:val="en-GB"/>
        </w:rPr>
        <w:t>articipants reporting at least one</w:t>
      </w:r>
      <w:r w:rsidR="0053177C">
        <w:rPr>
          <w:lang w:val="en-GB"/>
        </w:rPr>
        <w:t xml:space="preserve"> yes or no response for the specified event after the specified dose.</w:t>
      </w:r>
    </w:p>
    <w:p w14:paraId="52F28018" w14:textId="72A1CD92" w:rsidR="007D4570" w:rsidRPr="007D4570" w:rsidRDefault="001F0729" w:rsidP="001F0729">
      <w:pPr>
        <w:pStyle w:val="TableDescription"/>
      </w:pPr>
      <w:r>
        <w:rPr>
          <w:lang w:val="en-GB"/>
        </w:rPr>
        <w:t xml:space="preserve">b. </w:t>
      </w:r>
      <w:r w:rsidR="0053177C">
        <w:rPr>
          <w:lang w:val="en-GB"/>
        </w:rPr>
        <w:t xml:space="preserve">Number of participants with the specified </w:t>
      </w:r>
      <w:r>
        <w:rPr>
          <w:lang w:val="en-GB"/>
        </w:rPr>
        <w:t>systemic event</w:t>
      </w:r>
      <w:r w:rsidR="007C1D4A">
        <w:rPr>
          <w:lang w:val="en-GB"/>
        </w:rPr>
        <w:t xml:space="preserve"> graded as severe</w:t>
      </w:r>
      <w:r w:rsidR="0053177C">
        <w:rPr>
          <w:lang w:val="en-GB"/>
        </w:rPr>
        <w:t>.</w:t>
      </w:r>
    </w:p>
    <w:p w14:paraId="3C290823" w14:textId="488BCAFC" w:rsidR="007D4570" w:rsidRDefault="007C1D4A" w:rsidP="007D4570">
      <w:r w:rsidRPr="007C1D4A">
        <w:lastRenderedPageBreak/>
        <w:t xml:space="preserve">The incidence of fever was lower following Dose 3 (6.7%) compared with Dose 2 (8.8%). </w:t>
      </w:r>
      <w:r w:rsidRPr="007D4570">
        <w:t xml:space="preserve">One participant had a fever </w:t>
      </w:r>
      <w:r>
        <w:t>above</w:t>
      </w:r>
      <w:r w:rsidRPr="007D4570">
        <w:t xml:space="preserve"> 40.0 C after Dose 2</w:t>
      </w:r>
      <w:r>
        <w:t xml:space="preserve">. </w:t>
      </w:r>
      <w:r w:rsidRPr="007C1D4A">
        <w:t xml:space="preserve">There were no adverse events of febrile convulsion based on review of adverse events </w:t>
      </w:r>
      <w:proofErr w:type="gramStart"/>
      <w:r w:rsidRPr="007C1D4A">
        <w:t>presented.</w:t>
      </w:r>
      <w:r w:rsidR="007D4570" w:rsidRPr="007D4570">
        <w:t>.</w:t>
      </w:r>
      <w:proofErr w:type="gramEnd"/>
    </w:p>
    <w:p w14:paraId="1FF6B2AA" w14:textId="773339D7" w:rsidR="007D4570" w:rsidRPr="007D4570" w:rsidRDefault="007D4570" w:rsidP="007D4570">
      <w:r w:rsidRPr="007D4570">
        <w:t xml:space="preserve">There were no Grade 4 systemic events. The median onset for most systemic events after any dose of </w:t>
      </w:r>
      <w:r w:rsidR="00A11CCD">
        <w:t>Comirnaty (tozinameran) vaccine</w:t>
      </w:r>
      <w:r w:rsidRPr="007D4570">
        <w:t xml:space="preserve"> 10 µg was 1 to 2 days, and most events resolv</w:t>
      </w:r>
      <w:r w:rsidR="00A11CCD">
        <w:t>ed within a median duration of one</w:t>
      </w:r>
      <w:r w:rsidRPr="007D4570">
        <w:t xml:space="preserve"> day after onset.</w:t>
      </w:r>
    </w:p>
    <w:p w14:paraId="40A2CC72" w14:textId="02EE6BE6" w:rsidR="007D4570" w:rsidRDefault="007D4570" w:rsidP="00E041DD">
      <w:pPr>
        <w:pStyle w:val="Heading5"/>
      </w:pPr>
      <w:r w:rsidRPr="007D4570">
        <w:t>Adverse events</w:t>
      </w:r>
      <w:r w:rsidR="00E041DD">
        <w:t xml:space="preserve"> (events within one month after dosing)</w:t>
      </w:r>
    </w:p>
    <w:p w14:paraId="0FADF966" w14:textId="799F8940" w:rsidR="00E041DD" w:rsidRDefault="00E041DD" w:rsidP="00E041DD">
      <w:pPr>
        <w:rPr>
          <w:bCs/>
        </w:rPr>
      </w:pPr>
      <w:r w:rsidRPr="007D4570">
        <w:rPr>
          <w:bCs/>
        </w:rPr>
        <w:t xml:space="preserve">There were 9.0% participants </w:t>
      </w:r>
      <w:r>
        <w:rPr>
          <w:bCs/>
        </w:rPr>
        <w:t>reporting</w:t>
      </w:r>
      <w:r w:rsidRPr="007D4570">
        <w:rPr>
          <w:bCs/>
        </w:rPr>
        <w:t xml:space="preserve"> any adverse event. </w:t>
      </w:r>
      <w:r>
        <w:rPr>
          <w:bCs/>
        </w:rPr>
        <w:t>Of these, t</w:t>
      </w:r>
      <w:r w:rsidRPr="007D4570">
        <w:rPr>
          <w:bCs/>
        </w:rPr>
        <w:t xml:space="preserve">here were no </w:t>
      </w:r>
      <w:r>
        <w:rPr>
          <w:bCs/>
        </w:rPr>
        <w:t>serious adverse events</w:t>
      </w:r>
      <w:r w:rsidRPr="007D4570">
        <w:rPr>
          <w:bCs/>
        </w:rPr>
        <w:t xml:space="preserve">, </w:t>
      </w:r>
      <w:proofErr w:type="gramStart"/>
      <w:r w:rsidRPr="007D4570">
        <w:rPr>
          <w:bCs/>
        </w:rPr>
        <w:t>deaths</w:t>
      </w:r>
      <w:proofErr w:type="gramEnd"/>
      <w:r w:rsidRPr="007D4570">
        <w:rPr>
          <w:bCs/>
        </w:rPr>
        <w:t xml:space="preserve"> or withdrawals due to</w:t>
      </w:r>
      <w:r>
        <w:rPr>
          <w:bCs/>
        </w:rPr>
        <w:t xml:space="preserve"> adverse events</w:t>
      </w:r>
      <w:r w:rsidRPr="007D4570">
        <w:rPr>
          <w:bCs/>
        </w:rPr>
        <w:t xml:space="preserve">. Cumulatively, no additional participants reported </w:t>
      </w:r>
      <w:r>
        <w:rPr>
          <w:bCs/>
        </w:rPr>
        <w:t>adverse events</w:t>
      </w:r>
      <w:r w:rsidRPr="007D4570">
        <w:rPr>
          <w:bCs/>
        </w:rPr>
        <w:t xml:space="preserve"> up to dat</w:t>
      </w:r>
      <w:r>
        <w:rPr>
          <w:bCs/>
        </w:rPr>
        <w:t>a cut-off date (22 March 2022).</w:t>
      </w:r>
    </w:p>
    <w:p w14:paraId="786161C5" w14:textId="5D9D3F44" w:rsidR="00E041DD" w:rsidRPr="00E041DD" w:rsidRDefault="00E041DD" w:rsidP="00E041DD">
      <w:pPr>
        <w:rPr>
          <w:bCs/>
        </w:rPr>
      </w:pPr>
      <w:r>
        <w:rPr>
          <w:bCs/>
        </w:rPr>
        <w:fldChar w:fldCharType="begin"/>
      </w:r>
      <w:r>
        <w:rPr>
          <w:bCs/>
        </w:rPr>
        <w:instrText xml:space="preserve"> REF _Ref114655793 \h </w:instrText>
      </w:r>
      <w:r>
        <w:rPr>
          <w:bCs/>
        </w:rPr>
      </w:r>
      <w:r>
        <w:rPr>
          <w:bCs/>
        </w:rPr>
        <w:fldChar w:fldCharType="separate"/>
      </w:r>
      <w:r>
        <w:t xml:space="preserve">Table </w:t>
      </w:r>
      <w:r>
        <w:rPr>
          <w:noProof/>
        </w:rPr>
        <w:t>20</w:t>
      </w:r>
      <w:r>
        <w:rPr>
          <w:bCs/>
        </w:rPr>
        <w:fldChar w:fldCharType="end"/>
      </w:r>
      <w:r>
        <w:rPr>
          <w:bCs/>
        </w:rPr>
        <w:t xml:space="preserve">, shown below, summarises the adverse event profile in the </w:t>
      </w:r>
      <w:proofErr w:type="gramStart"/>
      <w:r>
        <w:rPr>
          <w:bCs/>
        </w:rPr>
        <w:t>one month</w:t>
      </w:r>
      <w:proofErr w:type="gramEnd"/>
      <w:r>
        <w:rPr>
          <w:bCs/>
        </w:rPr>
        <w:t xml:space="preserve"> period following Dose 3.</w:t>
      </w:r>
    </w:p>
    <w:p w14:paraId="0FBF99BA" w14:textId="277A4118" w:rsidR="00927CCC" w:rsidRPr="00927CCC" w:rsidRDefault="00A11CCD" w:rsidP="00927CCC">
      <w:pPr>
        <w:pStyle w:val="Tabletitle0"/>
      </w:pPr>
      <w:bookmarkStart w:id="82" w:name="_Ref114655793"/>
      <w:r>
        <w:t xml:space="preserve">Table </w:t>
      </w:r>
      <w:r w:rsidR="00BC0ACB">
        <w:fldChar w:fldCharType="begin"/>
      </w:r>
      <w:r w:rsidR="00BC0ACB">
        <w:instrText xml:space="preserve"> SEQ Table \* ARABIC </w:instrText>
      </w:r>
      <w:r w:rsidR="00BC0ACB">
        <w:fldChar w:fldCharType="separate"/>
      </w:r>
      <w:r w:rsidR="001E0AB7">
        <w:rPr>
          <w:noProof/>
        </w:rPr>
        <w:t>20</w:t>
      </w:r>
      <w:r w:rsidR="00BC0ACB">
        <w:rPr>
          <w:noProof/>
        </w:rPr>
        <w:fldChar w:fldCharType="end"/>
      </w:r>
      <w:bookmarkEnd w:id="82"/>
      <w:r w:rsidR="00927CCC">
        <w:t>: Study C4591007 Phase II/III Number (%)</w:t>
      </w:r>
      <w:r w:rsidR="007B02E6">
        <w:t xml:space="preserve"> of participants</w:t>
      </w:r>
      <w:r w:rsidR="00927CCC">
        <w:t xml:space="preserve"> </w:t>
      </w:r>
      <w:r w:rsidR="007B02E6">
        <w:t xml:space="preserve">aged from 5 to under 12 years </w:t>
      </w:r>
      <w:r w:rsidR="00927CCC">
        <w:t>repor</w:t>
      </w:r>
      <w:r w:rsidR="007B02E6">
        <w:t>ting at least one adverse event within</w:t>
      </w:r>
      <w:r w:rsidR="00927CCC">
        <w:t xml:space="preserve"> one month </w:t>
      </w:r>
      <w:r w:rsidR="007B02E6">
        <w:t>after receiving</w:t>
      </w:r>
      <w:r w:rsidR="00927CCC">
        <w:t xml:space="preserve"> Dose 3</w:t>
      </w:r>
      <w:r w:rsidR="007B02E6">
        <w:t xml:space="preserve"> of Comirnaty (tozinameran) vaccine </w:t>
      </w:r>
      <w:r w:rsidR="00E041DD">
        <w:t>(safety </w:t>
      </w:r>
      <w:r w:rsidR="00927CCC">
        <w:t>population)</w:t>
      </w:r>
    </w:p>
    <w:p w14:paraId="0C48BDFE" w14:textId="77777777" w:rsidR="007D4570" w:rsidRPr="007D4570" w:rsidRDefault="007D4570" w:rsidP="007D4570">
      <w:r w:rsidRPr="007D4570">
        <w:rPr>
          <w:noProof/>
          <w:lang w:val="en-GB" w:eastAsia="en-GB"/>
        </w:rPr>
        <w:drawing>
          <wp:inline distT="0" distB="0" distL="0" distR="0" wp14:anchorId="031B81C7" wp14:editId="31057738">
            <wp:extent cx="5264066" cy="3680652"/>
            <wp:effectExtent l="0" t="0" r="0" b="0"/>
            <wp:docPr id="59" name="Picture 59" descr="Study C4591007 Phase II/III Number (%) of participants reporting at least one adverse event in one month after receiving Dose 3, in participants aged from 5 to under 12 yea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1777"/>
                    <a:stretch/>
                  </pic:blipFill>
                  <pic:spPr bwMode="auto">
                    <a:xfrm>
                      <a:off x="0" y="0"/>
                      <a:ext cx="5274004" cy="3687601"/>
                    </a:xfrm>
                    <a:prstGeom prst="rect">
                      <a:avLst/>
                    </a:prstGeom>
                    <a:ln>
                      <a:noFill/>
                    </a:ln>
                    <a:extLst>
                      <a:ext uri="{53640926-AAD7-44D8-BBD7-CCE9431645EC}">
                        <a14:shadowObscured xmlns:a14="http://schemas.microsoft.com/office/drawing/2010/main"/>
                      </a:ext>
                    </a:extLst>
                  </pic:spPr>
                </pic:pic>
              </a:graphicData>
            </a:graphic>
          </wp:inline>
        </w:drawing>
      </w:r>
    </w:p>
    <w:p w14:paraId="4918C425" w14:textId="77777777" w:rsidR="00E041DD" w:rsidRPr="00E041DD" w:rsidRDefault="00E041DD" w:rsidP="00E041DD">
      <w:pPr>
        <w:pStyle w:val="TableDescription"/>
      </w:pPr>
      <w:r w:rsidRPr="00E041DD">
        <w:t>a. N = number of participants in the specified group. This value is the denominator for the percentage calculations.</w:t>
      </w:r>
    </w:p>
    <w:p w14:paraId="13496395" w14:textId="0D38F7B9" w:rsidR="00E041DD" w:rsidRPr="00E041DD" w:rsidRDefault="00E041DD" w:rsidP="00E041DD">
      <w:pPr>
        <w:pStyle w:val="TableDescription"/>
      </w:pPr>
      <w:r w:rsidRPr="00E041DD">
        <w:t>b. n = Number of p</w:t>
      </w:r>
      <w:r>
        <w:t>articipants reporting at least one</w:t>
      </w:r>
      <w:r w:rsidRPr="00E041DD">
        <w:t xml:space="preserve"> occurrence of the specified event categ</w:t>
      </w:r>
      <w:r>
        <w:t xml:space="preserve">ory. For ‘any adverse event’, n </w:t>
      </w:r>
      <w:r w:rsidRPr="00E041DD">
        <w:t>= the number of p</w:t>
      </w:r>
      <w:r>
        <w:t>articipants reporting at least one</w:t>
      </w:r>
      <w:r w:rsidRPr="00E041DD">
        <w:t xml:space="preserve"> occurrence of any adverse event.</w:t>
      </w:r>
    </w:p>
    <w:p w14:paraId="6D4FD4E9" w14:textId="017E1443" w:rsidR="00E041DD" w:rsidRPr="00E041DD" w:rsidRDefault="00E041DD" w:rsidP="00E041DD">
      <w:pPr>
        <w:pStyle w:val="TableDescription"/>
      </w:pPr>
      <w:r w:rsidRPr="00E041DD">
        <w:t>c. Assessed by the investigator as related to the study intervention.</w:t>
      </w:r>
    </w:p>
    <w:p w14:paraId="0B5FC4A2" w14:textId="2C4B53C4" w:rsidR="007B02E6" w:rsidRPr="007D4570" w:rsidRDefault="00927CCC" w:rsidP="007D4570">
      <w:pPr>
        <w:rPr>
          <w:bCs/>
        </w:rPr>
      </w:pPr>
      <w:r>
        <w:rPr>
          <w:bCs/>
        </w:rPr>
        <w:t>Adverse events from Dose 3 to one</w:t>
      </w:r>
      <w:r w:rsidR="007D4570" w:rsidRPr="007D4570">
        <w:rPr>
          <w:bCs/>
        </w:rPr>
        <w:t xml:space="preserve"> month after Dose 3 were reported most frequently in </w:t>
      </w:r>
      <w:r>
        <w:rPr>
          <w:bCs/>
        </w:rPr>
        <w:t xml:space="preserve">SOC: </w:t>
      </w:r>
      <w:r w:rsidR="007D4570" w:rsidRPr="007D4570">
        <w:rPr>
          <w:bCs/>
        </w:rPr>
        <w:t xml:space="preserve">General disorders and administration site conditions (2.2%), </w:t>
      </w:r>
      <w:r>
        <w:rPr>
          <w:bCs/>
        </w:rPr>
        <w:t xml:space="preserve">SOC: </w:t>
      </w:r>
      <w:r w:rsidR="007D4570" w:rsidRPr="007D4570">
        <w:rPr>
          <w:bCs/>
        </w:rPr>
        <w:t xml:space="preserve">Gastrointestinal disorders (1.5%) and </w:t>
      </w:r>
      <w:r>
        <w:rPr>
          <w:bCs/>
        </w:rPr>
        <w:t xml:space="preserve">SOC: </w:t>
      </w:r>
      <w:r w:rsidR="007D4570" w:rsidRPr="007D4570">
        <w:rPr>
          <w:bCs/>
        </w:rPr>
        <w:t xml:space="preserve">Nervous system disorders (1.0%). The most common </w:t>
      </w:r>
      <w:r>
        <w:rPr>
          <w:bCs/>
        </w:rPr>
        <w:t>adverse event</w:t>
      </w:r>
      <w:r w:rsidR="007D4570" w:rsidRPr="007D4570">
        <w:rPr>
          <w:bCs/>
        </w:rPr>
        <w:t xml:space="preserve"> by PT</w:t>
      </w:r>
      <w:r>
        <w:rPr>
          <w:bCs/>
        </w:rPr>
        <w:t>s</w:t>
      </w:r>
      <w:r w:rsidR="007D4570" w:rsidRPr="007D4570">
        <w:rPr>
          <w:bCs/>
        </w:rPr>
        <w:t xml:space="preserve"> were lymphadenopathy (2.0%), injection site pain (1.7%) a</w:t>
      </w:r>
      <w:r>
        <w:rPr>
          <w:bCs/>
        </w:rPr>
        <w:t>nd headache (0.7%).</w:t>
      </w:r>
    </w:p>
    <w:p w14:paraId="0EADAD94" w14:textId="25D465D6" w:rsidR="00927CCC" w:rsidRPr="00927CCC" w:rsidRDefault="00927CCC" w:rsidP="00121097">
      <w:pPr>
        <w:pStyle w:val="Tabletitle0"/>
        <w:pageBreakBefore/>
      </w:pPr>
      <w:r>
        <w:lastRenderedPageBreak/>
        <w:t xml:space="preserve">Table </w:t>
      </w:r>
      <w:r w:rsidR="00BC0ACB">
        <w:fldChar w:fldCharType="begin"/>
      </w:r>
      <w:r w:rsidR="00BC0ACB">
        <w:instrText xml:space="preserve"> SEQ Table \* ARABIC </w:instrText>
      </w:r>
      <w:r w:rsidR="00BC0ACB">
        <w:fldChar w:fldCharType="separate"/>
      </w:r>
      <w:r w:rsidR="001E0AB7">
        <w:rPr>
          <w:noProof/>
        </w:rPr>
        <w:t>21</w:t>
      </w:r>
      <w:r w:rsidR="00BC0ACB">
        <w:rPr>
          <w:noProof/>
        </w:rPr>
        <w:fldChar w:fldCharType="end"/>
      </w:r>
      <w:r>
        <w:t>: Study C4591007 Phase II/III Number (%)</w:t>
      </w:r>
      <w:r w:rsidR="007B02E6">
        <w:t xml:space="preserve"> of participants</w:t>
      </w:r>
      <w:r>
        <w:t xml:space="preserve"> </w:t>
      </w:r>
      <w:r w:rsidR="007B02E6">
        <w:t xml:space="preserve">aged from 5 to under 12 years </w:t>
      </w:r>
      <w:r>
        <w:t xml:space="preserve">reporting at least one adverse event </w:t>
      </w:r>
      <w:r w:rsidR="007B02E6">
        <w:t>within one month after receiving</w:t>
      </w:r>
      <w:r>
        <w:t xml:space="preserve"> </w:t>
      </w:r>
      <w:r w:rsidR="00E041DD">
        <w:t xml:space="preserve">Dose 3 </w:t>
      </w:r>
      <w:r w:rsidR="007B02E6">
        <w:t>of Comirnaty (tozinameran) vaccine; events reported by</w:t>
      </w:r>
      <w:r>
        <w:t xml:space="preserve"> System </w:t>
      </w:r>
      <w:r w:rsidR="007B02E6">
        <w:t xml:space="preserve">Organ Class and Preferred Term </w:t>
      </w:r>
      <w:r>
        <w:t>(safety population)</w:t>
      </w:r>
    </w:p>
    <w:p w14:paraId="5B6E850E" w14:textId="77777777" w:rsidR="007D4570" w:rsidRPr="007D4570" w:rsidRDefault="007D4570" w:rsidP="007D4570">
      <w:r w:rsidRPr="007D4570">
        <w:rPr>
          <w:noProof/>
          <w:lang w:val="en-GB" w:eastAsia="en-GB"/>
        </w:rPr>
        <w:drawing>
          <wp:inline distT="0" distB="0" distL="0" distR="0" wp14:anchorId="4455D217" wp14:editId="7A4400D1">
            <wp:extent cx="4940833" cy="2236927"/>
            <wp:effectExtent l="0" t="0" r="0" b="0"/>
            <wp:docPr id="61" name="Picture 61" descr="Study C4591007 Phase II/III Number (%) of participants aged from 5 to under 12 years reporting at least one adverse event within one month after receiving Dose 3 of Comirnaty (tozinameran) vaccine; events reported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3050"/>
                    <a:stretch/>
                  </pic:blipFill>
                  <pic:spPr bwMode="auto">
                    <a:xfrm>
                      <a:off x="0" y="0"/>
                      <a:ext cx="4961233" cy="2246163"/>
                    </a:xfrm>
                    <a:prstGeom prst="rect">
                      <a:avLst/>
                    </a:prstGeom>
                    <a:ln>
                      <a:noFill/>
                    </a:ln>
                    <a:extLst>
                      <a:ext uri="{53640926-AAD7-44D8-BBD7-CCE9431645EC}">
                        <a14:shadowObscured xmlns:a14="http://schemas.microsoft.com/office/drawing/2010/main"/>
                      </a:ext>
                    </a:extLst>
                  </pic:spPr>
                </pic:pic>
              </a:graphicData>
            </a:graphic>
          </wp:inline>
        </w:drawing>
      </w:r>
    </w:p>
    <w:p w14:paraId="39F3450D" w14:textId="370CFA84" w:rsidR="007D4570" w:rsidRDefault="007D4570" w:rsidP="007D4570">
      <w:r w:rsidRPr="007D4570">
        <w:rPr>
          <w:noProof/>
          <w:lang w:val="en-GB" w:eastAsia="en-GB"/>
        </w:rPr>
        <w:drawing>
          <wp:inline distT="0" distB="0" distL="0" distR="0" wp14:anchorId="0BF8F63F" wp14:editId="66374172">
            <wp:extent cx="4908515" cy="4426003"/>
            <wp:effectExtent l="0" t="0" r="6985" b="0"/>
            <wp:docPr id="62" name="Picture 62" descr="Study C4591007 Phase II/III Number (%) of participants aged from 5 to under 12 years reporting at least one adverse event within one month after receiving Dose 3 of Comirnaty (tozinameran) vaccine; events reported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432"/>
                    <a:stretch/>
                  </pic:blipFill>
                  <pic:spPr bwMode="auto">
                    <a:xfrm>
                      <a:off x="0" y="0"/>
                      <a:ext cx="4931919" cy="4447106"/>
                    </a:xfrm>
                    <a:prstGeom prst="rect">
                      <a:avLst/>
                    </a:prstGeom>
                    <a:ln>
                      <a:noFill/>
                    </a:ln>
                    <a:extLst>
                      <a:ext uri="{53640926-AAD7-44D8-BBD7-CCE9431645EC}">
                        <a14:shadowObscured xmlns:a14="http://schemas.microsoft.com/office/drawing/2010/main"/>
                      </a:ext>
                    </a:extLst>
                  </pic:spPr>
                </pic:pic>
              </a:graphicData>
            </a:graphic>
          </wp:inline>
        </w:drawing>
      </w:r>
    </w:p>
    <w:p w14:paraId="51191818" w14:textId="77777777" w:rsidR="007B02E6" w:rsidRDefault="007B02E6" w:rsidP="007B02E6">
      <w:pPr>
        <w:pStyle w:val="TableDescription"/>
      </w:pPr>
      <w:r>
        <w:t>Note: MedDRA (v24.1) coding dictionary applied.</w:t>
      </w:r>
    </w:p>
    <w:p w14:paraId="4ABE252A" w14:textId="77777777" w:rsidR="007B02E6" w:rsidRDefault="007B02E6" w:rsidP="007B02E6">
      <w:pPr>
        <w:pStyle w:val="TableDescription"/>
      </w:pPr>
      <w:r>
        <w:t>a. N = number of participants in the specified group. This value is the denominator for the percentage calculations.</w:t>
      </w:r>
    </w:p>
    <w:p w14:paraId="7272C205" w14:textId="2E4C99C4" w:rsidR="007B02E6" w:rsidRDefault="007B02E6" w:rsidP="007B02E6">
      <w:pPr>
        <w:pStyle w:val="TableDescription"/>
      </w:pPr>
      <w:r>
        <w:t>b. n = Number of participants reporting at least one occurrence of the specified event. For "any adverse event," n = number of participants reporting at least one occurrence of any adverse event.</w:t>
      </w:r>
    </w:p>
    <w:p w14:paraId="07F36AE1" w14:textId="378A39DF" w:rsidR="007B02E6" w:rsidRPr="007D4570" w:rsidRDefault="007B02E6" w:rsidP="007B02E6">
      <w:pPr>
        <w:pStyle w:val="TableDescription"/>
      </w:pPr>
      <w:r>
        <w:t>c. Exact 2-sided CI based on the Clopper and Pearson method.</w:t>
      </w:r>
    </w:p>
    <w:p w14:paraId="0EF1C1A1" w14:textId="77777777" w:rsidR="00EA3A63" w:rsidRDefault="007D4570" w:rsidP="007D4570">
      <w:pPr>
        <w:rPr>
          <w:bCs/>
        </w:rPr>
      </w:pPr>
      <w:r w:rsidRPr="007D4570">
        <w:rPr>
          <w:bCs/>
        </w:rPr>
        <w:lastRenderedPageBreak/>
        <w:t xml:space="preserve">There were no immediate </w:t>
      </w:r>
      <w:r w:rsidR="00927CCC">
        <w:rPr>
          <w:bCs/>
        </w:rPr>
        <w:t>adverse events</w:t>
      </w:r>
      <w:r w:rsidRPr="007D4570">
        <w:rPr>
          <w:bCs/>
        </w:rPr>
        <w:t xml:space="preserve"> reported within 30 minutes of receiving Dose 3 of </w:t>
      </w:r>
      <w:r w:rsidR="00927CCC">
        <w:t xml:space="preserve">Comirnaty (tozinameran) vaccine </w:t>
      </w:r>
      <w:r w:rsidRPr="007D4570">
        <w:rPr>
          <w:bCs/>
        </w:rPr>
        <w:t xml:space="preserve">10 µg, and no Grade 4 </w:t>
      </w:r>
      <w:r w:rsidR="00927CCC">
        <w:rPr>
          <w:bCs/>
        </w:rPr>
        <w:t>adverse events</w:t>
      </w:r>
      <w:r w:rsidR="00EA3A63">
        <w:rPr>
          <w:bCs/>
        </w:rPr>
        <w:t>.</w:t>
      </w:r>
    </w:p>
    <w:p w14:paraId="4ECE6A45" w14:textId="08EBC83C" w:rsidR="007D4570" w:rsidRPr="007D4570" w:rsidRDefault="007D4570" w:rsidP="007D4570">
      <w:pPr>
        <w:rPr>
          <w:bCs/>
        </w:rPr>
      </w:pPr>
      <w:r w:rsidRPr="007D4570">
        <w:rPr>
          <w:bCs/>
        </w:rPr>
        <w:t>One participant had a Grade 3 (severe) event of pyrexia</w:t>
      </w:r>
      <w:r w:rsidR="00EA3A63">
        <w:rPr>
          <w:bCs/>
        </w:rPr>
        <w:t xml:space="preserve"> (fever). The participant was a </w:t>
      </w:r>
      <w:proofErr w:type="gramStart"/>
      <w:r w:rsidR="00EA3A63">
        <w:rPr>
          <w:bCs/>
        </w:rPr>
        <w:t xml:space="preserve">5 year </w:t>
      </w:r>
      <w:r w:rsidRPr="007D4570">
        <w:rPr>
          <w:bCs/>
        </w:rPr>
        <w:t>old</w:t>
      </w:r>
      <w:proofErr w:type="gramEnd"/>
      <w:r w:rsidRPr="007D4570">
        <w:rPr>
          <w:bCs/>
        </w:rPr>
        <w:t xml:space="preserve"> White female with fever of 39.0 C and mild </w:t>
      </w:r>
      <w:r w:rsidR="00927CCC">
        <w:rPr>
          <w:bCs/>
        </w:rPr>
        <w:t>adverse events</w:t>
      </w:r>
      <w:r w:rsidRPr="007D4570">
        <w:rPr>
          <w:bCs/>
        </w:rPr>
        <w:t xml:space="preserve"> of dizziness and arthralgia (bilateral legs), all with onset </w:t>
      </w:r>
      <w:r w:rsidR="00927CCC">
        <w:rPr>
          <w:bCs/>
        </w:rPr>
        <w:t>on Day 1</w:t>
      </w:r>
      <w:r w:rsidRPr="007D4570">
        <w:rPr>
          <w:bCs/>
        </w:rPr>
        <w:t xml:space="preserve"> post-Dos</w:t>
      </w:r>
      <w:r w:rsidR="00927CCC">
        <w:rPr>
          <w:bCs/>
        </w:rPr>
        <w:t>e 3. The narrative was reviewed; f</w:t>
      </w:r>
      <w:r w:rsidRPr="007D4570">
        <w:rPr>
          <w:bCs/>
        </w:rPr>
        <w:t xml:space="preserve">ever and joint pain were reported as </w:t>
      </w:r>
      <w:r w:rsidR="00927CCC">
        <w:rPr>
          <w:bCs/>
        </w:rPr>
        <w:t>adverse events</w:t>
      </w:r>
      <w:r w:rsidRPr="007D4570">
        <w:rPr>
          <w:bCs/>
        </w:rPr>
        <w:t>, as the participan</w:t>
      </w:r>
      <w:r w:rsidR="00EA3A63">
        <w:rPr>
          <w:bCs/>
        </w:rPr>
        <w:t xml:space="preserve">t did not record them in the </w:t>
      </w:r>
      <w:proofErr w:type="spellStart"/>
      <w:r w:rsidR="00EA3A63">
        <w:rPr>
          <w:bCs/>
        </w:rPr>
        <w:t>eD</w:t>
      </w:r>
      <w:r w:rsidRPr="007D4570">
        <w:rPr>
          <w:bCs/>
        </w:rPr>
        <w:t>iary</w:t>
      </w:r>
      <w:proofErr w:type="spellEnd"/>
      <w:r w:rsidRPr="007D4570">
        <w:rPr>
          <w:bCs/>
        </w:rPr>
        <w:t>. The participant received treatment for pyrexia. All events reso</w:t>
      </w:r>
      <w:r w:rsidR="00927CCC">
        <w:rPr>
          <w:bCs/>
        </w:rPr>
        <w:t>lved by Day 3 post-Dose 3. The s</w:t>
      </w:r>
      <w:r w:rsidRPr="007D4570">
        <w:rPr>
          <w:bCs/>
        </w:rPr>
        <w:t>ponsor stated the participan</w:t>
      </w:r>
      <w:r w:rsidR="00EA3A63">
        <w:rPr>
          <w:bCs/>
        </w:rPr>
        <w:t xml:space="preserve">t had fevers reported in the </w:t>
      </w:r>
      <w:proofErr w:type="spellStart"/>
      <w:r w:rsidR="00EA3A63">
        <w:rPr>
          <w:bCs/>
        </w:rPr>
        <w:t>eD</w:t>
      </w:r>
      <w:r w:rsidRPr="007D4570">
        <w:rPr>
          <w:bCs/>
        </w:rPr>
        <w:t>iary</w:t>
      </w:r>
      <w:proofErr w:type="spellEnd"/>
      <w:r w:rsidRPr="007D4570">
        <w:rPr>
          <w:bCs/>
        </w:rPr>
        <w:t xml:space="preserve"> after Dose 2 (39.7 C and 40.3 C on Days 2 and 3 post-Dose 2 respectively). </w:t>
      </w:r>
    </w:p>
    <w:p w14:paraId="5FCFBCB8" w14:textId="25AB301C" w:rsidR="007D4570" w:rsidRDefault="007D4570" w:rsidP="00927CCC">
      <w:pPr>
        <w:pStyle w:val="Heading6"/>
      </w:pPr>
      <w:r w:rsidRPr="007D4570">
        <w:t>Adverse events of special interest</w:t>
      </w:r>
    </w:p>
    <w:p w14:paraId="33616023" w14:textId="26C24682" w:rsidR="00927CCC" w:rsidRPr="00EA3A63" w:rsidRDefault="00927CCC" w:rsidP="00927CCC">
      <w:pPr>
        <w:rPr>
          <w:i/>
        </w:rPr>
      </w:pPr>
      <w:r w:rsidRPr="00EA3A63">
        <w:rPr>
          <w:i/>
        </w:rPr>
        <w:t>Lymphadenopathy (swollen lymph nodes):</w:t>
      </w:r>
    </w:p>
    <w:p w14:paraId="581D7CB5" w14:textId="1BDA756C" w:rsidR="007D4570" w:rsidRPr="007D4570" w:rsidRDefault="007D4570" w:rsidP="00927CCC">
      <w:pPr>
        <w:pStyle w:val="ListBullet"/>
        <w:rPr>
          <w:lang w:eastAsia="ja-JP"/>
        </w:rPr>
      </w:pPr>
      <w:r w:rsidRPr="007D4570">
        <w:rPr>
          <w:lang w:eastAsia="ja-JP"/>
        </w:rPr>
        <w:t>There were 10 (2.5%) cases of lymphadenopathy (including the PTs palpable lymph node or axillary m</w:t>
      </w:r>
      <w:r w:rsidR="00927CCC">
        <w:rPr>
          <w:lang w:eastAsia="ja-JP"/>
        </w:rPr>
        <w:t>ass) identified from Dose 3 to one</w:t>
      </w:r>
      <w:r w:rsidRPr="007D4570">
        <w:rPr>
          <w:lang w:eastAsia="ja-JP"/>
        </w:rPr>
        <w:t xml:space="preserve"> month after Dose 3.</w:t>
      </w:r>
    </w:p>
    <w:p w14:paraId="7E4604B1" w14:textId="77777777" w:rsidR="007D4570" w:rsidRPr="007D4570" w:rsidRDefault="007D4570" w:rsidP="00927CCC">
      <w:pPr>
        <w:pStyle w:val="ListBullet"/>
        <w:rPr>
          <w:lang w:eastAsia="ja-JP"/>
        </w:rPr>
      </w:pPr>
      <w:r w:rsidRPr="007D4570">
        <w:rPr>
          <w:lang w:eastAsia="ja-JP"/>
        </w:rPr>
        <w:t xml:space="preserve">Most events occurred in the cervical or axillary nodes. The onset was within 2 days of Dose 3, and resolution within approximately 1 week of onset. All cases were mild. </w:t>
      </w:r>
    </w:p>
    <w:p w14:paraId="5F2EEB71" w14:textId="0213A7F6" w:rsidR="007D4570" w:rsidRPr="007D4570" w:rsidRDefault="001E28E5" w:rsidP="001E28E5">
      <w:pPr>
        <w:pStyle w:val="ListBullet"/>
        <w:rPr>
          <w:lang w:eastAsia="ja-JP"/>
        </w:rPr>
      </w:pPr>
      <w:r>
        <w:rPr>
          <w:lang w:eastAsia="ja-JP"/>
        </w:rPr>
        <w:t>The s</w:t>
      </w:r>
      <w:r w:rsidR="007D4570" w:rsidRPr="007D4570">
        <w:rPr>
          <w:lang w:eastAsia="ja-JP"/>
        </w:rPr>
        <w:t xml:space="preserve">ponsor noted the incidence of lymphadenopathy after Dose 3 was higher compared to Dose 2 (0.9%) in children </w:t>
      </w:r>
      <w:r>
        <w:rPr>
          <w:lang w:eastAsia="ja-JP"/>
        </w:rPr>
        <w:t>from 5 to under</w:t>
      </w:r>
      <w:r w:rsidR="007D4570" w:rsidRPr="007D4570">
        <w:rPr>
          <w:lang w:eastAsia="ja-JP"/>
        </w:rPr>
        <w:t xml:space="preserve"> 12 years of age, although lower than the observed incidence following Dose 3 in adult participants ≥ 18 years of age (5.2%).</w:t>
      </w:r>
    </w:p>
    <w:p w14:paraId="260B32AE" w14:textId="12520F6C" w:rsidR="007D4570" w:rsidRPr="001E28E5" w:rsidRDefault="001E28E5" w:rsidP="001E28E5">
      <w:r w:rsidRPr="00EA3A63">
        <w:rPr>
          <w:i/>
        </w:rPr>
        <w:t>Rashes</w:t>
      </w:r>
      <w:r>
        <w:t>:</w:t>
      </w:r>
    </w:p>
    <w:p w14:paraId="16A414E1" w14:textId="28557453" w:rsidR="007D4570" w:rsidRDefault="001E28E5" w:rsidP="001E28E5">
      <w:pPr>
        <w:pStyle w:val="ListBullet"/>
        <w:rPr>
          <w:lang w:eastAsia="ja-JP"/>
        </w:rPr>
      </w:pPr>
      <w:r>
        <w:rPr>
          <w:lang w:eastAsia="ja-JP"/>
        </w:rPr>
        <w:t>The s</w:t>
      </w:r>
      <w:r w:rsidR="007D4570" w:rsidRPr="007D4570">
        <w:rPr>
          <w:lang w:eastAsia="ja-JP"/>
        </w:rPr>
        <w:t xml:space="preserve">ponsor conducted searches of the safety data for the MedDRA </w:t>
      </w:r>
      <w:r>
        <w:rPr>
          <w:lang w:eastAsia="ja-JP"/>
        </w:rPr>
        <w:t>Standardised MedDRA Queries (</w:t>
      </w:r>
      <w:r w:rsidR="007D4570" w:rsidRPr="007D4570">
        <w:rPr>
          <w:lang w:eastAsia="ja-JP"/>
        </w:rPr>
        <w:t>SMQs</w:t>
      </w:r>
      <w:r>
        <w:rPr>
          <w:lang w:eastAsia="ja-JP"/>
        </w:rPr>
        <w:t>)</w:t>
      </w:r>
      <w:r w:rsidR="007D4570" w:rsidRPr="007D4570">
        <w:rPr>
          <w:lang w:eastAsia="ja-JP"/>
        </w:rPr>
        <w:t xml:space="preserve"> as presented below, based on FDA requests in p</w:t>
      </w:r>
      <w:r>
        <w:rPr>
          <w:lang w:eastAsia="ja-JP"/>
        </w:rPr>
        <w:t>revious submissions. There was one</w:t>
      </w:r>
      <w:r w:rsidR="00EA3A63">
        <w:rPr>
          <w:lang w:eastAsia="ja-JP"/>
        </w:rPr>
        <w:t xml:space="preserve"> (0.2%) participant with the adverse event of</w:t>
      </w:r>
      <w:r w:rsidR="007D4570" w:rsidRPr="007D4570">
        <w:rPr>
          <w:lang w:eastAsia="ja-JP"/>
        </w:rPr>
        <w:t xml:space="preserve"> rash, wh</w:t>
      </w:r>
      <w:r>
        <w:rPr>
          <w:lang w:eastAsia="ja-JP"/>
        </w:rPr>
        <w:t>ich occurred 11 </w:t>
      </w:r>
      <w:r w:rsidR="007D4570" w:rsidRPr="007D4570">
        <w:rPr>
          <w:lang w:eastAsia="ja-JP"/>
        </w:rPr>
        <w:t>days after Dose 3 and resolved within 4 days of onset. The event was mild and considered unrelated to study intervention by the investigator (attributed to face mask wearing).</w:t>
      </w:r>
    </w:p>
    <w:p w14:paraId="715C4C6C" w14:textId="2A610CEB" w:rsidR="00EA3A63" w:rsidRDefault="00EA3A63" w:rsidP="00EA3A63">
      <w:r w:rsidRPr="00EA3A63">
        <w:rPr>
          <w:i/>
        </w:rPr>
        <w:t>Other events</w:t>
      </w:r>
      <w:r>
        <w:t>:</w:t>
      </w:r>
    </w:p>
    <w:p w14:paraId="68395455" w14:textId="4208960A" w:rsidR="00EA3A63" w:rsidRPr="00EA3A63" w:rsidRDefault="00EA3A63" w:rsidP="00EA3A63">
      <w:pPr>
        <w:rPr>
          <w:bCs/>
        </w:rPr>
      </w:pPr>
      <w:r>
        <w:rPr>
          <w:bCs/>
        </w:rPr>
        <w:t>The s</w:t>
      </w:r>
      <w:r w:rsidRPr="007D4570">
        <w:rPr>
          <w:bCs/>
        </w:rPr>
        <w:t xml:space="preserve">ponsor noted there were no cases of </w:t>
      </w:r>
      <w:r>
        <w:rPr>
          <w:bCs/>
        </w:rPr>
        <w:t>adverse events</w:t>
      </w:r>
      <w:r w:rsidRPr="007D4570">
        <w:rPr>
          <w:bCs/>
        </w:rPr>
        <w:t xml:space="preserve"> of interest as of </w:t>
      </w:r>
      <w:r>
        <w:rPr>
          <w:bCs/>
        </w:rPr>
        <w:t xml:space="preserve">the </w:t>
      </w:r>
      <w:r w:rsidRPr="007D4570">
        <w:rPr>
          <w:bCs/>
        </w:rPr>
        <w:t>data cut-off</w:t>
      </w:r>
      <w:r>
        <w:rPr>
          <w:bCs/>
        </w:rPr>
        <w:t xml:space="preserve"> date</w:t>
      </w:r>
      <w:r w:rsidRPr="007D4570">
        <w:rPr>
          <w:bCs/>
        </w:rPr>
        <w:t xml:space="preserve"> including: anaphylaxis, myocarditis, pericarditis, Bell’s palsy (or facial paralysis/paresis), appendicitis, arthritis, thrombocytopenic events, thromboembolic or intravascular coagulation events, autoimmune or demyelination events, meningitis, encephalitis, neuritis, peripheral neuropathy, vasculitis, Kawasaki disease, MIS-C, or acute </w:t>
      </w:r>
      <w:r>
        <w:rPr>
          <w:bCs/>
        </w:rPr>
        <w:t xml:space="preserve">respiratory distress syndrome. </w:t>
      </w:r>
    </w:p>
    <w:p w14:paraId="62B31A02" w14:textId="31611486" w:rsidR="001E28E5" w:rsidRPr="001E28E5" w:rsidRDefault="001E28E5" w:rsidP="001E28E5">
      <w:pPr>
        <w:pStyle w:val="Tabletitle0"/>
      </w:pPr>
      <w:r>
        <w:lastRenderedPageBreak/>
        <w:t xml:space="preserve">Table </w:t>
      </w:r>
      <w:r w:rsidR="00BC0ACB">
        <w:fldChar w:fldCharType="begin"/>
      </w:r>
      <w:r w:rsidR="00BC0ACB">
        <w:instrText xml:space="preserve"> SEQ Table \* ARABIC </w:instrText>
      </w:r>
      <w:r w:rsidR="00BC0ACB">
        <w:fldChar w:fldCharType="separate"/>
      </w:r>
      <w:r w:rsidR="001E0AB7">
        <w:rPr>
          <w:noProof/>
        </w:rPr>
        <w:t>22</w:t>
      </w:r>
      <w:r w:rsidR="00BC0ACB">
        <w:rPr>
          <w:noProof/>
        </w:rPr>
        <w:fldChar w:fldCharType="end"/>
      </w:r>
      <w:r>
        <w:t xml:space="preserve">: Study C4591007 Phase II/III Selected Standardised MedDRA Queries </w:t>
      </w:r>
      <w:r w:rsidR="00EA3A63">
        <w:t>within</w:t>
      </w:r>
      <w:r>
        <w:t xml:space="preserve"> one month after Dose 3 in participants aged f</w:t>
      </w:r>
      <w:r w:rsidR="00EA3A63">
        <w:t>rom 5 to under 12 years (safety </w:t>
      </w:r>
      <w:r>
        <w:t>population)</w:t>
      </w:r>
    </w:p>
    <w:p w14:paraId="37684041" w14:textId="77777777" w:rsidR="007D4570" w:rsidRPr="007D4570" w:rsidRDefault="007D4570" w:rsidP="007D4570">
      <w:pPr>
        <w:rPr>
          <w:bCs/>
        </w:rPr>
      </w:pPr>
      <w:r w:rsidRPr="007D4570">
        <w:rPr>
          <w:noProof/>
          <w:lang w:val="en-GB" w:eastAsia="en-GB"/>
        </w:rPr>
        <w:drawing>
          <wp:inline distT="0" distB="0" distL="0" distR="0" wp14:anchorId="7E6DBC85" wp14:editId="7883A658">
            <wp:extent cx="5416662" cy="3649916"/>
            <wp:effectExtent l="0" t="0" r="0" b="8255"/>
            <wp:docPr id="66" name="Picture 66" descr="Study C4591007 Phase II/III Selected Standardised MedDRA Queries within one month after Dose 3 in participants aged from 5 to under 12 yea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48397" cy="3671300"/>
                    </a:xfrm>
                    <a:prstGeom prst="rect">
                      <a:avLst/>
                    </a:prstGeom>
                  </pic:spPr>
                </pic:pic>
              </a:graphicData>
            </a:graphic>
          </wp:inline>
        </w:drawing>
      </w:r>
    </w:p>
    <w:p w14:paraId="2A6B281A" w14:textId="36FE20F9" w:rsidR="00EA3A63" w:rsidRPr="00EA3A63" w:rsidRDefault="00EA3A63" w:rsidP="00EA3A63">
      <w:pPr>
        <w:pStyle w:val="TableDescription"/>
      </w:pPr>
      <w:r>
        <w:t>Abbreviation: MedDRA = Medical Dictionary for Regulatory Activities; SMQ = Standardis</w:t>
      </w:r>
      <w:r w:rsidRPr="00EA3A63">
        <w:t>ed MedDRA query.</w:t>
      </w:r>
    </w:p>
    <w:p w14:paraId="6BEE48B5" w14:textId="77777777" w:rsidR="00EA3A63" w:rsidRPr="00EA3A63" w:rsidRDefault="00EA3A63" w:rsidP="00EA3A63">
      <w:pPr>
        <w:pStyle w:val="TableDescription"/>
      </w:pPr>
      <w:r w:rsidRPr="00EA3A63">
        <w:t>Note: MedDRA (v24.1) coding dictionary applied.</w:t>
      </w:r>
    </w:p>
    <w:p w14:paraId="2F682ABC" w14:textId="77777777" w:rsidR="00EA3A63" w:rsidRPr="00EA3A63" w:rsidRDefault="00EA3A63" w:rsidP="00EA3A63">
      <w:pPr>
        <w:pStyle w:val="TableDescription"/>
      </w:pPr>
      <w:r w:rsidRPr="00EA3A63">
        <w:t>a. N = number of participants in the specified group. This value is the denominator for the percentage calculations.</w:t>
      </w:r>
    </w:p>
    <w:p w14:paraId="3575C0FA" w14:textId="325A948E" w:rsidR="007D4570" w:rsidRPr="007D4570" w:rsidRDefault="00EA3A63" w:rsidP="00EA3A63">
      <w:pPr>
        <w:pStyle w:val="TableDescription"/>
      </w:pPr>
      <w:r w:rsidRPr="00EA3A63">
        <w:t>b. n = Number of p</w:t>
      </w:r>
      <w:r>
        <w:t>articipants reporting at least one</w:t>
      </w:r>
      <w:r w:rsidRPr="00EA3A63">
        <w:t xml:space="preserve"> occurrence of the</w:t>
      </w:r>
      <w:r>
        <w:t xml:space="preserve"> specified event category. For ‘any unsolicited adverse events within SMQ’,</w:t>
      </w:r>
      <w:r w:rsidRPr="00EA3A63">
        <w:t xml:space="preserve"> n = the number of participants reporting at least 1 occurrence of any unsolici</w:t>
      </w:r>
      <w:r>
        <w:t xml:space="preserve">ted adverse </w:t>
      </w:r>
      <w:r w:rsidRPr="00EA3A63">
        <w:t>events within SMQ.</w:t>
      </w:r>
    </w:p>
    <w:p w14:paraId="18FB140A" w14:textId="353A4528" w:rsidR="007D4570" w:rsidRPr="007D4570" w:rsidRDefault="007D4570" w:rsidP="001E28E5">
      <w:pPr>
        <w:pStyle w:val="Heading6"/>
      </w:pPr>
      <w:r w:rsidRPr="007D4570">
        <w:t>Tre</w:t>
      </w:r>
      <w:r w:rsidR="00EA3A63">
        <w:t>atment-</w:t>
      </w:r>
      <w:r w:rsidRPr="007D4570">
        <w:t>related adverse events (adverse drug reactions)</w:t>
      </w:r>
    </w:p>
    <w:p w14:paraId="71D9A369" w14:textId="5AD4F91E" w:rsidR="00EA3A63" w:rsidRPr="007D4570" w:rsidRDefault="007D4570" w:rsidP="007D4570">
      <w:pPr>
        <w:rPr>
          <w:bCs/>
        </w:rPr>
      </w:pPr>
      <w:r w:rsidRPr="007D4570">
        <w:rPr>
          <w:bCs/>
        </w:rPr>
        <w:t xml:space="preserve">There were 19 (4.7%) participants with </w:t>
      </w:r>
      <w:r w:rsidR="001E28E5">
        <w:rPr>
          <w:bCs/>
        </w:rPr>
        <w:t>adverse events</w:t>
      </w:r>
      <w:r w:rsidRPr="007D4570">
        <w:rPr>
          <w:bCs/>
        </w:rPr>
        <w:t xml:space="preserve"> considered related to study treatment as assessed by the investigator. Lymphadenopathy (2.0%), injection site pain (1.7%) and headache (0.7%) were the most frequently reported related </w:t>
      </w:r>
      <w:r w:rsidR="001E28E5">
        <w:rPr>
          <w:bCs/>
        </w:rPr>
        <w:t>adverse events</w:t>
      </w:r>
      <w:r w:rsidR="00EA3A63">
        <w:rPr>
          <w:bCs/>
        </w:rPr>
        <w:t>.</w:t>
      </w:r>
    </w:p>
    <w:p w14:paraId="30193CF4" w14:textId="6EE8932E" w:rsidR="001E28E5" w:rsidRPr="001E28E5" w:rsidRDefault="001E28E5" w:rsidP="00121097">
      <w:pPr>
        <w:pStyle w:val="Tabletitle0"/>
        <w:pageBreakBefore/>
      </w:pPr>
      <w:r>
        <w:lastRenderedPageBreak/>
        <w:t xml:space="preserve">Table </w:t>
      </w:r>
      <w:r w:rsidR="00BC0ACB">
        <w:fldChar w:fldCharType="begin"/>
      </w:r>
      <w:r w:rsidR="00BC0ACB">
        <w:instrText xml:space="preserve"> SEQ Table \* ARABIC </w:instrText>
      </w:r>
      <w:r w:rsidR="00BC0ACB">
        <w:fldChar w:fldCharType="separate"/>
      </w:r>
      <w:r w:rsidR="001E0AB7">
        <w:rPr>
          <w:noProof/>
        </w:rPr>
        <w:t>23</w:t>
      </w:r>
      <w:r w:rsidR="00BC0ACB">
        <w:rPr>
          <w:noProof/>
        </w:rPr>
        <w:fldChar w:fldCharType="end"/>
      </w:r>
      <w:r>
        <w:t xml:space="preserve">: Study C4591007 Number (%) of participants </w:t>
      </w:r>
      <w:r w:rsidR="001609D3">
        <w:t xml:space="preserve">aged from 5 to under 12 years </w:t>
      </w:r>
      <w:r>
        <w:t>reporting at least one</w:t>
      </w:r>
      <w:r w:rsidRPr="007D4570">
        <w:t xml:space="preserve"> related adverse event</w:t>
      </w:r>
      <w:r w:rsidRPr="007D4570">
        <w:rPr>
          <w:bCs/>
        </w:rPr>
        <w:t xml:space="preserve"> </w:t>
      </w:r>
      <w:r w:rsidR="001609D3">
        <w:rPr>
          <w:bCs/>
        </w:rPr>
        <w:t xml:space="preserve">within </w:t>
      </w:r>
      <w:r>
        <w:rPr>
          <w:bCs/>
        </w:rPr>
        <w:t>one month a</w:t>
      </w:r>
      <w:r w:rsidR="001609D3">
        <w:rPr>
          <w:bCs/>
        </w:rPr>
        <w:t>fter Dose 3 of Comirnaty (tozinameran</w:t>
      </w:r>
      <w:r w:rsidR="009757E7">
        <w:rPr>
          <w:bCs/>
        </w:rPr>
        <w:t>) vaccine,</w:t>
      </w:r>
      <w:r w:rsidR="001609D3">
        <w:rPr>
          <w:bCs/>
        </w:rPr>
        <w:t xml:space="preserve"> </w:t>
      </w:r>
      <w:r w:rsidRPr="007D4570">
        <w:rPr>
          <w:bCs/>
        </w:rPr>
        <w:t>by System</w:t>
      </w:r>
      <w:r w:rsidR="001609D3">
        <w:rPr>
          <w:bCs/>
        </w:rPr>
        <w:t xml:space="preserve"> Organ Class and Preferred Term</w:t>
      </w:r>
      <w:r>
        <w:t xml:space="preserve"> (</w:t>
      </w:r>
      <w:proofErr w:type="gramStart"/>
      <w:r>
        <w:t>safety</w:t>
      </w:r>
      <w:proofErr w:type="gramEnd"/>
      <w:r>
        <w:t xml:space="preserve"> population)</w:t>
      </w:r>
    </w:p>
    <w:p w14:paraId="658EA27D" w14:textId="458938DE" w:rsidR="007D4570" w:rsidRDefault="007D4570" w:rsidP="007D4570">
      <w:pPr>
        <w:rPr>
          <w:bCs/>
        </w:rPr>
      </w:pPr>
      <w:r w:rsidRPr="007D4570">
        <w:rPr>
          <w:noProof/>
          <w:lang w:val="en-GB" w:eastAsia="en-GB"/>
        </w:rPr>
        <w:drawing>
          <wp:inline distT="0" distB="0" distL="0" distR="0" wp14:anchorId="3185D905" wp14:editId="6610CEE0">
            <wp:extent cx="5451894" cy="3620712"/>
            <wp:effectExtent l="0" t="0" r="0" b="0"/>
            <wp:docPr id="65" name="Picture 65" descr="Study C4591007 Number (%) of participants aged from 5 to under 12 years reporting at least one related adverse event within one month after Dose 3 of Comirnaty (tozinameran) vaccine,,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2680"/>
                    <a:stretch/>
                  </pic:blipFill>
                  <pic:spPr bwMode="auto">
                    <a:xfrm>
                      <a:off x="0" y="0"/>
                      <a:ext cx="5466407" cy="3630351"/>
                    </a:xfrm>
                    <a:prstGeom prst="rect">
                      <a:avLst/>
                    </a:prstGeom>
                    <a:ln>
                      <a:noFill/>
                    </a:ln>
                    <a:extLst>
                      <a:ext uri="{53640926-AAD7-44D8-BBD7-CCE9431645EC}">
                        <a14:shadowObscured xmlns:a14="http://schemas.microsoft.com/office/drawing/2010/main"/>
                      </a:ext>
                    </a:extLst>
                  </pic:spPr>
                </pic:pic>
              </a:graphicData>
            </a:graphic>
          </wp:inline>
        </w:drawing>
      </w:r>
    </w:p>
    <w:p w14:paraId="78C3328E" w14:textId="7E6B36B9" w:rsidR="001609D3" w:rsidRPr="00EA3A63" w:rsidRDefault="001609D3" w:rsidP="001609D3">
      <w:pPr>
        <w:pStyle w:val="TableDescription"/>
      </w:pPr>
      <w:r>
        <w:t>Abbreviation: CI = confidence interval; MedDRA = Medical Dictionary for Regulatory Activities; SMQ = Standardis</w:t>
      </w:r>
      <w:r w:rsidRPr="00EA3A63">
        <w:t>ed MedDRA query.</w:t>
      </w:r>
    </w:p>
    <w:p w14:paraId="737768B8" w14:textId="77777777" w:rsidR="001609D3" w:rsidRPr="00EA3A63" w:rsidRDefault="001609D3" w:rsidP="001609D3">
      <w:pPr>
        <w:pStyle w:val="TableDescription"/>
      </w:pPr>
      <w:r w:rsidRPr="00EA3A63">
        <w:t>Note: MedDRA (v24.1) coding dictionary applied.</w:t>
      </w:r>
    </w:p>
    <w:p w14:paraId="46F953DA" w14:textId="77777777" w:rsidR="001609D3" w:rsidRPr="00EA3A63" w:rsidRDefault="001609D3" w:rsidP="001609D3">
      <w:pPr>
        <w:pStyle w:val="TableDescription"/>
      </w:pPr>
      <w:r w:rsidRPr="00EA3A63">
        <w:t>a. N = number of participants in the specified group. This value is the denominator for the percentage calculations.</w:t>
      </w:r>
    </w:p>
    <w:p w14:paraId="6C75A35E" w14:textId="056EE62E" w:rsidR="001609D3" w:rsidRDefault="001609D3" w:rsidP="001609D3">
      <w:pPr>
        <w:pStyle w:val="TableDescription"/>
      </w:pPr>
      <w:r w:rsidRPr="00EA3A63">
        <w:t>b. n = Number of p</w:t>
      </w:r>
      <w:r>
        <w:t>articipants reporting at least one</w:t>
      </w:r>
      <w:r w:rsidRPr="00EA3A63">
        <w:t xml:space="preserve"> occurrence of the</w:t>
      </w:r>
      <w:r>
        <w:t xml:space="preserve"> specified event. For ‘any adverse event’, n = number of participants reporting at least one occurrence of any adverse event.</w:t>
      </w:r>
    </w:p>
    <w:p w14:paraId="0A81382C" w14:textId="1E1C45AD" w:rsidR="001609D3" w:rsidRDefault="001609D3" w:rsidP="001609D3">
      <w:pPr>
        <w:pStyle w:val="TableDescription"/>
      </w:pPr>
      <w:r>
        <w:t>c. Exact 2-sided CI based on the Clopper and Pearson method.</w:t>
      </w:r>
    </w:p>
    <w:p w14:paraId="11FF10FD" w14:textId="18F4050C" w:rsidR="007D4570" w:rsidRPr="007D4570" w:rsidRDefault="001E28E5" w:rsidP="001E28E5">
      <w:pPr>
        <w:pStyle w:val="Heading6"/>
      </w:pPr>
      <w:r>
        <w:t>Serious adverse events, or adverse events leading to withdrawal</w:t>
      </w:r>
    </w:p>
    <w:p w14:paraId="013B79D4" w14:textId="5BF3E8DF" w:rsidR="007D4570" w:rsidRPr="001E28E5" w:rsidRDefault="007D4570" w:rsidP="001E28E5">
      <w:r w:rsidRPr="001E28E5">
        <w:t xml:space="preserve">There were no </w:t>
      </w:r>
      <w:r w:rsidR="001E28E5">
        <w:t>serious adverse events</w:t>
      </w:r>
      <w:r w:rsidRPr="001E28E5">
        <w:t xml:space="preserve"> or deaths</w:t>
      </w:r>
      <w:r w:rsidR="001E28E5">
        <w:t xml:space="preserve"> </w:t>
      </w:r>
      <w:r w:rsidR="001609D3">
        <w:t xml:space="preserve">within one month of receiving Dose 3, </w:t>
      </w:r>
      <w:r w:rsidRPr="001E28E5">
        <w:t xml:space="preserve">or from Dose 3 to </w:t>
      </w:r>
      <w:r w:rsidR="001E28E5">
        <w:t xml:space="preserve">the </w:t>
      </w:r>
      <w:r w:rsidRPr="001E28E5">
        <w:t xml:space="preserve">data cut-off date (22 March 2022). </w:t>
      </w:r>
    </w:p>
    <w:p w14:paraId="3AC53075" w14:textId="4A8B7321" w:rsidR="007D4570" w:rsidRPr="001E28E5" w:rsidRDefault="007D4570" w:rsidP="007D4570">
      <w:r w:rsidRPr="001E28E5">
        <w:t xml:space="preserve">There were no </w:t>
      </w:r>
      <w:r w:rsidR="001E28E5" w:rsidRPr="001E28E5">
        <w:t>adverse events</w:t>
      </w:r>
      <w:r w:rsidRPr="001E28E5">
        <w:t xml:space="preserve"> leading to withdrawal</w:t>
      </w:r>
      <w:r w:rsidR="001E28E5">
        <w:t xml:space="preserve"> </w:t>
      </w:r>
      <w:r w:rsidR="001609D3">
        <w:t xml:space="preserve">within one month of receiving Dose 3, </w:t>
      </w:r>
      <w:r w:rsidRPr="001E28E5">
        <w:t xml:space="preserve">or from Dose 3 to </w:t>
      </w:r>
      <w:r w:rsidR="001E28E5">
        <w:t xml:space="preserve">the </w:t>
      </w:r>
      <w:r w:rsidRPr="001E28E5">
        <w:t xml:space="preserve">data cut-off date (22 March 2022). </w:t>
      </w:r>
    </w:p>
    <w:p w14:paraId="39E0C3A8" w14:textId="5CC754C3" w:rsidR="007D4570" w:rsidRPr="007D4570" w:rsidRDefault="00426D5A" w:rsidP="00100607">
      <w:pPr>
        <w:pStyle w:val="Heading4"/>
      </w:pPr>
      <w:bookmarkStart w:id="83" w:name="_Toc110803361"/>
      <w:r>
        <w:t>Post-</w:t>
      </w:r>
      <w:r w:rsidR="007D4570" w:rsidRPr="007D4570">
        <w:t>marketing experience</w:t>
      </w:r>
      <w:bookmarkEnd w:id="83"/>
    </w:p>
    <w:p w14:paraId="7EBEE4FC" w14:textId="6C6CA5D2" w:rsidR="007D4570" w:rsidRPr="007D4570" w:rsidRDefault="001E28E5" w:rsidP="007D4570">
      <w:pPr>
        <w:tabs>
          <w:tab w:val="num" w:pos="3007"/>
        </w:tabs>
      </w:pPr>
      <w:r>
        <w:t>The s</w:t>
      </w:r>
      <w:r w:rsidR="007D4570" w:rsidRPr="007D4570">
        <w:t>ponsor was requested to provide available post-marketing data foll</w:t>
      </w:r>
      <w:r>
        <w:t>owing the Emergency Use Authoriz</w:t>
      </w:r>
      <w:r w:rsidR="007D4570" w:rsidRPr="007D4570">
        <w:t xml:space="preserve">ation for the booster dose in children </w:t>
      </w:r>
      <w:r>
        <w:t>from 5 to under</w:t>
      </w:r>
      <w:r w:rsidR="007D4570" w:rsidRPr="007D4570">
        <w:t xml:space="preserve"> 12 years of age issued by the </w:t>
      </w:r>
      <w:r>
        <w:t xml:space="preserve">US </w:t>
      </w:r>
      <w:r w:rsidR="007D4570" w:rsidRPr="007D4570">
        <w:t>FDA in May 2022.</w:t>
      </w:r>
    </w:p>
    <w:p w14:paraId="663679E2" w14:textId="139BE4F1" w:rsidR="00426D5A" w:rsidRDefault="001E28E5" w:rsidP="007D4570">
      <w:pPr>
        <w:tabs>
          <w:tab w:val="num" w:pos="3007"/>
        </w:tabs>
      </w:pPr>
      <w:r>
        <w:t>The s</w:t>
      </w:r>
      <w:r w:rsidR="007D4570" w:rsidRPr="007D4570">
        <w:t xml:space="preserve">ponsor’s response included an overview of post-marketing data for all </w:t>
      </w:r>
      <w:r w:rsidR="001609D3" w:rsidRPr="007D4570">
        <w:t>individua</w:t>
      </w:r>
      <w:r w:rsidR="001609D3">
        <w:t>l</w:t>
      </w:r>
      <w:r w:rsidR="001609D3" w:rsidRPr="007D4570">
        <w:t>s</w:t>
      </w:r>
      <w:r w:rsidR="007D4570" w:rsidRPr="007D4570">
        <w:t xml:space="preserve"> aged </w:t>
      </w:r>
      <w:r w:rsidR="00426D5A">
        <w:t>from 5 to under 12 years. The s</w:t>
      </w:r>
      <w:r w:rsidR="007D4570" w:rsidRPr="007D4570">
        <w:t xml:space="preserve">ponsor stated cumulatively of 1,474,818 total reports received through 10 June 2022, there were a total of 10,679 post-marketing reports containing 24,947 </w:t>
      </w:r>
      <w:r w:rsidR="00426D5A">
        <w:t xml:space="preserve">adverse </w:t>
      </w:r>
      <w:r w:rsidR="007D4570" w:rsidRPr="007D4570">
        <w:t xml:space="preserve">events that occurred in individuals aged </w:t>
      </w:r>
      <w:r w:rsidR="001609D3">
        <w:t>from 5 to under 12 </w:t>
      </w:r>
      <w:r w:rsidR="00426D5A">
        <w:t>years.</w:t>
      </w:r>
    </w:p>
    <w:p w14:paraId="7C639965" w14:textId="7AA31403" w:rsidR="007D4570" w:rsidRPr="007D4570" w:rsidRDefault="007D4570" w:rsidP="007D4570">
      <w:pPr>
        <w:tabs>
          <w:tab w:val="num" w:pos="3007"/>
        </w:tabs>
      </w:pPr>
      <w:r w:rsidRPr="007D4570">
        <w:lastRenderedPageBreak/>
        <w:t xml:space="preserve">Among the 10,679 case reports, there were 10,560 cases with </w:t>
      </w:r>
      <w:r w:rsidR="00426D5A">
        <w:t>adverse events</w:t>
      </w:r>
      <w:r w:rsidRPr="007D4570">
        <w:t xml:space="preserve"> occurrin</w:t>
      </w:r>
      <w:r w:rsidR="00426D5A">
        <w:t xml:space="preserve">g after non-booster doses (that is, </w:t>
      </w:r>
      <w:r w:rsidR="001609D3">
        <w:t>after receiving Dose 1, or</w:t>
      </w:r>
      <w:r w:rsidRPr="007D4570">
        <w:t xml:space="preserve"> Dose 2 </w:t>
      </w:r>
      <w:r w:rsidR="001609D3">
        <w:t xml:space="preserve">of the primary vaccination series; </w:t>
      </w:r>
      <w:r w:rsidRPr="007D4570">
        <w:t xml:space="preserve">or </w:t>
      </w:r>
      <w:r w:rsidR="001609D3">
        <w:t xml:space="preserve">from </w:t>
      </w:r>
      <w:r w:rsidRPr="007D4570">
        <w:t xml:space="preserve">Dose </w:t>
      </w:r>
      <w:r w:rsidR="00426D5A">
        <w:t>‘u</w:t>
      </w:r>
      <w:r w:rsidRPr="007D4570">
        <w:t>nknown</w:t>
      </w:r>
      <w:r w:rsidR="00426D5A">
        <w:t>’</w:t>
      </w:r>
      <w:r w:rsidRPr="007D4570">
        <w:t xml:space="preserve">) and 119 cases with </w:t>
      </w:r>
      <w:r w:rsidR="00426D5A">
        <w:t>adverse events</w:t>
      </w:r>
      <w:r w:rsidRPr="007D4570">
        <w:t xml:space="preserve"> occurring after the booster dose. The number of doses of Comirnaty</w:t>
      </w:r>
      <w:r w:rsidR="001609D3">
        <w:t xml:space="preserve"> vaccine</w:t>
      </w:r>
      <w:r w:rsidRPr="007D4570">
        <w:t xml:space="preserve"> administered was not stated. Overall, case reports were most commonly from the USA (31.5%) and Australia (13.1%).</w:t>
      </w:r>
    </w:p>
    <w:p w14:paraId="1400AFA8" w14:textId="4CDFEECF" w:rsidR="007D4570" w:rsidRPr="007D4570" w:rsidRDefault="007D4570" w:rsidP="007D4570">
      <w:pPr>
        <w:tabs>
          <w:tab w:val="num" w:pos="3007"/>
        </w:tabs>
      </w:pPr>
      <w:r w:rsidRPr="007D4570">
        <w:t xml:space="preserve">For all cases, the </w:t>
      </w:r>
      <w:r w:rsidR="00426D5A">
        <w:t>System Organ Classes (</w:t>
      </w:r>
      <w:r w:rsidRPr="007D4570">
        <w:t>SOCs</w:t>
      </w:r>
      <w:r w:rsidR="00426D5A">
        <w:t>)</w:t>
      </w:r>
      <w:r w:rsidRPr="007D4570">
        <w:t xml:space="preserve"> with the greatest number of </w:t>
      </w:r>
      <w:r w:rsidR="00426D5A">
        <w:t>adverse events</w:t>
      </w:r>
      <w:r w:rsidRPr="007D4570">
        <w:t xml:space="preserve"> were </w:t>
      </w:r>
      <w:r w:rsidR="00426D5A">
        <w:t>‘</w:t>
      </w:r>
      <w:r w:rsidRPr="007D4570">
        <w:t>Injury, poisoning and procedural complications</w:t>
      </w:r>
      <w:r w:rsidR="00426D5A">
        <w:t>’</w:t>
      </w:r>
      <w:r w:rsidRPr="007D4570">
        <w:t xml:space="preserve"> (</w:t>
      </w:r>
      <w:r w:rsidR="00426D5A">
        <w:t>total of 6947 events</w:t>
      </w:r>
      <w:r w:rsidRPr="007D4570">
        <w:t xml:space="preserve">) and </w:t>
      </w:r>
      <w:r w:rsidR="00426D5A">
        <w:t>‘</w:t>
      </w:r>
      <w:r w:rsidRPr="007D4570">
        <w:t>General disorders and administration site conditions</w:t>
      </w:r>
      <w:r w:rsidR="00426D5A">
        <w:t>’ (5627 events</w:t>
      </w:r>
      <w:r w:rsidRPr="007D4570">
        <w:t>); see</w:t>
      </w:r>
      <w:r w:rsidR="00597994">
        <w:t xml:space="preserve"> </w:t>
      </w:r>
      <w:r w:rsidR="00597994">
        <w:rPr>
          <w:highlight w:val="yellow"/>
        </w:rPr>
        <w:fldChar w:fldCharType="begin"/>
      </w:r>
      <w:r w:rsidR="00597994">
        <w:instrText xml:space="preserve"> REF _Ref114658829 \h </w:instrText>
      </w:r>
      <w:r w:rsidR="00597994">
        <w:rPr>
          <w:highlight w:val="yellow"/>
        </w:rPr>
      </w:r>
      <w:r w:rsidR="00597994">
        <w:rPr>
          <w:highlight w:val="yellow"/>
        </w:rPr>
        <w:fldChar w:fldCharType="separate"/>
      </w:r>
      <w:r w:rsidR="00597994">
        <w:t xml:space="preserve">Figure </w:t>
      </w:r>
      <w:r w:rsidR="00597994">
        <w:rPr>
          <w:noProof/>
        </w:rPr>
        <w:t>6</w:t>
      </w:r>
      <w:r w:rsidR="00597994">
        <w:rPr>
          <w:highlight w:val="yellow"/>
        </w:rPr>
        <w:fldChar w:fldCharType="end"/>
      </w:r>
      <w:r w:rsidR="00597994">
        <w:t>, below</w:t>
      </w:r>
      <w:r w:rsidR="00426D5A">
        <w:t>. Of note, there were 388 adverse events</w:t>
      </w:r>
      <w:r w:rsidRPr="007D4570">
        <w:t xml:space="preserve"> in the </w:t>
      </w:r>
      <w:r w:rsidR="00426D5A">
        <w:t>‘</w:t>
      </w:r>
      <w:r w:rsidRPr="007D4570">
        <w:t>Cardiac disorders</w:t>
      </w:r>
      <w:r w:rsidR="00426D5A">
        <w:t>/</w:t>
      </w:r>
      <w:r w:rsidRPr="007D4570">
        <w:t xml:space="preserve"> SOC. By </w:t>
      </w:r>
      <w:r w:rsidR="00426D5A">
        <w:t>Preferred Term (</w:t>
      </w:r>
      <w:r w:rsidRPr="007D4570">
        <w:t>PT</w:t>
      </w:r>
      <w:r w:rsidR="00426D5A">
        <w:t>)</w:t>
      </w:r>
      <w:r w:rsidRPr="007D4570">
        <w:t xml:space="preserve">, the most common </w:t>
      </w:r>
      <w:r w:rsidR="00426D5A">
        <w:t>adverse events</w:t>
      </w:r>
      <w:r w:rsidRPr="007D4570">
        <w:t xml:space="preserve"> were product administered to patient of inappropriate age (16.1%), pyrexia (12.5%), vaccination site pain (11.6%), poor quality product administered (11.1%) and headache (9.7%). </w:t>
      </w:r>
    </w:p>
    <w:p w14:paraId="3A1C8E9A" w14:textId="00FCD994" w:rsidR="00426D5A" w:rsidRDefault="00426D5A" w:rsidP="00426D5A">
      <w:pPr>
        <w:pStyle w:val="FigureTitle"/>
      </w:pPr>
      <w:bookmarkStart w:id="84" w:name="_Ref114658829"/>
      <w:r>
        <w:t xml:space="preserve">Figure </w:t>
      </w:r>
      <w:r w:rsidR="00BC0ACB">
        <w:fldChar w:fldCharType="begin"/>
      </w:r>
      <w:r w:rsidR="00BC0ACB">
        <w:instrText xml:space="preserve"> SEQ Figure \* ARABIC </w:instrText>
      </w:r>
      <w:r w:rsidR="00BC0ACB">
        <w:fldChar w:fldCharType="separate"/>
      </w:r>
      <w:r>
        <w:rPr>
          <w:noProof/>
        </w:rPr>
        <w:t>6</w:t>
      </w:r>
      <w:r w:rsidR="00BC0ACB">
        <w:rPr>
          <w:noProof/>
        </w:rPr>
        <w:fldChar w:fldCharType="end"/>
      </w:r>
      <w:bookmarkEnd w:id="84"/>
      <w:r>
        <w:t xml:space="preserve">: </w:t>
      </w:r>
      <w:proofErr w:type="gramStart"/>
      <w:r>
        <w:t>Post-marketing</w:t>
      </w:r>
      <w:proofErr w:type="gramEnd"/>
      <w:r>
        <w:t xml:space="preserve"> reports; total number of adverse events by System Organ Class, and event seriousness, in individuals aged from 5 years to under 12 years</w:t>
      </w:r>
    </w:p>
    <w:p w14:paraId="5CC56092" w14:textId="77777777" w:rsidR="007D4570" w:rsidRPr="007D4570" w:rsidRDefault="007D4570" w:rsidP="007D4570">
      <w:pPr>
        <w:tabs>
          <w:tab w:val="num" w:pos="3007"/>
        </w:tabs>
      </w:pPr>
      <w:r w:rsidRPr="007D4570">
        <w:rPr>
          <w:noProof/>
          <w:lang w:val="en-GB" w:eastAsia="en-GB"/>
        </w:rPr>
        <w:drawing>
          <wp:inline distT="0" distB="0" distL="0" distR="0" wp14:anchorId="0E32D38B" wp14:editId="48514FD4">
            <wp:extent cx="5382883" cy="3198550"/>
            <wp:effectExtent l="0" t="0" r="8890" b="1905"/>
            <wp:docPr id="76" name="Picture 76" descr="Post-marketing reports; total number of adverse events by System Organ Class, and event seriousness, in individuals aged from 5 years to under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546"/>
                    <a:stretch/>
                  </pic:blipFill>
                  <pic:spPr bwMode="auto">
                    <a:xfrm>
                      <a:off x="0" y="0"/>
                      <a:ext cx="5454533" cy="3241125"/>
                    </a:xfrm>
                    <a:prstGeom prst="rect">
                      <a:avLst/>
                    </a:prstGeom>
                    <a:ln>
                      <a:noFill/>
                    </a:ln>
                    <a:extLst>
                      <a:ext uri="{53640926-AAD7-44D8-BBD7-CCE9431645EC}">
                        <a14:shadowObscured xmlns:a14="http://schemas.microsoft.com/office/drawing/2010/main"/>
                      </a:ext>
                    </a:extLst>
                  </pic:spPr>
                </pic:pic>
              </a:graphicData>
            </a:graphic>
          </wp:inline>
        </w:drawing>
      </w:r>
    </w:p>
    <w:p w14:paraId="37D0D855" w14:textId="0E5DB227" w:rsidR="00426D5A" w:rsidRPr="00426D5A" w:rsidRDefault="00426D5A" w:rsidP="001C33EC">
      <w:pPr>
        <w:pStyle w:val="Tabletitle0"/>
      </w:pPr>
      <w:r>
        <w:lastRenderedPageBreak/>
        <w:t xml:space="preserve">Table </w:t>
      </w:r>
      <w:r w:rsidR="00BC0ACB">
        <w:fldChar w:fldCharType="begin"/>
      </w:r>
      <w:r w:rsidR="00BC0ACB">
        <w:instrText xml:space="preserve"> SEQ Table \* ARABIC </w:instrText>
      </w:r>
      <w:r w:rsidR="00BC0ACB">
        <w:fldChar w:fldCharType="separate"/>
      </w:r>
      <w:r w:rsidR="001E0AB7">
        <w:rPr>
          <w:noProof/>
        </w:rPr>
        <w:t>24</w:t>
      </w:r>
      <w:r w:rsidR="00BC0ACB">
        <w:rPr>
          <w:noProof/>
        </w:rPr>
        <w:fldChar w:fldCharType="end"/>
      </w:r>
      <w:r>
        <w:t xml:space="preserve">: </w:t>
      </w:r>
      <w:proofErr w:type="gramStart"/>
      <w:r>
        <w:t>Post-marketing</w:t>
      </w:r>
      <w:proofErr w:type="gramEnd"/>
      <w:r>
        <w:t xml:space="preserve"> rep</w:t>
      </w:r>
      <w:r w:rsidR="00597994">
        <w:t>orts; adverse events making up at</w:t>
      </w:r>
      <w:r>
        <w:t xml:space="preserve"> least 2% of all reported cases in individuals aged from 5 to under 12 years, by decreasing reporting proportio</w:t>
      </w:r>
      <w:r w:rsidR="001C33EC">
        <w:t>n with each System Organ Class (t</w:t>
      </w:r>
      <w:r>
        <w:t>otal case reports = 10,679</w:t>
      </w:r>
      <w:r w:rsidR="001C33EC">
        <w:t>)</w:t>
      </w:r>
    </w:p>
    <w:p w14:paraId="766877AB" w14:textId="18534077" w:rsidR="007D4570" w:rsidRDefault="007D4570" w:rsidP="007D4570">
      <w:pPr>
        <w:rPr>
          <w:b/>
          <w:bCs/>
        </w:rPr>
      </w:pPr>
      <w:r w:rsidRPr="007D4570">
        <w:rPr>
          <w:noProof/>
          <w:lang w:val="en-GB" w:eastAsia="en-GB"/>
        </w:rPr>
        <w:drawing>
          <wp:inline distT="0" distB="0" distL="0" distR="0" wp14:anchorId="093B5695" wp14:editId="63130044">
            <wp:extent cx="5033010" cy="4510528"/>
            <wp:effectExtent l="0" t="0" r="0" b="4445"/>
            <wp:docPr id="75" name="Picture 75" descr="Post-marketing reports; adverse events making up at least 2% of all reported cases in individuals aged from 5 to under 12 years, by decreasing reporting proportion with each System Organ Class (total case reports = 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3750"/>
                    <a:stretch/>
                  </pic:blipFill>
                  <pic:spPr bwMode="auto">
                    <a:xfrm>
                      <a:off x="0" y="0"/>
                      <a:ext cx="5035569" cy="4512821"/>
                    </a:xfrm>
                    <a:prstGeom prst="rect">
                      <a:avLst/>
                    </a:prstGeom>
                    <a:ln>
                      <a:noFill/>
                    </a:ln>
                    <a:extLst>
                      <a:ext uri="{53640926-AAD7-44D8-BBD7-CCE9431645EC}">
                        <a14:shadowObscured xmlns:a14="http://schemas.microsoft.com/office/drawing/2010/main"/>
                      </a:ext>
                    </a:extLst>
                  </pic:spPr>
                </pic:pic>
              </a:graphicData>
            </a:graphic>
          </wp:inline>
        </w:drawing>
      </w:r>
    </w:p>
    <w:p w14:paraId="5EA03765" w14:textId="176D50C2" w:rsidR="0000246B" w:rsidRDefault="00597994" w:rsidP="0000246B">
      <w:pPr>
        <w:pStyle w:val="TableDescription"/>
      </w:pPr>
      <w:r>
        <w:t>Abbreviations: MedDRA = Medical Dictionary for Regulatory Activ</w:t>
      </w:r>
      <w:r w:rsidR="0000246B">
        <w:t>ities; PT = Preferred Term; SOC = </w:t>
      </w:r>
      <w:r>
        <w:t>System Organ Class</w:t>
      </w:r>
      <w:r w:rsidR="0000246B">
        <w:t>.</w:t>
      </w:r>
    </w:p>
    <w:p w14:paraId="224D40AE" w14:textId="490F1690" w:rsidR="0000246B" w:rsidRDefault="0000246B" w:rsidP="0000246B">
      <w:pPr>
        <w:pStyle w:val="TableDescription"/>
      </w:pPr>
      <w:r>
        <w:t>a. Adverse event reporting proportion: (n/N) x 100; n = number of adverse events; N = number of cases.</w:t>
      </w:r>
    </w:p>
    <w:p w14:paraId="20C3BF87" w14:textId="085276B2" w:rsidR="007D4570" w:rsidRPr="007D4570" w:rsidRDefault="007D4570" w:rsidP="007D4570">
      <w:pPr>
        <w:rPr>
          <w:bCs/>
        </w:rPr>
      </w:pPr>
      <w:r w:rsidRPr="007D4570">
        <w:rPr>
          <w:bCs/>
        </w:rPr>
        <w:t xml:space="preserve">Of the 10,560 non-booster cases, 15.5% events were serious. There were 67.1% cases medically confirmed. Outcome was </w:t>
      </w:r>
      <w:r w:rsidR="001C33EC">
        <w:rPr>
          <w:bCs/>
        </w:rPr>
        <w:t>‘</w:t>
      </w:r>
      <w:r w:rsidRPr="007D4570">
        <w:rPr>
          <w:bCs/>
        </w:rPr>
        <w:t>recovered/recovering</w:t>
      </w:r>
      <w:r w:rsidR="001C33EC">
        <w:rPr>
          <w:bCs/>
        </w:rPr>
        <w:t>’</w:t>
      </w:r>
      <w:r w:rsidRPr="007D4570">
        <w:rPr>
          <w:bCs/>
        </w:rPr>
        <w:t xml:space="preserve"> for 44.6% cases and </w:t>
      </w:r>
      <w:r w:rsidR="001C33EC">
        <w:rPr>
          <w:bCs/>
        </w:rPr>
        <w:t>‘</w:t>
      </w:r>
      <w:r w:rsidRPr="007D4570">
        <w:rPr>
          <w:bCs/>
        </w:rPr>
        <w:t>unknown</w:t>
      </w:r>
      <w:r w:rsidR="001C33EC">
        <w:rPr>
          <w:bCs/>
        </w:rPr>
        <w:t>’</w:t>
      </w:r>
      <w:r w:rsidRPr="007D4570">
        <w:rPr>
          <w:bCs/>
        </w:rPr>
        <w:t xml:space="preserve"> for 41.3% cases. There were 22 (0.2%) cases with fatal outcome. No information was </w:t>
      </w:r>
      <w:r w:rsidR="00C33208">
        <w:rPr>
          <w:bCs/>
        </w:rPr>
        <w:t>provided regarding these cases.</w:t>
      </w:r>
      <w:r w:rsidRPr="007D4570">
        <w:rPr>
          <w:bCs/>
        </w:rPr>
        <w:t xml:space="preserve"> </w:t>
      </w:r>
      <w:r w:rsidR="001C33EC">
        <w:rPr>
          <w:bCs/>
        </w:rPr>
        <w:t xml:space="preserve">Adverse events </w:t>
      </w:r>
      <w:r w:rsidRPr="007D4570">
        <w:rPr>
          <w:bCs/>
        </w:rPr>
        <w:t>reported by P</w:t>
      </w:r>
      <w:r w:rsidR="001C33EC">
        <w:rPr>
          <w:bCs/>
        </w:rPr>
        <w:t>referred Term</w:t>
      </w:r>
      <w:r w:rsidRPr="007D4570">
        <w:rPr>
          <w:bCs/>
        </w:rPr>
        <w:t xml:space="preserve"> in</w:t>
      </w:r>
      <w:r w:rsidR="00C33208">
        <w:rPr>
          <w:bCs/>
        </w:rPr>
        <w:t xml:space="preserve"> non</w:t>
      </w:r>
      <w:r w:rsidR="00C33208">
        <w:rPr>
          <w:bCs/>
        </w:rPr>
        <w:noBreakHyphen/>
      </w:r>
      <w:r w:rsidRPr="007D4570">
        <w:rPr>
          <w:bCs/>
        </w:rPr>
        <w:t xml:space="preserve">booster cases are in line with the </w:t>
      </w:r>
      <w:r w:rsidR="001C33EC">
        <w:rPr>
          <w:bCs/>
        </w:rPr>
        <w:t>adverse events</w:t>
      </w:r>
      <w:r w:rsidRPr="007D4570">
        <w:rPr>
          <w:bCs/>
        </w:rPr>
        <w:t xml:space="preserve"> described for all cases as above. </w:t>
      </w:r>
    </w:p>
    <w:p w14:paraId="109760CF" w14:textId="7636A06B" w:rsidR="007D4570" w:rsidRPr="007D4570" w:rsidRDefault="007D4570" w:rsidP="007D4570">
      <w:pPr>
        <w:rPr>
          <w:bCs/>
        </w:rPr>
      </w:pPr>
      <w:r w:rsidRPr="007D4570">
        <w:rPr>
          <w:bCs/>
        </w:rPr>
        <w:t xml:space="preserve">Of the 119 cases with </w:t>
      </w:r>
      <w:r w:rsidR="001C33EC">
        <w:rPr>
          <w:bCs/>
        </w:rPr>
        <w:t>adverse events</w:t>
      </w:r>
      <w:r w:rsidRPr="007D4570">
        <w:rPr>
          <w:bCs/>
        </w:rPr>
        <w:t xml:space="preserve"> occurring after the booster dose, 18.5% were serious. There were 63.0% cases medically confirmed. Outcome was unknown for </w:t>
      </w:r>
      <w:proofErr w:type="gramStart"/>
      <w:r w:rsidRPr="007D4570">
        <w:rPr>
          <w:bCs/>
        </w:rPr>
        <w:t>the majority of</w:t>
      </w:r>
      <w:proofErr w:type="gramEnd"/>
      <w:r w:rsidRPr="007D4570">
        <w:rPr>
          <w:bCs/>
        </w:rPr>
        <w:t xml:space="preserve"> cases (74.8%) and recovered/recover</w:t>
      </w:r>
      <w:r w:rsidR="001C33EC">
        <w:rPr>
          <w:bCs/>
        </w:rPr>
        <w:t>ing for 15.1% cases. There was one case (0.8%)</w:t>
      </w:r>
      <w:r w:rsidRPr="007D4570">
        <w:rPr>
          <w:bCs/>
        </w:rPr>
        <w:t xml:space="preserve"> with </w:t>
      </w:r>
      <w:r w:rsidR="001C33EC">
        <w:rPr>
          <w:bCs/>
        </w:rPr>
        <w:t xml:space="preserve">a </w:t>
      </w:r>
      <w:r w:rsidRPr="007D4570">
        <w:rPr>
          <w:bCs/>
        </w:rPr>
        <w:t xml:space="preserve">fatal outcome; no information was provided regarding this case. </w:t>
      </w:r>
    </w:p>
    <w:p w14:paraId="759EF3F8" w14:textId="425BAE47" w:rsidR="001C33EC" w:rsidRPr="001C33EC" w:rsidRDefault="001C33EC" w:rsidP="001C33EC">
      <w:pPr>
        <w:pStyle w:val="Tabletitle0"/>
      </w:pPr>
      <w:r>
        <w:lastRenderedPageBreak/>
        <w:t xml:space="preserve">Table </w:t>
      </w:r>
      <w:r w:rsidR="00BC0ACB">
        <w:fldChar w:fldCharType="begin"/>
      </w:r>
      <w:r w:rsidR="00BC0ACB">
        <w:instrText xml:space="preserve"> SEQ Table \* ARABIC </w:instrText>
      </w:r>
      <w:r w:rsidR="00BC0ACB">
        <w:fldChar w:fldCharType="separate"/>
      </w:r>
      <w:r w:rsidR="001E0AB7">
        <w:rPr>
          <w:noProof/>
        </w:rPr>
        <w:t>25</w:t>
      </w:r>
      <w:r w:rsidR="00BC0ACB">
        <w:rPr>
          <w:noProof/>
        </w:rPr>
        <w:fldChar w:fldCharType="end"/>
      </w:r>
      <w:r>
        <w:t xml:space="preserve">: </w:t>
      </w:r>
      <w:proofErr w:type="gramStart"/>
      <w:r>
        <w:t>Post-marketing</w:t>
      </w:r>
      <w:proofErr w:type="gramEnd"/>
      <w:r>
        <w:t xml:space="preserve"> reports, Characteristics of all booster cases reported in individuals aged from 5 to under 12 years. </w:t>
      </w:r>
      <w:r w:rsidR="0000246B">
        <w:t>Cumulative</w:t>
      </w:r>
      <w:r>
        <w:t xml:space="preserve"> data up to 10 June 2022 (all booster cases = 119 cases)</w:t>
      </w:r>
    </w:p>
    <w:p w14:paraId="5F2A20FE" w14:textId="77777777" w:rsidR="007D4570" w:rsidRPr="007D4570" w:rsidRDefault="007D4570" w:rsidP="007D4570">
      <w:pPr>
        <w:rPr>
          <w:bCs/>
        </w:rPr>
      </w:pPr>
      <w:r w:rsidRPr="007D4570">
        <w:rPr>
          <w:noProof/>
          <w:lang w:val="en-GB" w:eastAsia="en-GB"/>
        </w:rPr>
        <w:drawing>
          <wp:inline distT="0" distB="0" distL="0" distR="0" wp14:anchorId="604170E5" wp14:editId="2EECFE95">
            <wp:extent cx="5289550" cy="4332555"/>
            <wp:effectExtent l="0" t="0" r="6350" b="0"/>
            <wp:docPr id="78" name="Picture 78" descr="Post-marketing reports, Characteristics of all booster cases reported in individuals aged from 5 to under 12 years. Culmulative data up to 10 June 2022 (all booster cases = 119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97505" cy="4339071"/>
                    </a:xfrm>
                    <a:prstGeom prst="rect">
                      <a:avLst/>
                    </a:prstGeom>
                  </pic:spPr>
                </pic:pic>
              </a:graphicData>
            </a:graphic>
          </wp:inline>
        </w:drawing>
      </w:r>
    </w:p>
    <w:p w14:paraId="0CA907FF" w14:textId="1E038FC7" w:rsidR="000B50B6" w:rsidRDefault="000B50B6" w:rsidP="000B50B6">
      <w:pPr>
        <w:pStyle w:val="TableDescription"/>
      </w:pPr>
      <w:r>
        <w:t>Abbreviations: MedDRA = Medical dictionary for Regulatory Affairs; n = number of adverse events; N = number of cases; PT = Preferred Term; SOC = System Organ Class; US = United States of America.</w:t>
      </w:r>
    </w:p>
    <w:p w14:paraId="5710E403" w14:textId="5DB0E269" w:rsidR="000B50B6" w:rsidRDefault="000B50B6" w:rsidP="000B50B6">
      <w:pPr>
        <w:pStyle w:val="TableDescription"/>
      </w:pPr>
      <w:r>
        <w:t>a) The sum of percentages may not exactly match 100% due to rounding in calculations.</w:t>
      </w:r>
    </w:p>
    <w:p w14:paraId="636E6F09" w14:textId="6394F9EA" w:rsidR="000B50B6" w:rsidRPr="000B50B6" w:rsidRDefault="000B50B6" w:rsidP="000B50B6">
      <w:pPr>
        <w:pStyle w:val="TableDescription"/>
      </w:pPr>
      <w:r>
        <w:t>b) 2% or more of all booster cases.</w:t>
      </w:r>
    </w:p>
    <w:p w14:paraId="40F5FE8E" w14:textId="39823C1A" w:rsidR="007D4570" w:rsidRPr="007D4570" w:rsidRDefault="007D4570" w:rsidP="007D4570">
      <w:pPr>
        <w:rPr>
          <w:bCs/>
        </w:rPr>
      </w:pPr>
      <w:r w:rsidRPr="007D4570">
        <w:rPr>
          <w:bCs/>
        </w:rPr>
        <w:t xml:space="preserve">The most common </w:t>
      </w:r>
      <w:r w:rsidR="00D01D1D">
        <w:rPr>
          <w:bCs/>
        </w:rPr>
        <w:t>adverse events</w:t>
      </w:r>
      <w:r w:rsidRPr="007D4570">
        <w:rPr>
          <w:bCs/>
        </w:rPr>
        <w:t xml:space="preserve"> among the 119 booster cases were in the</w:t>
      </w:r>
      <w:r w:rsidR="00D01D1D">
        <w:rPr>
          <w:bCs/>
        </w:rPr>
        <w:t xml:space="preserve"> System Organ Class</w:t>
      </w:r>
      <w:r w:rsidRPr="007D4570">
        <w:rPr>
          <w:bCs/>
        </w:rPr>
        <w:t xml:space="preserve"> </w:t>
      </w:r>
      <w:r w:rsidR="00D01D1D">
        <w:rPr>
          <w:bCs/>
        </w:rPr>
        <w:t>‘</w:t>
      </w:r>
      <w:r w:rsidRPr="007D4570">
        <w:rPr>
          <w:bCs/>
        </w:rPr>
        <w:t xml:space="preserve">Injury, poisoning </w:t>
      </w:r>
      <w:r w:rsidR="00D01D1D">
        <w:rPr>
          <w:bCs/>
        </w:rPr>
        <w:t>and procedural complications’:</w:t>
      </w:r>
      <w:r w:rsidRPr="007D4570">
        <w:rPr>
          <w:bCs/>
        </w:rPr>
        <w:t xml:space="preserve"> poor quality product administered (28.6%), product administration error (24.4%), overdose (19.3%), product administered to patient of inappropriate age (16.8%), off-label use (13.5%) and pro</w:t>
      </w:r>
      <w:r w:rsidR="00D01D1D">
        <w:rPr>
          <w:bCs/>
        </w:rPr>
        <w:t>duct preparation error (12.6%).</w:t>
      </w:r>
    </w:p>
    <w:p w14:paraId="33F99442" w14:textId="359A3F21" w:rsidR="00D01D1D" w:rsidRPr="00D01D1D" w:rsidRDefault="00D01D1D" w:rsidP="00D01D1D">
      <w:pPr>
        <w:pStyle w:val="Tabletitle0"/>
      </w:pPr>
      <w:r>
        <w:lastRenderedPageBreak/>
        <w:t xml:space="preserve">Table </w:t>
      </w:r>
      <w:r w:rsidR="00BC0ACB">
        <w:fldChar w:fldCharType="begin"/>
      </w:r>
      <w:r w:rsidR="00BC0ACB">
        <w:instrText xml:space="preserve"> SEQ Table \* ARABIC </w:instrText>
      </w:r>
      <w:r w:rsidR="00BC0ACB">
        <w:fldChar w:fldCharType="separate"/>
      </w:r>
      <w:r w:rsidR="001E0AB7">
        <w:rPr>
          <w:noProof/>
        </w:rPr>
        <w:t>26</w:t>
      </w:r>
      <w:r w:rsidR="00BC0ACB">
        <w:rPr>
          <w:noProof/>
        </w:rPr>
        <w:fldChar w:fldCharType="end"/>
      </w:r>
      <w:r>
        <w:t xml:space="preserve">: </w:t>
      </w:r>
      <w:proofErr w:type="gramStart"/>
      <w:r>
        <w:t>Post-marketing</w:t>
      </w:r>
      <w:proofErr w:type="gramEnd"/>
      <w:r>
        <w:t xml:space="preserve"> reports; adverse events reported in at least 2% of all booster cases, in individuals aged from 5 to under 12 years, by decreasing reporting proportion within each System Organ Class (all booster cases = 119 cases)</w:t>
      </w:r>
    </w:p>
    <w:p w14:paraId="277B0D9E" w14:textId="77777777" w:rsidR="007D4570" w:rsidRPr="007D4570" w:rsidRDefault="007D4570" w:rsidP="007D4570">
      <w:pPr>
        <w:rPr>
          <w:bCs/>
        </w:rPr>
      </w:pPr>
      <w:r w:rsidRPr="007D4570">
        <w:rPr>
          <w:noProof/>
          <w:lang w:val="en-GB" w:eastAsia="en-GB"/>
        </w:rPr>
        <w:drawing>
          <wp:inline distT="0" distB="0" distL="0" distR="0" wp14:anchorId="71B17066" wp14:editId="0E99B8D4">
            <wp:extent cx="5257800" cy="4343400"/>
            <wp:effectExtent l="0" t="0" r="0" b="0"/>
            <wp:docPr id="79" name="Picture 79" descr="Post-marketing reports; adverse events reported in at least 2% of all booster cases, in individuals aged from 5 to under 12 years, by decreasing reporting proportion within each System Organ Class (all booster cases = 119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7800" cy="4343400"/>
                    </a:xfrm>
                    <a:prstGeom prst="rect">
                      <a:avLst/>
                    </a:prstGeom>
                  </pic:spPr>
                </pic:pic>
              </a:graphicData>
            </a:graphic>
          </wp:inline>
        </w:drawing>
      </w:r>
    </w:p>
    <w:p w14:paraId="36C61E85" w14:textId="40CAFB2B" w:rsidR="007D4570" w:rsidRDefault="007D4570" w:rsidP="007D4570">
      <w:pPr>
        <w:rPr>
          <w:bCs/>
        </w:rPr>
      </w:pPr>
      <w:r w:rsidRPr="007D4570">
        <w:rPr>
          <w:noProof/>
          <w:lang w:val="en-GB" w:eastAsia="en-GB"/>
        </w:rPr>
        <w:drawing>
          <wp:inline distT="0" distB="0" distL="0" distR="0" wp14:anchorId="79E0F9FB" wp14:editId="059450A5">
            <wp:extent cx="5248275" cy="2051637"/>
            <wp:effectExtent l="0" t="0" r="0" b="6350"/>
            <wp:docPr id="80" name="Picture 80" descr="Post-marketing reports; adverse events reported in at least 2% of all booster cases, in individuals aged from 5 to under 12 years, by decreasing reporting proportion within each System Organ Class (all booster cases = 119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7158"/>
                    <a:stretch/>
                  </pic:blipFill>
                  <pic:spPr bwMode="auto">
                    <a:xfrm>
                      <a:off x="0" y="0"/>
                      <a:ext cx="5248275" cy="2051637"/>
                    </a:xfrm>
                    <a:prstGeom prst="rect">
                      <a:avLst/>
                    </a:prstGeom>
                    <a:ln>
                      <a:noFill/>
                    </a:ln>
                    <a:extLst>
                      <a:ext uri="{53640926-AAD7-44D8-BBD7-CCE9431645EC}">
                        <a14:shadowObscured xmlns:a14="http://schemas.microsoft.com/office/drawing/2010/main"/>
                      </a:ext>
                    </a:extLst>
                  </pic:spPr>
                </pic:pic>
              </a:graphicData>
            </a:graphic>
          </wp:inline>
        </w:drawing>
      </w:r>
    </w:p>
    <w:p w14:paraId="208F1513" w14:textId="750B1068" w:rsidR="000B50B6" w:rsidRDefault="000B50B6" w:rsidP="000B50B6">
      <w:pPr>
        <w:pStyle w:val="TableDescription"/>
      </w:pPr>
      <w:r>
        <w:t>Abbreviations: MedDRA = Medical dictionary for Regulatory Affairs; n = number of adverse events; N = number of cases; PT = Preferred Term; SOC = System Organ Class.</w:t>
      </w:r>
    </w:p>
    <w:p w14:paraId="46127B82" w14:textId="1624E5C3" w:rsidR="000B50B6" w:rsidRPr="007D4570" w:rsidRDefault="000B50B6" w:rsidP="000B50B6">
      <w:pPr>
        <w:pStyle w:val="TableDescription"/>
      </w:pPr>
      <w:r>
        <w:t>a) Adverse event reporting proportion: n/N x 100.</w:t>
      </w:r>
    </w:p>
    <w:p w14:paraId="3BC26D29" w14:textId="1918105F" w:rsidR="00E66B61" w:rsidRDefault="00E66B61" w:rsidP="007D4570">
      <w:pPr>
        <w:rPr>
          <w:bCs/>
        </w:rPr>
      </w:pPr>
      <w:r>
        <w:rPr>
          <w:bCs/>
        </w:rPr>
        <w:t>The s</w:t>
      </w:r>
      <w:r w:rsidR="007D4570" w:rsidRPr="007D4570">
        <w:rPr>
          <w:bCs/>
        </w:rPr>
        <w:t xml:space="preserve">ponsor noted the most frequently reported </w:t>
      </w:r>
      <w:r>
        <w:rPr>
          <w:bCs/>
        </w:rPr>
        <w:t>Preferred Terms</w:t>
      </w:r>
      <w:r w:rsidR="007D4570" w:rsidRPr="007D4570">
        <w:rPr>
          <w:bCs/>
        </w:rPr>
        <w:t xml:space="preserve"> in children </w:t>
      </w:r>
      <w:r w:rsidR="0000246B">
        <w:rPr>
          <w:bCs/>
        </w:rPr>
        <w:t>aged from 5 </w:t>
      </w:r>
      <w:r>
        <w:rPr>
          <w:bCs/>
        </w:rPr>
        <w:t>to under</w:t>
      </w:r>
      <w:r w:rsidR="007D4570" w:rsidRPr="007D4570">
        <w:rPr>
          <w:bCs/>
        </w:rPr>
        <w:t xml:space="preserve"> 12 years ‘</w:t>
      </w:r>
      <w:r w:rsidR="007D4570" w:rsidRPr="007D4570">
        <w:rPr>
          <w:bCs/>
          <w:i/>
          <w:iCs/>
        </w:rPr>
        <w:t>are potentially indicative of medication errors/overdose pertaining to the tris-s</w:t>
      </w:r>
      <w:r>
        <w:rPr>
          <w:bCs/>
          <w:i/>
          <w:iCs/>
        </w:rPr>
        <w:t>ucrose paediatric presentation (</w:t>
      </w:r>
      <w:r w:rsidR="007D4570" w:rsidRPr="007D4570">
        <w:rPr>
          <w:bCs/>
          <w:i/>
          <w:iCs/>
        </w:rPr>
        <w:t>Orange Cap (1</w:t>
      </w:r>
      <w:r>
        <w:rPr>
          <w:bCs/>
          <w:i/>
          <w:iCs/>
        </w:rPr>
        <w:t>0 micrograms/dose))</w:t>
      </w:r>
      <w:r w:rsidR="007D4570" w:rsidRPr="007D4570">
        <w:rPr>
          <w:bCs/>
        </w:rPr>
        <w:t>’, stating further medication error cases were routinely reviewed and no new significant saf</w:t>
      </w:r>
      <w:r>
        <w:rPr>
          <w:bCs/>
        </w:rPr>
        <w:t>ety information was identified.</w:t>
      </w:r>
    </w:p>
    <w:p w14:paraId="698DB007" w14:textId="397B3110" w:rsidR="007D4570" w:rsidRPr="007D4570" w:rsidRDefault="00E66B61" w:rsidP="007D4570">
      <w:pPr>
        <w:rPr>
          <w:bCs/>
        </w:rPr>
      </w:pPr>
      <w:r>
        <w:rPr>
          <w:bCs/>
        </w:rPr>
        <w:t>The s</w:t>
      </w:r>
      <w:r w:rsidR="007D4570" w:rsidRPr="007D4570">
        <w:rPr>
          <w:bCs/>
        </w:rPr>
        <w:t xml:space="preserve">ponsor considers the potential for medication errors with the new presentation is mitigated through the information in the vaccine labelling and educational materials for </w:t>
      </w:r>
      <w:r w:rsidR="007D4570" w:rsidRPr="007D4570">
        <w:rPr>
          <w:bCs/>
        </w:rPr>
        <w:lastRenderedPageBreak/>
        <w:t>healthcare providers, acknowledging some</w:t>
      </w:r>
      <w:r w:rsidR="007D4570" w:rsidRPr="007D4570">
        <w:t xml:space="preserve"> </w:t>
      </w:r>
      <w:r w:rsidR="007D4570" w:rsidRPr="007D4570">
        <w:rPr>
          <w:bCs/>
        </w:rPr>
        <w:t xml:space="preserve">medication errors will occur despite these measures. Based on the number and seriousness of medication errors in children </w:t>
      </w:r>
      <w:r>
        <w:rPr>
          <w:bCs/>
        </w:rPr>
        <w:t>from</w:t>
      </w:r>
      <w:r w:rsidR="000B50B6">
        <w:rPr>
          <w:bCs/>
        </w:rPr>
        <w:t> </w:t>
      </w:r>
      <w:r>
        <w:rPr>
          <w:bCs/>
        </w:rPr>
        <w:t>5</w:t>
      </w:r>
      <w:r w:rsidR="000B50B6">
        <w:rPr>
          <w:bCs/>
        </w:rPr>
        <w:t> </w:t>
      </w:r>
      <w:r>
        <w:rPr>
          <w:bCs/>
        </w:rPr>
        <w:t>to under 12 years of age, the s</w:t>
      </w:r>
      <w:r w:rsidR="007D4570" w:rsidRPr="007D4570">
        <w:rPr>
          <w:bCs/>
        </w:rPr>
        <w:t>ponsor does not consider additional mitigation activity is required.</w:t>
      </w:r>
    </w:p>
    <w:p w14:paraId="7BA6E2F7" w14:textId="61D4E41C" w:rsidR="007D4570" w:rsidRPr="007D4570" w:rsidRDefault="007D4570" w:rsidP="007D4570">
      <w:pPr>
        <w:rPr>
          <w:bCs/>
        </w:rPr>
      </w:pPr>
      <w:bookmarkStart w:id="85" w:name="_Hlk112402459"/>
      <w:r w:rsidRPr="007D4570">
        <w:rPr>
          <w:bCs/>
        </w:rPr>
        <w:t xml:space="preserve">Overall, the types of common </w:t>
      </w:r>
      <w:r w:rsidR="00E66B61">
        <w:rPr>
          <w:bCs/>
        </w:rPr>
        <w:t>adverse events</w:t>
      </w:r>
      <w:r w:rsidRPr="007D4570">
        <w:rPr>
          <w:bCs/>
        </w:rPr>
        <w:t xml:space="preserve"> presented in the post-marketing data appear consistent with the known safety profile of Comirnaty</w:t>
      </w:r>
      <w:r w:rsidR="00E66B61">
        <w:rPr>
          <w:bCs/>
        </w:rPr>
        <w:t xml:space="preserve"> (tozinameran)</w:t>
      </w:r>
      <w:r w:rsidRPr="007D4570">
        <w:rPr>
          <w:bCs/>
        </w:rPr>
        <w:t xml:space="preserve"> in this age group. It is noted 18.5% case reports following the booster dose were considered serious and one fatal outcome was reported</w:t>
      </w:r>
      <w:bookmarkStart w:id="86" w:name="_Hlk112397738"/>
      <w:r w:rsidRPr="007D4570">
        <w:rPr>
          <w:bCs/>
        </w:rPr>
        <w:t xml:space="preserve">. A synthesised review of </w:t>
      </w:r>
      <w:r w:rsidR="00E66B61">
        <w:rPr>
          <w:bCs/>
        </w:rPr>
        <w:t>serious adverse events</w:t>
      </w:r>
      <w:r w:rsidRPr="007D4570">
        <w:rPr>
          <w:bCs/>
        </w:rPr>
        <w:t xml:space="preserve"> following the booster dose in children aged </w:t>
      </w:r>
      <w:r w:rsidR="00E66B61">
        <w:rPr>
          <w:bCs/>
        </w:rPr>
        <w:t xml:space="preserve">from </w:t>
      </w:r>
      <w:r w:rsidRPr="007D4570">
        <w:rPr>
          <w:bCs/>
        </w:rPr>
        <w:t xml:space="preserve">5 </w:t>
      </w:r>
      <w:r w:rsidR="00E66B61">
        <w:rPr>
          <w:bCs/>
        </w:rPr>
        <w:t>to under</w:t>
      </w:r>
      <w:r w:rsidRPr="007D4570">
        <w:rPr>
          <w:bCs/>
        </w:rPr>
        <w:t xml:space="preserve"> 12 years in the post-market setting was not available. Of the 21 case reports (as in the line listings of </w:t>
      </w:r>
      <w:r w:rsidR="00E66B61">
        <w:rPr>
          <w:bCs/>
        </w:rPr>
        <w:t>adverse event reports) the most common Preferred Term</w:t>
      </w:r>
      <w:r w:rsidRPr="007D4570">
        <w:rPr>
          <w:bCs/>
        </w:rPr>
        <w:t xml:space="preserve">s related to testing positive to COVID-19 (7 cases), and product administration error </w:t>
      </w:r>
      <w:r w:rsidR="00E66B61">
        <w:rPr>
          <w:bCs/>
        </w:rPr>
        <w:t>(4 cases). Of note, there were two case reports with Preferred Terms</w:t>
      </w:r>
      <w:r w:rsidRPr="007D4570">
        <w:rPr>
          <w:bCs/>
        </w:rPr>
        <w:t xml:space="preserve"> of myocardit</w:t>
      </w:r>
      <w:r w:rsidR="00E66B61">
        <w:rPr>
          <w:bCs/>
        </w:rPr>
        <w:t>is, and single case reports of m</w:t>
      </w:r>
      <w:r w:rsidRPr="007D4570">
        <w:rPr>
          <w:bCs/>
        </w:rPr>
        <w:t xml:space="preserve">ultisystem inflammatory syndrome in </w:t>
      </w:r>
      <w:r w:rsidR="00E66B61">
        <w:rPr>
          <w:bCs/>
        </w:rPr>
        <w:t xml:space="preserve">children (MIS-C), Guillain-Barre syndrome and 2 cases with Preferred Terms </w:t>
      </w:r>
      <w:r w:rsidRPr="007D4570">
        <w:rPr>
          <w:bCs/>
        </w:rPr>
        <w:t>elating to axillary pain/swell</w:t>
      </w:r>
      <w:r w:rsidR="00E66B61">
        <w:rPr>
          <w:bCs/>
        </w:rPr>
        <w:t xml:space="preserve">ing. The information available </w:t>
      </w:r>
      <w:r w:rsidRPr="007D4570">
        <w:rPr>
          <w:bCs/>
        </w:rPr>
        <w:t>on the fatal out</w:t>
      </w:r>
      <w:r w:rsidR="00E66B61">
        <w:rPr>
          <w:bCs/>
        </w:rPr>
        <w:t>come case was limited to analysis</w:t>
      </w:r>
      <w:r w:rsidR="009757E7">
        <w:rPr>
          <w:bCs/>
        </w:rPr>
        <w:t xml:space="preserve"> and comment.</w:t>
      </w:r>
    </w:p>
    <w:bookmarkEnd w:id="85"/>
    <w:bookmarkEnd w:id="86"/>
    <w:p w14:paraId="3AD3BEE0" w14:textId="77777777" w:rsidR="00E66B61" w:rsidRDefault="007D4570" w:rsidP="007D4570">
      <w:pPr>
        <w:rPr>
          <w:bCs/>
        </w:rPr>
      </w:pPr>
      <w:r w:rsidRPr="007D4570">
        <w:rPr>
          <w:bCs/>
        </w:rPr>
        <w:t xml:space="preserve">The sponsor provided some additional past-market data/information in response to </w:t>
      </w:r>
      <w:r w:rsidR="00E66B61">
        <w:rPr>
          <w:bCs/>
        </w:rPr>
        <w:t xml:space="preserve">TGA questions arising from the clinical evaluation. </w:t>
      </w:r>
    </w:p>
    <w:p w14:paraId="58D8049D" w14:textId="3A058B62" w:rsidR="00E66B61" w:rsidRDefault="00E66B61" w:rsidP="00E66B61">
      <w:pPr>
        <w:pStyle w:val="Tabletitle0"/>
      </w:pPr>
      <w:r>
        <w:t xml:space="preserve">Table </w:t>
      </w:r>
      <w:r w:rsidR="00BC0ACB">
        <w:fldChar w:fldCharType="begin"/>
      </w:r>
      <w:r w:rsidR="00BC0ACB">
        <w:instrText xml:space="preserve"> SEQ Table \* ARABIC </w:instrText>
      </w:r>
      <w:r w:rsidR="00BC0ACB">
        <w:fldChar w:fldCharType="separate"/>
      </w:r>
      <w:r w:rsidR="001E0AB7">
        <w:rPr>
          <w:noProof/>
        </w:rPr>
        <w:t>27</w:t>
      </w:r>
      <w:r w:rsidR="00BC0ACB">
        <w:rPr>
          <w:noProof/>
        </w:rPr>
        <w:fldChar w:fldCharType="end"/>
      </w:r>
      <w:r>
        <w:t xml:space="preserve">: </w:t>
      </w:r>
      <w:proofErr w:type="gramStart"/>
      <w:r>
        <w:t>Post-marketing</w:t>
      </w:r>
      <w:proofErr w:type="gramEnd"/>
      <w:r>
        <w:t xml:space="preserve"> reports; reports of myocard</w:t>
      </w:r>
      <w:r w:rsidR="008D3478">
        <w:t>itis in individuals aged from 5 </w:t>
      </w:r>
      <w:r>
        <w:t>to under 12 years (total = 48 cases)</w:t>
      </w:r>
    </w:p>
    <w:p w14:paraId="0CCC5D53" w14:textId="244B98BC" w:rsidR="007D4570" w:rsidRDefault="007D4570" w:rsidP="007D4570">
      <w:pPr>
        <w:rPr>
          <w:bCs/>
        </w:rPr>
      </w:pPr>
      <w:r w:rsidRPr="007D4570">
        <w:rPr>
          <w:noProof/>
          <w:lang w:val="en-GB" w:eastAsia="en-GB"/>
        </w:rPr>
        <w:drawing>
          <wp:inline distT="0" distB="0" distL="0" distR="0" wp14:anchorId="0F621BDB" wp14:editId="46DF0952">
            <wp:extent cx="5365630" cy="3308372"/>
            <wp:effectExtent l="0" t="0" r="6985" b="6350"/>
            <wp:docPr id="11" name="Picture 11" descr="Post-marketing reports; reports of myocarditis in individuals aged from 5 to under 12 years (total = 48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6806"/>
                    <a:stretch/>
                  </pic:blipFill>
                  <pic:spPr bwMode="auto">
                    <a:xfrm>
                      <a:off x="0" y="0"/>
                      <a:ext cx="5372191" cy="3312417"/>
                    </a:xfrm>
                    <a:prstGeom prst="rect">
                      <a:avLst/>
                    </a:prstGeom>
                    <a:ln>
                      <a:noFill/>
                    </a:ln>
                    <a:extLst>
                      <a:ext uri="{53640926-AAD7-44D8-BBD7-CCE9431645EC}">
                        <a14:shadowObscured xmlns:a14="http://schemas.microsoft.com/office/drawing/2010/main"/>
                      </a:ext>
                    </a:extLst>
                  </pic:spPr>
                </pic:pic>
              </a:graphicData>
            </a:graphic>
          </wp:inline>
        </w:drawing>
      </w:r>
    </w:p>
    <w:p w14:paraId="14E0E195" w14:textId="37ABCB79" w:rsidR="000B50B6" w:rsidRDefault="000B50B6" w:rsidP="000B50B6">
      <w:pPr>
        <w:pStyle w:val="TableDescription"/>
      </w:pPr>
      <w:r>
        <w:t>Abbreviations: n = number of adverse events; N = number of cases; No. = number; PT = Preferred Term.</w:t>
      </w:r>
    </w:p>
    <w:p w14:paraId="123AD2D8" w14:textId="77777777" w:rsidR="000B50B6" w:rsidRPr="00AB0763" w:rsidRDefault="000B50B6" w:rsidP="000B50B6">
      <w:pPr>
        <w:pStyle w:val="TableDescription"/>
      </w:pPr>
      <w:r w:rsidRPr="00AB0763">
        <w:t>a)</w:t>
      </w:r>
      <w:r>
        <w:t xml:space="preserve"> </w:t>
      </w:r>
      <w:r w:rsidRPr="00AB0763">
        <w:t>All serious occurrences</w:t>
      </w:r>
    </w:p>
    <w:p w14:paraId="032F21AB" w14:textId="75B76768" w:rsidR="000B50B6" w:rsidRPr="007D4570" w:rsidRDefault="000B50B6" w:rsidP="000B50B6">
      <w:pPr>
        <w:pStyle w:val="TableDescription"/>
        <w:rPr>
          <w:bCs/>
        </w:rPr>
      </w:pPr>
      <w:r>
        <w:t>b) For those cases where the event resolved or resolved with sequelae.</w:t>
      </w:r>
    </w:p>
    <w:p w14:paraId="645F6F85" w14:textId="1918D834" w:rsidR="008D3478" w:rsidRPr="008D3478" w:rsidRDefault="008D3478" w:rsidP="008D3478">
      <w:pPr>
        <w:pStyle w:val="Tabletitle0"/>
      </w:pPr>
      <w:r>
        <w:lastRenderedPageBreak/>
        <w:t xml:space="preserve">Table </w:t>
      </w:r>
      <w:r w:rsidR="00BC0ACB">
        <w:fldChar w:fldCharType="begin"/>
      </w:r>
      <w:r w:rsidR="00BC0ACB">
        <w:instrText xml:space="preserve"> SEQ Table \* ARABIC </w:instrText>
      </w:r>
      <w:r w:rsidR="00BC0ACB">
        <w:fldChar w:fldCharType="separate"/>
      </w:r>
      <w:r w:rsidR="001E0AB7">
        <w:rPr>
          <w:noProof/>
        </w:rPr>
        <w:t>28</w:t>
      </w:r>
      <w:r w:rsidR="00BC0ACB">
        <w:rPr>
          <w:noProof/>
        </w:rPr>
        <w:fldChar w:fldCharType="end"/>
      </w:r>
      <w:r>
        <w:t xml:space="preserve">: </w:t>
      </w:r>
      <w:proofErr w:type="gramStart"/>
      <w:r>
        <w:t>Post-m</w:t>
      </w:r>
      <w:r w:rsidR="00AB0763">
        <w:t>arketing</w:t>
      </w:r>
      <w:proofErr w:type="gramEnd"/>
      <w:r w:rsidR="00AB0763">
        <w:t xml:space="preserve"> reports; reports of per</w:t>
      </w:r>
      <w:r>
        <w:t>icarditis in individuals aged from 5 to under 12 years (total = 30 cases)</w:t>
      </w:r>
    </w:p>
    <w:p w14:paraId="7E90EE6A" w14:textId="13AA4C16" w:rsidR="007D4570" w:rsidRDefault="007D4570" w:rsidP="007D4570">
      <w:pPr>
        <w:rPr>
          <w:bCs/>
        </w:rPr>
      </w:pPr>
      <w:r w:rsidRPr="007D4570">
        <w:rPr>
          <w:noProof/>
          <w:lang w:val="en-GB" w:eastAsia="en-GB"/>
        </w:rPr>
        <w:drawing>
          <wp:inline distT="0" distB="0" distL="0" distR="0" wp14:anchorId="66062F83" wp14:editId="5FE6AA4C">
            <wp:extent cx="5382883" cy="2987150"/>
            <wp:effectExtent l="0" t="0" r="8890" b="3810"/>
            <wp:docPr id="9" name="Picture 9" descr="Post-marketing reports; reports of pericarditis in individuals aged from 5 to under 12 years (total = 3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8282"/>
                    <a:stretch/>
                  </pic:blipFill>
                  <pic:spPr bwMode="auto">
                    <a:xfrm>
                      <a:off x="0" y="0"/>
                      <a:ext cx="5402412" cy="2997987"/>
                    </a:xfrm>
                    <a:prstGeom prst="rect">
                      <a:avLst/>
                    </a:prstGeom>
                    <a:ln>
                      <a:noFill/>
                    </a:ln>
                    <a:extLst>
                      <a:ext uri="{53640926-AAD7-44D8-BBD7-CCE9431645EC}">
                        <a14:shadowObscured xmlns:a14="http://schemas.microsoft.com/office/drawing/2010/main"/>
                      </a:ext>
                    </a:extLst>
                  </pic:spPr>
                </pic:pic>
              </a:graphicData>
            </a:graphic>
          </wp:inline>
        </w:drawing>
      </w:r>
    </w:p>
    <w:p w14:paraId="06363DC5" w14:textId="33F6068E" w:rsidR="00AB0763" w:rsidRDefault="00AB0763" w:rsidP="00AB0763">
      <w:pPr>
        <w:pStyle w:val="TableDescription"/>
      </w:pPr>
      <w:r>
        <w:t xml:space="preserve">Abbreviations: </w:t>
      </w:r>
      <w:r w:rsidR="000B50B6">
        <w:t>n = number of adverse events; N = number of cases; No. = n</w:t>
      </w:r>
      <w:r>
        <w:t>umber PT = Preferred Term.</w:t>
      </w:r>
    </w:p>
    <w:p w14:paraId="0735A0A4" w14:textId="7ECB90C2" w:rsidR="00AB0763" w:rsidRPr="00AB0763" w:rsidRDefault="00AB0763" w:rsidP="00AB0763">
      <w:pPr>
        <w:pStyle w:val="TableDescription"/>
      </w:pPr>
      <w:r w:rsidRPr="00AB0763">
        <w:t>a)</w:t>
      </w:r>
      <w:r>
        <w:t xml:space="preserve"> </w:t>
      </w:r>
      <w:r w:rsidRPr="00AB0763">
        <w:t>All serious occurrences</w:t>
      </w:r>
    </w:p>
    <w:p w14:paraId="013531B7" w14:textId="6473979C" w:rsidR="00AB0763" w:rsidRPr="00AB0763" w:rsidRDefault="00AB0763" w:rsidP="00AB0763">
      <w:pPr>
        <w:pStyle w:val="TableDescription"/>
      </w:pPr>
      <w:r>
        <w:t>b) For those cases where the event resolved or resolved with sequelae.</w:t>
      </w:r>
    </w:p>
    <w:p w14:paraId="2A4C64D1" w14:textId="7202A5FC" w:rsidR="008E7846" w:rsidRDefault="00386150" w:rsidP="007B6132">
      <w:pPr>
        <w:pStyle w:val="Heading3"/>
        <w:rPr>
          <w:lang w:eastAsia="en-AU"/>
        </w:rPr>
      </w:pPr>
      <w:bookmarkStart w:id="87" w:name="_Toc314842514"/>
      <w:bookmarkStart w:id="88" w:name="_Toc115349605"/>
      <w:r>
        <w:rPr>
          <w:lang w:eastAsia="en-AU"/>
        </w:rPr>
        <w:t>Risk m</w:t>
      </w:r>
      <w:r w:rsidR="008E7846">
        <w:rPr>
          <w:lang w:eastAsia="en-AU"/>
        </w:rPr>
        <w:t xml:space="preserve">anagement </w:t>
      </w:r>
      <w:r>
        <w:rPr>
          <w:lang w:eastAsia="en-AU"/>
        </w:rPr>
        <w:t>p</w:t>
      </w:r>
      <w:r w:rsidR="008E7846">
        <w:rPr>
          <w:lang w:eastAsia="en-AU"/>
        </w:rPr>
        <w:t>lan</w:t>
      </w:r>
      <w:bookmarkEnd w:id="87"/>
      <w:bookmarkEnd w:id="88"/>
    </w:p>
    <w:p w14:paraId="3FDD4652" w14:textId="46B7B1C5" w:rsidR="00C2014C" w:rsidRDefault="00C2014C" w:rsidP="00C2014C">
      <w:pPr>
        <w:rPr>
          <w:lang w:eastAsia="en-AU"/>
        </w:rPr>
      </w:pPr>
      <w:r>
        <w:rPr>
          <w:lang w:eastAsia="en-AU"/>
        </w:rPr>
        <w:t>The sponsor has submitted a submission for tozinameran (Comirnaty COVID-19 vaccine), seeking approval to introduce a booster dose for children aged 5 to under 12 years through the provisional approval pathway. Comirnaty is currently approved to be used for active immunisation to prevent coronavirus disease 2019 (COVID-19) caused by SARS</w:t>
      </w:r>
      <w:r>
        <w:rPr>
          <w:lang w:eastAsia="en-AU"/>
        </w:rPr>
        <w:noBreakHyphen/>
        <w:t xml:space="preserve">CoV-2, in individuals 12 years of age and older as a primary course and a booster dose. </w:t>
      </w:r>
    </w:p>
    <w:p w14:paraId="10B1B09F" w14:textId="2788D008" w:rsidR="00C2014C" w:rsidRDefault="00C2014C" w:rsidP="00C2014C">
      <w:pPr>
        <w:rPr>
          <w:lang w:eastAsia="en-AU"/>
        </w:rPr>
      </w:pPr>
      <w:r>
        <w:rPr>
          <w:lang w:eastAsia="en-AU"/>
        </w:rPr>
        <w:t xml:space="preserve">The sponsor did not submit a risk management plan (RMP) for this submission and stated that the </w:t>
      </w:r>
      <w:r w:rsidRPr="00C2014C">
        <w:rPr>
          <w:i/>
          <w:lang w:eastAsia="en-AU"/>
        </w:rPr>
        <w:t>‘EU</w:t>
      </w:r>
      <w:r w:rsidRPr="00C2014C">
        <w:rPr>
          <w:i/>
          <w:lang w:eastAsia="en-AU"/>
        </w:rPr>
        <w:noBreakHyphen/>
        <w:t>RMP remains unchanged from last submitted version’</w:t>
      </w:r>
      <w:r>
        <w:rPr>
          <w:lang w:eastAsia="en-AU"/>
        </w:rPr>
        <w:t xml:space="preserve">. </w:t>
      </w:r>
    </w:p>
    <w:p w14:paraId="0BD17FEF" w14:textId="56605E1E" w:rsidR="00C2014C" w:rsidRDefault="00C2014C" w:rsidP="00C2014C">
      <w:pPr>
        <w:rPr>
          <w:lang w:eastAsia="en-AU"/>
        </w:rPr>
      </w:pPr>
      <w:r>
        <w:rPr>
          <w:lang w:eastAsia="en-AU"/>
        </w:rPr>
        <w:t>The most recently evaluated EU-RMP was ve</w:t>
      </w:r>
      <w:r w:rsidR="00DC2992">
        <w:rPr>
          <w:lang w:eastAsia="en-AU"/>
        </w:rPr>
        <w:t>rsion 4.1 (date 2 February 2022);</w:t>
      </w:r>
      <w:r w:rsidR="00DC2992">
        <w:rPr>
          <w:rStyle w:val="FootnoteReference"/>
          <w:lang w:eastAsia="en-AU"/>
        </w:rPr>
        <w:footnoteReference w:id="36"/>
      </w:r>
      <w:r w:rsidR="00DC2992">
        <w:rPr>
          <w:lang w:eastAsia="en-AU"/>
        </w:rPr>
        <w:t xml:space="preserve"> </w:t>
      </w:r>
      <w:r>
        <w:rPr>
          <w:lang w:eastAsia="en-AU"/>
        </w:rPr>
        <w:t xml:space="preserve">and </w:t>
      </w:r>
      <w:r w:rsidR="00DC2992">
        <w:rPr>
          <w:lang w:eastAsia="en-AU"/>
        </w:rPr>
        <w:t>Australian-specific annex (</w:t>
      </w:r>
      <w:r>
        <w:rPr>
          <w:lang w:eastAsia="en-AU"/>
        </w:rPr>
        <w:t>ASA</w:t>
      </w:r>
      <w:r w:rsidR="00DC2992">
        <w:rPr>
          <w:lang w:eastAsia="en-AU"/>
        </w:rPr>
        <w:t>)</w:t>
      </w:r>
      <w:r>
        <w:rPr>
          <w:lang w:eastAsia="en-AU"/>
        </w:rPr>
        <w:t xml:space="preserve"> versi</w:t>
      </w:r>
      <w:r w:rsidR="00DC2992">
        <w:rPr>
          <w:lang w:eastAsia="en-AU"/>
        </w:rPr>
        <w:t>on 0.4 (date 11 November 2021).</w:t>
      </w:r>
    </w:p>
    <w:p w14:paraId="1958BDCD" w14:textId="4B4673F2" w:rsidR="0059441F" w:rsidRPr="0059441F" w:rsidRDefault="0059441F" w:rsidP="00C2014C">
      <w:pPr>
        <w:rPr>
          <w:lang w:val="en-GB"/>
        </w:rPr>
      </w:pPr>
      <w:r>
        <w:rPr>
          <w:lang w:val="en-GB"/>
        </w:rPr>
        <w:t>This summary of safety concerns is the same as the summary that was evaluated and considered acceptable during the most recently evaluated RMP</w:t>
      </w:r>
      <w:r w:rsidR="001E0AB7">
        <w:rPr>
          <w:lang w:val="en-GB"/>
        </w:rPr>
        <w:t>, in a submission for the use of booster in individuals aged from 12 to 15 years</w:t>
      </w:r>
      <w:r>
        <w:rPr>
          <w:lang w:val="en-GB"/>
        </w:rPr>
        <w:t>.</w:t>
      </w:r>
      <w:r w:rsidRPr="0059441F">
        <w:rPr>
          <w:vertAlign w:val="superscript"/>
          <w:lang w:val="en-GB"/>
        </w:rPr>
        <w:fldChar w:fldCharType="begin"/>
      </w:r>
      <w:r w:rsidRPr="0059441F">
        <w:rPr>
          <w:vertAlign w:val="superscript"/>
          <w:lang w:val="en-GB"/>
        </w:rPr>
        <w:instrText xml:space="preserve"> NOTEREF _Ref114824897 \h </w:instrText>
      </w:r>
      <w:r>
        <w:rPr>
          <w:vertAlign w:val="superscript"/>
          <w:lang w:val="en-GB"/>
        </w:rPr>
        <w:instrText xml:space="preserve"> \* MERGEFORMAT </w:instrText>
      </w:r>
      <w:r w:rsidRPr="0059441F">
        <w:rPr>
          <w:vertAlign w:val="superscript"/>
          <w:lang w:val="en-GB"/>
        </w:rPr>
      </w:r>
      <w:r w:rsidRPr="0059441F">
        <w:rPr>
          <w:vertAlign w:val="superscript"/>
          <w:lang w:val="en-GB"/>
        </w:rPr>
        <w:fldChar w:fldCharType="separate"/>
      </w:r>
      <w:r w:rsidRPr="0059441F">
        <w:rPr>
          <w:vertAlign w:val="superscript"/>
          <w:lang w:val="en-GB"/>
        </w:rPr>
        <w:t>4</w:t>
      </w:r>
      <w:r w:rsidRPr="0059441F">
        <w:rPr>
          <w:vertAlign w:val="superscript"/>
          <w:lang w:val="en-GB"/>
        </w:rPr>
        <w:fldChar w:fldCharType="end"/>
      </w:r>
      <w:r>
        <w:rPr>
          <w:lang w:val="en-GB"/>
        </w:rPr>
        <w:t xml:space="preserve"> The changes proposed by the current submission do not warrant changes to the summary of safety concerns from an RMP perspective.</w:t>
      </w:r>
    </w:p>
    <w:p w14:paraId="075FEC7F" w14:textId="61118617" w:rsidR="00C2014C" w:rsidRDefault="00C2014C" w:rsidP="0074163C">
      <w:pPr>
        <w:rPr>
          <w:lang w:eastAsia="en-AU"/>
        </w:rPr>
      </w:pPr>
      <w:r>
        <w:rPr>
          <w:lang w:eastAsia="en-AU"/>
        </w:rPr>
        <w:t xml:space="preserve">The current summary of safety concerns and their associated risk monitoring and mitigation </w:t>
      </w:r>
      <w:r w:rsidR="001E0AB7">
        <w:rPr>
          <w:lang w:eastAsia="en-AU"/>
        </w:rPr>
        <w:t xml:space="preserve">strategies are summarised below in </w:t>
      </w:r>
      <w:r w:rsidR="001E0AB7">
        <w:rPr>
          <w:lang w:eastAsia="en-AU"/>
        </w:rPr>
        <w:fldChar w:fldCharType="begin"/>
      </w:r>
      <w:r w:rsidR="001E0AB7">
        <w:rPr>
          <w:lang w:eastAsia="en-AU"/>
        </w:rPr>
        <w:instrText xml:space="preserve"> REF _Ref114825421 \h </w:instrText>
      </w:r>
      <w:r w:rsidR="001E0AB7">
        <w:rPr>
          <w:lang w:eastAsia="en-AU"/>
        </w:rPr>
      </w:r>
      <w:r w:rsidR="001E0AB7">
        <w:rPr>
          <w:lang w:eastAsia="en-AU"/>
        </w:rPr>
        <w:fldChar w:fldCharType="separate"/>
      </w:r>
      <w:r w:rsidR="001E0AB7">
        <w:t xml:space="preserve">Table </w:t>
      </w:r>
      <w:r w:rsidR="001E0AB7">
        <w:rPr>
          <w:noProof/>
        </w:rPr>
        <w:t>29</w:t>
      </w:r>
      <w:r w:rsidR="001E0AB7">
        <w:t>.</w:t>
      </w:r>
      <w:r w:rsidR="001E0AB7">
        <w:rPr>
          <w:lang w:eastAsia="en-AU"/>
        </w:rPr>
        <w:fldChar w:fldCharType="end"/>
      </w:r>
      <w:bookmarkStart w:id="89" w:name="_Toc247691531"/>
      <w:bookmarkStart w:id="90" w:name="_Toc314842515"/>
      <w:bookmarkStart w:id="91" w:name="_Toc196046505"/>
      <w:bookmarkStart w:id="92" w:name="_Toc196046949"/>
    </w:p>
    <w:p w14:paraId="675E0231" w14:textId="6C08FA9B" w:rsidR="001E0AB7" w:rsidRDefault="001E0AB7" w:rsidP="001E0AB7">
      <w:pPr>
        <w:pStyle w:val="Tabletitle0"/>
      </w:pPr>
      <w:bookmarkStart w:id="93" w:name="_Ref114825421"/>
      <w:r>
        <w:lastRenderedPageBreak/>
        <w:t xml:space="preserve">Table </w:t>
      </w:r>
      <w:r w:rsidR="00BC0ACB">
        <w:fldChar w:fldCharType="begin"/>
      </w:r>
      <w:r w:rsidR="00BC0ACB">
        <w:instrText xml:space="preserve"> SEQ Table \* ARABIC </w:instrText>
      </w:r>
      <w:r w:rsidR="00BC0ACB">
        <w:fldChar w:fldCharType="separate"/>
      </w:r>
      <w:r>
        <w:rPr>
          <w:noProof/>
        </w:rPr>
        <w:t>29</w:t>
      </w:r>
      <w:r w:rsidR="00BC0ACB">
        <w:rPr>
          <w:noProof/>
        </w:rPr>
        <w:fldChar w:fldCharType="end"/>
      </w:r>
      <w:r>
        <w:t>: Summary of safety concerns</w:t>
      </w:r>
      <w:bookmarkEnd w:id="93"/>
    </w:p>
    <w:tbl>
      <w:tblPr>
        <w:tblStyle w:val="TableTGAblue"/>
        <w:tblW w:w="5000" w:type="pct"/>
        <w:tblLook w:val="0020" w:firstRow="1" w:lastRow="0" w:firstColumn="0" w:lastColumn="0" w:noHBand="0" w:noVBand="0"/>
      </w:tblPr>
      <w:tblGrid>
        <w:gridCol w:w="1327"/>
        <w:gridCol w:w="3516"/>
        <w:gridCol w:w="988"/>
        <w:gridCol w:w="988"/>
        <w:gridCol w:w="742"/>
        <w:gridCol w:w="923"/>
      </w:tblGrid>
      <w:tr w:rsidR="007E5A4C" w:rsidRPr="007E5A4C" w14:paraId="531826A7" w14:textId="77777777" w:rsidTr="006063BE">
        <w:trPr>
          <w:cnfStyle w:val="100000000000" w:firstRow="1" w:lastRow="0" w:firstColumn="0" w:lastColumn="0" w:oddVBand="0" w:evenVBand="0" w:oddHBand="0" w:evenHBand="0" w:firstRowFirstColumn="0" w:firstRowLastColumn="0" w:lastRowFirstColumn="0" w:lastRowLastColumn="0"/>
        </w:trPr>
        <w:tc>
          <w:tcPr>
            <w:tcW w:w="2855" w:type="pct"/>
            <w:gridSpan w:val="2"/>
            <w:vMerge w:val="restart"/>
            <w:tcBorders>
              <w:right w:val="single" w:sz="4" w:space="0" w:color="000000" w:themeColor="text1"/>
            </w:tcBorders>
          </w:tcPr>
          <w:p w14:paraId="56A93890" w14:textId="78453056" w:rsidR="007E5A4C" w:rsidRPr="006063BE" w:rsidRDefault="007E5A4C" w:rsidP="007E5A4C">
            <w:pPr>
              <w:ind w:left="0" w:right="0"/>
              <w:rPr>
                <w:b w:val="0"/>
                <w:sz w:val="20"/>
                <w:szCs w:val="20"/>
              </w:rPr>
            </w:pPr>
            <w:r w:rsidRPr="007E5A4C">
              <w:rPr>
                <w:sz w:val="20"/>
                <w:szCs w:val="20"/>
              </w:rPr>
              <w:t>Summary of safety concerns</w:t>
            </w:r>
          </w:p>
        </w:tc>
        <w:tc>
          <w:tcPr>
            <w:tcW w:w="1124" w:type="pct"/>
            <w:gridSpan w:val="2"/>
            <w:tcBorders>
              <w:left w:val="single" w:sz="4" w:space="0" w:color="000000" w:themeColor="text1"/>
              <w:right w:val="single" w:sz="4" w:space="0" w:color="000000" w:themeColor="text1"/>
            </w:tcBorders>
          </w:tcPr>
          <w:p w14:paraId="34EBCCE5" w14:textId="77777777" w:rsidR="007E5A4C" w:rsidRPr="007E5A4C" w:rsidRDefault="007E5A4C" w:rsidP="007E5A4C">
            <w:pPr>
              <w:ind w:left="0" w:right="0"/>
              <w:rPr>
                <w:sz w:val="20"/>
                <w:szCs w:val="20"/>
              </w:rPr>
            </w:pPr>
            <w:r w:rsidRPr="007E5A4C">
              <w:rPr>
                <w:sz w:val="20"/>
                <w:szCs w:val="20"/>
              </w:rPr>
              <w:t xml:space="preserve">Pharmacovigilance </w:t>
            </w:r>
          </w:p>
        </w:tc>
        <w:tc>
          <w:tcPr>
            <w:tcW w:w="1022" w:type="pct"/>
            <w:gridSpan w:val="2"/>
            <w:tcBorders>
              <w:left w:val="single" w:sz="4" w:space="0" w:color="000000" w:themeColor="text1"/>
            </w:tcBorders>
          </w:tcPr>
          <w:p w14:paraId="55204C33" w14:textId="77777777" w:rsidR="007E5A4C" w:rsidRPr="007E5A4C" w:rsidRDefault="007E5A4C" w:rsidP="007E5A4C">
            <w:pPr>
              <w:ind w:left="0" w:right="0"/>
              <w:rPr>
                <w:sz w:val="20"/>
                <w:szCs w:val="20"/>
              </w:rPr>
            </w:pPr>
            <w:r w:rsidRPr="007E5A4C">
              <w:rPr>
                <w:sz w:val="20"/>
                <w:szCs w:val="20"/>
              </w:rPr>
              <w:t xml:space="preserve">Risk Minimisation </w:t>
            </w:r>
          </w:p>
        </w:tc>
      </w:tr>
      <w:tr w:rsidR="007E5A4C" w:rsidRPr="007E5A4C" w14:paraId="52BB14C1" w14:textId="77777777" w:rsidTr="006063BE">
        <w:tc>
          <w:tcPr>
            <w:tcW w:w="2855" w:type="pct"/>
            <w:gridSpan w:val="2"/>
            <w:vMerge/>
            <w:tcBorders>
              <w:right w:val="single" w:sz="4" w:space="0" w:color="000000" w:themeColor="text1"/>
            </w:tcBorders>
          </w:tcPr>
          <w:p w14:paraId="608FC49C" w14:textId="228F57AE" w:rsidR="007E5A4C" w:rsidRPr="007E5A4C" w:rsidRDefault="007E5A4C" w:rsidP="007E5A4C">
            <w:pPr>
              <w:ind w:left="0" w:right="0"/>
              <w:rPr>
                <w:sz w:val="20"/>
                <w:szCs w:val="20"/>
              </w:rPr>
            </w:pPr>
          </w:p>
        </w:tc>
        <w:tc>
          <w:tcPr>
            <w:tcW w:w="562" w:type="pct"/>
            <w:tcBorders>
              <w:left w:val="single" w:sz="4" w:space="0" w:color="000000" w:themeColor="text1"/>
            </w:tcBorders>
            <w:shd w:val="clear" w:color="auto" w:fill="006DA7"/>
          </w:tcPr>
          <w:p w14:paraId="06767CC0" w14:textId="77777777" w:rsidR="007E5A4C" w:rsidRPr="006063BE" w:rsidRDefault="007E5A4C" w:rsidP="00C2014C">
            <w:pPr>
              <w:ind w:left="-144" w:right="-144"/>
              <w:jc w:val="center"/>
              <w:rPr>
                <w:color w:val="FFFFFF" w:themeColor="background1"/>
                <w:sz w:val="19"/>
                <w:szCs w:val="19"/>
              </w:rPr>
            </w:pPr>
            <w:r w:rsidRPr="006063BE">
              <w:rPr>
                <w:color w:val="FFFFFF" w:themeColor="background1"/>
                <w:sz w:val="19"/>
                <w:szCs w:val="19"/>
              </w:rPr>
              <w:t>Routine</w:t>
            </w:r>
          </w:p>
        </w:tc>
        <w:tc>
          <w:tcPr>
            <w:tcW w:w="562" w:type="pct"/>
            <w:shd w:val="clear" w:color="auto" w:fill="006DA7"/>
          </w:tcPr>
          <w:p w14:paraId="0A9C90B1" w14:textId="77777777" w:rsidR="007E5A4C" w:rsidRPr="006063BE" w:rsidRDefault="007E5A4C" w:rsidP="00C2014C">
            <w:pPr>
              <w:ind w:left="-144" w:right="-144"/>
              <w:jc w:val="center"/>
              <w:rPr>
                <w:color w:val="FFFFFF" w:themeColor="background1"/>
                <w:sz w:val="19"/>
                <w:szCs w:val="19"/>
              </w:rPr>
            </w:pPr>
            <w:r w:rsidRPr="006063BE">
              <w:rPr>
                <w:color w:val="FFFFFF" w:themeColor="background1"/>
                <w:sz w:val="19"/>
                <w:szCs w:val="19"/>
              </w:rPr>
              <w:t>Additional</w:t>
            </w:r>
          </w:p>
        </w:tc>
        <w:tc>
          <w:tcPr>
            <w:tcW w:w="460" w:type="pct"/>
            <w:shd w:val="clear" w:color="auto" w:fill="006DA7"/>
          </w:tcPr>
          <w:p w14:paraId="33679FF5" w14:textId="77777777" w:rsidR="007E5A4C" w:rsidRPr="006063BE" w:rsidRDefault="007E5A4C" w:rsidP="00C2014C">
            <w:pPr>
              <w:ind w:left="-144" w:right="-144"/>
              <w:jc w:val="center"/>
              <w:rPr>
                <w:color w:val="FFFFFF" w:themeColor="background1"/>
                <w:sz w:val="19"/>
                <w:szCs w:val="19"/>
              </w:rPr>
            </w:pPr>
            <w:r w:rsidRPr="006063BE">
              <w:rPr>
                <w:color w:val="FFFFFF" w:themeColor="background1"/>
                <w:sz w:val="19"/>
                <w:szCs w:val="19"/>
              </w:rPr>
              <w:t>Routine</w:t>
            </w:r>
          </w:p>
        </w:tc>
        <w:tc>
          <w:tcPr>
            <w:tcW w:w="562" w:type="pct"/>
            <w:shd w:val="clear" w:color="auto" w:fill="006DA7"/>
          </w:tcPr>
          <w:p w14:paraId="297042B0" w14:textId="77777777" w:rsidR="007E5A4C" w:rsidRPr="006063BE" w:rsidRDefault="007E5A4C" w:rsidP="00C2014C">
            <w:pPr>
              <w:ind w:left="-144" w:right="-144"/>
              <w:jc w:val="center"/>
              <w:rPr>
                <w:color w:val="FFFFFF" w:themeColor="background1"/>
                <w:sz w:val="19"/>
                <w:szCs w:val="19"/>
              </w:rPr>
            </w:pPr>
            <w:r w:rsidRPr="006063BE">
              <w:rPr>
                <w:color w:val="FFFFFF" w:themeColor="background1"/>
                <w:sz w:val="19"/>
                <w:szCs w:val="19"/>
              </w:rPr>
              <w:t>Additional</w:t>
            </w:r>
          </w:p>
        </w:tc>
      </w:tr>
      <w:tr w:rsidR="007E5A4C" w:rsidRPr="007E5A4C" w14:paraId="4E0D06EF" w14:textId="77777777" w:rsidTr="006063BE">
        <w:tc>
          <w:tcPr>
            <w:tcW w:w="760" w:type="pct"/>
            <w:vMerge w:val="restart"/>
          </w:tcPr>
          <w:p w14:paraId="6E182081" w14:textId="5F4FC291" w:rsidR="007E5A4C" w:rsidRPr="007E5A4C" w:rsidRDefault="007E5A4C" w:rsidP="007E5A4C">
            <w:pPr>
              <w:ind w:left="0" w:right="0"/>
              <w:rPr>
                <w:b/>
                <w:sz w:val="20"/>
                <w:szCs w:val="20"/>
              </w:rPr>
            </w:pPr>
            <w:r w:rsidRPr="007E5A4C">
              <w:rPr>
                <w:b/>
                <w:sz w:val="20"/>
                <w:szCs w:val="20"/>
              </w:rPr>
              <w:t>Important identified risks</w:t>
            </w:r>
          </w:p>
        </w:tc>
        <w:tc>
          <w:tcPr>
            <w:tcW w:w="2094" w:type="pct"/>
          </w:tcPr>
          <w:p w14:paraId="2EA3E063" w14:textId="77777777" w:rsidR="007E5A4C" w:rsidRPr="007E5A4C" w:rsidRDefault="007E5A4C" w:rsidP="007E5A4C">
            <w:pPr>
              <w:ind w:left="0" w:right="0"/>
              <w:rPr>
                <w:sz w:val="20"/>
                <w:szCs w:val="20"/>
              </w:rPr>
            </w:pPr>
            <w:r w:rsidRPr="007E5A4C">
              <w:rPr>
                <w:sz w:val="20"/>
                <w:szCs w:val="20"/>
              </w:rPr>
              <w:t>Anaphylaxis</w:t>
            </w:r>
          </w:p>
        </w:tc>
        <w:tc>
          <w:tcPr>
            <w:tcW w:w="562" w:type="pct"/>
          </w:tcPr>
          <w:p w14:paraId="5FE4029D" w14:textId="1011F408"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r w:rsidRPr="007E5A4C">
              <w:rPr>
                <w:sz w:val="20"/>
                <w:szCs w:val="20"/>
              </w:rPr>
              <w:t>†</w:t>
            </w:r>
          </w:p>
        </w:tc>
        <w:tc>
          <w:tcPr>
            <w:tcW w:w="562" w:type="pct"/>
          </w:tcPr>
          <w:p w14:paraId="49453A45" w14:textId="06DB8670"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r w:rsidRPr="007E5A4C">
              <w:rPr>
                <w:sz w:val="20"/>
                <w:szCs w:val="20"/>
              </w:rPr>
              <w:t>*</w:t>
            </w:r>
          </w:p>
        </w:tc>
        <w:tc>
          <w:tcPr>
            <w:tcW w:w="460" w:type="pct"/>
          </w:tcPr>
          <w:p w14:paraId="7FD93EDB" w14:textId="6F81F054"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4C4D56F0" w14:textId="77777777" w:rsidR="007E5A4C" w:rsidRPr="007E5A4C" w:rsidRDefault="007E5A4C" w:rsidP="00C2014C">
            <w:pPr>
              <w:ind w:left="0" w:right="0"/>
              <w:jc w:val="center"/>
              <w:rPr>
                <w:sz w:val="20"/>
                <w:szCs w:val="20"/>
              </w:rPr>
            </w:pPr>
            <w:r w:rsidRPr="007E5A4C">
              <w:rPr>
                <w:sz w:val="20"/>
                <w:szCs w:val="20"/>
              </w:rPr>
              <w:t>–</w:t>
            </w:r>
          </w:p>
        </w:tc>
      </w:tr>
      <w:tr w:rsidR="007E5A4C" w:rsidRPr="007E5A4C" w14:paraId="40889E49" w14:textId="77777777" w:rsidTr="006063BE">
        <w:tc>
          <w:tcPr>
            <w:tcW w:w="760" w:type="pct"/>
            <w:vMerge/>
          </w:tcPr>
          <w:p w14:paraId="64CFDF2E" w14:textId="3C3E8539" w:rsidR="007E5A4C" w:rsidRPr="007E5A4C" w:rsidRDefault="007E5A4C" w:rsidP="007E5A4C">
            <w:pPr>
              <w:ind w:left="0" w:right="0"/>
              <w:rPr>
                <w:b/>
                <w:sz w:val="20"/>
                <w:szCs w:val="20"/>
              </w:rPr>
            </w:pPr>
          </w:p>
        </w:tc>
        <w:tc>
          <w:tcPr>
            <w:tcW w:w="2094" w:type="pct"/>
          </w:tcPr>
          <w:p w14:paraId="15B1D82E" w14:textId="77777777" w:rsidR="007E5A4C" w:rsidRPr="007E5A4C" w:rsidRDefault="007E5A4C" w:rsidP="007E5A4C">
            <w:pPr>
              <w:ind w:left="0" w:right="0"/>
              <w:rPr>
                <w:sz w:val="20"/>
                <w:szCs w:val="20"/>
              </w:rPr>
            </w:pPr>
            <w:r w:rsidRPr="007E5A4C">
              <w:rPr>
                <w:sz w:val="20"/>
                <w:szCs w:val="20"/>
              </w:rPr>
              <w:t>Myocarditis and pericarditis</w:t>
            </w:r>
          </w:p>
        </w:tc>
        <w:tc>
          <w:tcPr>
            <w:tcW w:w="562" w:type="pct"/>
          </w:tcPr>
          <w:p w14:paraId="62BF28D6" w14:textId="1BC00320"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5A8E888F" w14:textId="20A72787"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r w:rsidRPr="007E5A4C">
              <w:rPr>
                <w:sz w:val="20"/>
                <w:szCs w:val="20"/>
              </w:rPr>
              <w:t>*</w:t>
            </w:r>
          </w:p>
        </w:tc>
        <w:tc>
          <w:tcPr>
            <w:tcW w:w="460" w:type="pct"/>
          </w:tcPr>
          <w:p w14:paraId="2919C897" w14:textId="2E082FD3"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5D311F3F" w14:textId="77777777" w:rsidR="007E5A4C" w:rsidRPr="007E5A4C" w:rsidRDefault="007E5A4C" w:rsidP="00C2014C">
            <w:pPr>
              <w:ind w:left="0" w:right="0"/>
              <w:jc w:val="center"/>
              <w:rPr>
                <w:sz w:val="20"/>
                <w:szCs w:val="20"/>
              </w:rPr>
            </w:pPr>
            <w:r w:rsidRPr="007E5A4C">
              <w:rPr>
                <w:sz w:val="20"/>
                <w:szCs w:val="20"/>
              </w:rPr>
              <w:t>–</w:t>
            </w:r>
          </w:p>
        </w:tc>
      </w:tr>
      <w:tr w:rsidR="007E5A4C" w:rsidRPr="007E5A4C" w14:paraId="3C6B5B9E" w14:textId="77777777" w:rsidTr="006063BE">
        <w:tc>
          <w:tcPr>
            <w:tcW w:w="760" w:type="pct"/>
          </w:tcPr>
          <w:p w14:paraId="542D2DA9" w14:textId="77777777" w:rsidR="00B63F10" w:rsidRPr="007E5A4C" w:rsidRDefault="00B63F10" w:rsidP="007E5A4C">
            <w:pPr>
              <w:ind w:left="0" w:right="0"/>
              <w:rPr>
                <w:b/>
                <w:sz w:val="20"/>
                <w:szCs w:val="20"/>
              </w:rPr>
            </w:pPr>
            <w:r w:rsidRPr="007E5A4C">
              <w:rPr>
                <w:b/>
                <w:sz w:val="20"/>
                <w:szCs w:val="20"/>
              </w:rPr>
              <w:t>Important potential risks</w:t>
            </w:r>
          </w:p>
        </w:tc>
        <w:tc>
          <w:tcPr>
            <w:tcW w:w="2094" w:type="pct"/>
          </w:tcPr>
          <w:p w14:paraId="643D8FBF" w14:textId="77777777" w:rsidR="00B63F10" w:rsidRPr="007E5A4C" w:rsidRDefault="00B63F10" w:rsidP="007E5A4C">
            <w:pPr>
              <w:ind w:left="0" w:right="0"/>
              <w:rPr>
                <w:sz w:val="20"/>
                <w:szCs w:val="20"/>
              </w:rPr>
            </w:pPr>
            <w:r w:rsidRPr="007E5A4C">
              <w:rPr>
                <w:sz w:val="20"/>
                <w:szCs w:val="20"/>
              </w:rPr>
              <w:t>Vaccine-associated enhanced disease (VAED) including Vaccine-associated enhanced respiratory disease (VAERD)</w:t>
            </w:r>
          </w:p>
        </w:tc>
        <w:tc>
          <w:tcPr>
            <w:tcW w:w="562" w:type="pct"/>
          </w:tcPr>
          <w:p w14:paraId="28C08D0C" w14:textId="6D20EE11" w:rsidR="00B63F10" w:rsidRPr="007E5A4C" w:rsidRDefault="007E5A4C" w:rsidP="00C2014C">
            <w:pPr>
              <w:ind w:left="0" w:right="0"/>
              <w:jc w:val="center"/>
              <w:rPr>
                <w:sz w:val="20"/>
                <w:szCs w:val="20"/>
              </w:rPr>
            </w:pPr>
            <w:r w:rsidRPr="007E5A4C">
              <w:rPr>
                <w:rFonts w:ascii="Segoe UI Symbol" w:hAnsi="Segoe UI Symbol" w:cs="Segoe UI Symbol"/>
                <w:sz w:val="20"/>
                <w:szCs w:val="20"/>
              </w:rPr>
              <w:t>✓</w:t>
            </w:r>
            <w:r w:rsidR="00B63F10" w:rsidRPr="007E5A4C">
              <w:rPr>
                <w:sz w:val="20"/>
                <w:szCs w:val="20"/>
              </w:rPr>
              <w:t>†</w:t>
            </w:r>
          </w:p>
        </w:tc>
        <w:tc>
          <w:tcPr>
            <w:tcW w:w="562" w:type="pct"/>
          </w:tcPr>
          <w:p w14:paraId="7DEFC618" w14:textId="514723AA" w:rsidR="00B63F10" w:rsidRPr="007E5A4C" w:rsidRDefault="007E5A4C" w:rsidP="00C2014C">
            <w:pPr>
              <w:ind w:left="0" w:right="0"/>
              <w:jc w:val="center"/>
              <w:rPr>
                <w:sz w:val="20"/>
                <w:szCs w:val="20"/>
              </w:rPr>
            </w:pPr>
            <w:r w:rsidRPr="007E5A4C">
              <w:rPr>
                <w:rFonts w:ascii="Segoe UI Symbol" w:hAnsi="Segoe UI Symbol" w:cs="Segoe UI Symbol"/>
                <w:sz w:val="20"/>
                <w:szCs w:val="20"/>
              </w:rPr>
              <w:t>✓</w:t>
            </w:r>
            <w:r w:rsidR="00B63F10" w:rsidRPr="007E5A4C">
              <w:rPr>
                <w:sz w:val="20"/>
                <w:szCs w:val="20"/>
              </w:rPr>
              <w:t>*</w:t>
            </w:r>
          </w:p>
        </w:tc>
        <w:tc>
          <w:tcPr>
            <w:tcW w:w="460" w:type="pct"/>
          </w:tcPr>
          <w:p w14:paraId="728F8485" w14:textId="77777777" w:rsidR="00B63F10" w:rsidRPr="007E5A4C" w:rsidRDefault="00B63F10" w:rsidP="00C2014C">
            <w:pPr>
              <w:ind w:left="0" w:right="0"/>
              <w:jc w:val="center"/>
              <w:rPr>
                <w:sz w:val="20"/>
                <w:szCs w:val="20"/>
              </w:rPr>
            </w:pPr>
            <w:r w:rsidRPr="007E5A4C">
              <w:rPr>
                <w:sz w:val="20"/>
                <w:szCs w:val="20"/>
              </w:rPr>
              <w:t>–</w:t>
            </w:r>
          </w:p>
        </w:tc>
        <w:tc>
          <w:tcPr>
            <w:tcW w:w="562" w:type="pct"/>
          </w:tcPr>
          <w:p w14:paraId="06DBE1A0" w14:textId="77777777" w:rsidR="00B63F10" w:rsidRPr="007E5A4C" w:rsidRDefault="00B63F10" w:rsidP="00C2014C">
            <w:pPr>
              <w:ind w:left="0" w:right="0"/>
              <w:jc w:val="center"/>
              <w:rPr>
                <w:sz w:val="20"/>
                <w:szCs w:val="20"/>
              </w:rPr>
            </w:pPr>
            <w:r w:rsidRPr="007E5A4C">
              <w:rPr>
                <w:sz w:val="20"/>
                <w:szCs w:val="20"/>
              </w:rPr>
              <w:t>–</w:t>
            </w:r>
          </w:p>
        </w:tc>
      </w:tr>
      <w:tr w:rsidR="007E5A4C" w:rsidRPr="007E5A4C" w14:paraId="3F99EAE1" w14:textId="77777777" w:rsidTr="006063BE">
        <w:tc>
          <w:tcPr>
            <w:tcW w:w="760" w:type="pct"/>
            <w:vMerge w:val="restart"/>
          </w:tcPr>
          <w:p w14:paraId="7DA6817B" w14:textId="2C25BC38" w:rsidR="007E5A4C" w:rsidRPr="00121097" w:rsidRDefault="007E5A4C" w:rsidP="007E5A4C">
            <w:pPr>
              <w:ind w:left="0" w:right="0"/>
              <w:rPr>
                <w:b/>
                <w:sz w:val="20"/>
                <w:szCs w:val="20"/>
              </w:rPr>
            </w:pPr>
            <w:r w:rsidRPr="007E5A4C">
              <w:rPr>
                <w:b/>
                <w:sz w:val="20"/>
                <w:szCs w:val="20"/>
              </w:rPr>
              <w:t>Missing information</w:t>
            </w:r>
          </w:p>
        </w:tc>
        <w:tc>
          <w:tcPr>
            <w:tcW w:w="2094" w:type="pct"/>
          </w:tcPr>
          <w:p w14:paraId="77C237A7" w14:textId="77777777" w:rsidR="007E5A4C" w:rsidRPr="007E5A4C" w:rsidRDefault="007E5A4C" w:rsidP="007E5A4C">
            <w:pPr>
              <w:ind w:left="0" w:right="0"/>
              <w:rPr>
                <w:sz w:val="20"/>
                <w:szCs w:val="20"/>
              </w:rPr>
            </w:pPr>
            <w:r w:rsidRPr="007E5A4C">
              <w:rPr>
                <w:sz w:val="20"/>
                <w:szCs w:val="20"/>
              </w:rPr>
              <w:t>Use in pregnancy and while breast feeding</w:t>
            </w:r>
          </w:p>
        </w:tc>
        <w:tc>
          <w:tcPr>
            <w:tcW w:w="562" w:type="pct"/>
          </w:tcPr>
          <w:p w14:paraId="70DDF820" w14:textId="60EA2D8E"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0E84EA93" w14:textId="7CF3997B"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r w:rsidRPr="007E5A4C">
              <w:rPr>
                <w:sz w:val="20"/>
                <w:szCs w:val="20"/>
              </w:rPr>
              <w:t>*</w:t>
            </w:r>
          </w:p>
        </w:tc>
        <w:tc>
          <w:tcPr>
            <w:tcW w:w="460" w:type="pct"/>
          </w:tcPr>
          <w:p w14:paraId="1C27C220" w14:textId="40E70868"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3C4F0C5C" w14:textId="77777777" w:rsidR="007E5A4C" w:rsidRPr="007E5A4C" w:rsidRDefault="007E5A4C" w:rsidP="00C2014C">
            <w:pPr>
              <w:ind w:left="0" w:right="0"/>
              <w:jc w:val="center"/>
              <w:rPr>
                <w:sz w:val="20"/>
                <w:szCs w:val="20"/>
              </w:rPr>
            </w:pPr>
            <w:r w:rsidRPr="007E5A4C">
              <w:rPr>
                <w:sz w:val="20"/>
                <w:szCs w:val="20"/>
              </w:rPr>
              <w:t>–</w:t>
            </w:r>
          </w:p>
        </w:tc>
      </w:tr>
      <w:tr w:rsidR="007E5A4C" w:rsidRPr="007E5A4C" w14:paraId="33300FE5" w14:textId="77777777" w:rsidTr="006063BE">
        <w:tc>
          <w:tcPr>
            <w:tcW w:w="760" w:type="pct"/>
            <w:vMerge/>
          </w:tcPr>
          <w:p w14:paraId="0ED4A231" w14:textId="5019149D" w:rsidR="007E5A4C" w:rsidRPr="007E5A4C" w:rsidRDefault="007E5A4C" w:rsidP="007E5A4C">
            <w:pPr>
              <w:ind w:left="0" w:right="0"/>
              <w:rPr>
                <w:sz w:val="20"/>
                <w:szCs w:val="20"/>
              </w:rPr>
            </w:pPr>
          </w:p>
        </w:tc>
        <w:tc>
          <w:tcPr>
            <w:tcW w:w="2094" w:type="pct"/>
          </w:tcPr>
          <w:p w14:paraId="0E5EED39" w14:textId="77777777" w:rsidR="007E5A4C" w:rsidRPr="007E5A4C" w:rsidRDefault="007E5A4C" w:rsidP="007E5A4C">
            <w:pPr>
              <w:ind w:left="0" w:right="0"/>
              <w:rPr>
                <w:sz w:val="20"/>
                <w:szCs w:val="20"/>
              </w:rPr>
            </w:pPr>
            <w:r w:rsidRPr="007E5A4C">
              <w:rPr>
                <w:sz w:val="20"/>
                <w:szCs w:val="20"/>
              </w:rPr>
              <w:t>Use in immunocompromised patients</w:t>
            </w:r>
          </w:p>
        </w:tc>
        <w:tc>
          <w:tcPr>
            <w:tcW w:w="562" w:type="pct"/>
          </w:tcPr>
          <w:p w14:paraId="6ABF58C1" w14:textId="06B1275C"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49BCD508" w14:textId="4C419647"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r w:rsidRPr="007E5A4C">
              <w:rPr>
                <w:sz w:val="20"/>
                <w:szCs w:val="20"/>
              </w:rPr>
              <w:t>*</w:t>
            </w:r>
          </w:p>
        </w:tc>
        <w:tc>
          <w:tcPr>
            <w:tcW w:w="460" w:type="pct"/>
          </w:tcPr>
          <w:p w14:paraId="6C45637A" w14:textId="5487EB34"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3D063BC7" w14:textId="77777777" w:rsidR="007E5A4C" w:rsidRPr="007E5A4C" w:rsidRDefault="007E5A4C" w:rsidP="00C2014C">
            <w:pPr>
              <w:ind w:left="0" w:right="0"/>
              <w:jc w:val="center"/>
              <w:rPr>
                <w:sz w:val="20"/>
                <w:szCs w:val="20"/>
              </w:rPr>
            </w:pPr>
            <w:r w:rsidRPr="007E5A4C">
              <w:rPr>
                <w:sz w:val="20"/>
                <w:szCs w:val="20"/>
              </w:rPr>
              <w:t>–</w:t>
            </w:r>
          </w:p>
        </w:tc>
      </w:tr>
      <w:tr w:rsidR="007E5A4C" w:rsidRPr="007E5A4C" w14:paraId="5B58FC9E" w14:textId="77777777" w:rsidTr="006063BE">
        <w:tc>
          <w:tcPr>
            <w:tcW w:w="760" w:type="pct"/>
            <w:vMerge/>
          </w:tcPr>
          <w:p w14:paraId="55DE8C6C" w14:textId="7444BA43" w:rsidR="007E5A4C" w:rsidRPr="007E5A4C" w:rsidRDefault="007E5A4C" w:rsidP="007E5A4C">
            <w:pPr>
              <w:ind w:left="0" w:right="0"/>
              <w:rPr>
                <w:sz w:val="20"/>
                <w:szCs w:val="20"/>
              </w:rPr>
            </w:pPr>
          </w:p>
        </w:tc>
        <w:tc>
          <w:tcPr>
            <w:tcW w:w="2094" w:type="pct"/>
          </w:tcPr>
          <w:p w14:paraId="55BDE8F8" w14:textId="77777777" w:rsidR="007E5A4C" w:rsidRPr="007E5A4C" w:rsidRDefault="007E5A4C" w:rsidP="007E5A4C">
            <w:pPr>
              <w:ind w:left="0" w:right="0"/>
              <w:rPr>
                <w:sz w:val="20"/>
                <w:szCs w:val="20"/>
              </w:rPr>
            </w:pPr>
            <w:r w:rsidRPr="007E5A4C">
              <w:rPr>
                <w:sz w:val="20"/>
                <w:szCs w:val="20"/>
              </w:rPr>
              <w:t>Use in frail patients with co-morbidities (</w:t>
            </w:r>
            <w:proofErr w:type="gramStart"/>
            <w:r w:rsidRPr="007E5A4C">
              <w:rPr>
                <w:sz w:val="20"/>
                <w:szCs w:val="20"/>
              </w:rPr>
              <w:t>e.g.</w:t>
            </w:r>
            <w:proofErr w:type="gramEnd"/>
            <w:r w:rsidRPr="007E5A4C">
              <w:rPr>
                <w:sz w:val="20"/>
                <w:szCs w:val="20"/>
              </w:rPr>
              <w:t xml:space="preserve"> chronic obstructive pulmonary disease (COPD), diabetes, chronic neurological disease, cardiovascular disorders)</w:t>
            </w:r>
          </w:p>
        </w:tc>
        <w:tc>
          <w:tcPr>
            <w:tcW w:w="562" w:type="pct"/>
          </w:tcPr>
          <w:p w14:paraId="719F54D9" w14:textId="72B7337E"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0886F21C" w14:textId="721451D8"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r w:rsidRPr="007E5A4C">
              <w:rPr>
                <w:sz w:val="20"/>
                <w:szCs w:val="20"/>
              </w:rPr>
              <w:t>*</w:t>
            </w:r>
          </w:p>
        </w:tc>
        <w:tc>
          <w:tcPr>
            <w:tcW w:w="460" w:type="pct"/>
          </w:tcPr>
          <w:p w14:paraId="3C02D797" w14:textId="55C57F1C" w:rsidR="007E5A4C" w:rsidRPr="007E5A4C" w:rsidRDefault="007E5A4C" w:rsidP="00C2014C">
            <w:pPr>
              <w:ind w:left="0" w:right="0"/>
              <w:jc w:val="center"/>
              <w:rPr>
                <w:sz w:val="20"/>
                <w:szCs w:val="20"/>
              </w:rPr>
            </w:pPr>
            <w:r w:rsidRPr="007E5A4C">
              <w:rPr>
                <w:rFonts w:ascii="Segoe UI Symbol" w:hAnsi="Segoe UI Symbol" w:cs="Segoe UI Symbol"/>
                <w:sz w:val="20"/>
                <w:szCs w:val="20"/>
              </w:rPr>
              <w:t>✓</w:t>
            </w:r>
          </w:p>
        </w:tc>
        <w:tc>
          <w:tcPr>
            <w:tcW w:w="562" w:type="pct"/>
          </w:tcPr>
          <w:p w14:paraId="54159744" w14:textId="77777777" w:rsidR="007E5A4C" w:rsidRPr="007E5A4C" w:rsidRDefault="007E5A4C" w:rsidP="00C2014C">
            <w:pPr>
              <w:ind w:left="0" w:right="0"/>
              <w:jc w:val="center"/>
              <w:rPr>
                <w:sz w:val="20"/>
                <w:szCs w:val="20"/>
              </w:rPr>
            </w:pPr>
            <w:r w:rsidRPr="007E5A4C">
              <w:rPr>
                <w:sz w:val="20"/>
                <w:szCs w:val="20"/>
              </w:rPr>
              <w:t>–</w:t>
            </w:r>
          </w:p>
        </w:tc>
      </w:tr>
      <w:tr w:rsidR="007E5A4C" w:rsidRPr="007E5A4C" w14:paraId="2510AA5E" w14:textId="77777777" w:rsidTr="006063BE">
        <w:tc>
          <w:tcPr>
            <w:tcW w:w="760" w:type="pct"/>
            <w:vMerge/>
          </w:tcPr>
          <w:p w14:paraId="7FE02F55" w14:textId="4493FCB6" w:rsidR="007E5A4C" w:rsidRPr="007E5A4C" w:rsidRDefault="007E5A4C" w:rsidP="007E5A4C">
            <w:pPr>
              <w:ind w:left="0" w:right="0"/>
              <w:rPr>
                <w:sz w:val="20"/>
                <w:szCs w:val="20"/>
              </w:rPr>
            </w:pPr>
          </w:p>
        </w:tc>
        <w:tc>
          <w:tcPr>
            <w:tcW w:w="2094" w:type="pct"/>
          </w:tcPr>
          <w:p w14:paraId="5684CC55" w14:textId="77777777" w:rsidR="007E5A4C" w:rsidRPr="007E5A4C" w:rsidRDefault="007E5A4C" w:rsidP="007E5A4C">
            <w:pPr>
              <w:ind w:left="0" w:right="0"/>
              <w:rPr>
                <w:sz w:val="20"/>
                <w:szCs w:val="20"/>
              </w:rPr>
            </w:pPr>
            <w:r w:rsidRPr="007E5A4C">
              <w:rPr>
                <w:sz w:val="20"/>
                <w:szCs w:val="20"/>
              </w:rPr>
              <w:t>Use in patients with autoimmune or inflammatory disorders</w:t>
            </w:r>
          </w:p>
        </w:tc>
        <w:tc>
          <w:tcPr>
            <w:tcW w:w="562" w:type="pct"/>
          </w:tcPr>
          <w:p w14:paraId="3F9FCDD8" w14:textId="169C072C" w:rsidR="007E5A4C" w:rsidRPr="007E5A4C" w:rsidRDefault="00C2014C" w:rsidP="00C2014C">
            <w:pPr>
              <w:ind w:left="0" w:right="0"/>
              <w:jc w:val="center"/>
              <w:rPr>
                <w:sz w:val="20"/>
                <w:szCs w:val="20"/>
              </w:rPr>
            </w:pPr>
            <w:r w:rsidRPr="00C2014C">
              <w:rPr>
                <w:rFonts w:ascii="Segoe UI Symbol" w:hAnsi="Segoe UI Symbol" w:cs="Segoe UI Symbol"/>
                <w:sz w:val="20"/>
                <w:szCs w:val="20"/>
              </w:rPr>
              <w:t>✓</w:t>
            </w:r>
          </w:p>
        </w:tc>
        <w:tc>
          <w:tcPr>
            <w:tcW w:w="562" w:type="pct"/>
          </w:tcPr>
          <w:p w14:paraId="70A89FB2" w14:textId="651F9E42" w:rsidR="007E5A4C" w:rsidRPr="007E5A4C" w:rsidRDefault="00C2014C" w:rsidP="00C2014C">
            <w:pPr>
              <w:ind w:left="0" w:right="0"/>
              <w:jc w:val="center"/>
              <w:rPr>
                <w:sz w:val="20"/>
                <w:szCs w:val="20"/>
              </w:rPr>
            </w:pPr>
            <w:r w:rsidRPr="00C2014C">
              <w:rPr>
                <w:rFonts w:ascii="Segoe UI Symbol" w:hAnsi="Segoe UI Symbol" w:cs="Segoe UI Symbol"/>
                <w:sz w:val="20"/>
                <w:szCs w:val="20"/>
              </w:rPr>
              <w:t>✓</w:t>
            </w:r>
            <w:r w:rsidR="007E5A4C" w:rsidRPr="007E5A4C">
              <w:rPr>
                <w:sz w:val="20"/>
                <w:szCs w:val="20"/>
              </w:rPr>
              <w:t>*</w:t>
            </w:r>
          </w:p>
        </w:tc>
        <w:tc>
          <w:tcPr>
            <w:tcW w:w="460" w:type="pct"/>
          </w:tcPr>
          <w:p w14:paraId="100373C4" w14:textId="77777777" w:rsidR="007E5A4C" w:rsidRPr="007E5A4C" w:rsidRDefault="007E5A4C" w:rsidP="00C2014C">
            <w:pPr>
              <w:ind w:left="0" w:right="0"/>
              <w:jc w:val="center"/>
              <w:rPr>
                <w:sz w:val="20"/>
                <w:szCs w:val="20"/>
              </w:rPr>
            </w:pPr>
            <w:r w:rsidRPr="007E5A4C">
              <w:rPr>
                <w:sz w:val="20"/>
                <w:szCs w:val="20"/>
              </w:rPr>
              <w:t>–</w:t>
            </w:r>
          </w:p>
        </w:tc>
        <w:tc>
          <w:tcPr>
            <w:tcW w:w="562" w:type="pct"/>
          </w:tcPr>
          <w:p w14:paraId="6F7CE2AB" w14:textId="77777777" w:rsidR="007E5A4C" w:rsidRPr="007E5A4C" w:rsidRDefault="007E5A4C" w:rsidP="00C2014C">
            <w:pPr>
              <w:ind w:left="0" w:right="0"/>
              <w:jc w:val="center"/>
              <w:rPr>
                <w:sz w:val="20"/>
                <w:szCs w:val="20"/>
              </w:rPr>
            </w:pPr>
            <w:r w:rsidRPr="007E5A4C">
              <w:rPr>
                <w:sz w:val="20"/>
                <w:szCs w:val="20"/>
              </w:rPr>
              <w:t>–</w:t>
            </w:r>
          </w:p>
        </w:tc>
      </w:tr>
      <w:tr w:rsidR="007E5A4C" w:rsidRPr="007E5A4C" w14:paraId="046DB30E" w14:textId="77777777" w:rsidTr="006063BE">
        <w:tc>
          <w:tcPr>
            <w:tcW w:w="760" w:type="pct"/>
            <w:vMerge/>
          </w:tcPr>
          <w:p w14:paraId="0B648F86" w14:textId="770AFC21" w:rsidR="007E5A4C" w:rsidRPr="007E5A4C" w:rsidRDefault="007E5A4C" w:rsidP="007E5A4C">
            <w:pPr>
              <w:ind w:left="0" w:right="0"/>
              <w:rPr>
                <w:sz w:val="20"/>
                <w:szCs w:val="20"/>
              </w:rPr>
            </w:pPr>
          </w:p>
        </w:tc>
        <w:tc>
          <w:tcPr>
            <w:tcW w:w="2094" w:type="pct"/>
          </w:tcPr>
          <w:p w14:paraId="2BE2C413" w14:textId="77777777" w:rsidR="007E5A4C" w:rsidRPr="007E5A4C" w:rsidRDefault="007E5A4C" w:rsidP="007E5A4C">
            <w:pPr>
              <w:ind w:left="0" w:right="0"/>
              <w:rPr>
                <w:sz w:val="20"/>
                <w:szCs w:val="20"/>
              </w:rPr>
            </w:pPr>
            <w:r w:rsidRPr="007E5A4C">
              <w:rPr>
                <w:sz w:val="20"/>
                <w:szCs w:val="20"/>
              </w:rPr>
              <w:t>Interaction with other vaccines</w:t>
            </w:r>
          </w:p>
        </w:tc>
        <w:tc>
          <w:tcPr>
            <w:tcW w:w="562" w:type="pct"/>
          </w:tcPr>
          <w:p w14:paraId="3588CFD0" w14:textId="242A161C" w:rsidR="007E5A4C" w:rsidRPr="007E5A4C" w:rsidRDefault="00C2014C" w:rsidP="00C2014C">
            <w:pPr>
              <w:ind w:left="0" w:right="0"/>
              <w:jc w:val="center"/>
              <w:rPr>
                <w:sz w:val="20"/>
                <w:szCs w:val="20"/>
              </w:rPr>
            </w:pPr>
            <w:r w:rsidRPr="00C2014C">
              <w:rPr>
                <w:rFonts w:ascii="Segoe UI Symbol" w:hAnsi="Segoe UI Symbol" w:cs="Segoe UI Symbol"/>
                <w:sz w:val="20"/>
                <w:szCs w:val="20"/>
              </w:rPr>
              <w:t>✓</w:t>
            </w:r>
          </w:p>
        </w:tc>
        <w:tc>
          <w:tcPr>
            <w:tcW w:w="562" w:type="pct"/>
          </w:tcPr>
          <w:p w14:paraId="5C994044" w14:textId="5DE539A0" w:rsidR="007E5A4C" w:rsidRPr="007E5A4C" w:rsidRDefault="00C2014C" w:rsidP="00C2014C">
            <w:pPr>
              <w:ind w:left="0" w:right="0"/>
              <w:jc w:val="center"/>
              <w:rPr>
                <w:sz w:val="20"/>
                <w:szCs w:val="20"/>
              </w:rPr>
            </w:pPr>
            <w:r w:rsidRPr="00C2014C">
              <w:rPr>
                <w:rFonts w:ascii="Segoe UI Symbol" w:hAnsi="Segoe UI Symbol" w:cs="Segoe UI Symbol"/>
                <w:sz w:val="20"/>
                <w:szCs w:val="20"/>
              </w:rPr>
              <w:t>✓</w:t>
            </w:r>
            <w:r w:rsidR="007E5A4C" w:rsidRPr="007E5A4C">
              <w:rPr>
                <w:sz w:val="20"/>
                <w:szCs w:val="20"/>
              </w:rPr>
              <w:t>*</w:t>
            </w:r>
          </w:p>
        </w:tc>
        <w:tc>
          <w:tcPr>
            <w:tcW w:w="460" w:type="pct"/>
          </w:tcPr>
          <w:p w14:paraId="7E436B82" w14:textId="416C3879" w:rsidR="007E5A4C" w:rsidRPr="007E5A4C" w:rsidRDefault="00C2014C" w:rsidP="00C2014C">
            <w:pPr>
              <w:ind w:left="0" w:right="0"/>
              <w:jc w:val="center"/>
              <w:rPr>
                <w:sz w:val="20"/>
                <w:szCs w:val="20"/>
              </w:rPr>
            </w:pPr>
            <w:r w:rsidRPr="00C2014C">
              <w:rPr>
                <w:rFonts w:ascii="Segoe UI Symbol" w:hAnsi="Segoe UI Symbol" w:cs="Segoe UI Symbol"/>
                <w:sz w:val="20"/>
                <w:szCs w:val="20"/>
              </w:rPr>
              <w:t>✓</w:t>
            </w:r>
          </w:p>
        </w:tc>
        <w:tc>
          <w:tcPr>
            <w:tcW w:w="562" w:type="pct"/>
          </w:tcPr>
          <w:p w14:paraId="7B804F43" w14:textId="77777777" w:rsidR="007E5A4C" w:rsidRPr="007E5A4C" w:rsidRDefault="007E5A4C" w:rsidP="00C2014C">
            <w:pPr>
              <w:ind w:left="0" w:right="0"/>
              <w:jc w:val="center"/>
              <w:rPr>
                <w:sz w:val="20"/>
                <w:szCs w:val="20"/>
              </w:rPr>
            </w:pPr>
            <w:r w:rsidRPr="007E5A4C">
              <w:rPr>
                <w:sz w:val="20"/>
                <w:szCs w:val="20"/>
              </w:rPr>
              <w:t>–</w:t>
            </w:r>
          </w:p>
        </w:tc>
      </w:tr>
      <w:tr w:rsidR="007E5A4C" w:rsidRPr="007E5A4C" w14:paraId="18B27C78" w14:textId="77777777" w:rsidTr="006063BE">
        <w:tc>
          <w:tcPr>
            <w:tcW w:w="760" w:type="pct"/>
            <w:vMerge/>
          </w:tcPr>
          <w:p w14:paraId="7F7AE158" w14:textId="347D8C39" w:rsidR="007E5A4C" w:rsidRPr="007E5A4C" w:rsidRDefault="007E5A4C" w:rsidP="007E5A4C">
            <w:pPr>
              <w:ind w:left="0" w:right="0"/>
              <w:rPr>
                <w:sz w:val="20"/>
                <w:szCs w:val="20"/>
              </w:rPr>
            </w:pPr>
          </w:p>
        </w:tc>
        <w:tc>
          <w:tcPr>
            <w:tcW w:w="2094" w:type="pct"/>
          </w:tcPr>
          <w:p w14:paraId="2823F531" w14:textId="77777777" w:rsidR="007E5A4C" w:rsidRPr="007E5A4C" w:rsidRDefault="007E5A4C" w:rsidP="007E5A4C">
            <w:pPr>
              <w:ind w:left="0" w:right="0"/>
              <w:rPr>
                <w:sz w:val="20"/>
                <w:szCs w:val="20"/>
              </w:rPr>
            </w:pPr>
            <w:r w:rsidRPr="007E5A4C">
              <w:rPr>
                <w:sz w:val="20"/>
                <w:szCs w:val="20"/>
              </w:rPr>
              <w:t>Long term safety data</w:t>
            </w:r>
          </w:p>
        </w:tc>
        <w:tc>
          <w:tcPr>
            <w:tcW w:w="562" w:type="pct"/>
          </w:tcPr>
          <w:p w14:paraId="068214F9" w14:textId="75A8101A" w:rsidR="007E5A4C" w:rsidRPr="007E5A4C" w:rsidRDefault="00C2014C" w:rsidP="00C2014C">
            <w:pPr>
              <w:ind w:left="0" w:right="0"/>
              <w:jc w:val="center"/>
              <w:rPr>
                <w:sz w:val="20"/>
                <w:szCs w:val="20"/>
              </w:rPr>
            </w:pPr>
            <w:r w:rsidRPr="00C2014C">
              <w:rPr>
                <w:rFonts w:ascii="Segoe UI Symbol" w:hAnsi="Segoe UI Symbol" w:cs="Segoe UI Symbol"/>
                <w:sz w:val="20"/>
                <w:szCs w:val="20"/>
              </w:rPr>
              <w:t>✓</w:t>
            </w:r>
          </w:p>
        </w:tc>
        <w:tc>
          <w:tcPr>
            <w:tcW w:w="562" w:type="pct"/>
          </w:tcPr>
          <w:p w14:paraId="476B4276" w14:textId="0C762D9B" w:rsidR="007E5A4C" w:rsidRPr="007E5A4C" w:rsidRDefault="00C2014C" w:rsidP="00C2014C">
            <w:pPr>
              <w:ind w:left="0" w:right="0"/>
              <w:jc w:val="center"/>
              <w:rPr>
                <w:sz w:val="20"/>
                <w:szCs w:val="20"/>
              </w:rPr>
            </w:pPr>
            <w:r w:rsidRPr="00C2014C">
              <w:rPr>
                <w:rFonts w:ascii="Segoe UI Symbol" w:hAnsi="Segoe UI Symbol" w:cs="Segoe UI Symbol"/>
                <w:sz w:val="20"/>
                <w:szCs w:val="20"/>
              </w:rPr>
              <w:t>✓</w:t>
            </w:r>
            <w:r w:rsidR="007E5A4C" w:rsidRPr="007E5A4C">
              <w:rPr>
                <w:sz w:val="20"/>
                <w:szCs w:val="20"/>
              </w:rPr>
              <w:t>*</w:t>
            </w:r>
          </w:p>
        </w:tc>
        <w:tc>
          <w:tcPr>
            <w:tcW w:w="460" w:type="pct"/>
          </w:tcPr>
          <w:p w14:paraId="78E196EF" w14:textId="77777777" w:rsidR="007E5A4C" w:rsidRPr="007E5A4C" w:rsidRDefault="007E5A4C" w:rsidP="00C2014C">
            <w:pPr>
              <w:ind w:left="0" w:right="0"/>
              <w:jc w:val="center"/>
              <w:rPr>
                <w:sz w:val="20"/>
                <w:szCs w:val="20"/>
              </w:rPr>
            </w:pPr>
            <w:r w:rsidRPr="007E5A4C">
              <w:rPr>
                <w:sz w:val="20"/>
                <w:szCs w:val="20"/>
              </w:rPr>
              <w:t>–</w:t>
            </w:r>
          </w:p>
        </w:tc>
        <w:tc>
          <w:tcPr>
            <w:tcW w:w="562" w:type="pct"/>
          </w:tcPr>
          <w:p w14:paraId="01684883" w14:textId="77777777" w:rsidR="007E5A4C" w:rsidRPr="007E5A4C" w:rsidRDefault="007E5A4C" w:rsidP="00C2014C">
            <w:pPr>
              <w:ind w:left="0" w:right="0"/>
              <w:jc w:val="center"/>
              <w:rPr>
                <w:sz w:val="20"/>
                <w:szCs w:val="20"/>
              </w:rPr>
            </w:pPr>
          </w:p>
        </w:tc>
      </w:tr>
    </w:tbl>
    <w:p w14:paraId="2D0F29D9" w14:textId="5CD6B94D" w:rsidR="007E5A4C" w:rsidRPr="007E5A4C" w:rsidRDefault="007E5A4C" w:rsidP="007E5A4C">
      <w:pPr>
        <w:pStyle w:val="TableDescription"/>
      </w:pPr>
      <w:r w:rsidRPr="007E5A4C">
        <w:t>†</w:t>
      </w:r>
      <w:r>
        <w:t xml:space="preserve"> </w:t>
      </w:r>
      <w:r w:rsidRPr="007E5A4C">
        <w:t>Data capture Aid (Adverse drug reaction follow-up forms)</w:t>
      </w:r>
    </w:p>
    <w:p w14:paraId="0C78FC11" w14:textId="7833B293" w:rsidR="00B63F10" w:rsidRDefault="007E5A4C" w:rsidP="007E5A4C">
      <w:pPr>
        <w:pStyle w:val="TableDescription"/>
      </w:pPr>
      <w:r w:rsidRPr="007E5A4C">
        <w:t>*</w:t>
      </w:r>
      <w:r>
        <w:t xml:space="preserve"> </w:t>
      </w:r>
      <w:r w:rsidRPr="007E5A4C">
        <w:t>Clinical trial</w:t>
      </w:r>
    </w:p>
    <w:p w14:paraId="4CC5333D" w14:textId="6E75F168" w:rsidR="00DC2992" w:rsidRPr="001E0AB7" w:rsidRDefault="00DC2992" w:rsidP="001E0AB7">
      <w:r w:rsidRPr="001E0AB7">
        <w:t xml:space="preserve">The pharmacovigilance plan was deemed acceptable during the previous evaluations and continues to be acceptable for the current submission. The acceptability of the clinical study plan </w:t>
      </w:r>
      <w:r w:rsidR="001E0AB7">
        <w:t>was assessed by the D</w:t>
      </w:r>
      <w:r w:rsidRPr="001E0AB7">
        <w:t>elegate.</w:t>
      </w:r>
    </w:p>
    <w:p w14:paraId="72569FC5" w14:textId="7DCAF003" w:rsidR="00DC2992" w:rsidRPr="001E0AB7" w:rsidRDefault="00DC2992" w:rsidP="001E0AB7">
      <w:r w:rsidRPr="001E0AB7">
        <w:t>Only routine risk minimisation measures are proposed by the sponsor. This approach was deemed acceptable during the previous evaluations. The changes proposed by the current submission are not expected to require additional risk minimisation measures as part of the</w:t>
      </w:r>
      <w:r w:rsidR="001E0AB7">
        <w:t xml:space="preserve"> RMP.</w:t>
      </w:r>
    </w:p>
    <w:p w14:paraId="29847A83" w14:textId="77777777" w:rsidR="008E7846" w:rsidRDefault="00AA0ED0" w:rsidP="008E7846">
      <w:pPr>
        <w:pStyle w:val="Heading3"/>
      </w:pPr>
      <w:bookmarkStart w:id="94" w:name="_Toc115349606"/>
      <w:r>
        <w:t>Risk-benefit a</w:t>
      </w:r>
      <w:r w:rsidR="008E7846">
        <w:t>nalysis</w:t>
      </w:r>
      <w:bookmarkEnd w:id="89"/>
      <w:bookmarkEnd w:id="90"/>
      <w:bookmarkEnd w:id="94"/>
    </w:p>
    <w:p w14:paraId="5A5CB168" w14:textId="39CD309D" w:rsidR="0074163C" w:rsidRDefault="0074163C" w:rsidP="0074163C">
      <w:pPr>
        <w:pStyle w:val="Heading4"/>
      </w:pPr>
      <w:bookmarkStart w:id="95" w:name="_Toc98931932"/>
      <w:r>
        <w:t>Delegate’s considerations</w:t>
      </w:r>
      <w:bookmarkEnd w:id="95"/>
    </w:p>
    <w:p w14:paraId="2233BA9E" w14:textId="0FD4C7FD" w:rsidR="001168CC" w:rsidRDefault="001168CC" w:rsidP="0005547E">
      <w:pPr>
        <w:pStyle w:val="Heading5"/>
      </w:pPr>
      <w:r>
        <w:t>Immunogenicity/</w:t>
      </w:r>
      <w:r w:rsidR="0005547E">
        <w:t>efficacy</w:t>
      </w:r>
    </w:p>
    <w:p w14:paraId="358AFAAB" w14:textId="62EBE8F3" w:rsidR="001168CC" w:rsidRDefault="001168CC" w:rsidP="001168CC">
      <w:pPr>
        <w:rPr>
          <w:lang w:val="en-GB" w:eastAsia="ja-JP"/>
        </w:rPr>
      </w:pPr>
      <w:r w:rsidRPr="007837C5">
        <w:rPr>
          <w:lang w:eastAsia="ja-JP"/>
        </w:rPr>
        <w:t xml:space="preserve">Data provided to support the proposed booster (third) dose of </w:t>
      </w:r>
      <w:r w:rsidR="0005547E">
        <w:t xml:space="preserve">Comirnaty (tozinameran) vaccine </w:t>
      </w:r>
      <w:r w:rsidR="0005547E">
        <w:rPr>
          <w:lang w:eastAsia="ja-JP"/>
        </w:rPr>
        <w:t xml:space="preserve">10 </w:t>
      </w:r>
      <w:proofErr w:type="spellStart"/>
      <w:r w:rsidR="0005547E">
        <w:rPr>
          <w:lang w:eastAsia="ja-JP"/>
        </w:rPr>
        <w:t>μg</w:t>
      </w:r>
      <w:proofErr w:type="spellEnd"/>
      <w:r w:rsidR="0005547E">
        <w:rPr>
          <w:lang w:eastAsia="ja-JP"/>
        </w:rPr>
        <w:t xml:space="preserve"> in children aged 5 to under </w:t>
      </w:r>
      <w:r w:rsidRPr="007837C5">
        <w:rPr>
          <w:lang w:eastAsia="ja-JP"/>
        </w:rPr>
        <w:t>12 years comprise</w:t>
      </w:r>
      <w:r w:rsidR="0005547E">
        <w:rPr>
          <w:lang w:eastAsia="ja-JP"/>
        </w:rPr>
        <w:t xml:space="preserve"> of</w:t>
      </w:r>
      <w:r w:rsidRPr="007837C5">
        <w:rPr>
          <w:lang w:eastAsia="ja-JP"/>
        </w:rPr>
        <w:t xml:space="preserve"> immunogenicity data in a subset of children </w:t>
      </w:r>
      <w:r w:rsidR="0005547E">
        <w:rPr>
          <w:lang w:eastAsia="ja-JP"/>
        </w:rPr>
        <w:t>aged 5 to under 12 years in the ongoing Phase II/III</w:t>
      </w:r>
      <w:r w:rsidRPr="007837C5">
        <w:rPr>
          <w:lang w:eastAsia="ja-JP"/>
        </w:rPr>
        <w:t xml:space="preserve"> </w:t>
      </w:r>
      <w:bookmarkStart w:id="96" w:name="_Hlk111375594"/>
      <w:r w:rsidRPr="007837C5">
        <w:rPr>
          <w:lang w:eastAsia="ja-JP"/>
        </w:rPr>
        <w:t>Study C4591007</w:t>
      </w:r>
      <w:bookmarkEnd w:id="96"/>
      <w:r>
        <w:rPr>
          <w:lang w:eastAsia="ja-JP"/>
        </w:rPr>
        <w:t>.</w:t>
      </w:r>
      <w:r w:rsidRPr="007837C5">
        <w:rPr>
          <w:lang w:eastAsia="ja-JP"/>
        </w:rPr>
        <w:t xml:space="preserve"> </w:t>
      </w:r>
      <w:r w:rsidRPr="007837C5">
        <w:rPr>
          <w:lang w:eastAsia="ja-JP"/>
        </w:rPr>
        <w:lastRenderedPageBreak/>
        <w:t xml:space="preserve">The secondary immunogenicity objective was to assess immune responses elicited by </w:t>
      </w:r>
      <w:r w:rsidR="0005547E">
        <w:t xml:space="preserve">Comirnaty (tozinameran) </w:t>
      </w:r>
      <w:r w:rsidRPr="007837C5">
        <w:rPr>
          <w:lang w:eastAsia="ja-JP"/>
        </w:rPr>
        <w:t xml:space="preserve">10 </w:t>
      </w:r>
      <w:proofErr w:type="spellStart"/>
      <w:r w:rsidRPr="007837C5">
        <w:rPr>
          <w:lang w:eastAsia="ja-JP"/>
        </w:rPr>
        <w:t>μg</w:t>
      </w:r>
      <w:proofErr w:type="spellEnd"/>
      <w:r w:rsidRPr="007837C5">
        <w:rPr>
          <w:lang w:eastAsia="ja-JP"/>
        </w:rPr>
        <w:t xml:space="preserve"> in participants without serological or virological evidence of past SARS-CoV-2 infection.</w:t>
      </w:r>
      <w:r w:rsidRPr="00374F52">
        <w:rPr>
          <w:rFonts w:ascii="Verdana" w:eastAsia="SimSun" w:hAnsi="Verdana"/>
          <w:sz w:val="18"/>
          <w:szCs w:val="18"/>
          <w:lang w:val="en-GB" w:eastAsia="en-GB"/>
        </w:rPr>
        <w:t xml:space="preserve"> </w:t>
      </w:r>
      <w:r w:rsidRPr="00C60197">
        <w:rPr>
          <w:lang w:val="en-GB" w:eastAsia="ja-JP"/>
        </w:rPr>
        <w:t xml:space="preserve">The basis of demonstrating </w:t>
      </w:r>
      <w:r w:rsidR="0005547E">
        <w:t>Comirnaty (tozinameran)</w:t>
      </w:r>
      <w:r w:rsidRPr="00C60197">
        <w:rPr>
          <w:lang w:val="en-GB" w:eastAsia="ja-JP"/>
        </w:rPr>
        <w:t xml:space="preserve"> effectiveness in children is immune response data which is considered acceptable.</w:t>
      </w:r>
    </w:p>
    <w:p w14:paraId="2FBF3F99" w14:textId="243A31CA" w:rsidR="001168CC" w:rsidRDefault="001168CC" w:rsidP="001168CC">
      <w:pPr>
        <w:rPr>
          <w:iCs/>
          <w:lang w:eastAsia="ja-JP"/>
        </w:rPr>
      </w:pPr>
      <w:r>
        <w:rPr>
          <w:lang w:eastAsia="ja-JP"/>
        </w:rPr>
        <w:t>T</w:t>
      </w:r>
      <w:r w:rsidRPr="002256B7">
        <w:rPr>
          <w:lang w:eastAsia="ja-JP"/>
        </w:rPr>
        <w:t>he number of participants with a bl</w:t>
      </w:r>
      <w:r w:rsidR="0005547E">
        <w:rPr>
          <w:lang w:eastAsia="ja-JP"/>
        </w:rPr>
        <w:t xml:space="preserve">ood sample collection at </w:t>
      </w:r>
      <w:proofErr w:type="gramStart"/>
      <w:r w:rsidR="0005547E">
        <w:rPr>
          <w:lang w:eastAsia="ja-JP"/>
        </w:rPr>
        <w:t xml:space="preserve">one </w:t>
      </w:r>
      <w:r w:rsidRPr="002256B7">
        <w:rPr>
          <w:lang w:eastAsia="ja-JP"/>
        </w:rPr>
        <w:t>month</w:t>
      </w:r>
      <w:proofErr w:type="gramEnd"/>
      <w:r w:rsidRPr="002256B7">
        <w:rPr>
          <w:lang w:eastAsia="ja-JP"/>
        </w:rPr>
        <w:t xml:space="preserve"> post-Dose 2 was limited, with the Sponsor including add</w:t>
      </w:r>
      <w:r w:rsidR="0005547E">
        <w:rPr>
          <w:lang w:eastAsia="ja-JP"/>
        </w:rPr>
        <w:t xml:space="preserve">itional participants from the 2 </w:t>
      </w:r>
      <w:r w:rsidRPr="002256B7">
        <w:rPr>
          <w:lang w:eastAsia="ja-JP"/>
        </w:rPr>
        <w:t xml:space="preserve">dose set to ensure sufficient post-Dose 2 data for analyses. </w:t>
      </w:r>
      <w:r w:rsidRPr="00C60197">
        <w:rPr>
          <w:lang w:eastAsia="ja-JP"/>
        </w:rPr>
        <w:t>Immunogenicity analyses were based on immune responses at each time point with descriptive comp</w:t>
      </w:r>
      <w:r w:rsidR="0005547E">
        <w:rPr>
          <w:lang w:eastAsia="ja-JP"/>
        </w:rPr>
        <w:t xml:space="preserve">arison of immune responses at </w:t>
      </w:r>
      <w:proofErr w:type="gramStart"/>
      <w:r w:rsidR="0005547E">
        <w:rPr>
          <w:lang w:eastAsia="ja-JP"/>
        </w:rPr>
        <w:t>one </w:t>
      </w:r>
      <w:r w:rsidRPr="00C60197">
        <w:rPr>
          <w:lang w:eastAsia="ja-JP"/>
        </w:rPr>
        <w:t>month</w:t>
      </w:r>
      <w:proofErr w:type="gramEnd"/>
      <w:r w:rsidRPr="00C60197">
        <w:rPr>
          <w:lang w:eastAsia="ja-JP"/>
        </w:rPr>
        <w:t xml:space="preserve"> post-Dose 3 comp</w:t>
      </w:r>
      <w:r w:rsidR="0005547E">
        <w:rPr>
          <w:lang w:eastAsia="ja-JP"/>
        </w:rPr>
        <w:t xml:space="preserve">ared with immune responses at one </w:t>
      </w:r>
      <w:r w:rsidRPr="00C60197">
        <w:rPr>
          <w:lang w:eastAsia="ja-JP"/>
        </w:rPr>
        <w:t>month post-Dose 2. Results were repo</w:t>
      </w:r>
      <w:r w:rsidR="0005547E">
        <w:rPr>
          <w:lang w:eastAsia="ja-JP"/>
        </w:rPr>
        <w:t>rted as SARS-CoV-2 50% neutralis</w:t>
      </w:r>
      <w:r w:rsidRPr="00C60197">
        <w:rPr>
          <w:lang w:eastAsia="ja-JP"/>
        </w:rPr>
        <w:t xml:space="preserve">ing GMTs, the GMR of the two time points, percentages of children with seroresponse, and as the difference in percentages of children with seroresponse between the two time points. </w:t>
      </w:r>
    </w:p>
    <w:p w14:paraId="56F7A360" w14:textId="43553A64" w:rsidR="001168CC" w:rsidRDefault="001168CC" w:rsidP="001168CC">
      <w:pPr>
        <w:rPr>
          <w:iCs/>
          <w:lang w:eastAsia="ja-JP"/>
        </w:rPr>
      </w:pPr>
      <w:r w:rsidRPr="00245D83">
        <w:rPr>
          <w:iCs/>
          <w:lang w:eastAsia="ja-JP"/>
        </w:rPr>
        <w:t>The Dose 2 and Dose 3 evaluable immunogenicity populations included participants who received all doses of vaccine at th</w:t>
      </w:r>
      <w:r w:rsidR="0005547E">
        <w:rPr>
          <w:iCs/>
          <w:lang w:eastAsia="ja-JP"/>
        </w:rPr>
        <w:t>e same dose level as randomised (that is,</w:t>
      </w:r>
      <w:r w:rsidRPr="00245D83">
        <w:rPr>
          <w:iCs/>
          <w:lang w:eastAsia="ja-JP"/>
        </w:rPr>
        <w:t xml:space="preserve"> 2 or 3 doses) within the protocol speci</w:t>
      </w:r>
      <w:r w:rsidR="0005547E">
        <w:rPr>
          <w:iCs/>
          <w:lang w:eastAsia="ja-JP"/>
        </w:rPr>
        <w:t>fied window for each dose, had at least</w:t>
      </w:r>
      <w:r w:rsidR="00FA3C1C">
        <w:rPr>
          <w:iCs/>
          <w:lang w:eastAsia="ja-JP"/>
        </w:rPr>
        <w:t xml:space="preserve"> one</w:t>
      </w:r>
      <w:r w:rsidRPr="00245D83">
        <w:rPr>
          <w:iCs/>
          <w:lang w:eastAsia="ja-JP"/>
        </w:rPr>
        <w:t xml:space="preserve"> valid and determinate i</w:t>
      </w:r>
      <w:r w:rsidR="0005547E">
        <w:rPr>
          <w:iCs/>
          <w:lang w:eastAsia="ja-JP"/>
        </w:rPr>
        <w:t>mmunogenicity result within 28 to</w:t>
      </w:r>
      <w:r w:rsidRPr="00245D83">
        <w:rPr>
          <w:iCs/>
          <w:lang w:eastAsia="ja-JP"/>
        </w:rPr>
        <w:t xml:space="preserve"> 42 days after vaccination, and did not have any important protocol deviations impacting evaluability.</w:t>
      </w:r>
    </w:p>
    <w:p w14:paraId="75438F0F" w14:textId="246C4C23" w:rsidR="001168CC" w:rsidRPr="00245D83" w:rsidRDefault="001168CC" w:rsidP="001168CC">
      <w:pPr>
        <w:rPr>
          <w:iCs/>
          <w:lang w:eastAsia="ja-JP"/>
        </w:rPr>
      </w:pPr>
      <w:r w:rsidRPr="00245D83">
        <w:rPr>
          <w:iCs/>
          <w:lang w:eastAsia="ja-JP"/>
        </w:rPr>
        <w:t>The total evaluable immunogenicity population comprises the combined 2-dose set (p</w:t>
      </w:r>
      <w:r w:rsidR="0005547E">
        <w:rPr>
          <w:iCs/>
          <w:lang w:eastAsia="ja-JP"/>
        </w:rPr>
        <w:t xml:space="preserve">articipants who completed the </w:t>
      </w:r>
      <w:proofErr w:type="gramStart"/>
      <w:r w:rsidR="0005547E">
        <w:rPr>
          <w:iCs/>
          <w:lang w:eastAsia="ja-JP"/>
        </w:rPr>
        <w:t xml:space="preserve">one </w:t>
      </w:r>
      <w:r w:rsidRPr="00245D83">
        <w:rPr>
          <w:iCs/>
          <w:lang w:eastAsia="ja-JP"/>
        </w:rPr>
        <w:t>month</w:t>
      </w:r>
      <w:proofErr w:type="gramEnd"/>
      <w:r w:rsidRPr="00245D83">
        <w:rPr>
          <w:iCs/>
          <w:lang w:eastAsia="ja-JP"/>
        </w:rPr>
        <w:t xml:space="preserve"> post-Dose 2 visit) and 3-dose set (particip</w:t>
      </w:r>
      <w:r w:rsidR="00AB0763">
        <w:rPr>
          <w:iCs/>
          <w:lang w:eastAsia="ja-JP"/>
        </w:rPr>
        <w:t xml:space="preserve">ants who completed the one </w:t>
      </w:r>
      <w:r w:rsidRPr="00245D83">
        <w:rPr>
          <w:iCs/>
          <w:lang w:eastAsia="ja-JP"/>
        </w:rPr>
        <w:t>month post-Dose 3 visit). Analyses of GMFR, GMR, and differences in seroresponse rates were based on the total of available titres across the co</w:t>
      </w:r>
      <w:r w:rsidR="0005547E">
        <w:rPr>
          <w:iCs/>
          <w:lang w:eastAsia="ja-JP"/>
        </w:rPr>
        <w:t xml:space="preserve">mbined 3-dose and 2-dose sets. </w:t>
      </w:r>
      <w:r w:rsidRPr="00245D83">
        <w:rPr>
          <w:iCs/>
          <w:lang w:eastAsia="ja-JP"/>
        </w:rPr>
        <w:t>Overall, there were only 17 participants without prior evidence of SARS-CoV-2 infection in the 3-dose s</w:t>
      </w:r>
      <w:r w:rsidR="0005547E">
        <w:rPr>
          <w:iCs/>
          <w:lang w:eastAsia="ja-JP"/>
        </w:rPr>
        <w:t xml:space="preserve">et with assay results at both </w:t>
      </w:r>
      <w:proofErr w:type="gramStart"/>
      <w:r w:rsidR="0005547E">
        <w:rPr>
          <w:iCs/>
          <w:lang w:eastAsia="ja-JP"/>
        </w:rPr>
        <w:t>one month</w:t>
      </w:r>
      <w:proofErr w:type="gramEnd"/>
      <w:r w:rsidR="0005547E">
        <w:rPr>
          <w:iCs/>
          <w:lang w:eastAsia="ja-JP"/>
        </w:rPr>
        <w:t xml:space="preserve"> post-Dose 2 and at one </w:t>
      </w:r>
      <w:r w:rsidRPr="00245D83">
        <w:rPr>
          <w:iCs/>
          <w:lang w:eastAsia="ja-JP"/>
        </w:rPr>
        <w:t>month post-Dose 3. As the pandemic continues and new variants emerge the number of participants without previous SARS-CoV-2 infection will understandably decrease.</w:t>
      </w:r>
    </w:p>
    <w:p w14:paraId="3BD435F3" w14:textId="77777777" w:rsidR="001168CC" w:rsidRPr="00DA4B6A" w:rsidRDefault="001168CC" w:rsidP="001168CC">
      <w:pPr>
        <w:rPr>
          <w:iCs/>
          <w:lang w:eastAsia="ja-JP"/>
        </w:rPr>
      </w:pPr>
      <w:r w:rsidRPr="00245D83">
        <w:rPr>
          <w:iCs/>
          <w:lang w:eastAsia="ja-JP"/>
        </w:rPr>
        <w:t>The statistical methods are considered acceptable.</w:t>
      </w:r>
    </w:p>
    <w:p w14:paraId="57267CB9" w14:textId="4E87ED02" w:rsidR="001168CC" w:rsidRPr="001F3897" w:rsidRDefault="001168CC" w:rsidP="001168CC">
      <w:pPr>
        <w:rPr>
          <w:lang w:eastAsia="ja-JP"/>
        </w:rPr>
      </w:pPr>
      <w:r w:rsidRPr="001F3897">
        <w:rPr>
          <w:lang w:eastAsia="ja-JP"/>
        </w:rPr>
        <w:t xml:space="preserve">Among the 67 participants of the Dose 3 evaluable immunogenicity population without prior evidence </w:t>
      </w:r>
      <w:r w:rsidR="00FA3C1C">
        <w:rPr>
          <w:lang w:eastAsia="ja-JP"/>
        </w:rPr>
        <w:t xml:space="preserve">of SARS-CoV-2 infection up to one </w:t>
      </w:r>
      <w:r w:rsidRPr="001F3897">
        <w:rPr>
          <w:lang w:eastAsia="ja-JP"/>
        </w:rPr>
        <w:t xml:space="preserve">month after Dose 3, observed GMTs to the wild-type reference strain had waned prior to Dose 3 (271.0), however increased following the booster dose of </w:t>
      </w:r>
      <w:r w:rsidR="00FA3C1C">
        <w:t xml:space="preserve">Comirnaty (tozinameran) </w:t>
      </w:r>
      <w:r w:rsidRPr="001F3897">
        <w:rPr>
          <w:lang w:eastAsia="ja-JP"/>
        </w:rPr>
        <w:t xml:space="preserve">10 </w:t>
      </w:r>
      <w:proofErr w:type="spellStart"/>
      <w:r w:rsidRPr="001F3897">
        <w:rPr>
          <w:lang w:eastAsia="ja-JP"/>
        </w:rPr>
        <w:t>μg</w:t>
      </w:r>
      <w:proofErr w:type="spellEnd"/>
      <w:r w:rsidRPr="001F3897">
        <w:rPr>
          <w:lang w:eastAsia="ja-JP"/>
        </w:rPr>
        <w:t xml:space="preserve"> to levels higher than those observ</w:t>
      </w:r>
      <w:r w:rsidR="00FA3C1C">
        <w:rPr>
          <w:lang w:eastAsia="ja-JP"/>
        </w:rPr>
        <w:t xml:space="preserve">ed following Dose 2 (2720.9 versus </w:t>
      </w:r>
      <w:r w:rsidRPr="001F3897">
        <w:rPr>
          <w:lang w:eastAsia="ja-JP"/>
        </w:rPr>
        <w:t>1253.9). The GMR of neu</w:t>
      </w:r>
      <w:r w:rsidR="00FA3C1C">
        <w:rPr>
          <w:lang w:eastAsia="ja-JP"/>
        </w:rPr>
        <w:t xml:space="preserve">tralising titres available at </w:t>
      </w:r>
      <w:proofErr w:type="gramStart"/>
      <w:r w:rsidR="00FA3C1C">
        <w:rPr>
          <w:lang w:eastAsia="ja-JP"/>
        </w:rPr>
        <w:t xml:space="preserve">one </w:t>
      </w:r>
      <w:r w:rsidRPr="001F3897">
        <w:rPr>
          <w:lang w:eastAsia="ja-JP"/>
        </w:rPr>
        <w:t>month</w:t>
      </w:r>
      <w:proofErr w:type="gramEnd"/>
      <w:r w:rsidRPr="001F3897">
        <w:rPr>
          <w:lang w:eastAsia="ja-JP"/>
        </w:rPr>
        <w:t xml:space="preserve"> post-Dose 3</w:t>
      </w:r>
      <w:r w:rsidR="00FA3C1C">
        <w:rPr>
          <w:lang w:eastAsia="ja-JP"/>
        </w:rPr>
        <w:t xml:space="preserve"> versus one </w:t>
      </w:r>
      <w:r w:rsidRPr="001F3897">
        <w:rPr>
          <w:lang w:eastAsia="ja-JP"/>
        </w:rPr>
        <w:t>month post-Dose 2 in this population was 2.17 (95% CI: 1.76, 2.68). The proportion of participants with s</w:t>
      </w:r>
      <w:r w:rsidR="00FA3C1C">
        <w:rPr>
          <w:lang w:eastAsia="ja-JP"/>
        </w:rPr>
        <w:t xml:space="preserve">eroresponse was high (100.0%) one </w:t>
      </w:r>
      <w:r w:rsidRPr="001F3897">
        <w:rPr>
          <w:lang w:eastAsia="ja-JP"/>
        </w:rPr>
        <w:t xml:space="preserve">month after Dose 2, waning to 77.6% prior to Dose </w:t>
      </w:r>
      <w:r w:rsidR="00FA3C1C">
        <w:rPr>
          <w:lang w:eastAsia="ja-JP"/>
        </w:rPr>
        <w:t xml:space="preserve">3, and increasing to 98.5% at </w:t>
      </w:r>
      <w:proofErr w:type="gramStart"/>
      <w:r w:rsidR="00FA3C1C">
        <w:rPr>
          <w:lang w:eastAsia="ja-JP"/>
        </w:rPr>
        <w:t xml:space="preserve">one </w:t>
      </w:r>
      <w:r w:rsidRPr="001F3897">
        <w:rPr>
          <w:lang w:eastAsia="ja-JP"/>
        </w:rPr>
        <w:t>month</w:t>
      </w:r>
      <w:proofErr w:type="gramEnd"/>
      <w:r w:rsidRPr="001F3897">
        <w:rPr>
          <w:lang w:eastAsia="ja-JP"/>
        </w:rPr>
        <w:t xml:space="preserve"> post-Dose 3.</w:t>
      </w:r>
    </w:p>
    <w:p w14:paraId="7A8BB00D" w14:textId="6F22D0C8" w:rsidR="001168CC" w:rsidRDefault="001168CC" w:rsidP="001168CC">
      <w:pPr>
        <w:rPr>
          <w:lang w:eastAsia="ja-JP"/>
        </w:rPr>
      </w:pPr>
      <w:r w:rsidRPr="001F3897">
        <w:rPr>
          <w:lang w:eastAsia="ja-JP"/>
        </w:rPr>
        <w:t>Similar results for GMTs were demonstrated among the 17 participants without prior evidence of infection in the 3-dose s</w:t>
      </w:r>
      <w:r w:rsidR="00FA3C1C">
        <w:rPr>
          <w:lang w:eastAsia="ja-JP"/>
        </w:rPr>
        <w:t xml:space="preserve">et with assay results at both </w:t>
      </w:r>
      <w:proofErr w:type="gramStart"/>
      <w:r w:rsidR="00FA3C1C">
        <w:rPr>
          <w:lang w:eastAsia="ja-JP"/>
        </w:rPr>
        <w:t>one month</w:t>
      </w:r>
      <w:proofErr w:type="gramEnd"/>
      <w:r w:rsidR="00FA3C1C">
        <w:rPr>
          <w:lang w:eastAsia="ja-JP"/>
        </w:rPr>
        <w:t xml:space="preserve"> post-Dose 2 and at one </w:t>
      </w:r>
      <w:r w:rsidRPr="001F3897">
        <w:rPr>
          <w:lang w:eastAsia="ja-JP"/>
        </w:rPr>
        <w:t xml:space="preserve">month post-Dose 3, noting the GMR </w:t>
      </w:r>
      <w:r w:rsidR="00FA3C1C">
        <w:rPr>
          <w:lang w:eastAsia="ja-JP"/>
        </w:rPr>
        <w:t>in this cohort was lower (1.55 (95% CI: 1.11, 2.17)</w:t>
      </w:r>
      <w:r w:rsidRPr="001F3897">
        <w:rPr>
          <w:lang w:eastAsia="ja-JP"/>
        </w:rPr>
        <w:t>). Se</w:t>
      </w:r>
      <w:r w:rsidR="00FA3C1C">
        <w:rPr>
          <w:lang w:eastAsia="ja-JP"/>
        </w:rPr>
        <w:t xml:space="preserve">roresponse rates were 100% at </w:t>
      </w:r>
      <w:proofErr w:type="gramStart"/>
      <w:r w:rsidR="00FA3C1C">
        <w:rPr>
          <w:lang w:eastAsia="ja-JP"/>
        </w:rPr>
        <w:t xml:space="preserve">one </w:t>
      </w:r>
      <w:r w:rsidRPr="001F3897">
        <w:rPr>
          <w:lang w:eastAsia="ja-JP"/>
        </w:rPr>
        <w:t>month</w:t>
      </w:r>
      <w:proofErr w:type="gramEnd"/>
      <w:r w:rsidRPr="001F3897">
        <w:rPr>
          <w:lang w:eastAsia="ja-JP"/>
        </w:rPr>
        <w:t xml:space="preserve"> post-Dose 2 and post-Dose 3. </w:t>
      </w:r>
    </w:p>
    <w:p w14:paraId="5BEDE3AC" w14:textId="4A07B550" w:rsidR="001168CC" w:rsidRPr="001F3897" w:rsidRDefault="001168CC" w:rsidP="001168CC">
      <w:pPr>
        <w:rPr>
          <w:lang w:eastAsia="ja-JP"/>
        </w:rPr>
      </w:pPr>
      <w:r w:rsidRPr="001F3897">
        <w:rPr>
          <w:lang w:eastAsia="ja-JP"/>
        </w:rPr>
        <w:t>Although exploratory, trends in immune responses observed in the populations including participants with evidence of past infection were comparable to those of the Dose 3 evaluable immunogenicity population without prior evidence of SARS-CoV-2 infection up to</w:t>
      </w:r>
      <w:r w:rsidR="00FA3C1C">
        <w:rPr>
          <w:lang w:eastAsia="ja-JP"/>
        </w:rPr>
        <w:t xml:space="preserve"> one </w:t>
      </w:r>
      <w:r w:rsidRPr="001F3897">
        <w:rPr>
          <w:lang w:eastAsia="ja-JP"/>
        </w:rPr>
        <w:t>month after Dose 3. These data are considered relevant</w:t>
      </w:r>
      <w:r>
        <w:rPr>
          <w:lang w:eastAsia="ja-JP"/>
        </w:rPr>
        <w:t xml:space="preserve">. </w:t>
      </w:r>
    </w:p>
    <w:p w14:paraId="50442E8D" w14:textId="0B260683" w:rsidR="001168CC" w:rsidRPr="001F3897" w:rsidRDefault="001168CC" w:rsidP="001168CC">
      <w:pPr>
        <w:rPr>
          <w:lang w:val="en-GB" w:eastAsia="ja-JP"/>
        </w:rPr>
      </w:pPr>
      <w:r w:rsidRPr="00C317D2">
        <w:rPr>
          <w:lang w:eastAsia="ja-JP"/>
        </w:rPr>
        <w:t xml:space="preserve">The </w:t>
      </w:r>
      <w:bookmarkStart w:id="97" w:name="_Hlk111447880"/>
      <w:r w:rsidR="00FA3C1C">
        <w:rPr>
          <w:lang w:eastAsia="ja-JP"/>
        </w:rPr>
        <w:t>s</w:t>
      </w:r>
      <w:r w:rsidRPr="00C317D2">
        <w:rPr>
          <w:lang w:eastAsia="ja-JP"/>
        </w:rPr>
        <w:t xml:space="preserve">ponsor proposes the booster dose to be administered at least 6 months after Dose 2. </w:t>
      </w:r>
      <w:bookmarkEnd w:id="97"/>
      <w:r w:rsidRPr="00C317D2">
        <w:rPr>
          <w:rFonts w:hint="eastAsia"/>
          <w:lang w:val="en-US" w:eastAsia="ja-JP"/>
        </w:rPr>
        <w:t xml:space="preserve">The total range for timing of Dose 3 administration after Dose 2 </w:t>
      </w:r>
      <w:r w:rsidRPr="00C317D2">
        <w:rPr>
          <w:lang w:eastAsia="ja-JP"/>
        </w:rPr>
        <w:t>(in Study C4591007</w:t>
      </w:r>
      <w:r w:rsidRPr="00C317D2">
        <w:rPr>
          <w:lang w:val="en-US" w:eastAsia="ja-JP"/>
        </w:rPr>
        <w:t xml:space="preserve">) </w:t>
      </w:r>
      <w:r w:rsidRPr="00C317D2">
        <w:rPr>
          <w:rFonts w:hint="eastAsia"/>
          <w:lang w:val="en-US" w:eastAsia="ja-JP"/>
        </w:rPr>
        <w:t>was 5 to 9 months</w:t>
      </w:r>
      <w:r w:rsidRPr="00C317D2">
        <w:rPr>
          <w:lang w:val="en-US" w:eastAsia="ja-JP"/>
        </w:rPr>
        <w:t xml:space="preserve"> however, </w:t>
      </w:r>
      <w:r w:rsidRPr="00C317D2">
        <w:rPr>
          <w:lang w:eastAsia="ja-JP"/>
        </w:rPr>
        <w:t>almost all participants (399 of 40</w:t>
      </w:r>
      <w:r w:rsidR="00FA3C1C">
        <w:rPr>
          <w:lang w:eastAsia="ja-JP"/>
        </w:rPr>
        <w:t xml:space="preserve">1) received the booster dose 7 to </w:t>
      </w:r>
      <w:r w:rsidRPr="00C317D2">
        <w:rPr>
          <w:lang w:eastAsia="ja-JP"/>
        </w:rPr>
        <w:t>9 months aft</w:t>
      </w:r>
      <w:r w:rsidR="00FA3C1C">
        <w:rPr>
          <w:lang w:eastAsia="ja-JP"/>
        </w:rPr>
        <w:t>er Dose 2, the majority at 8 to</w:t>
      </w:r>
      <w:r w:rsidRPr="00C317D2">
        <w:rPr>
          <w:lang w:eastAsia="ja-JP"/>
        </w:rPr>
        <w:t xml:space="preserve"> 9 months (86.8%).</w:t>
      </w:r>
      <w:r w:rsidRPr="00C317D2">
        <w:rPr>
          <w:bCs/>
          <w:lang w:eastAsia="ja-JP"/>
        </w:rPr>
        <w:t xml:space="preserve"> The timing of the booster dose after Dose 2 will be discussed at the </w:t>
      </w:r>
      <w:r w:rsidR="00AB0763">
        <w:rPr>
          <w:bCs/>
          <w:lang w:eastAsia="ja-JP"/>
        </w:rPr>
        <w:t>Advisory Committee on Vaccines (</w:t>
      </w:r>
      <w:r w:rsidRPr="00C317D2">
        <w:rPr>
          <w:bCs/>
          <w:lang w:eastAsia="ja-JP"/>
        </w:rPr>
        <w:t>ACV</w:t>
      </w:r>
      <w:r w:rsidR="00AB0763">
        <w:rPr>
          <w:bCs/>
          <w:lang w:eastAsia="ja-JP"/>
        </w:rPr>
        <w:t>)</w:t>
      </w:r>
      <w:r w:rsidRPr="00C317D2">
        <w:rPr>
          <w:bCs/>
          <w:lang w:eastAsia="ja-JP"/>
        </w:rPr>
        <w:t xml:space="preserve"> meeting.</w:t>
      </w:r>
    </w:p>
    <w:p w14:paraId="2FB45E26" w14:textId="243945FE" w:rsidR="001168CC" w:rsidRPr="00FA3C1C" w:rsidRDefault="001168CC" w:rsidP="001168CC">
      <w:pPr>
        <w:rPr>
          <w:lang w:eastAsia="ja-JP"/>
        </w:rPr>
      </w:pPr>
      <w:r w:rsidRPr="009C45A0">
        <w:rPr>
          <w:lang w:eastAsia="ja-JP"/>
        </w:rPr>
        <w:lastRenderedPageBreak/>
        <w:t xml:space="preserve">Overall, the interim immunogenicity data are limited by the small sample sizes, however, demonstrate a booster dose of </w:t>
      </w:r>
      <w:r w:rsidR="00FA3C1C">
        <w:t xml:space="preserve">Comirnaty (tozinameran) </w:t>
      </w:r>
      <w:r w:rsidRPr="009C45A0">
        <w:rPr>
          <w:lang w:eastAsia="ja-JP"/>
        </w:rPr>
        <w:t xml:space="preserve">10 </w:t>
      </w:r>
      <w:proofErr w:type="spellStart"/>
      <w:r w:rsidRPr="009C45A0">
        <w:rPr>
          <w:lang w:eastAsia="ja-JP"/>
        </w:rPr>
        <w:t>μg</w:t>
      </w:r>
      <w:proofErr w:type="spellEnd"/>
      <w:r w:rsidRPr="009C45A0">
        <w:rPr>
          <w:lang w:eastAsia="ja-JP"/>
        </w:rPr>
        <w:t xml:space="preserve"> </w:t>
      </w:r>
      <w:r w:rsidRPr="00A253CC">
        <w:rPr>
          <w:lang w:eastAsia="ja-JP"/>
        </w:rPr>
        <w:t>administered</w:t>
      </w:r>
      <w:r w:rsidRPr="00A253CC">
        <w:rPr>
          <w:bCs/>
          <w:lang w:eastAsia="ja-JP"/>
        </w:rPr>
        <w:t xml:space="preserve"> </w:t>
      </w:r>
      <w:r w:rsidR="00FA3C1C">
        <w:rPr>
          <w:lang w:eastAsia="ja-JP"/>
        </w:rPr>
        <w:t>7 to</w:t>
      </w:r>
      <w:r w:rsidR="00AB0763">
        <w:rPr>
          <w:lang w:eastAsia="ja-JP"/>
        </w:rPr>
        <w:t xml:space="preserve"> 9 </w:t>
      </w:r>
      <w:r w:rsidRPr="00A253CC">
        <w:rPr>
          <w:lang w:eastAsia="ja-JP"/>
        </w:rPr>
        <w:t>months following</w:t>
      </w:r>
      <w:r w:rsidR="00FA3C1C">
        <w:rPr>
          <w:lang w:eastAsia="ja-JP"/>
        </w:rPr>
        <w:t xml:space="preserve"> Dose 2 in children aged 5 to under </w:t>
      </w:r>
      <w:r w:rsidRPr="009C45A0">
        <w:rPr>
          <w:lang w:eastAsia="ja-JP"/>
        </w:rPr>
        <w:t xml:space="preserve">12 years increased waning neutralising titres against the wild-type reference strain of SARS-CoV-2 to levels above those </w:t>
      </w:r>
      <w:r w:rsidRPr="002B5D5F">
        <w:rPr>
          <w:lang w:eastAsia="ja-JP"/>
        </w:rPr>
        <w:t>observed after the 2-dose primary series.</w:t>
      </w:r>
    </w:p>
    <w:p w14:paraId="358CA714" w14:textId="2872F5D0" w:rsidR="001168CC" w:rsidRPr="00436E59" w:rsidRDefault="001168CC" w:rsidP="00FA3C1C">
      <w:pPr>
        <w:pStyle w:val="Heading5"/>
        <w:rPr>
          <w:lang w:eastAsia="ja-JP"/>
        </w:rPr>
      </w:pPr>
      <w:r w:rsidRPr="00436E59">
        <w:rPr>
          <w:lang w:eastAsia="ja-JP"/>
        </w:rPr>
        <w:t>Safety</w:t>
      </w:r>
    </w:p>
    <w:p w14:paraId="6FF28AD8" w14:textId="3F2DD13B" w:rsidR="001168CC" w:rsidRDefault="001168CC" w:rsidP="001168CC">
      <w:pPr>
        <w:rPr>
          <w:bCs/>
          <w:lang w:eastAsia="ja-JP"/>
        </w:rPr>
      </w:pPr>
      <w:r w:rsidRPr="00035B3A">
        <w:rPr>
          <w:bCs/>
          <w:lang w:eastAsia="ja-JP"/>
        </w:rPr>
        <w:t xml:space="preserve">Safety data </w:t>
      </w:r>
      <w:r>
        <w:rPr>
          <w:bCs/>
          <w:lang w:eastAsia="ja-JP"/>
        </w:rPr>
        <w:t xml:space="preserve">included interim data </w:t>
      </w:r>
      <w:r w:rsidRPr="00035B3A">
        <w:rPr>
          <w:bCs/>
          <w:lang w:eastAsia="ja-JP"/>
        </w:rPr>
        <w:t xml:space="preserve">available for 401 participants in the safety population aged </w:t>
      </w:r>
      <w:r w:rsidR="00FA3C1C">
        <w:rPr>
          <w:bCs/>
          <w:lang w:eastAsia="ja-JP"/>
        </w:rPr>
        <w:t>from 5 to under</w:t>
      </w:r>
      <w:r w:rsidR="00AB0763">
        <w:rPr>
          <w:bCs/>
          <w:lang w:eastAsia="ja-JP"/>
        </w:rPr>
        <w:t xml:space="preserve"> </w:t>
      </w:r>
      <w:r w:rsidRPr="00035B3A">
        <w:rPr>
          <w:bCs/>
          <w:lang w:eastAsia="ja-JP"/>
        </w:rPr>
        <w:t xml:space="preserve">12 years who received a booster (third) dose of </w:t>
      </w:r>
      <w:r w:rsidR="00FA3C1C">
        <w:t xml:space="preserve">Comirnaty (tozinameran) </w:t>
      </w:r>
      <w:r w:rsidRPr="00035B3A">
        <w:rPr>
          <w:bCs/>
          <w:lang w:eastAsia="ja-JP"/>
        </w:rPr>
        <w:t>10 µg, with median duration of follow-up 1.3 months.</w:t>
      </w:r>
    </w:p>
    <w:p w14:paraId="46C585D7" w14:textId="77777777" w:rsidR="001168CC" w:rsidRDefault="001168CC" w:rsidP="001168CC">
      <w:pPr>
        <w:rPr>
          <w:bCs/>
          <w:lang w:eastAsia="ja-JP"/>
        </w:rPr>
      </w:pPr>
      <w:r w:rsidRPr="00035B3A">
        <w:rPr>
          <w:bCs/>
          <w:lang w:eastAsia="ja-JP"/>
        </w:rPr>
        <w:t>Reactogenicity e-diary data were available for 371 participants</w:t>
      </w:r>
      <w:r>
        <w:rPr>
          <w:bCs/>
          <w:lang w:eastAsia="ja-JP"/>
        </w:rPr>
        <w:t xml:space="preserve">. </w:t>
      </w:r>
    </w:p>
    <w:p w14:paraId="22AC6F3C" w14:textId="33136434" w:rsidR="001168CC" w:rsidRPr="00035B3A" w:rsidRDefault="001168CC" w:rsidP="001168CC">
      <w:pPr>
        <w:rPr>
          <w:bCs/>
          <w:lang w:eastAsia="ja-JP"/>
        </w:rPr>
      </w:pPr>
      <w:r>
        <w:rPr>
          <w:bCs/>
          <w:lang w:eastAsia="ja-JP"/>
        </w:rPr>
        <w:t>Amongst local reactions</w:t>
      </w:r>
      <w:r w:rsidRPr="00035B3A">
        <w:rPr>
          <w:bCs/>
          <w:lang w:eastAsia="ja-JP"/>
        </w:rPr>
        <w:t>, pain at the injection site was the most common local reaction within 7 days following Dose 3 (73.9%), with swelling and redness at the injection site less common (16.4% and 15.6% respectively). These trends are generally in line with local reactions observed following previous doses. The incidenc</w:t>
      </w:r>
      <w:r w:rsidR="00FA3C1C">
        <w:rPr>
          <w:bCs/>
          <w:lang w:eastAsia="ja-JP"/>
        </w:rPr>
        <w:t>e of fever was lower after Dose 3 than Dose 2 (6.7% versus</w:t>
      </w:r>
      <w:r w:rsidRPr="00035B3A">
        <w:rPr>
          <w:bCs/>
          <w:lang w:eastAsia="ja-JP"/>
        </w:rPr>
        <w:t xml:space="preserve"> 8.8%). Most local reactions were mild or moderate in severity, with severe events infrequent (0.8%). </w:t>
      </w:r>
      <w:r w:rsidRPr="00876BEC">
        <w:rPr>
          <w:bCs/>
          <w:lang w:eastAsia="ja-JP"/>
        </w:rPr>
        <w:t>No Grade 4 local reactions were reported after any</w:t>
      </w:r>
      <w:r>
        <w:rPr>
          <w:bCs/>
          <w:lang w:eastAsia="ja-JP"/>
        </w:rPr>
        <w:t xml:space="preserve"> dose. </w:t>
      </w:r>
      <w:r w:rsidRPr="00876BEC">
        <w:rPr>
          <w:bCs/>
          <w:lang w:eastAsia="ja-JP"/>
        </w:rPr>
        <w:t xml:space="preserve">The median onset for all local reactions after any dose of </w:t>
      </w:r>
      <w:r w:rsidR="00FA3C1C">
        <w:t xml:space="preserve">Comirnaty (tozinameran) </w:t>
      </w:r>
      <w:r w:rsidR="00FA3C1C">
        <w:rPr>
          <w:bCs/>
          <w:lang w:eastAsia="ja-JP"/>
        </w:rPr>
        <w:t xml:space="preserve">10 </w:t>
      </w:r>
      <w:proofErr w:type="spellStart"/>
      <w:r w:rsidRPr="00876BEC">
        <w:rPr>
          <w:bCs/>
          <w:lang w:eastAsia="ja-JP"/>
        </w:rPr>
        <w:t>μg</w:t>
      </w:r>
      <w:proofErr w:type="spellEnd"/>
      <w:r w:rsidRPr="00876BEC">
        <w:rPr>
          <w:bCs/>
          <w:lang w:eastAsia="ja-JP"/>
        </w:rPr>
        <w:t xml:space="preserve"> was 1 to 2 days</w:t>
      </w:r>
      <w:r>
        <w:rPr>
          <w:bCs/>
          <w:lang w:eastAsia="ja-JP"/>
        </w:rPr>
        <w:t xml:space="preserve"> </w:t>
      </w:r>
      <w:r w:rsidRPr="00876BEC">
        <w:rPr>
          <w:bCs/>
          <w:lang w:eastAsia="ja-JP"/>
        </w:rPr>
        <w:t>and all events resolve</w:t>
      </w:r>
      <w:r w:rsidR="00FA3C1C">
        <w:rPr>
          <w:bCs/>
          <w:lang w:eastAsia="ja-JP"/>
        </w:rPr>
        <w:t>d within a median duration of 1 </w:t>
      </w:r>
      <w:r w:rsidRPr="00876BEC">
        <w:rPr>
          <w:bCs/>
          <w:lang w:eastAsia="ja-JP"/>
        </w:rPr>
        <w:t>to 2 days after onset.</w:t>
      </w:r>
    </w:p>
    <w:p w14:paraId="4C341A60" w14:textId="21A461BF" w:rsidR="001168CC" w:rsidRDefault="001168CC" w:rsidP="001168CC">
      <w:pPr>
        <w:rPr>
          <w:bCs/>
          <w:lang w:eastAsia="ja-JP"/>
        </w:rPr>
      </w:pPr>
      <w:r>
        <w:rPr>
          <w:bCs/>
          <w:lang w:eastAsia="ja-JP"/>
        </w:rPr>
        <w:t xml:space="preserve">The most common reported systemic events </w:t>
      </w:r>
      <w:r w:rsidRPr="00CA1FD6">
        <w:rPr>
          <w:bCs/>
          <w:lang w:eastAsia="ja-JP"/>
        </w:rPr>
        <w:t>within 7 days after Dose 3</w:t>
      </w:r>
      <w:r>
        <w:rPr>
          <w:bCs/>
          <w:lang w:eastAsia="ja-JP"/>
        </w:rPr>
        <w:t xml:space="preserve"> included </w:t>
      </w:r>
      <w:r w:rsidRPr="00035B3A">
        <w:rPr>
          <w:bCs/>
          <w:lang w:eastAsia="ja-JP"/>
        </w:rPr>
        <w:t>Fatigue (45.6%), headache (34.0%) and muscle pain (18.3%)</w:t>
      </w:r>
      <w:r>
        <w:rPr>
          <w:bCs/>
          <w:lang w:eastAsia="ja-JP"/>
        </w:rPr>
        <w:t xml:space="preserve">. </w:t>
      </w:r>
      <w:r w:rsidRPr="00035B3A">
        <w:rPr>
          <w:bCs/>
          <w:lang w:eastAsia="ja-JP"/>
        </w:rPr>
        <w:t xml:space="preserve">Headache, muscle pain and use of anti-pyretic/pain medication occurred more frequently after each dose. </w:t>
      </w:r>
      <w:proofErr w:type="gramStart"/>
      <w:r w:rsidRPr="00035B3A">
        <w:rPr>
          <w:bCs/>
          <w:lang w:eastAsia="ja-JP"/>
        </w:rPr>
        <w:t>The majority of</w:t>
      </w:r>
      <w:proofErr w:type="gramEnd"/>
      <w:r w:rsidRPr="00035B3A">
        <w:rPr>
          <w:bCs/>
          <w:lang w:eastAsia="ja-JP"/>
        </w:rPr>
        <w:t xml:space="preserve"> systemic events were mild or moderate in severity</w:t>
      </w:r>
      <w:r>
        <w:rPr>
          <w:bCs/>
          <w:lang w:eastAsia="ja-JP"/>
        </w:rPr>
        <w:t xml:space="preserve">. </w:t>
      </w:r>
      <w:r w:rsidRPr="00F65E35">
        <w:rPr>
          <w:bCs/>
          <w:lang w:eastAsia="ja-JP"/>
        </w:rPr>
        <w:t>No Grade 4 events were reported after any dose.</w:t>
      </w:r>
      <w:r>
        <w:rPr>
          <w:bCs/>
          <w:lang w:eastAsia="ja-JP"/>
        </w:rPr>
        <w:t xml:space="preserve"> </w:t>
      </w:r>
      <w:r w:rsidRPr="00F65E35">
        <w:rPr>
          <w:bCs/>
          <w:lang w:eastAsia="ja-JP"/>
        </w:rPr>
        <w:t xml:space="preserve">The median onset for most systemic events after any dose of </w:t>
      </w:r>
      <w:r w:rsidR="00296F8B">
        <w:t xml:space="preserve">Comirnaty (tozinameran) </w:t>
      </w:r>
      <w:r w:rsidR="00296F8B">
        <w:rPr>
          <w:bCs/>
          <w:lang w:eastAsia="ja-JP"/>
        </w:rPr>
        <w:t xml:space="preserve">10 </w:t>
      </w:r>
      <w:proofErr w:type="spellStart"/>
      <w:r w:rsidRPr="00F65E35">
        <w:rPr>
          <w:bCs/>
          <w:lang w:eastAsia="ja-JP"/>
        </w:rPr>
        <w:t>μg</w:t>
      </w:r>
      <w:proofErr w:type="spellEnd"/>
      <w:r w:rsidRPr="00F65E35">
        <w:rPr>
          <w:bCs/>
          <w:lang w:eastAsia="ja-JP"/>
        </w:rPr>
        <w:t xml:space="preserve"> was 1 to</w:t>
      </w:r>
      <w:r>
        <w:rPr>
          <w:bCs/>
          <w:lang w:eastAsia="ja-JP"/>
        </w:rPr>
        <w:t xml:space="preserve"> </w:t>
      </w:r>
      <w:r w:rsidRPr="00F65E35">
        <w:rPr>
          <w:bCs/>
          <w:lang w:eastAsia="ja-JP"/>
        </w:rPr>
        <w:t>2 days, and most events resolved within a median duration of 1 day after onset.</w:t>
      </w:r>
    </w:p>
    <w:p w14:paraId="05E4BCF4" w14:textId="0BCF56A9" w:rsidR="001168CC" w:rsidRPr="00035B3A" w:rsidRDefault="001168CC" w:rsidP="001168CC">
      <w:pPr>
        <w:rPr>
          <w:bCs/>
          <w:lang w:eastAsia="ja-JP"/>
        </w:rPr>
      </w:pPr>
      <w:r w:rsidRPr="00D53D83">
        <w:rPr>
          <w:bCs/>
          <w:lang w:eastAsia="ja-JP"/>
        </w:rPr>
        <w:t xml:space="preserve">Overall, any </w:t>
      </w:r>
      <w:r w:rsidR="00296F8B">
        <w:rPr>
          <w:bCs/>
          <w:lang w:eastAsia="ja-JP"/>
        </w:rPr>
        <w:t>adverse events</w:t>
      </w:r>
      <w:r w:rsidRPr="00D53D83">
        <w:rPr>
          <w:bCs/>
          <w:lang w:eastAsia="ja-JP"/>
        </w:rPr>
        <w:t xml:space="preserve"> were reported by 9.0% </w:t>
      </w:r>
      <w:r w:rsidR="00296F8B">
        <w:rPr>
          <w:bCs/>
          <w:lang w:eastAsia="ja-JP"/>
        </w:rPr>
        <w:t>of participants from Dose 3 to one </w:t>
      </w:r>
      <w:r w:rsidRPr="00D53D83">
        <w:rPr>
          <w:bCs/>
          <w:lang w:eastAsia="ja-JP"/>
        </w:rPr>
        <w:t>month after Dose 3.</w:t>
      </w:r>
      <w:r>
        <w:rPr>
          <w:bCs/>
          <w:lang w:eastAsia="ja-JP"/>
        </w:rPr>
        <w:t xml:space="preserve"> M</w:t>
      </w:r>
      <w:r w:rsidRPr="00035B3A">
        <w:rPr>
          <w:bCs/>
          <w:lang w:eastAsia="ja-JP"/>
        </w:rPr>
        <w:t xml:space="preserve">ost commonly in the </w:t>
      </w:r>
      <w:r w:rsidR="00296F8B">
        <w:rPr>
          <w:bCs/>
          <w:lang w:eastAsia="ja-JP"/>
        </w:rPr>
        <w:t>System Organ Classes of</w:t>
      </w:r>
      <w:r w:rsidRPr="00035B3A">
        <w:rPr>
          <w:bCs/>
          <w:lang w:eastAsia="ja-JP"/>
        </w:rPr>
        <w:t xml:space="preserve"> Blood an</w:t>
      </w:r>
      <w:r w:rsidR="00015E8E">
        <w:rPr>
          <w:bCs/>
          <w:lang w:eastAsia="ja-JP"/>
        </w:rPr>
        <w:t>d lymphatic system disorders (Preferred Term,</w:t>
      </w:r>
      <w:r w:rsidRPr="00035B3A">
        <w:rPr>
          <w:bCs/>
          <w:lang w:eastAsia="ja-JP"/>
        </w:rPr>
        <w:t xml:space="preserve"> lymphadenopathy), General disorders and administration site conditions (</w:t>
      </w:r>
      <w:r w:rsidR="00015E8E">
        <w:rPr>
          <w:bCs/>
          <w:lang w:eastAsia="ja-JP"/>
        </w:rPr>
        <w:t xml:space="preserve">Preferred Terms </w:t>
      </w:r>
      <w:r w:rsidRPr="00035B3A">
        <w:rPr>
          <w:bCs/>
          <w:lang w:eastAsia="ja-JP"/>
        </w:rPr>
        <w:t>of local and systemic reactogenicity events) and Nervous system disorders (</w:t>
      </w:r>
      <w:r w:rsidR="00015E8E">
        <w:rPr>
          <w:bCs/>
          <w:lang w:eastAsia="ja-JP"/>
        </w:rPr>
        <w:t>Preferred Term, headache). There was one severe adverse event</w:t>
      </w:r>
      <w:r w:rsidR="009757E7">
        <w:rPr>
          <w:bCs/>
          <w:lang w:eastAsia="ja-JP"/>
        </w:rPr>
        <w:t xml:space="preserve"> of pyrexia in a </w:t>
      </w:r>
      <w:proofErr w:type="gramStart"/>
      <w:r w:rsidR="009757E7">
        <w:rPr>
          <w:bCs/>
          <w:lang w:eastAsia="ja-JP"/>
        </w:rPr>
        <w:t xml:space="preserve">5 year </w:t>
      </w:r>
      <w:r w:rsidRPr="00035B3A">
        <w:rPr>
          <w:bCs/>
          <w:lang w:eastAsia="ja-JP"/>
        </w:rPr>
        <w:t>old</w:t>
      </w:r>
      <w:proofErr w:type="gramEnd"/>
      <w:r w:rsidRPr="00035B3A">
        <w:rPr>
          <w:bCs/>
          <w:lang w:eastAsia="ja-JP"/>
        </w:rPr>
        <w:t xml:space="preserve"> female occurring Day 1 post-Dose 3. The participant received treatment for pyrexia and the event resolved by Day 3. </w:t>
      </w:r>
      <w:r w:rsidR="00015E8E">
        <w:rPr>
          <w:bCs/>
          <w:lang w:eastAsia="ja-JP"/>
        </w:rPr>
        <w:t>Adverse events</w:t>
      </w:r>
      <w:r w:rsidRPr="00035B3A">
        <w:rPr>
          <w:bCs/>
          <w:lang w:eastAsia="ja-JP"/>
        </w:rPr>
        <w:t xml:space="preserve"> considered related to study treatment were reported by 4.7% of participants, with the types of </w:t>
      </w:r>
      <w:r w:rsidR="00015E8E">
        <w:rPr>
          <w:bCs/>
          <w:lang w:eastAsia="ja-JP"/>
        </w:rPr>
        <w:t>adverse events</w:t>
      </w:r>
      <w:r w:rsidRPr="00035B3A">
        <w:rPr>
          <w:bCs/>
          <w:lang w:eastAsia="ja-JP"/>
        </w:rPr>
        <w:t xml:space="preserve"> consistent with reactogenicity events.</w:t>
      </w:r>
    </w:p>
    <w:p w14:paraId="33319B95" w14:textId="7A79B4D6" w:rsidR="001168CC" w:rsidRPr="00035B3A" w:rsidRDefault="001168CC" w:rsidP="001168CC">
      <w:pPr>
        <w:rPr>
          <w:bCs/>
          <w:lang w:eastAsia="ja-JP"/>
        </w:rPr>
      </w:pPr>
      <w:r w:rsidRPr="00035B3A">
        <w:rPr>
          <w:bCs/>
          <w:lang w:eastAsia="ja-JP"/>
        </w:rPr>
        <w:t xml:space="preserve">Lymphadenopathy </w:t>
      </w:r>
      <w:r w:rsidR="00AB0763">
        <w:rPr>
          <w:bCs/>
          <w:lang w:eastAsia="ja-JP"/>
        </w:rPr>
        <w:t xml:space="preserve">(swollen lymph nodes) </w:t>
      </w:r>
      <w:r w:rsidRPr="00035B3A">
        <w:rPr>
          <w:bCs/>
          <w:lang w:eastAsia="ja-JP"/>
        </w:rPr>
        <w:t xml:space="preserve">is an </w:t>
      </w:r>
      <w:r w:rsidR="007F10D9">
        <w:rPr>
          <w:bCs/>
          <w:lang w:eastAsia="ja-JP"/>
        </w:rPr>
        <w:t>adverse event</w:t>
      </w:r>
      <w:r w:rsidRPr="00035B3A">
        <w:rPr>
          <w:bCs/>
          <w:lang w:eastAsia="ja-JP"/>
        </w:rPr>
        <w:t xml:space="preserve"> of special interest with </w:t>
      </w:r>
      <w:r w:rsidR="00AB0763">
        <w:rPr>
          <w:bCs/>
          <w:lang w:eastAsia="ja-JP"/>
        </w:rPr>
        <w:t>10 </w:t>
      </w:r>
      <w:r w:rsidRPr="00035B3A">
        <w:rPr>
          <w:bCs/>
          <w:lang w:eastAsia="ja-JP"/>
        </w:rPr>
        <w:t xml:space="preserve">cases (2.5%) reported, all considered mild. The incidence of lymphadenopathy was higher following Dose 3 compared with Dose 2 (0.9%) of </w:t>
      </w:r>
      <w:r w:rsidR="007F10D9">
        <w:t xml:space="preserve">Comirnaty (tozinameran) </w:t>
      </w:r>
      <w:r w:rsidRPr="00035B3A">
        <w:rPr>
          <w:bCs/>
          <w:lang w:eastAsia="ja-JP"/>
        </w:rPr>
        <w:t xml:space="preserve">10 µg. One participant (0.3%) experienced an </w:t>
      </w:r>
      <w:r w:rsidR="007F10D9">
        <w:rPr>
          <w:bCs/>
          <w:lang w:eastAsia="ja-JP"/>
        </w:rPr>
        <w:t xml:space="preserve">adverse event </w:t>
      </w:r>
      <w:r w:rsidRPr="00035B3A">
        <w:rPr>
          <w:bCs/>
          <w:lang w:eastAsia="ja-JP"/>
        </w:rPr>
        <w:t xml:space="preserve">of </w:t>
      </w:r>
      <w:r w:rsidR="00AB0763" w:rsidRPr="00035B3A">
        <w:rPr>
          <w:bCs/>
          <w:lang w:eastAsia="ja-JP"/>
        </w:rPr>
        <w:t>rash, which</w:t>
      </w:r>
      <w:r w:rsidRPr="00035B3A">
        <w:rPr>
          <w:bCs/>
          <w:lang w:eastAsia="ja-JP"/>
        </w:rPr>
        <w:t xml:space="preserve"> was not considered related to study treatment by the investigator. Myocarditis and pericarditis are important identified risks of Comirnaty. There were no cases of myocarditis or pericarditis reported </w:t>
      </w:r>
      <w:r w:rsidR="007F10D9">
        <w:rPr>
          <w:bCs/>
          <w:lang w:eastAsia="ja-JP"/>
        </w:rPr>
        <w:t>in the Study </w:t>
      </w:r>
      <w:r w:rsidRPr="00234642">
        <w:rPr>
          <w:bCs/>
          <w:lang w:eastAsia="ja-JP"/>
        </w:rPr>
        <w:t>C4591007</w:t>
      </w:r>
      <w:r>
        <w:rPr>
          <w:bCs/>
          <w:lang w:eastAsia="ja-JP"/>
        </w:rPr>
        <w:t xml:space="preserve">, </w:t>
      </w:r>
      <w:r w:rsidRPr="00035B3A">
        <w:rPr>
          <w:bCs/>
          <w:lang w:eastAsia="ja-JP"/>
        </w:rPr>
        <w:t xml:space="preserve">following the booster dose of </w:t>
      </w:r>
      <w:r w:rsidR="007F10D9">
        <w:t xml:space="preserve">Comirnaty (tozinameran) </w:t>
      </w:r>
      <w:r w:rsidRPr="00035B3A">
        <w:rPr>
          <w:bCs/>
          <w:lang w:eastAsia="ja-JP"/>
        </w:rPr>
        <w:t xml:space="preserve">10 µg, however the sample size is considered too small to detect these events. Thus, the risk of myocarditis or pericarditis following a booster dose of </w:t>
      </w:r>
      <w:r w:rsidR="007F10D9">
        <w:t xml:space="preserve">Comirnaty (tozinameran) </w:t>
      </w:r>
      <w:r w:rsidRPr="00035B3A">
        <w:rPr>
          <w:bCs/>
          <w:lang w:eastAsia="ja-JP"/>
        </w:rPr>
        <w:t xml:space="preserve">10 µg in children aged </w:t>
      </w:r>
      <w:r w:rsidR="007F10D9">
        <w:rPr>
          <w:bCs/>
          <w:lang w:eastAsia="ja-JP"/>
        </w:rPr>
        <w:t xml:space="preserve">from </w:t>
      </w:r>
      <w:r w:rsidRPr="00035B3A">
        <w:rPr>
          <w:bCs/>
          <w:lang w:eastAsia="ja-JP"/>
        </w:rPr>
        <w:t xml:space="preserve">5 </w:t>
      </w:r>
      <w:r w:rsidR="007F10D9">
        <w:rPr>
          <w:bCs/>
          <w:lang w:eastAsia="ja-JP"/>
        </w:rPr>
        <w:t>to under</w:t>
      </w:r>
      <w:r w:rsidRPr="00035B3A">
        <w:rPr>
          <w:bCs/>
          <w:lang w:eastAsia="ja-JP"/>
        </w:rPr>
        <w:t xml:space="preserve"> 12 years is uncertain. </w:t>
      </w:r>
    </w:p>
    <w:p w14:paraId="112A6CC9" w14:textId="7F409133" w:rsidR="001168CC" w:rsidRDefault="001168CC" w:rsidP="001168CC">
      <w:pPr>
        <w:rPr>
          <w:bCs/>
          <w:lang w:eastAsia="ja-JP"/>
        </w:rPr>
      </w:pPr>
      <w:r w:rsidRPr="00035B3A">
        <w:rPr>
          <w:bCs/>
          <w:lang w:eastAsia="ja-JP"/>
        </w:rPr>
        <w:t xml:space="preserve">There were no immediate </w:t>
      </w:r>
      <w:r w:rsidR="007F10D9">
        <w:rPr>
          <w:bCs/>
          <w:lang w:eastAsia="ja-JP"/>
        </w:rPr>
        <w:t xml:space="preserve">adverse events </w:t>
      </w:r>
      <w:r w:rsidRPr="00035B3A">
        <w:rPr>
          <w:bCs/>
          <w:lang w:eastAsia="ja-JP"/>
        </w:rPr>
        <w:t xml:space="preserve">within 30 minutes of administration of the booster dose of </w:t>
      </w:r>
      <w:r w:rsidR="007F10D9">
        <w:t xml:space="preserve">Comirnaty (tozinameran) </w:t>
      </w:r>
      <w:r w:rsidRPr="00035B3A">
        <w:rPr>
          <w:bCs/>
          <w:lang w:eastAsia="ja-JP"/>
        </w:rPr>
        <w:t xml:space="preserve">10 µg, and no </w:t>
      </w:r>
      <w:r w:rsidR="007F10D9">
        <w:rPr>
          <w:bCs/>
          <w:lang w:eastAsia="ja-JP"/>
        </w:rPr>
        <w:t>serious adverse events</w:t>
      </w:r>
      <w:r w:rsidRPr="00035B3A">
        <w:rPr>
          <w:bCs/>
          <w:lang w:eastAsia="ja-JP"/>
        </w:rPr>
        <w:t xml:space="preserve">, </w:t>
      </w:r>
      <w:proofErr w:type="gramStart"/>
      <w:r w:rsidRPr="00035B3A">
        <w:rPr>
          <w:bCs/>
          <w:lang w:eastAsia="ja-JP"/>
        </w:rPr>
        <w:t>deaths</w:t>
      </w:r>
      <w:proofErr w:type="gramEnd"/>
      <w:r w:rsidRPr="00035B3A">
        <w:rPr>
          <w:bCs/>
          <w:lang w:eastAsia="ja-JP"/>
        </w:rPr>
        <w:t xml:space="preserve"> or withdrawals due to </w:t>
      </w:r>
      <w:r w:rsidR="007F10D9">
        <w:rPr>
          <w:bCs/>
          <w:lang w:eastAsia="ja-JP"/>
        </w:rPr>
        <w:t>adverse events</w:t>
      </w:r>
      <w:r w:rsidRPr="00035B3A">
        <w:rPr>
          <w:bCs/>
          <w:lang w:eastAsia="ja-JP"/>
        </w:rPr>
        <w:t>.</w:t>
      </w:r>
    </w:p>
    <w:p w14:paraId="239C23B4" w14:textId="5ED78DF0" w:rsidR="001168CC" w:rsidRDefault="001168CC" w:rsidP="001168CC">
      <w:pPr>
        <w:rPr>
          <w:bCs/>
          <w:lang w:eastAsia="ja-JP"/>
        </w:rPr>
      </w:pPr>
      <w:r w:rsidRPr="00035B3A">
        <w:rPr>
          <w:bCs/>
          <w:lang w:eastAsia="ja-JP"/>
        </w:rPr>
        <w:t xml:space="preserve">Overall, there were no new safety concerns for </w:t>
      </w:r>
      <w:r w:rsidR="007F10D9">
        <w:t xml:space="preserve">Comirnaty (tozinameran) </w:t>
      </w:r>
      <w:r w:rsidRPr="00035B3A">
        <w:rPr>
          <w:bCs/>
          <w:lang w:eastAsia="ja-JP"/>
        </w:rPr>
        <w:t>10 µg identified from available safety data in childr</w:t>
      </w:r>
      <w:r w:rsidR="007F10D9">
        <w:rPr>
          <w:bCs/>
          <w:lang w:eastAsia="ja-JP"/>
        </w:rPr>
        <w:t>en aged 5 to under</w:t>
      </w:r>
      <w:r w:rsidRPr="00035B3A">
        <w:rPr>
          <w:bCs/>
          <w:lang w:eastAsia="ja-JP"/>
        </w:rPr>
        <w:t xml:space="preserve"> 12 years administered a booster </w:t>
      </w:r>
      <w:r w:rsidRPr="00035B3A">
        <w:rPr>
          <w:bCs/>
          <w:lang w:eastAsia="ja-JP"/>
        </w:rPr>
        <w:lastRenderedPageBreak/>
        <w:t xml:space="preserve">dose of </w:t>
      </w:r>
      <w:r w:rsidR="007F10D9">
        <w:t xml:space="preserve">Comirnaty (tozinameran) </w:t>
      </w:r>
      <w:r w:rsidRPr="00035B3A">
        <w:rPr>
          <w:bCs/>
          <w:lang w:eastAsia="ja-JP"/>
        </w:rPr>
        <w:t xml:space="preserve">10 </w:t>
      </w:r>
      <w:r w:rsidR="007F10D9">
        <w:rPr>
          <w:bCs/>
          <w:lang w:eastAsia="ja-JP"/>
        </w:rPr>
        <w:t>µg, 7 to under</w:t>
      </w:r>
      <w:r w:rsidRPr="006E52E8">
        <w:rPr>
          <w:bCs/>
          <w:lang w:eastAsia="ja-JP"/>
        </w:rPr>
        <w:t xml:space="preserve"> 9 months after</w:t>
      </w:r>
      <w:r w:rsidRPr="00035B3A">
        <w:rPr>
          <w:bCs/>
          <w:lang w:eastAsia="ja-JP"/>
        </w:rPr>
        <w:t xml:space="preserve"> the 2-dose primary series, taking into consideration the small sample size and short duration of follow-up.</w:t>
      </w:r>
    </w:p>
    <w:p w14:paraId="38126B36" w14:textId="71645A49" w:rsidR="001168CC" w:rsidRPr="00035B3A" w:rsidRDefault="001168CC" w:rsidP="001168CC">
      <w:pPr>
        <w:rPr>
          <w:bCs/>
          <w:lang w:eastAsia="ja-JP"/>
        </w:rPr>
      </w:pPr>
      <w:r w:rsidRPr="00F74E49">
        <w:rPr>
          <w:bCs/>
          <w:lang w:eastAsia="ja-JP"/>
        </w:rPr>
        <w:t xml:space="preserve">Overall, the types of common </w:t>
      </w:r>
      <w:r w:rsidR="007F10D9">
        <w:rPr>
          <w:bCs/>
          <w:lang w:eastAsia="ja-JP"/>
        </w:rPr>
        <w:t xml:space="preserve">adverse events </w:t>
      </w:r>
      <w:r w:rsidRPr="00F74E49">
        <w:rPr>
          <w:bCs/>
          <w:lang w:eastAsia="ja-JP"/>
        </w:rPr>
        <w:t xml:space="preserve">presented in the post-marketing data appear consistent with the known safety profile of Comirnaty in this age group. It is noted 18.5% case reports following the booster dose were considered serious and one fatal outcome was reported. A synthesised review of </w:t>
      </w:r>
      <w:r w:rsidR="007F10D9">
        <w:rPr>
          <w:bCs/>
          <w:lang w:eastAsia="ja-JP"/>
        </w:rPr>
        <w:t xml:space="preserve">serious adverse event </w:t>
      </w:r>
      <w:r w:rsidRPr="00F74E49">
        <w:rPr>
          <w:bCs/>
          <w:lang w:eastAsia="ja-JP"/>
        </w:rPr>
        <w:t>following the boo</w:t>
      </w:r>
      <w:r w:rsidR="007F10D9">
        <w:rPr>
          <w:bCs/>
          <w:lang w:eastAsia="ja-JP"/>
        </w:rPr>
        <w:t>ster dose in children aged 5 to under</w:t>
      </w:r>
      <w:r w:rsidRPr="00F74E49">
        <w:rPr>
          <w:bCs/>
          <w:lang w:eastAsia="ja-JP"/>
        </w:rPr>
        <w:t xml:space="preserve"> 12 years in the post-market setti</w:t>
      </w:r>
      <w:r w:rsidR="007F10D9">
        <w:rPr>
          <w:bCs/>
          <w:lang w:eastAsia="ja-JP"/>
        </w:rPr>
        <w:t>ng was not available. Of the 21 </w:t>
      </w:r>
      <w:r w:rsidRPr="00F74E49">
        <w:rPr>
          <w:bCs/>
          <w:lang w:eastAsia="ja-JP"/>
        </w:rPr>
        <w:t xml:space="preserve">case reports (as in the line listings of </w:t>
      </w:r>
      <w:r w:rsidR="007F10D9">
        <w:rPr>
          <w:bCs/>
          <w:lang w:eastAsia="ja-JP"/>
        </w:rPr>
        <w:t>adverse event</w:t>
      </w:r>
      <w:r w:rsidRPr="00F74E49">
        <w:rPr>
          <w:bCs/>
          <w:lang w:eastAsia="ja-JP"/>
        </w:rPr>
        <w:t xml:space="preserve"> reports) the most common </w:t>
      </w:r>
      <w:r w:rsidR="00AB0763">
        <w:rPr>
          <w:bCs/>
          <w:lang w:eastAsia="ja-JP"/>
        </w:rPr>
        <w:t xml:space="preserve">Preferred </w:t>
      </w:r>
      <w:r w:rsidR="007F10D9">
        <w:rPr>
          <w:bCs/>
          <w:lang w:eastAsia="ja-JP"/>
        </w:rPr>
        <w:t>Terms</w:t>
      </w:r>
      <w:r w:rsidRPr="00F74E49">
        <w:rPr>
          <w:bCs/>
          <w:lang w:eastAsia="ja-JP"/>
        </w:rPr>
        <w:t xml:space="preserve"> related to testing positive to COVID-19 (7 cases), and product administration error (4 cases). Of note, there were 2 case reports with </w:t>
      </w:r>
      <w:r w:rsidR="007F10D9">
        <w:rPr>
          <w:bCs/>
          <w:lang w:eastAsia="ja-JP"/>
        </w:rPr>
        <w:t>Preferred Terms</w:t>
      </w:r>
      <w:r w:rsidRPr="00F74E49">
        <w:rPr>
          <w:bCs/>
          <w:lang w:eastAsia="ja-JP"/>
        </w:rPr>
        <w:t xml:space="preserve"> of myocardit</w:t>
      </w:r>
      <w:r w:rsidR="007F10D9">
        <w:rPr>
          <w:bCs/>
          <w:lang w:eastAsia="ja-JP"/>
        </w:rPr>
        <w:t>is, and single case reports of m</w:t>
      </w:r>
      <w:r w:rsidRPr="00F74E49">
        <w:rPr>
          <w:bCs/>
          <w:lang w:eastAsia="ja-JP"/>
        </w:rPr>
        <w:t xml:space="preserve">ultisystem inflammatory syndrome in children (MIS-C), </w:t>
      </w:r>
      <w:r w:rsidR="00AB0763">
        <w:rPr>
          <w:bCs/>
          <w:lang w:eastAsia="ja-JP"/>
        </w:rPr>
        <w:t xml:space="preserve">and </w:t>
      </w:r>
      <w:r w:rsidRPr="00F74E49">
        <w:rPr>
          <w:bCs/>
          <w:lang w:eastAsia="ja-JP"/>
        </w:rPr>
        <w:t>Guillain-Barre syndrome</w:t>
      </w:r>
      <w:r w:rsidR="00AB0763">
        <w:rPr>
          <w:bCs/>
          <w:lang w:eastAsia="ja-JP"/>
        </w:rPr>
        <w:t>,</w:t>
      </w:r>
      <w:r w:rsidRPr="00F74E49">
        <w:rPr>
          <w:bCs/>
          <w:lang w:eastAsia="ja-JP"/>
        </w:rPr>
        <w:t xml:space="preserve"> and 2 cases with </w:t>
      </w:r>
      <w:r w:rsidR="007F10D9">
        <w:rPr>
          <w:bCs/>
          <w:lang w:eastAsia="ja-JP"/>
        </w:rPr>
        <w:t>Preferred Terms</w:t>
      </w:r>
      <w:r w:rsidRPr="00F74E49">
        <w:rPr>
          <w:bCs/>
          <w:lang w:eastAsia="ja-JP"/>
        </w:rPr>
        <w:t xml:space="preserve"> relating to axillary pain/swelling. The information availa</w:t>
      </w:r>
      <w:r w:rsidR="007F10D9">
        <w:rPr>
          <w:bCs/>
          <w:lang w:eastAsia="ja-JP"/>
        </w:rPr>
        <w:t xml:space="preserve">ble, as per the clinical evaluation, </w:t>
      </w:r>
      <w:r w:rsidRPr="00F74E49">
        <w:rPr>
          <w:bCs/>
          <w:lang w:eastAsia="ja-JP"/>
        </w:rPr>
        <w:t>on the fatal out</w:t>
      </w:r>
      <w:r w:rsidR="00AB0763">
        <w:rPr>
          <w:bCs/>
          <w:lang w:eastAsia="ja-JP"/>
        </w:rPr>
        <w:t>come case was limited to analysis</w:t>
      </w:r>
      <w:r w:rsidRPr="00F74E49">
        <w:rPr>
          <w:bCs/>
          <w:lang w:eastAsia="ja-JP"/>
        </w:rPr>
        <w:t xml:space="preserve"> and comment. </w:t>
      </w:r>
    </w:p>
    <w:p w14:paraId="35A7C0A6" w14:textId="77777777" w:rsidR="001168CC" w:rsidRPr="00A02D8B" w:rsidRDefault="001168CC" w:rsidP="007F10D9">
      <w:pPr>
        <w:pStyle w:val="Heading4"/>
      </w:pPr>
      <w:r>
        <w:t>Conclusions</w:t>
      </w:r>
    </w:p>
    <w:p w14:paraId="7F966576" w14:textId="2B7FC661" w:rsidR="001168CC" w:rsidRDefault="001168CC" w:rsidP="001168CC">
      <w:pPr>
        <w:rPr>
          <w:lang w:eastAsia="ja-JP"/>
        </w:rPr>
      </w:pPr>
      <w:r w:rsidRPr="009C45A0">
        <w:rPr>
          <w:lang w:eastAsia="ja-JP"/>
        </w:rPr>
        <w:t xml:space="preserve">Interim immunogenicity data demonstrate a booster dose of </w:t>
      </w:r>
      <w:r w:rsidR="007F10D9">
        <w:t xml:space="preserve">Comirnaty (tozinameran) vaccine </w:t>
      </w:r>
      <w:r w:rsidR="007F10D9">
        <w:rPr>
          <w:lang w:eastAsia="ja-JP"/>
        </w:rPr>
        <w:t xml:space="preserve">10 </w:t>
      </w:r>
      <w:proofErr w:type="spellStart"/>
      <w:r w:rsidR="007F10D9">
        <w:rPr>
          <w:lang w:eastAsia="ja-JP"/>
        </w:rPr>
        <w:t>μg</w:t>
      </w:r>
      <w:proofErr w:type="spellEnd"/>
      <w:r w:rsidR="007F10D9">
        <w:rPr>
          <w:lang w:eastAsia="ja-JP"/>
        </w:rPr>
        <w:t xml:space="preserve"> administered </w:t>
      </w:r>
      <w:r w:rsidR="00AB0763">
        <w:rPr>
          <w:lang w:eastAsia="ja-JP"/>
        </w:rPr>
        <w:t xml:space="preserve">from </w:t>
      </w:r>
      <w:r w:rsidR="007F10D9">
        <w:rPr>
          <w:lang w:eastAsia="ja-JP"/>
        </w:rPr>
        <w:t>7 to under</w:t>
      </w:r>
      <w:r w:rsidRPr="009C45A0">
        <w:rPr>
          <w:lang w:eastAsia="ja-JP"/>
        </w:rPr>
        <w:t xml:space="preserve"> 9 months followi</w:t>
      </w:r>
      <w:r w:rsidR="007F10D9">
        <w:rPr>
          <w:lang w:eastAsia="ja-JP"/>
        </w:rPr>
        <w:t>ng Dose 2 in children aged from 5 to under</w:t>
      </w:r>
      <w:r w:rsidRPr="009C45A0">
        <w:rPr>
          <w:lang w:eastAsia="ja-JP"/>
        </w:rPr>
        <w:t xml:space="preserve"> 12 years increased waning neutralising titres against the wild-type reference strain of SARS-CoV-2 to levels above those observed a</w:t>
      </w:r>
      <w:r w:rsidR="009757E7">
        <w:rPr>
          <w:lang w:eastAsia="ja-JP"/>
        </w:rPr>
        <w:t>fter the two</w:t>
      </w:r>
      <w:r w:rsidR="00AB0763">
        <w:rPr>
          <w:lang w:eastAsia="ja-JP"/>
        </w:rPr>
        <w:t>-dose primary series.</w:t>
      </w:r>
    </w:p>
    <w:p w14:paraId="47BF52CF" w14:textId="7B7F69B7" w:rsidR="001168CC" w:rsidRPr="00C4752A" w:rsidRDefault="001168CC" w:rsidP="001168CC">
      <w:pPr>
        <w:rPr>
          <w:bCs/>
          <w:highlight w:val="yellow"/>
          <w:lang w:eastAsia="ja-JP"/>
        </w:rPr>
      </w:pPr>
      <w:r>
        <w:rPr>
          <w:bCs/>
          <w:lang w:eastAsia="ja-JP"/>
        </w:rPr>
        <w:t>Th</w:t>
      </w:r>
      <w:r w:rsidRPr="001A33CA">
        <w:rPr>
          <w:bCs/>
          <w:lang w:eastAsia="ja-JP"/>
        </w:rPr>
        <w:t xml:space="preserve">e reactogenicity was mostly mild to moderate </w:t>
      </w:r>
      <w:r>
        <w:rPr>
          <w:bCs/>
          <w:lang w:eastAsia="ja-JP"/>
        </w:rPr>
        <w:t xml:space="preserve">with short </w:t>
      </w:r>
      <w:r w:rsidRPr="001A33CA">
        <w:rPr>
          <w:bCs/>
          <w:lang w:eastAsia="ja-JP"/>
        </w:rPr>
        <w:t>median duration of 1 to 2 days after onset</w:t>
      </w:r>
      <w:r>
        <w:rPr>
          <w:bCs/>
          <w:lang w:eastAsia="ja-JP"/>
        </w:rPr>
        <w:t xml:space="preserve"> </w:t>
      </w:r>
      <w:r w:rsidRPr="001A33CA">
        <w:rPr>
          <w:bCs/>
          <w:lang w:eastAsia="ja-JP"/>
        </w:rPr>
        <w:t>and was generally comparable to that observed after the two-dose series.</w:t>
      </w:r>
      <w:r>
        <w:rPr>
          <w:bCs/>
          <w:lang w:eastAsia="ja-JP"/>
        </w:rPr>
        <w:t xml:space="preserve"> </w:t>
      </w:r>
      <w:r w:rsidRPr="00987603">
        <w:rPr>
          <w:bCs/>
          <w:lang w:eastAsia="ja-JP"/>
        </w:rPr>
        <w:t xml:space="preserve">Overall, there were no new safety concerns for </w:t>
      </w:r>
      <w:bookmarkStart w:id="98" w:name="_Hlk111447969"/>
      <w:r w:rsidR="007F10D9">
        <w:t xml:space="preserve">Comirnaty (tozinameran) </w:t>
      </w:r>
      <w:r w:rsidRPr="00987603">
        <w:rPr>
          <w:bCs/>
          <w:lang w:eastAsia="ja-JP"/>
        </w:rPr>
        <w:t xml:space="preserve">10 µg </w:t>
      </w:r>
      <w:bookmarkEnd w:id="98"/>
      <w:r w:rsidRPr="00987603">
        <w:rPr>
          <w:bCs/>
          <w:lang w:eastAsia="ja-JP"/>
        </w:rPr>
        <w:t xml:space="preserve">identified from available safety data in children </w:t>
      </w:r>
      <w:r w:rsidR="007F10D9">
        <w:rPr>
          <w:lang w:eastAsia="ja-JP"/>
        </w:rPr>
        <w:t>aged 5 to under 12 years</w:t>
      </w:r>
      <w:r w:rsidRPr="00987603">
        <w:rPr>
          <w:bCs/>
          <w:lang w:eastAsia="ja-JP"/>
        </w:rPr>
        <w:t xml:space="preserve"> administered a booster dose of </w:t>
      </w:r>
      <w:r w:rsidR="007F10D9">
        <w:t xml:space="preserve">Comirnaty (tozinameran) </w:t>
      </w:r>
      <w:r w:rsidRPr="00987603">
        <w:rPr>
          <w:bCs/>
          <w:lang w:eastAsia="ja-JP"/>
        </w:rPr>
        <w:t xml:space="preserve">10 </w:t>
      </w:r>
      <w:r w:rsidRPr="006E52E8">
        <w:rPr>
          <w:bCs/>
          <w:lang w:eastAsia="ja-JP"/>
        </w:rPr>
        <w:t>µg</w:t>
      </w:r>
      <w:r>
        <w:rPr>
          <w:bCs/>
          <w:lang w:eastAsia="ja-JP"/>
        </w:rPr>
        <w:t>,</w:t>
      </w:r>
      <w:r w:rsidRPr="006E52E8">
        <w:rPr>
          <w:bCs/>
          <w:lang w:eastAsia="ja-JP"/>
        </w:rPr>
        <w:t xml:space="preserve"> </w:t>
      </w:r>
      <w:bookmarkStart w:id="99" w:name="_Hlk111448426"/>
      <w:r w:rsidR="007F10D9">
        <w:rPr>
          <w:bCs/>
          <w:lang w:eastAsia="ja-JP"/>
        </w:rPr>
        <w:t>7 to under</w:t>
      </w:r>
      <w:r w:rsidRPr="006E52E8">
        <w:rPr>
          <w:bCs/>
          <w:lang w:eastAsia="ja-JP"/>
        </w:rPr>
        <w:t xml:space="preserve"> 9 </w:t>
      </w:r>
      <w:bookmarkEnd w:id="99"/>
      <w:r w:rsidRPr="006E52E8">
        <w:rPr>
          <w:bCs/>
          <w:lang w:eastAsia="ja-JP"/>
        </w:rPr>
        <w:t>months</w:t>
      </w:r>
      <w:r w:rsidR="009757E7">
        <w:rPr>
          <w:bCs/>
          <w:lang w:eastAsia="ja-JP"/>
        </w:rPr>
        <w:t xml:space="preserve"> after the two</w:t>
      </w:r>
      <w:r w:rsidRPr="00987603">
        <w:rPr>
          <w:bCs/>
          <w:lang w:eastAsia="ja-JP"/>
        </w:rPr>
        <w:t xml:space="preserve">-dose primary series, taking into consideration the small sample size and short duration of follow-up. </w:t>
      </w:r>
      <w:r w:rsidRPr="00F74E49">
        <w:rPr>
          <w:bCs/>
          <w:lang w:eastAsia="ja-JP"/>
        </w:rPr>
        <w:t xml:space="preserve">Overall, the types of common </w:t>
      </w:r>
      <w:r w:rsidR="007F10D9">
        <w:rPr>
          <w:bCs/>
          <w:lang w:eastAsia="ja-JP"/>
        </w:rPr>
        <w:t xml:space="preserve">adverse events </w:t>
      </w:r>
      <w:r w:rsidRPr="00F74E49">
        <w:rPr>
          <w:bCs/>
          <w:lang w:eastAsia="ja-JP"/>
        </w:rPr>
        <w:t>presented in the post-marketing data appear consistent with the known safety profile of Comirnaty in this age group. It is noted 18.5% case reports following the booster dose were considered serious and one fatal outcome was reported.</w:t>
      </w:r>
    </w:p>
    <w:p w14:paraId="11D89B41" w14:textId="4A05B2D1" w:rsidR="001168CC" w:rsidRPr="00987603" w:rsidRDefault="007F10D9" w:rsidP="001168CC">
      <w:pPr>
        <w:rPr>
          <w:bCs/>
          <w:lang w:eastAsia="ja-JP"/>
        </w:rPr>
      </w:pPr>
      <w:r>
        <w:rPr>
          <w:bCs/>
          <w:lang w:eastAsia="ja-JP"/>
        </w:rPr>
        <w:t>The benefit-</w:t>
      </w:r>
      <w:r w:rsidR="001168CC" w:rsidRPr="00987603">
        <w:rPr>
          <w:bCs/>
          <w:lang w:eastAsia="ja-JP"/>
        </w:rPr>
        <w:t>risk</w:t>
      </w:r>
      <w:r>
        <w:rPr>
          <w:bCs/>
          <w:lang w:eastAsia="ja-JP"/>
        </w:rPr>
        <w:t xml:space="preserve"> balance of Comirnaty COVID-19 v</w:t>
      </w:r>
      <w:r w:rsidR="001168CC" w:rsidRPr="00987603">
        <w:rPr>
          <w:bCs/>
          <w:lang w:eastAsia="ja-JP"/>
        </w:rPr>
        <w:t>accine 10 µg</w:t>
      </w:r>
      <w:r w:rsidR="001168CC">
        <w:rPr>
          <w:bCs/>
          <w:lang w:eastAsia="ja-JP"/>
        </w:rPr>
        <w:t>,</w:t>
      </w:r>
      <w:r w:rsidR="001168CC" w:rsidRPr="00987603">
        <w:rPr>
          <w:bCs/>
          <w:lang w:eastAsia="ja-JP"/>
        </w:rPr>
        <w:t xml:space="preserve"> in this submission</w:t>
      </w:r>
      <w:r w:rsidR="001168CC">
        <w:rPr>
          <w:bCs/>
          <w:lang w:eastAsia="ja-JP"/>
        </w:rPr>
        <w:t>,</w:t>
      </w:r>
      <w:r w:rsidR="001168CC" w:rsidRPr="00987603">
        <w:rPr>
          <w:bCs/>
          <w:lang w:eastAsia="ja-JP"/>
        </w:rPr>
        <w:t xml:space="preserve"> as a booster </w:t>
      </w:r>
      <w:r w:rsidR="001168CC" w:rsidRPr="009C45A0">
        <w:rPr>
          <w:bCs/>
          <w:lang w:eastAsia="ja-JP"/>
        </w:rPr>
        <w:t xml:space="preserve">following Dose 2 in children aged </w:t>
      </w:r>
      <w:r w:rsidR="00AB0763">
        <w:rPr>
          <w:bCs/>
          <w:lang w:eastAsia="ja-JP"/>
        </w:rPr>
        <w:t>from 5 to under</w:t>
      </w:r>
      <w:r w:rsidR="001168CC" w:rsidRPr="009C45A0">
        <w:rPr>
          <w:bCs/>
          <w:lang w:eastAsia="ja-JP"/>
        </w:rPr>
        <w:t xml:space="preserve"> 12 years </w:t>
      </w:r>
      <w:r>
        <w:rPr>
          <w:bCs/>
          <w:lang w:eastAsia="ja-JP"/>
        </w:rPr>
        <w:t>appears positive for p</w:t>
      </w:r>
      <w:r w:rsidR="001168CC" w:rsidRPr="00987603">
        <w:rPr>
          <w:bCs/>
          <w:lang w:eastAsia="ja-JP"/>
        </w:rPr>
        <w:t xml:space="preserve">rovisional registration. </w:t>
      </w:r>
      <w:r w:rsidR="001168CC" w:rsidRPr="00A253CC">
        <w:rPr>
          <w:bCs/>
          <w:lang w:eastAsia="ja-JP"/>
        </w:rPr>
        <w:t xml:space="preserve">The timing of the booster dose after Dose 2 will be discussed at the </w:t>
      </w:r>
      <w:r>
        <w:rPr>
          <w:bCs/>
          <w:lang w:eastAsia="ja-JP"/>
        </w:rPr>
        <w:t>Advisory Committee on Vaccines (</w:t>
      </w:r>
      <w:r w:rsidR="001168CC" w:rsidRPr="00A253CC">
        <w:rPr>
          <w:bCs/>
          <w:lang w:eastAsia="ja-JP"/>
        </w:rPr>
        <w:t>ACV</w:t>
      </w:r>
      <w:r>
        <w:rPr>
          <w:bCs/>
          <w:lang w:eastAsia="ja-JP"/>
        </w:rPr>
        <w:t>)</w:t>
      </w:r>
      <w:r w:rsidR="001168CC" w:rsidRPr="00A253CC">
        <w:rPr>
          <w:bCs/>
          <w:lang w:eastAsia="ja-JP"/>
        </w:rPr>
        <w:t xml:space="preserve"> meeting.</w:t>
      </w:r>
    </w:p>
    <w:p w14:paraId="1C8F5B23" w14:textId="22BEF34A" w:rsidR="0074163C" w:rsidRDefault="0074163C" w:rsidP="0074163C">
      <w:pPr>
        <w:pStyle w:val="Heading4"/>
      </w:pPr>
      <w:bookmarkStart w:id="100" w:name="_Toc98931933"/>
      <w:r w:rsidRPr="00D23139">
        <w:t>Proposed action</w:t>
      </w:r>
      <w:bookmarkEnd w:id="100"/>
    </w:p>
    <w:p w14:paraId="710ED98C" w14:textId="333032A5" w:rsidR="007F10D9" w:rsidRDefault="00AB0763" w:rsidP="007F10D9">
      <w:r>
        <w:t xml:space="preserve">At this stage, whilst a decision was yet to be made, </w:t>
      </w:r>
      <w:r w:rsidR="007F10D9">
        <w:t>the Delegate was inclined to approve the registration of the product.</w:t>
      </w:r>
    </w:p>
    <w:p w14:paraId="1288328E" w14:textId="61BCB6E2" w:rsidR="007F10D9" w:rsidRPr="007F10D9" w:rsidRDefault="007F10D9" w:rsidP="007F10D9">
      <w:r>
        <w:t>The final decision will be made following the ACV discussion.</w:t>
      </w:r>
    </w:p>
    <w:p w14:paraId="2E03A92A" w14:textId="77777777" w:rsidR="0074163C" w:rsidRPr="00F73346" w:rsidRDefault="0074163C" w:rsidP="0074163C">
      <w:pPr>
        <w:pStyle w:val="Heading4"/>
      </w:pPr>
      <w:bookmarkStart w:id="101" w:name="_Toc98931936"/>
      <w:bookmarkStart w:id="102" w:name="_Toc247691532"/>
      <w:bookmarkStart w:id="103" w:name="_Toc314842516"/>
      <w:bookmarkEnd w:id="45"/>
      <w:bookmarkEnd w:id="91"/>
      <w:bookmarkEnd w:id="92"/>
      <w:r w:rsidRPr="00F73346">
        <w:t>Advisory Committee considerations</w:t>
      </w:r>
      <w:bookmarkEnd w:id="101"/>
    </w:p>
    <w:p w14:paraId="5D7D7ACF" w14:textId="3DD15F31" w:rsidR="0074163C" w:rsidRDefault="0074163C" w:rsidP="0074163C">
      <w:pPr>
        <w:rPr>
          <w:bCs/>
        </w:rPr>
      </w:pPr>
      <w:r w:rsidRPr="00456765">
        <w:rPr>
          <w:bCs/>
        </w:rPr>
        <w:t xml:space="preserve">The </w:t>
      </w:r>
      <w:hyperlink r:id="rId56"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31DD4D23" w14:textId="79DE6C3C" w:rsidR="0074163C" w:rsidRDefault="0074163C" w:rsidP="001E0AB7">
      <w:pPr>
        <w:pStyle w:val="Heading5"/>
      </w:pPr>
      <w:r w:rsidRPr="00F73346">
        <w:lastRenderedPageBreak/>
        <w:t>Specific advice to the Delegate</w:t>
      </w:r>
    </w:p>
    <w:p w14:paraId="6B5104C1" w14:textId="5240C869" w:rsidR="00A32DC0" w:rsidRDefault="00A32DC0" w:rsidP="001E0AB7">
      <w:pPr>
        <w:pStyle w:val="Numberbullet0"/>
        <w:keepNext/>
        <w:rPr>
          <w:b/>
          <w:i/>
        </w:rPr>
      </w:pPr>
      <w:r w:rsidRPr="00A32DC0">
        <w:rPr>
          <w:b/>
          <w:i/>
        </w:rPr>
        <w:t xml:space="preserve">Please advise on the </w:t>
      </w:r>
      <w:r>
        <w:rPr>
          <w:b/>
          <w:i/>
        </w:rPr>
        <w:t>s</w:t>
      </w:r>
      <w:r w:rsidRPr="00A32DC0">
        <w:rPr>
          <w:b/>
          <w:i/>
        </w:rPr>
        <w:t xml:space="preserve">ponsors’ proposal that the booster dose be administered </w:t>
      </w:r>
      <w:r w:rsidR="009757E7">
        <w:rPr>
          <w:b/>
          <w:i/>
        </w:rPr>
        <w:t>at least 6 months after Dose 2</w:t>
      </w:r>
    </w:p>
    <w:p w14:paraId="050F3E77" w14:textId="3A0B7A64" w:rsidR="008A0B55" w:rsidRDefault="008A0B55" w:rsidP="008A0B55">
      <w:r>
        <w:t xml:space="preserve">The ACV supported changes to the Product Information (PI) to allow a </w:t>
      </w:r>
      <w:proofErr w:type="gramStart"/>
      <w:r>
        <w:t>10 µg</w:t>
      </w:r>
      <w:proofErr w:type="gramEnd"/>
      <w:r>
        <w:t xml:space="preserve"> booster dose to be administered at least 6 months after Dose 2 for children from 5 to under 12 years of age, based on limited immunogenicity and safety data.</w:t>
      </w:r>
    </w:p>
    <w:p w14:paraId="34DC1F31" w14:textId="1BDFE263" w:rsidR="008A0B55" w:rsidRDefault="008A0B55" w:rsidP="008A0B55">
      <w:r>
        <w:t>This broadly aligns with USA and Canadian requirements and the clinical study criteria. The ACV noted that in the clinical study (Study C4591007) the booster dose (third dose) was administered between 5 and 9 months after Dose 2. However, almost all participants received the booster dose 7 to 9 months post primary series.</w:t>
      </w:r>
    </w:p>
    <w:p w14:paraId="7BA56AF9" w14:textId="61C4155C" w:rsidR="008A0B55" w:rsidRDefault="008A0B55" w:rsidP="008A0B55">
      <w:r>
        <w:t>The ACV highlighted that the proposed booster timeframe for children aged from 5 to under 12 years aligns with the current PI advice for the Comirnaty boos</w:t>
      </w:r>
      <w:r w:rsidR="00100607">
        <w:t xml:space="preserve">ter for </w:t>
      </w:r>
      <w:proofErr w:type="gramStart"/>
      <w:r w:rsidR="00100607">
        <w:t>12 to 15 </w:t>
      </w:r>
      <w:r>
        <w:t>year olds</w:t>
      </w:r>
      <w:proofErr w:type="gramEnd"/>
      <w:r>
        <w:t>. The ACV stated that alignment of administration timeframes / dosage intervals is an important consideration as the current differences can cause confusion for consumers and healthcare professionals using various COVID-19 vaccines across different age groups.</w:t>
      </w:r>
    </w:p>
    <w:p w14:paraId="2B670067" w14:textId="1405B9F0" w:rsidR="008A0B55" w:rsidRPr="008A0B55" w:rsidRDefault="008A0B55" w:rsidP="008A0B55">
      <w:r>
        <w:t>The clinical relevance of booster doses for this age group is unclear but may become important in the event of emergence of more transmissible/severe variants.</w:t>
      </w:r>
    </w:p>
    <w:p w14:paraId="64EB3E91" w14:textId="619080E4" w:rsidR="00A32DC0" w:rsidRPr="008A0B55" w:rsidRDefault="00A32DC0" w:rsidP="00A32DC0">
      <w:pPr>
        <w:pStyle w:val="Numberbullet0"/>
        <w:rPr>
          <w:b/>
          <w:i/>
        </w:rPr>
      </w:pPr>
      <w:r w:rsidRPr="00A32DC0">
        <w:rPr>
          <w:b/>
          <w:i/>
        </w:rPr>
        <w:t>Please comment on the</w:t>
      </w:r>
      <w:r w:rsidRPr="00A32DC0">
        <w:rPr>
          <w:b/>
          <w:bCs/>
          <w:i/>
        </w:rPr>
        <w:t xml:space="preserve"> benefit risk</w:t>
      </w:r>
      <w:r>
        <w:rPr>
          <w:b/>
          <w:bCs/>
          <w:i/>
        </w:rPr>
        <w:t xml:space="preserve"> balance of Comirnaty COVID-19 v</w:t>
      </w:r>
      <w:r w:rsidRPr="00A32DC0">
        <w:rPr>
          <w:b/>
          <w:bCs/>
          <w:i/>
        </w:rPr>
        <w:t xml:space="preserve">accine 10 µg (in this submission) as a booster following Dose 2 in children aged </w:t>
      </w:r>
      <w:r>
        <w:rPr>
          <w:b/>
          <w:bCs/>
          <w:i/>
        </w:rPr>
        <w:t>from 5 to under 12 years for p</w:t>
      </w:r>
      <w:r w:rsidR="00100607">
        <w:rPr>
          <w:b/>
          <w:bCs/>
          <w:i/>
        </w:rPr>
        <w:t>rovisional registration</w:t>
      </w:r>
    </w:p>
    <w:p w14:paraId="7A207D36" w14:textId="50035798" w:rsidR="008A0B55" w:rsidRDefault="008A0B55" w:rsidP="008A0B55">
      <w:r>
        <w:t xml:space="preserve">The ACV was of the view that </w:t>
      </w:r>
      <w:proofErr w:type="gramStart"/>
      <w:r>
        <w:t>overall</w:t>
      </w:r>
      <w:proofErr w:type="gramEnd"/>
      <w:r>
        <w:t xml:space="preserve"> there is a positive benefit risk profile for Comirnaty COVID-19 vaccine 10 µas a booster following Dose 2 in </w:t>
      </w:r>
      <w:r w:rsidR="008E6C23">
        <w:t>children aged 5 to less than 12 </w:t>
      </w:r>
      <w:r>
        <w:t>years of age when considered for provisional registration.</w:t>
      </w:r>
    </w:p>
    <w:p w14:paraId="4B707222" w14:textId="13B23887" w:rsidR="008A0B55" w:rsidRDefault="008A0B55" w:rsidP="008A0B55">
      <w:r>
        <w:t>The ACV agreed that the demonstrated immunogenicity supports use in the population aged</w:t>
      </w:r>
      <w:r w:rsidR="008E6C23">
        <w:t xml:space="preserve"> from 5 to under 12</w:t>
      </w:r>
      <w:r>
        <w:t xml:space="preserve"> years, although noted that an immunological correlate of protection is yet to be well defined.</w:t>
      </w:r>
    </w:p>
    <w:p w14:paraId="33D76363" w14:textId="77777777" w:rsidR="008A0B55" w:rsidRDefault="008A0B55" w:rsidP="008A0B55">
      <w:r>
        <w:t>The ACV acknowledged the limited data set, particularly for participants without prior evidence of COVID-19. However, the committee noted the increasing difficulties in recruiting participants without prior evidence of COVID-19.</w:t>
      </w:r>
    </w:p>
    <w:p w14:paraId="1F2DB5B3" w14:textId="690C890E" w:rsidR="008A0B55" w:rsidRPr="008A0B55" w:rsidRDefault="008A0B55" w:rsidP="008A0B55">
      <w:r>
        <w:t xml:space="preserve">The ACV highlighted that the USA post marketing data indicated that the most frequent safety reports following the booster within this age range were product preparation and administration errors. The ACV agreed that ongoing mitigation of these errors is important and noted that the Canadian PI provides some useful administration explanations. In addition, the ACV noted some confusion within the PI </w:t>
      </w:r>
      <w:proofErr w:type="gramStart"/>
      <w:r>
        <w:t>in regard to</w:t>
      </w:r>
      <w:proofErr w:type="gramEnd"/>
      <w:r>
        <w:t xml:space="preserve"> diluted and non-diluted preparations. The ACV discussed the potential for administration errors and reiterated the importance of post marketing surveillance and risk migration activities broadly to address administration errors for COVID-19 vaccines.</w:t>
      </w:r>
    </w:p>
    <w:p w14:paraId="54620400" w14:textId="3A1237B5" w:rsidR="00F86E18" w:rsidRDefault="0074163C" w:rsidP="001E0AB7">
      <w:pPr>
        <w:pStyle w:val="Heading5"/>
      </w:pPr>
      <w:r w:rsidRPr="00F73346">
        <w:lastRenderedPageBreak/>
        <w:t>Conclusion</w:t>
      </w:r>
    </w:p>
    <w:p w14:paraId="1BEBC254" w14:textId="1557056A" w:rsidR="00E2732F" w:rsidRDefault="00E2732F" w:rsidP="001E0AB7">
      <w:pPr>
        <w:keepNext/>
        <w:keepLines/>
      </w:pPr>
      <w:r>
        <w:t>The ACV considered the following proposal for a major variation to the currently approved dosage regimen, for the inclusion</w:t>
      </w:r>
      <w:r w:rsidRPr="00E2732F">
        <w:t xml:space="preserve"> </w:t>
      </w:r>
      <w:r>
        <w:t xml:space="preserve">of a booster dose of Comirnaty (tozinameran) </w:t>
      </w:r>
      <w:r w:rsidRPr="00E2732F">
        <w:t xml:space="preserve">10 </w:t>
      </w:r>
      <w:r>
        <w:t xml:space="preserve">µg </w:t>
      </w:r>
      <w:r w:rsidRPr="00E2732F">
        <w:t xml:space="preserve">per 0.2 mL dose, </w:t>
      </w:r>
      <w:r>
        <w:t>as c</w:t>
      </w:r>
      <w:r w:rsidRPr="00E2732F">
        <w:t>oncentrat</w:t>
      </w:r>
      <w:r>
        <w:t>ed suspension for injection (</w:t>
      </w:r>
      <w:r w:rsidRPr="00E2732F">
        <w:t>tris/sucrose formulation</w:t>
      </w:r>
      <w:r>
        <w:t>)</w:t>
      </w:r>
      <w:r w:rsidRPr="00E2732F">
        <w:t xml:space="preserve"> for individuals aged 5 to less than 12 years.</w:t>
      </w:r>
    </w:p>
    <w:p w14:paraId="67EFFB56" w14:textId="288F98B8" w:rsidR="00F86E18" w:rsidRDefault="00E2732F" w:rsidP="001E0AB7">
      <w:pPr>
        <w:keepNext/>
      </w:pPr>
      <w:r>
        <w:t xml:space="preserve">The </w:t>
      </w:r>
      <w:r w:rsidR="00F86E18">
        <w:t>provisionally approved indication</w:t>
      </w:r>
      <w:r>
        <w:t xml:space="preserve"> is as follows</w:t>
      </w:r>
      <w:r w:rsidR="00F86E18">
        <w:t>:</w:t>
      </w:r>
    </w:p>
    <w:p w14:paraId="46D2A202" w14:textId="071747C3" w:rsidR="00F86E18" w:rsidRPr="00F86E18" w:rsidRDefault="00F86E18" w:rsidP="001E0AB7">
      <w:pPr>
        <w:keepNext/>
        <w:ind w:left="720"/>
        <w:rPr>
          <w:i/>
        </w:rPr>
      </w:pPr>
      <w:r w:rsidRPr="00F86E18">
        <w:rPr>
          <w:i/>
        </w:rPr>
        <w:t>Comirnaty (tozinameran) COVID-19 Vaccine has provisional approval for the indication below:</w:t>
      </w:r>
    </w:p>
    <w:p w14:paraId="199DFE8C" w14:textId="77777777" w:rsidR="00F86E18" w:rsidRPr="00F86E18" w:rsidRDefault="00F86E18" w:rsidP="00F86E18">
      <w:pPr>
        <w:ind w:left="720"/>
        <w:rPr>
          <w:i/>
        </w:rPr>
      </w:pPr>
      <w:r w:rsidRPr="00F86E18">
        <w:rPr>
          <w:i/>
        </w:rPr>
        <w:t>Active immunisation to prevent coronavirus disease 2019 (COVID-19) caused by SARS-CoV-2, in individuals 5 years of age and older.</w:t>
      </w:r>
    </w:p>
    <w:p w14:paraId="5D3AEFD7" w14:textId="77777777" w:rsidR="00F86E18" w:rsidRPr="00F86E18" w:rsidRDefault="00F86E18" w:rsidP="00F86E18">
      <w:pPr>
        <w:ind w:left="720"/>
        <w:rPr>
          <w:i/>
        </w:rPr>
      </w:pPr>
      <w:r w:rsidRPr="00F86E18">
        <w:rPr>
          <w:i/>
        </w:rPr>
        <w:t>The use of this vaccine should be in accordance with official recommendations.</w:t>
      </w:r>
    </w:p>
    <w:p w14:paraId="57B643F0" w14:textId="7837FAA8" w:rsidR="00F86E18" w:rsidRDefault="00F86E18" w:rsidP="00F86E18">
      <w:pPr>
        <w:ind w:left="720"/>
        <w:rPr>
          <w:i/>
        </w:rPr>
      </w:pPr>
      <w:r w:rsidRPr="00F86E18">
        <w:rPr>
          <w:i/>
        </w:rPr>
        <w:t xml:space="preserve">The decision has been made on the basis of </w:t>
      </w:r>
      <w:proofErr w:type="gramStart"/>
      <w:r w:rsidRPr="00F86E18">
        <w:rPr>
          <w:i/>
        </w:rPr>
        <w:t>short term</w:t>
      </w:r>
      <w:proofErr w:type="gramEnd"/>
      <w:r w:rsidRPr="00F86E18">
        <w:rPr>
          <w:i/>
        </w:rPr>
        <w:t xml:space="preserve"> efficacy and safety data. Continued approval depends on the evidence of </w:t>
      </w:r>
      <w:proofErr w:type="gramStart"/>
      <w:r w:rsidRPr="00F86E18">
        <w:rPr>
          <w:i/>
        </w:rPr>
        <w:t>longer term</w:t>
      </w:r>
      <w:proofErr w:type="gramEnd"/>
      <w:r w:rsidRPr="00F86E18">
        <w:rPr>
          <w:i/>
        </w:rPr>
        <w:t xml:space="preserve"> efficacy and safety from ongoing clinical trials and post-market assessment.</w:t>
      </w:r>
    </w:p>
    <w:p w14:paraId="344CC5D9" w14:textId="0E3F0B66" w:rsidR="00F86E18" w:rsidRDefault="00E2732F" w:rsidP="00F86E18">
      <w:pPr>
        <w:rPr>
          <w:rFonts w:eastAsia="MS Mincho"/>
          <w:lang w:eastAsia="ja-JP"/>
        </w:rPr>
      </w:pPr>
      <w:r>
        <w:rPr>
          <w:rFonts w:eastAsia="MS Mincho"/>
          <w:lang w:eastAsia="ja-JP"/>
        </w:rPr>
        <w:t>The c</w:t>
      </w:r>
      <w:r w:rsidR="00F86E18">
        <w:rPr>
          <w:rFonts w:eastAsia="MS Mincho"/>
          <w:lang w:eastAsia="ja-JP"/>
        </w:rPr>
        <w:t>urrently approved dosage (abridged)</w:t>
      </w:r>
      <w:r>
        <w:rPr>
          <w:rFonts w:eastAsia="MS Mincho"/>
          <w:lang w:eastAsia="ja-JP"/>
        </w:rPr>
        <w:t>, is as follows</w:t>
      </w:r>
      <w:r w:rsidR="00F86E18">
        <w:rPr>
          <w:rFonts w:eastAsia="MS Mincho"/>
          <w:lang w:eastAsia="ja-JP"/>
        </w:rPr>
        <w:t>:</w:t>
      </w:r>
    </w:p>
    <w:p w14:paraId="4EF93654" w14:textId="77777777" w:rsidR="00F86E18" w:rsidRPr="00F86E18" w:rsidRDefault="00F86E18" w:rsidP="00F86E18">
      <w:pPr>
        <w:ind w:left="720"/>
        <w:rPr>
          <w:b/>
          <w:i/>
          <w:iCs/>
        </w:rPr>
      </w:pPr>
      <w:r w:rsidRPr="00F86E18">
        <w:rPr>
          <w:b/>
          <w:i/>
          <w:iCs/>
        </w:rPr>
        <w:t xml:space="preserve">Booster dose in individuals 12 years of age and older </w:t>
      </w:r>
    </w:p>
    <w:p w14:paraId="49A617F2" w14:textId="1FA4DD6A" w:rsidR="00F86E18" w:rsidRPr="00F86E18" w:rsidRDefault="00F86E18" w:rsidP="00F86E18">
      <w:pPr>
        <w:ind w:left="720"/>
        <w:rPr>
          <w:i/>
        </w:rPr>
      </w:pPr>
      <w:r w:rsidRPr="00F86E18">
        <w:rPr>
          <w:i/>
        </w:rPr>
        <w:t>A booster dose of Comirnaty may be administered intramuscularly at least 6 months after the completion of a COVID-19 vaccine primary series in individuals 12 years of age and older.</w:t>
      </w:r>
    </w:p>
    <w:p w14:paraId="4AA11CEE" w14:textId="146E1BCC" w:rsidR="00F86E18" w:rsidRDefault="00F86E18" w:rsidP="00F86E18">
      <w:pPr>
        <w:ind w:left="720"/>
      </w:pPr>
      <w:r w:rsidRPr="00F86E18">
        <w:rPr>
          <w:i/>
        </w:rPr>
        <w:t>The decision when and for whom to implement a booster dose of Comirnaty should be made based on available vaccine safety and effectiveness data (see sections 4.4 Special warnings and precautions for use and 5.1 Pharmacodynamic properties</w:t>
      </w:r>
      <w:r>
        <w:rPr>
          <w:i/>
        </w:rPr>
        <w:t xml:space="preserve"> </w:t>
      </w:r>
      <w:r>
        <w:t>[of the Product Information]</w:t>
      </w:r>
      <w:r w:rsidRPr="00F86E18">
        <w:rPr>
          <w:i/>
        </w:rPr>
        <w:t>), in accordance with official recommendations</w:t>
      </w:r>
      <w:r w:rsidRPr="007F050C">
        <w:t>.</w:t>
      </w:r>
    </w:p>
    <w:p w14:paraId="2A37A24C" w14:textId="77777777" w:rsidR="00A373F2" w:rsidRPr="00A373F2" w:rsidRDefault="00A373F2" w:rsidP="00A373F2">
      <w:pPr>
        <w:ind w:left="720"/>
        <w:rPr>
          <w:i/>
        </w:rPr>
      </w:pPr>
      <w:r w:rsidRPr="00A373F2">
        <w:rPr>
          <w:i/>
        </w:rPr>
        <w:t>The proposed wording for booster dosing sought is:</w:t>
      </w:r>
    </w:p>
    <w:p w14:paraId="5F2D1A81" w14:textId="630567BB" w:rsidR="00F86E18" w:rsidRDefault="00E2732F" w:rsidP="00F86E18">
      <w:r>
        <w:t xml:space="preserve">The proposed </w:t>
      </w:r>
      <w:r w:rsidR="00A373F2">
        <w:t>wording for booster dosing sought by the sponsor</w:t>
      </w:r>
      <w:r w:rsidR="00F86E18">
        <w:t xml:space="preserve"> </w:t>
      </w:r>
      <w:r>
        <w:t>with this submission, is as follows</w:t>
      </w:r>
      <w:r w:rsidR="00F86E18">
        <w:t>:</w:t>
      </w:r>
    </w:p>
    <w:p w14:paraId="28D194C1" w14:textId="0DC76B5A" w:rsidR="00F86E18" w:rsidRPr="00F86E18" w:rsidRDefault="00F86E18" w:rsidP="00F86E18">
      <w:pPr>
        <w:rPr>
          <w:b/>
          <w:i/>
          <w:iCs/>
        </w:rPr>
      </w:pPr>
      <w:r>
        <w:tab/>
      </w:r>
      <w:r w:rsidRPr="00F86E18">
        <w:rPr>
          <w:b/>
          <w:i/>
          <w:iCs/>
        </w:rPr>
        <w:t>Booster dose in individuals 5 to &lt;</w:t>
      </w:r>
      <w:r>
        <w:rPr>
          <w:b/>
          <w:i/>
          <w:iCs/>
        </w:rPr>
        <w:t xml:space="preserve"> </w:t>
      </w:r>
      <w:r w:rsidRPr="00F86E18">
        <w:rPr>
          <w:b/>
          <w:i/>
          <w:iCs/>
        </w:rPr>
        <w:t>12 years of age</w:t>
      </w:r>
    </w:p>
    <w:p w14:paraId="2E632EBF" w14:textId="3DBF72EE" w:rsidR="00A373F2" w:rsidRPr="00F86E18" w:rsidRDefault="00A373F2" w:rsidP="00A373F2">
      <w:pPr>
        <w:ind w:left="720"/>
        <w:rPr>
          <w:i/>
        </w:rPr>
      </w:pPr>
      <w:r w:rsidRPr="00A373F2">
        <w:rPr>
          <w:i/>
        </w:rPr>
        <w:t>A booster dose of Comirnaty may be administ</w:t>
      </w:r>
      <w:r>
        <w:rPr>
          <w:i/>
        </w:rPr>
        <w:t>ered intramuscularly at least 6 </w:t>
      </w:r>
      <w:r w:rsidRPr="00A373F2">
        <w:rPr>
          <w:i/>
        </w:rPr>
        <w:t xml:space="preserve">months after the completion of a COVID-19 vaccine </w:t>
      </w:r>
      <w:r>
        <w:rPr>
          <w:i/>
        </w:rPr>
        <w:t>primary series in individuals 5 </w:t>
      </w:r>
      <w:r w:rsidRPr="00A373F2">
        <w:rPr>
          <w:i/>
        </w:rPr>
        <w:t>to &lt;</w:t>
      </w:r>
      <w:r>
        <w:rPr>
          <w:i/>
        </w:rPr>
        <w:t> </w:t>
      </w:r>
      <w:r w:rsidRPr="00A373F2">
        <w:rPr>
          <w:i/>
        </w:rPr>
        <w:t>12 years of age.</w:t>
      </w:r>
    </w:p>
    <w:p w14:paraId="05B09191" w14:textId="36BE12F2" w:rsidR="008E6C23" w:rsidRDefault="008E6C23" w:rsidP="008E6C23">
      <w:r>
        <w:t xml:space="preserve">The ACV considered this product to have an overall positive benefit-risk profile for use as a booster (third) dose in children aged 5 to less than 12 years of age when considered for provisional registration. This does not imply a booster dose is necessary or desirable for use across the Australian population aged from </w:t>
      </w:r>
      <w:proofErr w:type="gramStart"/>
      <w:r>
        <w:t xml:space="preserve">5 to </w:t>
      </w:r>
      <w:r w:rsidR="00E2732F">
        <w:t>11 year olds</w:t>
      </w:r>
      <w:proofErr w:type="gramEnd"/>
      <w:r>
        <w:t>.</w:t>
      </w:r>
    </w:p>
    <w:p w14:paraId="07E90776" w14:textId="23A59A9E" w:rsidR="008E6C23" w:rsidRPr="008E6C23" w:rsidRDefault="008E6C23" w:rsidP="008E6C23">
      <w:r>
        <w:t>The use and t</w:t>
      </w:r>
      <w:r w:rsidR="00E2732F">
        <w:t xml:space="preserve">iming of Comirnaty booster in </w:t>
      </w:r>
      <w:proofErr w:type="gramStart"/>
      <w:r w:rsidR="00E2732F">
        <w:t xml:space="preserve">5 to </w:t>
      </w:r>
      <w:r>
        <w:t>11 year olds</w:t>
      </w:r>
      <w:proofErr w:type="gramEnd"/>
      <w:r>
        <w:t xml:space="preserve"> should be in accordance with official recommendations.</w:t>
      </w:r>
    </w:p>
    <w:p w14:paraId="7FDC6C24" w14:textId="77777777" w:rsidR="008E7846" w:rsidRPr="002E238E" w:rsidRDefault="008E7846" w:rsidP="00D212F3">
      <w:pPr>
        <w:pStyle w:val="Heading2"/>
      </w:pPr>
      <w:bookmarkStart w:id="104" w:name="_Toc115349607"/>
      <w:r>
        <w:t>Outcome</w:t>
      </w:r>
      <w:bookmarkEnd w:id="102"/>
      <w:bookmarkEnd w:id="103"/>
      <w:bookmarkEnd w:id="104"/>
    </w:p>
    <w:p w14:paraId="10EDB09C" w14:textId="77777777" w:rsidR="00082CFA" w:rsidRDefault="0074163C" w:rsidP="00082CFA">
      <w:bookmarkStart w:id="105" w:name="_Toc247691533"/>
      <w:bookmarkStart w:id="106" w:name="_Toc314842517"/>
      <w:r>
        <w:t xml:space="preserve">Based on a review of quality, </w:t>
      </w:r>
      <w:r w:rsidR="00CC5044">
        <w:t>safety,</w:t>
      </w:r>
      <w:r>
        <w:t xml:space="preserve"> and efficacy, the T</w:t>
      </w:r>
      <w:r w:rsidR="00082CFA">
        <w:t>GA approved a change in dosage regimen for the following provisionally registered medicine:</w:t>
      </w:r>
    </w:p>
    <w:p w14:paraId="608B2130" w14:textId="309CF848" w:rsidR="00082CFA" w:rsidRDefault="00082CFA" w:rsidP="00082CFA">
      <w:pPr>
        <w:ind w:left="720"/>
      </w:pPr>
      <w:r>
        <w:t>Comirnaty (tozinameran) COVID-19 vaccine 10 µg/0.2 mL concentrated suspension for injection, multidose vial.</w:t>
      </w:r>
    </w:p>
    <w:p w14:paraId="028ADAB9" w14:textId="76055B9F" w:rsidR="008B11FD" w:rsidRPr="008B11FD" w:rsidRDefault="008B11FD" w:rsidP="008B11FD">
      <w:r>
        <w:rPr>
          <w:lang w:val="en-GB"/>
        </w:rPr>
        <w:t xml:space="preserve">For the medicine listed above, the TGA has approved a </w:t>
      </w:r>
      <w:r w:rsidR="00082CFA">
        <w:rPr>
          <w:lang w:val="en-GB"/>
        </w:rPr>
        <w:t xml:space="preserve">dosage regimen that </w:t>
      </w:r>
      <w:r>
        <w:rPr>
          <w:lang w:val="en-GB"/>
        </w:rPr>
        <w:t>allows for the following:</w:t>
      </w:r>
    </w:p>
    <w:p w14:paraId="7E38F3D3" w14:textId="440189FC" w:rsidR="00082CFA" w:rsidRDefault="008B11FD" w:rsidP="008B11FD">
      <w:pPr>
        <w:autoSpaceDE w:val="0"/>
        <w:autoSpaceDN w:val="0"/>
        <w:adjustRightInd w:val="0"/>
        <w:spacing w:before="0" w:after="0" w:line="240" w:lineRule="auto"/>
        <w:ind w:left="720"/>
        <w:rPr>
          <w:rFonts w:eastAsiaTheme="minorHAnsi" w:cs="Cambria"/>
          <w:i/>
          <w:lang w:val="en-GB"/>
        </w:rPr>
      </w:pPr>
      <w:r>
        <w:rPr>
          <w:rFonts w:eastAsiaTheme="minorHAnsi" w:cs="Cambria"/>
          <w:i/>
          <w:lang w:val="en-GB"/>
        </w:rPr>
        <w:lastRenderedPageBreak/>
        <w:t>A</w:t>
      </w:r>
      <w:r w:rsidR="00082CFA" w:rsidRPr="008B11FD">
        <w:rPr>
          <w:rFonts w:eastAsiaTheme="minorHAnsi" w:cs="Cambria"/>
          <w:i/>
          <w:lang w:val="en-GB"/>
        </w:rPr>
        <w:t xml:space="preserve"> </w:t>
      </w:r>
      <w:r w:rsidRPr="008B11FD">
        <w:rPr>
          <w:rFonts w:eastAsiaTheme="minorHAnsi" w:cs="Cambria"/>
          <w:i/>
          <w:lang w:val="en-GB"/>
        </w:rPr>
        <w:t>‘</w:t>
      </w:r>
      <w:r w:rsidR="00082CFA" w:rsidRPr="008B11FD">
        <w:rPr>
          <w:rFonts w:eastAsiaTheme="minorHAnsi" w:cs="Cambria"/>
          <w:i/>
          <w:lang w:val="en-GB"/>
        </w:rPr>
        <w:t>booster</w:t>
      </w:r>
      <w:r w:rsidRPr="008B11FD">
        <w:rPr>
          <w:rFonts w:eastAsiaTheme="minorHAnsi" w:cs="Cambria"/>
          <w:i/>
          <w:lang w:val="en-GB"/>
        </w:rPr>
        <w:t>’</w:t>
      </w:r>
      <w:r w:rsidR="00082CFA" w:rsidRPr="008B11FD">
        <w:rPr>
          <w:rFonts w:eastAsiaTheme="minorHAnsi" w:cs="Cambria"/>
          <w:i/>
          <w:lang w:val="en-GB"/>
        </w:rPr>
        <w:t xml:space="preserve"> dose</w:t>
      </w:r>
      <w:r w:rsidRPr="008B11FD">
        <w:rPr>
          <w:rFonts w:eastAsiaTheme="minorHAnsi" w:cs="Cambria"/>
          <w:i/>
          <w:lang w:val="en-GB"/>
        </w:rPr>
        <w:t xml:space="preserve"> administered at least 6 months </w:t>
      </w:r>
      <w:r>
        <w:rPr>
          <w:rFonts w:eastAsiaTheme="minorHAnsi" w:cs="Cambria"/>
          <w:i/>
          <w:lang w:val="en-GB"/>
        </w:rPr>
        <w:t xml:space="preserve">following the primary vaccination series </w:t>
      </w:r>
      <w:r w:rsidR="00082CFA" w:rsidRPr="008B11FD">
        <w:rPr>
          <w:rFonts w:eastAsiaTheme="minorHAnsi" w:cs="Cambria"/>
          <w:i/>
          <w:lang w:val="en-GB"/>
        </w:rPr>
        <w:t>to indivi</w:t>
      </w:r>
      <w:r w:rsidRPr="008B11FD">
        <w:rPr>
          <w:rFonts w:eastAsiaTheme="minorHAnsi" w:cs="Cambria"/>
          <w:i/>
          <w:lang w:val="en-GB"/>
        </w:rPr>
        <w:t xml:space="preserve">duals </w:t>
      </w:r>
      <w:r>
        <w:rPr>
          <w:rFonts w:eastAsiaTheme="minorHAnsi" w:cs="Cambria"/>
          <w:i/>
          <w:lang w:val="en-GB"/>
        </w:rPr>
        <w:t xml:space="preserve">from 5 to under </w:t>
      </w:r>
      <w:r w:rsidRPr="008B11FD">
        <w:rPr>
          <w:rFonts w:eastAsiaTheme="minorHAnsi" w:cs="Cambria"/>
          <w:i/>
          <w:lang w:val="en-GB"/>
        </w:rPr>
        <w:t>12 years of age</w:t>
      </w:r>
      <w:r>
        <w:rPr>
          <w:rFonts w:eastAsiaTheme="minorHAnsi" w:cs="Cambria"/>
          <w:i/>
          <w:lang w:val="en-GB"/>
        </w:rPr>
        <w:t>.</w:t>
      </w:r>
    </w:p>
    <w:p w14:paraId="75910C0B" w14:textId="5810CDF9" w:rsidR="00082CFA" w:rsidRDefault="008B11FD" w:rsidP="00082CFA">
      <w:pPr>
        <w:rPr>
          <w:rFonts w:eastAsiaTheme="minorHAnsi" w:cs="Cambria"/>
          <w:lang w:val="en-GB"/>
        </w:rPr>
      </w:pPr>
      <w:r>
        <w:t xml:space="preserve">Additionally, the TGA has approved </w:t>
      </w:r>
      <w:r>
        <w:rPr>
          <w:rFonts w:eastAsiaTheme="minorHAnsi" w:cs="Cambria"/>
          <w:lang w:val="en-GB"/>
        </w:rPr>
        <w:t>new Product Information for this m</w:t>
      </w:r>
      <w:r w:rsidR="00082CFA">
        <w:rPr>
          <w:rFonts w:eastAsiaTheme="minorHAnsi" w:cs="Cambria"/>
          <w:lang w:val="en-GB"/>
        </w:rPr>
        <w:t>edicine that reflect the new dosage</w:t>
      </w:r>
      <w:r>
        <w:t xml:space="preserve"> </w:t>
      </w:r>
      <w:r w:rsidR="00082CFA">
        <w:rPr>
          <w:rFonts w:eastAsiaTheme="minorHAnsi" w:cs="Cambria"/>
          <w:lang w:val="en-GB"/>
        </w:rPr>
        <w:t>r</w:t>
      </w:r>
      <w:r>
        <w:rPr>
          <w:rFonts w:eastAsiaTheme="minorHAnsi" w:cs="Cambria"/>
          <w:lang w:val="en-GB"/>
        </w:rPr>
        <w:t>egimen and other amendments.</w:t>
      </w:r>
      <w:r w:rsidR="00457474">
        <w:rPr>
          <w:rFonts w:eastAsiaTheme="minorHAnsi" w:cs="Cambria"/>
          <w:lang w:val="en-GB"/>
        </w:rPr>
        <w:t xml:space="preserve"> The text in the new Product Information reflecting this change in dosage regimen is as follows:</w:t>
      </w:r>
    </w:p>
    <w:p w14:paraId="20A55B6D" w14:textId="77002D0F" w:rsidR="00457474" w:rsidRPr="00457474" w:rsidRDefault="00457474" w:rsidP="00457474">
      <w:pPr>
        <w:ind w:firstLine="720"/>
        <w:rPr>
          <w:b/>
          <w:i/>
        </w:rPr>
      </w:pPr>
      <w:r w:rsidRPr="00457474">
        <w:rPr>
          <w:b/>
          <w:i/>
        </w:rPr>
        <w:t>Booster dose in individuals 5 to &lt;</w:t>
      </w:r>
      <w:r w:rsidR="00533746">
        <w:rPr>
          <w:b/>
          <w:i/>
        </w:rPr>
        <w:t xml:space="preserve"> </w:t>
      </w:r>
      <w:r w:rsidRPr="00457474">
        <w:rPr>
          <w:b/>
          <w:i/>
        </w:rPr>
        <w:t>12 years of age</w:t>
      </w:r>
    </w:p>
    <w:p w14:paraId="17BAC132" w14:textId="7F47BA1E" w:rsidR="00457474" w:rsidRPr="00457474" w:rsidRDefault="00457474" w:rsidP="00457474">
      <w:pPr>
        <w:ind w:left="720"/>
        <w:rPr>
          <w:i/>
        </w:rPr>
      </w:pPr>
      <w:r w:rsidRPr="00457474">
        <w:rPr>
          <w:i/>
        </w:rPr>
        <w:t xml:space="preserve">A booster dose of Comirnaty Dilute </w:t>
      </w:r>
      <w:proofErr w:type="gramStart"/>
      <w:r w:rsidRPr="00457474">
        <w:rPr>
          <w:i/>
        </w:rPr>
        <w:t>To</w:t>
      </w:r>
      <w:proofErr w:type="gramEnd"/>
      <w:r w:rsidRPr="00457474">
        <w:rPr>
          <w:i/>
        </w:rPr>
        <w:t xml:space="preserve"> Use Multidose (For Age 5 to &lt;</w:t>
      </w:r>
      <w:r>
        <w:rPr>
          <w:i/>
        </w:rPr>
        <w:t xml:space="preserve"> </w:t>
      </w:r>
      <w:r w:rsidRPr="00457474">
        <w:rPr>
          <w:i/>
        </w:rPr>
        <w:t>12 Years) may be administered intramuscularly at least 6 months after the second dose in individuals 5 to &lt;</w:t>
      </w:r>
      <w:r>
        <w:rPr>
          <w:i/>
        </w:rPr>
        <w:t xml:space="preserve"> </w:t>
      </w:r>
      <w:r w:rsidRPr="00457474">
        <w:rPr>
          <w:i/>
        </w:rPr>
        <w:t>12 years of age.</w:t>
      </w:r>
    </w:p>
    <w:p w14:paraId="2A130096" w14:textId="247C0049" w:rsidR="008B11FD" w:rsidRDefault="008B11FD" w:rsidP="008B11FD">
      <w:r>
        <w:t>The provision</w:t>
      </w:r>
      <w:r w:rsidR="007B20C4">
        <w:t>ally approved indication for the above medicine is unchanged from the e</w:t>
      </w:r>
      <w:r>
        <w:t xml:space="preserve">xisting </w:t>
      </w:r>
      <w:r w:rsidR="007B20C4">
        <w:t xml:space="preserve">indication. As such, the full indications </w:t>
      </w:r>
      <w:proofErr w:type="gramStart"/>
      <w:r w:rsidR="007B20C4">
        <w:t>at this time</w:t>
      </w:r>
      <w:proofErr w:type="gramEnd"/>
      <w:r w:rsidR="007B20C4">
        <w:t xml:space="preserve"> remain as follows:</w:t>
      </w:r>
    </w:p>
    <w:p w14:paraId="40D16669" w14:textId="4312CD47" w:rsidR="008B11FD" w:rsidRPr="007B20C4" w:rsidRDefault="007B20C4" w:rsidP="007B20C4">
      <w:pPr>
        <w:ind w:left="720"/>
        <w:rPr>
          <w:i/>
        </w:rPr>
      </w:pPr>
      <w:r w:rsidRPr="007B20C4">
        <w:rPr>
          <w:i/>
        </w:rPr>
        <w:t xml:space="preserve">Comirnaty </w:t>
      </w:r>
      <w:r w:rsidR="008B11FD" w:rsidRPr="007B20C4">
        <w:rPr>
          <w:i/>
        </w:rPr>
        <w:t>(tozinameran) COVID-19 Vaccine h</w:t>
      </w:r>
      <w:r w:rsidRPr="007B20C4">
        <w:rPr>
          <w:i/>
        </w:rPr>
        <w:t xml:space="preserve">as provisional approval for the </w:t>
      </w:r>
      <w:r w:rsidR="008B11FD" w:rsidRPr="007B20C4">
        <w:rPr>
          <w:i/>
        </w:rPr>
        <w:t>indication below:</w:t>
      </w:r>
    </w:p>
    <w:p w14:paraId="49C8A7F3" w14:textId="640155BC" w:rsidR="008B11FD" w:rsidRPr="007B20C4" w:rsidRDefault="008B11FD" w:rsidP="007B20C4">
      <w:pPr>
        <w:ind w:left="720"/>
        <w:rPr>
          <w:i/>
        </w:rPr>
      </w:pPr>
      <w:r w:rsidRPr="007B20C4">
        <w:rPr>
          <w:i/>
        </w:rPr>
        <w:t>Active immunisation to prevent coronavirus disease 2019 (COVID-19) caused by SARS</w:t>
      </w:r>
      <w:r w:rsidR="007B20C4" w:rsidRPr="007B20C4">
        <w:rPr>
          <w:i/>
        </w:rPr>
        <w:noBreakHyphen/>
      </w:r>
      <w:r w:rsidRPr="007B20C4">
        <w:rPr>
          <w:i/>
        </w:rPr>
        <w:t>CoV-2, in individuals 5 years of age and older.</w:t>
      </w:r>
    </w:p>
    <w:p w14:paraId="31E00020" w14:textId="77777777" w:rsidR="008B11FD" w:rsidRPr="007B20C4" w:rsidRDefault="008B11FD" w:rsidP="007B20C4">
      <w:pPr>
        <w:ind w:firstLine="720"/>
        <w:rPr>
          <w:i/>
        </w:rPr>
      </w:pPr>
      <w:r w:rsidRPr="007B20C4">
        <w:rPr>
          <w:i/>
        </w:rPr>
        <w:t>The use of this vaccine should be in accordance with official recommendations.</w:t>
      </w:r>
    </w:p>
    <w:p w14:paraId="462D9764" w14:textId="18A4E0C7" w:rsidR="0074163C" w:rsidRDefault="008B11FD" w:rsidP="007B20C4">
      <w:pPr>
        <w:ind w:left="720"/>
        <w:rPr>
          <w:i/>
        </w:rPr>
      </w:pPr>
      <w:r w:rsidRPr="007B20C4">
        <w:rPr>
          <w:i/>
        </w:rPr>
        <w:t xml:space="preserve">The decision has been made on the basis of </w:t>
      </w:r>
      <w:proofErr w:type="gramStart"/>
      <w:r w:rsidRPr="007B20C4">
        <w:rPr>
          <w:i/>
        </w:rPr>
        <w:t>short term</w:t>
      </w:r>
      <w:proofErr w:type="gramEnd"/>
      <w:r w:rsidRPr="007B20C4">
        <w:rPr>
          <w:i/>
        </w:rPr>
        <w:t xml:space="preserve"> efficacy and safety data.</w:t>
      </w:r>
      <w:r w:rsidR="007B20C4" w:rsidRPr="007B20C4">
        <w:rPr>
          <w:i/>
        </w:rPr>
        <w:t xml:space="preserve"> </w:t>
      </w:r>
      <w:r w:rsidRPr="007B20C4">
        <w:rPr>
          <w:i/>
        </w:rPr>
        <w:t xml:space="preserve">Continued approval depends on the evidence of </w:t>
      </w:r>
      <w:proofErr w:type="gramStart"/>
      <w:r w:rsidRPr="007B20C4">
        <w:rPr>
          <w:i/>
        </w:rPr>
        <w:t>longer term</w:t>
      </w:r>
      <w:proofErr w:type="gramEnd"/>
      <w:r w:rsidRPr="007B20C4">
        <w:rPr>
          <w:i/>
        </w:rPr>
        <w:t xml:space="preserve"> efficacy and safety from</w:t>
      </w:r>
      <w:r w:rsidR="007B20C4" w:rsidRPr="007B20C4">
        <w:rPr>
          <w:i/>
        </w:rPr>
        <w:t xml:space="preserve"> </w:t>
      </w:r>
      <w:r w:rsidRPr="007B20C4">
        <w:rPr>
          <w:i/>
        </w:rPr>
        <w:t>ongoing clinical trials and post-market assessment.</w:t>
      </w:r>
    </w:p>
    <w:p w14:paraId="58458192" w14:textId="4C039051" w:rsidR="00D23139" w:rsidRDefault="00D23139" w:rsidP="00D212F3">
      <w:pPr>
        <w:pStyle w:val="Heading3"/>
      </w:pPr>
      <w:bookmarkStart w:id="107" w:name="_Toc115349608"/>
      <w:r w:rsidRPr="00D23139">
        <w:t>Specific conditions of registration applying to these goods</w:t>
      </w:r>
      <w:bookmarkEnd w:id="107"/>
    </w:p>
    <w:p w14:paraId="6E88C693" w14:textId="4E4DC6BF" w:rsidR="007B20C4" w:rsidRPr="007B20C4" w:rsidRDefault="007B20C4" w:rsidP="007B20C4">
      <w:r>
        <w:t>Subject to specific conditions (below)</w:t>
      </w:r>
      <w:r w:rsidRPr="007B20C4">
        <w:t>, all conditions that have previously been imposed on the</w:t>
      </w:r>
      <w:r>
        <w:t xml:space="preserve"> </w:t>
      </w:r>
      <w:r w:rsidRPr="007B20C4">
        <w:t>p</w:t>
      </w:r>
      <w:r>
        <w:t>rovisional registration of the e</w:t>
      </w:r>
      <w:r w:rsidRPr="007B20C4">
        <w:t xml:space="preserve">xisting Comirnaty </w:t>
      </w:r>
      <w:r>
        <w:t>medicine, as in force at the date of this decision:</w:t>
      </w:r>
    </w:p>
    <w:p w14:paraId="7D0A2C72" w14:textId="4C02F758" w:rsidR="00587E93" w:rsidRDefault="00587E93" w:rsidP="00587E93">
      <w:pPr>
        <w:pStyle w:val="ListBullet"/>
      </w:pPr>
      <w:r>
        <w:t>The risk management plan</w:t>
      </w:r>
      <w:r w:rsidRPr="00963EF6">
        <w:t xml:space="preserve"> condition of the notice of the provisional registr</w:t>
      </w:r>
      <w:r w:rsidR="007B20C4">
        <w:t>ation decision relating to the e</w:t>
      </w:r>
      <w:r w:rsidRPr="00963EF6">
        <w:t xml:space="preserve">xisting </w:t>
      </w:r>
      <w:r>
        <w:t>Comirnaty</w:t>
      </w:r>
      <w:r w:rsidRPr="00963EF6">
        <w:t xml:space="preserve"> </w:t>
      </w:r>
      <w:r w:rsidR="007B20C4">
        <w:t>m</w:t>
      </w:r>
      <w:r w:rsidRPr="00963EF6">
        <w:t xml:space="preserve">edicine, varied as below: </w:t>
      </w:r>
    </w:p>
    <w:p w14:paraId="719CD5A4" w14:textId="49973DF7" w:rsidR="00587E93" w:rsidRPr="00587E93" w:rsidRDefault="00587E93" w:rsidP="007B20C4">
      <w:pPr>
        <w:pStyle w:val="ListBullet2"/>
      </w:pPr>
      <w:r w:rsidRPr="00587E93">
        <w:t>The Comirnaty EU-Risk Management Plan (RMP) (version 4.1, dated 2 February 2022, data lock point 30 September 2021, for 5 to &lt;</w:t>
      </w:r>
      <w:r w:rsidR="009757E7">
        <w:t xml:space="preserve"> </w:t>
      </w:r>
      <w:r w:rsidRPr="00587E93">
        <w:t>1</w:t>
      </w:r>
      <w:r w:rsidR="007B20C4">
        <w:t>2 years of age: Module SIII – 6 </w:t>
      </w:r>
      <w:r w:rsidRPr="00587E93">
        <w:t>September 2021; Module SVII.3 - 6 September 202</w:t>
      </w:r>
      <w:r w:rsidR="007B20C4">
        <w:t>1- Pfizer clinical database, 18 </w:t>
      </w:r>
      <w:r w:rsidRPr="00587E93">
        <w:t>June 2021 - Pfizer safety database), with Australian Specific Annex (version 0.4, dated 11 November 2021), and any subsequent revisions, as agreed with the TGA will be implemented in Australia.</w:t>
      </w:r>
    </w:p>
    <w:p w14:paraId="59E27E12" w14:textId="77777777" w:rsidR="00587E93" w:rsidRPr="00587E93" w:rsidRDefault="00587E93" w:rsidP="007B20C4">
      <w:pPr>
        <w:pStyle w:val="ListBullet"/>
      </w:pPr>
      <w:r w:rsidRPr="00587E93">
        <w:t>Comirnaty is to be included in the Black Triangle Scheme. The PI and CMI for Comirnaty must include the black triangle symbol and mandatory accompanying text for the products entire period of provisional registration.</w:t>
      </w:r>
    </w:p>
    <w:p w14:paraId="0D6F21DE" w14:textId="4FF50244" w:rsidR="00587E93" w:rsidRDefault="00587E93" w:rsidP="00587E93">
      <w:pPr>
        <w:pStyle w:val="ListBullet"/>
      </w:pPr>
      <w:r>
        <w:t xml:space="preserve">The following additional </w:t>
      </w:r>
      <w:r w:rsidR="007B20C4">
        <w:t xml:space="preserve">specific </w:t>
      </w:r>
      <w:r w:rsidRPr="005A0225">
        <w:t>conditions</w:t>
      </w:r>
      <w:r w:rsidR="007B20C4">
        <w:t xml:space="preserve"> apply</w:t>
      </w:r>
      <w:r w:rsidRPr="005A0225">
        <w:t xml:space="preserve">: </w:t>
      </w:r>
    </w:p>
    <w:p w14:paraId="7B72F067" w14:textId="4399270D" w:rsidR="00587E93" w:rsidRPr="00D01A14" w:rsidRDefault="00587E93" w:rsidP="00587E93">
      <w:pPr>
        <w:pStyle w:val="ListBullet2"/>
      </w:pPr>
      <w:r w:rsidRPr="00D01A14">
        <w:t>Submit the final</w:t>
      </w:r>
      <w:r>
        <w:t xml:space="preserve"> analysis of the pivotal Phase II/III</w:t>
      </w:r>
      <w:r w:rsidRPr="00D01A14">
        <w:t xml:space="preserve"> Study C4591007 and th</w:t>
      </w:r>
      <w:r>
        <w:t>e</w:t>
      </w:r>
      <w:r w:rsidR="007B20C4">
        <w:t xml:space="preserve"> clinical study r</w:t>
      </w:r>
      <w:r w:rsidRPr="00D01A14">
        <w:t>eport) when available.</w:t>
      </w:r>
    </w:p>
    <w:p w14:paraId="037D8673" w14:textId="77777777" w:rsidR="00587E93" w:rsidRPr="005A0225" w:rsidRDefault="00587E93" w:rsidP="00587E93">
      <w:pPr>
        <w:pStyle w:val="ListBullet2"/>
      </w:pPr>
      <w:r w:rsidRPr="00B16960">
        <w:t>Confirmatory trial data (as identified in the sponsor’s plan to submit comprehensive</w:t>
      </w:r>
      <w:r>
        <w:t xml:space="preserve"> </w:t>
      </w:r>
      <w:r w:rsidRPr="00B16960">
        <w:t>clinical data on the safety and efficacy of the medicine before the end of the 6 years</w:t>
      </w:r>
      <w:r>
        <w:t xml:space="preserve"> </w:t>
      </w:r>
      <w:r w:rsidRPr="00B16960">
        <w:t>that would start on the day that registration would commence) must be provided.</w:t>
      </w:r>
    </w:p>
    <w:p w14:paraId="068F0368" w14:textId="77777777" w:rsidR="008E7846" w:rsidRDefault="00A80B5B" w:rsidP="00D23139">
      <w:pPr>
        <w:pStyle w:val="Heading2"/>
      </w:pPr>
      <w:bookmarkStart w:id="108" w:name="_Toc115349609"/>
      <w:r>
        <w:lastRenderedPageBreak/>
        <w:t xml:space="preserve">Attachment 1. </w:t>
      </w:r>
      <w:r w:rsidR="008E7846">
        <w:t xml:space="preserve">Product </w:t>
      </w:r>
      <w:r w:rsidR="00AA0ED0">
        <w:t>I</w:t>
      </w:r>
      <w:r w:rsidR="008E7846">
        <w:t>nformation</w:t>
      </w:r>
      <w:bookmarkEnd w:id="105"/>
      <w:bookmarkEnd w:id="106"/>
      <w:bookmarkEnd w:id="108"/>
    </w:p>
    <w:p w14:paraId="33D0260D" w14:textId="243DB6D1" w:rsidR="008E7846" w:rsidRPr="00EB36D6" w:rsidRDefault="006136D7" w:rsidP="00EB36D6">
      <w:r w:rsidRPr="002B3624">
        <w:t xml:space="preserve">The </w:t>
      </w:r>
      <w:r>
        <w:t>PI</w:t>
      </w:r>
      <w:r w:rsidRPr="002B3624">
        <w:t xml:space="preserve"> for </w:t>
      </w:r>
      <w:r w:rsidR="00457474">
        <w:t xml:space="preserve">Comirnaty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57" w:history="1">
        <w:r w:rsidR="0074163C" w:rsidRPr="008A698E">
          <w:rPr>
            <w:rStyle w:val="Hyperlink"/>
          </w:rPr>
          <w:t>PI/CMI search facility</w:t>
        </w:r>
        <w:r w:rsidR="0074163C" w:rsidRPr="00EB36D6">
          <w:rPr>
            <w:rStyle w:val="Hyperlink"/>
            <w:color w:val="auto"/>
            <w:u w:val="none"/>
          </w:rPr>
          <w:t>.</w:t>
        </w:r>
      </w:hyperlink>
      <w:r w:rsidR="008E7846" w:rsidRPr="00C80137">
        <w:br w:type="page"/>
      </w:r>
    </w:p>
    <w:p w14:paraId="783FF444" w14:textId="77777777" w:rsidR="00C80137" w:rsidRPr="001D043B" w:rsidRDefault="00C80137" w:rsidP="003A7F6C">
      <w:pPr>
        <w:pStyle w:val="TableTitle"/>
        <w:sectPr w:rsidR="00C80137" w:rsidRPr="001D043B" w:rsidSect="00B452CE">
          <w:headerReference w:type="even" r:id="rId58"/>
          <w:headerReference w:type="default" r:id="rId59"/>
          <w:headerReference w:type="first" r:id="rId60"/>
          <w:footerReference w:type="first" r:id="rId6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ED4D41A" w14:textId="77777777" w:rsidTr="00A05FA4">
        <w:trPr>
          <w:trHeight w:hRule="exact" w:val="704"/>
        </w:trPr>
        <w:tc>
          <w:tcPr>
            <w:tcW w:w="9175" w:type="dxa"/>
          </w:tcPr>
          <w:p w14:paraId="488AC5D8" w14:textId="77777777" w:rsidR="001C32CD" w:rsidRPr="00487162" w:rsidRDefault="001C32CD" w:rsidP="00A05FA4">
            <w:pPr>
              <w:pStyle w:val="TGASignoff"/>
            </w:pPr>
            <w:r w:rsidRPr="00487162">
              <w:lastRenderedPageBreak/>
              <w:t>Therapeutic Goods Administration</w:t>
            </w:r>
          </w:p>
        </w:tc>
      </w:tr>
      <w:tr w:rsidR="001C32CD" w:rsidRPr="004C239D" w14:paraId="4CE49654" w14:textId="77777777" w:rsidTr="00A05FA4">
        <w:trPr>
          <w:trHeight w:val="1221"/>
        </w:trPr>
        <w:tc>
          <w:tcPr>
            <w:tcW w:w="9175" w:type="dxa"/>
            <w:tcMar>
              <w:top w:w="28" w:type="dxa"/>
            </w:tcMar>
          </w:tcPr>
          <w:p w14:paraId="15D99AC0" w14:textId="77777777" w:rsidR="001C32CD" w:rsidRPr="00487162" w:rsidRDefault="001C32CD" w:rsidP="00A05FA4">
            <w:pPr>
              <w:pStyle w:val="Address"/>
            </w:pPr>
            <w:r w:rsidRPr="00487162">
              <w:t>PO Box 100 Woden ACT 2606 Australia</w:t>
            </w:r>
          </w:p>
          <w:p w14:paraId="58127F28" w14:textId="6E9B257F" w:rsidR="001C32CD" w:rsidRPr="00487162" w:rsidRDefault="001C32CD" w:rsidP="00A05FA4">
            <w:pPr>
              <w:pStyle w:val="Address"/>
            </w:pPr>
            <w:r w:rsidRPr="00487162">
              <w:t xml:space="preserve">Email: </w:t>
            </w:r>
            <w:hyperlink r:id="rId62"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8A4FF57" w14:textId="50FA7478" w:rsidR="001C32CD" w:rsidRPr="004C239D" w:rsidRDefault="00BC0ACB" w:rsidP="00A05FA4">
            <w:pPr>
              <w:pStyle w:val="Address"/>
              <w:spacing w:line="260" w:lineRule="atLeast"/>
              <w:rPr>
                <w:b/>
                <w:color w:val="0000FF"/>
                <w:u w:val="single"/>
              </w:rPr>
            </w:pPr>
            <w:hyperlink r:id="rId63" w:history="1">
              <w:r w:rsidR="007C6B9B" w:rsidRPr="007C6B9B">
                <w:rPr>
                  <w:rStyle w:val="Hyperlink"/>
                  <w:b/>
                </w:rPr>
                <w:t>https://www.tga.gov.au</w:t>
              </w:r>
            </w:hyperlink>
          </w:p>
        </w:tc>
      </w:tr>
    </w:tbl>
    <w:p w14:paraId="7867F9AA" w14:textId="77777777" w:rsidR="00774E1D" w:rsidRPr="008A5E0B" w:rsidRDefault="00774E1D" w:rsidP="004C239D"/>
    <w:sectPr w:rsidR="00774E1D" w:rsidRPr="008A5E0B" w:rsidSect="001C32CD">
      <w:headerReference w:type="even" r:id="rId64"/>
      <w:headerReference w:type="default" r:id="rId65"/>
      <w:footerReference w:type="default" r:id="rId66"/>
      <w:headerReference w:type="first" r:id="rId67"/>
      <w:footerReference w:type="first" r:id="rId6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1C12" w14:textId="77777777" w:rsidR="00A97688" w:rsidRDefault="00A97688" w:rsidP="00C40A36">
      <w:pPr>
        <w:spacing w:after="0"/>
      </w:pPr>
      <w:r>
        <w:separator/>
      </w:r>
    </w:p>
  </w:endnote>
  <w:endnote w:type="continuationSeparator" w:id="0">
    <w:p w14:paraId="6645732B" w14:textId="77777777" w:rsidR="00A97688" w:rsidRDefault="00A9768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97688" w:rsidRPr="00487162" w14:paraId="555099F7" w14:textId="77777777" w:rsidTr="00DB750B">
      <w:trPr>
        <w:trHeight w:val="269"/>
      </w:trPr>
      <w:tc>
        <w:tcPr>
          <w:tcW w:w="7371" w:type="dxa"/>
          <w:tcMar>
            <w:top w:w="142" w:type="dxa"/>
            <w:bottom w:w="0" w:type="dxa"/>
          </w:tcMar>
        </w:tcPr>
        <w:p w14:paraId="6DB10EA4" w14:textId="464B25F3" w:rsidR="00A97688" w:rsidRPr="00487162" w:rsidRDefault="00A97688" w:rsidP="000D3C85">
          <w:pPr>
            <w:pStyle w:val="Footer"/>
          </w:pPr>
          <w:proofErr w:type="spellStart"/>
          <w:r w:rsidRPr="00487162">
            <w:t>AusPA</w:t>
          </w:r>
          <w:r>
            <w:t>R</w:t>
          </w:r>
          <w:proofErr w:type="spellEnd"/>
          <w:r>
            <w:t xml:space="preserve"> - Comirnaty </w:t>
          </w:r>
          <w:r w:rsidRPr="00460036">
            <w:t xml:space="preserve">– </w:t>
          </w:r>
          <w:r>
            <w:t>tozinameran</w:t>
          </w:r>
          <w:r w:rsidRPr="00460036">
            <w:t xml:space="preserve"> </w:t>
          </w:r>
          <w:r>
            <w:t xml:space="preserve">– Pfizer Australia Pty Ltd </w:t>
          </w:r>
          <w:r w:rsidRPr="000D3C85">
            <w:t>PM-2022-02476-1</w:t>
          </w:r>
          <w:r>
            <w:t>-2</w:t>
          </w:r>
          <w:r>
            <w:br/>
          </w:r>
          <w:r w:rsidR="006063BE">
            <w:t>FINAL</w:t>
          </w:r>
          <w:r w:rsidRPr="00487162">
            <w:t xml:space="preserve"> </w:t>
          </w:r>
          <w:r w:rsidR="006063BE">
            <w:t>30</w:t>
          </w:r>
          <w:r>
            <w:t xml:space="preserve"> September 2022</w:t>
          </w:r>
        </w:p>
      </w:tc>
      <w:tc>
        <w:tcPr>
          <w:tcW w:w="1490" w:type="dxa"/>
          <w:tcMar>
            <w:top w:w="142" w:type="dxa"/>
            <w:bottom w:w="0" w:type="dxa"/>
          </w:tcMar>
        </w:tcPr>
        <w:p w14:paraId="3C8BABF5" w14:textId="1704118F" w:rsidR="00A97688" w:rsidRPr="00487162" w:rsidRDefault="00A97688" w:rsidP="00DB750B">
          <w:pPr>
            <w:pStyle w:val="Footer"/>
            <w:jc w:val="right"/>
          </w:pPr>
          <w:r w:rsidRPr="00487162">
            <w:t xml:space="preserve">Page </w:t>
          </w:r>
          <w:r>
            <w:fldChar w:fldCharType="begin"/>
          </w:r>
          <w:r>
            <w:instrText xml:space="preserve"> PAGE  \* Arabic </w:instrText>
          </w:r>
          <w:r>
            <w:fldChar w:fldCharType="separate"/>
          </w:r>
          <w:r w:rsidR="00533746">
            <w:rPr>
              <w:noProof/>
            </w:rPr>
            <w:t>58</w:t>
          </w:r>
          <w:r>
            <w:fldChar w:fldCharType="end"/>
          </w:r>
          <w:r w:rsidRPr="00487162">
            <w:t xml:space="preserve"> of </w:t>
          </w:r>
          <w:r w:rsidR="00BC0ACB">
            <w:fldChar w:fldCharType="begin"/>
          </w:r>
          <w:r w:rsidR="00BC0ACB">
            <w:instrText xml:space="preserve"> NUMPAGES  \* Arabic </w:instrText>
          </w:r>
          <w:r w:rsidR="00BC0ACB">
            <w:fldChar w:fldCharType="separate"/>
          </w:r>
          <w:r w:rsidR="00533746">
            <w:rPr>
              <w:noProof/>
            </w:rPr>
            <w:t>59</w:t>
          </w:r>
          <w:r w:rsidR="00BC0ACB">
            <w:rPr>
              <w:noProof/>
            </w:rPr>
            <w:fldChar w:fldCharType="end"/>
          </w:r>
        </w:p>
      </w:tc>
    </w:tr>
  </w:tbl>
  <w:p w14:paraId="102F68E8" w14:textId="77777777" w:rsidR="00A97688" w:rsidRDefault="00A97688"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97688" w:rsidRPr="00487162" w14:paraId="0E0C6D69" w14:textId="77777777" w:rsidTr="00E45619">
      <w:trPr>
        <w:trHeight w:val="269"/>
      </w:trPr>
      <w:tc>
        <w:tcPr>
          <w:tcW w:w="4519" w:type="dxa"/>
          <w:tcBorders>
            <w:top w:val="single" w:sz="4" w:space="0" w:color="auto"/>
          </w:tcBorders>
          <w:tcMar>
            <w:top w:w="142" w:type="dxa"/>
            <w:bottom w:w="0" w:type="dxa"/>
          </w:tcMar>
        </w:tcPr>
        <w:p w14:paraId="06E4A023" w14:textId="77777777" w:rsidR="00A97688" w:rsidRPr="00487162" w:rsidRDefault="00A97688" w:rsidP="00FE1DEE">
          <w:pPr>
            <w:pStyle w:val="Footer"/>
          </w:pPr>
          <w:r w:rsidRPr="00487162">
            <w:t>Document title, Part #, Section # - Section title</w:t>
          </w:r>
        </w:p>
        <w:p w14:paraId="0BE01019" w14:textId="77777777" w:rsidR="00A97688" w:rsidRPr="00487162" w:rsidRDefault="00A97688" w:rsidP="00FE1DEE">
          <w:pPr>
            <w:pStyle w:val="Footer"/>
          </w:pPr>
          <w:r w:rsidRPr="00487162">
            <w:t>V1.0 October 2010</w:t>
          </w:r>
        </w:p>
      </w:tc>
      <w:tc>
        <w:tcPr>
          <w:tcW w:w="4342" w:type="dxa"/>
          <w:tcBorders>
            <w:top w:val="single" w:sz="4" w:space="0" w:color="auto"/>
          </w:tcBorders>
          <w:tcMar>
            <w:top w:w="142" w:type="dxa"/>
            <w:bottom w:w="0" w:type="dxa"/>
          </w:tcMar>
        </w:tcPr>
        <w:p w14:paraId="2DD63718" w14:textId="77777777" w:rsidR="00A97688" w:rsidRPr="00487162" w:rsidRDefault="00A9768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C0ACB">
            <w:fldChar w:fldCharType="begin"/>
          </w:r>
          <w:r w:rsidR="00BC0ACB">
            <w:instrText xml:space="preserve"> NUMPAGES  </w:instrText>
          </w:r>
          <w:r w:rsidR="00BC0ACB">
            <w:fldChar w:fldCharType="separate"/>
          </w:r>
          <w:r>
            <w:rPr>
              <w:noProof/>
            </w:rPr>
            <w:t>21</w:t>
          </w:r>
          <w:r w:rsidR="00BC0ACB">
            <w:rPr>
              <w:noProof/>
            </w:rPr>
            <w:fldChar w:fldCharType="end"/>
          </w:r>
        </w:p>
      </w:tc>
    </w:tr>
  </w:tbl>
  <w:p w14:paraId="0DCE18E2" w14:textId="77777777" w:rsidR="00A97688" w:rsidRDefault="00A97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F14A" w14:textId="77777777" w:rsidR="00A97688" w:rsidRPr="001C32CD" w:rsidRDefault="00A97688"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97688" w14:paraId="78527175" w14:textId="77777777" w:rsidTr="0010601F">
      <w:trPr>
        <w:trHeight w:val="108"/>
      </w:trPr>
      <w:tc>
        <w:tcPr>
          <w:tcW w:w="8875" w:type="dxa"/>
          <w:gridSpan w:val="2"/>
          <w:tcBorders>
            <w:bottom w:val="single" w:sz="4" w:space="0" w:color="auto"/>
          </w:tcBorders>
          <w:tcMar>
            <w:right w:w="284" w:type="dxa"/>
          </w:tcMar>
        </w:tcPr>
        <w:p w14:paraId="6A4CD745" w14:textId="77777777" w:rsidR="00A97688" w:rsidRDefault="00A97688" w:rsidP="006E08B3">
          <w:pPr>
            <w:pStyle w:val="Heading3"/>
          </w:pPr>
          <w:r>
            <w:t>Copyright</w:t>
          </w:r>
        </w:p>
        <w:p w14:paraId="20EB6250" w14:textId="77777777" w:rsidR="00A97688" w:rsidRDefault="00A97688" w:rsidP="006E08B3">
          <w:r>
            <w:rPr>
              <w:rFonts w:cs="Arial"/>
            </w:rPr>
            <w:t>©</w:t>
          </w:r>
          <w:r>
            <w:t xml:space="preserve"> Commonwealth of Australia [add year]</w:t>
          </w:r>
        </w:p>
        <w:p w14:paraId="01274E4A" w14:textId="77777777" w:rsidR="00A97688" w:rsidRDefault="00A97688" w:rsidP="006E08B3"/>
        <w:p w14:paraId="5BF31B56" w14:textId="77777777" w:rsidR="00A97688" w:rsidRDefault="00A9768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86CA3C3" w14:textId="77777777" w:rsidR="00A97688" w:rsidRDefault="00A97688" w:rsidP="006E08B3"/>
        <w:p w14:paraId="1AD335E7" w14:textId="77777777" w:rsidR="00A97688" w:rsidRDefault="00A97688" w:rsidP="006E08B3">
          <w:pPr>
            <w:pStyle w:val="Heading3"/>
          </w:pPr>
          <w:r>
            <w:t>Confidentiality</w:t>
          </w:r>
        </w:p>
        <w:p w14:paraId="33C78C07" w14:textId="77777777" w:rsidR="00A97688" w:rsidRDefault="00A9768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953A95C" w14:textId="77777777" w:rsidR="00A97688" w:rsidRDefault="00A97688" w:rsidP="006E08B3"/>
        <w:p w14:paraId="6994E677" w14:textId="77777777" w:rsidR="00A97688" w:rsidRDefault="00A97688" w:rsidP="006E08B3">
          <w:r>
            <w:t>For submission made by individuals, all personal details, other than your name, will be removed from your submission before it is published on the TGA’s Internet site.</w:t>
          </w:r>
        </w:p>
        <w:p w14:paraId="105A5E57" w14:textId="77777777" w:rsidR="00A97688" w:rsidRDefault="00A97688" w:rsidP="006E08B3"/>
        <w:p w14:paraId="75E1F3CA" w14:textId="77777777" w:rsidR="00A97688" w:rsidRDefault="00A97688" w:rsidP="006E08B3">
          <w:r>
            <w:t>In addition, a list of parties making submissions will be published. If you do not wish to be identified with your submission you must specifically request this in the space provided in the submission coversheet.</w:t>
          </w:r>
        </w:p>
      </w:tc>
    </w:tr>
    <w:tr w:rsidR="00A97688" w14:paraId="122B9DAE" w14:textId="77777777" w:rsidTr="0010601F">
      <w:trPr>
        <w:trHeight w:val="417"/>
      </w:trPr>
      <w:tc>
        <w:tcPr>
          <w:tcW w:w="4519" w:type="dxa"/>
          <w:tcBorders>
            <w:top w:val="single" w:sz="4" w:space="0" w:color="auto"/>
          </w:tcBorders>
          <w:tcMar>
            <w:top w:w="142" w:type="dxa"/>
            <w:bottom w:w="0" w:type="dxa"/>
          </w:tcMar>
        </w:tcPr>
        <w:p w14:paraId="0DD7970F" w14:textId="77777777" w:rsidR="00A97688" w:rsidRDefault="00A97688" w:rsidP="006E08B3">
          <w:r>
            <w:t>Document title, Part #, Section # - Section title</w:t>
          </w:r>
        </w:p>
        <w:p w14:paraId="22CAD02D" w14:textId="77777777" w:rsidR="00A97688" w:rsidRDefault="00A97688" w:rsidP="006E08B3">
          <w:r>
            <w:t>V1.0 October 2010</w:t>
          </w:r>
        </w:p>
      </w:tc>
      <w:tc>
        <w:tcPr>
          <w:tcW w:w="4356" w:type="dxa"/>
          <w:tcBorders>
            <w:top w:val="single" w:sz="4" w:space="0" w:color="auto"/>
          </w:tcBorders>
          <w:tcMar>
            <w:top w:w="142" w:type="dxa"/>
            <w:bottom w:w="0" w:type="dxa"/>
          </w:tcMar>
        </w:tcPr>
        <w:p w14:paraId="59A10AE3" w14:textId="77777777" w:rsidR="00A97688" w:rsidRDefault="00A9768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C0ACB">
            <w:fldChar w:fldCharType="begin"/>
          </w:r>
          <w:r w:rsidR="00BC0ACB">
            <w:instrText xml:space="preserve"> NUMPAGES  \* Arabic </w:instrText>
          </w:r>
          <w:r w:rsidR="00BC0ACB">
            <w:fldChar w:fldCharType="separate"/>
          </w:r>
          <w:r>
            <w:rPr>
              <w:noProof/>
            </w:rPr>
            <w:t>21</w:t>
          </w:r>
          <w:r w:rsidR="00BC0ACB">
            <w:rPr>
              <w:noProof/>
            </w:rPr>
            <w:fldChar w:fldCharType="end"/>
          </w:r>
          <w:r>
            <w:t xml:space="preserve">  </w:t>
          </w:r>
        </w:p>
      </w:tc>
    </w:tr>
  </w:tbl>
  <w:p w14:paraId="2E4CCF50" w14:textId="77777777" w:rsidR="00A97688" w:rsidRDefault="00A976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3803D" w14:textId="77777777" w:rsidR="00A97688" w:rsidRDefault="00A97688" w:rsidP="00C40A36">
      <w:pPr>
        <w:spacing w:after="0"/>
      </w:pPr>
      <w:r>
        <w:separator/>
      </w:r>
    </w:p>
  </w:footnote>
  <w:footnote w:type="continuationSeparator" w:id="0">
    <w:p w14:paraId="122C524D" w14:textId="77777777" w:rsidR="00A97688" w:rsidRDefault="00A97688" w:rsidP="00C40A36">
      <w:pPr>
        <w:spacing w:after="0"/>
      </w:pPr>
      <w:r>
        <w:continuationSeparator/>
      </w:r>
    </w:p>
  </w:footnote>
  <w:footnote w:id="1">
    <w:p w14:paraId="2E818626" w14:textId="77777777" w:rsidR="00A97688" w:rsidRDefault="00A97688" w:rsidP="00421C4F">
      <w:pPr>
        <w:pStyle w:val="FootnoteText"/>
      </w:pPr>
      <w:r>
        <w:rPr>
          <w:rStyle w:val="FootnoteReference"/>
        </w:rPr>
        <w:footnoteRef/>
      </w:r>
      <w:r>
        <w:t xml:space="preserve"> AusPAR for Comirnaty (tozinameran) extension of indications, published on 1 November 2021.</w:t>
      </w:r>
    </w:p>
    <w:p w14:paraId="7E25D1FF" w14:textId="3A0434B3" w:rsidR="00A97688" w:rsidRPr="00421C4F" w:rsidRDefault="00A97688" w:rsidP="00421C4F">
      <w:pPr>
        <w:pStyle w:val="FootnoteText"/>
        <w:rPr>
          <w:lang w:val="en-GB"/>
        </w:rPr>
      </w:pPr>
      <w:r>
        <w:t>Available at: https://www.tga.gov.au/resources/auspar/auspar-bnt162b2-mrna-0</w:t>
      </w:r>
    </w:p>
  </w:footnote>
  <w:footnote w:id="2">
    <w:p w14:paraId="382F2324" w14:textId="03EAC941" w:rsidR="00A97688" w:rsidRPr="009613B4" w:rsidRDefault="00A97688">
      <w:pPr>
        <w:pStyle w:val="FootnoteText"/>
        <w:rPr>
          <w:lang w:val="en-GB"/>
        </w:rPr>
      </w:pPr>
      <w:r>
        <w:rPr>
          <w:rStyle w:val="FootnoteReference"/>
        </w:rPr>
        <w:footnoteRef/>
      </w:r>
      <w:r>
        <w:t xml:space="preserve"> </w:t>
      </w:r>
      <w:r w:rsidRPr="00090E61">
        <w:t xml:space="preserve">AusPAR for Comirnaty (tozinameran) major variation (change of dose regimen), published on 12 April 2022. Available at: </w:t>
      </w:r>
      <w:hyperlink r:id="rId1" w:history="1">
        <w:r w:rsidRPr="007B1765">
          <w:rPr>
            <w:rStyle w:val="Hyperlink"/>
          </w:rPr>
          <w:t>https://www.tga.gov.au/resources/auspar/auspar-tozinameran-0</w:t>
        </w:r>
      </w:hyperlink>
    </w:p>
  </w:footnote>
  <w:footnote w:id="3">
    <w:p w14:paraId="186D84D3" w14:textId="18DE47AE" w:rsidR="00A97688" w:rsidRPr="00421C4F" w:rsidRDefault="00A97688" w:rsidP="0034166E">
      <w:pPr>
        <w:pStyle w:val="FootnoteText"/>
        <w:rPr>
          <w:lang w:val="en-GB"/>
        </w:rPr>
      </w:pPr>
      <w:r>
        <w:rPr>
          <w:rStyle w:val="FootnoteReference"/>
        </w:rPr>
        <w:footnoteRef/>
      </w:r>
      <w:r>
        <w:t xml:space="preserve"> AusPAR for Comirnaty (tozinameran) major variation (change of dose regimen), published on 8 February 2022. Available at: </w:t>
      </w:r>
      <w:hyperlink r:id="rId2" w:history="1">
        <w:r w:rsidRPr="007B1765">
          <w:rPr>
            <w:rStyle w:val="Hyperlink"/>
          </w:rPr>
          <w:t>https://www.tga.gov.au/resources/auspar/auspar-tozinameran</w:t>
        </w:r>
      </w:hyperlink>
    </w:p>
  </w:footnote>
  <w:footnote w:id="4">
    <w:p w14:paraId="5B83FC8D" w14:textId="5267D89C" w:rsidR="00A97688" w:rsidRPr="0034166E" w:rsidRDefault="00A97688">
      <w:pPr>
        <w:pStyle w:val="FootnoteText"/>
        <w:rPr>
          <w:lang w:val="en-GB"/>
        </w:rPr>
      </w:pPr>
      <w:r>
        <w:rPr>
          <w:rStyle w:val="FootnoteReference"/>
        </w:rPr>
        <w:footnoteRef/>
      </w:r>
      <w:r>
        <w:t xml:space="preserve"> </w:t>
      </w:r>
      <w:r w:rsidRPr="00090E61">
        <w:t xml:space="preserve">AusPAR for Comirnaty (tozinameran) major variation (change of dose regimen), published on 12 April 2022. Available at: </w:t>
      </w:r>
      <w:hyperlink r:id="rId3" w:history="1">
        <w:r w:rsidRPr="007B1765">
          <w:rPr>
            <w:rStyle w:val="Hyperlink"/>
          </w:rPr>
          <w:t>https://www.tga.gov.au/resources/auspar/auspar-tozinameran-0</w:t>
        </w:r>
      </w:hyperlink>
    </w:p>
  </w:footnote>
  <w:footnote w:id="5">
    <w:p w14:paraId="52A7ACA2" w14:textId="3CFD6F2C" w:rsidR="00A97688" w:rsidRPr="00682BA0" w:rsidRDefault="00A97688">
      <w:pPr>
        <w:pStyle w:val="FootnoteText"/>
        <w:rPr>
          <w:lang w:val="en-GB"/>
        </w:rPr>
      </w:pPr>
      <w:r>
        <w:rPr>
          <w:rStyle w:val="FootnoteReference"/>
        </w:rPr>
        <w:footnoteRef/>
      </w:r>
      <w:r>
        <w:t xml:space="preserve"> World Health Organization (2020) WHO Director-General speeches: WHO Director-General's opening remarks at the media briefing on COVID-19 - 11 March 2020. Available from the WHO website.</w:t>
      </w:r>
    </w:p>
  </w:footnote>
  <w:footnote w:id="6">
    <w:p w14:paraId="35BA6779" w14:textId="77777777" w:rsidR="00A97688" w:rsidRPr="00F328E8" w:rsidRDefault="00A97688" w:rsidP="000D3C85">
      <w:pPr>
        <w:pStyle w:val="FootnoteText"/>
        <w:rPr>
          <w:lang w:val="en-GB"/>
        </w:rPr>
      </w:pPr>
      <w:r>
        <w:rPr>
          <w:rStyle w:val="FootnoteReference"/>
        </w:rPr>
        <w:footnoteRef/>
      </w:r>
      <w:r>
        <w:t xml:space="preserve"> </w:t>
      </w:r>
      <w:r>
        <w:rPr>
          <w:lang w:val="en-GB"/>
        </w:rPr>
        <w:t xml:space="preserve">WHO COVID-19 (coronavirus) dashboard. World Health Organization. Available at: </w:t>
      </w:r>
      <w:hyperlink r:id="rId4" w:history="1">
        <w:r w:rsidRPr="00710417">
          <w:rPr>
            <w:rStyle w:val="Hyperlink"/>
            <w:lang w:val="en-GB"/>
          </w:rPr>
          <w:t>https://covid19.who.int/</w:t>
        </w:r>
      </w:hyperlink>
      <w:r>
        <w:rPr>
          <w:lang w:val="en-GB"/>
        </w:rPr>
        <w:t xml:space="preserve"> </w:t>
      </w:r>
    </w:p>
  </w:footnote>
  <w:footnote w:id="7">
    <w:p w14:paraId="4B20556A" w14:textId="77777777" w:rsidR="00A97688" w:rsidRPr="004C3F8F" w:rsidRDefault="00A97688" w:rsidP="000D3C85">
      <w:pPr>
        <w:pStyle w:val="FootnoteText"/>
        <w:rPr>
          <w:lang w:val="en-GB"/>
        </w:rPr>
      </w:pPr>
      <w:r>
        <w:rPr>
          <w:rStyle w:val="FootnoteReference"/>
        </w:rPr>
        <w:footnoteRef/>
      </w:r>
      <w:r>
        <w:t xml:space="preserve"> Coronavirus (COVID-19) case numbers and statistics. Australian Government Department of Health and Aged Care. Available at: </w:t>
      </w:r>
      <w:hyperlink r:id="rId5" w:history="1">
        <w:r w:rsidRPr="00710417">
          <w:rPr>
            <w:rStyle w:val="Hyperlink"/>
          </w:rPr>
          <w:t>https://www.health.gov.au/health-alerts/covid-19/case-numbers-and-statistics</w:t>
        </w:r>
      </w:hyperlink>
      <w:r>
        <w:t xml:space="preserve"> </w:t>
      </w:r>
    </w:p>
  </w:footnote>
  <w:footnote w:id="8">
    <w:p w14:paraId="14E153DF" w14:textId="77777777" w:rsidR="00A97688" w:rsidRPr="00D836E6" w:rsidRDefault="00A97688" w:rsidP="00846194">
      <w:pPr>
        <w:pStyle w:val="FootnoteText"/>
      </w:pPr>
      <w:r>
        <w:rPr>
          <w:rStyle w:val="FootnoteReference"/>
        </w:rPr>
        <w:footnoteRef/>
      </w:r>
      <w:r>
        <w:t xml:space="preserve"> National Notifiable Diseases Surveillance System (NNDSS). Australian Government Department of Health and Aged Care. Available at: </w:t>
      </w:r>
      <w:hyperlink r:id="rId6" w:history="1">
        <w:r w:rsidRPr="00710417">
          <w:rPr>
            <w:rStyle w:val="Hyperlink"/>
          </w:rPr>
          <w:t>https://www.health.gov.au/initiatives-and-programs/nndss</w:t>
        </w:r>
      </w:hyperlink>
      <w:r>
        <w:t xml:space="preserve"> </w:t>
      </w:r>
    </w:p>
  </w:footnote>
  <w:footnote w:id="9">
    <w:p w14:paraId="66949D60" w14:textId="77777777" w:rsidR="00A97688" w:rsidRPr="00B92531" w:rsidRDefault="00A97688" w:rsidP="001146F7">
      <w:pPr>
        <w:pStyle w:val="FootnoteText"/>
        <w:rPr>
          <w:lang w:val="en-GB"/>
        </w:rPr>
      </w:pPr>
      <w:r>
        <w:rPr>
          <w:rStyle w:val="FootnoteReference"/>
        </w:rPr>
        <w:footnoteRef/>
      </w:r>
      <w:r>
        <w:t xml:space="preserve"> P</w:t>
      </w:r>
      <w:r w:rsidRPr="00B92531">
        <w:t xml:space="preserve">aediatric inflammatory multisystem syndrome </w:t>
      </w:r>
      <w:r>
        <w:t xml:space="preserve">(PIMS-TS) in Australia; case data. Paediatric Active Enhanced Disease Surveillance. Available at: </w:t>
      </w:r>
      <w:hyperlink r:id="rId7" w:history="1">
        <w:r w:rsidRPr="00710417">
          <w:rPr>
            <w:rStyle w:val="Hyperlink"/>
          </w:rPr>
          <w:t>https://paeds.org.au/pims-ts/paeds-pims-ts-case-data</w:t>
        </w:r>
      </w:hyperlink>
      <w:r>
        <w:t xml:space="preserve"> </w:t>
      </w:r>
    </w:p>
  </w:footnote>
  <w:footnote w:id="10">
    <w:p w14:paraId="1528364D" w14:textId="77777777" w:rsidR="00A97688" w:rsidRDefault="00A97688" w:rsidP="008D115A">
      <w:pPr>
        <w:pStyle w:val="FootnoteText"/>
      </w:pPr>
      <w:r>
        <w:rPr>
          <w:rStyle w:val="FootnoteReference"/>
        </w:rPr>
        <w:footnoteRef/>
      </w:r>
      <w:r>
        <w:t xml:space="preserve"> Available at: </w:t>
      </w:r>
      <w:hyperlink r:id="rId8" w:history="1">
        <w:r w:rsidRPr="00920BA9">
          <w:rPr>
            <w:rStyle w:val="Hyperlink"/>
          </w:rPr>
          <w:t>COVID-19 vaccine: Provisional registrations | Therapeutic Goods Administration (TGA)</w:t>
        </w:r>
      </w:hyperlink>
      <w:r>
        <w:t>. Last accessed on 19/08/2022.</w:t>
      </w:r>
    </w:p>
  </w:footnote>
  <w:footnote w:id="11">
    <w:p w14:paraId="42B7E232" w14:textId="77777777" w:rsidR="00A97688" w:rsidRPr="008C1E85" w:rsidRDefault="00A97688" w:rsidP="008D115A">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proofErr w:type="gramStart"/>
      <w:r w:rsidRPr="008C1E85">
        <w:t>on the basis of</w:t>
      </w:r>
      <w:proofErr w:type="gramEnd"/>
      <w:r w:rsidRPr="008C1E85">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236D67D1" w14:textId="77777777" w:rsidR="00A97688" w:rsidRPr="008C1E85" w:rsidRDefault="00A97688" w:rsidP="008D115A">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2">
    <w:p w14:paraId="373473A0" w14:textId="77777777" w:rsidR="00A97688" w:rsidRPr="008C1E85" w:rsidRDefault="00A97688" w:rsidP="008D115A">
      <w:pPr>
        <w:pStyle w:val="FootnoteText"/>
      </w:pPr>
      <w:r w:rsidRPr="008C1E85">
        <w:rPr>
          <w:rStyle w:val="FootnoteReference"/>
        </w:rPr>
        <w:footnoteRef/>
      </w:r>
      <w:r w:rsidRPr="008C1E85">
        <w:t xml:space="preserve"> Tozinameran, the active ingredient in the Comirnaty COVID-19 Vaccine was previously registered in Australia and overseas by the provisional drug name BNT162b2. Both the International non-proprietary name (INN) and the Australian Approved Name (AAN) is accepted as being tozinameran, and it is therefore referred to as Comirnaty (tozinameran) COVID-19 vaccine throughout this AusPAR. This </w:t>
      </w:r>
      <w:proofErr w:type="gramStart"/>
      <w:r w:rsidRPr="008C1E85">
        <w:t>is in contrast to</w:t>
      </w:r>
      <w:proofErr w:type="gramEnd"/>
      <w:r w:rsidRPr="008C1E85">
        <w:t xml:space="preserve"> the use of BNT162b2 as the name of the active ingredient in earlier AusPARs. The change is in name only; the composition of the active ingredient is unchanged in any way.</w:t>
      </w:r>
    </w:p>
  </w:footnote>
  <w:footnote w:id="13">
    <w:p w14:paraId="72448B87" w14:textId="77777777" w:rsidR="00A97688" w:rsidRPr="008C1E85" w:rsidRDefault="00A97688" w:rsidP="008D115A">
      <w:pPr>
        <w:pStyle w:val="FootnoteText"/>
      </w:pPr>
      <w:r w:rsidRPr="008C1E85">
        <w:rPr>
          <w:rStyle w:val="FootnoteReference"/>
        </w:rPr>
        <w:footnoteRef/>
      </w:r>
      <w:r w:rsidRPr="008C1E85">
        <w:t xml:space="preserve"> Comirnaty was first registered on the ARTG on 25 January 2021 (ARTG number: 346290).</w:t>
      </w:r>
    </w:p>
  </w:footnote>
  <w:footnote w:id="14">
    <w:p w14:paraId="4AA9A20B" w14:textId="77777777" w:rsidR="00A97688" w:rsidRPr="008C1E85" w:rsidRDefault="00A97688" w:rsidP="008D115A">
      <w:pPr>
        <w:pStyle w:val="FootnoteText"/>
      </w:pPr>
      <w:r w:rsidRPr="008C1E85">
        <w:rPr>
          <w:rStyle w:val="FootnoteReference"/>
        </w:rPr>
        <w:footnoteRef/>
      </w:r>
      <w:r w:rsidRPr="008C1E85">
        <w:t xml:space="preserve"> AusPAR for Comirnaty (BNT162b2 (mRNA)) new biological entity, published on 25 January 2021. Available at: </w:t>
      </w:r>
      <w:hyperlink r:id="rId9" w:history="1">
        <w:r w:rsidRPr="008C1E85">
          <w:rPr>
            <w:rStyle w:val="Hyperlink"/>
          </w:rPr>
          <w:t>https://www.tga.gov.au/auspar/auspar-bnt162b2-mrna-comirnaty</w:t>
        </w:r>
      </w:hyperlink>
      <w:r w:rsidRPr="008C1E85">
        <w:rPr>
          <w:rStyle w:val="Hyperlink"/>
          <w:color w:val="000000" w:themeColor="text1"/>
          <w:u w:val="none"/>
        </w:rPr>
        <w:t>.</w:t>
      </w:r>
    </w:p>
  </w:footnote>
  <w:footnote w:id="15">
    <w:p w14:paraId="68BA5E54" w14:textId="77777777" w:rsidR="00A97688" w:rsidRPr="008C1E85" w:rsidRDefault="00A97688" w:rsidP="008D115A">
      <w:pPr>
        <w:pStyle w:val="FootnoteText"/>
      </w:pPr>
      <w:r w:rsidRPr="008C1E85">
        <w:rPr>
          <w:rStyle w:val="FootnoteReference"/>
        </w:rPr>
        <w:footnoteRef/>
      </w:r>
      <w:r w:rsidRPr="008C1E85">
        <w:t xml:space="preserve"> AusPAR for Comirnaty (BNT162b2 (mRNA)) extension of indications, published on 23 July 2021. Available at: </w:t>
      </w:r>
      <w:hyperlink r:id="rId10" w:history="1">
        <w:r w:rsidRPr="008C1E85">
          <w:rPr>
            <w:rStyle w:val="Hyperlink"/>
          </w:rPr>
          <w:t>https://www.tga.gov.au/auspar/auspar-bnt162b2-mrna</w:t>
        </w:r>
      </w:hyperlink>
      <w:r w:rsidRPr="008C1E85">
        <w:rPr>
          <w:rStyle w:val="Hyperlink"/>
          <w:color w:val="000000" w:themeColor="text1"/>
          <w:u w:val="none"/>
        </w:rPr>
        <w:t>.</w:t>
      </w:r>
    </w:p>
  </w:footnote>
  <w:footnote w:id="16">
    <w:p w14:paraId="67C7014C" w14:textId="77777777" w:rsidR="00A97688" w:rsidRDefault="00A97688" w:rsidP="00C558A9">
      <w:pPr>
        <w:pStyle w:val="FootnoteText"/>
      </w:pPr>
      <w:r>
        <w:rPr>
          <w:rStyle w:val="FootnoteReference"/>
        </w:rPr>
        <w:footnoteRef/>
      </w:r>
      <w:r>
        <w:t xml:space="preserve"> AusPAR for Comirnaty (tozinameran) extension of indications, published on 1 November 2021.</w:t>
      </w:r>
    </w:p>
    <w:p w14:paraId="776CF5F6" w14:textId="5889AA08" w:rsidR="00A97688" w:rsidRPr="00C558A9" w:rsidRDefault="00A97688" w:rsidP="00C558A9">
      <w:pPr>
        <w:pStyle w:val="FootnoteText"/>
        <w:rPr>
          <w:lang w:val="en-GB"/>
        </w:rPr>
      </w:pPr>
      <w:r>
        <w:t>Available at: https://www.tga.gov.au/resources/auspar/auspar-bnt162b2-mrna-0</w:t>
      </w:r>
    </w:p>
  </w:footnote>
  <w:footnote w:id="17">
    <w:p w14:paraId="50C1B0A7" w14:textId="77777777" w:rsidR="00A97688" w:rsidRPr="008C1E85" w:rsidRDefault="00A97688" w:rsidP="008D115A">
      <w:pPr>
        <w:pStyle w:val="FootnoteText"/>
      </w:pPr>
      <w:r w:rsidRPr="008C1E85">
        <w:rPr>
          <w:rStyle w:val="FootnoteReference"/>
        </w:rPr>
        <w:footnoteRef/>
      </w:r>
      <w:r w:rsidRPr="008C1E85">
        <w:t xml:space="preserve"> AusPAR for Comirnaty (tozinameran) extension of indications; change to formulation (excipients), published on 13 December 2021. Available at: </w:t>
      </w:r>
      <w:hyperlink r:id="rId11" w:history="1">
        <w:r w:rsidRPr="008C1E85">
          <w:rPr>
            <w:rStyle w:val="Hyperlink"/>
          </w:rPr>
          <w:t>https://www.tga.gov.au/auspar/auspar-tozinameran-mrna-covid-19-vaccine</w:t>
        </w:r>
      </w:hyperlink>
      <w:r w:rsidRPr="008C1E85">
        <w:rPr>
          <w:rStyle w:val="Hyperlink"/>
          <w:u w:val="none"/>
        </w:rPr>
        <w:t>.</w:t>
      </w:r>
    </w:p>
  </w:footnote>
  <w:footnote w:id="18">
    <w:p w14:paraId="26A2430A" w14:textId="1DFBA439" w:rsidR="00A97688" w:rsidRPr="00050DC0" w:rsidRDefault="00A97688">
      <w:pPr>
        <w:pStyle w:val="FootnoteText"/>
        <w:rPr>
          <w:lang w:val="en-GB"/>
        </w:rPr>
      </w:pPr>
      <w:r>
        <w:rPr>
          <w:rStyle w:val="FootnoteReference"/>
        </w:rPr>
        <w:footnoteRef/>
      </w:r>
      <w:r>
        <w:t xml:space="preserve"> AusPAR for Comirnaty (tozinameran) major variation (change of dose regimen), published on 8 February 2022. Available at: </w:t>
      </w:r>
      <w:hyperlink r:id="rId12" w:history="1">
        <w:r w:rsidRPr="007B1765">
          <w:rPr>
            <w:rStyle w:val="Hyperlink"/>
          </w:rPr>
          <w:t>https://www.tga.gov.au/resources/auspar/auspar-tozinameran</w:t>
        </w:r>
      </w:hyperlink>
      <w:r>
        <w:t xml:space="preserve"> </w:t>
      </w:r>
    </w:p>
  </w:footnote>
  <w:footnote w:id="19">
    <w:p w14:paraId="427B860A" w14:textId="69106857" w:rsidR="00A97688" w:rsidRPr="00090E61" w:rsidRDefault="00A97688">
      <w:pPr>
        <w:pStyle w:val="FootnoteText"/>
        <w:rPr>
          <w:lang w:val="en-GB"/>
        </w:rPr>
      </w:pPr>
      <w:r>
        <w:rPr>
          <w:rStyle w:val="FootnoteReference"/>
        </w:rPr>
        <w:footnoteRef/>
      </w:r>
      <w:r>
        <w:t xml:space="preserve"> </w:t>
      </w:r>
      <w:r w:rsidRPr="00090E61">
        <w:t xml:space="preserve">AusPAR for Comirnaty (tozinameran) major variation (change of dose regimen), published on 12 April 2022. Available at: </w:t>
      </w:r>
      <w:hyperlink r:id="rId13" w:history="1">
        <w:r w:rsidRPr="007B1765">
          <w:rPr>
            <w:rStyle w:val="Hyperlink"/>
          </w:rPr>
          <w:t>https://www.tga.gov.au/resources/auspar/auspar-tozinameran-0</w:t>
        </w:r>
      </w:hyperlink>
      <w:r>
        <w:t xml:space="preserve"> </w:t>
      </w:r>
    </w:p>
  </w:footnote>
  <w:footnote w:id="20">
    <w:p w14:paraId="31A2E557" w14:textId="77777777" w:rsidR="00A97688" w:rsidRPr="008C1E85" w:rsidRDefault="00A97688" w:rsidP="008D115A">
      <w:pPr>
        <w:pStyle w:val="FootnoteText"/>
      </w:pPr>
      <w:r w:rsidRPr="008C1E85">
        <w:rPr>
          <w:rStyle w:val="FootnoteReference"/>
        </w:rPr>
        <w:footnoteRef/>
      </w:r>
      <w:r w:rsidRPr="008C1E85">
        <w:t xml:space="preserve"> COVID-19 Vaccine AstraZeneca was first registered on the ARTG on 16 February 2021 (ARTG number: 349072).</w:t>
      </w:r>
    </w:p>
  </w:footnote>
  <w:footnote w:id="21">
    <w:p w14:paraId="5144F8F2" w14:textId="77777777" w:rsidR="00A97688" w:rsidRPr="008C1E85" w:rsidRDefault="00A97688" w:rsidP="008D115A">
      <w:pPr>
        <w:pStyle w:val="FootnoteText"/>
      </w:pPr>
      <w:r w:rsidRPr="008C1E85">
        <w:rPr>
          <w:rStyle w:val="FootnoteReference"/>
        </w:rPr>
        <w:footnoteRef/>
      </w:r>
      <w:r w:rsidRPr="008C1E85">
        <w:t xml:space="preserve"> AusPAR for COVID-19 Vaccine AstraZeneca (ChAdOx1-S) new biological entity, published on 16 February 2021. Available at: </w:t>
      </w:r>
      <w:hyperlink r:id="rId14" w:history="1">
        <w:r w:rsidRPr="008C1E85">
          <w:rPr>
            <w:rStyle w:val="Hyperlink"/>
          </w:rPr>
          <w:t>https://www.tga.gov.au/auspar/auspar-chadox1-s</w:t>
        </w:r>
      </w:hyperlink>
      <w:r w:rsidRPr="008C1E85">
        <w:rPr>
          <w:rStyle w:val="Hyperlink"/>
          <w:u w:val="none"/>
        </w:rPr>
        <w:t>.</w:t>
      </w:r>
    </w:p>
  </w:footnote>
  <w:footnote w:id="22">
    <w:p w14:paraId="5E0F3A8C" w14:textId="77777777" w:rsidR="00A97688" w:rsidRPr="008C1E85" w:rsidRDefault="00A97688" w:rsidP="008D115A">
      <w:pPr>
        <w:pStyle w:val="FootnoteText"/>
      </w:pPr>
      <w:r w:rsidRPr="008C1E85">
        <w:rPr>
          <w:rStyle w:val="FootnoteReference"/>
        </w:rPr>
        <w:footnoteRef/>
      </w:r>
      <w:r w:rsidRPr="008C1E85">
        <w:t xml:space="preserve"> COVID-19 Vaccine Janssen was first registered on the ARTG on 25 June 2021 (ARTG number: 350150).</w:t>
      </w:r>
    </w:p>
  </w:footnote>
  <w:footnote w:id="23">
    <w:p w14:paraId="0945F683" w14:textId="77777777" w:rsidR="00A97688" w:rsidRPr="008C1E85" w:rsidRDefault="00A97688" w:rsidP="008D115A">
      <w:pPr>
        <w:pStyle w:val="FootnoteText"/>
      </w:pPr>
      <w:r w:rsidRPr="008C1E85">
        <w:rPr>
          <w:rStyle w:val="FootnoteReference"/>
        </w:rPr>
        <w:footnoteRef/>
      </w:r>
      <w:r w:rsidRPr="008C1E85">
        <w:t xml:space="preserve"> AusPAR for COVID-19 Vaccine Janssen (Ad26.COV</w:t>
      </w:r>
      <w:proofErr w:type="gramStart"/>
      <w:r w:rsidRPr="008C1E85">
        <w:t>2.S</w:t>
      </w:r>
      <w:proofErr w:type="gramEnd"/>
      <w:r w:rsidRPr="008C1E85">
        <w:t xml:space="preserve">) new biological entity, published on 25 June 2021. Available at: </w:t>
      </w:r>
      <w:hyperlink r:id="rId15" w:history="1">
        <w:r w:rsidRPr="008C1E85">
          <w:rPr>
            <w:rStyle w:val="Hyperlink"/>
          </w:rPr>
          <w:t>https://www.tga.gov.au/auspar/auspar-ad26cov2s</w:t>
        </w:r>
      </w:hyperlink>
      <w:r w:rsidRPr="008C1E85">
        <w:rPr>
          <w:rStyle w:val="Hyperlink"/>
          <w:color w:val="000000" w:themeColor="text1"/>
          <w:u w:val="none"/>
        </w:rPr>
        <w:t>.</w:t>
      </w:r>
    </w:p>
  </w:footnote>
  <w:footnote w:id="24">
    <w:p w14:paraId="5C0EB769" w14:textId="77777777" w:rsidR="00A97688" w:rsidRPr="008C1E85" w:rsidRDefault="00A97688" w:rsidP="008D115A">
      <w:pPr>
        <w:pStyle w:val="FootnoteText"/>
      </w:pPr>
      <w:r w:rsidRPr="008C1E85">
        <w:rPr>
          <w:rStyle w:val="FootnoteReference"/>
        </w:rPr>
        <w:footnoteRef/>
      </w:r>
      <w:r w:rsidRPr="008C1E85">
        <w:t xml:space="preserve"> Spikevax was first registered on the ARTG on 9 August 2021 (ARTG number: 370599).</w:t>
      </w:r>
    </w:p>
  </w:footnote>
  <w:footnote w:id="25">
    <w:p w14:paraId="3B9F1D59" w14:textId="77777777" w:rsidR="00A97688" w:rsidRPr="008C1E85" w:rsidRDefault="00A97688" w:rsidP="008D115A">
      <w:pPr>
        <w:pStyle w:val="FootnoteText"/>
      </w:pPr>
      <w:r w:rsidRPr="008C1E85">
        <w:rPr>
          <w:rStyle w:val="FootnoteReference"/>
        </w:rPr>
        <w:footnoteRef/>
      </w:r>
      <w:r w:rsidRPr="008C1E85">
        <w:t xml:space="preserve"> AusPAR for Spikevax (elasomeran) new biological entity, adult indication, published on 9 August 2021. Available at: </w:t>
      </w:r>
      <w:hyperlink r:id="rId16" w:history="1">
        <w:r w:rsidRPr="008C1E85">
          <w:rPr>
            <w:rStyle w:val="Hyperlink"/>
          </w:rPr>
          <w:t>https://www.tga.gov.au/auspar/auspar-elasomeran</w:t>
        </w:r>
      </w:hyperlink>
      <w:r w:rsidRPr="008C1E85">
        <w:rPr>
          <w:rStyle w:val="Hyperlink"/>
          <w:color w:val="000000" w:themeColor="text1"/>
          <w:u w:val="none"/>
        </w:rPr>
        <w:t>.</w:t>
      </w:r>
    </w:p>
  </w:footnote>
  <w:footnote w:id="26">
    <w:p w14:paraId="6235AFE1" w14:textId="77777777" w:rsidR="00A97688" w:rsidRPr="008C1E85" w:rsidRDefault="00A97688" w:rsidP="008D115A">
      <w:pPr>
        <w:pStyle w:val="FootnoteText"/>
      </w:pPr>
      <w:r w:rsidRPr="008C1E85">
        <w:rPr>
          <w:rStyle w:val="FootnoteReference"/>
        </w:rPr>
        <w:footnoteRef/>
      </w:r>
      <w:r w:rsidRPr="008C1E85">
        <w:t xml:space="preserve"> AusPAR for Spikevax (elasomeran) new biological entity, paediatric indication, published on 4 September 2021. Available at: </w:t>
      </w:r>
      <w:hyperlink r:id="rId17" w:history="1">
        <w:r w:rsidRPr="008C1E85">
          <w:rPr>
            <w:rStyle w:val="Hyperlink"/>
          </w:rPr>
          <w:t>https://www.tga.gov.au/auspar/auspar-elasomeran-0</w:t>
        </w:r>
      </w:hyperlink>
      <w:r w:rsidRPr="008C1E85">
        <w:rPr>
          <w:rStyle w:val="Hyperlink"/>
          <w:color w:val="000000" w:themeColor="text1"/>
          <w:u w:val="none"/>
        </w:rPr>
        <w:t>.</w:t>
      </w:r>
    </w:p>
  </w:footnote>
  <w:footnote w:id="27">
    <w:p w14:paraId="40A92EB1" w14:textId="77777777" w:rsidR="00A97688" w:rsidRDefault="00A97688" w:rsidP="008D115A">
      <w:pPr>
        <w:pStyle w:val="FootnoteText"/>
      </w:pPr>
      <w:r>
        <w:rPr>
          <w:rStyle w:val="FootnoteReference"/>
        </w:rPr>
        <w:footnoteRef/>
      </w:r>
      <w:r>
        <w:t xml:space="preserve"> </w:t>
      </w:r>
      <w:r w:rsidRPr="00A646B0">
        <w:t xml:space="preserve">AusPAR for Spikevax (elasomeran) </w:t>
      </w:r>
      <w:r>
        <w:t>e</w:t>
      </w:r>
      <w:r w:rsidRPr="00A646B0">
        <w:t xml:space="preserve">xtension of indications, published on 23 February 2022. Available at: </w:t>
      </w:r>
      <w:hyperlink r:id="rId18" w:history="1">
        <w:r w:rsidRPr="001D4685">
          <w:rPr>
            <w:rStyle w:val="Hyperlink"/>
          </w:rPr>
          <w:t>https://www.tga.gov.au/auspar/auspar-elasomeran-1</w:t>
        </w:r>
      </w:hyperlink>
      <w:r>
        <w:t>.</w:t>
      </w:r>
    </w:p>
  </w:footnote>
  <w:footnote w:id="28">
    <w:p w14:paraId="357121FB" w14:textId="77777777" w:rsidR="00A97688" w:rsidRDefault="00A97688" w:rsidP="008D115A">
      <w:pPr>
        <w:pStyle w:val="FootnoteText"/>
      </w:pPr>
      <w:r>
        <w:rPr>
          <w:rStyle w:val="FootnoteReference"/>
        </w:rPr>
        <w:footnoteRef/>
      </w:r>
      <w:r>
        <w:t xml:space="preserve"> </w:t>
      </w:r>
      <w:r w:rsidRPr="00A646B0">
        <w:t xml:space="preserve">AusPAR for Spikevax (elasomeran) </w:t>
      </w:r>
      <w:r>
        <w:t>e</w:t>
      </w:r>
      <w:r w:rsidRPr="00A646B0">
        <w:t>xtension of indications</w:t>
      </w:r>
      <w:r>
        <w:t xml:space="preserve"> and major variation, paediatric indication for 6 months of age and above, published on 4 August 2022. Available at </w:t>
      </w:r>
      <w:hyperlink r:id="rId19" w:history="1">
        <w:r w:rsidRPr="00710417">
          <w:rPr>
            <w:rStyle w:val="Hyperlink"/>
          </w:rPr>
          <w:t>https://www.tga.gov.au/auspar/auspar-elasomeran-2</w:t>
        </w:r>
      </w:hyperlink>
      <w:r>
        <w:t xml:space="preserve"> </w:t>
      </w:r>
    </w:p>
  </w:footnote>
  <w:footnote w:id="29">
    <w:p w14:paraId="50316051" w14:textId="77777777" w:rsidR="00A97688" w:rsidRPr="00AB13E5" w:rsidRDefault="00A97688" w:rsidP="008D115A">
      <w:pPr>
        <w:pStyle w:val="FootnoteText"/>
        <w:rPr>
          <w:lang w:val="en-GB"/>
        </w:rPr>
      </w:pPr>
      <w:r>
        <w:rPr>
          <w:rStyle w:val="FootnoteReference"/>
        </w:rPr>
        <w:footnoteRef/>
      </w:r>
      <w:r>
        <w:t xml:space="preserve"> AusPAR for </w:t>
      </w:r>
      <w:r w:rsidRPr="00AB13E5">
        <w:t>Spikevax Bivalent Original/Omicron</w:t>
      </w:r>
      <w:r>
        <w:t xml:space="preserve"> (</w:t>
      </w:r>
      <w:r w:rsidRPr="00AB13E5">
        <w:t>elasomeran and imelasomeran</w:t>
      </w:r>
      <w:r>
        <w:t xml:space="preserve">). Available at: </w:t>
      </w:r>
      <w:r w:rsidRPr="00AB13E5">
        <w:t>https://www.tga.gov.au/resources/auspar/auspar-spikevax-bivalent-originalomicron</w:t>
      </w:r>
    </w:p>
  </w:footnote>
  <w:footnote w:id="30">
    <w:p w14:paraId="1148DDDE" w14:textId="77777777" w:rsidR="00A97688" w:rsidRDefault="00A97688" w:rsidP="008D115A">
      <w:pPr>
        <w:pStyle w:val="FootnoteText"/>
      </w:pPr>
      <w:r>
        <w:rPr>
          <w:rStyle w:val="FootnoteReference"/>
        </w:rPr>
        <w:footnoteRef/>
      </w:r>
      <w:r>
        <w:t xml:space="preserve"> </w:t>
      </w:r>
      <w:r w:rsidRPr="00A646B0">
        <w:t>Nuvaxovid</w:t>
      </w:r>
      <w:r>
        <w:t xml:space="preserve"> was first registered on the ARTG on </w:t>
      </w:r>
      <w:r w:rsidRPr="00A646B0">
        <w:t>20 January 2022</w:t>
      </w:r>
      <w:r>
        <w:t xml:space="preserve"> (ARTG number: </w:t>
      </w:r>
      <w:r w:rsidRPr="00A646B0">
        <w:t>355139</w:t>
      </w:r>
      <w:r>
        <w:t>).</w:t>
      </w:r>
    </w:p>
  </w:footnote>
  <w:footnote w:id="31">
    <w:p w14:paraId="33744A57" w14:textId="77777777" w:rsidR="00A97688" w:rsidRDefault="00A97688" w:rsidP="008D115A">
      <w:pPr>
        <w:pStyle w:val="FootnoteText"/>
      </w:pPr>
      <w:r>
        <w:rPr>
          <w:rStyle w:val="FootnoteReference"/>
        </w:rPr>
        <w:footnoteRef/>
      </w:r>
      <w:r>
        <w:t xml:space="preserve"> </w:t>
      </w:r>
      <w:r w:rsidRPr="001031B5">
        <w:t xml:space="preserve">AusPAR for </w:t>
      </w:r>
      <w:r w:rsidRPr="00A646B0">
        <w:t>Nuvaxovid</w:t>
      </w:r>
      <w:r>
        <w:t xml:space="preserve"> </w:t>
      </w:r>
      <w:r w:rsidRPr="001031B5">
        <w:t>(SARS-CoV-2 recombinant spike</w:t>
      </w:r>
      <w:r>
        <w:t xml:space="preserve"> protein</w:t>
      </w:r>
      <w:r w:rsidRPr="001031B5">
        <w:t xml:space="preserve"> with Matrix-M adjuvant) new biological entity, published on 21 January 2022. Available at</w:t>
      </w:r>
      <w:r>
        <w:t xml:space="preserve">: </w:t>
      </w:r>
      <w:hyperlink r:id="rId20" w:history="1">
        <w:r w:rsidRPr="001D4685">
          <w:rPr>
            <w:rStyle w:val="Hyperlink"/>
          </w:rPr>
          <w:t>https://www.tg</w:t>
        </w:r>
        <w:r w:rsidRPr="001D4685">
          <w:rPr>
            <w:rStyle w:val="Hyperlink"/>
          </w:rPr>
          <w:t>a</w:t>
        </w:r>
        <w:r w:rsidRPr="001D4685">
          <w:rPr>
            <w:rStyle w:val="Hyperlink"/>
          </w:rPr>
          <w:t>.gov.au/auspar/auspar-sars-cov-2-rs-matrix-m-adjuvant</w:t>
        </w:r>
      </w:hyperlink>
      <w:r>
        <w:t>.</w:t>
      </w:r>
    </w:p>
  </w:footnote>
  <w:footnote w:id="32">
    <w:p w14:paraId="0F54CA65" w14:textId="77777777" w:rsidR="00A97688" w:rsidRDefault="00A97688" w:rsidP="008D115A">
      <w:pPr>
        <w:pStyle w:val="FootnoteText"/>
      </w:pPr>
      <w:r>
        <w:rPr>
          <w:rStyle w:val="FootnoteReference"/>
        </w:rPr>
        <w:footnoteRef/>
      </w:r>
      <w:r>
        <w:t xml:space="preserve"> AusPAR for Nuavxovid (</w:t>
      </w:r>
      <w:r w:rsidRPr="001031B5">
        <w:t>SARS-CoV-2 recombinant spike</w:t>
      </w:r>
      <w:r>
        <w:t xml:space="preserve"> protein</w:t>
      </w:r>
      <w:r w:rsidRPr="001031B5">
        <w:t xml:space="preserve"> with Matrix-M adjuvant) </w:t>
      </w:r>
      <w:r>
        <w:t xml:space="preserve">extension of indications, published on 29 July 2022. Available at </w:t>
      </w:r>
      <w:hyperlink r:id="rId21" w:history="1">
        <w:r w:rsidRPr="00544624">
          <w:rPr>
            <w:rStyle w:val="Hyperlink"/>
          </w:rPr>
          <w:t>https://www.tga.gov.au/auspar/auspar-sars-cov-2-rs-matrix-m-adjuvant-nvx-cov2373</w:t>
        </w:r>
      </w:hyperlink>
      <w:r>
        <w:t xml:space="preserve"> </w:t>
      </w:r>
    </w:p>
  </w:footnote>
  <w:footnote w:id="33">
    <w:p w14:paraId="0E19195D" w14:textId="06E6FE2B" w:rsidR="007C58FC" w:rsidRPr="006063BE" w:rsidRDefault="007C58FC">
      <w:pPr>
        <w:pStyle w:val="FootnoteText"/>
        <w:rPr>
          <w:lang w:val="en-GB"/>
        </w:rPr>
      </w:pPr>
      <w:r>
        <w:rPr>
          <w:rStyle w:val="FootnoteReference"/>
        </w:rPr>
        <w:footnoteRef/>
      </w:r>
      <w:r>
        <w:t xml:space="preserve"> </w:t>
      </w:r>
      <w:r w:rsidRPr="007C58FC">
        <w:t xml:space="preserve">Min Y, </w:t>
      </w:r>
      <w:proofErr w:type="spellStart"/>
      <w:r w:rsidRPr="007C58FC">
        <w:t>Agresti</w:t>
      </w:r>
      <w:proofErr w:type="spellEnd"/>
      <w:r w:rsidRPr="007C58FC">
        <w:t xml:space="preserve"> A. Random effect models for repeated measures of zero-inflated count data. </w:t>
      </w:r>
      <w:r w:rsidRPr="006063BE">
        <w:rPr>
          <w:i/>
        </w:rPr>
        <w:t>Statistical Modelling</w:t>
      </w:r>
      <w:r w:rsidRPr="007C58FC">
        <w:t>. 2005;5(1):1-19.</w:t>
      </w:r>
    </w:p>
  </w:footnote>
  <w:footnote w:id="34">
    <w:p w14:paraId="3E22B094" w14:textId="77777777" w:rsidR="00A97688" w:rsidRDefault="00A97688" w:rsidP="0000524F">
      <w:pPr>
        <w:pStyle w:val="FootnoteText"/>
      </w:pPr>
      <w:r>
        <w:rPr>
          <w:rStyle w:val="FootnoteReference"/>
        </w:rPr>
        <w:footnoteRef/>
      </w:r>
      <w:r>
        <w:t xml:space="preserve"> Food and Drug Administration (FDA). Toxicity Grading Scale for Healthy Adult and Adolescent</w:t>
      </w:r>
    </w:p>
    <w:p w14:paraId="53DCF6EE" w14:textId="77777777" w:rsidR="00A97688" w:rsidRDefault="00A97688" w:rsidP="0000524F">
      <w:pPr>
        <w:pStyle w:val="FootnoteText"/>
      </w:pPr>
      <w:r>
        <w:t>Volunteers Enrolled in Preventive Vaccine Clinical Trial. Guidance for Industry. September 2007.</w:t>
      </w:r>
    </w:p>
    <w:p w14:paraId="16EBFD8A" w14:textId="23D89388" w:rsidR="00A97688" w:rsidRPr="0000524F" w:rsidRDefault="00A97688" w:rsidP="0000524F">
      <w:pPr>
        <w:pStyle w:val="FootnoteText"/>
        <w:rPr>
          <w:lang w:val="en-GB"/>
        </w:rPr>
      </w:pPr>
      <w:r>
        <w:t xml:space="preserve">Available from: </w:t>
      </w:r>
      <w:hyperlink r:id="rId22" w:history="1">
        <w:r w:rsidRPr="00153D18">
          <w:rPr>
            <w:rStyle w:val="Hyperlink"/>
          </w:rPr>
          <w:t>https://www.fda.gov/media/73679/download</w:t>
        </w:r>
      </w:hyperlink>
      <w:r>
        <w:t>.</w:t>
      </w:r>
    </w:p>
  </w:footnote>
  <w:footnote w:id="35">
    <w:p w14:paraId="7B02C500" w14:textId="03A1E6BA" w:rsidR="00A97688" w:rsidRPr="0000524F" w:rsidRDefault="00A97688">
      <w:pPr>
        <w:pStyle w:val="FootnoteText"/>
        <w:rPr>
          <w:lang w:val="en-GB"/>
        </w:rPr>
      </w:pPr>
      <w:r>
        <w:rPr>
          <w:rStyle w:val="FootnoteReference"/>
        </w:rPr>
        <w:footnoteRef/>
      </w:r>
      <w:r>
        <w:t xml:space="preserve"> The </w:t>
      </w:r>
      <w:r w:rsidRPr="0000524F">
        <w:rPr>
          <w:b/>
        </w:rPr>
        <w:t>Medical Dictionary for Regulatory Activities</w:t>
      </w:r>
      <w:r>
        <w:t xml:space="preserve"> (</w:t>
      </w:r>
      <w:r w:rsidRPr="0000524F">
        <w:rPr>
          <w:b/>
        </w:rPr>
        <w:t>MedDRA</w:t>
      </w:r>
      <w:r>
        <w:t xml:space="preserve">) is an internationally used set of terms relating to medical conditions, </w:t>
      </w:r>
      <w:proofErr w:type="gramStart"/>
      <w:r>
        <w:t>medicines</w:t>
      </w:r>
      <w:proofErr w:type="gramEnd"/>
      <w:r>
        <w:t xml:space="preserve"> and medical devices. It was created to assist regulators with sharing information. It is also used by industry, academics, health professionals and other organisations that communicate medical information.</w:t>
      </w:r>
    </w:p>
  </w:footnote>
  <w:footnote w:id="36">
    <w:p w14:paraId="1B8E683E" w14:textId="6A5D5478" w:rsidR="00A97688" w:rsidRPr="00DC2992" w:rsidRDefault="00A97688">
      <w:pPr>
        <w:pStyle w:val="FootnoteText"/>
        <w:rPr>
          <w:lang w:val="en-GB"/>
        </w:rPr>
      </w:pPr>
      <w:r>
        <w:rPr>
          <w:rStyle w:val="FootnoteReference"/>
        </w:rPr>
        <w:footnoteRef/>
      </w:r>
      <w:r>
        <w:t xml:space="preserve"> D</w:t>
      </w:r>
      <w:r w:rsidRPr="00DC2992">
        <w:t>ata lock point (DLP) 5 to &lt; 12 years: 6 September 2021 (Pfizer clinical database); 18 June 2021 (Pfizer safety database), 12 to 15 years: 30 Sep 2021 (Pfizer Safety Database, for both CT and non-CT datasets), Booster in severely immunocompromised aged 12 to 15 years (30 September 2021 (Pfizer Safety Database, non-CT dataset), 16 yrs and older (30 September 2021 (Pfizer Safety Database, for both CT and non-CT datasets), Booster in 16 yrs and older a, including immunocompromised (30 September 2021 (Pfizer Safety Database, for both CT and non-CT datasets)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B242" w14:textId="77777777" w:rsidR="00A97688" w:rsidRDefault="00A97688"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EF9C" w14:textId="77777777" w:rsidR="00A97688" w:rsidRDefault="00A97688">
    <w:pPr>
      <w:rPr>
        <w:noProof/>
        <w:lang w:eastAsia="en-AU"/>
      </w:rPr>
    </w:pPr>
    <w:r w:rsidRPr="00347824">
      <w:rPr>
        <w:noProof/>
        <w:lang w:val="en-GB" w:eastAsia="en-GB"/>
      </w:rPr>
      <w:drawing>
        <wp:anchor distT="0" distB="0" distL="114300" distR="114300" simplePos="0" relativeHeight="251659264" behindDoc="1" locked="0" layoutInCell="1" allowOverlap="1" wp14:anchorId="1D813907" wp14:editId="0175788B">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0495" w14:textId="77777777" w:rsidR="00A97688" w:rsidRDefault="00A976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653" w14:textId="77777777" w:rsidR="00A97688" w:rsidRDefault="00A97688">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04EE" w14:textId="77777777" w:rsidR="00A97688" w:rsidRDefault="00A9768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76FD" w14:textId="77777777" w:rsidR="00A97688" w:rsidRDefault="00A976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E094" w14:textId="77777777" w:rsidR="00A97688" w:rsidRDefault="00A97688"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229F" w14:textId="77777777" w:rsidR="00A97688" w:rsidRDefault="00A97688" w:rsidP="006E08B3">
    <w:r>
      <w:t>Therapeutic Goods Administration</w:t>
    </w:r>
  </w:p>
  <w:p w14:paraId="633F256C" w14:textId="77777777" w:rsidR="00A97688" w:rsidRDefault="00A97688"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4A94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34735872"/>
    <w:multiLevelType w:val="hybridMultilevel"/>
    <w:tmpl w:val="7B90D2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D237EE8"/>
    <w:multiLevelType w:val="hybridMultilevel"/>
    <w:tmpl w:val="BF56CE02"/>
    <w:lvl w:ilvl="0" w:tplc="0C090001">
      <w:start w:val="1"/>
      <w:numFmt w:val="bullet"/>
      <w:lvlText w:val=""/>
      <w:lvlJc w:val="left"/>
      <w:pPr>
        <w:ind w:left="1290" w:hanging="360"/>
      </w:pPr>
      <w:rPr>
        <w:rFonts w:ascii="Symbol" w:hAnsi="Symbol"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3"/>
  </w:num>
  <w:num w:numId="6">
    <w:abstractNumId w:val="4"/>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6" w:nlCheck="1" w:checkStyle="1"/>
  <w:activeWritingStyle w:appName="MSWord" w:lang="en-GB" w:vendorID="64" w:dllVersion="6" w:nlCheck="1" w:checkStyle="1"/>
  <w:activeWritingStyle w:appName="MSWord" w:lang="en-US"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91"/>
    <w:rsid w:val="00002031"/>
    <w:rsid w:val="0000246B"/>
    <w:rsid w:val="00004734"/>
    <w:rsid w:val="0000524F"/>
    <w:rsid w:val="00006B22"/>
    <w:rsid w:val="00006FAB"/>
    <w:rsid w:val="0001276A"/>
    <w:rsid w:val="00015E8E"/>
    <w:rsid w:val="000246AE"/>
    <w:rsid w:val="00025C67"/>
    <w:rsid w:val="00026212"/>
    <w:rsid w:val="000438C0"/>
    <w:rsid w:val="00044772"/>
    <w:rsid w:val="0004541C"/>
    <w:rsid w:val="00050DC0"/>
    <w:rsid w:val="0005547E"/>
    <w:rsid w:val="0005559E"/>
    <w:rsid w:val="000604D6"/>
    <w:rsid w:val="000734D8"/>
    <w:rsid w:val="00077775"/>
    <w:rsid w:val="00082CFA"/>
    <w:rsid w:val="00090471"/>
    <w:rsid w:val="00090E61"/>
    <w:rsid w:val="00096AA7"/>
    <w:rsid w:val="000A2A05"/>
    <w:rsid w:val="000A3AED"/>
    <w:rsid w:val="000B3532"/>
    <w:rsid w:val="000B3A75"/>
    <w:rsid w:val="000B50B6"/>
    <w:rsid w:val="000B5721"/>
    <w:rsid w:val="000C00C2"/>
    <w:rsid w:val="000C3C06"/>
    <w:rsid w:val="000C690F"/>
    <w:rsid w:val="000D1295"/>
    <w:rsid w:val="000D391B"/>
    <w:rsid w:val="000D3C85"/>
    <w:rsid w:val="000D3D6D"/>
    <w:rsid w:val="000D4FC7"/>
    <w:rsid w:val="000E1F69"/>
    <w:rsid w:val="000E6196"/>
    <w:rsid w:val="000E75A8"/>
    <w:rsid w:val="000F1266"/>
    <w:rsid w:val="000F4869"/>
    <w:rsid w:val="000F5B42"/>
    <w:rsid w:val="000F6E6F"/>
    <w:rsid w:val="00100607"/>
    <w:rsid w:val="0010601F"/>
    <w:rsid w:val="0010788A"/>
    <w:rsid w:val="00107A31"/>
    <w:rsid w:val="0011024E"/>
    <w:rsid w:val="00110EA5"/>
    <w:rsid w:val="00112F56"/>
    <w:rsid w:val="001146F7"/>
    <w:rsid w:val="001168CC"/>
    <w:rsid w:val="00116AC7"/>
    <w:rsid w:val="00117C1F"/>
    <w:rsid w:val="00121097"/>
    <w:rsid w:val="00122C2E"/>
    <w:rsid w:val="00124ACD"/>
    <w:rsid w:val="00125318"/>
    <w:rsid w:val="001305A2"/>
    <w:rsid w:val="00133238"/>
    <w:rsid w:val="00133A1B"/>
    <w:rsid w:val="00140C08"/>
    <w:rsid w:val="0014197B"/>
    <w:rsid w:val="0014455E"/>
    <w:rsid w:val="001447CD"/>
    <w:rsid w:val="00145A89"/>
    <w:rsid w:val="001516B1"/>
    <w:rsid w:val="00154EBB"/>
    <w:rsid w:val="00156316"/>
    <w:rsid w:val="001609D3"/>
    <w:rsid w:val="00161181"/>
    <w:rsid w:val="00161D56"/>
    <w:rsid w:val="00162D14"/>
    <w:rsid w:val="00163780"/>
    <w:rsid w:val="00165389"/>
    <w:rsid w:val="0017693F"/>
    <w:rsid w:val="0018110E"/>
    <w:rsid w:val="00181684"/>
    <w:rsid w:val="001843C6"/>
    <w:rsid w:val="001850E0"/>
    <w:rsid w:val="00185407"/>
    <w:rsid w:val="00193E6C"/>
    <w:rsid w:val="001A03AF"/>
    <w:rsid w:val="001A204F"/>
    <w:rsid w:val="001A2158"/>
    <w:rsid w:val="001A51EE"/>
    <w:rsid w:val="001A525F"/>
    <w:rsid w:val="001A5A00"/>
    <w:rsid w:val="001A66B8"/>
    <w:rsid w:val="001B09F9"/>
    <w:rsid w:val="001B1DA4"/>
    <w:rsid w:val="001B3FEB"/>
    <w:rsid w:val="001B5C90"/>
    <w:rsid w:val="001B6448"/>
    <w:rsid w:val="001C32CD"/>
    <w:rsid w:val="001C33EC"/>
    <w:rsid w:val="001D2984"/>
    <w:rsid w:val="001E07CF"/>
    <w:rsid w:val="001E0AB7"/>
    <w:rsid w:val="001E28E5"/>
    <w:rsid w:val="001E359E"/>
    <w:rsid w:val="001E59F1"/>
    <w:rsid w:val="001F0729"/>
    <w:rsid w:val="001F2CEE"/>
    <w:rsid w:val="001F49EB"/>
    <w:rsid w:val="001F6CBA"/>
    <w:rsid w:val="00201D4E"/>
    <w:rsid w:val="00206347"/>
    <w:rsid w:val="002076C9"/>
    <w:rsid w:val="00220B8A"/>
    <w:rsid w:val="002257F3"/>
    <w:rsid w:val="002314EA"/>
    <w:rsid w:val="00233456"/>
    <w:rsid w:val="002339A5"/>
    <w:rsid w:val="00250271"/>
    <w:rsid w:val="00250F35"/>
    <w:rsid w:val="00257848"/>
    <w:rsid w:val="002578E8"/>
    <w:rsid w:val="0027084A"/>
    <w:rsid w:val="00271E85"/>
    <w:rsid w:val="00280265"/>
    <w:rsid w:val="00280B8B"/>
    <w:rsid w:val="00286434"/>
    <w:rsid w:val="00286C59"/>
    <w:rsid w:val="00291957"/>
    <w:rsid w:val="002942D1"/>
    <w:rsid w:val="0029501A"/>
    <w:rsid w:val="00296F8B"/>
    <w:rsid w:val="002A3721"/>
    <w:rsid w:val="002A6B05"/>
    <w:rsid w:val="002B094E"/>
    <w:rsid w:val="002B1638"/>
    <w:rsid w:val="002B3624"/>
    <w:rsid w:val="002D0952"/>
    <w:rsid w:val="002E40B3"/>
    <w:rsid w:val="002E4C9A"/>
    <w:rsid w:val="002F11F8"/>
    <w:rsid w:val="002F3F56"/>
    <w:rsid w:val="002F44B5"/>
    <w:rsid w:val="002F5122"/>
    <w:rsid w:val="00311AC0"/>
    <w:rsid w:val="003176FC"/>
    <w:rsid w:val="00324E45"/>
    <w:rsid w:val="0032583B"/>
    <w:rsid w:val="00327883"/>
    <w:rsid w:val="00332715"/>
    <w:rsid w:val="00335504"/>
    <w:rsid w:val="00340C18"/>
    <w:rsid w:val="0034166E"/>
    <w:rsid w:val="003442FD"/>
    <w:rsid w:val="00347824"/>
    <w:rsid w:val="00350567"/>
    <w:rsid w:val="003521E8"/>
    <w:rsid w:val="0035272A"/>
    <w:rsid w:val="00370CE3"/>
    <w:rsid w:val="003728F3"/>
    <w:rsid w:val="003735BC"/>
    <w:rsid w:val="0037496E"/>
    <w:rsid w:val="00383221"/>
    <w:rsid w:val="00385B52"/>
    <w:rsid w:val="00386150"/>
    <w:rsid w:val="003874CE"/>
    <w:rsid w:val="00390900"/>
    <w:rsid w:val="003A7F6C"/>
    <w:rsid w:val="003B4D60"/>
    <w:rsid w:val="003B7E39"/>
    <w:rsid w:val="003C58DC"/>
    <w:rsid w:val="003D1E62"/>
    <w:rsid w:val="003E0B99"/>
    <w:rsid w:val="003E2486"/>
    <w:rsid w:val="003E3208"/>
    <w:rsid w:val="003F0B04"/>
    <w:rsid w:val="0040134E"/>
    <w:rsid w:val="00417838"/>
    <w:rsid w:val="00420994"/>
    <w:rsid w:val="00421C4F"/>
    <w:rsid w:val="00426D5A"/>
    <w:rsid w:val="0043141C"/>
    <w:rsid w:val="00431EF5"/>
    <w:rsid w:val="004334C7"/>
    <w:rsid w:val="00440A2D"/>
    <w:rsid w:val="00441C3F"/>
    <w:rsid w:val="00444D1A"/>
    <w:rsid w:val="0045015F"/>
    <w:rsid w:val="0045186A"/>
    <w:rsid w:val="00454BDC"/>
    <w:rsid w:val="004564A7"/>
    <w:rsid w:val="00456765"/>
    <w:rsid w:val="00457474"/>
    <w:rsid w:val="00460036"/>
    <w:rsid w:val="004617BF"/>
    <w:rsid w:val="00463658"/>
    <w:rsid w:val="004637A0"/>
    <w:rsid w:val="004722CC"/>
    <w:rsid w:val="00490483"/>
    <w:rsid w:val="004936E4"/>
    <w:rsid w:val="00494E60"/>
    <w:rsid w:val="00497487"/>
    <w:rsid w:val="004A2771"/>
    <w:rsid w:val="004A5B27"/>
    <w:rsid w:val="004A6189"/>
    <w:rsid w:val="004A7390"/>
    <w:rsid w:val="004B7B76"/>
    <w:rsid w:val="004C239D"/>
    <w:rsid w:val="004C23AE"/>
    <w:rsid w:val="004C2B1B"/>
    <w:rsid w:val="004C2DCA"/>
    <w:rsid w:val="004C4FBE"/>
    <w:rsid w:val="004C61D2"/>
    <w:rsid w:val="004F0C4A"/>
    <w:rsid w:val="004F0F38"/>
    <w:rsid w:val="004F47D6"/>
    <w:rsid w:val="00500337"/>
    <w:rsid w:val="005004F0"/>
    <w:rsid w:val="00501921"/>
    <w:rsid w:val="00505417"/>
    <w:rsid w:val="00513E8A"/>
    <w:rsid w:val="0052149B"/>
    <w:rsid w:val="00523A21"/>
    <w:rsid w:val="00530354"/>
    <w:rsid w:val="0053177C"/>
    <w:rsid w:val="00533746"/>
    <w:rsid w:val="0053625B"/>
    <w:rsid w:val="005434C6"/>
    <w:rsid w:val="00543B39"/>
    <w:rsid w:val="00545CDB"/>
    <w:rsid w:val="00546154"/>
    <w:rsid w:val="00550096"/>
    <w:rsid w:val="00555280"/>
    <w:rsid w:val="00557FF9"/>
    <w:rsid w:val="00562327"/>
    <w:rsid w:val="005711D5"/>
    <w:rsid w:val="00576378"/>
    <w:rsid w:val="00577130"/>
    <w:rsid w:val="00577945"/>
    <w:rsid w:val="00577E38"/>
    <w:rsid w:val="00585322"/>
    <w:rsid w:val="005857C6"/>
    <w:rsid w:val="00587E93"/>
    <w:rsid w:val="00592F6E"/>
    <w:rsid w:val="00593AD1"/>
    <w:rsid w:val="0059441F"/>
    <w:rsid w:val="00597994"/>
    <w:rsid w:val="005A68B6"/>
    <w:rsid w:val="005A79F5"/>
    <w:rsid w:val="005B3DA0"/>
    <w:rsid w:val="005C4316"/>
    <w:rsid w:val="005C494B"/>
    <w:rsid w:val="005C5570"/>
    <w:rsid w:val="005C5B66"/>
    <w:rsid w:val="005C79A4"/>
    <w:rsid w:val="005D5442"/>
    <w:rsid w:val="00603F32"/>
    <w:rsid w:val="00605AD4"/>
    <w:rsid w:val="006063BE"/>
    <w:rsid w:val="006136D7"/>
    <w:rsid w:val="00623A78"/>
    <w:rsid w:val="00625A6E"/>
    <w:rsid w:val="00630691"/>
    <w:rsid w:val="00632398"/>
    <w:rsid w:val="006365BD"/>
    <w:rsid w:val="00640FC3"/>
    <w:rsid w:val="00642020"/>
    <w:rsid w:val="006430EE"/>
    <w:rsid w:val="00643CE5"/>
    <w:rsid w:val="0065337B"/>
    <w:rsid w:val="0065419D"/>
    <w:rsid w:val="006603BC"/>
    <w:rsid w:val="006604D8"/>
    <w:rsid w:val="00664A5B"/>
    <w:rsid w:val="0066735C"/>
    <w:rsid w:val="006763D2"/>
    <w:rsid w:val="00680C08"/>
    <w:rsid w:val="00682BA0"/>
    <w:rsid w:val="006901BA"/>
    <w:rsid w:val="006916A0"/>
    <w:rsid w:val="006931B1"/>
    <w:rsid w:val="006A15C0"/>
    <w:rsid w:val="006A58A8"/>
    <w:rsid w:val="006C3E2A"/>
    <w:rsid w:val="006C43E9"/>
    <w:rsid w:val="006C642F"/>
    <w:rsid w:val="006D03E5"/>
    <w:rsid w:val="006D5D3E"/>
    <w:rsid w:val="006D74F5"/>
    <w:rsid w:val="006E08B3"/>
    <w:rsid w:val="006E198B"/>
    <w:rsid w:val="006E7D4A"/>
    <w:rsid w:val="006F17AC"/>
    <w:rsid w:val="006F25B8"/>
    <w:rsid w:val="006F572E"/>
    <w:rsid w:val="007046D6"/>
    <w:rsid w:val="00705DB0"/>
    <w:rsid w:val="0072292E"/>
    <w:rsid w:val="00722B57"/>
    <w:rsid w:val="00730F8A"/>
    <w:rsid w:val="00731434"/>
    <w:rsid w:val="00735A8C"/>
    <w:rsid w:val="00740E77"/>
    <w:rsid w:val="0074163C"/>
    <w:rsid w:val="0074253D"/>
    <w:rsid w:val="00744121"/>
    <w:rsid w:val="0074429B"/>
    <w:rsid w:val="00751AA5"/>
    <w:rsid w:val="007615BC"/>
    <w:rsid w:val="00762AA5"/>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3A59"/>
    <w:rsid w:val="00795866"/>
    <w:rsid w:val="007A0D27"/>
    <w:rsid w:val="007A46F5"/>
    <w:rsid w:val="007A6505"/>
    <w:rsid w:val="007B02E6"/>
    <w:rsid w:val="007B20C4"/>
    <w:rsid w:val="007B6132"/>
    <w:rsid w:val="007B6E9F"/>
    <w:rsid w:val="007C1216"/>
    <w:rsid w:val="007C1AF7"/>
    <w:rsid w:val="007C1D4A"/>
    <w:rsid w:val="007C58FC"/>
    <w:rsid w:val="007C6B9B"/>
    <w:rsid w:val="007D4570"/>
    <w:rsid w:val="007D53B6"/>
    <w:rsid w:val="007D7FFB"/>
    <w:rsid w:val="007E236D"/>
    <w:rsid w:val="007E5A4C"/>
    <w:rsid w:val="007F10D9"/>
    <w:rsid w:val="00804D99"/>
    <w:rsid w:val="00805D27"/>
    <w:rsid w:val="00806DCB"/>
    <w:rsid w:val="008110BC"/>
    <w:rsid w:val="00813A16"/>
    <w:rsid w:val="00821776"/>
    <w:rsid w:val="008321F5"/>
    <w:rsid w:val="00832369"/>
    <w:rsid w:val="00833ED8"/>
    <w:rsid w:val="00834660"/>
    <w:rsid w:val="00836BC2"/>
    <w:rsid w:val="008407AE"/>
    <w:rsid w:val="00846194"/>
    <w:rsid w:val="0085156D"/>
    <w:rsid w:val="00852B28"/>
    <w:rsid w:val="0085641B"/>
    <w:rsid w:val="00857136"/>
    <w:rsid w:val="00865B03"/>
    <w:rsid w:val="00875A6B"/>
    <w:rsid w:val="00884CA6"/>
    <w:rsid w:val="00885B11"/>
    <w:rsid w:val="00886D15"/>
    <w:rsid w:val="00887DD8"/>
    <w:rsid w:val="00890F0C"/>
    <w:rsid w:val="00891BA9"/>
    <w:rsid w:val="00896018"/>
    <w:rsid w:val="008960DD"/>
    <w:rsid w:val="0089635C"/>
    <w:rsid w:val="008A0B55"/>
    <w:rsid w:val="008A2B9D"/>
    <w:rsid w:val="008A3D9F"/>
    <w:rsid w:val="008A5E0B"/>
    <w:rsid w:val="008A6966"/>
    <w:rsid w:val="008A6D59"/>
    <w:rsid w:val="008A72B2"/>
    <w:rsid w:val="008B11FD"/>
    <w:rsid w:val="008B4B03"/>
    <w:rsid w:val="008B596F"/>
    <w:rsid w:val="008C159F"/>
    <w:rsid w:val="008C1623"/>
    <w:rsid w:val="008C1850"/>
    <w:rsid w:val="008C3866"/>
    <w:rsid w:val="008C51A9"/>
    <w:rsid w:val="008D115A"/>
    <w:rsid w:val="008D3478"/>
    <w:rsid w:val="008E052A"/>
    <w:rsid w:val="008E6C23"/>
    <w:rsid w:val="008E7846"/>
    <w:rsid w:val="008F02E5"/>
    <w:rsid w:val="008F1CCC"/>
    <w:rsid w:val="008F2967"/>
    <w:rsid w:val="008F6943"/>
    <w:rsid w:val="00902A21"/>
    <w:rsid w:val="0091523F"/>
    <w:rsid w:val="00920330"/>
    <w:rsid w:val="009219D7"/>
    <w:rsid w:val="00922D53"/>
    <w:rsid w:val="00923B70"/>
    <w:rsid w:val="00924482"/>
    <w:rsid w:val="00927CCC"/>
    <w:rsid w:val="00930237"/>
    <w:rsid w:val="00937C17"/>
    <w:rsid w:val="00940A89"/>
    <w:rsid w:val="00941F77"/>
    <w:rsid w:val="00946EA5"/>
    <w:rsid w:val="009556D7"/>
    <w:rsid w:val="00960520"/>
    <w:rsid w:val="009613B4"/>
    <w:rsid w:val="00963C08"/>
    <w:rsid w:val="009717C3"/>
    <w:rsid w:val="009752A5"/>
    <w:rsid w:val="009757E7"/>
    <w:rsid w:val="0098585A"/>
    <w:rsid w:val="009A4CED"/>
    <w:rsid w:val="009A690D"/>
    <w:rsid w:val="009B1D12"/>
    <w:rsid w:val="009B416B"/>
    <w:rsid w:val="009B448A"/>
    <w:rsid w:val="009C4BD5"/>
    <w:rsid w:val="009D36C2"/>
    <w:rsid w:val="009D7B77"/>
    <w:rsid w:val="009E0BB0"/>
    <w:rsid w:val="009E3FBB"/>
    <w:rsid w:val="009E5A87"/>
    <w:rsid w:val="009F2673"/>
    <w:rsid w:val="009F7353"/>
    <w:rsid w:val="00A04F85"/>
    <w:rsid w:val="00A05FA4"/>
    <w:rsid w:val="00A102E4"/>
    <w:rsid w:val="00A11CCD"/>
    <w:rsid w:val="00A1219C"/>
    <w:rsid w:val="00A12C42"/>
    <w:rsid w:val="00A14DF7"/>
    <w:rsid w:val="00A22D57"/>
    <w:rsid w:val="00A3246D"/>
    <w:rsid w:val="00A32DC0"/>
    <w:rsid w:val="00A36FA7"/>
    <w:rsid w:val="00A373F2"/>
    <w:rsid w:val="00A44DDB"/>
    <w:rsid w:val="00A475B7"/>
    <w:rsid w:val="00A47AF7"/>
    <w:rsid w:val="00A47C3E"/>
    <w:rsid w:val="00A50226"/>
    <w:rsid w:val="00A60BAD"/>
    <w:rsid w:val="00A74DF2"/>
    <w:rsid w:val="00A7518A"/>
    <w:rsid w:val="00A77F87"/>
    <w:rsid w:val="00A80B5B"/>
    <w:rsid w:val="00A82ECE"/>
    <w:rsid w:val="00A84E36"/>
    <w:rsid w:val="00A9240C"/>
    <w:rsid w:val="00A964D1"/>
    <w:rsid w:val="00A97688"/>
    <w:rsid w:val="00A97E33"/>
    <w:rsid w:val="00AA0ED0"/>
    <w:rsid w:val="00AA4138"/>
    <w:rsid w:val="00AB0763"/>
    <w:rsid w:val="00AC2B40"/>
    <w:rsid w:val="00AC2BB2"/>
    <w:rsid w:val="00AC2C3C"/>
    <w:rsid w:val="00AC512D"/>
    <w:rsid w:val="00AD0083"/>
    <w:rsid w:val="00AD3935"/>
    <w:rsid w:val="00AE65EB"/>
    <w:rsid w:val="00AE67A7"/>
    <w:rsid w:val="00AF1D94"/>
    <w:rsid w:val="00AF2313"/>
    <w:rsid w:val="00AF48DC"/>
    <w:rsid w:val="00AF60C5"/>
    <w:rsid w:val="00B009C6"/>
    <w:rsid w:val="00B01548"/>
    <w:rsid w:val="00B130C5"/>
    <w:rsid w:val="00B13EBD"/>
    <w:rsid w:val="00B1406F"/>
    <w:rsid w:val="00B21D29"/>
    <w:rsid w:val="00B25034"/>
    <w:rsid w:val="00B33588"/>
    <w:rsid w:val="00B33863"/>
    <w:rsid w:val="00B37D17"/>
    <w:rsid w:val="00B4175E"/>
    <w:rsid w:val="00B41C85"/>
    <w:rsid w:val="00B452CE"/>
    <w:rsid w:val="00B530A6"/>
    <w:rsid w:val="00B54C25"/>
    <w:rsid w:val="00B63F10"/>
    <w:rsid w:val="00B640C1"/>
    <w:rsid w:val="00B66606"/>
    <w:rsid w:val="00B76B91"/>
    <w:rsid w:val="00B77EB1"/>
    <w:rsid w:val="00B811C6"/>
    <w:rsid w:val="00B855B0"/>
    <w:rsid w:val="00B92E08"/>
    <w:rsid w:val="00B956EE"/>
    <w:rsid w:val="00BB0B78"/>
    <w:rsid w:val="00BB75D6"/>
    <w:rsid w:val="00BC0ACB"/>
    <w:rsid w:val="00BC622A"/>
    <w:rsid w:val="00BE0A78"/>
    <w:rsid w:val="00BE6542"/>
    <w:rsid w:val="00BE79F0"/>
    <w:rsid w:val="00BF046D"/>
    <w:rsid w:val="00BF1190"/>
    <w:rsid w:val="00BF3774"/>
    <w:rsid w:val="00BF5D04"/>
    <w:rsid w:val="00BF7063"/>
    <w:rsid w:val="00C009AA"/>
    <w:rsid w:val="00C1164D"/>
    <w:rsid w:val="00C12E1A"/>
    <w:rsid w:val="00C16861"/>
    <w:rsid w:val="00C2014C"/>
    <w:rsid w:val="00C33208"/>
    <w:rsid w:val="00C34133"/>
    <w:rsid w:val="00C346AB"/>
    <w:rsid w:val="00C404A6"/>
    <w:rsid w:val="00C40A36"/>
    <w:rsid w:val="00C41FB0"/>
    <w:rsid w:val="00C44419"/>
    <w:rsid w:val="00C45E7B"/>
    <w:rsid w:val="00C471B1"/>
    <w:rsid w:val="00C525A2"/>
    <w:rsid w:val="00C52E24"/>
    <w:rsid w:val="00C558A9"/>
    <w:rsid w:val="00C627EB"/>
    <w:rsid w:val="00C6316B"/>
    <w:rsid w:val="00C634A9"/>
    <w:rsid w:val="00C64586"/>
    <w:rsid w:val="00C707A1"/>
    <w:rsid w:val="00C70A36"/>
    <w:rsid w:val="00C70D53"/>
    <w:rsid w:val="00C73D0B"/>
    <w:rsid w:val="00C74F5C"/>
    <w:rsid w:val="00C75C52"/>
    <w:rsid w:val="00C75F4A"/>
    <w:rsid w:val="00C772FF"/>
    <w:rsid w:val="00C80137"/>
    <w:rsid w:val="00C801AF"/>
    <w:rsid w:val="00C80256"/>
    <w:rsid w:val="00C81F36"/>
    <w:rsid w:val="00C94CD4"/>
    <w:rsid w:val="00C9747E"/>
    <w:rsid w:val="00CB6BC0"/>
    <w:rsid w:val="00CC1B7C"/>
    <w:rsid w:val="00CC5044"/>
    <w:rsid w:val="00CC727F"/>
    <w:rsid w:val="00CF15C3"/>
    <w:rsid w:val="00CF2B6F"/>
    <w:rsid w:val="00CF2F3E"/>
    <w:rsid w:val="00CF58B6"/>
    <w:rsid w:val="00CF5DAD"/>
    <w:rsid w:val="00D0062D"/>
    <w:rsid w:val="00D017ED"/>
    <w:rsid w:val="00D01D1D"/>
    <w:rsid w:val="00D040D3"/>
    <w:rsid w:val="00D04C65"/>
    <w:rsid w:val="00D04F53"/>
    <w:rsid w:val="00D153D8"/>
    <w:rsid w:val="00D201D2"/>
    <w:rsid w:val="00D212F3"/>
    <w:rsid w:val="00D224FE"/>
    <w:rsid w:val="00D23139"/>
    <w:rsid w:val="00D425BB"/>
    <w:rsid w:val="00D453FA"/>
    <w:rsid w:val="00D56348"/>
    <w:rsid w:val="00D6493E"/>
    <w:rsid w:val="00D7195D"/>
    <w:rsid w:val="00D72CBA"/>
    <w:rsid w:val="00D72E1D"/>
    <w:rsid w:val="00D7301E"/>
    <w:rsid w:val="00D83AE1"/>
    <w:rsid w:val="00D84E12"/>
    <w:rsid w:val="00D854AC"/>
    <w:rsid w:val="00D855D4"/>
    <w:rsid w:val="00D902C9"/>
    <w:rsid w:val="00D93466"/>
    <w:rsid w:val="00D953F0"/>
    <w:rsid w:val="00DA1124"/>
    <w:rsid w:val="00DA64CB"/>
    <w:rsid w:val="00DB06B8"/>
    <w:rsid w:val="00DB5CD7"/>
    <w:rsid w:val="00DB6124"/>
    <w:rsid w:val="00DB750B"/>
    <w:rsid w:val="00DB75B7"/>
    <w:rsid w:val="00DC0A2F"/>
    <w:rsid w:val="00DC1948"/>
    <w:rsid w:val="00DC2992"/>
    <w:rsid w:val="00DC6E02"/>
    <w:rsid w:val="00DD28CD"/>
    <w:rsid w:val="00DE02AE"/>
    <w:rsid w:val="00DE39D1"/>
    <w:rsid w:val="00DF1D7F"/>
    <w:rsid w:val="00DF4BE4"/>
    <w:rsid w:val="00DF7C6F"/>
    <w:rsid w:val="00E02382"/>
    <w:rsid w:val="00E02FB4"/>
    <w:rsid w:val="00E041DD"/>
    <w:rsid w:val="00E13FC7"/>
    <w:rsid w:val="00E20571"/>
    <w:rsid w:val="00E235F7"/>
    <w:rsid w:val="00E23659"/>
    <w:rsid w:val="00E239D4"/>
    <w:rsid w:val="00E26130"/>
    <w:rsid w:val="00E2732F"/>
    <w:rsid w:val="00E33D42"/>
    <w:rsid w:val="00E40B22"/>
    <w:rsid w:val="00E44ED1"/>
    <w:rsid w:val="00E45619"/>
    <w:rsid w:val="00E4588F"/>
    <w:rsid w:val="00E46DA3"/>
    <w:rsid w:val="00E51BB1"/>
    <w:rsid w:val="00E520C2"/>
    <w:rsid w:val="00E55CB0"/>
    <w:rsid w:val="00E624A5"/>
    <w:rsid w:val="00E64BA4"/>
    <w:rsid w:val="00E6651C"/>
    <w:rsid w:val="00E66B61"/>
    <w:rsid w:val="00E7344E"/>
    <w:rsid w:val="00E82665"/>
    <w:rsid w:val="00EA3A63"/>
    <w:rsid w:val="00EB05CA"/>
    <w:rsid w:val="00EB0798"/>
    <w:rsid w:val="00EB36D6"/>
    <w:rsid w:val="00EB40AD"/>
    <w:rsid w:val="00EB586E"/>
    <w:rsid w:val="00EB5FC8"/>
    <w:rsid w:val="00EC463D"/>
    <w:rsid w:val="00EC7A85"/>
    <w:rsid w:val="00ED2922"/>
    <w:rsid w:val="00ED3CAD"/>
    <w:rsid w:val="00ED5A41"/>
    <w:rsid w:val="00EE1DE8"/>
    <w:rsid w:val="00EE27C2"/>
    <w:rsid w:val="00EE3D57"/>
    <w:rsid w:val="00EF4BAD"/>
    <w:rsid w:val="00EF59DC"/>
    <w:rsid w:val="00EF7CC1"/>
    <w:rsid w:val="00F031D3"/>
    <w:rsid w:val="00F033EC"/>
    <w:rsid w:val="00F04F68"/>
    <w:rsid w:val="00F12670"/>
    <w:rsid w:val="00F14B27"/>
    <w:rsid w:val="00F3148D"/>
    <w:rsid w:val="00F325C5"/>
    <w:rsid w:val="00F32FE0"/>
    <w:rsid w:val="00F35298"/>
    <w:rsid w:val="00F47333"/>
    <w:rsid w:val="00F47E37"/>
    <w:rsid w:val="00F53C07"/>
    <w:rsid w:val="00F54B65"/>
    <w:rsid w:val="00F63DBF"/>
    <w:rsid w:val="00F640B6"/>
    <w:rsid w:val="00F647BA"/>
    <w:rsid w:val="00F66DF2"/>
    <w:rsid w:val="00F80E40"/>
    <w:rsid w:val="00F848D9"/>
    <w:rsid w:val="00F86E18"/>
    <w:rsid w:val="00F931CE"/>
    <w:rsid w:val="00FA3C1C"/>
    <w:rsid w:val="00FA4BBA"/>
    <w:rsid w:val="00FA5069"/>
    <w:rsid w:val="00FA5B82"/>
    <w:rsid w:val="00FA639E"/>
    <w:rsid w:val="00FC1FCA"/>
    <w:rsid w:val="00FC25E4"/>
    <w:rsid w:val="00FC4EF7"/>
    <w:rsid w:val="00FD0824"/>
    <w:rsid w:val="00FD0F38"/>
    <w:rsid w:val="00FD119B"/>
    <w:rsid w:val="00FD1EDC"/>
    <w:rsid w:val="00FD761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1A8FA9"/>
  <w15:docId w15:val="{637951CF-3698-4264-A32C-876AEB5D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3C0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0A2A05"/>
    <w:pPr>
      <w:autoSpaceDE w:val="0"/>
      <w:autoSpaceDN w:val="0"/>
      <w:adjustRightInd w:val="0"/>
      <w:spacing w:after="0" w:line="240" w:lineRule="auto"/>
    </w:pPr>
    <w:rPr>
      <w:rFonts w:ascii="Cambria" w:hAnsi="Cambria" w:cs="Cambria"/>
      <w:color w:val="000000"/>
      <w:sz w:val="24"/>
      <w:szCs w:val="24"/>
      <w:lang w:val="en-GB"/>
    </w:rPr>
  </w:style>
  <w:style w:type="paragraph" w:styleId="ListParagraph">
    <w:name w:val="List Paragraph"/>
    <w:basedOn w:val="Normal"/>
    <w:uiPriority w:val="34"/>
    <w:qFormat/>
    <w:rsid w:val="000E1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7077">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644823236">
      <w:bodyDiv w:val="1"/>
      <w:marLeft w:val="0"/>
      <w:marRight w:val="0"/>
      <w:marTop w:val="0"/>
      <w:marBottom w:val="0"/>
      <w:divBdr>
        <w:top w:val="none" w:sz="0" w:space="0" w:color="auto"/>
        <w:left w:val="none" w:sz="0" w:space="0" w:color="auto"/>
        <w:bottom w:val="none" w:sz="0" w:space="0" w:color="auto"/>
        <w:right w:val="none" w:sz="0" w:space="0" w:color="auto"/>
      </w:divBdr>
    </w:div>
    <w:div w:id="958532439">
      <w:bodyDiv w:val="1"/>
      <w:marLeft w:val="0"/>
      <w:marRight w:val="0"/>
      <w:marTop w:val="0"/>
      <w:marBottom w:val="0"/>
      <w:divBdr>
        <w:top w:val="none" w:sz="0" w:space="0" w:color="auto"/>
        <w:left w:val="none" w:sz="0" w:space="0" w:color="auto"/>
        <w:bottom w:val="none" w:sz="0" w:space="0" w:color="auto"/>
        <w:right w:val="none" w:sz="0" w:space="0" w:color="auto"/>
      </w:divBdr>
    </w:div>
    <w:div w:id="1346664856">
      <w:bodyDiv w:val="1"/>
      <w:marLeft w:val="0"/>
      <w:marRight w:val="0"/>
      <w:marTop w:val="0"/>
      <w:marBottom w:val="0"/>
      <w:divBdr>
        <w:top w:val="none" w:sz="0" w:space="0" w:color="auto"/>
        <w:left w:val="none" w:sz="0" w:space="0" w:color="auto"/>
        <w:bottom w:val="none" w:sz="0" w:space="0" w:color="auto"/>
        <w:right w:val="none" w:sz="0" w:space="0" w:color="auto"/>
      </w:divBdr>
    </w:div>
    <w:div w:id="1654749529">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9801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guidance-8-product-information" TargetMode="External"/><Relationship Id="rId26" Type="http://schemas.openxmlformats.org/officeDocument/2006/relationships/hyperlink" Target="https://www.fda.gov/media/137926/download" TargetMode="External"/><Relationship Id="rId39" Type="http://schemas.openxmlformats.org/officeDocument/2006/relationships/image" Target="media/image15.png"/><Relationship Id="rId21" Type="http://schemas.openxmlformats.org/officeDocument/2006/relationships/hyperlink" Target="https://www.tga.gov.au/access-consortium-alignment-icmra-consensus-immunobridging-authorising-new-covid-19-vaccines"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www.tga.gov.au" TargetMode="Externa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fda.gov/media/139638/download"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3.xm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ema.europa.eu/en/documents/other/ema-considerations-covid-19-vaccine-approval_en.pd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yperlink" Target="https://www.tga.gov.au/picmi-search-facility" TargetMode="External"/><Relationship Id="rId61"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hyperlink" Target="https://www.tga.gov.au/form-providing-product-information" TargetMode="Externa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5.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hyperlink" Target="https://www.ema.europa.eu/en/documents/scientific-guideline/guideline-clinical-evaluation-new-vaccines_en.pdf" TargetMode="External"/><Relationship Id="rId27" Type="http://schemas.openxmlformats.org/officeDocument/2006/relationships/hyperlink" Target="https://www.who.int/docs/default-source/blue-print/working-group-for-vaccine-evaluation-(4th-consultation)/ap1-guidelines-online-consultation.pdf"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www.tga.gov.au/committee/advisory-committee-vaccines-acv" TargetMode="External"/><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hyperlink" Target="https://www.tga.gov.au"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tga.gov.au/picmi-search-facility" TargetMode="External"/><Relationship Id="rId25" Type="http://schemas.openxmlformats.org/officeDocument/2006/relationships/hyperlink" Target="https://www.fda.gov/media/142749/download"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hyperlink" Target="https://www.tga.gov.au/access-consortium-statement-covid-19-vaccines-evidence" TargetMode="External"/><Relationship Id="rId41" Type="http://schemas.openxmlformats.org/officeDocument/2006/relationships/hyperlink" Target="https://www.cdc.gov/growthcharts/html_charts/bmiagerev.htm" TargetMode="External"/><Relationship Id="rId54" Type="http://schemas.openxmlformats.org/officeDocument/2006/relationships/image" Target="media/image29.png"/><Relationship Id="rId62" Type="http://schemas.openxmlformats.org/officeDocument/2006/relationships/hyperlink" Target="mailto:info@tga.gov.au"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covid-19-vaccine-provisional-registrations" TargetMode="External"/><Relationship Id="rId13" Type="http://schemas.openxmlformats.org/officeDocument/2006/relationships/hyperlink" Target="https://www.tga.gov.au/resources/auspar/auspar-tozinameran-0" TargetMode="External"/><Relationship Id="rId18" Type="http://schemas.openxmlformats.org/officeDocument/2006/relationships/hyperlink" Target="https://www.tga.gov.au/auspar/auspar-elasomeran-1" TargetMode="External"/><Relationship Id="rId3" Type="http://schemas.openxmlformats.org/officeDocument/2006/relationships/hyperlink" Target="https://www.tga.gov.au/resources/auspar/auspar-tozinameran-0" TargetMode="External"/><Relationship Id="rId21" Type="http://schemas.openxmlformats.org/officeDocument/2006/relationships/hyperlink" Target="https://www.tga.gov.au/auspar/auspar-sars-cov-2-rs-matrix-m-adjuvant-nvx-cov2373" TargetMode="External"/><Relationship Id="rId7" Type="http://schemas.openxmlformats.org/officeDocument/2006/relationships/hyperlink" Target="https://paeds.org.au/pims-ts/paeds-pims-ts-case-data" TargetMode="External"/><Relationship Id="rId12" Type="http://schemas.openxmlformats.org/officeDocument/2006/relationships/hyperlink" Target="https://www.tga.gov.au/resources/auspar/auspar-tozinameran" TargetMode="External"/><Relationship Id="rId17" Type="http://schemas.openxmlformats.org/officeDocument/2006/relationships/hyperlink" Target="https://www.tga.gov.au/auspar/auspar-elasomeran-0" TargetMode="External"/><Relationship Id="rId2" Type="http://schemas.openxmlformats.org/officeDocument/2006/relationships/hyperlink" Target="https://www.tga.gov.au/resources/auspar/auspar-tozinameran" TargetMode="External"/><Relationship Id="rId16" Type="http://schemas.openxmlformats.org/officeDocument/2006/relationships/hyperlink" Target="https://www.tga.gov.au/auspar/auspar-elasomeran" TargetMode="External"/><Relationship Id="rId20" Type="http://schemas.openxmlformats.org/officeDocument/2006/relationships/hyperlink" Target="https://www.tga.gov.au/auspar/auspar-sars-cov-2-rs-matrix-m-adjuvant" TargetMode="External"/><Relationship Id="rId1" Type="http://schemas.openxmlformats.org/officeDocument/2006/relationships/hyperlink" Target="https://www.tga.gov.au/resources/auspar/auspar-tozinameran-0" TargetMode="External"/><Relationship Id="rId6" Type="http://schemas.openxmlformats.org/officeDocument/2006/relationships/hyperlink" Target="https://www.health.gov.au/initiatives-and-programs/nndss" TargetMode="External"/><Relationship Id="rId11" Type="http://schemas.openxmlformats.org/officeDocument/2006/relationships/hyperlink" Target="https://www.tga.gov.au/auspar/auspar-tozinameran-mrna-covid-19-vaccine" TargetMode="External"/><Relationship Id="rId5" Type="http://schemas.openxmlformats.org/officeDocument/2006/relationships/hyperlink" Target="https://www.health.gov.au/health-alerts/covid-19/case-numbers-and-statistics" TargetMode="External"/><Relationship Id="rId15" Type="http://schemas.openxmlformats.org/officeDocument/2006/relationships/hyperlink" Target="https://www.tga.gov.au/auspar/auspar-ad26cov2s" TargetMode="External"/><Relationship Id="rId10" Type="http://schemas.openxmlformats.org/officeDocument/2006/relationships/hyperlink" Target="https://www.tga.gov.au/auspar/auspar-bnt162b2-mrna" TargetMode="External"/><Relationship Id="rId19" Type="http://schemas.openxmlformats.org/officeDocument/2006/relationships/hyperlink" Target="https://www.tga.gov.au/auspar/auspar-elasomeran-2" TargetMode="External"/><Relationship Id="rId4" Type="http://schemas.openxmlformats.org/officeDocument/2006/relationships/hyperlink" Target="https://covid19.who.int/" TargetMode="External"/><Relationship Id="rId9" Type="http://schemas.openxmlformats.org/officeDocument/2006/relationships/hyperlink" Target="https://www.tga.gov.au/auspar/auspar-bnt162b2-mrna-comirnaty" TargetMode="External"/><Relationship Id="rId14" Type="http://schemas.openxmlformats.org/officeDocument/2006/relationships/hyperlink" Target="https://www.tga.gov.au/auspar/auspar-chadox1-s" TargetMode="External"/><Relationship Id="rId22" Type="http://schemas.openxmlformats.org/officeDocument/2006/relationships/hyperlink" Target="https://www.fda.gov/media/73679/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102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2A3BD-8F0A-46C3-9E43-8D839290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56</TotalTime>
  <Pages>58</Pages>
  <Words>17314</Words>
  <Characters>98691</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Australian public assessment report for Comirnaty</vt:lpstr>
    </vt:vector>
  </TitlesOfParts>
  <Company>Department of Health and Aged Care</Company>
  <LinksUpToDate>false</LinksUpToDate>
  <CharactersWithSpaces>115774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Comirnaty</dc:title>
  <dc:subject>prescription medicine regulation</dc:subject>
  <dc:creator>Therapeutic Goods Administration</dc:creator>
  <cp:keywords>AusPARs</cp:keywords>
  <cp:lastModifiedBy>PITKIN, Brendan</cp:lastModifiedBy>
  <cp:revision>7</cp:revision>
  <cp:lastPrinted>2019-08-14T04:30:00Z</cp:lastPrinted>
  <dcterms:created xsi:type="dcterms:W3CDTF">2022-09-30T03:03:00Z</dcterms:created>
  <dcterms:modified xsi:type="dcterms:W3CDTF">2022-10-09T23:34:00Z</dcterms:modified>
  <cp:category/>
</cp:coreProperties>
</file>