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A6B1" w14:textId="2F325A8E" w:rsidR="00BF2DF9" w:rsidRPr="00515A8B" w:rsidRDefault="007B446D" w:rsidP="00515A8B">
      <w:pPr>
        <w:tabs>
          <w:tab w:val="left" w:pos="284"/>
        </w:tabs>
        <w:autoSpaceDE/>
        <w:autoSpaceDN/>
        <w:adjustRightInd/>
        <w:spacing w:after="480" w:line="240" w:lineRule="auto"/>
        <w:rPr>
          <w:rFonts w:ascii="Cambria" w:eastAsia="Calibri" w:hAnsi="Cambria"/>
          <w:color w:val="auto"/>
          <w:sz w:val="22"/>
          <w:szCs w:val="22"/>
          <w:lang w:val="en-AU"/>
        </w:rPr>
      </w:pPr>
      <w:r w:rsidRPr="007B446D">
        <w:rPr>
          <w:rFonts w:ascii="Calibri" w:eastAsia="Calibri" w:hAnsi="Calibri"/>
          <w:noProof/>
          <w:color w:val="auto"/>
          <w:sz w:val="22"/>
          <w:szCs w:val="22"/>
          <w:lang w:val="en-AU" w:eastAsia="en-AU"/>
        </w:rPr>
        <mc:AlternateContent>
          <mc:Choice Requires="wps">
            <w:drawing>
              <wp:inline distT="0" distB="0" distL="0" distR="0" wp14:anchorId="773B6C42" wp14:editId="3DB51E15">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1F7E5" w14:textId="77777777" w:rsidR="007B446D" w:rsidRPr="00BE2A26" w:rsidRDefault="007B446D" w:rsidP="007B446D">
                            <w:pPr>
                              <w:spacing w:after="0"/>
                              <w:rPr>
                                <w:rFonts w:ascii="Wingdings 3" w:hAnsi="Wingdings 3" w:hint="eastAsia"/>
                              </w:rPr>
                            </w:pPr>
                            <w:r w:rsidRPr="00BE2A26">
                              <w:rPr>
                                <w:rFonts w:ascii="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73B6C42"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GZKlrvUBAADeAwAADgAAAAAAAAAAAAAAAAAuAgAAZHJzL2Uy&#10;b0RvYy54bWxQSwECLQAUAAYACAAAACEAY/VODNkAAAADAQAADwAAAAAAAAAAAAAAAABPBAAAZHJz&#10;L2Rvd25yZXYueG1sUEsFBgAAAAAEAAQA8wAAAFUFAAAAAA==&#10;" stroked="f">
                <v:textbox inset="0,0,0,0">
                  <w:txbxContent>
                    <w:p w14:paraId="7E31F7E5" w14:textId="77777777" w:rsidR="007B446D" w:rsidRPr="00BE2A26" w:rsidRDefault="007B446D" w:rsidP="007B446D">
                      <w:pPr>
                        <w:spacing w:after="0"/>
                        <w:rPr>
                          <w:rFonts w:ascii="Wingdings 3" w:hAnsi="Wingdings 3" w:hint="eastAsia"/>
                        </w:rPr>
                      </w:pPr>
                      <w:r w:rsidRPr="00BE2A26">
                        <w:rPr>
                          <w:rFonts w:ascii="SimSun" w:hAnsi="SimSun" w:cs="Arial" w:hint="eastAsia"/>
                          <w:sz w:val="40"/>
                        </w:rPr>
                        <w:t>▼</w:t>
                      </w:r>
                    </w:p>
                  </w:txbxContent>
                </v:textbox>
                <w10:anchorlock/>
              </v:shape>
            </w:pict>
          </mc:Fallback>
        </mc:AlternateContent>
      </w:r>
      <w:r w:rsidRPr="00515A8B">
        <w:rPr>
          <w:rFonts w:eastAsia="Calibri"/>
          <w:color w:val="auto"/>
          <w:sz w:val="22"/>
          <w:szCs w:val="22"/>
          <w:lang w:val="en-AU"/>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515A8B">
          <w:rPr>
            <w:rFonts w:eastAsia="Calibri"/>
            <w:color w:val="0000FF"/>
            <w:sz w:val="22"/>
            <w:szCs w:val="22"/>
            <w:u w:val="single"/>
            <w:lang w:val="en-AU"/>
          </w:rPr>
          <w:t>https://www.tga.gov.au/reporting-problems</w:t>
        </w:r>
      </w:hyperlink>
      <w:r w:rsidRPr="00515A8B">
        <w:rPr>
          <w:rFonts w:eastAsia="Calibri"/>
          <w:color w:val="auto"/>
          <w:sz w:val="22"/>
          <w:szCs w:val="22"/>
          <w:lang w:val="en-AU"/>
        </w:rPr>
        <w:t>.</w:t>
      </w:r>
    </w:p>
    <w:p w14:paraId="3F13AA57" w14:textId="6E9C69A6" w:rsidR="002B509D" w:rsidRPr="00C725A3" w:rsidRDefault="00DC608B" w:rsidP="002B509D">
      <w:pPr>
        <w:jc w:val="center"/>
        <w:rPr>
          <w:rFonts w:eastAsia="Times New Roman"/>
          <w:b/>
          <w:szCs w:val="22"/>
        </w:rPr>
      </w:pPr>
      <w:r w:rsidRPr="00C725A3">
        <w:rPr>
          <w:b/>
        </w:rPr>
        <w:t>AUSTRALIAN PRODUCT INFORMATION</w:t>
      </w:r>
      <w:r w:rsidR="0074724E">
        <w:rPr>
          <w:b/>
        </w:rPr>
        <w:t xml:space="preserve"> </w:t>
      </w:r>
      <w:r w:rsidR="003C15D8">
        <w:rPr>
          <w:b/>
        </w:rPr>
        <w:t>–</w:t>
      </w:r>
      <w:r w:rsidR="0074724E">
        <w:rPr>
          <w:b/>
        </w:rPr>
        <w:t xml:space="preserve"> </w:t>
      </w:r>
      <w:r w:rsidR="00D26B54">
        <w:rPr>
          <w:b/>
        </w:rPr>
        <w:t>ISTURISA (</w:t>
      </w:r>
      <w:proofErr w:type="spellStart"/>
      <w:r w:rsidR="00D26B54">
        <w:rPr>
          <w:b/>
        </w:rPr>
        <w:t>osilodrostat</w:t>
      </w:r>
      <w:proofErr w:type="spellEnd"/>
      <w:r w:rsidR="002E1F16">
        <w:rPr>
          <w:b/>
        </w:rPr>
        <w:t xml:space="preserve"> phosphate</w:t>
      </w:r>
      <w:r w:rsidR="00D26B54">
        <w:rPr>
          <w:b/>
        </w:rPr>
        <w:t>)</w:t>
      </w:r>
    </w:p>
    <w:p w14:paraId="2F33F6D4" w14:textId="77777777" w:rsidR="00C060A6" w:rsidRDefault="00C060A6" w:rsidP="002B509D">
      <w:pPr>
        <w:jc w:val="center"/>
        <w:rPr>
          <w:b/>
        </w:rPr>
      </w:pPr>
    </w:p>
    <w:p w14:paraId="38DEC7C1" w14:textId="7BCE568D" w:rsidR="003376BE" w:rsidRPr="003E4C4B" w:rsidRDefault="00C30B75" w:rsidP="005E4ABA">
      <w:pPr>
        <w:pStyle w:val="Heading1"/>
      </w:pPr>
      <w:r w:rsidRPr="003E4C4B">
        <w:t>NAME OF THE MEDICINE</w:t>
      </w:r>
    </w:p>
    <w:p w14:paraId="528EF7D8" w14:textId="130FD581" w:rsidR="002A5CD9" w:rsidRPr="00D26B54" w:rsidRDefault="00C73B41" w:rsidP="00D26B54">
      <w:pPr>
        <w:rPr>
          <w:lang w:val="en-AU"/>
        </w:rPr>
      </w:pPr>
      <w:proofErr w:type="spellStart"/>
      <w:r w:rsidRPr="00D26B54">
        <w:rPr>
          <w:lang w:val="en-AU"/>
        </w:rPr>
        <w:t>Osilodrostat</w:t>
      </w:r>
      <w:proofErr w:type="spellEnd"/>
      <w:r w:rsidRPr="00D26B54">
        <w:rPr>
          <w:lang w:val="en-AU"/>
        </w:rPr>
        <w:t xml:space="preserve"> </w:t>
      </w:r>
      <w:r w:rsidR="00734A68">
        <w:rPr>
          <w:lang w:val="en-AU"/>
        </w:rPr>
        <w:t>phosphate</w:t>
      </w:r>
    </w:p>
    <w:p w14:paraId="56BDCDC0" w14:textId="423B46BA" w:rsidR="00C30B75" w:rsidRPr="003E4C4B" w:rsidRDefault="00C30B75" w:rsidP="005E4ABA">
      <w:pPr>
        <w:pStyle w:val="Heading1"/>
      </w:pPr>
      <w:r w:rsidRPr="003E4C4B">
        <w:t>QUALITIATIVE AND QUANTITATIVE COMPOSITION</w:t>
      </w:r>
    </w:p>
    <w:p w14:paraId="09AB07D4" w14:textId="2E26BF87" w:rsidR="00F11730" w:rsidRPr="00D26B54" w:rsidRDefault="00F11730" w:rsidP="00D26B54">
      <w:proofErr w:type="spellStart"/>
      <w:r w:rsidRPr="00D26B54">
        <w:t>Isturisa</w:t>
      </w:r>
      <w:proofErr w:type="spellEnd"/>
      <w:r w:rsidRPr="00D26B54">
        <w:t xml:space="preserve"> 1 mg</w:t>
      </w:r>
      <w:r w:rsidR="00D26B54">
        <w:t xml:space="preserve">: </w:t>
      </w:r>
      <w:r w:rsidRPr="00D26B54">
        <w:t xml:space="preserve">Each film-coated tablet contains </w:t>
      </w:r>
      <w:proofErr w:type="spellStart"/>
      <w:r w:rsidRPr="00D26B54">
        <w:t>osilodrostat</w:t>
      </w:r>
      <w:proofErr w:type="spellEnd"/>
      <w:r w:rsidRPr="00D26B54">
        <w:t xml:space="preserve"> phosphate corresponding to 1 mg </w:t>
      </w:r>
      <w:proofErr w:type="spellStart"/>
      <w:r w:rsidRPr="00D26B54">
        <w:t>osilodrostat</w:t>
      </w:r>
      <w:proofErr w:type="spellEnd"/>
      <w:r w:rsidRPr="00D26B54">
        <w:t xml:space="preserve">. </w:t>
      </w:r>
    </w:p>
    <w:p w14:paraId="78CC20E9" w14:textId="0CCC3256" w:rsidR="00F11730" w:rsidRPr="00D26B54" w:rsidRDefault="00F11730" w:rsidP="00D26B54">
      <w:proofErr w:type="spellStart"/>
      <w:r w:rsidRPr="00D26B54">
        <w:t>Isturisa</w:t>
      </w:r>
      <w:proofErr w:type="spellEnd"/>
      <w:r w:rsidRPr="00D26B54">
        <w:t xml:space="preserve"> 5 mg</w:t>
      </w:r>
      <w:r w:rsidR="00D26B54">
        <w:t xml:space="preserve">: </w:t>
      </w:r>
      <w:r w:rsidRPr="00D26B54">
        <w:t xml:space="preserve">Each film-coated tablet contains </w:t>
      </w:r>
      <w:proofErr w:type="spellStart"/>
      <w:r w:rsidRPr="00D26B54">
        <w:t>osilodrostat</w:t>
      </w:r>
      <w:proofErr w:type="spellEnd"/>
      <w:r w:rsidRPr="00D26B54">
        <w:t xml:space="preserve"> phosphate corresponding to 5 mg </w:t>
      </w:r>
      <w:proofErr w:type="spellStart"/>
      <w:r w:rsidRPr="00D26B54">
        <w:t>osilodrostat</w:t>
      </w:r>
      <w:proofErr w:type="spellEnd"/>
      <w:r w:rsidRPr="00D26B54">
        <w:t xml:space="preserve">. </w:t>
      </w:r>
    </w:p>
    <w:p w14:paraId="16001C88" w14:textId="0216467B" w:rsidR="00F11730" w:rsidRPr="00D26B54" w:rsidRDefault="00F11730" w:rsidP="00D26B54">
      <w:proofErr w:type="spellStart"/>
      <w:r w:rsidRPr="00D26B54">
        <w:t>Isturisa</w:t>
      </w:r>
      <w:proofErr w:type="spellEnd"/>
      <w:r w:rsidRPr="00D26B54">
        <w:t xml:space="preserve"> 10 mg</w:t>
      </w:r>
      <w:r w:rsidR="00D26B54">
        <w:t xml:space="preserve">: </w:t>
      </w:r>
      <w:r w:rsidRPr="00D26B54">
        <w:t xml:space="preserve">Each film-coated tablet contains </w:t>
      </w:r>
      <w:proofErr w:type="spellStart"/>
      <w:r w:rsidRPr="00D26B54">
        <w:t>osilodrostat</w:t>
      </w:r>
      <w:proofErr w:type="spellEnd"/>
      <w:r w:rsidRPr="00D26B54">
        <w:t xml:space="preserve"> phosphate corresponding to 10 mg </w:t>
      </w:r>
      <w:proofErr w:type="spellStart"/>
      <w:r w:rsidRPr="00D26B54">
        <w:t>osilodrostat</w:t>
      </w:r>
      <w:proofErr w:type="spellEnd"/>
      <w:r w:rsidRPr="00D26B54">
        <w:t xml:space="preserve">. </w:t>
      </w:r>
    </w:p>
    <w:p w14:paraId="061AAED7" w14:textId="18C065DE" w:rsidR="002B509D" w:rsidRDefault="00F11730" w:rsidP="00D26B54">
      <w:r w:rsidRPr="00D26B54">
        <w:t xml:space="preserve">For the full list of excipients, see section </w:t>
      </w:r>
      <w:hyperlink w:anchor="_LIST_OF_EXIPIENTS" w:history="1">
        <w:r w:rsidRPr="00962B45">
          <w:rPr>
            <w:rStyle w:val="Hyperlink"/>
          </w:rPr>
          <w:t>6.1</w:t>
        </w:r>
        <w:r w:rsidR="004C3917" w:rsidRPr="00962B45">
          <w:rPr>
            <w:rStyle w:val="Hyperlink"/>
          </w:rPr>
          <w:t xml:space="preserve"> List of excipients</w:t>
        </w:r>
      </w:hyperlink>
      <w:r w:rsidRPr="00D26B54">
        <w:t xml:space="preserve">. </w:t>
      </w:r>
    </w:p>
    <w:p w14:paraId="0E1C785F" w14:textId="2E8468ED" w:rsidR="00C30B75" w:rsidRDefault="00C30B75" w:rsidP="005E4ABA">
      <w:pPr>
        <w:pStyle w:val="Heading1"/>
      </w:pPr>
      <w:r w:rsidRPr="003E4C4B">
        <w:t>PHARMACEUTICAL FORM</w:t>
      </w:r>
    </w:p>
    <w:p w14:paraId="087624C0" w14:textId="654A1822" w:rsidR="00F11730" w:rsidRPr="00F11730" w:rsidRDefault="00F11730" w:rsidP="00D26B54">
      <w:pPr>
        <w:rPr>
          <w:lang w:val="en-AU"/>
        </w:rPr>
      </w:pPr>
      <w:r w:rsidRPr="00F11730">
        <w:rPr>
          <w:lang w:val="en-AU"/>
        </w:rPr>
        <w:t xml:space="preserve">Film-coated tablet. </w:t>
      </w:r>
    </w:p>
    <w:p w14:paraId="76A059D5" w14:textId="48D18467" w:rsidR="00F11730" w:rsidRPr="00F11730" w:rsidRDefault="00F11730" w:rsidP="00D26B54">
      <w:pPr>
        <w:rPr>
          <w:lang w:val="en-AU"/>
        </w:rPr>
      </w:pPr>
      <w:proofErr w:type="spellStart"/>
      <w:r w:rsidRPr="00F11730">
        <w:rPr>
          <w:lang w:val="en-AU"/>
        </w:rPr>
        <w:t>Isturisa</w:t>
      </w:r>
      <w:proofErr w:type="spellEnd"/>
      <w:r w:rsidRPr="00F11730">
        <w:rPr>
          <w:lang w:val="en-AU"/>
        </w:rPr>
        <w:t xml:space="preserve"> 1 mg film-coated tablets:</w:t>
      </w:r>
      <w:r w:rsidR="00D26B54">
        <w:rPr>
          <w:lang w:val="en-AU"/>
        </w:rPr>
        <w:t xml:space="preserve"> </w:t>
      </w:r>
      <w:r w:rsidRPr="00F11730">
        <w:rPr>
          <w:lang w:val="en-AU"/>
        </w:rPr>
        <w:t xml:space="preserve">Pale yellow, round, biconvex bevelled-edge tablets, marked “Y1” on one side and “NVR” on the other side. Approximate diameter 6.1 mm. </w:t>
      </w:r>
    </w:p>
    <w:p w14:paraId="52B6B02E" w14:textId="7C591377" w:rsidR="00F11730" w:rsidRPr="00F11730" w:rsidRDefault="00F11730" w:rsidP="00D26B54">
      <w:pPr>
        <w:rPr>
          <w:lang w:val="en-AU"/>
        </w:rPr>
      </w:pPr>
      <w:proofErr w:type="spellStart"/>
      <w:r w:rsidRPr="00F11730">
        <w:rPr>
          <w:lang w:val="en-AU"/>
        </w:rPr>
        <w:t>Isturisa</w:t>
      </w:r>
      <w:proofErr w:type="spellEnd"/>
      <w:r w:rsidRPr="00F11730">
        <w:rPr>
          <w:lang w:val="en-AU"/>
        </w:rPr>
        <w:t xml:space="preserve"> 5 mg film-coated tablets: Yellow, round, biconvex bevelled-edge tablets, marked “Y2” on one side and “NVR” on the other side. Approximate diameter 7.1 mm. </w:t>
      </w:r>
    </w:p>
    <w:p w14:paraId="46CDE62D" w14:textId="0CB0AC7D" w:rsidR="002B509D" w:rsidRPr="00D26B54" w:rsidRDefault="00F11730" w:rsidP="00D26B54">
      <w:pPr>
        <w:rPr>
          <w:lang w:val="en-AU"/>
        </w:rPr>
      </w:pPr>
      <w:proofErr w:type="spellStart"/>
      <w:r w:rsidRPr="00F11730">
        <w:rPr>
          <w:lang w:val="en-AU"/>
        </w:rPr>
        <w:t>Isturisa</w:t>
      </w:r>
      <w:proofErr w:type="spellEnd"/>
      <w:r w:rsidRPr="00F11730">
        <w:rPr>
          <w:lang w:val="en-AU"/>
        </w:rPr>
        <w:t xml:space="preserve"> 10 mg film-coated tablets</w:t>
      </w:r>
      <w:r w:rsidR="00D26B54">
        <w:rPr>
          <w:lang w:val="en-AU"/>
        </w:rPr>
        <w:t xml:space="preserve">: </w:t>
      </w:r>
      <w:r w:rsidRPr="00F11730">
        <w:rPr>
          <w:lang w:val="en-AU"/>
        </w:rPr>
        <w:t xml:space="preserve">Pale </w:t>
      </w:r>
      <w:proofErr w:type="gramStart"/>
      <w:r w:rsidRPr="00F11730">
        <w:rPr>
          <w:lang w:val="en-AU"/>
        </w:rPr>
        <w:t>orange brown</w:t>
      </w:r>
      <w:proofErr w:type="gramEnd"/>
      <w:r w:rsidRPr="00F11730">
        <w:rPr>
          <w:lang w:val="en-AU"/>
        </w:rPr>
        <w:t xml:space="preserve">, round, biconvex bevelled-edge tablets, marked “Y3” on one side and “NVR” on the other side. Approximate diameter 9.1 mm. </w:t>
      </w:r>
    </w:p>
    <w:p w14:paraId="62D20F90" w14:textId="11E29046" w:rsidR="00C30B75" w:rsidRPr="003E4C4B" w:rsidRDefault="00C30B75" w:rsidP="00E6325C">
      <w:pPr>
        <w:pStyle w:val="Heading1"/>
        <w:rPr>
          <w:rFonts w:eastAsiaTheme="minorHAnsi" w:cstheme="minorBidi"/>
          <w:szCs w:val="22"/>
          <w:lang w:val="en-GB"/>
        </w:rPr>
      </w:pPr>
      <w:r w:rsidRPr="003E4C4B">
        <w:t>CLINICAL PARTICULARS</w:t>
      </w:r>
    </w:p>
    <w:p w14:paraId="3C8A24C2" w14:textId="77777777" w:rsidR="00F11730" w:rsidRDefault="00A736BB" w:rsidP="00F11730">
      <w:pPr>
        <w:pStyle w:val="Heading2"/>
        <w:numPr>
          <w:ilvl w:val="1"/>
          <w:numId w:val="6"/>
        </w:numPr>
        <w:rPr>
          <w:szCs w:val="24"/>
        </w:rPr>
      </w:pPr>
      <w:bookmarkStart w:id="0" w:name="_Ref507072355"/>
      <w:r w:rsidRPr="00C4523E">
        <w:rPr>
          <w:szCs w:val="24"/>
        </w:rPr>
        <w:t>THERAPEUTIC INDICATIONS</w:t>
      </w:r>
      <w:bookmarkEnd w:id="0"/>
    </w:p>
    <w:p w14:paraId="28C2CC6E" w14:textId="0C1A1CED" w:rsidR="008E185D" w:rsidRPr="00D26B54" w:rsidRDefault="00F11730" w:rsidP="00D26B54">
      <w:pPr>
        <w:rPr>
          <w:b/>
        </w:rPr>
      </w:pPr>
      <w:proofErr w:type="spellStart"/>
      <w:r w:rsidRPr="00F11730">
        <w:t>Isturisa</w:t>
      </w:r>
      <w:proofErr w:type="spellEnd"/>
      <w:r w:rsidRPr="00F11730">
        <w:t xml:space="preserve"> is indicated for the treatment of endogenous Cushing’s syndrome in adults.</w:t>
      </w:r>
      <w:bookmarkStart w:id="1" w:name="_Ref507061174"/>
    </w:p>
    <w:p w14:paraId="7944AC9B" w14:textId="25218C18" w:rsidR="00A736BB" w:rsidRDefault="005B6EB5" w:rsidP="00150922">
      <w:pPr>
        <w:pStyle w:val="Heading2"/>
        <w:numPr>
          <w:ilvl w:val="1"/>
          <w:numId w:val="6"/>
        </w:numPr>
      </w:pPr>
      <w:bookmarkStart w:id="2" w:name="_DOSE_AND_METHOD"/>
      <w:bookmarkEnd w:id="2"/>
      <w:r w:rsidRPr="003E4C4B">
        <w:t xml:space="preserve"> </w:t>
      </w:r>
      <w:r w:rsidR="00A736BB" w:rsidRPr="003E4C4B">
        <w:t>DOSE AND METHOD OF ADMINISTRATION</w:t>
      </w:r>
      <w:bookmarkEnd w:id="1"/>
    </w:p>
    <w:p w14:paraId="2CD83D37" w14:textId="60D468BE" w:rsidR="00F11730" w:rsidRPr="00F11730" w:rsidRDefault="00F11730" w:rsidP="00D26B54">
      <w:pPr>
        <w:rPr>
          <w:lang w:val="en-AU"/>
        </w:rPr>
      </w:pPr>
      <w:r w:rsidRPr="00F11730">
        <w:rPr>
          <w:lang w:val="en-AU"/>
        </w:rPr>
        <w:t xml:space="preserve">Treatment should be initiated and supervised by physicians experienced in endocrinology or internal medicine and with access to the appropriate facilities for monitoring of biochemical responses since the dose must be adjusted to meet the patient’s therapeutic needs, based on the normalisation of cortisol levels.  </w:t>
      </w:r>
    </w:p>
    <w:p w14:paraId="70FC6ADD" w14:textId="40FBA029" w:rsidR="00F11730" w:rsidRPr="00AF2ADD" w:rsidRDefault="00006690" w:rsidP="00893B33">
      <w:pPr>
        <w:pageBreakBefore/>
        <w:rPr>
          <w:b/>
          <w:bCs/>
          <w:lang w:val="en-AU"/>
        </w:rPr>
      </w:pPr>
      <w:r w:rsidRPr="00AF2ADD">
        <w:rPr>
          <w:b/>
          <w:bCs/>
          <w:lang w:val="en-AU"/>
        </w:rPr>
        <w:lastRenderedPageBreak/>
        <w:t>Dose</w:t>
      </w:r>
    </w:p>
    <w:p w14:paraId="784A3E3A" w14:textId="46B529A1" w:rsidR="00F11730" w:rsidRPr="00F11730" w:rsidRDefault="00F11730" w:rsidP="00D26B54">
      <w:pPr>
        <w:rPr>
          <w:lang w:val="en-AU"/>
        </w:rPr>
      </w:pPr>
      <w:r w:rsidRPr="00F11730">
        <w:rPr>
          <w:lang w:val="en-AU"/>
        </w:rPr>
        <w:t xml:space="preserve">The recommended starting dose is 2 mg </w:t>
      </w:r>
      <w:proofErr w:type="spellStart"/>
      <w:r w:rsidRPr="00F11730">
        <w:rPr>
          <w:lang w:val="en-AU"/>
        </w:rPr>
        <w:t>osilodrostat</w:t>
      </w:r>
      <w:proofErr w:type="spellEnd"/>
      <w:r w:rsidRPr="00F11730">
        <w:rPr>
          <w:lang w:val="en-AU"/>
        </w:rPr>
        <w:t xml:space="preserve"> twice daily. For patients of Asian ancestry, a reduced starting dose of 1 mg twice daily is recommended (see section </w:t>
      </w:r>
      <w:hyperlink w:anchor="_PHARMACOKINETIC_PROPERTIES" w:history="1">
        <w:r w:rsidRPr="002A647A">
          <w:rPr>
            <w:rStyle w:val="Hyperlink"/>
            <w:lang w:val="en-AU"/>
          </w:rPr>
          <w:t>5.2</w:t>
        </w:r>
        <w:r w:rsidR="00D26B54" w:rsidRPr="002A647A">
          <w:rPr>
            <w:rStyle w:val="Hyperlink"/>
            <w:lang w:val="en-AU"/>
          </w:rPr>
          <w:t xml:space="preserve"> Pharmacokinetic Properties</w:t>
        </w:r>
      </w:hyperlink>
      <w:r w:rsidRPr="00F11730">
        <w:rPr>
          <w:lang w:val="en-AU"/>
        </w:rPr>
        <w:t xml:space="preserve">). </w:t>
      </w:r>
    </w:p>
    <w:p w14:paraId="2A921552" w14:textId="7D808CD5" w:rsidR="00F11730" w:rsidRPr="00F11730" w:rsidRDefault="00F11730" w:rsidP="00D26B54">
      <w:pPr>
        <w:rPr>
          <w:lang w:val="en-AU"/>
        </w:rPr>
      </w:pPr>
      <w:r w:rsidRPr="00F11730">
        <w:rPr>
          <w:lang w:val="en-AU"/>
        </w:rPr>
        <w:t>The dose can be gradually titrated (initially by dose increments of 1 or 2 mg) based on individual response and tolerability, with the aim to achieve normal cortisol levels. It is recommended that cortisol levels (</w:t>
      </w:r>
      <w:proofErr w:type="gramStart"/>
      <w:r w:rsidRPr="00F11730">
        <w:rPr>
          <w:lang w:val="en-AU"/>
        </w:rPr>
        <w:t>e.g.</w:t>
      </w:r>
      <w:proofErr w:type="gramEnd"/>
      <w:r w:rsidRPr="00F11730">
        <w:rPr>
          <w:lang w:val="en-AU"/>
        </w:rPr>
        <w:t xml:space="preserve"> 24-hour urinary free cortisol, serum/plasma cortisol) be monitored every 1-2 weeks until adequate clinical response is maintained. Thereafter, less frequent monitoring may be considered as clinically indicated, unless there are reasons for additional monitoring (see sections 4.4 and 4.5). Increases in dose should not occur more frequently than once every 1-2 weeks and should be guided by the results of cortisol assessments and by the individual clinical response. </w:t>
      </w:r>
    </w:p>
    <w:p w14:paraId="1AA1803B" w14:textId="363B6421" w:rsidR="00F11730" w:rsidRPr="00F11730" w:rsidRDefault="00F11730" w:rsidP="00D26B54">
      <w:pPr>
        <w:rPr>
          <w:lang w:val="en-AU"/>
        </w:rPr>
      </w:pPr>
      <w:r w:rsidRPr="00F11730">
        <w:rPr>
          <w:lang w:val="en-AU"/>
        </w:rPr>
        <w:t xml:space="preserve">The dose of </w:t>
      </w:r>
      <w:proofErr w:type="spellStart"/>
      <w:r w:rsidRPr="00F11730">
        <w:rPr>
          <w:lang w:val="en-AU"/>
        </w:rPr>
        <w:t>osilodrostat</w:t>
      </w:r>
      <w:proofErr w:type="spellEnd"/>
      <w:r w:rsidRPr="00F11730">
        <w:rPr>
          <w:lang w:val="en-AU"/>
        </w:rPr>
        <w:t xml:space="preserve"> should be decreased or treatment temporarily interrupted if cortisol levels are below the lower limit of normal, or if there is a rapid decrease in cortisol levels to the lower part of the normal range, or if the patient has signs or symptoms suggestive of </w:t>
      </w:r>
      <w:proofErr w:type="spellStart"/>
      <w:r w:rsidRPr="00F11730">
        <w:rPr>
          <w:lang w:val="en-AU"/>
        </w:rPr>
        <w:t>hypocortisolism</w:t>
      </w:r>
      <w:proofErr w:type="spellEnd"/>
      <w:r w:rsidRPr="00F11730">
        <w:rPr>
          <w:lang w:val="en-AU"/>
        </w:rPr>
        <w:t xml:space="preserve"> (see </w:t>
      </w:r>
      <w:hyperlink w:anchor="_SPECIAL_WARNINGS_AND" w:history="1">
        <w:r w:rsidRPr="00925427">
          <w:rPr>
            <w:rStyle w:val="Hyperlink"/>
            <w:lang w:val="en-AU"/>
          </w:rPr>
          <w:t>section 4.4</w:t>
        </w:r>
        <w:r w:rsidR="004C3917" w:rsidRPr="00925427">
          <w:rPr>
            <w:rStyle w:val="Hyperlink"/>
            <w:lang w:val="en-AU"/>
          </w:rPr>
          <w:t xml:space="preserve"> Special warnings and precautions for use</w:t>
        </w:r>
      </w:hyperlink>
      <w:r w:rsidRPr="00F11730">
        <w:rPr>
          <w:lang w:val="en-AU"/>
        </w:rPr>
        <w:t xml:space="preserve">). </w:t>
      </w:r>
      <w:proofErr w:type="spellStart"/>
      <w:r w:rsidRPr="00F11730">
        <w:rPr>
          <w:lang w:val="en-AU"/>
        </w:rPr>
        <w:t>Isturisa</w:t>
      </w:r>
      <w:proofErr w:type="spellEnd"/>
      <w:r w:rsidRPr="00F11730">
        <w:rPr>
          <w:lang w:val="en-AU"/>
        </w:rPr>
        <w:t xml:space="preserve"> may be resumed after resolution of symptoms at a lower dose, </w:t>
      </w:r>
      <w:proofErr w:type="gramStart"/>
      <w:r w:rsidRPr="00F11730">
        <w:rPr>
          <w:lang w:val="en-AU"/>
        </w:rPr>
        <w:t>provided that</w:t>
      </w:r>
      <w:proofErr w:type="gramEnd"/>
      <w:r w:rsidRPr="00F11730">
        <w:rPr>
          <w:lang w:val="en-AU"/>
        </w:rPr>
        <w:t xml:space="preserve"> cortisol levels are above the lower limit of normal in the absence of glucocorticoid substitution. Management of other suspected adverse reactions at any time during treatment may also require a temporary dose reduction or temporary interruption of treatment. </w:t>
      </w:r>
    </w:p>
    <w:p w14:paraId="4A112FB4" w14:textId="0478E2EE" w:rsidR="00F11730" w:rsidRPr="00F11730" w:rsidRDefault="00F11730" w:rsidP="00D26B54">
      <w:pPr>
        <w:rPr>
          <w:lang w:val="en-AU"/>
        </w:rPr>
      </w:pPr>
      <w:r w:rsidRPr="00F11730">
        <w:rPr>
          <w:lang w:val="en-AU"/>
        </w:rPr>
        <w:t xml:space="preserve">The usual maintenance dose in clinical studies varied between 2 and 7 mg twice daily. </w:t>
      </w:r>
    </w:p>
    <w:p w14:paraId="4932E110" w14:textId="5450BEB6" w:rsidR="00F11730" w:rsidRPr="00F11730" w:rsidRDefault="00F11730" w:rsidP="00D26B54">
      <w:pPr>
        <w:rPr>
          <w:lang w:val="en-AU"/>
        </w:rPr>
      </w:pPr>
      <w:r w:rsidRPr="00F11730">
        <w:rPr>
          <w:lang w:val="en-AU"/>
        </w:rPr>
        <w:t xml:space="preserve">The maximum recommended dose of </w:t>
      </w:r>
      <w:proofErr w:type="spellStart"/>
      <w:r w:rsidRPr="00F11730">
        <w:rPr>
          <w:lang w:val="en-AU"/>
        </w:rPr>
        <w:t>Isturisa</w:t>
      </w:r>
      <w:proofErr w:type="spellEnd"/>
      <w:r w:rsidRPr="00F11730">
        <w:rPr>
          <w:lang w:val="en-AU"/>
        </w:rPr>
        <w:t xml:space="preserve"> is 30 mg twice daily. </w:t>
      </w:r>
    </w:p>
    <w:p w14:paraId="3FF1069E" w14:textId="77777777" w:rsidR="00F11730" w:rsidRPr="00F11730" w:rsidRDefault="00F11730" w:rsidP="00D26B54">
      <w:pPr>
        <w:rPr>
          <w:lang w:val="en-AU"/>
        </w:rPr>
      </w:pPr>
      <w:r w:rsidRPr="00F11730">
        <w:rPr>
          <w:lang w:val="en-AU"/>
        </w:rPr>
        <w:t xml:space="preserve">If a dose is missed, the patient should take the prescribed dose at the next scheduled time; the next dose should not be doubled. </w:t>
      </w:r>
    </w:p>
    <w:p w14:paraId="5366B775" w14:textId="2698D28E" w:rsidR="00D26B54" w:rsidRPr="00D26B54" w:rsidRDefault="00F11730" w:rsidP="00D26B54">
      <w:pPr>
        <w:rPr>
          <w:i/>
          <w:iCs/>
          <w:lang w:val="en-AU"/>
        </w:rPr>
      </w:pPr>
      <w:r w:rsidRPr="00D26B54">
        <w:rPr>
          <w:i/>
          <w:iCs/>
          <w:lang w:val="en-AU"/>
        </w:rPr>
        <w:t xml:space="preserve">Elderly (65 years or above) </w:t>
      </w:r>
    </w:p>
    <w:p w14:paraId="238F4DD5" w14:textId="6F20ABAB" w:rsidR="00F11730" w:rsidRPr="00F11730" w:rsidRDefault="00F11730" w:rsidP="00D26B54">
      <w:pPr>
        <w:rPr>
          <w:lang w:val="en-AU"/>
        </w:rPr>
      </w:pPr>
      <w:r w:rsidRPr="00F11730">
        <w:rPr>
          <w:lang w:val="en-AU"/>
        </w:rPr>
        <w:t xml:space="preserve">There is no evidence to suggest that dose adjustment is required in patients aged 65 years or above. However, data on the use of </w:t>
      </w:r>
      <w:proofErr w:type="spellStart"/>
      <w:r w:rsidRPr="00F11730">
        <w:rPr>
          <w:lang w:val="en-AU"/>
        </w:rPr>
        <w:t>osilodrostat</w:t>
      </w:r>
      <w:proofErr w:type="spellEnd"/>
      <w:r w:rsidRPr="00F11730">
        <w:rPr>
          <w:lang w:val="en-AU"/>
        </w:rPr>
        <w:t xml:space="preserve"> in this population are limited and </w:t>
      </w:r>
      <w:proofErr w:type="spellStart"/>
      <w:r w:rsidRPr="00F11730">
        <w:rPr>
          <w:lang w:val="en-AU"/>
        </w:rPr>
        <w:t>Isturisa</w:t>
      </w:r>
      <w:proofErr w:type="spellEnd"/>
      <w:r w:rsidRPr="00F11730">
        <w:rPr>
          <w:lang w:val="en-AU"/>
        </w:rPr>
        <w:t xml:space="preserve"> should therefore be used with caution in this age group. </w:t>
      </w:r>
    </w:p>
    <w:p w14:paraId="0C02F0A7" w14:textId="77777777" w:rsidR="00D26B54" w:rsidRPr="00D26B54" w:rsidRDefault="00F11730" w:rsidP="00D26B54">
      <w:pPr>
        <w:rPr>
          <w:i/>
          <w:iCs/>
          <w:lang w:val="en-AU"/>
        </w:rPr>
      </w:pPr>
      <w:r w:rsidRPr="00D26B54">
        <w:rPr>
          <w:i/>
          <w:iCs/>
          <w:lang w:val="en-AU"/>
        </w:rPr>
        <w:t xml:space="preserve">Renal impairment </w:t>
      </w:r>
    </w:p>
    <w:p w14:paraId="46A3592B" w14:textId="0F4D4B4C" w:rsidR="00F11730" w:rsidRPr="00F11730" w:rsidRDefault="00F11730" w:rsidP="00D26B54">
      <w:pPr>
        <w:rPr>
          <w:lang w:val="en-AU"/>
        </w:rPr>
      </w:pPr>
      <w:r w:rsidRPr="00F11730">
        <w:rPr>
          <w:lang w:val="en-AU"/>
        </w:rPr>
        <w:t xml:space="preserve">No dose adjustment is required for patients with renal impairment (see </w:t>
      </w:r>
      <w:hyperlink w:anchor="_PHARMACOKINETIC_PROPERTIES" w:history="1">
        <w:r w:rsidRPr="00D46436">
          <w:rPr>
            <w:rStyle w:val="Hyperlink"/>
            <w:lang w:val="en-AU"/>
          </w:rPr>
          <w:t>section 5.2</w:t>
        </w:r>
        <w:r w:rsidR="004C3917" w:rsidRPr="00D46436">
          <w:rPr>
            <w:rStyle w:val="Hyperlink"/>
            <w:lang w:val="en-AU"/>
          </w:rPr>
          <w:t xml:space="preserve"> Pharmacokinetic properties</w:t>
        </w:r>
      </w:hyperlink>
      <w:r w:rsidRPr="00F11730">
        <w:rPr>
          <w:lang w:val="en-AU"/>
        </w:rPr>
        <w:t xml:space="preserve">). Urinary free cortisol (UFC) levels should be interpreted with caution in patients with moderate to severe renal impairment, due to reduced UFC excretion. Alternative methods for cortisol monitoring should be considered in these patients. </w:t>
      </w:r>
    </w:p>
    <w:p w14:paraId="534AEDB9" w14:textId="77777777" w:rsidR="00D26B54" w:rsidRPr="00D26B54" w:rsidRDefault="00F11730" w:rsidP="00893B33">
      <w:pPr>
        <w:pageBreakBefore/>
        <w:rPr>
          <w:i/>
          <w:iCs/>
          <w:lang w:val="en-AU"/>
        </w:rPr>
      </w:pPr>
      <w:r w:rsidRPr="00D26B54">
        <w:rPr>
          <w:i/>
          <w:iCs/>
          <w:lang w:val="en-AU"/>
        </w:rPr>
        <w:lastRenderedPageBreak/>
        <w:t xml:space="preserve">Hepatic impairment </w:t>
      </w:r>
    </w:p>
    <w:p w14:paraId="1D73A20B" w14:textId="78CF4DC3" w:rsidR="00F11730" w:rsidRDefault="00F11730" w:rsidP="00D26B54">
      <w:pPr>
        <w:rPr>
          <w:lang w:val="en-AU"/>
        </w:rPr>
      </w:pPr>
      <w:r w:rsidRPr="00F11730">
        <w:rPr>
          <w:lang w:val="en-AU"/>
        </w:rPr>
        <w:t xml:space="preserve">No dose adjustment is required for patients with mild hepatic impairment (Child-Pugh A). For patients with moderate hepatic impairment (Child-Pugh B), the recommended starting dose is 1 mg twice daily. For patients with severe hepatic impairment (Child-Pugh C), the recommended starting dose is 1 mg once daily in the evening, with initial up-titration to 1 mg twice daily (see section </w:t>
      </w:r>
      <w:hyperlink w:anchor="_PHARMACOKINETIC_PROPERTIES" w:history="1">
        <w:r w:rsidRPr="0032781A">
          <w:rPr>
            <w:rStyle w:val="Hyperlink"/>
            <w:lang w:val="en-AU"/>
          </w:rPr>
          <w:t>5.2</w:t>
        </w:r>
        <w:r w:rsidR="004C3917" w:rsidRPr="0032781A">
          <w:rPr>
            <w:rStyle w:val="Hyperlink"/>
            <w:lang w:val="en-AU"/>
          </w:rPr>
          <w:t xml:space="preserve"> Pharmacokinetic properties</w:t>
        </w:r>
      </w:hyperlink>
      <w:r w:rsidRPr="00F11730">
        <w:rPr>
          <w:lang w:val="en-AU"/>
        </w:rPr>
        <w:t>).</w:t>
      </w:r>
    </w:p>
    <w:p w14:paraId="5E08A8FA" w14:textId="786FCE8D" w:rsidR="00006690" w:rsidRPr="00006690" w:rsidRDefault="00006690" w:rsidP="00D26B54">
      <w:pPr>
        <w:rPr>
          <w:lang w:val="en-AU"/>
        </w:rPr>
      </w:pPr>
      <w:r w:rsidRPr="00006690">
        <w:rPr>
          <w:lang w:val="en-AU"/>
        </w:rPr>
        <w:t xml:space="preserve">Data on use in patients with hepatic impairment is limited. More frequent monitoring of adrenal function may be required in patients with hepatic impairment during dose titration. </w:t>
      </w:r>
    </w:p>
    <w:p w14:paraId="4BA87930" w14:textId="77777777" w:rsidR="00D26B54" w:rsidRPr="00D26B54" w:rsidRDefault="00006690" w:rsidP="00D26B54">
      <w:pPr>
        <w:rPr>
          <w:i/>
          <w:iCs/>
          <w:lang w:val="en-AU"/>
        </w:rPr>
      </w:pPr>
      <w:r w:rsidRPr="00D26B54">
        <w:rPr>
          <w:i/>
          <w:iCs/>
          <w:lang w:val="en-AU"/>
        </w:rPr>
        <w:t xml:space="preserve">Paediatric population </w:t>
      </w:r>
    </w:p>
    <w:p w14:paraId="099369DB" w14:textId="18CB55D5" w:rsidR="00006690" w:rsidRPr="00006690" w:rsidRDefault="00006690" w:rsidP="00D26B54">
      <w:pPr>
        <w:rPr>
          <w:lang w:val="en-AU"/>
        </w:rPr>
      </w:pPr>
      <w:r w:rsidRPr="00006690">
        <w:rPr>
          <w:lang w:val="en-AU"/>
        </w:rPr>
        <w:t xml:space="preserve">The safety and efficacy of </w:t>
      </w:r>
      <w:proofErr w:type="spellStart"/>
      <w:r w:rsidRPr="00006690">
        <w:rPr>
          <w:lang w:val="en-AU"/>
        </w:rPr>
        <w:t>Isturisa</w:t>
      </w:r>
      <w:proofErr w:type="spellEnd"/>
      <w:r w:rsidRPr="00006690">
        <w:rPr>
          <w:lang w:val="en-AU"/>
        </w:rPr>
        <w:t xml:space="preserve"> in patients less than 18 years of age have not yet been established. No data are available. </w:t>
      </w:r>
    </w:p>
    <w:p w14:paraId="6F2D0F32" w14:textId="3DA368E3" w:rsidR="00006690" w:rsidRPr="00D26B54" w:rsidRDefault="00006690" w:rsidP="00D26B54">
      <w:pPr>
        <w:rPr>
          <w:b/>
          <w:bCs/>
          <w:lang w:val="en-AU"/>
        </w:rPr>
      </w:pPr>
      <w:r w:rsidRPr="00AF2ADD">
        <w:rPr>
          <w:b/>
          <w:bCs/>
          <w:lang w:val="en-AU"/>
        </w:rPr>
        <w:t>Method of administration</w:t>
      </w:r>
    </w:p>
    <w:p w14:paraId="3792A47D" w14:textId="3DDB3C19" w:rsidR="00006690" w:rsidRPr="00006690" w:rsidRDefault="00006690" w:rsidP="00D26B54">
      <w:pPr>
        <w:rPr>
          <w:lang w:val="en-AU"/>
        </w:rPr>
      </w:pPr>
      <w:r w:rsidRPr="00006690">
        <w:rPr>
          <w:lang w:val="en-AU"/>
        </w:rPr>
        <w:t xml:space="preserve">Oral use. </w:t>
      </w:r>
    </w:p>
    <w:p w14:paraId="648E7FD5" w14:textId="0FBD1DCA" w:rsidR="00006690" w:rsidRPr="00C4523E" w:rsidRDefault="00006690" w:rsidP="00D26B54">
      <w:pPr>
        <w:rPr>
          <w:lang w:val="en-AU"/>
        </w:rPr>
      </w:pPr>
      <w:proofErr w:type="spellStart"/>
      <w:r w:rsidRPr="00006690">
        <w:rPr>
          <w:lang w:val="en-AU"/>
        </w:rPr>
        <w:t>Isturisa</w:t>
      </w:r>
      <w:proofErr w:type="spellEnd"/>
      <w:r w:rsidRPr="00006690">
        <w:rPr>
          <w:lang w:val="en-AU"/>
        </w:rPr>
        <w:t xml:space="preserve"> can be taken with or without food</w:t>
      </w:r>
    </w:p>
    <w:p w14:paraId="442F2863" w14:textId="1C55F393" w:rsidR="00EA6A6B" w:rsidRPr="003E4C4B" w:rsidRDefault="00EA6A6B" w:rsidP="00A612F7">
      <w:pPr>
        <w:pStyle w:val="Heading2"/>
        <w:numPr>
          <w:ilvl w:val="1"/>
          <w:numId w:val="6"/>
        </w:numPr>
        <w:spacing w:before="240"/>
      </w:pPr>
      <w:bookmarkStart w:id="3" w:name="_Ref507061059"/>
      <w:r w:rsidRPr="003E4C4B">
        <w:t>CONTRAINDICATIONS</w:t>
      </w:r>
      <w:bookmarkEnd w:id="3"/>
    </w:p>
    <w:p w14:paraId="4E9C4CFE" w14:textId="058D52D6" w:rsidR="009677A5" w:rsidRPr="009677A5" w:rsidRDefault="00006690" w:rsidP="00D26B54">
      <w:pPr>
        <w:rPr>
          <w:lang w:val="en-AU"/>
        </w:rPr>
      </w:pPr>
      <w:r w:rsidRPr="00006690">
        <w:rPr>
          <w:lang w:val="en-AU"/>
        </w:rPr>
        <w:t xml:space="preserve">Hypersensitivity to the active substance or to any of the excipients listed in section </w:t>
      </w:r>
      <w:hyperlink w:anchor="_LIST_OF_EXIPIENTS" w:history="1">
        <w:r w:rsidRPr="00C64813">
          <w:rPr>
            <w:rStyle w:val="Hyperlink"/>
            <w:lang w:val="en-AU"/>
          </w:rPr>
          <w:t>6.1</w:t>
        </w:r>
        <w:r w:rsidR="004C3917" w:rsidRPr="00C64813">
          <w:rPr>
            <w:rStyle w:val="Hyperlink"/>
            <w:lang w:val="en-AU"/>
          </w:rPr>
          <w:t xml:space="preserve"> List of excipients</w:t>
        </w:r>
      </w:hyperlink>
      <w:r w:rsidRPr="00006690">
        <w:rPr>
          <w:lang w:val="en-AU"/>
        </w:rPr>
        <w:t>.</w:t>
      </w:r>
    </w:p>
    <w:p w14:paraId="46A9D971" w14:textId="6E38B895" w:rsidR="007F2F65" w:rsidRPr="003E4C4B" w:rsidRDefault="00A736BB" w:rsidP="00A612F7">
      <w:pPr>
        <w:pStyle w:val="Heading2"/>
        <w:numPr>
          <w:ilvl w:val="1"/>
          <w:numId w:val="6"/>
        </w:numPr>
        <w:spacing w:after="120"/>
      </w:pPr>
      <w:bookmarkStart w:id="4" w:name="_SPECIAL_WARNINGS_AND"/>
      <w:bookmarkEnd w:id="4"/>
      <w:r w:rsidRPr="003E4C4B">
        <w:t>SPECIAL WARNINGS AND PRECAUTIONS FOR USE</w:t>
      </w:r>
    </w:p>
    <w:p w14:paraId="7955A3E4" w14:textId="482A06D1" w:rsidR="00006690" w:rsidRPr="00D26B54" w:rsidRDefault="00006690" w:rsidP="00D26B54">
      <w:pPr>
        <w:rPr>
          <w:b/>
          <w:bCs/>
        </w:rPr>
      </w:pPr>
      <w:proofErr w:type="spellStart"/>
      <w:r w:rsidRPr="00D26B54">
        <w:rPr>
          <w:b/>
          <w:bCs/>
        </w:rPr>
        <w:t>Hypocortisolism</w:t>
      </w:r>
      <w:proofErr w:type="spellEnd"/>
      <w:r w:rsidRPr="00D26B54">
        <w:rPr>
          <w:b/>
          <w:bCs/>
        </w:rPr>
        <w:t xml:space="preserve">  </w:t>
      </w:r>
    </w:p>
    <w:p w14:paraId="1554C82C" w14:textId="6D713203" w:rsidR="00006690" w:rsidRPr="00006690" w:rsidRDefault="00006690" w:rsidP="00D26B54">
      <w:r w:rsidRPr="00006690">
        <w:t xml:space="preserve">Inhibition of cortisol synthesis by </w:t>
      </w:r>
      <w:proofErr w:type="spellStart"/>
      <w:r w:rsidRPr="00006690">
        <w:t>osilodrostat</w:t>
      </w:r>
      <w:proofErr w:type="spellEnd"/>
      <w:r w:rsidRPr="00006690">
        <w:t xml:space="preserve"> has led to </w:t>
      </w:r>
      <w:proofErr w:type="spellStart"/>
      <w:r w:rsidRPr="00006690">
        <w:t>hypocortisolism</w:t>
      </w:r>
      <w:proofErr w:type="spellEnd"/>
      <w:r w:rsidRPr="00006690">
        <w:t xml:space="preserve">-related events such as cortisol withdrawal syndrome (symptomatic decrease of cortisol levels, but still above the lower limit of the normal range) and adrenal insufficiency (cortisol levels below the normal range). </w:t>
      </w:r>
    </w:p>
    <w:p w14:paraId="5E985ABC" w14:textId="7E69A833" w:rsidR="00006690" w:rsidRPr="00006690" w:rsidRDefault="00006690" w:rsidP="00D26B54">
      <w:r w:rsidRPr="00006690">
        <w:t xml:space="preserve">Cortisol levels should be monitored at regular intervals (see section </w:t>
      </w:r>
      <w:hyperlink w:anchor="_DOSE_AND_METHOD" w:history="1">
        <w:r w:rsidRPr="0091055E">
          <w:rPr>
            <w:rStyle w:val="Hyperlink"/>
          </w:rPr>
          <w:t>4.2</w:t>
        </w:r>
        <w:r w:rsidR="00D26B54" w:rsidRPr="0091055E">
          <w:rPr>
            <w:rStyle w:val="Hyperlink"/>
          </w:rPr>
          <w:t xml:space="preserve"> Dose and method of administration</w:t>
        </w:r>
      </w:hyperlink>
      <w:r w:rsidRPr="00006690">
        <w:t xml:space="preserve">), since </w:t>
      </w:r>
      <w:proofErr w:type="spellStart"/>
      <w:r w:rsidRPr="00006690">
        <w:t>hypocortisolism</w:t>
      </w:r>
      <w:proofErr w:type="spellEnd"/>
      <w:r w:rsidRPr="00006690">
        <w:t xml:space="preserve">-related events can occur at any time during treatment. Additional monitoring is recommended especially during conditions of increased cortisol demand, such as physical or psychological stress, or during changes in concomitant medications that may affect </w:t>
      </w:r>
      <w:proofErr w:type="spellStart"/>
      <w:r w:rsidRPr="00006690">
        <w:t>osilodrostat</w:t>
      </w:r>
      <w:proofErr w:type="spellEnd"/>
      <w:r w:rsidRPr="00006690">
        <w:t xml:space="preserve"> exposure (see section </w:t>
      </w:r>
      <w:hyperlink w:anchor="_INTERACTION_WITH_OTHER" w:history="1">
        <w:r w:rsidRPr="004A5125">
          <w:rPr>
            <w:rStyle w:val="Hyperlink"/>
          </w:rPr>
          <w:t>4.5</w:t>
        </w:r>
        <w:r w:rsidR="00D26B54" w:rsidRPr="004A5125">
          <w:rPr>
            <w:rStyle w:val="Hyperlink"/>
          </w:rPr>
          <w:t xml:space="preserve"> Interaction with other medicines and other forms of interaction</w:t>
        </w:r>
      </w:hyperlink>
      <w:r w:rsidRPr="00006690">
        <w:t xml:space="preserve">). It is recommended to use laboratory methods that do not exhibit significant cross-reactivity with cortisol precursors such as 11-deoxycortisol that may increase during </w:t>
      </w:r>
      <w:proofErr w:type="spellStart"/>
      <w:r w:rsidRPr="00006690">
        <w:t>osilodrostat</w:t>
      </w:r>
      <w:proofErr w:type="spellEnd"/>
      <w:r w:rsidRPr="00006690">
        <w:t xml:space="preserve"> treatment. </w:t>
      </w:r>
    </w:p>
    <w:p w14:paraId="77F910D9" w14:textId="77A19925" w:rsidR="00006690" w:rsidRPr="00006690" w:rsidRDefault="00006690" w:rsidP="00D26B54">
      <w:r w:rsidRPr="00006690">
        <w:t xml:space="preserve">Patients should be alerted to the signs and symptoms associated with </w:t>
      </w:r>
      <w:proofErr w:type="spellStart"/>
      <w:r w:rsidRPr="00006690">
        <w:t>hypocortisolism</w:t>
      </w:r>
      <w:proofErr w:type="spellEnd"/>
      <w:r w:rsidRPr="00006690">
        <w:t xml:space="preserve"> (</w:t>
      </w:r>
      <w:proofErr w:type="gramStart"/>
      <w:r w:rsidRPr="00006690">
        <w:t>e.g.</w:t>
      </w:r>
      <w:proofErr w:type="gramEnd"/>
      <w:r w:rsidRPr="00006690">
        <w:t xml:space="preserve"> nausea, vomiting, fatigue, abdominal pain, loss of appetite and dizziness). </w:t>
      </w:r>
    </w:p>
    <w:p w14:paraId="3C773143" w14:textId="121B458E" w:rsidR="00006690" w:rsidRPr="00006690" w:rsidRDefault="00006690" w:rsidP="00D26B54">
      <w:r w:rsidRPr="00006690">
        <w:lastRenderedPageBreak/>
        <w:t xml:space="preserve">Symptomatic patients should be monitored for hypotension, </w:t>
      </w:r>
      <w:proofErr w:type="spellStart"/>
      <w:r w:rsidRPr="00006690">
        <w:t>hyponatraemia</w:t>
      </w:r>
      <w:proofErr w:type="spellEnd"/>
      <w:r w:rsidRPr="00006690">
        <w:t xml:space="preserve">, </w:t>
      </w:r>
      <w:proofErr w:type="spellStart"/>
      <w:r w:rsidRPr="00006690">
        <w:t>hyperkalaemia</w:t>
      </w:r>
      <w:proofErr w:type="spellEnd"/>
      <w:r w:rsidRPr="00006690">
        <w:t xml:space="preserve"> and/or </w:t>
      </w:r>
      <w:proofErr w:type="spellStart"/>
      <w:r w:rsidRPr="00006690">
        <w:t>hypoglycaemia</w:t>
      </w:r>
      <w:proofErr w:type="spellEnd"/>
      <w:r w:rsidRPr="00006690">
        <w:t xml:space="preserve">. If </w:t>
      </w:r>
      <w:proofErr w:type="spellStart"/>
      <w:r w:rsidRPr="00006690">
        <w:t>hypocortisolism</w:t>
      </w:r>
      <w:proofErr w:type="spellEnd"/>
      <w:r w:rsidRPr="00006690">
        <w:t xml:space="preserve"> is suspected, cortisol levels should be measured and temporary dose reduction or interruption of </w:t>
      </w:r>
      <w:proofErr w:type="spellStart"/>
      <w:r w:rsidRPr="00006690">
        <w:t>osilodrostat</w:t>
      </w:r>
      <w:proofErr w:type="spellEnd"/>
      <w:r w:rsidRPr="00006690">
        <w:t xml:space="preserve"> considered. If necessary, corticosteroid substitution should be initiated. </w:t>
      </w:r>
      <w:proofErr w:type="spellStart"/>
      <w:r w:rsidRPr="00006690">
        <w:t>Isturisa</w:t>
      </w:r>
      <w:proofErr w:type="spellEnd"/>
      <w:r w:rsidRPr="00006690">
        <w:t xml:space="preserve"> may be resumed after resolution of symptoms at a lower dose, </w:t>
      </w:r>
      <w:proofErr w:type="gramStart"/>
      <w:r w:rsidRPr="00006690">
        <w:t>provided that</w:t>
      </w:r>
      <w:proofErr w:type="gramEnd"/>
      <w:r w:rsidRPr="00006690">
        <w:t xml:space="preserve"> cortisol levels are above the lower limit of normal in the absence of glucocorticoid substitution. </w:t>
      </w:r>
    </w:p>
    <w:p w14:paraId="609D1C45" w14:textId="306266CF" w:rsidR="00006690" w:rsidRPr="00D26B54" w:rsidRDefault="00006690" w:rsidP="00D26B54">
      <w:pPr>
        <w:rPr>
          <w:b/>
          <w:bCs/>
        </w:rPr>
      </w:pPr>
      <w:r w:rsidRPr="00D26B54">
        <w:rPr>
          <w:b/>
          <w:bCs/>
        </w:rPr>
        <w:t xml:space="preserve">QTc prolongation  </w:t>
      </w:r>
    </w:p>
    <w:p w14:paraId="06525FFB" w14:textId="10498026" w:rsidR="00006690" w:rsidRPr="00006690" w:rsidRDefault="00006690" w:rsidP="00D26B54">
      <w:r w:rsidRPr="00006690">
        <w:t xml:space="preserve">In a thorough QT study, </w:t>
      </w:r>
      <w:proofErr w:type="spellStart"/>
      <w:r w:rsidRPr="00006690">
        <w:t>osilodrostat</w:t>
      </w:r>
      <w:proofErr w:type="spellEnd"/>
      <w:r w:rsidRPr="00006690">
        <w:t xml:space="preserve"> was associated with a dose-dependent QT interval prolongation (mean maximum estimated </w:t>
      </w:r>
      <w:proofErr w:type="spellStart"/>
      <w:r w:rsidRPr="00006690">
        <w:t>QTcF</w:t>
      </w:r>
      <w:proofErr w:type="spellEnd"/>
      <w:r w:rsidRPr="00006690">
        <w:t xml:space="preserve"> increase by +5.3 </w:t>
      </w:r>
      <w:proofErr w:type="spellStart"/>
      <w:r w:rsidRPr="00006690">
        <w:t>ms</w:t>
      </w:r>
      <w:proofErr w:type="spellEnd"/>
      <w:r w:rsidRPr="00006690">
        <w:t xml:space="preserve"> at the highest recommended dose of 30 mg) which may cause cardiac arrhythmias (see section </w:t>
      </w:r>
      <w:hyperlink w:anchor="_PHARMACODYNAMIC_PROPERTIES" w:history="1">
        <w:r w:rsidRPr="0046118F">
          <w:rPr>
            <w:rStyle w:val="Hyperlink"/>
          </w:rPr>
          <w:t>5.1</w:t>
        </w:r>
        <w:r w:rsidR="00D26B54" w:rsidRPr="0046118F">
          <w:rPr>
            <w:rStyle w:val="Hyperlink"/>
          </w:rPr>
          <w:t xml:space="preserve"> Pharmacodynamic properties</w:t>
        </w:r>
      </w:hyperlink>
      <w:r w:rsidRPr="00006690">
        <w:t xml:space="preserve">). Adverse reactions of QT prolongation and clinically relevant ECG findings have been reported in clinical studies. </w:t>
      </w:r>
    </w:p>
    <w:p w14:paraId="48CF2472" w14:textId="22784902" w:rsidR="00006690" w:rsidRPr="00006690" w:rsidRDefault="00006690" w:rsidP="00D26B54">
      <w:r w:rsidRPr="00006690">
        <w:t xml:space="preserve">An ECG should be performed prior to the start of </w:t>
      </w:r>
      <w:proofErr w:type="spellStart"/>
      <w:r w:rsidRPr="00006690">
        <w:t>Isturisa</w:t>
      </w:r>
      <w:proofErr w:type="spellEnd"/>
      <w:r w:rsidRPr="00006690">
        <w:t xml:space="preserve"> treatment, within one week after treatment initiation, and as clinically indicated thereafter. If the QTc interval exceeds 480 </w:t>
      </w:r>
      <w:proofErr w:type="spellStart"/>
      <w:r w:rsidRPr="00006690">
        <w:t>ms</w:t>
      </w:r>
      <w:proofErr w:type="spellEnd"/>
      <w:r w:rsidRPr="00006690">
        <w:t xml:space="preserve"> prior to or during treatment, cardiology consultation is recommended. Temporary dose reduction or interruption may be required. </w:t>
      </w:r>
    </w:p>
    <w:p w14:paraId="1035613D" w14:textId="7654E674" w:rsidR="00006690" w:rsidRPr="00006690" w:rsidRDefault="00006690" w:rsidP="00D26B54">
      <w:r w:rsidRPr="00006690">
        <w:t xml:space="preserve">Any </w:t>
      </w:r>
      <w:proofErr w:type="spellStart"/>
      <w:r w:rsidRPr="00006690">
        <w:t>hypokalaemia</w:t>
      </w:r>
      <w:proofErr w:type="spellEnd"/>
      <w:r w:rsidRPr="00006690">
        <w:t xml:space="preserve">, </w:t>
      </w:r>
      <w:proofErr w:type="spellStart"/>
      <w:r w:rsidRPr="00006690">
        <w:t>hypocalcaemia</w:t>
      </w:r>
      <w:proofErr w:type="spellEnd"/>
      <w:r w:rsidRPr="00006690">
        <w:t xml:space="preserve"> or hypomagnesaemia should be corrected prior to </w:t>
      </w:r>
      <w:proofErr w:type="spellStart"/>
      <w:r w:rsidRPr="00006690">
        <w:t>Isturisa</w:t>
      </w:r>
      <w:proofErr w:type="spellEnd"/>
      <w:r w:rsidRPr="00006690">
        <w:t xml:space="preserve"> administration and electrolyte levels should be monitored periodically during therapy. </w:t>
      </w:r>
    </w:p>
    <w:p w14:paraId="27573B07" w14:textId="77777777" w:rsidR="00006690" w:rsidRDefault="00006690" w:rsidP="00D26B54">
      <w:proofErr w:type="spellStart"/>
      <w:r w:rsidRPr="00006690">
        <w:t>Isturisa</w:t>
      </w:r>
      <w:proofErr w:type="spellEnd"/>
      <w:r w:rsidRPr="00006690">
        <w:t xml:space="preserve"> should be used with caution and the benefit-risk carefully weighed in patients with risk factors for QT prolongation such as: </w:t>
      </w:r>
    </w:p>
    <w:p w14:paraId="4DCB889C" w14:textId="0120B623" w:rsidR="00006690" w:rsidRDefault="00006690" w:rsidP="00D26B54">
      <w:pPr>
        <w:pStyle w:val="ListParagraph"/>
        <w:numPr>
          <w:ilvl w:val="0"/>
          <w:numId w:val="32"/>
        </w:numPr>
      </w:pPr>
      <w:r w:rsidRPr="00006690">
        <w:t xml:space="preserve">congenital long QT syndrome, </w:t>
      </w:r>
    </w:p>
    <w:p w14:paraId="652D38D3" w14:textId="0EEE5A4C" w:rsidR="00006690" w:rsidRDefault="00006690" w:rsidP="00D26B54">
      <w:pPr>
        <w:pStyle w:val="ListParagraph"/>
        <w:numPr>
          <w:ilvl w:val="0"/>
          <w:numId w:val="32"/>
        </w:numPr>
      </w:pPr>
      <w:r w:rsidRPr="00006690">
        <w:t xml:space="preserve">significant cardiovascular disease (including congestive heart failure, recent myocardial infarction, unstable angina, sustained ventricular tachycardia, advanced heart block and clinically significant </w:t>
      </w:r>
      <w:proofErr w:type="spellStart"/>
      <w:r w:rsidRPr="00006690">
        <w:t>bradyarrhythmias</w:t>
      </w:r>
      <w:proofErr w:type="spellEnd"/>
      <w:r w:rsidRPr="00006690">
        <w:t xml:space="preserve">), </w:t>
      </w:r>
      <w:r>
        <w:t>and</w:t>
      </w:r>
    </w:p>
    <w:p w14:paraId="19E82A51" w14:textId="21A2CB7E" w:rsidR="00006690" w:rsidRDefault="00006690" w:rsidP="00D26B54">
      <w:pPr>
        <w:pStyle w:val="ListParagraph"/>
        <w:numPr>
          <w:ilvl w:val="0"/>
          <w:numId w:val="32"/>
        </w:numPr>
      </w:pPr>
      <w:r w:rsidRPr="00006690">
        <w:t xml:space="preserve">concomitant medicinal products known to prolong the QT interval (see section </w:t>
      </w:r>
      <w:hyperlink w:anchor="_INTERACTION_WITH_OTHER" w:history="1">
        <w:r w:rsidRPr="00170242">
          <w:rPr>
            <w:rStyle w:val="Hyperlink"/>
          </w:rPr>
          <w:t>4.5</w:t>
        </w:r>
        <w:r w:rsidR="00D26B54" w:rsidRPr="00170242">
          <w:rPr>
            <w:rStyle w:val="Hyperlink"/>
          </w:rPr>
          <w:t xml:space="preserve"> Interaction with other medicines and other forms of interaction</w:t>
        </w:r>
      </w:hyperlink>
      <w:r w:rsidRPr="00006690">
        <w:t xml:space="preserve">). </w:t>
      </w:r>
    </w:p>
    <w:p w14:paraId="31C3C00B" w14:textId="44DBF99B" w:rsidR="00006690" w:rsidRPr="00006690" w:rsidRDefault="00006690" w:rsidP="00D26B54">
      <w:r w:rsidRPr="00006690">
        <w:t xml:space="preserve">If </w:t>
      </w:r>
      <w:proofErr w:type="spellStart"/>
      <w:r w:rsidRPr="00006690">
        <w:t>Isturisa</w:t>
      </w:r>
      <w:proofErr w:type="spellEnd"/>
      <w:r w:rsidRPr="00006690">
        <w:t xml:space="preserve"> is used in patients with these risk factors, more frequent ECG monitoring is recommended. </w:t>
      </w:r>
    </w:p>
    <w:p w14:paraId="6B94DF3E" w14:textId="12E9D7B0" w:rsidR="00006690" w:rsidRPr="00D26B54" w:rsidRDefault="00006690" w:rsidP="00D26B54">
      <w:pPr>
        <w:rPr>
          <w:b/>
          <w:bCs/>
        </w:rPr>
      </w:pPr>
      <w:proofErr w:type="spellStart"/>
      <w:r w:rsidRPr="00D26B54">
        <w:rPr>
          <w:b/>
          <w:bCs/>
        </w:rPr>
        <w:t>Corticotroph</w:t>
      </w:r>
      <w:proofErr w:type="spellEnd"/>
      <w:r w:rsidRPr="00D26B54">
        <w:rPr>
          <w:b/>
          <w:bCs/>
        </w:rPr>
        <w:t xml:space="preserve"> </w:t>
      </w:r>
      <w:proofErr w:type="spellStart"/>
      <w:r w:rsidRPr="00D26B54">
        <w:rPr>
          <w:b/>
          <w:bCs/>
        </w:rPr>
        <w:t>tumour</w:t>
      </w:r>
      <w:proofErr w:type="spellEnd"/>
      <w:r w:rsidRPr="00D26B54">
        <w:rPr>
          <w:b/>
          <w:bCs/>
        </w:rPr>
        <w:t xml:space="preserve"> growth  </w:t>
      </w:r>
    </w:p>
    <w:p w14:paraId="008A83EE" w14:textId="2CBFFB4F" w:rsidR="00006690" w:rsidRPr="00006690" w:rsidRDefault="00006690" w:rsidP="00D26B54">
      <w:r w:rsidRPr="00006690">
        <w:t xml:space="preserve">Discontinuation of </w:t>
      </w:r>
      <w:proofErr w:type="spellStart"/>
      <w:r w:rsidRPr="00006690">
        <w:t>osilodrostat</w:t>
      </w:r>
      <w:proofErr w:type="spellEnd"/>
      <w:r w:rsidRPr="00006690">
        <w:t xml:space="preserve"> treatment should be considered in patients who develop MRI-verified </w:t>
      </w:r>
      <w:proofErr w:type="spellStart"/>
      <w:r w:rsidRPr="00006690">
        <w:t>corticotroph</w:t>
      </w:r>
      <w:proofErr w:type="spellEnd"/>
      <w:r w:rsidRPr="00006690">
        <w:t xml:space="preserve"> </w:t>
      </w:r>
      <w:proofErr w:type="spellStart"/>
      <w:r w:rsidRPr="00006690">
        <w:t>tumour</w:t>
      </w:r>
      <w:proofErr w:type="spellEnd"/>
      <w:r w:rsidRPr="00006690">
        <w:t xml:space="preserve"> invasiveness during treatment. </w:t>
      </w:r>
    </w:p>
    <w:p w14:paraId="12CF71FB" w14:textId="3F2AFAFD" w:rsidR="00006690" w:rsidRPr="00D26B54" w:rsidRDefault="00006690" w:rsidP="00D26B54">
      <w:pPr>
        <w:rPr>
          <w:b/>
          <w:bCs/>
        </w:rPr>
      </w:pPr>
      <w:r w:rsidRPr="00D26B54">
        <w:rPr>
          <w:b/>
          <w:bCs/>
        </w:rPr>
        <w:t xml:space="preserve">Concomitant use with strong enzyme inhibitors and inducers </w:t>
      </w:r>
    </w:p>
    <w:p w14:paraId="2F46664F" w14:textId="66FC390E" w:rsidR="00006690" w:rsidRDefault="00006690" w:rsidP="00D26B54">
      <w:r w:rsidRPr="00006690">
        <w:t xml:space="preserve">Caution and closer monitoring are advised when co-administered medicinal products that strongly inhibit or induce multiple enzymes are introduced or discontinued during </w:t>
      </w:r>
      <w:proofErr w:type="spellStart"/>
      <w:r w:rsidRPr="00006690">
        <w:t>osilodrostat</w:t>
      </w:r>
      <w:proofErr w:type="spellEnd"/>
      <w:r w:rsidRPr="00006690">
        <w:t xml:space="preserve"> treatment (see section </w:t>
      </w:r>
      <w:hyperlink w:anchor="_INTERACTION_WITH_OTHER" w:history="1">
        <w:r w:rsidRPr="00170242">
          <w:rPr>
            <w:rStyle w:val="Hyperlink"/>
          </w:rPr>
          <w:t>4.5</w:t>
        </w:r>
        <w:r w:rsidR="00D26B54" w:rsidRPr="00170242">
          <w:rPr>
            <w:rStyle w:val="Hyperlink"/>
          </w:rPr>
          <w:t xml:space="preserve"> Interaction with other medicines and other forms of </w:t>
        </w:r>
        <w:r w:rsidR="00D26B54" w:rsidRPr="00170242">
          <w:rPr>
            <w:rStyle w:val="Hyperlink"/>
          </w:rPr>
          <w:lastRenderedPageBreak/>
          <w:t>interaction</w:t>
        </w:r>
      </w:hyperlink>
      <w:r w:rsidRPr="00006690">
        <w:t xml:space="preserve">), as they may affect </w:t>
      </w:r>
      <w:proofErr w:type="spellStart"/>
      <w:r w:rsidRPr="00006690">
        <w:t>osilodrostat</w:t>
      </w:r>
      <w:proofErr w:type="spellEnd"/>
      <w:r w:rsidRPr="00006690">
        <w:t xml:space="preserve"> exposure and may result in a risk of adverse events (due to a potential increase in exposure) or of decreased efficacy (due to a potential decrease in exposure). </w:t>
      </w:r>
    </w:p>
    <w:p w14:paraId="4C2CE411" w14:textId="1EB9EC5C" w:rsidR="00006690" w:rsidRPr="00D26B54" w:rsidRDefault="00006690" w:rsidP="00D26B54">
      <w:pPr>
        <w:rPr>
          <w:b/>
          <w:bCs/>
        </w:rPr>
      </w:pPr>
      <w:r w:rsidRPr="00D26B54">
        <w:rPr>
          <w:b/>
          <w:bCs/>
        </w:rPr>
        <w:t xml:space="preserve">Women of childbearing potential </w:t>
      </w:r>
    </w:p>
    <w:p w14:paraId="28C1E592" w14:textId="15B7A746" w:rsidR="00006690" w:rsidRPr="00006690" w:rsidRDefault="00006690" w:rsidP="00D26B54">
      <w:proofErr w:type="spellStart"/>
      <w:r w:rsidRPr="00006690">
        <w:t>Isturisa</w:t>
      </w:r>
      <w:proofErr w:type="spellEnd"/>
      <w:r w:rsidRPr="00006690">
        <w:t xml:space="preserve"> may cause </w:t>
      </w:r>
      <w:proofErr w:type="spellStart"/>
      <w:r w:rsidRPr="00006690">
        <w:t>foetal</w:t>
      </w:r>
      <w:proofErr w:type="spellEnd"/>
      <w:r w:rsidRPr="00006690">
        <w:t xml:space="preserve"> harm. Pregnancy status should be verified in women of childbearing potential prior to the initiation of </w:t>
      </w:r>
      <w:proofErr w:type="spellStart"/>
      <w:r w:rsidRPr="00006690">
        <w:t>Isturisa</w:t>
      </w:r>
      <w:proofErr w:type="spellEnd"/>
      <w:r w:rsidRPr="00006690">
        <w:t xml:space="preserve">, and these patients should be advised of a potential risk to the </w:t>
      </w:r>
      <w:proofErr w:type="spellStart"/>
      <w:r w:rsidRPr="00006690">
        <w:t>foetus</w:t>
      </w:r>
      <w:proofErr w:type="spellEnd"/>
      <w:r w:rsidRPr="00006690">
        <w:t xml:space="preserve"> and of the need to use effective contraception during treatment and for at least one week after stopping treatment (see section </w:t>
      </w:r>
      <w:hyperlink w:anchor="_FERTILITY,_PREGNANCY_AND" w:history="1">
        <w:r w:rsidRPr="008B35FB">
          <w:rPr>
            <w:rStyle w:val="Hyperlink"/>
          </w:rPr>
          <w:t>4.6</w:t>
        </w:r>
        <w:r w:rsidR="00D26B54" w:rsidRPr="008B35FB">
          <w:rPr>
            <w:rStyle w:val="Hyperlink"/>
          </w:rPr>
          <w:t xml:space="preserve"> Fertility, pregnancy and lactation</w:t>
        </w:r>
      </w:hyperlink>
      <w:r w:rsidRPr="00006690">
        <w:t>).</w:t>
      </w:r>
    </w:p>
    <w:p w14:paraId="017ACE23" w14:textId="571E0DA0" w:rsidR="00A612F7" w:rsidRPr="00D26B54" w:rsidRDefault="00A612F7" w:rsidP="00D26B54">
      <w:pPr>
        <w:rPr>
          <w:b/>
          <w:bCs/>
        </w:rPr>
      </w:pPr>
      <w:r w:rsidRPr="00D26B54">
        <w:rPr>
          <w:b/>
          <w:bCs/>
        </w:rPr>
        <w:t>Use in the elderly</w:t>
      </w:r>
    </w:p>
    <w:p w14:paraId="36FD955B" w14:textId="4DCC750E" w:rsidR="00C73B41" w:rsidRPr="00AF2ADD" w:rsidRDefault="00C73B41" w:rsidP="00D26B54">
      <w:pPr>
        <w:rPr>
          <w:lang w:val="en-AU"/>
        </w:rPr>
      </w:pPr>
      <w:r>
        <w:rPr>
          <w:lang w:val="en-AU"/>
        </w:rPr>
        <w:t>D</w:t>
      </w:r>
      <w:r w:rsidRPr="00F11730">
        <w:rPr>
          <w:lang w:val="en-AU"/>
        </w:rPr>
        <w:t xml:space="preserve">ata on the use of </w:t>
      </w:r>
      <w:proofErr w:type="spellStart"/>
      <w:r w:rsidRPr="00F11730">
        <w:rPr>
          <w:lang w:val="en-AU"/>
        </w:rPr>
        <w:t>osilodrostat</w:t>
      </w:r>
      <w:proofErr w:type="spellEnd"/>
      <w:r w:rsidRPr="00F11730">
        <w:rPr>
          <w:lang w:val="en-AU"/>
        </w:rPr>
        <w:t xml:space="preserve"> in this population are limited and </w:t>
      </w:r>
      <w:proofErr w:type="spellStart"/>
      <w:r w:rsidRPr="00F11730">
        <w:rPr>
          <w:lang w:val="en-AU"/>
        </w:rPr>
        <w:t>Isturisa</w:t>
      </w:r>
      <w:proofErr w:type="spellEnd"/>
      <w:r w:rsidRPr="00F11730">
        <w:rPr>
          <w:lang w:val="en-AU"/>
        </w:rPr>
        <w:t xml:space="preserve"> should therefore be used with caution in this age group. </w:t>
      </w:r>
    </w:p>
    <w:p w14:paraId="3FB1DCE4" w14:textId="37B36F94" w:rsidR="00EA5AD0" w:rsidRPr="00D26B54" w:rsidRDefault="00EA5AD0" w:rsidP="00D26B54">
      <w:pPr>
        <w:rPr>
          <w:b/>
          <w:bCs/>
        </w:rPr>
      </w:pPr>
      <w:proofErr w:type="spellStart"/>
      <w:r w:rsidRPr="00D26B54">
        <w:rPr>
          <w:b/>
          <w:bCs/>
        </w:rPr>
        <w:t>Paediatric</w:t>
      </w:r>
      <w:proofErr w:type="spellEnd"/>
      <w:r w:rsidRPr="00D26B54">
        <w:rPr>
          <w:b/>
          <w:bCs/>
        </w:rPr>
        <w:t xml:space="preserve"> Use</w:t>
      </w:r>
    </w:p>
    <w:p w14:paraId="79CC6444" w14:textId="084C7B8C" w:rsidR="009B3C0F" w:rsidRPr="0074724E" w:rsidRDefault="009B3C0F" w:rsidP="00D26B54">
      <w:r w:rsidRPr="00006690">
        <w:rPr>
          <w:lang w:val="en-AU"/>
        </w:rPr>
        <w:t xml:space="preserve">The safety and efficacy of </w:t>
      </w:r>
      <w:proofErr w:type="spellStart"/>
      <w:r w:rsidRPr="00006690">
        <w:rPr>
          <w:lang w:val="en-AU"/>
        </w:rPr>
        <w:t>Isturisa</w:t>
      </w:r>
      <w:proofErr w:type="spellEnd"/>
      <w:r w:rsidRPr="00006690">
        <w:rPr>
          <w:lang w:val="en-AU"/>
        </w:rPr>
        <w:t xml:space="preserve"> in patients less than 18 years of age have not yet been established. No data are available.</w:t>
      </w:r>
    </w:p>
    <w:p w14:paraId="6B40C92A" w14:textId="792C62A7" w:rsidR="00EA5AD0" w:rsidRPr="00D26B54" w:rsidRDefault="00EA5AD0" w:rsidP="00D26B54">
      <w:pPr>
        <w:rPr>
          <w:b/>
          <w:bCs/>
        </w:rPr>
      </w:pPr>
      <w:r w:rsidRPr="00D26B54">
        <w:rPr>
          <w:b/>
          <w:bCs/>
        </w:rPr>
        <w:t>Effects on laboratory tests</w:t>
      </w:r>
    </w:p>
    <w:p w14:paraId="11065C82" w14:textId="42826022" w:rsidR="00C060A6" w:rsidRPr="00D26B54" w:rsidRDefault="009B3C0F" w:rsidP="00EA5AD0">
      <w:pPr>
        <w:rPr>
          <w:bCs/>
        </w:rPr>
      </w:pPr>
      <w:r>
        <w:rPr>
          <w:bCs/>
        </w:rPr>
        <w:t>B</w:t>
      </w:r>
      <w:r w:rsidRPr="00AF2ADD">
        <w:rPr>
          <w:bCs/>
        </w:rPr>
        <w:t>lood corticotrophin increased</w:t>
      </w:r>
      <w:r>
        <w:rPr>
          <w:bCs/>
        </w:rPr>
        <w:t xml:space="preserve"> and </w:t>
      </w:r>
      <w:r w:rsidRPr="00AF2ADD">
        <w:rPr>
          <w:bCs/>
        </w:rPr>
        <w:t>Electrocardiogram QT prolonged</w:t>
      </w:r>
      <w:r>
        <w:rPr>
          <w:bCs/>
        </w:rPr>
        <w:t xml:space="preserve"> (see discussion above).</w:t>
      </w:r>
      <w:r w:rsidRPr="00AF2ADD">
        <w:rPr>
          <w:bCs/>
        </w:rPr>
        <w:t xml:space="preserve"> </w:t>
      </w:r>
      <w:r w:rsidRPr="003821C3">
        <w:rPr>
          <w:bCs/>
        </w:rPr>
        <w:t xml:space="preserve">Blood testosterone </w:t>
      </w:r>
      <w:r>
        <w:rPr>
          <w:bCs/>
        </w:rPr>
        <w:t>and</w:t>
      </w:r>
      <w:r w:rsidRPr="003821C3">
        <w:rPr>
          <w:bCs/>
        </w:rPr>
        <w:t xml:space="preserve"> </w:t>
      </w:r>
      <w:r w:rsidRPr="00AF2ADD">
        <w:rPr>
          <w:bCs/>
        </w:rPr>
        <w:t xml:space="preserve">transaminases </w:t>
      </w:r>
      <w:r w:rsidR="00D26B54">
        <w:rPr>
          <w:bCs/>
        </w:rPr>
        <w:t xml:space="preserve">may be </w:t>
      </w:r>
      <w:r w:rsidRPr="00AF2ADD">
        <w:rPr>
          <w:bCs/>
        </w:rPr>
        <w:t>increased</w:t>
      </w:r>
      <w:r>
        <w:rPr>
          <w:bCs/>
        </w:rPr>
        <w:t>.</w:t>
      </w:r>
    </w:p>
    <w:p w14:paraId="4CDD7DE5" w14:textId="2FD66A81" w:rsidR="00A736BB" w:rsidRDefault="00EA5AD0" w:rsidP="00EA6A6B">
      <w:pPr>
        <w:pStyle w:val="Heading2"/>
        <w:numPr>
          <w:ilvl w:val="1"/>
          <w:numId w:val="6"/>
        </w:numPr>
      </w:pPr>
      <w:bookmarkStart w:id="5" w:name="_INTERACTION_WITH_OTHER"/>
      <w:bookmarkEnd w:id="5"/>
      <w:r>
        <w:t>INTERACTION WITH OTHER MEDICINES AND OTHER FORMS OF INTERACTION</w:t>
      </w:r>
    </w:p>
    <w:p w14:paraId="29E6655B" w14:textId="6083282F" w:rsidR="00006690" w:rsidRPr="00D26B54" w:rsidRDefault="00006690" w:rsidP="00D26B54">
      <w:pPr>
        <w:rPr>
          <w:b/>
          <w:bCs/>
        </w:rPr>
      </w:pPr>
      <w:r w:rsidRPr="00D26B54">
        <w:rPr>
          <w:b/>
          <w:bCs/>
        </w:rPr>
        <w:t xml:space="preserve">Potential pharmacodynamic interactions </w:t>
      </w:r>
    </w:p>
    <w:p w14:paraId="36FDF828" w14:textId="1915E8C5" w:rsidR="00006690" w:rsidRDefault="00006690" w:rsidP="00D26B54">
      <w:r>
        <w:t xml:space="preserve">Co-administration of </w:t>
      </w:r>
      <w:proofErr w:type="spellStart"/>
      <w:r>
        <w:t>osilodrostat</w:t>
      </w:r>
      <w:proofErr w:type="spellEnd"/>
      <w:r>
        <w:t xml:space="preserve"> with other therapies known to affect the QT interval can lead to QT prolongation in patients with known cardiac rhythm disorders (see sections </w:t>
      </w:r>
      <w:hyperlink w:anchor="_SPECIAL_WARNINGS_AND" w:history="1">
        <w:r w:rsidRPr="00D77450">
          <w:rPr>
            <w:rStyle w:val="Hyperlink"/>
          </w:rPr>
          <w:t xml:space="preserve">4.4 </w:t>
        </w:r>
        <w:r w:rsidR="00D26B54" w:rsidRPr="00D77450">
          <w:rPr>
            <w:rStyle w:val="Hyperlink"/>
          </w:rPr>
          <w:t>Special warnings and Precautions for use</w:t>
        </w:r>
      </w:hyperlink>
      <w:r w:rsidR="00D26B54">
        <w:t xml:space="preserve"> </w:t>
      </w:r>
      <w:r>
        <w:t xml:space="preserve">and </w:t>
      </w:r>
      <w:hyperlink w:anchor="_PHARMACODYNAMIC_PROPERTIES" w:history="1">
        <w:r w:rsidRPr="00D77450">
          <w:rPr>
            <w:rStyle w:val="Hyperlink"/>
          </w:rPr>
          <w:t>5.1</w:t>
        </w:r>
        <w:r w:rsidR="00D26B54" w:rsidRPr="00D77450">
          <w:rPr>
            <w:rStyle w:val="Hyperlink"/>
          </w:rPr>
          <w:t xml:space="preserve"> Pharmacodynamic properties</w:t>
        </w:r>
      </w:hyperlink>
      <w:r>
        <w:t xml:space="preserve">). A washout period should be considered when switching from other products known to affect the QT interval such as </w:t>
      </w:r>
      <w:proofErr w:type="spellStart"/>
      <w:r>
        <w:t>pasireotide</w:t>
      </w:r>
      <w:proofErr w:type="spellEnd"/>
      <w:r>
        <w:t xml:space="preserve"> or ketoconazole. </w:t>
      </w:r>
    </w:p>
    <w:p w14:paraId="71442C89" w14:textId="6855B799" w:rsidR="00006690" w:rsidRPr="00D26B54" w:rsidRDefault="00006690" w:rsidP="00006690">
      <w:pPr>
        <w:rPr>
          <w:b/>
          <w:bCs/>
        </w:rPr>
      </w:pPr>
      <w:r w:rsidRPr="00D26B54">
        <w:rPr>
          <w:b/>
          <w:bCs/>
        </w:rPr>
        <w:t xml:space="preserve">Effects of other medicinal products on the pharmacokinetics of </w:t>
      </w:r>
      <w:proofErr w:type="spellStart"/>
      <w:r w:rsidRPr="00D26B54">
        <w:rPr>
          <w:b/>
          <w:bCs/>
        </w:rPr>
        <w:t>osilodrostat</w:t>
      </w:r>
      <w:proofErr w:type="spellEnd"/>
      <w:r w:rsidRPr="00D26B54">
        <w:rPr>
          <w:b/>
          <w:bCs/>
        </w:rPr>
        <w:t xml:space="preserve"> </w:t>
      </w:r>
    </w:p>
    <w:p w14:paraId="06EB5F1A" w14:textId="474FB9B2" w:rsidR="00006690" w:rsidRDefault="00006690" w:rsidP="00D26B54">
      <w:r>
        <w:t xml:space="preserve">The potential for clinical drug-drug interactions (DDI) with concomitantly administered medicinal products that inhibit transporters or a single CYP or UGT enzyme is low (see section </w:t>
      </w:r>
      <w:hyperlink w:anchor="_PHARMACOKINETIC_PROPERTIES" w:history="1">
        <w:r w:rsidRPr="00D77450">
          <w:rPr>
            <w:rStyle w:val="Hyperlink"/>
          </w:rPr>
          <w:t>5.2</w:t>
        </w:r>
        <w:r w:rsidR="00D26B54" w:rsidRPr="00D77450">
          <w:rPr>
            <w:rStyle w:val="Hyperlink"/>
          </w:rPr>
          <w:t xml:space="preserve"> Pharmacokinetic properties</w:t>
        </w:r>
      </w:hyperlink>
      <w:r>
        <w:t xml:space="preserve">). </w:t>
      </w:r>
    </w:p>
    <w:p w14:paraId="25CDA378" w14:textId="1D9EE250" w:rsidR="00D274EC" w:rsidRDefault="003146DF" w:rsidP="003146DF">
      <w:r>
        <w:t xml:space="preserve">Based on </w:t>
      </w:r>
      <w:r w:rsidRPr="00515A8B">
        <w:rPr>
          <w:i/>
          <w:iCs/>
        </w:rPr>
        <w:t>in vitro</w:t>
      </w:r>
      <w:r>
        <w:t xml:space="preserve"> studies, </w:t>
      </w:r>
      <w:proofErr w:type="spellStart"/>
      <w:r>
        <w:t>osilodrostat</w:t>
      </w:r>
      <w:proofErr w:type="spellEnd"/>
      <w:r>
        <w:t xml:space="preserve"> is not a substrate for OATP1B1 or OATP1B3 transporters.”</w:t>
      </w:r>
    </w:p>
    <w:p w14:paraId="7427D8A4" w14:textId="77777777" w:rsidR="00D26B54" w:rsidRPr="00D26B54" w:rsidRDefault="00006690" w:rsidP="00893B33">
      <w:pPr>
        <w:pageBreakBefore/>
        <w:rPr>
          <w:b/>
          <w:bCs/>
        </w:rPr>
      </w:pPr>
      <w:r w:rsidRPr="00D26B54">
        <w:rPr>
          <w:b/>
          <w:bCs/>
        </w:rPr>
        <w:lastRenderedPageBreak/>
        <w:t xml:space="preserve">Strong enzyme inhibitors </w:t>
      </w:r>
    </w:p>
    <w:p w14:paraId="7CC9121E" w14:textId="0E2E49AC" w:rsidR="00006690" w:rsidRDefault="00006690" w:rsidP="00D26B54">
      <w:r>
        <w:t xml:space="preserve">Caution is advised when co-administered medicinal products that strongly inhibit multiple enzymes are introduced or discontinued during </w:t>
      </w:r>
      <w:proofErr w:type="spellStart"/>
      <w:r>
        <w:t>osilodrostat</w:t>
      </w:r>
      <w:proofErr w:type="spellEnd"/>
      <w:r>
        <w:t xml:space="preserve"> treatment (see section </w:t>
      </w:r>
      <w:hyperlink w:anchor="_SPECIAL_WARNINGS_AND" w:history="1">
        <w:r w:rsidRPr="00D77450">
          <w:rPr>
            <w:rStyle w:val="Hyperlink"/>
          </w:rPr>
          <w:t>4.4</w:t>
        </w:r>
        <w:r w:rsidR="00D26B54" w:rsidRPr="00D77450">
          <w:rPr>
            <w:rStyle w:val="Hyperlink"/>
          </w:rPr>
          <w:t xml:space="preserve"> Special warnings and Precautions for use</w:t>
        </w:r>
      </w:hyperlink>
      <w:r>
        <w:t xml:space="preserve">). </w:t>
      </w:r>
    </w:p>
    <w:p w14:paraId="2608CE33" w14:textId="77777777" w:rsidR="00D26B54" w:rsidRPr="00D26B54" w:rsidRDefault="00006690" w:rsidP="00D26B54">
      <w:pPr>
        <w:rPr>
          <w:b/>
          <w:bCs/>
        </w:rPr>
      </w:pPr>
      <w:r w:rsidRPr="00D26B54">
        <w:rPr>
          <w:b/>
          <w:bCs/>
        </w:rPr>
        <w:t xml:space="preserve">Strong enzyme inducers </w:t>
      </w:r>
    </w:p>
    <w:p w14:paraId="622FEA78" w14:textId="7BBC5ECD" w:rsidR="00006690" w:rsidRDefault="00006690" w:rsidP="00D26B54">
      <w:r>
        <w:t>Caution is advised when co-administered medicinal products that strongly induce multiple enzymes (</w:t>
      </w:r>
      <w:proofErr w:type="gramStart"/>
      <w:r>
        <w:t>e.g.</w:t>
      </w:r>
      <w:proofErr w:type="gramEnd"/>
      <w:r>
        <w:t xml:space="preserve"> rifampin) are introduced or discontinued during </w:t>
      </w:r>
      <w:proofErr w:type="spellStart"/>
      <w:r>
        <w:t>osilodrostat</w:t>
      </w:r>
      <w:proofErr w:type="spellEnd"/>
      <w:r>
        <w:t xml:space="preserve"> treatment (see section </w:t>
      </w:r>
      <w:hyperlink w:anchor="_SPECIAL_WARNINGS_AND" w:history="1">
        <w:r w:rsidRPr="00A3766F">
          <w:rPr>
            <w:rStyle w:val="Hyperlink"/>
          </w:rPr>
          <w:t>4.4</w:t>
        </w:r>
        <w:r w:rsidR="00D26B54" w:rsidRPr="00A3766F">
          <w:rPr>
            <w:rStyle w:val="Hyperlink"/>
          </w:rPr>
          <w:t xml:space="preserve"> Special warnings and Precautions for use</w:t>
        </w:r>
      </w:hyperlink>
      <w:r>
        <w:t xml:space="preserve">). </w:t>
      </w:r>
    </w:p>
    <w:p w14:paraId="6342FA6C" w14:textId="77777777" w:rsidR="00006690" w:rsidRPr="00571DD5" w:rsidRDefault="00006690" w:rsidP="00006690">
      <w:pPr>
        <w:rPr>
          <w:b/>
          <w:bCs/>
          <w:sz w:val="22"/>
          <w:szCs w:val="22"/>
        </w:rPr>
      </w:pPr>
      <w:r w:rsidRPr="00571DD5">
        <w:rPr>
          <w:b/>
          <w:bCs/>
          <w:sz w:val="22"/>
          <w:szCs w:val="22"/>
        </w:rPr>
        <w:t xml:space="preserve">Effects of </w:t>
      </w:r>
      <w:proofErr w:type="spellStart"/>
      <w:r w:rsidRPr="00571DD5">
        <w:rPr>
          <w:b/>
          <w:bCs/>
          <w:sz w:val="22"/>
          <w:szCs w:val="22"/>
        </w:rPr>
        <w:t>osilodrostat</w:t>
      </w:r>
      <w:proofErr w:type="spellEnd"/>
      <w:r w:rsidRPr="00571DD5">
        <w:rPr>
          <w:b/>
          <w:bCs/>
          <w:sz w:val="22"/>
          <w:szCs w:val="22"/>
        </w:rPr>
        <w:t xml:space="preserve"> on the pharmacokinetics of other medicinal products </w:t>
      </w:r>
    </w:p>
    <w:p w14:paraId="70557C49" w14:textId="23000282" w:rsidR="00006690" w:rsidRDefault="00006690" w:rsidP="00D26B54">
      <w:r>
        <w:t xml:space="preserve">Because </w:t>
      </w:r>
      <w:proofErr w:type="spellStart"/>
      <w:r>
        <w:t>osilodrostat</w:t>
      </w:r>
      <w:proofErr w:type="spellEnd"/>
      <w:r>
        <w:t xml:space="preserve"> and its major metabolite M34.5 may inhibit and/or induce multiple enzymes and transporters, general caution is advised when </w:t>
      </w:r>
      <w:proofErr w:type="spellStart"/>
      <w:r>
        <w:t>osilodrostat</w:t>
      </w:r>
      <w:proofErr w:type="spellEnd"/>
      <w:r>
        <w:t xml:space="preserve"> is co-administered with sensitive enzyme or transporter substrates with a narrow therapeutic index. Available interaction data is </w:t>
      </w:r>
      <w:proofErr w:type="spellStart"/>
      <w:r>
        <w:t>summarised</w:t>
      </w:r>
      <w:proofErr w:type="spellEnd"/>
      <w:r>
        <w:t xml:space="preserve"> below (see also section </w:t>
      </w:r>
      <w:hyperlink w:anchor="_PHARMACOKINETIC_PROPERTIES" w:history="1">
        <w:r w:rsidRPr="00A3766F">
          <w:rPr>
            <w:rStyle w:val="Hyperlink"/>
          </w:rPr>
          <w:t>5.2</w:t>
        </w:r>
        <w:r w:rsidR="00D26B54" w:rsidRPr="00A3766F">
          <w:rPr>
            <w:rStyle w:val="Hyperlink"/>
          </w:rPr>
          <w:t xml:space="preserve"> Pharmacokinetic properties</w:t>
        </w:r>
      </w:hyperlink>
      <w:r>
        <w:t xml:space="preserve">). </w:t>
      </w:r>
    </w:p>
    <w:p w14:paraId="1232C953" w14:textId="416239F0" w:rsidR="00006690" w:rsidRPr="00D26B54" w:rsidRDefault="00006690" w:rsidP="00006690">
      <w:pPr>
        <w:rPr>
          <w:i/>
          <w:iCs/>
          <w:u w:val="single"/>
        </w:rPr>
      </w:pPr>
      <w:r w:rsidRPr="00D26B54">
        <w:rPr>
          <w:i/>
          <w:iCs/>
          <w:u w:val="single"/>
        </w:rPr>
        <w:t xml:space="preserve">Clinical studies </w:t>
      </w:r>
    </w:p>
    <w:p w14:paraId="4F652D95" w14:textId="77777777" w:rsidR="00006690" w:rsidRDefault="00006690" w:rsidP="00006690">
      <w:r>
        <w:t xml:space="preserve">In a healthy volunteer study (n=20) using a single dose of 50 mg </w:t>
      </w:r>
      <w:proofErr w:type="spellStart"/>
      <w:r>
        <w:t>osilodrostat</w:t>
      </w:r>
      <w:proofErr w:type="spellEnd"/>
      <w:r>
        <w:t xml:space="preserve"> and a probe drug cocktail, </w:t>
      </w:r>
      <w:proofErr w:type="spellStart"/>
      <w:r>
        <w:t>osilodrostat</w:t>
      </w:r>
      <w:proofErr w:type="spellEnd"/>
      <w:r>
        <w:t xml:space="preserve"> was found to be a mild inhibitor of CYP2D6 and CYP3A4/5, a mild to moderate inhibitor of CYP2C19, and a moderate inhibitor of CYP1A2.</w:t>
      </w:r>
    </w:p>
    <w:p w14:paraId="4DC62D71" w14:textId="3D7AE59D" w:rsidR="00006690" w:rsidRDefault="00006690" w:rsidP="00D26B54">
      <w:pPr>
        <w:pStyle w:val="ListParagraph"/>
        <w:numPr>
          <w:ilvl w:val="0"/>
          <w:numId w:val="33"/>
        </w:numPr>
      </w:pPr>
      <w:r>
        <w:t xml:space="preserve">CYP2D6 – AUC geometric mean ratio of 1.5 for dextromethorphan (CYP2D6 substrate) when dosed with </w:t>
      </w:r>
      <w:proofErr w:type="spellStart"/>
      <w:r>
        <w:t>osilodrostat</w:t>
      </w:r>
      <w:proofErr w:type="spellEnd"/>
      <w:r>
        <w:t xml:space="preserve"> compared to when dosed alone. </w:t>
      </w:r>
    </w:p>
    <w:p w14:paraId="562F1AB8" w14:textId="45CEC5B3" w:rsidR="00006690" w:rsidRDefault="00006690" w:rsidP="00D26B54">
      <w:pPr>
        <w:pStyle w:val="ListParagraph"/>
        <w:numPr>
          <w:ilvl w:val="0"/>
          <w:numId w:val="33"/>
        </w:numPr>
      </w:pPr>
      <w:r>
        <w:t xml:space="preserve">CYP3A4 – AUC geometric mean ratio of 1.5 for midazolam (CYP3A4 substrate) when dosed with </w:t>
      </w:r>
      <w:proofErr w:type="spellStart"/>
      <w:r>
        <w:t>osilodrostat</w:t>
      </w:r>
      <w:proofErr w:type="spellEnd"/>
      <w:r>
        <w:t xml:space="preserve"> compared to when dosed alone. </w:t>
      </w:r>
    </w:p>
    <w:p w14:paraId="52789550" w14:textId="2DEA72EA" w:rsidR="00006690" w:rsidRDefault="00006690" w:rsidP="00D26B54">
      <w:pPr>
        <w:pStyle w:val="ListParagraph"/>
        <w:numPr>
          <w:ilvl w:val="0"/>
          <w:numId w:val="33"/>
        </w:numPr>
      </w:pPr>
      <w:r>
        <w:t xml:space="preserve">CYP2C19 –AUC geometric mean ratio of 1.9 for omeprazole (CYP2C19 substrate) when dosed with </w:t>
      </w:r>
      <w:proofErr w:type="spellStart"/>
      <w:r>
        <w:t>osilodrostat</w:t>
      </w:r>
      <w:proofErr w:type="spellEnd"/>
      <w:r>
        <w:t xml:space="preserve"> compared to when dosed alone. However, an </w:t>
      </w:r>
      <w:r w:rsidRPr="00D26B54">
        <w:rPr>
          <w:i/>
          <w:iCs/>
        </w:rPr>
        <w:t>in vitro</w:t>
      </w:r>
      <w:r>
        <w:t xml:space="preserve"> signal of time-dependent inhibition has been observed, thus the consequence following repeated dosing is unclear. </w:t>
      </w:r>
      <w:proofErr w:type="spellStart"/>
      <w:r>
        <w:t>Osilodrostat</w:t>
      </w:r>
      <w:proofErr w:type="spellEnd"/>
      <w:r>
        <w:t xml:space="preserve"> should be used with caution when co-administered with sensitive CYP2C19 substrates with a narrow therapeutic index. </w:t>
      </w:r>
    </w:p>
    <w:p w14:paraId="6BC42802" w14:textId="424C2226" w:rsidR="00006690" w:rsidRDefault="00006690" w:rsidP="00515A8B">
      <w:pPr>
        <w:pStyle w:val="ListParagraph"/>
        <w:numPr>
          <w:ilvl w:val="0"/>
          <w:numId w:val="33"/>
        </w:numPr>
      </w:pPr>
      <w:r>
        <w:t xml:space="preserve">CYP1A2 –AUC geometric mean ratio of 2.5 for caffeine (CYP1A2 substrate) when dosed with </w:t>
      </w:r>
      <w:proofErr w:type="spellStart"/>
      <w:r>
        <w:t>osilodrostat</w:t>
      </w:r>
      <w:proofErr w:type="spellEnd"/>
      <w:r>
        <w:t xml:space="preserve"> compared to when dosed alone. However, an </w:t>
      </w:r>
      <w:r w:rsidRPr="00D26B54">
        <w:rPr>
          <w:i/>
          <w:iCs/>
        </w:rPr>
        <w:t>in vitro</w:t>
      </w:r>
      <w:r>
        <w:t xml:space="preserve"> signal of CYP1A2 induction has been observed, thus the consequence following repeated dosing is unclear. </w:t>
      </w:r>
      <w:proofErr w:type="spellStart"/>
      <w:r>
        <w:t>Osilodrostat</w:t>
      </w:r>
      <w:proofErr w:type="spellEnd"/>
      <w:r>
        <w:t xml:space="preserve"> should be used with caution when co-administered with sensitive CYP1A2 substrates with a narrow therapeutic index such as theophylline</w:t>
      </w:r>
      <w:r w:rsidR="00CE77F1">
        <w:t xml:space="preserve"> and </w:t>
      </w:r>
      <w:r w:rsidR="00BE1557">
        <w:t>tizanidine</w:t>
      </w:r>
      <w:r>
        <w:t xml:space="preserve">. </w:t>
      </w:r>
    </w:p>
    <w:p w14:paraId="2ED2C078" w14:textId="5361B13B" w:rsidR="00006690" w:rsidRDefault="00006690" w:rsidP="00006690">
      <w:r>
        <w:t xml:space="preserve">In a healthy volunteer study (n=24), </w:t>
      </w:r>
      <w:proofErr w:type="spellStart"/>
      <w:r>
        <w:t>osilodrostat</w:t>
      </w:r>
      <w:proofErr w:type="spellEnd"/>
      <w:r>
        <w:t xml:space="preserve"> (30 mg twice daily for 7 days before concomitant administration with a combined oral contraceptive containing 0.03 mg ethinyl </w:t>
      </w:r>
      <w:proofErr w:type="spellStart"/>
      <w:r>
        <w:t>oestradiol</w:t>
      </w:r>
      <w:proofErr w:type="spellEnd"/>
      <w:r>
        <w:t xml:space="preserve"> and 0.15 mg levonorgestrel and continued for another 5 days) did not have a clinically meaningful effect on the AUC and </w:t>
      </w:r>
      <w:proofErr w:type="spellStart"/>
      <w:r>
        <w:t>C</w:t>
      </w:r>
      <w:r w:rsidRPr="00D26B54">
        <w:rPr>
          <w:vertAlign w:val="subscript"/>
        </w:rPr>
        <w:t>max</w:t>
      </w:r>
      <w:proofErr w:type="spellEnd"/>
      <w:r w:rsidRPr="00D26B54">
        <w:rPr>
          <w:vertAlign w:val="subscript"/>
        </w:rPr>
        <w:t xml:space="preserve"> </w:t>
      </w:r>
      <w:r>
        <w:t xml:space="preserve">of ethinyl estradiol (geometric mean ratio: </w:t>
      </w:r>
      <w:r>
        <w:lastRenderedPageBreak/>
        <w:t xml:space="preserve">1.03 and 0.88, respectively) and AUC of levonorgestrel (geometric mean ratio: 1.02). The </w:t>
      </w:r>
      <w:proofErr w:type="spellStart"/>
      <w:r>
        <w:t>C</w:t>
      </w:r>
      <w:r w:rsidRPr="00D26B54">
        <w:rPr>
          <w:vertAlign w:val="subscript"/>
        </w:rPr>
        <w:t>max</w:t>
      </w:r>
      <w:proofErr w:type="spellEnd"/>
      <w:r>
        <w:t xml:space="preserve"> of levonorgestrel fell slightly outside the bioequivalence acceptance range (geometric mean ratio: 0.86; 90% confidence interval: 0.737-1.00). The effects of a longer induction period and an interaction with other hormonal contraceptives have not been studied (see also sections </w:t>
      </w:r>
      <w:hyperlink w:anchor="_SPECIAL_WARNINGS_AND" w:history="1">
        <w:r w:rsidRPr="00C94F3C">
          <w:rPr>
            <w:rStyle w:val="Hyperlink"/>
          </w:rPr>
          <w:t>4.4</w:t>
        </w:r>
        <w:r w:rsidR="004C3917" w:rsidRPr="00C94F3C">
          <w:rPr>
            <w:rStyle w:val="Hyperlink"/>
          </w:rPr>
          <w:t xml:space="preserve"> Special warnings and precautions for use</w:t>
        </w:r>
      </w:hyperlink>
      <w:r w:rsidR="004C3917">
        <w:t xml:space="preserve"> </w:t>
      </w:r>
      <w:r>
        <w:t xml:space="preserve">and </w:t>
      </w:r>
      <w:hyperlink w:anchor="_FERTILITY,_PREGNANCY_AND" w:history="1">
        <w:r w:rsidRPr="00C94F3C">
          <w:rPr>
            <w:rStyle w:val="Hyperlink"/>
          </w:rPr>
          <w:t>4.6</w:t>
        </w:r>
        <w:r w:rsidR="004C3917" w:rsidRPr="00C94F3C">
          <w:rPr>
            <w:rStyle w:val="Hyperlink"/>
          </w:rPr>
          <w:t xml:space="preserve"> Fertility, pregnancy and lactation</w:t>
        </w:r>
      </w:hyperlink>
      <w:r>
        <w:t xml:space="preserve">). </w:t>
      </w:r>
    </w:p>
    <w:p w14:paraId="13F4F8A9" w14:textId="77777777" w:rsidR="004F7A74" w:rsidRDefault="00006690" w:rsidP="00006690">
      <w:r w:rsidRPr="004F7A74">
        <w:rPr>
          <w:i/>
          <w:iCs/>
          <w:u w:val="single"/>
        </w:rPr>
        <w:t>In vitro</w:t>
      </w:r>
      <w:r w:rsidRPr="004F7A74">
        <w:rPr>
          <w:u w:val="single"/>
        </w:rPr>
        <w:t xml:space="preserve"> data</w:t>
      </w:r>
      <w:r>
        <w:t xml:space="preserve"> </w:t>
      </w:r>
    </w:p>
    <w:p w14:paraId="209E1DBC" w14:textId="229BE3C4" w:rsidR="00006690" w:rsidRDefault="00006690" w:rsidP="00006690">
      <w:r w:rsidRPr="004F7A74">
        <w:rPr>
          <w:i/>
          <w:iCs/>
        </w:rPr>
        <w:t>In vitro</w:t>
      </w:r>
      <w:r>
        <w:t xml:space="preserve"> data for </w:t>
      </w:r>
      <w:proofErr w:type="spellStart"/>
      <w:r>
        <w:t>osilodrostat</w:t>
      </w:r>
      <w:proofErr w:type="spellEnd"/>
      <w:r>
        <w:t xml:space="preserve"> and its major metabolite M34.5 suggest a potential for both inhibition and induction for CYP1A2, CYP2B6 and CYP3A4/5, a potential for time-dependent inhibition of CYP2C19, and an inhibitory potential for</w:t>
      </w:r>
      <w:r w:rsidR="001F5A55">
        <w:t xml:space="preserve"> </w:t>
      </w:r>
      <w:r w:rsidR="001F5A55" w:rsidRPr="001F5A55">
        <w:t>CYP2D6,</w:t>
      </w:r>
      <w:r>
        <w:t xml:space="preserve"> CYP2E1 and UGT1A1. It cannot be excluded that </w:t>
      </w:r>
      <w:proofErr w:type="spellStart"/>
      <w:r>
        <w:t>osilodrostat</w:t>
      </w:r>
      <w:proofErr w:type="spellEnd"/>
      <w:r>
        <w:t xml:space="preserve"> may affect the exposure of sensitive substrates for these enzymes. </w:t>
      </w:r>
    </w:p>
    <w:p w14:paraId="6FF2F628" w14:textId="4ECB5C32" w:rsidR="00006690" w:rsidRPr="00EA5AD0" w:rsidRDefault="00006690" w:rsidP="00006690">
      <w:r w:rsidRPr="004F7A74">
        <w:rPr>
          <w:i/>
          <w:iCs/>
        </w:rPr>
        <w:t>In vitro</w:t>
      </w:r>
      <w:r>
        <w:t xml:space="preserve"> data for </w:t>
      </w:r>
      <w:proofErr w:type="spellStart"/>
      <w:r>
        <w:t>osilodrostat</w:t>
      </w:r>
      <w:proofErr w:type="spellEnd"/>
      <w:r>
        <w:t xml:space="preserve"> and its major metabolite M34.5 suggest an inhibitory potential for OATP1B1, OCT1, OCT2, OAT1, OAT3 and MATE1. It cannot be excluded that </w:t>
      </w:r>
      <w:proofErr w:type="spellStart"/>
      <w:r>
        <w:t>osilodrostat</w:t>
      </w:r>
      <w:proofErr w:type="spellEnd"/>
      <w:r>
        <w:t xml:space="preserve"> may affect the exposure of sensitive substrates for these transporters.</w:t>
      </w:r>
    </w:p>
    <w:p w14:paraId="3CFDD77D" w14:textId="7D73A3C9" w:rsidR="00A736BB" w:rsidRDefault="00EA5AD0" w:rsidP="00EA6A6B">
      <w:pPr>
        <w:pStyle w:val="Heading2"/>
        <w:numPr>
          <w:ilvl w:val="1"/>
          <w:numId w:val="6"/>
        </w:numPr>
      </w:pPr>
      <w:bookmarkStart w:id="6" w:name="_FERTILITY,_PREGNANCY_AND"/>
      <w:bookmarkEnd w:id="6"/>
      <w:r>
        <w:t>FERTILITY, PREGNANCY AND LACTATION</w:t>
      </w:r>
    </w:p>
    <w:p w14:paraId="76EF4E65" w14:textId="1E3CDE09" w:rsidR="004F7A74" w:rsidRPr="00D26B54" w:rsidRDefault="00EA5AD0" w:rsidP="00D26B54">
      <w:pPr>
        <w:rPr>
          <w:b/>
          <w:bCs/>
        </w:rPr>
      </w:pPr>
      <w:r w:rsidRPr="00D26B54">
        <w:rPr>
          <w:b/>
          <w:bCs/>
        </w:rPr>
        <w:t>Effects on Fertility</w:t>
      </w:r>
    </w:p>
    <w:p w14:paraId="5F80D6DF" w14:textId="791209A8" w:rsidR="004F7A74" w:rsidRDefault="004F7A74" w:rsidP="00D26B54">
      <w:r w:rsidRPr="004F7A74">
        <w:t xml:space="preserve">There is no information on the effect of </w:t>
      </w:r>
      <w:proofErr w:type="spellStart"/>
      <w:r w:rsidRPr="004F7A74">
        <w:t>osilodrostat</w:t>
      </w:r>
      <w:proofErr w:type="spellEnd"/>
      <w:r w:rsidRPr="004F7A74">
        <w:t xml:space="preserve"> on human fertility.</w:t>
      </w:r>
    </w:p>
    <w:p w14:paraId="63FFF4D9" w14:textId="5E5DA2B7" w:rsidR="00EC1D95" w:rsidRPr="00EC1D95" w:rsidRDefault="00EC1D95" w:rsidP="00EC1D95">
      <w:pPr>
        <w:rPr>
          <w:lang w:val="x-none"/>
        </w:rPr>
      </w:pPr>
      <w:r w:rsidRPr="00EC1D95">
        <w:rPr>
          <w:lang w:val="x-none"/>
        </w:rPr>
        <w:t>In a fertility and early embryonic development study in rats oral maternal doses of 50 mg/kg (92-fold the exposure at the MRHD based on AUC) resulted in prolonged oestrous cycles and impaired fertility and embryo viability. The NOAEL was 5 mg/kg (8-fold the clinical AUC at the MRHD).</w:t>
      </w:r>
    </w:p>
    <w:p w14:paraId="321302B6" w14:textId="77777777" w:rsidR="00EC1D95" w:rsidRDefault="00EC1D95" w:rsidP="00D26B54"/>
    <w:p w14:paraId="40D2970F" w14:textId="77777777" w:rsidR="002B2A6C" w:rsidRPr="004F7A74" w:rsidRDefault="002B2A6C" w:rsidP="00D26B54"/>
    <w:p w14:paraId="3DB8DC47" w14:textId="44095AEE" w:rsidR="00E01531" w:rsidRPr="00D26B54" w:rsidRDefault="00EA5AD0" w:rsidP="00D26B54">
      <w:pPr>
        <w:rPr>
          <w:rFonts w:eastAsia="Times New Roman"/>
          <w:b/>
          <w:bCs/>
        </w:rPr>
      </w:pPr>
      <w:r w:rsidRPr="00D26B54">
        <w:rPr>
          <w:rFonts w:eastAsia="Times New Roman"/>
          <w:b/>
          <w:bCs/>
        </w:rPr>
        <w:t xml:space="preserve">Use in Pregnancy – Category </w:t>
      </w:r>
      <w:r w:rsidR="00B30341">
        <w:rPr>
          <w:rFonts w:eastAsia="Times New Roman"/>
          <w:b/>
          <w:bCs/>
        </w:rPr>
        <w:t>D</w:t>
      </w:r>
    </w:p>
    <w:p w14:paraId="6AC80CF4" w14:textId="35F241B1" w:rsidR="00033CDA" w:rsidRDefault="004F7A74" w:rsidP="00D26B54">
      <w:r w:rsidRPr="004F7A74">
        <w:t xml:space="preserve">There are no or limited amount of data from the use of </w:t>
      </w:r>
      <w:proofErr w:type="spellStart"/>
      <w:r w:rsidRPr="004F7A74">
        <w:t>osilodrostat</w:t>
      </w:r>
      <w:proofErr w:type="spellEnd"/>
      <w:r w:rsidRPr="004F7A74">
        <w:t xml:space="preserve"> in pregnant women. Studies in animals have shown reproductive toxicity. </w:t>
      </w:r>
    </w:p>
    <w:p w14:paraId="0192A584" w14:textId="77777777" w:rsidR="00055849" w:rsidRPr="00055849" w:rsidRDefault="00055849" w:rsidP="00055849">
      <w:pPr>
        <w:rPr>
          <w:lang w:val="x-none"/>
        </w:rPr>
      </w:pPr>
      <w:proofErr w:type="spellStart"/>
      <w:r w:rsidRPr="00055849">
        <w:rPr>
          <w:lang w:val="x-none"/>
        </w:rPr>
        <w:t>Osilodrostat</w:t>
      </w:r>
      <w:proofErr w:type="spellEnd"/>
      <w:r w:rsidRPr="00055849">
        <w:rPr>
          <w:lang w:val="x-none"/>
        </w:rPr>
        <w:t xml:space="preserve"> administration to pregnant rats during organogenesis at oral doses up to 5 mg/kg (9 times human dose based on AUC) did not adversely affect embryofetal development. Maternal toxicity, increased embryonic and </w:t>
      </w:r>
      <w:proofErr w:type="spellStart"/>
      <w:r w:rsidRPr="00055849">
        <w:rPr>
          <w:lang w:val="x-none"/>
        </w:rPr>
        <w:t>fetal</w:t>
      </w:r>
      <w:proofErr w:type="spellEnd"/>
      <w:r w:rsidRPr="00055849">
        <w:rPr>
          <w:lang w:val="x-none"/>
        </w:rPr>
        <w:t xml:space="preserve"> deaths, decreased </w:t>
      </w:r>
      <w:proofErr w:type="spellStart"/>
      <w:r w:rsidRPr="00055849">
        <w:rPr>
          <w:lang w:val="x-none"/>
        </w:rPr>
        <w:t>fetal</w:t>
      </w:r>
      <w:proofErr w:type="spellEnd"/>
      <w:r w:rsidRPr="00055849">
        <w:rPr>
          <w:lang w:val="x-none"/>
        </w:rPr>
        <w:t xml:space="preserve"> weights and malformations occurred at 50 mg/kg (86-times the maximum clinical dose based on AUC).</w:t>
      </w:r>
    </w:p>
    <w:p w14:paraId="71E46947" w14:textId="77777777" w:rsidR="00055849" w:rsidRPr="00055849" w:rsidRDefault="00055849" w:rsidP="00055849">
      <w:pPr>
        <w:rPr>
          <w:lang w:val="x-none"/>
        </w:rPr>
      </w:pPr>
      <w:proofErr w:type="spellStart"/>
      <w:r w:rsidRPr="00055849">
        <w:rPr>
          <w:lang w:val="x-none"/>
        </w:rPr>
        <w:t>Osilodrostat</w:t>
      </w:r>
      <w:proofErr w:type="spellEnd"/>
      <w:r w:rsidRPr="00055849">
        <w:rPr>
          <w:lang w:val="x-none"/>
        </w:rPr>
        <w:t xml:space="preserve"> administration to pregnant rabbits during organogenesis at oral doses up to 3 mg/kg (0.6 times human clinical exposure based on AUC) did not adversely affect embryofetal development. Maternal toxicity, increased embryo resorption decreased </w:t>
      </w:r>
      <w:proofErr w:type="spellStart"/>
      <w:r w:rsidRPr="00055849">
        <w:rPr>
          <w:lang w:val="x-none"/>
        </w:rPr>
        <w:t>fetal</w:t>
      </w:r>
      <w:proofErr w:type="spellEnd"/>
      <w:r w:rsidRPr="00055849">
        <w:rPr>
          <w:lang w:val="x-none"/>
        </w:rPr>
        <w:t xml:space="preserve"> viability was observed at 10 mg/kg (10 times the maximum clinical dose based on AUC).</w:t>
      </w:r>
    </w:p>
    <w:p w14:paraId="21D9722E" w14:textId="7F4860A2" w:rsidR="00033CDA" w:rsidRPr="002B2A6C" w:rsidRDefault="00055849" w:rsidP="00D26B54">
      <w:pPr>
        <w:rPr>
          <w:lang w:val="x-none"/>
        </w:rPr>
      </w:pPr>
      <w:r w:rsidRPr="00055849">
        <w:rPr>
          <w:lang w:val="x-none"/>
        </w:rPr>
        <w:lastRenderedPageBreak/>
        <w:t>In a pre- and postnatal toxicity study in rats there were no adverse effects on growth, development or reproductive performance of offspring following maternal dosing at</w:t>
      </w:r>
      <w:r w:rsidR="00DC6ED9">
        <w:t xml:space="preserve"> </w:t>
      </w:r>
      <w:r w:rsidRPr="00055849">
        <w:rPr>
          <w:lang w:val="x-none"/>
        </w:rPr>
        <w:t>5 mg/kg (10 times the maximum clinical dose based on AUC). Delayed parturition and dystocia and decreased pup survival were observed at 20 mg/kg (38 times the maximum clinical dose based on AUC).</w:t>
      </w:r>
    </w:p>
    <w:p w14:paraId="64AF0344" w14:textId="2FEFE964" w:rsidR="004F7A74" w:rsidRPr="00D26B54" w:rsidRDefault="004F7A74" w:rsidP="00D26B54">
      <w:proofErr w:type="spellStart"/>
      <w:r w:rsidRPr="004F7A74">
        <w:t>Isturisa</w:t>
      </w:r>
      <w:proofErr w:type="spellEnd"/>
      <w:r w:rsidRPr="004F7A74">
        <w:t xml:space="preserve"> should not be used during pregnancy and in women of childbearing potential not using contraception.</w:t>
      </w:r>
    </w:p>
    <w:p w14:paraId="012E7BA9" w14:textId="68FA486A" w:rsidR="00E01531" w:rsidRPr="00D26B54" w:rsidRDefault="00EA5AD0" w:rsidP="00D26B54">
      <w:pPr>
        <w:rPr>
          <w:rFonts w:eastAsia="Times New Roman"/>
          <w:b/>
          <w:bCs/>
        </w:rPr>
      </w:pPr>
      <w:r w:rsidRPr="00D26B54">
        <w:rPr>
          <w:rFonts w:eastAsia="Times New Roman"/>
          <w:b/>
          <w:bCs/>
        </w:rPr>
        <w:t>Use in Lactation</w:t>
      </w:r>
    </w:p>
    <w:p w14:paraId="704080F1" w14:textId="64B903F7" w:rsidR="00C060A6" w:rsidRPr="00D26B54" w:rsidRDefault="00E01531" w:rsidP="00D26B54">
      <w:pPr>
        <w:rPr>
          <w:rFonts w:eastAsia="Times New Roman"/>
        </w:rPr>
      </w:pPr>
      <w:r w:rsidRPr="00E01531">
        <w:rPr>
          <w:rFonts w:eastAsia="Times New Roman"/>
        </w:rPr>
        <w:t xml:space="preserve">It is unknown whether </w:t>
      </w:r>
      <w:proofErr w:type="spellStart"/>
      <w:r w:rsidRPr="00E01531">
        <w:rPr>
          <w:rFonts w:eastAsia="Times New Roman"/>
        </w:rPr>
        <w:t>osilodrostat</w:t>
      </w:r>
      <w:proofErr w:type="spellEnd"/>
      <w:r w:rsidRPr="00E01531">
        <w:rPr>
          <w:rFonts w:eastAsia="Times New Roman"/>
        </w:rPr>
        <w:t xml:space="preserve"> or its metabolites are excreted in human milk. A risk to the newborns/infants cannot be excluded. Breast-feeding should be discontinued during treatment with </w:t>
      </w:r>
      <w:proofErr w:type="spellStart"/>
      <w:r w:rsidRPr="00E01531">
        <w:rPr>
          <w:rFonts w:eastAsia="Times New Roman"/>
        </w:rPr>
        <w:t>Isturisa</w:t>
      </w:r>
      <w:proofErr w:type="spellEnd"/>
      <w:r w:rsidRPr="00E01531">
        <w:rPr>
          <w:rFonts w:eastAsia="Times New Roman"/>
        </w:rPr>
        <w:t xml:space="preserve"> and for at least one week after treatment.</w:t>
      </w:r>
    </w:p>
    <w:p w14:paraId="7991E37D" w14:textId="4F0F199D" w:rsidR="00E01531" w:rsidRPr="00154505" w:rsidRDefault="00E01531" w:rsidP="00D26B54">
      <w:pPr>
        <w:rPr>
          <w:b/>
          <w:bCs/>
        </w:rPr>
      </w:pPr>
      <w:r w:rsidRPr="00154505">
        <w:rPr>
          <w:b/>
          <w:bCs/>
        </w:rPr>
        <w:t xml:space="preserve">Women of childbearing potential </w:t>
      </w:r>
    </w:p>
    <w:p w14:paraId="636E4ED6" w14:textId="29CEE5FD" w:rsidR="00E01531" w:rsidRPr="00E01531" w:rsidRDefault="00E01531" w:rsidP="00D26B54">
      <w:r w:rsidRPr="00154505">
        <w:t xml:space="preserve">Based on preclinical data, </w:t>
      </w:r>
      <w:proofErr w:type="spellStart"/>
      <w:r w:rsidRPr="00154505">
        <w:t>osilodrostat</w:t>
      </w:r>
      <w:proofErr w:type="spellEnd"/>
      <w:r w:rsidRPr="00154505">
        <w:t xml:space="preserve"> may cause </w:t>
      </w:r>
      <w:r w:rsidR="00212407" w:rsidRPr="00154505">
        <w:t>fetal</w:t>
      </w:r>
      <w:r w:rsidRPr="00154505">
        <w:t xml:space="preserve"> harm when administered to a pregnant woman. A pregnancy test before initiating treatment is recommended in women of childbearing potential. Women of childbearing potential </w:t>
      </w:r>
      <w:proofErr w:type="gramStart"/>
      <w:r w:rsidRPr="00154505">
        <w:t>have to</w:t>
      </w:r>
      <w:proofErr w:type="gramEnd"/>
      <w:r w:rsidRPr="00154505">
        <w:t xml:space="preserve"> use effective contraception during and for at least one week after treatment. If hormonal contraceptives other than the oral combination of </w:t>
      </w:r>
      <w:proofErr w:type="spellStart"/>
      <w:r w:rsidRPr="00154505">
        <w:t>ethinylestradiol</w:t>
      </w:r>
      <w:proofErr w:type="spellEnd"/>
      <w:r w:rsidRPr="00154505">
        <w:t xml:space="preserve"> and levonorgestrel are used, an additional barrier method of contraception is recommended (see section </w:t>
      </w:r>
      <w:hyperlink w:anchor="_INTERACTION_WITH_OTHER" w:history="1">
        <w:r w:rsidRPr="004E731A">
          <w:rPr>
            <w:rStyle w:val="Hyperlink"/>
          </w:rPr>
          <w:t>4.5</w:t>
        </w:r>
        <w:r w:rsidR="00D26B54" w:rsidRPr="004E731A">
          <w:rPr>
            <w:rStyle w:val="Hyperlink"/>
          </w:rPr>
          <w:t xml:space="preserve"> Interaction with other medicines and other forms of interaction</w:t>
        </w:r>
      </w:hyperlink>
      <w:r w:rsidRPr="00154505">
        <w:t>).</w:t>
      </w:r>
    </w:p>
    <w:p w14:paraId="58BB8079" w14:textId="77777777" w:rsidR="00E01531" w:rsidRPr="00EA5AD0" w:rsidRDefault="00E01531" w:rsidP="00EA5AD0">
      <w:pPr>
        <w:rPr>
          <w:b/>
          <w:bCs/>
        </w:rPr>
      </w:pPr>
    </w:p>
    <w:p w14:paraId="4BFB9690" w14:textId="0676F5BD" w:rsidR="00EA5AD0" w:rsidRPr="00154505" w:rsidRDefault="00EA5AD0" w:rsidP="0021099D">
      <w:pPr>
        <w:pStyle w:val="Heading2"/>
        <w:numPr>
          <w:ilvl w:val="1"/>
          <w:numId w:val="6"/>
        </w:numPr>
      </w:pPr>
      <w:r>
        <w:t>EFFECTS ON ABILITY TO DRIVE AND USE MACHINES</w:t>
      </w:r>
    </w:p>
    <w:p w14:paraId="314ADD03" w14:textId="7A350BC1" w:rsidR="00E01531" w:rsidRDefault="00E01531" w:rsidP="0021099D">
      <w:pPr>
        <w:rPr>
          <w:bCs/>
        </w:rPr>
      </w:pPr>
      <w:proofErr w:type="spellStart"/>
      <w:r w:rsidRPr="00E01531">
        <w:rPr>
          <w:bCs/>
        </w:rPr>
        <w:t>Isturisa</w:t>
      </w:r>
      <w:proofErr w:type="spellEnd"/>
      <w:r w:rsidRPr="00E01531">
        <w:rPr>
          <w:bCs/>
        </w:rPr>
        <w:t xml:space="preserve"> may have a minor influence on the ability to drive and use machines. Patients should be warned about the potential for dizziness and fatigue (see section </w:t>
      </w:r>
      <w:hyperlink w:anchor="_ADVERSE_EFFECTS_(UNDESIRABLE" w:history="1">
        <w:r w:rsidRPr="004E731A">
          <w:rPr>
            <w:rStyle w:val="Hyperlink"/>
            <w:bCs/>
          </w:rPr>
          <w:t>4.8</w:t>
        </w:r>
        <w:r w:rsidR="004C3917" w:rsidRPr="004E731A">
          <w:rPr>
            <w:rStyle w:val="Hyperlink"/>
            <w:bCs/>
          </w:rPr>
          <w:t xml:space="preserve"> Adverse effects (undesirable effects)</w:t>
        </w:r>
      </w:hyperlink>
      <w:r w:rsidRPr="00E01531">
        <w:rPr>
          <w:bCs/>
        </w:rPr>
        <w:t>) and should be advised not to drive or use machines if these symptoms occur.</w:t>
      </w:r>
    </w:p>
    <w:p w14:paraId="3265EBDA" w14:textId="77777777" w:rsidR="002B2A6C" w:rsidRPr="00E01531" w:rsidRDefault="002B2A6C" w:rsidP="0021099D">
      <w:pPr>
        <w:rPr>
          <w:bCs/>
        </w:rPr>
      </w:pPr>
    </w:p>
    <w:p w14:paraId="0AE05892" w14:textId="77777777" w:rsidR="00EA6A6B" w:rsidRPr="003E4C4B" w:rsidRDefault="00EA5AD0" w:rsidP="00EA6A6B">
      <w:pPr>
        <w:pStyle w:val="Heading2"/>
        <w:numPr>
          <w:ilvl w:val="1"/>
          <w:numId w:val="6"/>
        </w:numPr>
      </w:pPr>
      <w:bookmarkStart w:id="7" w:name="_ADVERSE_EFFECTS_(UNDESIRABLE"/>
      <w:bookmarkEnd w:id="7"/>
      <w:r>
        <w:t>ADVERSE EFFECTS (UNDESIRABLE EFFECTS)</w:t>
      </w:r>
    </w:p>
    <w:p w14:paraId="70F5881B" w14:textId="77777777" w:rsidR="00E01531" w:rsidRPr="00154505" w:rsidRDefault="00E01531" w:rsidP="00154505">
      <w:pPr>
        <w:rPr>
          <w:b/>
          <w:bCs/>
        </w:rPr>
      </w:pPr>
      <w:r w:rsidRPr="00154505">
        <w:rPr>
          <w:b/>
          <w:bCs/>
        </w:rPr>
        <w:t xml:space="preserve">Summary of the safety profile </w:t>
      </w:r>
    </w:p>
    <w:p w14:paraId="62599553" w14:textId="396EDA50" w:rsidR="00E01531" w:rsidRPr="00E01531" w:rsidRDefault="00E01531" w:rsidP="00154505">
      <w:pPr>
        <w:rPr>
          <w:bCs/>
        </w:rPr>
      </w:pPr>
      <w:r w:rsidRPr="00E01531">
        <w:rPr>
          <w:bCs/>
        </w:rPr>
        <w:t xml:space="preserve">The most frequent adverse reactions reported in the pivotal phase III study with </w:t>
      </w:r>
      <w:proofErr w:type="spellStart"/>
      <w:r w:rsidRPr="00E01531">
        <w:rPr>
          <w:bCs/>
        </w:rPr>
        <w:t>osilodrostat</w:t>
      </w:r>
      <w:proofErr w:type="spellEnd"/>
      <w:r w:rsidRPr="00E01531">
        <w:rPr>
          <w:bCs/>
        </w:rPr>
        <w:t xml:space="preserve"> were adrenal insufficiency (51%), fatigue (44%), oedema (21%), vomiting (22%), nausea (42%) and headache (34%). </w:t>
      </w:r>
    </w:p>
    <w:p w14:paraId="3B447BCC" w14:textId="6C32237D" w:rsidR="00E01531" w:rsidRPr="00E01531" w:rsidRDefault="00E01531" w:rsidP="00154505">
      <w:pPr>
        <w:rPr>
          <w:bCs/>
        </w:rPr>
      </w:pPr>
      <w:r w:rsidRPr="00E01531">
        <w:rPr>
          <w:bCs/>
        </w:rPr>
        <w:t xml:space="preserve">The most serious adverse reaction associated with the use of </w:t>
      </w:r>
      <w:proofErr w:type="spellStart"/>
      <w:r w:rsidRPr="00E01531">
        <w:rPr>
          <w:bCs/>
        </w:rPr>
        <w:t>osilodrostat</w:t>
      </w:r>
      <w:proofErr w:type="spellEnd"/>
      <w:r w:rsidRPr="00E01531">
        <w:rPr>
          <w:bCs/>
        </w:rPr>
        <w:t xml:space="preserve"> is adrenal insufficiency (see also sections </w:t>
      </w:r>
      <w:hyperlink w:anchor="_DOSE_AND_METHOD" w:history="1">
        <w:r w:rsidRPr="004E731A">
          <w:rPr>
            <w:rStyle w:val="Hyperlink"/>
            <w:bCs/>
          </w:rPr>
          <w:t xml:space="preserve">4.2 </w:t>
        </w:r>
        <w:r w:rsidR="004C3917" w:rsidRPr="004E731A">
          <w:rPr>
            <w:rStyle w:val="Hyperlink"/>
            <w:bCs/>
          </w:rPr>
          <w:t>Dose and method of administration</w:t>
        </w:r>
      </w:hyperlink>
      <w:r w:rsidR="004C3917">
        <w:rPr>
          <w:bCs/>
        </w:rPr>
        <w:t xml:space="preserve"> </w:t>
      </w:r>
      <w:r w:rsidRPr="00E01531">
        <w:rPr>
          <w:bCs/>
        </w:rPr>
        <w:t xml:space="preserve">and </w:t>
      </w:r>
      <w:hyperlink w:anchor="_SPECIAL_WARNINGS_AND" w:history="1">
        <w:r w:rsidRPr="004E731A">
          <w:rPr>
            <w:rStyle w:val="Hyperlink"/>
            <w:bCs/>
          </w:rPr>
          <w:t>4.4</w:t>
        </w:r>
        <w:r w:rsidR="004C3917" w:rsidRPr="004E731A">
          <w:rPr>
            <w:rStyle w:val="Hyperlink"/>
            <w:bCs/>
          </w:rPr>
          <w:t xml:space="preserve"> Special warnings and precautions for use</w:t>
        </w:r>
      </w:hyperlink>
      <w:r w:rsidRPr="00E01531">
        <w:rPr>
          <w:bCs/>
        </w:rPr>
        <w:t xml:space="preserve">). </w:t>
      </w:r>
    </w:p>
    <w:p w14:paraId="53A7E5F5" w14:textId="1CE71A70" w:rsidR="00897C94" w:rsidRPr="00154505" w:rsidRDefault="00897C94" w:rsidP="00893B33">
      <w:pPr>
        <w:pageBreakBefore/>
        <w:rPr>
          <w:b/>
          <w:bCs/>
        </w:rPr>
      </w:pPr>
      <w:r w:rsidRPr="00154505">
        <w:rPr>
          <w:b/>
          <w:bCs/>
        </w:rPr>
        <w:lastRenderedPageBreak/>
        <w:t xml:space="preserve">Tabulated list of adverse reactions </w:t>
      </w:r>
    </w:p>
    <w:p w14:paraId="0BB19E0B" w14:textId="50729199" w:rsidR="00E01531" w:rsidRDefault="00897C94" w:rsidP="00154505">
      <w:pPr>
        <w:rPr>
          <w:bCs/>
        </w:rPr>
      </w:pPr>
      <w:r w:rsidRPr="00897C94">
        <w:rPr>
          <w:bCs/>
        </w:rPr>
        <w:t>Adverse drug reactions (Table 1) are listed by MedDRA system organ class. Within each system organ class, the adverse drug reactions are ranked by frequency, with the most frequent reactions first. Within each frequency grouping, adverse drug reactions are</w:t>
      </w:r>
      <w:r w:rsidRPr="00897C94">
        <w:rPr>
          <w:rFonts w:hint="eastAsia"/>
          <w:bCs/>
        </w:rPr>
        <w:t xml:space="preserve"> presented in order of decreasing seriousness. In addition, the corresponding frequency category for each adverse drug reaction is based on the following convention (CIOMS III): very common (</w:t>
      </w:r>
      <w:r w:rsidRPr="00897C94">
        <w:rPr>
          <w:rFonts w:hint="eastAsia"/>
          <w:bCs/>
        </w:rPr>
        <w:t>≥</w:t>
      </w:r>
      <w:r w:rsidRPr="00897C94">
        <w:rPr>
          <w:rFonts w:hint="eastAsia"/>
          <w:bCs/>
        </w:rPr>
        <w:t>1/10); common (</w:t>
      </w:r>
      <w:r w:rsidRPr="00897C94">
        <w:rPr>
          <w:rFonts w:hint="eastAsia"/>
          <w:bCs/>
        </w:rPr>
        <w:t>≥</w:t>
      </w:r>
      <w:r w:rsidRPr="00897C94">
        <w:rPr>
          <w:rFonts w:hint="eastAsia"/>
          <w:bCs/>
        </w:rPr>
        <w:t>1/100 to &lt;1/10); uncommon (</w:t>
      </w:r>
      <w:r w:rsidRPr="00897C94">
        <w:rPr>
          <w:rFonts w:hint="eastAsia"/>
          <w:bCs/>
        </w:rPr>
        <w:t>≥</w:t>
      </w:r>
      <w:r w:rsidRPr="00897C94">
        <w:rPr>
          <w:rFonts w:hint="eastAsia"/>
          <w:bCs/>
        </w:rPr>
        <w:t>1/1,000 to &lt;1/100); rare (</w:t>
      </w:r>
      <w:r w:rsidRPr="00897C94">
        <w:rPr>
          <w:rFonts w:hint="eastAsia"/>
          <w:bCs/>
        </w:rPr>
        <w:t>≥</w:t>
      </w:r>
      <w:r w:rsidRPr="00897C94">
        <w:rPr>
          <w:rFonts w:hint="eastAsia"/>
          <w:bCs/>
        </w:rPr>
        <w:t>1/10,000 to &lt;1/1,000); very rare (&lt;1/10,000).</w:t>
      </w:r>
    </w:p>
    <w:p w14:paraId="56487000" w14:textId="5F147F10" w:rsidR="009E329A" w:rsidRPr="00154505" w:rsidRDefault="00154505" w:rsidP="00897C94">
      <w:pPr>
        <w:snapToGrid w:val="0"/>
        <w:spacing w:before="199"/>
        <w:rPr>
          <w:rFonts w:eastAsia="Times New Roman"/>
          <w:b/>
          <w:sz w:val="22"/>
          <w:szCs w:val="22"/>
        </w:rPr>
      </w:pPr>
      <w:r w:rsidRPr="00154505">
        <w:rPr>
          <w:rFonts w:eastAsia="Times New Roman"/>
          <w:b/>
          <w:sz w:val="22"/>
          <w:szCs w:val="22"/>
        </w:rPr>
        <w:t>Table 1 Adverse drug reactions</w:t>
      </w:r>
    </w:p>
    <w:tbl>
      <w:tblPr>
        <w:tblStyle w:val="TableGrid"/>
        <w:tblW w:w="0" w:type="auto"/>
        <w:tblLook w:val="04A0" w:firstRow="1" w:lastRow="0" w:firstColumn="1" w:lastColumn="0" w:noHBand="0" w:noVBand="1"/>
      </w:tblPr>
      <w:tblGrid>
        <w:gridCol w:w="3005"/>
        <w:gridCol w:w="3005"/>
        <w:gridCol w:w="3006"/>
      </w:tblGrid>
      <w:tr w:rsidR="00897C94" w14:paraId="33C9F680" w14:textId="77777777" w:rsidTr="00897C94">
        <w:tc>
          <w:tcPr>
            <w:tcW w:w="3005" w:type="dxa"/>
          </w:tcPr>
          <w:p w14:paraId="695C0E4E" w14:textId="4060FD94" w:rsidR="00897C94" w:rsidRPr="00154505" w:rsidRDefault="00897C94" w:rsidP="00897C94">
            <w:pPr>
              <w:snapToGrid w:val="0"/>
              <w:spacing w:before="199"/>
              <w:rPr>
                <w:rFonts w:eastAsia="Times New Roman"/>
                <w:b/>
                <w:sz w:val="22"/>
                <w:szCs w:val="22"/>
              </w:rPr>
            </w:pPr>
            <w:r w:rsidRPr="00154505">
              <w:rPr>
                <w:rFonts w:eastAsia="Times New Roman"/>
                <w:b/>
                <w:sz w:val="22"/>
                <w:szCs w:val="22"/>
              </w:rPr>
              <w:t>System organ class</w:t>
            </w:r>
          </w:p>
        </w:tc>
        <w:tc>
          <w:tcPr>
            <w:tcW w:w="3005" w:type="dxa"/>
          </w:tcPr>
          <w:p w14:paraId="0B9DBAB4" w14:textId="6EEE50B0" w:rsidR="00897C94" w:rsidRPr="00154505" w:rsidRDefault="00897C94" w:rsidP="00897C94">
            <w:pPr>
              <w:snapToGrid w:val="0"/>
              <w:spacing w:before="199"/>
              <w:rPr>
                <w:rFonts w:eastAsia="Times New Roman"/>
                <w:b/>
                <w:sz w:val="22"/>
                <w:szCs w:val="22"/>
              </w:rPr>
            </w:pPr>
            <w:r w:rsidRPr="00154505">
              <w:rPr>
                <w:rFonts w:eastAsia="Times New Roman"/>
                <w:b/>
                <w:sz w:val="22"/>
                <w:szCs w:val="22"/>
              </w:rPr>
              <w:t>Frequency category</w:t>
            </w:r>
          </w:p>
        </w:tc>
        <w:tc>
          <w:tcPr>
            <w:tcW w:w="3006" w:type="dxa"/>
          </w:tcPr>
          <w:p w14:paraId="3D10423D" w14:textId="21B1B7B5" w:rsidR="00897C94" w:rsidRPr="00154505" w:rsidRDefault="00897C94" w:rsidP="00897C94">
            <w:pPr>
              <w:snapToGrid w:val="0"/>
              <w:spacing w:before="199"/>
              <w:rPr>
                <w:rFonts w:eastAsia="Times New Roman"/>
                <w:b/>
                <w:sz w:val="22"/>
                <w:szCs w:val="22"/>
              </w:rPr>
            </w:pPr>
            <w:r w:rsidRPr="00154505">
              <w:rPr>
                <w:rFonts w:eastAsia="Times New Roman"/>
                <w:b/>
                <w:sz w:val="22"/>
                <w:szCs w:val="22"/>
              </w:rPr>
              <w:t>Preferred term*</w:t>
            </w:r>
          </w:p>
        </w:tc>
      </w:tr>
      <w:tr w:rsidR="00897C94" w14:paraId="266EF352" w14:textId="77777777" w:rsidTr="00897C94">
        <w:tc>
          <w:tcPr>
            <w:tcW w:w="3005" w:type="dxa"/>
          </w:tcPr>
          <w:p w14:paraId="66026C42" w14:textId="714FB93F" w:rsidR="00897C94" w:rsidRDefault="00897C94" w:rsidP="00897C94">
            <w:pPr>
              <w:snapToGrid w:val="0"/>
              <w:spacing w:before="199"/>
              <w:rPr>
                <w:rFonts w:eastAsia="Times New Roman"/>
                <w:bCs/>
                <w:sz w:val="22"/>
                <w:szCs w:val="22"/>
              </w:rPr>
            </w:pPr>
            <w:r w:rsidRPr="00897C94">
              <w:rPr>
                <w:rFonts w:eastAsia="Times New Roman"/>
                <w:bCs/>
                <w:sz w:val="22"/>
                <w:szCs w:val="22"/>
              </w:rPr>
              <w:t>Endocrine disorders</w:t>
            </w:r>
          </w:p>
        </w:tc>
        <w:tc>
          <w:tcPr>
            <w:tcW w:w="3005" w:type="dxa"/>
          </w:tcPr>
          <w:p w14:paraId="05FFFF10" w14:textId="6833727B" w:rsidR="00897C94" w:rsidRDefault="00897C94" w:rsidP="00897C94">
            <w:pPr>
              <w:snapToGrid w:val="0"/>
              <w:spacing w:before="199"/>
              <w:rPr>
                <w:rFonts w:eastAsia="Times New Roman"/>
                <w:bCs/>
                <w:sz w:val="22"/>
                <w:szCs w:val="22"/>
              </w:rPr>
            </w:pPr>
            <w:r w:rsidRPr="007E4EAC">
              <w:t xml:space="preserve">Very common </w:t>
            </w:r>
          </w:p>
        </w:tc>
        <w:tc>
          <w:tcPr>
            <w:tcW w:w="3006" w:type="dxa"/>
          </w:tcPr>
          <w:p w14:paraId="48E8CF8B" w14:textId="2FAE6557" w:rsidR="00897C94" w:rsidRDefault="009E329A" w:rsidP="00897C94">
            <w:pPr>
              <w:snapToGrid w:val="0"/>
              <w:spacing w:before="199"/>
              <w:rPr>
                <w:rFonts w:eastAsia="Times New Roman"/>
                <w:bCs/>
                <w:sz w:val="22"/>
                <w:szCs w:val="22"/>
              </w:rPr>
            </w:pPr>
            <w:r w:rsidRPr="009E329A">
              <w:rPr>
                <w:rFonts w:eastAsia="Times New Roman"/>
                <w:bCs/>
                <w:sz w:val="22"/>
                <w:szCs w:val="22"/>
              </w:rPr>
              <w:t>Adrenal insufficiency</w:t>
            </w:r>
          </w:p>
        </w:tc>
      </w:tr>
      <w:tr w:rsidR="00897C94" w14:paraId="3A0DC878" w14:textId="77777777" w:rsidTr="00897C94">
        <w:tc>
          <w:tcPr>
            <w:tcW w:w="3005" w:type="dxa"/>
          </w:tcPr>
          <w:p w14:paraId="097952E1" w14:textId="0B0C8306" w:rsidR="00897C94" w:rsidRDefault="00897C94" w:rsidP="00897C94">
            <w:pPr>
              <w:snapToGrid w:val="0"/>
              <w:spacing w:before="199"/>
              <w:rPr>
                <w:rFonts w:eastAsia="Times New Roman"/>
                <w:bCs/>
                <w:sz w:val="22"/>
                <w:szCs w:val="22"/>
              </w:rPr>
            </w:pPr>
            <w:r w:rsidRPr="00897C94">
              <w:rPr>
                <w:rFonts w:eastAsia="Times New Roman"/>
                <w:bCs/>
                <w:sz w:val="22"/>
                <w:szCs w:val="22"/>
              </w:rPr>
              <w:t>Metabolism and nutrition disorders</w:t>
            </w:r>
          </w:p>
        </w:tc>
        <w:tc>
          <w:tcPr>
            <w:tcW w:w="3005" w:type="dxa"/>
          </w:tcPr>
          <w:p w14:paraId="0E6D3D29" w14:textId="18BBB692" w:rsidR="00897C94" w:rsidRDefault="00897C94" w:rsidP="00897C94">
            <w:pPr>
              <w:snapToGrid w:val="0"/>
              <w:spacing w:before="199"/>
              <w:rPr>
                <w:rFonts w:eastAsia="Times New Roman"/>
                <w:bCs/>
                <w:sz w:val="22"/>
                <w:szCs w:val="22"/>
              </w:rPr>
            </w:pPr>
            <w:r w:rsidRPr="007E4EAC">
              <w:t xml:space="preserve">Very common </w:t>
            </w:r>
          </w:p>
        </w:tc>
        <w:tc>
          <w:tcPr>
            <w:tcW w:w="3006" w:type="dxa"/>
          </w:tcPr>
          <w:p w14:paraId="0FD002F2" w14:textId="60F9441E" w:rsidR="00897C94" w:rsidRDefault="009E329A" w:rsidP="00897C94">
            <w:pPr>
              <w:snapToGrid w:val="0"/>
              <w:spacing w:before="199"/>
              <w:rPr>
                <w:rFonts w:eastAsia="Times New Roman"/>
                <w:bCs/>
                <w:sz w:val="22"/>
                <w:szCs w:val="22"/>
              </w:rPr>
            </w:pPr>
            <w:proofErr w:type="spellStart"/>
            <w:r w:rsidRPr="009E329A">
              <w:rPr>
                <w:rFonts w:eastAsia="Times New Roman"/>
                <w:bCs/>
                <w:sz w:val="22"/>
                <w:szCs w:val="22"/>
              </w:rPr>
              <w:t>Hypokalaemia</w:t>
            </w:r>
            <w:proofErr w:type="spellEnd"/>
            <w:r w:rsidRPr="009E329A">
              <w:rPr>
                <w:rFonts w:eastAsia="Times New Roman"/>
                <w:bCs/>
                <w:sz w:val="22"/>
                <w:szCs w:val="22"/>
              </w:rPr>
              <w:t>, decreased appetite</w:t>
            </w:r>
          </w:p>
        </w:tc>
      </w:tr>
      <w:tr w:rsidR="00897C94" w14:paraId="3FE47AFE" w14:textId="77777777" w:rsidTr="00897C94">
        <w:trPr>
          <w:trHeight w:val="225"/>
        </w:trPr>
        <w:tc>
          <w:tcPr>
            <w:tcW w:w="3005" w:type="dxa"/>
            <w:vMerge w:val="restart"/>
          </w:tcPr>
          <w:p w14:paraId="3DD0732B" w14:textId="712E33FD" w:rsidR="00897C94" w:rsidRDefault="00897C94" w:rsidP="00897C94">
            <w:pPr>
              <w:snapToGrid w:val="0"/>
              <w:spacing w:before="199"/>
              <w:rPr>
                <w:rFonts w:eastAsia="Times New Roman"/>
                <w:bCs/>
                <w:sz w:val="22"/>
                <w:szCs w:val="22"/>
              </w:rPr>
            </w:pPr>
            <w:r w:rsidRPr="00897C94">
              <w:rPr>
                <w:rFonts w:eastAsia="Times New Roman"/>
                <w:bCs/>
                <w:sz w:val="22"/>
                <w:szCs w:val="22"/>
              </w:rPr>
              <w:t>Nervous system disorders</w:t>
            </w:r>
          </w:p>
        </w:tc>
        <w:tc>
          <w:tcPr>
            <w:tcW w:w="3005" w:type="dxa"/>
          </w:tcPr>
          <w:p w14:paraId="00DF0EB8" w14:textId="7457C95D" w:rsidR="00897C94" w:rsidRDefault="00897C94" w:rsidP="00897C94">
            <w:pPr>
              <w:snapToGrid w:val="0"/>
              <w:spacing w:before="199"/>
              <w:rPr>
                <w:rFonts w:eastAsia="Times New Roman"/>
                <w:bCs/>
                <w:sz w:val="22"/>
                <w:szCs w:val="22"/>
              </w:rPr>
            </w:pPr>
            <w:r w:rsidRPr="007E4EAC">
              <w:t xml:space="preserve">Very common </w:t>
            </w:r>
          </w:p>
        </w:tc>
        <w:tc>
          <w:tcPr>
            <w:tcW w:w="3006" w:type="dxa"/>
          </w:tcPr>
          <w:p w14:paraId="08445102" w14:textId="753760AB" w:rsidR="00897C94" w:rsidRDefault="009E329A" w:rsidP="009E329A">
            <w:pPr>
              <w:tabs>
                <w:tab w:val="left" w:pos="2060"/>
              </w:tabs>
              <w:snapToGrid w:val="0"/>
              <w:spacing w:before="199"/>
              <w:rPr>
                <w:rFonts w:eastAsia="Times New Roman"/>
                <w:bCs/>
                <w:sz w:val="22"/>
                <w:szCs w:val="22"/>
              </w:rPr>
            </w:pPr>
            <w:r w:rsidRPr="009E329A">
              <w:rPr>
                <w:rFonts w:eastAsia="Times New Roman"/>
                <w:bCs/>
                <w:sz w:val="22"/>
                <w:szCs w:val="22"/>
              </w:rPr>
              <w:t>Dizziness, headache</w:t>
            </w:r>
          </w:p>
        </w:tc>
      </w:tr>
      <w:tr w:rsidR="00897C94" w14:paraId="114BD6B1" w14:textId="77777777" w:rsidTr="00897C94">
        <w:trPr>
          <w:trHeight w:val="225"/>
        </w:trPr>
        <w:tc>
          <w:tcPr>
            <w:tcW w:w="3005" w:type="dxa"/>
            <w:vMerge/>
          </w:tcPr>
          <w:p w14:paraId="2B2729E6" w14:textId="77777777" w:rsidR="00897C94" w:rsidRPr="00897C94" w:rsidRDefault="00897C94" w:rsidP="00897C94">
            <w:pPr>
              <w:snapToGrid w:val="0"/>
              <w:spacing w:before="199"/>
              <w:rPr>
                <w:rFonts w:eastAsia="Times New Roman"/>
                <w:bCs/>
                <w:sz w:val="22"/>
                <w:szCs w:val="22"/>
              </w:rPr>
            </w:pPr>
          </w:p>
        </w:tc>
        <w:tc>
          <w:tcPr>
            <w:tcW w:w="3005" w:type="dxa"/>
          </w:tcPr>
          <w:p w14:paraId="187F2FE1" w14:textId="6884B4F4" w:rsidR="00897C94" w:rsidRPr="007E4EAC" w:rsidRDefault="00897C94" w:rsidP="00897C94">
            <w:pPr>
              <w:snapToGrid w:val="0"/>
              <w:spacing w:before="199"/>
            </w:pPr>
            <w:r w:rsidRPr="00897C94">
              <w:t>Common</w:t>
            </w:r>
          </w:p>
        </w:tc>
        <w:tc>
          <w:tcPr>
            <w:tcW w:w="3006" w:type="dxa"/>
          </w:tcPr>
          <w:p w14:paraId="625C7D9D" w14:textId="149B1E5B" w:rsidR="00897C94" w:rsidRDefault="009E329A" w:rsidP="00897C94">
            <w:pPr>
              <w:snapToGrid w:val="0"/>
              <w:spacing w:before="199"/>
              <w:rPr>
                <w:rFonts w:eastAsia="Times New Roman"/>
                <w:bCs/>
                <w:sz w:val="22"/>
                <w:szCs w:val="22"/>
              </w:rPr>
            </w:pPr>
            <w:r w:rsidRPr="009E329A">
              <w:rPr>
                <w:rFonts w:eastAsia="Times New Roman"/>
                <w:bCs/>
                <w:sz w:val="22"/>
                <w:szCs w:val="22"/>
              </w:rPr>
              <w:t>Syncope</w:t>
            </w:r>
          </w:p>
        </w:tc>
      </w:tr>
      <w:tr w:rsidR="00897C94" w14:paraId="18FB103A" w14:textId="77777777" w:rsidTr="00897C94">
        <w:tc>
          <w:tcPr>
            <w:tcW w:w="3005" w:type="dxa"/>
          </w:tcPr>
          <w:p w14:paraId="3B4F2945" w14:textId="67126F4D" w:rsidR="00897C94" w:rsidRDefault="00897C94" w:rsidP="00897C94">
            <w:pPr>
              <w:snapToGrid w:val="0"/>
              <w:spacing w:before="199"/>
              <w:rPr>
                <w:rFonts w:eastAsia="Times New Roman"/>
                <w:bCs/>
                <w:sz w:val="22"/>
                <w:szCs w:val="22"/>
              </w:rPr>
            </w:pPr>
            <w:r w:rsidRPr="00897C94">
              <w:rPr>
                <w:rFonts w:eastAsia="Times New Roman"/>
                <w:bCs/>
                <w:sz w:val="22"/>
                <w:szCs w:val="22"/>
              </w:rPr>
              <w:t>Cardiac disorders</w:t>
            </w:r>
          </w:p>
        </w:tc>
        <w:tc>
          <w:tcPr>
            <w:tcW w:w="3005" w:type="dxa"/>
          </w:tcPr>
          <w:p w14:paraId="66EF06B1" w14:textId="0893FDD4" w:rsidR="00897C94" w:rsidRDefault="00897C94" w:rsidP="00897C94">
            <w:pPr>
              <w:snapToGrid w:val="0"/>
              <w:spacing w:before="199"/>
              <w:rPr>
                <w:rFonts w:eastAsia="Times New Roman"/>
                <w:bCs/>
                <w:sz w:val="22"/>
                <w:szCs w:val="22"/>
              </w:rPr>
            </w:pPr>
            <w:r w:rsidRPr="00897C94">
              <w:rPr>
                <w:rFonts w:eastAsia="Times New Roman"/>
                <w:bCs/>
                <w:sz w:val="22"/>
                <w:szCs w:val="22"/>
              </w:rPr>
              <w:t>Common</w:t>
            </w:r>
          </w:p>
        </w:tc>
        <w:tc>
          <w:tcPr>
            <w:tcW w:w="3006" w:type="dxa"/>
          </w:tcPr>
          <w:p w14:paraId="7AE0B134" w14:textId="57B4EBEF" w:rsidR="00897C94" w:rsidRDefault="009E329A" w:rsidP="00897C94">
            <w:pPr>
              <w:snapToGrid w:val="0"/>
              <w:spacing w:before="199"/>
              <w:rPr>
                <w:rFonts w:eastAsia="Times New Roman"/>
                <w:bCs/>
                <w:sz w:val="22"/>
                <w:szCs w:val="22"/>
              </w:rPr>
            </w:pPr>
            <w:r w:rsidRPr="009E329A">
              <w:rPr>
                <w:rFonts w:eastAsia="Times New Roman"/>
                <w:bCs/>
                <w:sz w:val="22"/>
                <w:szCs w:val="22"/>
              </w:rPr>
              <w:t>Tachycardia</w:t>
            </w:r>
          </w:p>
        </w:tc>
      </w:tr>
      <w:tr w:rsidR="00897C94" w14:paraId="29AAACB2" w14:textId="77777777" w:rsidTr="00897C94">
        <w:tc>
          <w:tcPr>
            <w:tcW w:w="3005" w:type="dxa"/>
          </w:tcPr>
          <w:p w14:paraId="72AA501E" w14:textId="3BCC2ACA" w:rsidR="00897C94" w:rsidRDefault="00897C94" w:rsidP="00897C94">
            <w:pPr>
              <w:snapToGrid w:val="0"/>
              <w:spacing w:before="199"/>
              <w:rPr>
                <w:rFonts w:eastAsia="Times New Roman"/>
                <w:bCs/>
                <w:sz w:val="22"/>
                <w:szCs w:val="22"/>
              </w:rPr>
            </w:pPr>
            <w:r w:rsidRPr="00897C94">
              <w:rPr>
                <w:rFonts w:eastAsia="Times New Roman"/>
                <w:bCs/>
                <w:sz w:val="22"/>
                <w:szCs w:val="22"/>
              </w:rPr>
              <w:t>Vascular disorders</w:t>
            </w:r>
          </w:p>
        </w:tc>
        <w:tc>
          <w:tcPr>
            <w:tcW w:w="3005" w:type="dxa"/>
          </w:tcPr>
          <w:p w14:paraId="0AD080F1" w14:textId="6B10728E" w:rsidR="00897C94" w:rsidRDefault="00897C94" w:rsidP="00897C94">
            <w:pPr>
              <w:snapToGrid w:val="0"/>
              <w:spacing w:before="199"/>
              <w:rPr>
                <w:rFonts w:eastAsia="Times New Roman"/>
                <w:bCs/>
                <w:sz w:val="22"/>
                <w:szCs w:val="22"/>
              </w:rPr>
            </w:pPr>
            <w:r w:rsidRPr="007E4EAC">
              <w:t>Very common</w:t>
            </w:r>
          </w:p>
        </w:tc>
        <w:tc>
          <w:tcPr>
            <w:tcW w:w="3006" w:type="dxa"/>
          </w:tcPr>
          <w:p w14:paraId="7BEF62B5" w14:textId="66B8860B" w:rsidR="00897C94" w:rsidRDefault="009E329A" w:rsidP="00897C94">
            <w:pPr>
              <w:snapToGrid w:val="0"/>
              <w:spacing w:before="199"/>
              <w:rPr>
                <w:rFonts w:eastAsia="Times New Roman"/>
                <w:bCs/>
                <w:sz w:val="22"/>
                <w:szCs w:val="22"/>
              </w:rPr>
            </w:pPr>
            <w:r w:rsidRPr="009E329A">
              <w:rPr>
                <w:rFonts w:eastAsia="Times New Roman"/>
                <w:bCs/>
                <w:sz w:val="22"/>
                <w:szCs w:val="22"/>
              </w:rPr>
              <w:t>Hypotension</w:t>
            </w:r>
          </w:p>
        </w:tc>
      </w:tr>
      <w:tr w:rsidR="00897C94" w14:paraId="780B6ACF" w14:textId="77777777" w:rsidTr="00897C94">
        <w:tc>
          <w:tcPr>
            <w:tcW w:w="3005" w:type="dxa"/>
          </w:tcPr>
          <w:p w14:paraId="13AFF4B8" w14:textId="2D5C4B70" w:rsidR="00897C94" w:rsidRDefault="00897C94" w:rsidP="00897C94">
            <w:pPr>
              <w:snapToGrid w:val="0"/>
              <w:spacing w:before="199"/>
              <w:rPr>
                <w:rFonts w:eastAsia="Times New Roman"/>
                <w:bCs/>
                <w:sz w:val="22"/>
                <w:szCs w:val="22"/>
              </w:rPr>
            </w:pPr>
            <w:r w:rsidRPr="00897C94">
              <w:rPr>
                <w:rFonts w:eastAsia="Times New Roman"/>
                <w:bCs/>
                <w:sz w:val="22"/>
                <w:szCs w:val="22"/>
              </w:rPr>
              <w:t>Gastrointestinal disorders</w:t>
            </w:r>
          </w:p>
        </w:tc>
        <w:tc>
          <w:tcPr>
            <w:tcW w:w="3005" w:type="dxa"/>
          </w:tcPr>
          <w:p w14:paraId="604BF854" w14:textId="7107A9C5" w:rsidR="00897C94" w:rsidRDefault="00897C94" w:rsidP="00897C94">
            <w:pPr>
              <w:snapToGrid w:val="0"/>
              <w:spacing w:before="199"/>
              <w:rPr>
                <w:rFonts w:eastAsia="Times New Roman"/>
                <w:bCs/>
                <w:sz w:val="22"/>
                <w:szCs w:val="22"/>
              </w:rPr>
            </w:pPr>
            <w:r w:rsidRPr="007E4EAC">
              <w:t>Very common</w:t>
            </w:r>
          </w:p>
        </w:tc>
        <w:tc>
          <w:tcPr>
            <w:tcW w:w="3006" w:type="dxa"/>
          </w:tcPr>
          <w:p w14:paraId="5D82A547" w14:textId="6D952600" w:rsidR="00897C94" w:rsidRDefault="009E329A" w:rsidP="00897C94">
            <w:pPr>
              <w:snapToGrid w:val="0"/>
              <w:spacing w:before="199"/>
              <w:rPr>
                <w:rFonts w:eastAsia="Times New Roman"/>
                <w:bCs/>
                <w:sz w:val="22"/>
                <w:szCs w:val="22"/>
              </w:rPr>
            </w:pPr>
            <w:r>
              <w:rPr>
                <w:rFonts w:eastAsia="Times New Roman"/>
                <w:bCs/>
                <w:sz w:val="22"/>
                <w:szCs w:val="22"/>
              </w:rPr>
              <w:t xml:space="preserve">Vomiting, nausea, </w:t>
            </w:r>
            <w:proofErr w:type="spellStart"/>
            <w:r>
              <w:rPr>
                <w:rFonts w:eastAsia="Times New Roman"/>
                <w:bCs/>
                <w:sz w:val="22"/>
                <w:szCs w:val="22"/>
              </w:rPr>
              <w:t>diarrhoea</w:t>
            </w:r>
            <w:proofErr w:type="spellEnd"/>
            <w:r>
              <w:rPr>
                <w:rFonts w:eastAsia="Times New Roman"/>
                <w:bCs/>
                <w:sz w:val="22"/>
                <w:szCs w:val="22"/>
              </w:rPr>
              <w:t xml:space="preserve">, abdominal pain </w:t>
            </w:r>
          </w:p>
        </w:tc>
      </w:tr>
      <w:tr w:rsidR="00897C94" w14:paraId="2CA85107" w14:textId="77777777" w:rsidTr="00897C94">
        <w:trPr>
          <w:trHeight w:val="350"/>
        </w:trPr>
        <w:tc>
          <w:tcPr>
            <w:tcW w:w="3005" w:type="dxa"/>
            <w:vMerge w:val="restart"/>
          </w:tcPr>
          <w:p w14:paraId="690D751E" w14:textId="60DF98E0" w:rsidR="00897C94" w:rsidRDefault="00897C94" w:rsidP="00897C94">
            <w:pPr>
              <w:snapToGrid w:val="0"/>
              <w:spacing w:before="199"/>
              <w:rPr>
                <w:rFonts w:eastAsia="Times New Roman"/>
                <w:bCs/>
                <w:sz w:val="22"/>
                <w:szCs w:val="22"/>
              </w:rPr>
            </w:pPr>
            <w:r w:rsidRPr="00897C94">
              <w:rPr>
                <w:rFonts w:eastAsia="Times New Roman"/>
                <w:bCs/>
                <w:sz w:val="22"/>
                <w:szCs w:val="22"/>
              </w:rPr>
              <w:t>Skin and subcutaneous tissue disorders</w:t>
            </w:r>
          </w:p>
        </w:tc>
        <w:tc>
          <w:tcPr>
            <w:tcW w:w="3005" w:type="dxa"/>
          </w:tcPr>
          <w:p w14:paraId="4452EBB8" w14:textId="4809C0FC" w:rsidR="00897C94" w:rsidRDefault="00897C94" w:rsidP="00897C94">
            <w:pPr>
              <w:snapToGrid w:val="0"/>
              <w:spacing w:before="199"/>
              <w:rPr>
                <w:rFonts w:eastAsia="Times New Roman"/>
                <w:bCs/>
                <w:sz w:val="22"/>
                <w:szCs w:val="22"/>
              </w:rPr>
            </w:pPr>
            <w:r w:rsidRPr="007E4EAC">
              <w:t>Very common</w:t>
            </w:r>
          </w:p>
        </w:tc>
        <w:tc>
          <w:tcPr>
            <w:tcW w:w="3006" w:type="dxa"/>
          </w:tcPr>
          <w:p w14:paraId="3C29DA4B" w14:textId="3DFA701A" w:rsidR="00897C94" w:rsidRDefault="009E329A" w:rsidP="00897C94">
            <w:pPr>
              <w:snapToGrid w:val="0"/>
              <w:spacing w:before="199"/>
              <w:rPr>
                <w:rFonts w:eastAsia="Times New Roman"/>
                <w:bCs/>
                <w:sz w:val="22"/>
                <w:szCs w:val="22"/>
              </w:rPr>
            </w:pPr>
            <w:r w:rsidRPr="009E329A">
              <w:rPr>
                <w:rFonts w:eastAsia="Times New Roman"/>
                <w:bCs/>
                <w:sz w:val="22"/>
                <w:szCs w:val="22"/>
              </w:rPr>
              <w:t>Rash</w:t>
            </w:r>
          </w:p>
        </w:tc>
      </w:tr>
      <w:tr w:rsidR="00897C94" w14:paraId="2748151D" w14:textId="77777777" w:rsidTr="00897C94">
        <w:trPr>
          <w:trHeight w:val="350"/>
        </w:trPr>
        <w:tc>
          <w:tcPr>
            <w:tcW w:w="3005" w:type="dxa"/>
            <w:vMerge/>
          </w:tcPr>
          <w:p w14:paraId="37712005" w14:textId="77777777" w:rsidR="00897C94" w:rsidRPr="00897C94" w:rsidRDefault="00897C94" w:rsidP="00897C94">
            <w:pPr>
              <w:snapToGrid w:val="0"/>
              <w:spacing w:before="199"/>
              <w:rPr>
                <w:rFonts w:eastAsia="Times New Roman"/>
                <w:bCs/>
                <w:sz w:val="22"/>
                <w:szCs w:val="22"/>
              </w:rPr>
            </w:pPr>
          </w:p>
        </w:tc>
        <w:tc>
          <w:tcPr>
            <w:tcW w:w="3005" w:type="dxa"/>
          </w:tcPr>
          <w:p w14:paraId="09E63E3B" w14:textId="622ACA26" w:rsidR="00897C94" w:rsidRDefault="00897C94" w:rsidP="00897C94">
            <w:pPr>
              <w:snapToGrid w:val="0"/>
              <w:spacing w:before="199"/>
              <w:rPr>
                <w:rFonts w:eastAsia="Times New Roman"/>
                <w:bCs/>
                <w:sz w:val="22"/>
                <w:szCs w:val="22"/>
              </w:rPr>
            </w:pPr>
            <w:r w:rsidRPr="00897C94">
              <w:rPr>
                <w:rFonts w:eastAsia="Times New Roman"/>
                <w:bCs/>
                <w:sz w:val="22"/>
                <w:szCs w:val="22"/>
              </w:rPr>
              <w:t>Common</w:t>
            </w:r>
          </w:p>
        </w:tc>
        <w:tc>
          <w:tcPr>
            <w:tcW w:w="3006" w:type="dxa"/>
          </w:tcPr>
          <w:p w14:paraId="60EE0BD0" w14:textId="1C704532" w:rsidR="00897C94" w:rsidRDefault="009E329A" w:rsidP="00897C94">
            <w:pPr>
              <w:snapToGrid w:val="0"/>
              <w:spacing w:before="199"/>
              <w:rPr>
                <w:rFonts w:eastAsia="Times New Roman"/>
                <w:bCs/>
                <w:sz w:val="22"/>
                <w:szCs w:val="22"/>
              </w:rPr>
            </w:pPr>
            <w:r w:rsidRPr="009E329A">
              <w:rPr>
                <w:rFonts w:eastAsia="Times New Roman"/>
                <w:bCs/>
                <w:sz w:val="22"/>
                <w:szCs w:val="22"/>
              </w:rPr>
              <w:t>Hirsutism**, acne**</w:t>
            </w:r>
          </w:p>
        </w:tc>
      </w:tr>
      <w:tr w:rsidR="00897C94" w14:paraId="17C99010" w14:textId="77777777" w:rsidTr="00897C94">
        <w:trPr>
          <w:trHeight w:val="350"/>
        </w:trPr>
        <w:tc>
          <w:tcPr>
            <w:tcW w:w="3005" w:type="dxa"/>
            <w:vMerge w:val="restart"/>
          </w:tcPr>
          <w:p w14:paraId="477900C6" w14:textId="1AC20F1C" w:rsidR="00897C94" w:rsidRDefault="00897C94" w:rsidP="00897C94">
            <w:pPr>
              <w:snapToGrid w:val="0"/>
              <w:spacing w:before="199"/>
              <w:rPr>
                <w:rFonts w:eastAsia="Times New Roman"/>
                <w:bCs/>
                <w:sz w:val="22"/>
                <w:szCs w:val="22"/>
              </w:rPr>
            </w:pPr>
            <w:r w:rsidRPr="00897C94">
              <w:rPr>
                <w:rFonts w:eastAsia="Times New Roman"/>
                <w:bCs/>
                <w:sz w:val="22"/>
                <w:szCs w:val="22"/>
              </w:rPr>
              <w:t>General disorders and administration site conditions</w:t>
            </w:r>
          </w:p>
        </w:tc>
        <w:tc>
          <w:tcPr>
            <w:tcW w:w="3005" w:type="dxa"/>
          </w:tcPr>
          <w:p w14:paraId="081F7A75" w14:textId="36436B8D" w:rsidR="00897C94" w:rsidRDefault="00897C94" w:rsidP="00897C94">
            <w:pPr>
              <w:snapToGrid w:val="0"/>
              <w:spacing w:before="199"/>
              <w:rPr>
                <w:rFonts w:eastAsia="Times New Roman"/>
                <w:bCs/>
                <w:sz w:val="22"/>
                <w:szCs w:val="22"/>
              </w:rPr>
            </w:pPr>
            <w:r w:rsidRPr="007E4EAC">
              <w:t>Very common</w:t>
            </w:r>
          </w:p>
        </w:tc>
        <w:tc>
          <w:tcPr>
            <w:tcW w:w="3006" w:type="dxa"/>
          </w:tcPr>
          <w:p w14:paraId="3AA99BC4" w14:textId="2CB2D49E" w:rsidR="00897C94" w:rsidRDefault="009E329A" w:rsidP="00897C94">
            <w:pPr>
              <w:snapToGrid w:val="0"/>
              <w:spacing w:before="199"/>
              <w:rPr>
                <w:rFonts w:eastAsia="Times New Roman"/>
                <w:bCs/>
                <w:sz w:val="22"/>
                <w:szCs w:val="22"/>
              </w:rPr>
            </w:pPr>
            <w:r>
              <w:rPr>
                <w:rFonts w:eastAsia="Times New Roman"/>
                <w:bCs/>
                <w:sz w:val="22"/>
                <w:szCs w:val="22"/>
              </w:rPr>
              <w:t>Fatigue, oedema</w:t>
            </w:r>
          </w:p>
        </w:tc>
      </w:tr>
      <w:tr w:rsidR="00897C94" w14:paraId="33EF699B" w14:textId="77777777" w:rsidTr="00897C94">
        <w:trPr>
          <w:trHeight w:val="350"/>
        </w:trPr>
        <w:tc>
          <w:tcPr>
            <w:tcW w:w="3005" w:type="dxa"/>
            <w:vMerge/>
          </w:tcPr>
          <w:p w14:paraId="11004F12" w14:textId="77777777" w:rsidR="00897C94" w:rsidRPr="00897C94" w:rsidRDefault="00897C94" w:rsidP="00897C94">
            <w:pPr>
              <w:snapToGrid w:val="0"/>
              <w:spacing w:before="199"/>
              <w:rPr>
                <w:rFonts w:eastAsia="Times New Roman"/>
                <w:bCs/>
                <w:sz w:val="22"/>
                <w:szCs w:val="22"/>
              </w:rPr>
            </w:pPr>
          </w:p>
        </w:tc>
        <w:tc>
          <w:tcPr>
            <w:tcW w:w="3005" w:type="dxa"/>
          </w:tcPr>
          <w:p w14:paraId="53E62D2B" w14:textId="1E99F464" w:rsidR="00897C94" w:rsidRDefault="00897C94" w:rsidP="00897C94">
            <w:pPr>
              <w:snapToGrid w:val="0"/>
              <w:spacing w:before="199"/>
              <w:rPr>
                <w:rFonts w:eastAsia="Times New Roman"/>
                <w:bCs/>
                <w:sz w:val="22"/>
                <w:szCs w:val="22"/>
              </w:rPr>
            </w:pPr>
            <w:r w:rsidRPr="00897C94">
              <w:rPr>
                <w:rFonts w:eastAsia="Times New Roman"/>
                <w:bCs/>
                <w:sz w:val="22"/>
                <w:szCs w:val="22"/>
              </w:rPr>
              <w:t>Common</w:t>
            </w:r>
          </w:p>
        </w:tc>
        <w:tc>
          <w:tcPr>
            <w:tcW w:w="3006" w:type="dxa"/>
          </w:tcPr>
          <w:p w14:paraId="405FBD56" w14:textId="64A84D95" w:rsidR="00897C94" w:rsidRDefault="009E329A" w:rsidP="00897C94">
            <w:pPr>
              <w:snapToGrid w:val="0"/>
              <w:spacing w:before="199"/>
              <w:rPr>
                <w:rFonts w:eastAsia="Times New Roman"/>
                <w:bCs/>
                <w:sz w:val="22"/>
                <w:szCs w:val="22"/>
              </w:rPr>
            </w:pPr>
            <w:r w:rsidRPr="009E329A">
              <w:rPr>
                <w:rFonts w:eastAsia="Times New Roman"/>
                <w:bCs/>
                <w:sz w:val="22"/>
                <w:szCs w:val="22"/>
              </w:rPr>
              <w:t>Malaise</w:t>
            </w:r>
          </w:p>
        </w:tc>
      </w:tr>
      <w:tr w:rsidR="00897C94" w14:paraId="2683E1F4" w14:textId="77777777" w:rsidTr="00897C94">
        <w:trPr>
          <w:trHeight w:val="225"/>
        </w:trPr>
        <w:tc>
          <w:tcPr>
            <w:tcW w:w="3005" w:type="dxa"/>
            <w:vMerge w:val="restart"/>
          </w:tcPr>
          <w:p w14:paraId="75B2D128" w14:textId="4635A737" w:rsidR="00897C94" w:rsidRDefault="00897C94" w:rsidP="00897C94">
            <w:pPr>
              <w:snapToGrid w:val="0"/>
              <w:spacing w:before="199"/>
              <w:rPr>
                <w:rFonts w:eastAsia="Times New Roman"/>
                <w:bCs/>
                <w:sz w:val="22"/>
                <w:szCs w:val="22"/>
              </w:rPr>
            </w:pPr>
            <w:r w:rsidRPr="00897C94">
              <w:rPr>
                <w:rFonts w:eastAsia="Times New Roman"/>
                <w:bCs/>
                <w:sz w:val="22"/>
                <w:szCs w:val="22"/>
              </w:rPr>
              <w:t>Investigations</w:t>
            </w:r>
          </w:p>
        </w:tc>
        <w:tc>
          <w:tcPr>
            <w:tcW w:w="3005" w:type="dxa"/>
          </w:tcPr>
          <w:p w14:paraId="680EF22D" w14:textId="7D520BF6" w:rsidR="00897C94" w:rsidRDefault="00897C94" w:rsidP="00897C94">
            <w:pPr>
              <w:snapToGrid w:val="0"/>
              <w:spacing w:before="199"/>
              <w:rPr>
                <w:rFonts w:eastAsia="Times New Roman"/>
                <w:bCs/>
                <w:sz w:val="22"/>
                <w:szCs w:val="22"/>
              </w:rPr>
            </w:pPr>
            <w:r w:rsidRPr="007E4EAC">
              <w:t>Very common</w:t>
            </w:r>
          </w:p>
        </w:tc>
        <w:tc>
          <w:tcPr>
            <w:tcW w:w="3006" w:type="dxa"/>
          </w:tcPr>
          <w:p w14:paraId="206D91ED" w14:textId="50728F00" w:rsidR="00897C94" w:rsidRDefault="009E329A" w:rsidP="00897C94">
            <w:pPr>
              <w:snapToGrid w:val="0"/>
              <w:spacing w:before="199"/>
              <w:rPr>
                <w:rFonts w:eastAsia="Times New Roman"/>
                <w:bCs/>
                <w:sz w:val="22"/>
                <w:szCs w:val="22"/>
              </w:rPr>
            </w:pPr>
            <w:r w:rsidRPr="009E329A">
              <w:rPr>
                <w:rFonts w:eastAsia="Times New Roman"/>
                <w:bCs/>
                <w:sz w:val="22"/>
                <w:szCs w:val="22"/>
              </w:rPr>
              <w:t>Blood testosterone increased**, blood corticotrophin increased</w:t>
            </w:r>
          </w:p>
        </w:tc>
      </w:tr>
      <w:tr w:rsidR="00897C94" w14:paraId="10815E50" w14:textId="77777777" w:rsidTr="00897C94">
        <w:trPr>
          <w:trHeight w:val="225"/>
        </w:trPr>
        <w:tc>
          <w:tcPr>
            <w:tcW w:w="3005" w:type="dxa"/>
            <w:vMerge/>
          </w:tcPr>
          <w:p w14:paraId="45884BB3" w14:textId="77777777" w:rsidR="00897C94" w:rsidRPr="00897C94" w:rsidRDefault="00897C94" w:rsidP="00897C94">
            <w:pPr>
              <w:snapToGrid w:val="0"/>
              <w:spacing w:before="199"/>
              <w:rPr>
                <w:rFonts w:eastAsia="Times New Roman"/>
                <w:bCs/>
                <w:sz w:val="22"/>
                <w:szCs w:val="22"/>
              </w:rPr>
            </w:pPr>
          </w:p>
        </w:tc>
        <w:tc>
          <w:tcPr>
            <w:tcW w:w="3005" w:type="dxa"/>
          </w:tcPr>
          <w:p w14:paraId="18CCFADB" w14:textId="134158FA" w:rsidR="00897C94" w:rsidRDefault="00897C94" w:rsidP="00897C94">
            <w:pPr>
              <w:snapToGrid w:val="0"/>
              <w:spacing w:before="199"/>
              <w:rPr>
                <w:rFonts w:eastAsia="Times New Roman"/>
                <w:bCs/>
                <w:sz w:val="22"/>
                <w:szCs w:val="22"/>
              </w:rPr>
            </w:pPr>
            <w:r w:rsidRPr="00897C94">
              <w:rPr>
                <w:rFonts w:eastAsia="Times New Roman"/>
                <w:bCs/>
                <w:sz w:val="22"/>
                <w:szCs w:val="22"/>
              </w:rPr>
              <w:t>Common</w:t>
            </w:r>
          </w:p>
        </w:tc>
        <w:tc>
          <w:tcPr>
            <w:tcW w:w="3006" w:type="dxa"/>
          </w:tcPr>
          <w:p w14:paraId="0AC05B75" w14:textId="7B0CFCB7" w:rsidR="00897C94" w:rsidRDefault="009E329A" w:rsidP="00897C94">
            <w:pPr>
              <w:snapToGrid w:val="0"/>
              <w:spacing w:before="199"/>
              <w:rPr>
                <w:rFonts w:eastAsia="Times New Roman"/>
                <w:bCs/>
                <w:sz w:val="22"/>
                <w:szCs w:val="22"/>
              </w:rPr>
            </w:pPr>
            <w:r w:rsidRPr="009E329A">
              <w:rPr>
                <w:rFonts w:eastAsia="Times New Roman"/>
                <w:bCs/>
                <w:sz w:val="22"/>
                <w:szCs w:val="22"/>
              </w:rPr>
              <w:t>Electrocardiogram QT prolonged, transaminases increased</w:t>
            </w:r>
          </w:p>
        </w:tc>
      </w:tr>
      <w:tr w:rsidR="00897C94" w14:paraId="47A6A628" w14:textId="77777777" w:rsidTr="00EB3BC3">
        <w:tc>
          <w:tcPr>
            <w:tcW w:w="9016" w:type="dxa"/>
            <w:gridSpan w:val="3"/>
          </w:tcPr>
          <w:p w14:paraId="40A00822" w14:textId="77777777" w:rsidR="00897C94" w:rsidRDefault="00897C94" w:rsidP="00897C94">
            <w:pPr>
              <w:snapToGrid w:val="0"/>
              <w:spacing w:before="199"/>
              <w:rPr>
                <w:rFonts w:eastAsia="Times New Roman"/>
                <w:bCs/>
                <w:sz w:val="22"/>
                <w:szCs w:val="22"/>
              </w:rPr>
            </w:pPr>
            <w:r w:rsidRPr="00897C94">
              <w:rPr>
                <w:rFonts w:eastAsia="Times New Roman"/>
                <w:bCs/>
                <w:sz w:val="22"/>
                <w:szCs w:val="22"/>
              </w:rPr>
              <w:t xml:space="preserve">* Some terms denote grouped term of two or more MedDRA preferred terms that were considered clinically similar. The term “adrenal insufficiency” includes the terms glucocorticoid deficiency, adrenocortical insufficiency acute, steroid withdrawal syndrome, urine free cortisol decreased, cortisol decreased. </w:t>
            </w:r>
          </w:p>
          <w:p w14:paraId="28F48532" w14:textId="5FC5C193" w:rsidR="00897C94" w:rsidRDefault="00897C94" w:rsidP="00897C94">
            <w:pPr>
              <w:snapToGrid w:val="0"/>
              <w:spacing w:before="199"/>
              <w:rPr>
                <w:rFonts w:eastAsia="Times New Roman"/>
                <w:bCs/>
                <w:sz w:val="22"/>
                <w:szCs w:val="22"/>
              </w:rPr>
            </w:pPr>
            <w:r w:rsidRPr="00897C94">
              <w:rPr>
                <w:rFonts w:eastAsia="Times New Roman"/>
                <w:bCs/>
                <w:sz w:val="22"/>
                <w:szCs w:val="22"/>
              </w:rPr>
              <w:t>** Frequency “very common” in female patients.</w:t>
            </w:r>
          </w:p>
        </w:tc>
      </w:tr>
    </w:tbl>
    <w:p w14:paraId="5A1D7B67" w14:textId="6FEC10DC" w:rsidR="009E329A" w:rsidRPr="00154505" w:rsidRDefault="009E329A" w:rsidP="00154505">
      <w:pPr>
        <w:rPr>
          <w:b/>
          <w:bCs/>
        </w:rPr>
      </w:pPr>
      <w:r w:rsidRPr="00154505">
        <w:rPr>
          <w:b/>
          <w:bCs/>
        </w:rPr>
        <w:t xml:space="preserve">Description of selected adverse reactions </w:t>
      </w:r>
    </w:p>
    <w:p w14:paraId="7266DF4A" w14:textId="170561C2" w:rsidR="009E329A" w:rsidRPr="009E329A" w:rsidRDefault="009E329A" w:rsidP="00154505">
      <w:pPr>
        <w:rPr>
          <w:bCs/>
        </w:rPr>
      </w:pPr>
      <w:r w:rsidRPr="009E329A">
        <w:rPr>
          <w:bCs/>
        </w:rPr>
        <w:t xml:space="preserve">CYP11B1 inhibition by </w:t>
      </w:r>
      <w:proofErr w:type="spellStart"/>
      <w:r w:rsidRPr="009E329A">
        <w:rPr>
          <w:bCs/>
        </w:rPr>
        <w:t>osilodrostat</w:t>
      </w:r>
      <w:proofErr w:type="spellEnd"/>
      <w:r w:rsidRPr="009E329A">
        <w:rPr>
          <w:bCs/>
        </w:rPr>
        <w:t xml:space="preserve"> is associated with adrenal steroid precursor accumulation and testosterone increases. In a clinical study with </w:t>
      </w:r>
      <w:proofErr w:type="spellStart"/>
      <w:r w:rsidRPr="009E329A">
        <w:rPr>
          <w:bCs/>
        </w:rPr>
        <w:t>osilodrostat</w:t>
      </w:r>
      <w:proofErr w:type="spellEnd"/>
      <w:r w:rsidRPr="009E329A">
        <w:rPr>
          <w:bCs/>
        </w:rPr>
        <w:t xml:space="preserve">, mean testosterone levels in female patients increased from high normal at baseline to above the upper limit of the normal range. The increases reversed when treatment was interrupted. The testosterone increase was associated with mild to moderate cases of hirsutism or acne in a subset of patients. </w:t>
      </w:r>
    </w:p>
    <w:p w14:paraId="0DCA90EC" w14:textId="4FAB3E0D" w:rsidR="00897C94" w:rsidRPr="00897C94" w:rsidRDefault="009E329A" w:rsidP="00154505">
      <w:pPr>
        <w:rPr>
          <w:bCs/>
        </w:rPr>
      </w:pPr>
      <w:r w:rsidRPr="009E329A">
        <w:rPr>
          <w:bCs/>
        </w:rPr>
        <w:t xml:space="preserve">ACTH values above 10-fold upper limit of normal were observed in some Cushing’s disease patients treated with </w:t>
      </w:r>
      <w:proofErr w:type="spellStart"/>
      <w:r w:rsidRPr="009E329A">
        <w:rPr>
          <w:bCs/>
        </w:rPr>
        <w:t>osilodrostat</w:t>
      </w:r>
      <w:proofErr w:type="spellEnd"/>
      <w:r w:rsidRPr="009E329A">
        <w:rPr>
          <w:bCs/>
        </w:rPr>
        <w:t xml:space="preserve"> in the clinical studies (see section </w:t>
      </w:r>
      <w:hyperlink w:anchor="_PHARMACODYNAMIC_PROPERTIES" w:history="1">
        <w:r w:rsidRPr="00602A80">
          <w:rPr>
            <w:rStyle w:val="Hyperlink"/>
            <w:bCs/>
          </w:rPr>
          <w:t>5.1</w:t>
        </w:r>
        <w:r w:rsidR="00154505" w:rsidRPr="00602A80">
          <w:rPr>
            <w:rStyle w:val="Hyperlink"/>
            <w:bCs/>
          </w:rPr>
          <w:t xml:space="preserve"> Pharmacodynamic properties</w:t>
        </w:r>
      </w:hyperlink>
      <w:r w:rsidRPr="009E329A">
        <w:rPr>
          <w:bCs/>
        </w:rPr>
        <w:t xml:space="preserve">) and may be associated with cortisol values below the lower limit of normal. </w:t>
      </w:r>
    </w:p>
    <w:p w14:paraId="132F7F84" w14:textId="0159E7B7" w:rsidR="0026600D" w:rsidRPr="00154505" w:rsidRDefault="0026600D" w:rsidP="00154505">
      <w:pPr>
        <w:rPr>
          <w:b/>
          <w:bCs/>
        </w:rPr>
      </w:pPr>
      <w:r w:rsidRPr="00154505">
        <w:rPr>
          <w:b/>
          <w:bCs/>
        </w:rPr>
        <w:t xml:space="preserve">Reporting of suspected adverse </w:t>
      </w:r>
      <w:r w:rsidR="00CB1F7F">
        <w:rPr>
          <w:b/>
          <w:bCs/>
        </w:rPr>
        <w:t>effects</w:t>
      </w:r>
    </w:p>
    <w:p w14:paraId="2A2C0F01" w14:textId="10E2EDD1" w:rsidR="0026600D" w:rsidRPr="002B2A6C" w:rsidRDefault="0026600D" w:rsidP="0026600D">
      <w:r w:rsidRPr="0074724E">
        <w:rPr>
          <w:spacing w:val="-1"/>
        </w:rPr>
        <w:t>Reporting suspected adverse reactions after registrati</w:t>
      </w:r>
      <w:r w:rsidRPr="0074724E">
        <w:t>on of the medicinal product is important. It allows continued monitoring of the benefit-risk balance of the medicinal product. Healthcare professionals are asked to report a</w:t>
      </w:r>
      <w:r w:rsidRPr="0074724E">
        <w:rPr>
          <w:spacing w:val="5"/>
        </w:rPr>
        <w:t>n</w:t>
      </w:r>
      <w:r w:rsidRPr="0074724E">
        <w:rPr>
          <w:spacing w:val="-5"/>
        </w:rPr>
        <w:t>y</w:t>
      </w:r>
      <w:r w:rsidRPr="0074724E">
        <w:t xml:space="preserve"> suspected adverse react</w:t>
      </w:r>
      <w:r w:rsidRPr="0074724E">
        <w:rPr>
          <w:spacing w:val="5"/>
        </w:rPr>
        <w:t>i</w:t>
      </w:r>
      <w:r w:rsidRPr="0074724E">
        <w:t>ons</w:t>
      </w:r>
      <w:r w:rsidR="00154505">
        <w:t xml:space="preserve"> </w:t>
      </w:r>
      <w:r w:rsidRPr="0074724E">
        <w:t xml:space="preserve">at </w:t>
      </w:r>
      <w:hyperlink r:id="rId12" w:history="1">
        <w:r w:rsidRPr="0074724E">
          <w:rPr>
            <w:rStyle w:val="Hyperlink"/>
            <w:rFonts w:eastAsia="Times New Roman"/>
            <w:sz w:val="22"/>
            <w:szCs w:val="22"/>
          </w:rPr>
          <w:t>https://www.tga.gov.au/reporting-problems</w:t>
        </w:r>
      </w:hyperlink>
      <w:r w:rsidRPr="0074724E">
        <w:t>.</w:t>
      </w:r>
    </w:p>
    <w:p w14:paraId="7E07C862" w14:textId="34E69249" w:rsidR="0055126B" w:rsidRDefault="0026600D" w:rsidP="0026600D">
      <w:pPr>
        <w:pStyle w:val="Heading2"/>
        <w:numPr>
          <w:ilvl w:val="0"/>
          <w:numId w:val="0"/>
        </w:numPr>
      </w:pPr>
      <w:r>
        <w:t>4.9 OVERDOSE</w:t>
      </w:r>
    </w:p>
    <w:p w14:paraId="7B6F8D40" w14:textId="77777777" w:rsidR="009C64DE" w:rsidRPr="0074724E" w:rsidRDefault="009C64DE" w:rsidP="009C64DE">
      <w:r w:rsidRPr="0074724E">
        <w:t xml:space="preserve">For information on the management of overdose, contact the Poisons </w:t>
      </w:r>
      <w:r w:rsidRPr="0074724E">
        <w:rPr>
          <w:spacing w:val="-6"/>
        </w:rPr>
        <w:t>I</w:t>
      </w:r>
      <w:r w:rsidRPr="0074724E">
        <w:t>nformation Centre on 13 11 26 (Australia).</w:t>
      </w:r>
    </w:p>
    <w:p w14:paraId="61F94123" w14:textId="501AA234" w:rsidR="009E329A" w:rsidRPr="009E329A" w:rsidRDefault="009E329A" w:rsidP="009C64DE">
      <w:r w:rsidRPr="009E329A">
        <w:t xml:space="preserve">Overdosage may result in severe </w:t>
      </w:r>
      <w:proofErr w:type="spellStart"/>
      <w:r w:rsidRPr="009E329A">
        <w:t>hypocortisolism</w:t>
      </w:r>
      <w:proofErr w:type="spellEnd"/>
      <w:r w:rsidRPr="009E329A">
        <w:t xml:space="preserve">. Signs and symptoms suggestive of </w:t>
      </w:r>
      <w:proofErr w:type="spellStart"/>
      <w:r w:rsidRPr="009E329A">
        <w:t>hypocortisolism</w:t>
      </w:r>
      <w:proofErr w:type="spellEnd"/>
      <w:r w:rsidRPr="009E329A">
        <w:t xml:space="preserve"> may include nausea, vomiting, fatigue, low blood pressure, abdominal pain, loss of appetite, </w:t>
      </w:r>
      <w:proofErr w:type="gramStart"/>
      <w:r w:rsidRPr="009E329A">
        <w:t>dizziness</w:t>
      </w:r>
      <w:proofErr w:type="gramEnd"/>
      <w:r w:rsidRPr="009E329A">
        <w:t xml:space="preserve"> and syncope. </w:t>
      </w:r>
    </w:p>
    <w:p w14:paraId="3116CD11" w14:textId="018ACE0F" w:rsidR="0026600D" w:rsidRPr="009C64DE" w:rsidRDefault="009E329A" w:rsidP="009C64DE">
      <w:r w:rsidRPr="009E329A">
        <w:t xml:space="preserve">In case of suspected overdosage, </w:t>
      </w:r>
      <w:proofErr w:type="spellStart"/>
      <w:r w:rsidRPr="009E329A">
        <w:t>Isturisa</w:t>
      </w:r>
      <w:proofErr w:type="spellEnd"/>
      <w:r w:rsidRPr="009E329A">
        <w:t xml:space="preserve"> should be interrupted, cortisol levels checked, and if necessary</w:t>
      </w:r>
      <w:r w:rsidR="00AF2ADD">
        <w:t>,</w:t>
      </w:r>
      <w:r w:rsidRPr="009E329A">
        <w:t xml:space="preserve"> corticosteroid supplementation initiated. Close surveillance may be necessary including monitoring of the QT interval, blood pressure, glucose, </w:t>
      </w:r>
      <w:proofErr w:type="gramStart"/>
      <w:r w:rsidRPr="009E329A">
        <w:t>fluid</w:t>
      </w:r>
      <w:proofErr w:type="gramEnd"/>
      <w:r w:rsidRPr="009E329A">
        <w:t xml:space="preserve"> and electrolyte balance until the patient’s condition is stable.</w:t>
      </w:r>
    </w:p>
    <w:p w14:paraId="6891D9D1" w14:textId="76E71F2F" w:rsidR="00EA6A6B" w:rsidRDefault="00EA6A6B" w:rsidP="009C2A7F">
      <w:pPr>
        <w:pStyle w:val="Heading1"/>
      </w:pPr>
      <w:r w:rsidRPr="003E4C4B">
        <w:lastRenderedPageBreak/>
        <w:t>PHARMACOLOGICAL PROPERTIES</w:t>
      </w:r>
    </w:p>
    <w:p w14:paraId="25B9C91B" w14:textId="654A7233" w:rsidR="00EA6A6B" w:rsidRDefault="00EA6A6B" w:rsidP="00EA6A6B">
      <w:pPr>
        <w:pStyle w:val="Heading2"/>
        <w:numPr>
          <w:ilvl w:val="1"/>
          <w:numId w:val="6"/>
        </w:numPr>
      </w:pPr>
      <w:bookmarkStart w:id="8" w:name="_PHARMACODYNAMIC_PROPERTIES"/>
      <w:bookmarkEnd w:id="8"/>
      <w:r w:rsidRPr="00B11282">
        <w:t>PHARMACODYNAMIC PROPERTIES</w:t>
      </w:r>
    </w:p>
    <w:p w14:paraId="53E08F02" w14:textId="77777777" w:rsidR="009E329A" w:rsidRPr="009E329A" w:rsidRDefault="009E329A" w:rsidP="009C64DE">
      <w:r w:rsidRPr="009E329A">
        <w:t xml:space="preserve">Pharmacotherapeutic group: </w:t>
      </w:r>
      <w:proofErr w:type="spellStart"/>
      <w:r w:rsidRPr="009E329A">
        <w:t>Anticorticosteroids</w:t>
      </w:r>
      <w:proofErr w:type="spellEnd"/>
      <w:r w:rsidRPr="009E329A">
        <w:t xml:space="preserve">, ATC code: H02CA02 </w:t>
      </w:r>
    </w:p>
    <w:p w14:paraId="2EFE0ACC" w14:textId="79372703" w:rsidR="00556D97" w:rsidRPr="0074724E" w:rsidRDefault="00556D97" w:rsidP="009C64DE">
      <w:pPr>
        <w:rPr>
          <w:b/>
        </w:rPr>
      </w:pPr>
      <w:r w:rsidRPr="0074724E">
        <w:rPr>
          <w:b/>
        </w:rPr>
        <w:t>Mechanism of action</w:t>
      </w:r>
    </w:p>
    <w:p w14:paraId="649839BA" w14:textId="368B7EA7" w:rsidR="009E329A" w:rsidRPr="009E329A" w:rsidRDefault="009E329A" w:rsidP="009C64DE">
      <w:pPr>
        <w:rPr>
          <w:rFonts w:eastAsia="Times New Roman"/>
        </w:rPr>
      </w:pPr>
      <w:proofErr w:type="spellStart"/>
      <w:r w:rsidRPr="009E329A">
        <w:rPr>
          <w:rFonts w:eastAsia="Times New Roman"/>
        </w:rPr>
        <w:t>Osilodrostat</w:t>
      </w:r>
      <w:proofErr w:type="spellEnd"/>
      <w:r w:rsidRPr="009E329A">
        <w:rPr>
          <w:rFonts w:eastAsia="Times New Roman"/>
        </w:rPr>
        <w:t xml:space="preserve"> is a cortisol synthesis inhibitor. It inhibits 11β-hydroxylase (CYP11B1), the enzyme responsible for the final step of cortisol biosynthesis in the adrenal gland. </w:t>
      </w:r>
    </w:p>
    <w:p w14:paraId="7CFAFB27" w14:textId="14A01D54" w:rsidR="009E329A" w:rsidRDefault="009E329A" w:rsidP="009C64DE">
      <w:pPr>
        <w:rPr>
          <w:rFonts w:eastAsia="Times New Roman"/>
        </w:rPr>
      </w:pPr>
      <w:r w:rsidRPr="009E329A">
        <w:rPr>
          <w:rFonts w:eastAsia="Times New Roman"/>
        </w:rPr>
        <w:t xml:space="preserve">CYP11B1 inhibition is associated with the accumulation of precursors such as 11-deoxycortisol and acceleration of adrenal biosynthesis including androgens. In Cushing’s disease, the fall in plasma cortisol concentration also stimulates ACTH secretion, via the feedback mechanism which accelerates steroid biosynthesis (see section </w:t>
      </w:r>
      <w:hyperlink w:anchor="_ADVERSE_EFFECTS_(UNDESIRABLE" w:history="1">
        <w:r w:rsidRPr="00EA2407">
          <w:rPr>
            <w:rStyle w:val="Hyperlink"/>
            <w:rFonts w:eastAsia="Times New Roman"/>
          </w:rPr>
          <w:t>4.8</w:t>
        </w:r>
        <w:r w:rsidR="004C3917" w:rsidRPr="00EA2407">
          <w:rPr>
            <w:rStyle w:val="Hyperlink"/>
            <w:rFonts w:eastAsia="Times New Roman"/>
          </w:rPr>
          <w:t xml:space="preserve"> Adverse effects (undesirable effects)</w:t>
        </w:r>
      </w:hyperlink>
      <w:r w:rsidRPr="009E329A">
        <w:rPr>
          <w:rFonts w:eastAsia="Times New Roman"/>
        </w:rPr>
        <w:t xml:space="preserve">. </w:t>
      </w:r>
    </w:p>
    <w:p w14:paraId="05431BF4" w14:textId="53564CB5" w:rsidR="009E329A" w:rsidRPr="009E329A" w:rsidRDefault="009E329A" w:rsidP="009C64DE">
      <w:pPr>
        <w:rPr>
          <w:rFonts w:eastAsia="Times New Roman"/>
          <w:b/>
        </w:rPr>
      </w:pPr>
      <w:r w:rsidRPr="009E329A">
        <w:rPr>
          <w:rFonts w:eastAsia="Times New Roman"/>
          <w:b/>
        </w:rPr>
        <w:t xml:space="preserve">Pharmacodynamic effects </w:t>
      </w:r>
    </w:p>
    <w:p w14:paraId="335F5813" w14:textId="7A9410DE" w:rsidR="009E329A" w:rsidRPr="009E329A" w:rsidRDefault="009E329A" w:rsidP="009C64DE">
      <w:pPr>
        <w:rPr>
          <w:rFonts w:eastAsia="Times New Roman"/>
        </w:rPr>
      </w:pPr>
      <w:r w:rsidRPr="009E329A">
        <w:rPr>
          <w:rFonts w:eastAsia="Times New Roman"/>
        </w:rPr>
        <w:t xml:space="preserve">In a thorough QT study (n=86 male and female healthy volunteers) with </w:t>
      </w:r>
      <w:proofErr w:type="spellStart"/>
      <w:r w:rsidRPr="009E329A">
        <w:rPr>
          <w:rFonts w:eastAsia="Times New Roman"/>
        </w:rPr>
        <w:t>osilodrostat</w:t>
      </w:r>
      <w:proofErr w:type="spellEnd"/>
      <w:r w:rsidRPr="009E329A">
        <w:rPr>
          <w:rFonts w:eastAsia="Times New Roman"/>
        </w:rPr>
        <w:t xml:space="preserve">, the maximum </w:t>
      </w:r>
      <w:proofErr w:type="spellStart"/>
      <w:r w:rsidRPr="009E329A">
        <w:rPr>
          <w:rFonts w:eastAsia="Times New Roman"/>
        </w:rPr>
        <w:t>QTcF</w:t>
      </w:r>
      <w:proofErr w:type="spellEnd"/>
      <w:r w:rsidRPr="009E329A">
        <w:rPr>
          <w:rFonts w:eastAsia="Times New Roman"/>
        </w:rPr>
        <w:t xml:space="preserve"> interval duration differences to placebo were 1.73 </w:t>
      </w:r>
      <w:proofErr w:type="spellStart"/>
      <w:r w:rsidRPr="009E329A">
        <w:rPr>
          <w:rFonts w:eastAsia="Times New Roman"/>
        </w:rPr>
        <w:t>ms</w:t>
      </w:r>
      <w:proofErr w:type="spellEnd"/>
      <w:r w:rsidRPr="009E329A">
        <w:rPr>
          <w:rFonts w:eastAsia="Times New Roman"/>
        </w:rPr>
        <w:t xml:space="preserve"> (90% CI: 0.15, 3.31) at the 10 mg dose and 25.38 </w:t>
      </w:r>
      <w:proofErr w:type="spellStart"/>
      <w:r w:rsidRPr="009E329A">
        <w:rPr>
          <w:rFonts w:eastAsia="Times New Roman"/>
        </w:rPr>
        <w:t>ms</w:t>
      </w:r>
      <w:proofErr w:type="spellEnd"/>
      <w:r w:rsidRPr="009E329A">
        <w:rPr>
          <w:rFonts w:eastAsia="Times New Roman"/>
        </w:rPr>
        <w:t xml:space="preserve"> (90% CI: 23.53, 27.22) at a supratherapeutic dose of 150 mg. Based on an interpolation of these results, the mean maximum prolongation at the highest recommended dose of 30 mg is estimated to be +5.3 </w:t>
      </w:r>
      <w:proofErr w:type="spellStart"/>
      <w:r w:rsidRPr="009E329A">
        <w:rPr>
          <w:rFonts w:eastAsia="Times New Roman"/>
        </w:rPr>
        <w:t>ms.</w:t>
      </w:r>
      <w:proofErr w:type="spellEnd"/>
    </w:p>
    <w:p w14:paraId="1F0E743F" w14:textId="68DB264D" w:rsidR="0026600D" w:rsidRDefault="0026600D" w:rsidP="009C64DE">
      <w:pPr>
        <w:rPr>
          <w:rFonts w:eastAsia="Times New Roman"/>
          <w:b/>
        </w:rPr>
      </w:pPr>
      <w:r w:rsidRPr="0074724E">
        <w:rPr>
          <w:rFonts w:eastAsia="Times New Roman"/>
          <w:b/>
        </w:rPr>
        <w:t>Clinical trials</w:t>
      </w:r>
    </w:p>
    <w:p w14:paraId="4E160998" w14:textId="2FC6090C" w:rsidR="009E329A" w:rsidRPr="009E329A" w:rsidRDefault="009E329A" w:rsidP="009C64DE">
      <w:pPr>
        <w:rPr>
          <w:rFonts w:eastAsia="Times New Roman"/>
        </w:rPr>
      </w:pPr>
      <w:r w:rsidRPr="009E329A">
        <w:rPr>
          <w:rFonts w:eastAsia="Times New Roman"/>
        </w:rPr>
        <w:t xml:space="preserve">The efficacy and safety of </w:t>
      </w:r>
      <w:proofErr w:type="spellStart"/>
      <w:r w:rsidRPr="009E329A">
        <w:rPr>
          <w:rFonts w:eastAsia="Times New Roman"/>
        </w:rPr>
        <w:t>osilodrostat</w:t>
      </w:r>
      <w:proofErr w:type="spellEnd"/>
      <w:r w:rsidRPr="009E329A">
        <w:rPr>
          <w:rFonts w:eastAsia="Times New Roman"/>
        </w:rPr>
        <w:t xml:space="preserve"> in patients with Cushing’s disease were evaluated in a prospective phase III study (study C2301) that used a </w:t>
      </w:r>
      <w:proofErr w:type="spellStart"/>
      <w:r w:rsidRPr="009E329A">
        <w:rPr>
          <w:rFonts w:eastAsia="Times New Roman"/>
        </w:rPr>
        <w:t>randomised</w:t>
      </w:r>
      <w:proofErr w:type="spellEnd"/>
      <w:r w:rsidRPr="009E329A">
        <w:rPr>
          <w:rFonts w:eastAsia="Times New Roman"/>
        </w:rPr>
        <w:t xml:space="preserve"> withdrawal design. The study consisted of a 26-week open-label period of single-arm </w:t>
      </w:r>
      <w:proofErr w:type="spellStart"/>
      <w:r w:rsidRPr="009E329A">
        <w:rPr>
          <w:rFonts w:eastAsia="Times New Roman"/>
        </w:rPr>
        <w:t>osilodrostat</w:t>
      </w:r>
      <w:proofErr w:type="spellEnd"/>
      <w:r w:rsidRPr="009E329A">
        <w:rPr>
          <w:rFonts w:eastAsia="Times New Roman"/>
        </w:rPr>
        <w:t xml:space="preserve"> treatment, followed by an 8-week </w:t>
      </w:r>
      <w:proofErr w:type="spellStart"/>
      <w:r w:rsidRPr="009E329A">
        <w:rPr>
          <w:rFonts w:eastAsia="Times New Roman"/>
        </w:rPr>
        <w:t>randomised</w:t>
      </w:r>
      <w:proofErr w:type="spellEnd"/>
      <w:r w:rsidRPr="009E329A">
        <w:rPr>
          <w:rFonts w:eastAsia="Times New Roman"/>
        </w:rPr>
        <w:t xml:space="preserve"> withdrawal period in which patients were </w:t>
      </w:r>
      <w:proofErr w:type="spellStart"/>
      <w:r w:rsidRPr="009E329A">
        <w:rPr>
          <w:rFonts w:eastAsia="Times New Roman"/>
        </w:rPr>
        <w:t>randomised</w:t>
      </w:r>
      <w:proofErr w:type="spellEnd"/>
      <w:r w:rsidRPr="009E329A">
        <w:rPr>
          <w:rFonts w:eastAsia="Times New Roman"/>
        </w:rPr>
        <w:t xml:space="preserve"> in 1:1 ratio to either </w:t>
      </w:r>
      <w:proofErr w:type="spellStart"/>
      <w:r w:rsidRPr="009E329A">
        <w:rPr>
          <w:rFonts w:eastAsia="Times New Roman"/>
        </w:rPr>
        <w:t>osilodrostat</w:t>
      </w:r>
      <w:proofErr w:type="spellEnd"/>
      <w:r w:rsidRPr="009E329A">
        <w:rPr>
          <w:rFonts w:eastAsia="Times New Roman"/>
        </w:rPr>
        <w:t xml:space="preserve"> or placebo and a subsequent </w:t>
      </w:r>
      <w:proofErr w:type="spellStart"/>
      <w:r w:rsidRPr="009E329A">
        <w:rPr>
          <w:rFonts w:eastAsia="Times New Roman"/>
        </w:rPr>
        <w:t>osilodrostat</w:t>
      </w:r>
      <w:proofErr w:type="spellEnd"/>
      <w:r w:rsidRPr="009E329A">
        <w:rPr>
          <w:rFonts w:eastAsia="Times New Roman"/>
        </w:rPr>
        <w:t xml:space="preserve"> open-label period. </w:t>
      </w:r>
    </w:p>
    <w:p w14:paraId="0AB92C0F" w14:textId="066FA045" w:rsidR="009E329A" w:rsidRPr="009E329A" w:rsidRDefault="009E329A" w:rsidP="009C64DE">
      <w:pPr>
        <w:rPr>
          <w:rFonts w:eastAsia="Times New Roman"/>
        </w:rPr>
      </w:pPr>
      <w:r w:rsidRPr="009E329A">
        <w:rPr>
          <w:rFonts w:eastAsia="Times New Roman"/>
        </w:rPr>
        <w:t>The eligibility criteria included Cushing’s disease (with confirmation of the pituitary source of excess adrenocorticotrophic hormone), and a mean urinary free cortisol (</w:t>
      </w:r>
      <w:proofErr w:type="spellStart"/>
      <w:r w:rsidRPr="009E329A">
        <w:rPr>
          <w:rFonts w:eastAsia="Times New Roman"/>
        </w:rPr>
        <w:t>mUFC</w:t>
      </w:r>
      <w:proofErr w:type="spellEnd"/>
      <w:r w:rsidRPr="009E329A">
        <w:rPr>
          <w:rFonts w:eastAsia="Times New Roman"/>
        </w:rPr>
        <w:t xml:space="preserve">, derived from three 24-hour urine collections) value greater than 1.5 times the upper limit of normal (ULN) at screening. </w:t>
      </w:r>
    </w:p>
    <w:p w14:paraId="3A594B5D" w14:textId="7CDBE495" w:rsidR="009E329A" w:rsidRPr="009E329A" w:rsidRDefault="009E329A" w:rsidP="009C64DE">
      <w:pPr>
        <w:rPr>
          <w:rFonts w:eastAsia="Times New Roman"/>
        </w:rPr>
      </w:pPr>
      <w:r w:rsidRPr="009E329A">
        <w:rPr>
          <w:rFonts w:eastAsia="Times New Roman"/>
        </w:rPr>
        <w:t xml:space="preserve">A total of 137 adult patients were enrolled. The mean age was 41.2 years, and </w:t>
      </w:r>
      <w:proofErr w:type="gramStart"/>
      <w:r w:rsidRPr="009E329A">
        <w:rPr>
          <w:rFonts w:eastAsia="Times New Roman"/>
        </w:rPr>
        <w:t>the majority of</w:t>
      </w:r>
      <w:proofErr w:type="gramEnd"/>
      <w:r w:rsidRPr="009E329A">
        <w:rPr>
          <w:rFonts w:eastAsia="Times New Roman"/>
        </w:rPr>
        <w:t xml:space="preserve"> patients were female (77%). Seven patients were aged 65 years or older. Prior therapy included pituitary surgery in 88% of patients and prior medical therapy in 75% of patients. The mean and median baseline </w:t>
      </w:r>
      <w:proofErr w:type="spellStart"/>
      <w:r w:rsidRPr="009E329A">
        <w:rPr>
          <w:rFonts w:eastAsia="Times New Roman"/>
        </w:rPr>
        <w:t>mUFC</w:t>
      </w:r>
      <w:proofErr w:type="spellEnd"/>
      <w:r w:rsidRPr="009E329A">
        <w:rPr>
          <w:rFonts w:eastAsia="Times New Roman"/>
        </w:rPr>
        <w:t xml:space="preserve"> levels were 1006.0 nmol/24 h and 476.4 nmol/24 h, respectively (ULN: 138 nmol/24 h). Co-morbidities at baseline included hypertension (67.9% of patients), obesity (29.9%), diabetes mellitus (21.9%) and osteoporosis (27.7%).</w:t>
      </w:r>
    </w:p>
    <w:p w14:paraId="1A39B7D1" w14:textId="1E1D3D3B" w:rsidR="009E329A" w:rsidRPr="009E329A" w:rsidRDefault="009E329A" w:rsidP="009C64DE">
      <w:pPr>
        <w:rPr>
          <w:rFonts w:eastAsia="Times New Roman"/>
        </w:rPr>
      </w:pPr>
      <w:r w:rsidRPr="009E329A">
        <w:rPr>
          <w:rFonts w:eastAsia="Times New Roman"/>
        </w:rPr>
        <w:t xml:space="preserve">Patients received a starting dose of 2 mg </w:t>
      </w:r>
      <w:proofErr w:type="spellStart"/>
      <w:r w:rsidRPr="009E329A">
        <w:rPr>
          <w:rFonts w:eastAsia="Times New Roman"/>
        </w:rPr>
        <w:t>osilodrostat</w:t>
      </w:r>
      <w:proofErr w:type="spellEnd"/>
      <w:r w:rsidRPr="009E329A">
        <w:rPr>
          <w:rFonts w:eastAsia="Times New Roman"/>
        </w:rPr>
        <w:t xml:space="preserve"> twice daily and the dose could be up-titrated based on individual response and tolerability during an initial 12-week period. Patients with no further dose increases during the following 12 weeks and w</w:t>
      </w:r>
      <w:r w:rsidRPr="009E329A">
        <w:rPr>
          <w:rFonts w:eastAsia="Times New Roman" w:hint="eastAsia"/>
        </w:rPr>
        <w:t xml:space="preserve">ith a </w:t>
      </w:r>
      <w:proofErr w:type="spellStart"/>
      <w:r w:rsidRPr="009E329A">
        <w:rPr>
          <w:rFonts w:eastAsia="Times New Roman" w:hint="eastAsia"/>
        </w:rPr>
        <w:t>mUFC</w:t>
      </w:r>
      <w:proofErr w:type="spellEnd"/>
      <w:r w:rsidRPr="009E329A">
        <w:rPr>
          <w:rFonts w:eastAsia="Times New Roman" w:hint="eastAsia"/>
        </w:rPr>
        <w:t xml:space="preserve"> </w:t>
      </w:r>
      <w:r w:rsidRPr="009E329A">
        <w:rPr>
          <w:rFonts w:eastAsia="Times New Roman" w:hint="eastAsia"/>
        </w:rPr>
        <w:lastRenderedPageBreak/>
        <w:t xml:space="preserve">≤ULN at week 24 were </w:t>
      </w:r>
      <w:proofErr w:type="spellStart"/>
      <w:r w:rsidRPr="009E329A">
        <w:rPr>
          <w:rFonts w:eastAsia="Times New Roman" w:hint="eastAsia"/>
        </w:rPr>
        <w:t>randomised</w:t>
      </w:r>
      <w:proofErr w:type="spellEnd"/>
      <w:r w:rsidRPr="009E329A">
        <w:rPr>
          <w:rFonts w:eastAsia="Times New Roman" w:hint="eastAsia"/>
        </w:rPr>
        <w:t xml:space="preserve"> in a 1:1 ratio at week 26 to receive either </w:t>
      </w:r>
      <w:proofErr w:type="spellStart"/>
      <w:r w:rsidRPr="009E329A">
        <w:rPr>
          <w:rFonts w:eastAsia="Times New Roman" w:hint="eastAsia"/>
        </w:rPr>
        <w:t>osilodrostat</w:t>
      </w:r>
      <w:proofErr w:type="spellEnd"/>
      <w:r w:rsidRPr="009E329A">
        <w:rPr>
          <w:rFonts w:eastAsia="Times New Roman" w:hint="eastAsia"/>
        </w:rPr>
        <w:t xml:space="preserve"> or matching placebo for 8 weeks (double-blind </w:t>
      </w:r>
      <w:proofErr w:type="spellStart"/>
      <w:r w:rsidRPr="009E329A">
        <w:rPr>
          <w:rFonts w:eastAsia="Times New Roman" w:hint="eastAsia"/>
        </w:rPr>
        <w:t>randomised</w:t>
      </w:r>
      <w:proofErr w:type="spellEnd"/>
      <w:r w:rsidRPr="009E329A">
        <w:rPr>
          <w:rFonts w:eastAsia="Times New Roman" w:hint="eastAsia"/>
        </w:rPr>
        <w:t xml:space="preserve"> withdrawal period), followed by </w:t>
      </w:r>
      <w:proofErr w:type="gramStart"/>
      <w:r w:rsidRPr="009E329A">
        <w:rPr>
          <w:rFonts w:eastAsia="Times New Roman" w:hint="eastAsia"/>
        </w:rPr>
        <w:t>open-label</w:t>
      </w:r>
      <w:proofErr w:type="gramEnd"/>
      <w:r w:rsidRPr="009E329A">
        <w:rPr>
          <w:rFonts w:eastAsia="Times New Roman" w:hint="eastAsia"/>
        </w:rPr>
        <w:t xml:space="preserve"> </w:t>
      </w:r>
      <w:proofErr w:type="spellStart"/>
      <w:r w:rsidRPr="009E329A">
        <w:rPr>
          <w:rFonts w:eastAsia="Times New Roman" w:hint="eastAsia"/>
        </w:rPr>
        <w:t>osilodrostat</w:t>
      </w:r>
      <w:proofErr w:type="spellEnd"/>
      <w:r w:rsidRPr="009E329A">
        <w:rPr>
          <w:rFonts w:eastAsia="Times New Roman" w:hint="eastAsia"/>
        </w:rPr>
        <w:t xml:space="preserve"> for the remainder of the study. At week 26,</w:t>
      </w:r>
      <w:r w:rsidRPr="009E329A">
        <w:rPr>
          <w:rFonts w:eastAsia="Times New Roman"/>
        </w:rPr>
        <w:t xml:space="preserve"> 71 patients were </w:t>
      </w:r>
      <w:proofErr w:type="spellStart"/>
      <w:r w:rsidRPr="009E329A">
        <w:rPr>
          <w:rFonts w:eastAsia="Times New Roman"/>
        </w:rPr>
        <w:t>randomised</w:t>
      </w:r>
      <w:proofErr w:type="spellEnd"/>
      <w:r w:rsidRPr="009E329A">
        <w:rPr>
          <w:rFonts w:eastAsia="Times New Roman"/>
        </w:rPr>
        <w:t xml:space="preserve"> in a 1:1 ratio to continue receiving </w:t>
      </w:r>
      <w:proofErr w:type="spellStart"/>
      <w:r w:rsidRPr="009E329A">
        <w:rPr>
          <w:rFonts w:eastAsia="Times New Roman"/>
        </w:rPr>
        <w:t>osilodrostat</w:t>
      </w:r>
      <w:proofErr w:type="spellEnd"/>
      <w:r w:rsidRPr="009E329A">
        <w:rPr>
          <w:rFonts w:eastAsia="Times New Roman"/>
        </w:rPr>
        <w:t xml:space="preserve"> (n=36) or to switch to placebo (n=35). Patients who were not eligible for </w:t>
      </w:r>
      <w:proofErr w:type="spellStart"/>
      <w:r w:rsidRPr="009E329A">
        <w:rPr>
          <w:rFonts w:eastAsia="Times New Roman"/>
        </w:rPr>
        <w:t>randomisation</w:t>
      </w:r>
      <w:proofErr w:type="spellEnd"/>
      <w:r w:rsidRPr="009E329A">
        <w:rPr>
          <w:rFonts w:eastAsia="Times New Roman"/>
        </w:rPr>
        <w:t xml:space="preserve"> at week 24 (n=47) continued on </w:t>
      </w:r>
      <w:proofErr w:type="gramStart"/>
      <w:r w:rsidRPr="009E329A">
        <w:rPr>
          <w:rFonts w:eastAsia="Times New Roman"/>
        </w:rPr>
        <w:t>open-label</w:t>
      </w:r>
      <w:proofErr w:type="gramEnd"/>
      <w:r w:rsidRPr="009E329A">
        <w:rPr>
          <w:rFonts w:eastAsia="Times New Roman"/>
        </w:rPr>
        <w:t xml:space="preserve"> </w:t>
      </w:r>
      <w:proofErr w:type="spellStart"/>
      <w:r w:rsidRPr="009E329A">
        <w:rPr>
          <w:rFonts w:eastAsia="Times New Roman"/>
        </w:rPr>
        <w:t>osilodrostat</w:t>
      </w:r>
      <w:proofErr w:type="spellEnd"/>
      <w:r w:rsidRPr="009E329A">
        <w:rPr>
          <w:rFonts w:eastAsia="Times New Roman"/>
        </w:rPr>
        <w:t xml:space="preserve"> treatment. </w:t>
      </w:r>
    </w:p>
    <w:p w14:paraId="438AEFD1" w14:textId="6379B7EF" w:rsidR="009E329A" w:rsidRPr="009E329A" w:rsidRDefault="009E329A" w:rsidP="009C64DE">
      <w:pPr>
        <w:rPr>
          <w:rFonts w:eastAsia="Times New Roman"/>
        </w:rPr>
      </w:pPr>
      <w:r w:rsidRPr="009E329A">
        <w:rPr>
          <w:rFonts w:eastAsia="Times New Roman"/>
        </w:rPr>
        <w:t xml:space="preserve">The primary objective was to compare the proportion of complete responders at week 34 (the end of the 8-week </w:t>
      </w:r>
      <w:proofErr w:type="spellStart"/>
      <w:r w:rsidRPr="009E329A">
        <w:rPr>
          <w:rFonts w:eastAsia="Times New Roman"/>
        </w:rPr>
        <w:t>randomised</w:t>
      </w:r>
      <w:proofErr w:type="spellEnd"/>
      <w:r w:rsidRPr="009E329A">
        <w:rPr>
          <w:rFonts w:eastAsia="Times New Roman"/>
        </w:rPr>
        <w:t xml:space="preserve"> withdrawal period) between patients </w:t>
      </w:r>
      <w:proofErr w:type="spellStart"/>
      <w:r w:rsidRPr="009E329A">
        <w:rPr>
          <w:rFonts w:eastAsia="Times New Roman"/>
        </w:rPr>
        <w:t>randomised</w:t>
      </w:r>
      <w:proofErr w:type="spellEnd"/>
      <w:r w:rsidRPr="009E329A">
        <w:rPr>
          <w:rFonts w:eastAsia="Times New Roman"/>
        </w:rPr>
        <w:t xml:space="preserve"> to continued active treatment and placebo. For the primary endpoint, a complete response </w:t>
      </w:r>
      <w:r w:rsidRPr="009E329A">
        <w:rPr>
          <w:rFonts w:eastAsia="Times New Roman" w:hint="eastAsia"/>
        </w:rPr>
        <w:t xml:space="preserve">was defined as a </w:t>
      </w:r>
      <w:proofErr w:type="spellStart"/>
      <w:r w:rsidRPr="009E329A">
        <w:rPr>
          <w:rFonts w:eastAsia="Times New Roman" w:hint="eastAsia"/>
        </w:rPr>
        <w:t>mUFC</w:t>
      </w:r>
      <w:proofErr w:type="spellEnd"/>
      <w:r w:rsidRPr="009E329A">
        <w:rPr>
          <w:rFonts w:eastAsia="Times New Roman" w:hint="eastAsia"/>
        </w:rPr>
        <w:t xml:space="preserve"> value ≤ULN at week 34. Patients whose dose was increased during the </w:t>
      </w:r>
      <w:proofErr w:type="spellStart"/>
      <w:r w:rsidRPr="009E329A">
        <w:rPr>
          <w:rFonts w:eastAsia="Times New Roman" w:hint="eastAsia"/>
        </w:rPr>
        <w:t>randomised</w:t>
      </w:r>
      <w:proofErr w:type="spellEnd"/>
      <w:r w:rsidRPr="009E329A">
        <w:rPr>
          <w:rFonts w:eastAsia="Times New Roman" w:hint="eastAsia"/>
        </w:rPr>
        <w:t xml:space="preserve"> withdrawal period or who discontinued </w:t>
      </w:r>
      <w:proofErr w:type="spellStart"/>
      <w:r w:rsidRPr="009E329A">
        <w:rPr>
          <w:rFonts w:eastAsia="Times New Roman" w:hint="eastAsia"/>
        </w:rPr>
        <w:t>randomised</w:t>
      </w:r>
      <w:proofErr w:type="spellEnd"/>
      <w:r w:rsidRPr="009E329A">
        <w:rPr>
          <w:rFonts w:eastAsia="Times New Roman" w:hint="eastAsia"/>
        </w:rPr>
        <w:t xml:space="preserve"> treatment were considered non-responders. The key secondary endpoint was the complete response rate at wee</w:t>
      </w:r>
      <w:r w:rsidRPr="009E329A">
        <w:rPr>
          <w:rFonts w:eastAsia="Times New Roman"/>
        </w:rPr>
        <w:t xml:space="preserve">k 24. Patients with dose increases between weeks 12 and 24 and patients with no valid </w:t>
      </w:r>
      <w:proofErr w:type="spellStart"/>
      <w:r w:rsidRPr="009E329A">
        <w:rPr>
          <w:rFonts w:eastAsia="Times New Roman"/>
        </w:rPr>
        <w:t>mUFC</w:t>
      </w:r>
      <w:proofErr w:type="spellEnd"/>
      <w:r w:rsidRPr="009E329A">
        <w:rPr>
          <w:rFonts w:eastAsia="Times New Roman"/>
        </w:rPr>
        <w:t xml:space="preserve"> assessment at week 24 were counted as non-responders for the key secondary endpoint. </w:t>
      </w:r>
    </w:p>
    <w:p w14:paraId="747992DD" w14:textId="37CF58FF" w:rsidR="009E329A" w:rsidRPr="009E329A" w:rsidRDefault="009E329A" w:rsidP="009C64DE">
      <w:pPr>
        <w:rPr>
          <w:rFonts w:eastAsia="Times New Roman"/>
        </w:rPr>
      </w:pPr>
      <w:r w:rsidRPr="009E329A">
        <w:rPr>
          <w:rFonts w:eastAsia="Times New Roman"/>
        </w:rPr>
        <w:t xml:space="preserve">The study met its primary and key secondary endpoints (Table 2). </w:t>
      </w:r>
    </w:p>
    <w:p w14:paraId="2D106B3F" w14:textId="450FC807" w:rsidR="009E329A" w:rsidRPr="009C64DE" w:rsidRDefault="009E329A" w:rsidP="009C64DE">
      <w:pPr>
        <w:rPr>
          <w:rFonts w:eastAsia="Times New Roman"/>
        </w:rPr>
      </w:pPr>
      <w:r w:rsidRPr="009E329A">
        <w:rPr>
          <w:rFonts w:eastAsia="Times New Roman"/>
        </w:rPr>
        <w:t xml:space="preserve">Median </w:t>
      </w:r>
      <w:proofErr w:type="spellStart"/>
      <w:r w:rsidRPr="009E329A">
        <w:rPr>
          <w:rFonts w:eastAsia="Times New Roman"/>
        </w:rPr>
        <w:t>mUFC</w:t>
      </w:r>
      <w:proofErr w:type="spellEnd"/>
      <w:r w:rsidRPr="009E329A">
        <w:rPr>
          <w:rFonts w:eastAsia="Times New Roman"/>
        </w:rPr>
        <w:t xml:space="preserve"> levels decreased to 62.5 nmol/24 h (-84.1% change from baseline, n=125) at week 12, to 75.5 nmol/24 h (-82.3%, n=125) at week 24 and to 63.3 nmol/24 h (-87.9%, n=108) at week 48.</w:t>
      </w:r>
    </w:p>
    <w:p w14:paraId="166B7E64" w14:textId="09797F54" w:rsidR="009E329A" w:rsidRPr="009C64DE" w:rsidRDefault="009E329A" w:rsidP="009C64DE">
      <w:pPr>
        <w:rPr>
          <w:b/>
        </w:rPr>
      </w:pPr>
      <w:r w:rsidRPr="009E329A">
        <w:rPr>
          <w:b/>
        </w:rPr>
        <w:t>Table 2 Key results: Phase III study in Cushing’s disease patients (study C2301)</w:t>
      </w:r>
    </w:p>
    <w:tbl>
      <w:tblPr>
        <w:tblStyle w:val="TableGrid"/>
        <w:tblW w:w="0" w:type="auto"/>
        <w:tblLook w:val="04A0" w:firstRow="1" w:lastRow="0" w:firstColumn="1" w:lastColumn="0" w:noHBand="0" w:noVBand="1"/>
      </w:tblPr>
      <w:tblGrid>
        <w:gridCol w:w="2254"/>
        <w:gridCol w:w="2254"/>
        <w:gridCol w:w="2254"/>
        <w:gridCol w:w="2254"/>
      </w:tblGrid>
      <w:tr w:rsidR="009E329A" w14:paraId="484B1EF9" w14:textId="77777777" w:rsidTr="009E329A">
        <w:tc>
          <w:tcPr>
            <w:tcW w:w="2254" w:type="dxa"/>
          </w:tcPr>
          <w:p w14:paraId="3E34F4AE" w14:textId="77777777" w:rsidR="009E329A" w:rsidRDefault="009E329A" w:rsidP="0021556A"/>
        </w:tc>
        <w:tc>
          <w:tcPr>
            <w:tcW w:w="2254" w:type="dxa"/>
          </w:tcPr>
          <w:p w14:paraId="109B9F24" w14:textId="4384FA21" w:rsidR="009E329A" w:rsidRPr="009E329A" w:rsidRDefault="009E329A" w:rsidP="0021556A">
            <w:pPr>
              <w:rPr>
                <w:b/>
                <w:bCs/>
              </w:rPr>
            </w:pPr>
            <w:proofErr w:type="spellStart"/>
            <w:r w:rsidRPr="009E329A">
              <w:rPr>
                <w:b/>
                <w:bCs/>
              </w:rPr>
              <w:t>Osilodrostat</w:t>
            </w:r>
            <w:proofErr w:type="spellEnd"/>
            <w:r w:rsidRPr="009E329A">
              <w:rPr>
                <w:b/>
                <w:bCs/>
              </w:rPr>
              <w:t xml:space="preserve"> n=36</w:t>
            </w:r>
          </w:p>
        </w:tc>
        <w:tc>
          <w:tcPr>
            <w:tcW w:w="2254" w:type="dxa"/>
          </w:tcPr>
          <w:p w14:paraId="3D34D915" w14:textId="0436AF7D" w:rsidR="009E329A" w:rsidRPr="009E329A" w:rsidRDefault="009E329A" w:rsidP="0021556A">
            <w:pPr>
              <w:rPr>
                <w:b/>
                <w:bCs/>
              </w:rPr>
            </w:pPr>
            <w:r w:rsidRPr="009E329A">
              <w:rPr>
                <w:b/>
                <w:bCs/>
              </w:rPr>
              <w:t>Placebo n=34</w:t>
            </w:r>
          </w:p>
        </w:tc>
        <w:tc>
          <w:tcPr>
            <w:tcW w:w="2254" w:type="dxa"/>
          </w:tcPr>
          <w:p w14:paraId="2F78CC87" w14:textId="77777777" w:rsidR="009E329A" w:rsidRDefault="009E329A" w:rsidP="0021556A"/>
        </w:tc>
      </w:tr>
      <w:tr w:rsidR="009E329A" w14:paraId="0701B798" w14:textId="77777777" w:rsidTr="009E329A">
        <w:tc>
          <w:tcPr>
            <w:tcW w:w="2254" w:type="dxa"/>
          </w:tcPr>
          <w:p w14:paraId="04F01EB0" w14:textId="6445AAC2" w:rsidR="009E329A" w:rsidRDefault="009E329A" w:rsidP="0021556A">
            <w:r w:rsidRPr="009E329A">
              <w:rPr>
                <w:b/>
                <w:bCs/>
              </w:rPr>
              <w:t>Primary endpoint:</w:t>
            </w:r>
            <w:r w:rsidRPr="009E329A">
              <w:t xml:space="preserve"> Proportion of responders at the end of the </w:t>
            </w:r>
            <w:proofErr w:type="spellStart"/>
            <w:r w:rsidRPr="009E329A">
              <w:t>randomised</w:t>
            </w:r>
            <w:proofErr w:type="spellEnd"/>
            <w:r w:rsidRPr="009E329A">
              <w:t xml:space="preserve"> withdrawal period (week 34) n (%) (95% CI)</w:t>
            </w:r>
          </w:p>
        </w:tc>
        <w:tc>
          <w:tcPr>
            <w:tcW w:w="2254" w:type="dxa"/>
          </w:tcPr>
          <w:p w14:paraId="2DFF1969" w14:textId="77777777" w:rsidR="009E329A" w:rsidRDefault="009E329A" w:rsidP="0021556A">
            <w:r w:rsidRPr="009E329A">
              <w:t xml:space="preserve">31 (86.1) </w:t>
            </w:r>
          </w:p>
          <w:p w14:paraId="0AD5EC74" w14:textId="6CBD1C99" w:rsidR="009E329A" w:rsidRDefault="009E329A" w:rsidP="0021556A">
            <w:r w:rsidRPr="009E329A">
              <w:t>(70.5, 95.3)</w:t>
            </w:r>
          </w:p>
        </w:tc>
        <w:tc>
          <w:tcPr>
            <w:tcW w:w="2254" w:type="dxa"/>
          </w:tcPr>
          <w:p w14:paraId="7C56D04A" w14:textId="77777777" w:rsidR="009E329A" w:rsidRDefault="009E329A" w:rsidP="0021556A">
            <w:r w:rsidRPr="009E329A">
              <w:t xml:space="preserve">10 (29.4) </w:t>
            </w:r>
          </w:p>
          <w:p w14:paraId="4BDCDF8D" w14:textId="2C0CA65C" w:rsidR="009E329A" w:rsidRDefault="009E329A" w:rsidP="0021556A">
            <w:r w:rsidRPr="009E329A">
              <w:t>(15.1, 47.5)</w:t>
            </w:r>
          </w:p>
        </w:tc>
        <w:tc>
          <w:tcPr>
            <w:tcW w:w="2254" w:type="dxa"/>
          </w:tcPr>
          <w:p w14:paraId="73791403" w14:textId="77777777" w:rsidR="009E329A" w:rsidRDefault="009E329A" w:rsidP="0021556A"/>
        </w:tc>
      </w:tr>
      <w:tr w:rsidR="009E329A" w14:paraId="25DB7C1E" w14:textId="77777777" w:rsidTr="00553441">
        <w:tc>
          <w:tcPr>
            <w:tcW w:w="2254" w:type="dxa"/>
          </w:tcPr>
          <w:p w14:paraId="2C38C7E6" w14:textId="64801251" w:rsidR="009E329A" w:rsidRPr="009E329A" w:rsidRDefault="009E329A" w:rsidP="0021556A">
            <w:pPr>
              <w:rPr>
                <w:b/>
                <w:bCs/>
              </w:rPr>
            </w:pPr>
            <w:r w:rsidRPr="009E329A">
              <w:rPr>
                <w:b/>
                <w:bCs/>
              </w:rPr>
              <w:t xml:space="preserve">Response rate difference (odds ratio): </w:t>
            </w:r>
            <w:proofErr w:type="spellStart"/>
            <w:r w:rsidRPr="009E329A">
              <w:t>osilodrostat</w:t>
            </w:r>
            <w:proofErr w:type="spellEnd"/>
            <w:r w:rsidRPr="009E329A">
              <w:t xml:space="preserve"> vs. placebo</w:t>
            </w:r>
          </w:p>
        </w:tc>
        <w:tc>
          <w:tcPr>
            <w:tcW w:w="4508" w:type="dxa"/>
            <w:gridSpan w:val="2"/>
          </w:tcPr>
          <w:p w14:paraId="6627FC28" w14:textId="77777777" w:rsidR="009E329A" w:rsidRDefault="009E329A" w:rsidP="0021556A">
            <w:r w:rsidRPr="009E329A">
              <w:t xml:space="preserve">13.7 (3.7, 53.4) </w:t>
            </w:r>
          </w:p>
          <w:p w14:paraId="1E6719A4" w14:textId="6810C37A" w:rsidR="009E329A" w:rsidRPr="009E329A" w:rsidRDefault="009E329A" w:rsidP="0021556A">
            <w:r w:rsidRPr="009E329A">
              <w:t>2-sided p value &lt;0.001</w:t>
            </w:r>
          </w:p>
        </w:tc>
        <w:tc>
          <w:tcPr>
            <w:tcW w:w="2254" w:type="dxa"/>
          </w:tcPr>
          <w:p w14:paraId="744F6B7C" w14:textId="77777777" w:rsidR="009E329A" w:rsidRDefault="009E329A" w:rsidP="0021556A"/>
        </w:tc>
      </w:tr>
      <w:tr w:rsidR="001A7652" w14:paraId="710E49B1" w14:textId="77777777" w:rsidTr="00293472">
        <w:tc>
          <w:tcPr>
            <w:tcW w:w="6762" w:type="dxa"/>
            <w:gridSpan w:val="3"/>
          </w:tcPr>
          <w:p w14:paraId="5E303038" w14:textId="032E470F" w:rsidR="001A7652" w:rsidRPr="001A7652" w:rsidRDefault="001A7652" w:rsidP="0021556A">
            <w:pPr>
              <w:rPr>
                <w:b/>
                <w:bCs/>
              </w:rPr>
            </w:pPr>
            <w:r w:rsidRPr="001A7652">
              <w:rPr>
                <w:b/>
                <w:bCs/>
              </w:rPr>
              <w:t>Secondary endpoints</w:t>
            </w:r>
          </w:p>
        </w:tc>
        <w:tc>
          <w:tcPr>
            <w:tcW w:w="2254" w:type="dxa"/>
          </w:tcPr>
          <w:p w14:paraId="79B6B36D" w14:textId="3835D7E5" w:rsidR="001A7652" w:rsidRPr="001A7652" w:rsidRDefault="001A7652" w:rsidP="0021556A">
            <w:pPr>
              <w:rPr>
                <w:b/>
                <w:bCs/>
              </w:rPr>
            </w:pPr>
            <w:r w:rsidRPr="001A7652">
              <w:rPr>
                <w:b/>
                <w:bCs/>
              </w:rPr>
              <w:t>All patients N=137</w:t>
            </w:r>
          </w:p>
        </w:tc>
      </w:tr>
      <w:tr w:rsidR="001A7652" w14:paraId="1A11CFE5" w14:textId="77777777" w:rsidTr="00293472">
        <w:tc>
          <w:tcPr>
            <w:tcW w:w="6762" w:type="dxa"/>
            <w:gridSpan w:val="3"/>
          </w:tcPr>
          <w:p w14:paraId="41069B08" w14:textId="60C837C1" w:rsidR="001A7652" w:rsidRPr="001A7652" w:rsidRDefault="001A7652" w:rsidP="0021556A">
            <w:r w:rsidRPr="001A7652">
              <w:rPr>
                <w:rFonts w:hint="eastAsia"/>
              </w:rPr>
              <w:t xml:space="preserve">Key secondary endpoint: Proportion with </w:t>
            </w:r>
            <w:proofErr w:type="spellStart"/>
            <w:r w:rsidRPr="001A7652">
              <w:rPr>
                <w:rFonts w:hint="eastAsia"/>
              </w:rPr>
              <w:t>mUFC</w:t>
            </w:r>
            <w:proofErr w:type="spellEnd"/>
            <w:r w:rsidRPr="001A7652">
              <w:rPr>
                <w:rFonts w:hint="eastAsia"/>
              </w:rPr>
              <w:t xml:space="preserve"> </w:t>
            </w:r>
            <w:r w:rsidRPr="001A7652">
              <w:rPr>
                <w:rFonts w:hint="eastAsia"/>
              </w:rPr>
              <w:t>≤</w:t>
            </w:r>
            <w:r w:rsidRPr="001A7652">
              <w:rPr>
                <w:rFonts w:hint="eastAsia"/>
              </w:rPr>
              <w:t>ULN at week 24 and no dose increase after week 12 (95% CI)</w:t>
            </w:r>
          </w:p>
        </w:tc>
        <w:tc>
          <w:tcPr>
            <w:tcW w:w="2254" w:type="dxa"/>
          </w:tcPr>
          <w:p w14:paraId="3576651D" w14:textId="55DD3177" w:rsidR="001A7652" w:rsidRPr="001A7652" w:rsidRDefault="001A7652" w:rsidP="0021556A">
            <w:r w:rsidRPr="001A7652">
              <w:t>72 (52.6%) (43.9, 61.1)</w:t>
            </w:r>
          </w:p>
        </w:tc>
      </w:tr>
      <w:tr w:rsidR="001A7652" w14:paraId="35B73425" w14:textId="77777777" w:rsidTr="00293472">
        <w:tc>
          <w:tcPr>
            <w:tcW w:w="6762" w:type="dxa"/>
            <w:gridSpan w:val="3"/>
          </w:tcPr>
          <w:p w14:paraId="601D149C" w14:textId="1BC11F16" w:rsidR="001A7652" w:rsidRPr="001A7652" w:rsidRDefault="001A7652" w:rsidP="0021556A">
            <w:r w:rsidRPr="001A7652">
              <w:rPr>
                <w:rFonts w:hint="eastAsia"/>
              </w:rPr>
              <w:t xml:space="preserve">Complete </w:t>
            </w:r>
            <w:proofErr w:type="spellStart"/>
            <w:r w:rsidRPr="001A7652">
              <w:rPr>
                <w:rFonts w:hint="eastAsia"/>
              </w:rPr>
              <w:t>mUFC</w:t>
            </w:r>
            <w:proofErr w:type="spellEnd"/>
            <w:r w:rsidRPr="001A7652">
              <w:rPr>
                <w:rFonts w:hint="eastAsia"/>
              </w:rPr>
              <w:t xml:space="preserve"> response rate (</w:t>
            </w:r>
            <w:proofErr w:type="spellStart"/>
            <w:r w:rsidRPr="001A7652">
              <w:rPr>
                <w:rFonts w:hint="eastAsia"/>
              </w:rPr>
              <w:t>mUFC</w:t>
            </w:r>
            <w:proofErr w:type="spellEnd"/>
            <w:r w:rsidRPr="001A7652">
              <w:rPr>
                <w:rFonts w:hint="eastAsia"/>
              </w:rPr>
              <w:t xml:space="preserve"> </w:t>
            </w:r>
            <w:r w:rsidRPr="001A7652">
              <w:rPr>
                <w:rFonts w:hint="eastAsia"/>
              </w:rPr>
              <w:t>≤</w:t>
            </w:r>
            <w:r w:rsidRPr="001A7652">
              <w:rPr>
                <w:rFonts w:hint="eastAsia"/>
              </w:rPr>
              <w:t>ULN) at week 48</w:t>
            </w:r>
          </w:p>
        </w:tc>
        <w:tc>
          <w:tcPr>
            <w:tcW w:w="2254" w:type="dxa"/>
          </w:tcPr>
          <w:p w14:paraId="7533A160" w14:textId="77777777" w:rsidR="001A7652" w:rsidRPr="001A7652" w:rsidRDefault="001A7652" w:rsidP="0021556A">
            <w:r w:rsidRPr="001A7652">
              <w:t xml:space="preserve">91 (66.4%) </w:t>
            </w:r>
          </w:p>
          <w:p w14:paraId="56AC9404" w14:textId="31326403" w:rsidR="001A7652" w:rsidRPr="001A7652" w:rsidRDefault="001A7652" w:rsidP="0021556A">
            <w:r w:rsidRPr="001A7652">
              <w:lastRenderedPageBreak/>
              <w:t>(57.9, 74.3)</w:t>
            </w:r>
          </w:p>
        </w:tc>
      </w:tr>
      <w:tr w:rsidR="001A7652" w14:paraId="63C83F5E" w14:textId="77777777" w:rsidTr="00293472">
        <w:tc>
          <w:tcPr>
            <w:tcW w:w="6762" w:type="dxa"/>
            <w:gridSpan w:val="3"/>
          </w:tcPr>
          <w:p w14:paraId="123FBF8D" w14:textId="0067DADF" w:rsidR="001A7652" w:rsidRPr="001A7652" w:rsidRDefault="001A7652" w:rsidP="0021556A">
            <w:r w:rsidRPr="001A7652">
              <w:lastRenderedPageBreak/>
              <w:t xml:space="preserve">Median </w:t>
            </w:r>
            <w:proofErr w:type="spellStart"/>
            <w:r w:rsidRPr="001A7652">
              <w:t>mUFC</w:t>
            </w:r>
            <w:proofErr w:type="spellEnd"/>
            <w:r w:rsidRPr="001A7652">
              <w:t xml:space="preserve"> value and percentage change at week 48</w:t>
            </w:r>
          </w:p>
        </w:tc>
        <w:tc>
          <w:tcPr>
            <w:tcW w:w="2254" w:type="dxa"/>
          </w:tcPr>
          <w:p w14:paraId="32A44A6E" w14:textId="524A062D" w:rsidR="001A7652" w:rsidRPr="001A7652" w:rsidRDefault="001A7652" w:rsidP="0021556A">
            <w:r w:rsidRPr="001A7652">
              <w:t>63.3 nmol/24 h (-87.9%)</w:t>
            </w:r>
          </w:p>
        </w:tc>
      </w:tr>
      <w:tr w:rsidR="001A7652" w14:paraId="0A372CE5" w14:textId="77777777" w:rsidTr="008007A6">
        <w:tc>
          <w:tcPr>
            <w:tcW w:w="9016" w:type="dxa"/>
            <w:gridSpan w:val="4"/>
          </w:tcPr>
          <w:p w14:paraId="3D33E078" w14:textId="22C6DF93" w:rsidR="001A7652" w:rsidRPr="001A7652" w:rsidRDefault="001A7652" w:rsidP="0021556A">
            <w:proofErr w:type="spellStart"/>
            <w:r w:rsidRPr="001A7652">
              <w:rPr>
                <w:rFonts w:hint="eastAsia"/>
              </w:rPr>
              <w:t>mUFC</w:t>
            </w:r>
            <w:proofErr w:type="spellEnd"/>
            <w:r w:rsidRPr="001A7652">
              <w:rPr>
                <w:rFonts w:hint="eastAsia"/>
              </w:rPr>
              <w:t xml:space="preserve">: mean urinary free cortisol; ULN: upper limit of normal; CI: confidence interval; response: </w:t>
            </w:r>
            <w:proofErr w:type="spellStart"/>
            <w:r w:rsidRPr="001A7652">
              <w:rPr>
                <w:rFonts w:hint="eastAsia"/>
              </w:rPr>
              <w:t>mUFC</w:t>
            </w:r>
            <w:proofErr w:type="spellEnd"/>
            <w:r w:rsidRPr="001A7652">
              <w:rPr>
                <w:rFonts w:hint="eastAsia"/>
              </w:rPr>
              <w:t xml:space="preserve"> </w:t>
            </w:r>
            <w:r w:rsidRPr="001A7652">
              <w:rPr>
                <w:rFonts w:hint="eastAsia"/>
              </w:rPr>
              <w:t>≤</w:t>
            </w:r>
            <w:r w:rsidRPr="001A7652">
              <w:rPr>
                <w:rFonts w:hint="eastAsia"/>
              </w:rPr>
              <w:t>ULN.</w:t>
            </w:r>
          </w:p>
        </w:tc>
      </w:tr>
    </w:tbl>
    <w:p w14:paraId="0CF89F76" w14:textId="390A354E" w:rsidR="009E329A" w:rsidRDefault="009E329A" w:rsidP="009C64DE"/>
    <w:p w14:paraId="1C5147C1" w14:textId="15165CBC" w:rsidR="009E329A" w:rsidRPr="009C64DE" w:rsidRDefault="009E329A" w:rsidP="009C64DE">
      <w:r w:rsidRPr="009E329A">
        <w:t>Improvements were observed in cardiovascular and metabolic parameters (Table 3) and 85.6% of patients with available assessments showed an improvement in at least one physical feature of Cushing’s disease at week 48.</w:t>
      </w:r>
    </w:p>
    <w:p w14:paraId="4BC152C2" w14:textId="15F05A03" w:rsidR="001A7652" w:rsidRPr="009C64DE" w:rsidRDefault="001A7652" w:rsidP="009C64DE">
      <w:pPr>
        <w:rPr>
          <w:b/>
          <w:bCs/>
          <w:sz w:val="22"/>
          <w:szCs w:val="22"/>
        </w:rPr>
      </w:pPr>
      <w:r w:rsidRPr="00571DD5">
        <w:rPr>
          <w:b/>
          <w:bCs/>
          <w:sz w:val="22"/>
          <w:szCs w:val="22"/>
        </w:rPr>
        <w:t>Table 3 Cardiovascular and metabolic parameters</w:t>
      </w:r>
    </w:p>
    <w:tbl>
      <w:tblPr>
        <w:tblStyle w:val="TableGrid"/>
        <w:tblW w:w="0" w:type="auto"/>
        <w:tblLook w:val="04A0" w:firstRow="1" w:lastRow="0" w:firstColumn="1" w:lastColumn="0" w:noHBand="0" w:noVBand="1"/>
      </w:tblPr>
      <w:tblGrid>
        <w:gridCol w:w="2254"/>
        <w:gridCol w:w="2254"/>
        <w:gridCol w:w="2254"/>
        <w:gridCol w:w="2254"/>
      </w:tblGrid>
      <w:tr w:rsidR="001A7652" w14:paraId="688497D9" w14:textId="77777777" w:rsidTr="001A7652">
        <w:tc>
          <w:tcPr>
            <w:tcW w:w="2254" w:type="dxa"/>
          </w:tcPr>
          <w:p w14:paraId="7AB73420" w14:textId="77777777" w:rsidR="001A7652" w:rsidRDefault="001A7652" w:rsidP="001A7652">
            <w:pPr>
              <w:rPr>
                <w:b/>
                <w:bCs/>
              </w:rPr>
            </w:pPr>
          </w:p>
        </w:tc>
        <w:tc>
          <w:tcPr>
            <w:tcW w:w="2254" w:type="dxa"/>
          </w:tcPr>
          <w:p w14:paraId="6157AEB4" w14:textId="63200A8A" w:rsidR="001A7652" w:rsidRDefault="001A7652" w:rsidP="001A7652">
            <w:pPr>
              <w:rPr>
                <w:b/>
                <w:bCs/>
              </w:rPr>
            </w:pPr>
            <w:r>
              <w:rPr>
                <w:b/>
                <w:bCs/>
              </w:rPr>
              <w:t>Baseline</w:t>
            </w:r>
          </w:p>
        </w:tc>
        <w:tc>
          <w:tcPr>
            <w:tcW w:w="2254" w:type="dxa"/>
          </w:tcPr>
          <w:p w14:paraId="7BD60BA0" w14:textId="2096C47E" w:rsidR="001A7652" w:rsidRDefault="001A7652" w:rsidP="001A7652">
            <w:pPr>
              <w:rPr>
                <w:b/>
                <w:bCs/>
              </w:rPr>
            </w:pPr>
            <w:r>
              <w:rPr>
                <w:b/>
                <w:bCs/>
              </w:rPr>
              <w:t>Week 24</w:t>
            </w:r>
          </w:p>
        </w:tc>
        <w:tc>
          <w:tcPr>
            <w:tcW w:w="2254" w:type="dxa"/>
          </w:tcPr>
          <w:p w14:paraId="5D88E9F7" w14:textId="5CF6CEB5" w:rsidR="001A7652" w:rsidRDefault="001A7652" w:rsidP="001A7652">
            <w:pPr>
              <w:rPr>
                <w:b/>
                <w:bCs/>
              </w:rPr>
            </w:pPr>
            <w:r>
              <w:rPr>
                <w:b/>
                <w:bCs/>
              </w:rPr>
              <w:t>Week 48</w:t>
            </w:r>
          </w:p>
        </w:tc>
      </w:tr>
      <w:tr w:rsidR="001A7652" w14:paraId="129A479A" w14:textId="77777777" w:rsidTr="001A7652">
        <w:tc>
          <w:tcPr>
            <w:tcW w:w="2254" w:type="dxa"/>
          </w:tcPr>
          <w:p w14:paraId="41C247FC" w14:textId="51868EDB" w:rsidR="001A7652" w:rsidRPr="001A7652" w:rsidRDefault="001A7652" w:rsidP="001A7652">
            <w:r w:rsidRPr="001A7652">
              <w:t>Systolic blood pressure (mmHg)</w:t>
            </w:r>
          </w:p>
        </w:tc>
        <w:tc>
          <w:tcPr>
            <w:tcW w:w="2254" w:type="dxa"/>
          </w:tcPr>
          <w:p w14:paraId="55505474" w14:textId="02B67C2D" w:rsidR="001A7652" w:rsidRPr="001A7652" w:rsidRDefault="001A7652" w:rsidP="001A7652">
            <w:r w:rsidRPr="001A7652">
              <w:t>132.2</w:t>
            </w:r>
          </w:p>
        </w:tc>
        <w:tc>
          <w:tcPr>
            <w:tcW w:w="2254" w:type="dxa"/>
          </w:tcPr>
          <w:p w14:paraId="05C4D20B" w14:textId="21E476BB" w:rsidR="001A7652" w:rsidRPr="001A7652" w:rsidRDefault="001A7652" w:rsidP="001A7652">
            <w:r w:rsidRPr="001A7652">
              <w:t>124.9 (-4.1%)</w:t>
            </w:r>
          </w:p>
        </w:tc>
        <w:tc>
          <w:tcPr>
            <w:tcW w:w="2254" w:type="dxa"/>
          </w:tcPr>
          <w:p w14:paraId="6ABA92B0" w14:textId="58A7308C" w:rsidR="001A7652" w:rsidRPr="001A7652" w:rsidRDefault="001A7652" w:rsidP="001A7652">
            <w:r w:rsidRPr="001A7652">
              <w:t>121.7 (-6.8%)</w:t>
            </w:r>
          </w:p>
        </w:tc>
      </w:tr>
      <w:tr w:rsidR="001A7652" w14:paraId="64942C76" w14:textId="77777777" w:rsidTr="001A7652">
        <w:tc>
          <w:tcPr>
            <w:tcW w:w="2254" w:type="dxa"/>
          </w:tcPr>
          <w:p w14:paraId="43B9945F" w14:textId="7D75D920" w:rsidR="001A7652" w:rsidRPr="001A7652" w:rsidRDefault="001A7652" w:rsidP="001A7652">
            <w:r w:rsidRPr="001A7652">
              <w:t>Diastolic blood pressure (mmHg)</w:t>
            </w:r>
          </w:p>
        </w:tc>
        <w:tc>
          <w:tcPr>
            <w:tcW w:w="2254" w:type="dxa"/>
          </w:tcPr>
          <w:p w14:paraId="417DC78B" w14:textId="17305C28" w:rsidR="001A7652" w:rsidRPr="001A7652" w:rsidRDefault="001A7652" w:rsidP="001A7652">
            <w:r w:rsidRPr="001A7652">
              <w:t>85.3</w:t>
            </w:r>
          </w:p>
        </w:tc>
        <w:tc>
          <w:tcPr>
            <w:tcW w:w="2254" w:type="dxa"/>
          </w:tcPr>
          <w:p w14:paraId="115D00D5" w14:textId="4DE59F74" w:rsidR="001A7652" w:rsidRPr="001A7652" w:rsidRDefault="001A7652" w:rsidP="001A7652">
            <w:r w:rsidRPr="001A7652">
              <w:t>81.0 (-3.8%)</w:t>
            </w:r>
          </w:p>
        </w:tc>
        <w:tc>
          <w:tcPr>
            <w:tcW w:w="2254" w:type="dxa"/>
          </w:tcPr>
          <w:p w14:paraId="37F59CFB" w14:textId="71616371" w:rsidR="001A7652" w:rsidRPr="001A7652" w:rsidRDefault="001A7652" w:rsidP="001A7652">
            <w:r w:rsidRPr="001A7652">
              <w:t>78.9 (-6.6%)</w:t>
            </w:r>
          </w:p>
        </w:tc>
      </w:tr>
      <w:tr w:rsidR="001A7652" w14:paraId="3AA1B7C6" w14:textId="77777777" w:rsidTr="001A7652">
        <w:tc>
          <w:tcPr>
            <w:tcW w:w="2254" w:type="dxa"/>
          </w:tcPr>
          <w:p w14:paraId="237A9E8F" w14:textId="4605DBCB" w:rsidR="001A7652" w:rsidRPr="001A7652" w:rsidRDefault="001A7652" w:rsidP="001A7652">
            <w:pPr>
              <w:jc w:val="center"/>
            </w:pPr>
            <w:r w:rsidRPr="001A7652">
              <w:t>Body weight (kg)</w:t>
            </w:r>
          </w:p>
        </w:tc>
        <w:tc>
          <w:tcPr>
            <w:tcW w:w="2254" w:type="dxa"/>
          </w:tcPr>
          <w:p w14:paraId="322198CF" w14:textId="7B1D1CB7" w:rsidR="001A7652" w:rsidRPr="001A7652" w:rsidRDefault="001A7652" w:rsidP="001A7652">
            <w:r w:rsidRPr="001A7652">
              <w:t>80.8</w:t>
            </w:r>
          </w:p>
        </w:tc>
        <w:tc>
          <w:tcPr>
            <w:tcW w:w="2254" w:type="dxa"/>
          </w:tcPr>
          <w:p w14:paraId="4DF01444" w14:textId="18CBF69A" w:rsidR="001A7652" w:rsidRPr="001A7652" w:rsidRDefault="001A7652" w:rsidP="001A7652">
            <w:r w:rsidRPr="001A7652">
              <w:t>77.3 (-3.0%)</w:t>
            </w:r>
          </w:p>
        </w:tc>
        <w:tc>
          <w:tcPr>
            <w:tcW w:w="2254" w:type="dxa"/>
          </w:tcPr>
          <w:p w14:paraId="0E465118" w14:textId="06A85C67" w:rsidR="001A7652" w:rsidRPr="001A7652" w:rsidRDefault="001A7652" w:rsidP="001A7652">
            <w:r w:rsidRPr="001A7652">
              <w:t>75.5 (-4.6%)</w:t>
            </w:r>
          </w:p>
        </w:tc>
      </w:tr>
      <w:tr w:rsidR="001A7652" w14:paraId="1B7A2913" w14:textId="77777777" w:rsidTr="001A7652">
        <w:tc>
          <w:tcPr>
            <w:tcW w:w="2254" w:type="dxa"/>
          </w:tcPr>
          <w:p w14:paraId="6913E74A" w14:textId="0BFE9B15" w:rsidR="001A7652" w:rsidRPr="001A7652" w:rsidRDefault="001A7652" w:rsidP="001A7652">
            <w:r w:rsidRPr="001A7652">
              <w:t>Waist circumference (cm)</w:t>
            </w:r>
          </w:p>
        </w:tc>
        <w:tc>
          <w:tcPr>
            <w:tcW w:w="2254" w:type="dxa"/>
          </w:tcPr>
          <w:p w14:paraId="3B9D0336" w14:textId="0993D155" w:rsidR="001A7652" w:rsidRPr="001A7652" w:rsidRDefault="001A7652" w:rsidP="001A7652">
            <w:r w:rsidRPr="001A7652">
              <w:t>103.4</w:t>
            </w:r>
          </w:p>
        </w:tc>
        <w:tc>
          <w:tcPr>
            <w:tcW w:w="2254" w:type="dxa"/>
          </w:tcPr>
          <w:p w14:paraId="1190F5BA" w14:textId="0A89535B" w:rsidR="001A7652" w:rsidRPr="001A7652" w:rsidRDefault="001A7652" w:rsidP="001A7652">
            <w:r w:rsidRPr="001A7652">
              <w:t>99.1 (-2.6%)</w:t>
            </w:r>
          </w:p>
        </w:tc>
        <w:tc>
          <w:tcPr>
            <w:tcW w:w="2254" w:type="dxa"/>
          </w:tcPr>
          <w:p w14:paraId="012FA283" w14:textId="4066EC08" w:rsidR="001A7652" w:rsidRPr="001A7652" w:rsidRDefault="001A7652" w:rsidP="001A7652">
            <w:r w:rsidRPr="001A7652">
              <w:t>97.4 (-4.2%)</w:t>
            </w:r>
          </w:p>
        </w:tc>
      </w:tr>
      <w:tr w:rsidR="001A7652" w14:paraId="2808674D" w14:textId="77777777" w:rsidTr="001A7652">
        <w:tc>
          <w:tcPr>
            <w:tcW w:w="2254" w:type="dxa"/>
          </w:tcPr>
          <w:p w14:paraId="38867B32" w14:textId="38416C39" w:rsidR="001A7652" w:rsidRPr="001A7652" w:rsidRDefault="001A7652" w:rsidP="001A7652">
            <w:r w:rsidRPr="001A7652">
              <w:t>HbA1c (%)</w:t>
            </w:r>
          </w:p>
        </w:tc>
        <w:tc>
          <w:tcPr>
            <w:tcW w:w="2254" w:type="dxa"/>
          </w:tcPr>
          <w:p w14:paraId="1A310279" w14:textId="5F6FF98C" w:rsidR="001A7652" w:rsidRPr="001A7652" w:rsidRDefault="001A7652" w:rsidP="001A7652">
            <w:r w:rsidRPr="001A7652">
              <w:t>6.0</w:t>
            </w:r>
          </w:p>
        </w:tc>
        <w:tc>
          <w:tcPr>
            <w:tcW w:w="2254" w:type="dxa"/>
          </w:tcPr>
          <w:p w14:paraId="65389AE5" w14:textId="5306E0BE" w:rsidR="001A7652" w:rsidRPr="001A7652" w:rsidRDefault="001A7652" w:rsidP="001A7652">
            <w:r w:rsidRPr="001A7652">
              <w:t>5.6 (-4.6%)</w:t>
            </w:r>
          </w:p>
        </w:tc>
        <w:tc>
          <w:tcPr>
            <w:tcW w:w="2254" w:type="dxa"/>
          </w:tcPr>
          <w:p w14:paraId="479B3336" w14:textId="5D0AE1D0" w:rsidR="001A7652" w:rsidRPr="001A7652" w:rsidRDefault="001A7652" w:rsidP="001A7652">
            <w:r w:rsidRPr="001A7652">
              <w:t>5.6 (-5.4%)</w:t>
            </w:r>
          </w:p>
        </w:tc>
      </w:tr>
    </w:tbl>
    <w:p w14:paraId="6EFFB08A" w14:textId="77777777" w:rsidR="00513EA1" w:rsidRDefault="00513EA1" w:rsidP="00513EA1">
      <w:pPr>
        <w:rPr>
          <w:lang w:val="x-none"/>
        </w:rPr>
      </w:pPr>
    </w:p>
    <w:p w14:paraId="6AC0C956" w14:textId="081028F3" w:rsidR="00513EA1" w:rsidRPr="00513EA1" w:rsidRDefault="00513EA1" w:rsidP="00513EA1">
      <w:pPr>
        <w:rPr>
          <w:lang w:val="x-none"/>
        </w:rPr>
      </w:pPr>
      <w:proofErr w:type="spellStart"/>
      <w:r w:rsidRPr="00513EA1">
        <w:rPr>
          <w:lang w:val="x-none"/>
        </w:rPr>
        <w:t>Osilodrostat</w:t>
      </w:r>
      <w:proofErr w:type="spellEnd"/>
      <w:r w:rsidRPr="00513EA1">
        <w:rPr>
          <w:lang w:val="x-none"/>
        </w:rPr>
        <w:t xml:space="preserve"> treatment also resulted in an improvement in patient-reported outcomes. Improvements from baseline above the established minimal important difference (MID) were observed for Cushing’s QoL (total score, Physical Problems subscale and Psychosocial Issues subscale), EQ-5D Utility index and BDI-II (depression) scores. The mean Cushing QoL total score improved from 42.2 at baseline to 58.3 (+14.1; +52.4% change from baseline) at week 48.</w:t>
      </w:r>
    </w:p>
    <w:p w14:paraId="13E5DC27" w14:textId="77777777" w:rsidR="001A7652" w:rsidRPr="001A7652" w:rsidRDefault="001A7652" w:rsidP="009C64DE"/>
    <w:p w14:paraId="1CAAD60A" w14:textId="38029629" w:rsidR="009C64DE" w:rsidRPr="009C64DE" w:rsidRDefault="001A7652" w:rsidP="009C64DE">
      <w:r>
        <w:t xml:space="preserve">The efficacy of </w:t>
      </w:r>
      <w:proofErr w:type="spellStart"/>
      <w:r>
        <w:t>osilodrostat</w:t>
      </w:r>
      <w:proofErr w:type="spellEnd"/>
      <w:r>
        <w:t xml:space="preserve"> was also assessed in study C1201 in nine adult Japanese patients with non-pituitary causes of Cushing’s syndrome. The study enrolled patients with adrenal adenoma (n=5), ectopic corticotropin syndrome (n=3) and ACTH-independent</w:t>
      </w:r>
      <w:r>
        <w:rPr>
          <w:rFonts w:hint="eastAsia"/>
        </w:rPr>
        <w:t xml:space="preserve"> macronodular adrenal hyperplasia (n=1</w:t>
      </w:r>
      <w:proofErr w:type="gramStart"/>
      <w:r>
        <w:rPr>
          <w:rFonts w:hint="eastAsia"/>
        </w:rPr>
        <w:t>), and</w:t>
      </w:r>
      <w:proofErr w:type="gramEnd"/>
      <w:r>
        <w:rPr>
          <w:rFonts w:hint="eastAsia"/>
        </w:rPr>
        <w:t xml:space="preserve"> consisted of a 12-week dose titration period (starting dose 2 mg twice daily), a 36-week maintenance period and an optional long-term extension. At week 12 (primary endpoint) a complete response (</w:t>
      </w:r>
      <w:proofErr w:type="spellStart"/>
      <w:r>
        <w:rPr>
          <w:rFonts w:hint="eastAsia"/>
        </w:rPr>
        <w:t>mUFC</w:t>
      </w:r>
      <w:proofErr w:type="spellEnd"/>
      <w:r>
        <w:rPr>
          <w:rFonts w:hint="eastAsia"/>
        </w:rPr>
        <w:t xml:space="preserve"> </w:t>
      </w:r>
      <w:r>
        <w:rPr>
          <w:rFonts w:hint="eastAsia"/>
        </w:rPr>
        <w:t>≤</w:t>
      </w:r>
      <w:r>
        <w:rPr>
          <w:rFonts w:hint="eastAsia"/>
        </w:rPr>
        <w:t xml:space="preserve">ULN) was </w:t>
      </w:r>
      <w:r>
        <w:t>observed in 6 patients (66.7%) and a partial response (</w:t>
      </w:r>
      <w:proofErr w:type="spellStart"/>
      <w:r>
        <w:t>mUFC</w:t>
      </w:r>
      <w:proofErr w:type="spellEnd"/>
      <w:r>
        <w:t xml:space="preserve"> decrease by at least 50%) in one additional patient </w:t>
      </w:r>
      <w:r>
        <w:lastRenderedPageBreak/>
        <w:t xml:space="preserve">(11.1%). The median average dose used in the study was 2.6 mg/day (range 1.3-7.5 mg/day). The mean duration of treatment in this study was 24 weeks, and long-term exposure was limited. </w:t>
      </w:r>
    </w:p>
    <w:p w14:paraId="7D330D70" w14:textId="7148F346" w:rsidR="00EA6A6B" w:rsidRPr="00C04F5C" w:rsidRDefault="00EA6A6B" w:rsidP="00EA6A6B">
      <w:pPr>
        <w:pStyle w:val="Heading2"/>
        <w:numPr>
          <w:ilvl w:val="1"/>
          <w:numId w:val="6"/>
        </w:numPr>
      </w:pPr>
      <w:bookmarkStart w:id="9" w:name="_PHARMACOKINETIC_PROPERTIES"/>
      <w:bookmarkEnd w:id="9"/>
      <w:r w:rsidRPr="00C04F5C">
        <w:t>PHARMACOKINETIC PROPERTIES</w:t>
      </w:r>
    </w:p>
    <w:p w14:paraId="64D28F50" w14:textId="30A9CDFC" w:rsidR="001A7652" w:rsidRPr="009C64DE" w:rsidRDefault="006A1752" w:rsidP="009C64DE">
      <w:pPr>
        <w:rPr>
          <w:b/>
          <w:bCs/>
        </w:rPr>
      </w:pPr>
      <w:r w:rsidRPr="009C64DE">
        <w:rPr>
          <w:b/>
          <w:bCs/>
        </w:rPr>
        <w:t>Absorption</w:t>
      </w:r>
    </w:p>
    <w:p w14:paraId="71F74185" w14:textId="71965E3A" w:rsidR="001A7652" w:rsidRPr="001A7652" w:rsidRDefault="001A7652" w:rsidP="009C64DE">
      <w:pPr>
        <w:rPr>
          <w:bCs/>
        </w:rPr>
      </w:pPr>
      <w:proofErr w:type="spellStart"/>
      <w:r w:rsidRPr="001A7652">
        <w:rPr>
          <w:bCs/>
        </w:rPr>
        <w:t>Osilodrostat</w:t>
      </w:r>
      <w:proofErr w:type="spellEnd"/>
      <w:r w:rsidRPr="001A7652">
        <w:rPr>
          <w:bCs/>
        </w:rPr>
        <w:t xml:space="preserve"> is a highly soluble, highly permeable compound (BCS class 1). It is rapidly absorbed (</w:t>
      </w:r>
      <w:proofErr w:type="spellStart"/>
      <w:r w:rsidRPr="001A7652">
        <w:rPr>
          <w:bCs/>
        </w:rPr>
        <w:t>t</w:t>
      </w:r>
      <w:r w:rsidRPr="009C64DE">
        <w:rPr>
          <w:bCs/>
          <w:vertAlign w:val="subscript"/>
        </w:rPr>
        <w:t>max</w:t>
      </w:r>
      <w:proofErr w:type="spellEnd"/>
      <w:r w:rsidRPr="001A7652">
        <w:rPr>
          <w:bCs/>
        </w:rPr>
        <w:t xml:space="preserve"> ~1 h) and oral absorption in humans is assumed to be nearly complete. Steady state is reached by day 2. </w:t>
      </w:r>
    </w:p>
    <w:p w14:paraId="5D598CC5" w14:textId="3FE7F954" w:rsidR="001A7652" w:rsidRPr="001A7652" w:rsidRDefault="001A7652" w:rsidP="009C64DE">
      <w:pPr>
        <w:rPr>
          <w:bCs/>
        </w:rPr>
      </w:pPr>
      <w:r w:rsidRPr="001A7652">
        <w:rPr>
          <w:bCs/>
        </w:rPr>
        <w:t xml:space="preserve">Co-administration with food did not affect absorption to a clinically significant extent. In a healthy volunteer study (n=20), the administration of a single dose of 30 mg </w:t>
      </w:r>
      <w:proofErr w:type="spellStart"/>
      <w:r w:rsidRPr="001A7652">
        <w:rPr>
          <w:bCs/>
        </w:rPr>
        <w:t>osilodrostat</w:t>
      </w:r>
      <w:proofErr w:type="spellEnd"/>
      <w:r w:rsidRPr="001A7652">
        <w:rPr>
          <w:bCs/>
        </w:rPr>
        <w:t xml:space="preserve"> with a high-fat meal resulted in a modest reduction of AUC and </w:t>
      </w:r>
      <w:proofErr w:type="spellStart"/>
      <w:r w:rsidRPr="001A7652">
        <w:rPr>
          <w:bCs/>
        </w:rPr>
        <w:t>C</w:t>
      </w:r>
      <w:r w:rsidRPr="009C64DE">
        <w:rPr>
          <w:bCs/>
          <w:vertAlign w:val="subscript"/>
        </w:rPr>
        <w:t>max</w:t>
      </w:r>
      <w:proofErr w:type="spellEnd"/>
      <w:r w:rsidRPr="009C64DE">
        <w:rPr>
          <w:bCs/>
          <w:vertAlign w:val="subscript"/>
        </w:rPr>
        <w:t xml:space="preserve"> </w:t>
      </w:r>
      <w:r w:rsidRPr="001A7652">
        <w:rPr>
          <w:bCs/>
        </w:rPr>
        <w:t xml:space="preserve">by 11% and 21%, respectively, and the median </w:t>
      </w:r>
      <w:proofErr w:type="spellStart"/>
      <w:r w:rsidRPr="001A7652">
        <w:rPr>
          <w:bCs/>
        </w:rPr>
        <w:t>t</w:t>
      </w:r>
      <w:r w:rsidRPr="009C64DE">
        <w:rPr>
          <w:bCs/>
          <w:vertAlign w:val="subscript"/>
        </w:rPr>
        <w:t>max</w:t>
      </w:r>
      <w:proofErr w:type="spellEnd"/>
      <w:r w:rsidRPr="001A7652">
        <w:rPr>
          <w:bCs/>
        </w:rPr>
        <w:t xml:space="preserve"> was delayed from 1 to 2.5 hours. </w:t>
      </w:r>
    </w:p>
    <w:p w14:paraId="7481CAAF" w14:textId="05C5E635" w:rsidR="001A7652" w:rsidRPr="009C64DE" w:rsidRDefault="001A7652" w:rsidP="009C64DE">
      <w:pPr>
        <w:rPr>
          <w:bCs/>
        </w:rPr>
      </w:pPr>
      <w:r w:rsidRPr="001A7652">
        <w:rPr>
          <w:bCs/>
        </w:rPr>
        <w:t>No clinically relevant accumulation was observed in clinical studies. An accumulation ratio of 1.3 was estimated for the 2 to 30 mg dose range.</w:t>
      </w:r>
    </w:p>
    <w:p w14:paraId="19A4DC5F" w14:textId="2AD9EF81" w:rsidR="001A7652" w:rsidRPr="009C64DE" w:rsidRDefault="006A1752" w:rsidP="009C64DE">
      <w:pPr>
        <w:rPr>
          <w:b/>
          <w:bCs/>
        </w:rPr>
      </w:pPr>
      <w:r w:rsidRPr="009C64DE">
        <w:rPr>
          <w:b/>
          <w:bCs/>
        </w:rPr>
        <w:t>Distribution</w:t>
      </w:r>
    </w:p>
    <w:p w14:paraId="18556E54" w14:textId="631EACD9" w:rsidR="001A7652" w:rsidRPr="001A7652" w:rsidRDefault="001A7652" w:rsidP="009C64DE">
      <w:pPr>
        <w:rPr>
          <w:bCs/>
        </w:rPr>
      </w:pPr>
      <w:r w:rsidRPr="001A7652">
        <w:rPr>
          <w:bCs/>
        </w:rPr>
        <w:t>The median apparent volume of distribution (</w:t>
      </w:r>
      <w:proofErr w:type="spellStart"/>
      <w:r w:rsidRPr="001A7652">
        <w:rPr>
          <w:bCs/>
        </w:rPr>
        <w:t>Vz</w:t>
      </w:r>
      <w:proofErr w:type="spellEnd"/>
      <w:r w:rsidRPr="001A7652">
        <w:rPr>
          <w:bCs/>
        </w:rPr>
        <w:t xml:space="preserve">/F) of </w:t>
      </w:r>
      <w:proofErr w:type="spellStart"/>
      <w:r w:rsidRPr="001A7652">
        <w:rPr>
          <w:bCs/>
        </w:rPr>
        <w:t>osilodrostat</w:t>
      </w:r>
      <w:proofErr w:type="spellEnd"/>
      <w:r w:rsidRPr="001A7652">
        <w:rPr>
          <w:bCs/>
        </w:rPr>
        <w:t xml:space="preserve"> is approximately 100 </w:t>
      </w:r>
      <w:proofErr w:type="spellStart"/>
      <w:r w:rsidRPr="001A7652">
        <w:rPr>
          <w:bCs/>
        </w:rPr>
        <w:t>litres</w:t>
      </w:r>
      <w:proofErr w:type="spellEnd"/>
      <w:r w:rsidRPr="001A7652">
        <w:rPr>
          <w:bCs/>
        </w:rPr>
        <w:t xml:space="preserve">. Protein binding of </w:t>
      </w:r>
      <w:proofErr w:type="spellStart"/>
      <w:r w:rsidRPr="001A7652">
        <w:rPr>
          <w:bCs/>
        </w:rPr>
        <w:t>osilodrostat</w:t>
      </w:r>
      <w:proofErr w:type="spellEnd"/>
      <w:r w:rsidRPr="001A7652">
        <w:rPr>
          <w:bCs/>
        </w:rPr>
        <w:t xml:space="preserve"> and of its major metabolite M34.5 is low (less than 40%) and </w:t>
      </w:r>
      <w:proofErr w:type="gramStart"/>
      <w:r w:rsidRPr="001A7652">
        <w:rPr>
          <w:bCs/>
        </w:rPr>
        <w:t>concentration-independent</w:t>
      </w:r>
      <w:proofErr w:type="gramEnd"/>
      <w:r w:rsidRPr="001A7652">
        <w:rPr>
          <w:bCs/>
        </w:rPr>
        <w:t xml:space="preserve">. The </w:t>
      </w:r>
      <w:proofErr w:type="spellStart"/>
      <w:r w:rsidRPr="001A7652">
        <w:rPr>
          <w:bCs/>
        </w:rPr>
        <w:t>osilodrostat</w:t>
      </w:r>
      <w:proofErr w:type="spellEnd"/>
      <w:r w:rsidRPr="001A7652">
        <w:rPr>
          <w:bCs/>
        </w:rPr>
        <w:t xml:space="preserve"> blood-to-plasma concentration ratio is 0.85. </w:t>
      </w:r>
    </w:p>
    <w:p w14:paraId="2127730B" w14:textId="5A94A6AF" w:rsidR="001A7652" w:rsidRPr="009C64DE" w:rsidRDefault="006A1752" w:rsidP="009C64DE">
      <w:pPr>
        <w:rPr>
          <w:b/>
          <w:bCs/>
        </w:rPr>
      </w:pPr>
      <w:r w:rsidRPr="009C64DE">
        <w:rPr>
          <w:b/>
          <w:bCs/>
        </w:rPr>
        <w:t>Metabolism</w:t>
      </w:r>
    </w:p>
    <w:p w14:paraId="6DBC755B" w14:textId="60E20989" w:rsidR="001A7652" w:rsidRDefault="001A7652" w:rsidP="009C64DE">
      <w:pPr>
        <w:rPr>
          <w:bCs/>
        </w:rPr>
      </w:pPr>
      <w:r w:rsidRPr="001A7652">
        <w:rPr>
          <w:bCs/>
        </w:rPr>
        <w:t>In a human ADME study in healthy subjects following the administration of a single dose of 50 mg [14C]-</w:t>
      </w:r>
      <w:proofErr w:type="spellStart"/>
      <w:r w:rsidRPr="001A7652">
        <w:rPr>
          <w:bCs/>
        </w:rPr>
        <w:t>osilodrostat</w:t>
      </w:r>
      <w:proofErr w:type="spellEnd"/>
      <w:r w:rsidRPr="001A7652">
        <w:rPr>
          <w:bCs/>
        </w:rPr>
        <w:t xml:space="preserve">, metabolism was deemed the most important clearance pathway for </w:t>
      </w:r>
      <w:proofErr w:type="spellStart"/>
      <w:r w:rsidRPr="001A7652">
        <w:rPr>
          <w:bCs/>
        </w:rPr>
        <w:t>osilodrostat</w:t>
      </w:r>
      <w:proofErr w:type="spellEnd"/>
      <w:r w:rsidRPr="001A7652">
        <w:rPr>
          <w:bCs/>
        </w:rPr>
        <w:t xml:space="preserve"> since ~80% of the dose was excreted as metabolites. The three main metabolites in plasma (M34.5, M16.5 and M24.9) represented 51%, 9% and 7% of the dose, respectively. Both M34.5 and M24.9 have longer half-lives than </w:t>
      </w:r>
      <w:proofErr w:type="spellStart"/>
      <w:r w:rsidRPr="001A7652">
        <w:rPr>
          <w:bCs/>
        </w:rPr>
        <w:t>osilodrostat</w:t>
      </w:r>
      <w:proofErr w:type="spellEnd"/>
      <w:r w:rsidRPr="001A7652">
        <w:rPr>
          <w:bCs/>
        </w:rPr>
        <w:t xml:space="preserve"> and some accumulation is expected with twice-daily dosing. The decrease in the contribution of </w:t>
      </w:r>
      <w:proofErr w:type="spellStart"/>
      <w:r w:rsidRPr="001A7652">
        <w:rPr>
          <w:bCs/>
        </w:rPr>
        <w:t>osilodrostat</w:t>
      </w:r>
      <w:proofErr w:type="spellEnd"/>
      <w:r w:rsidRPr="001A7652">
        <w:rPr>
          <w:bCs/>
        </w:rPr>
        <w:t xml:space="preserve"> to the radioactivity AUC with time post-dose was found to coincide closely with a corresponding increase in the contribution of M34.5. </w:t>
      </w:r>
    </w:p>
    <w:p w14:paraId="7262A797" w14:textId="5D22FE1C" w:rsidR="001A7652" w:rsidRPr="009C64DE" w:rsidRDefault="001A7652" w:rsidP="009C64DE">
      <w:pPr>
        <w:rPr>
          <w:bCs/>
        </w:rPr>
      </w:pPr>
      <w:r w:rsidRPr="001A7652">
        <w:rPr>
          <w:bCs/>
        </w:rPr>
        <w:t xml:space="preserve">Thirteen metabolites were </w:t>
      </w:r>
      <w:proofErr w:type="spellStart"/>
      <w:r w:rsidRPr="001A7652">
        <w:rPr>
          <w:bCs/>
        </w:rPr>
        <w:t>characterised</w:t>
      </w:r>
      <w:proofErr w:type="spellEnd"/>
      <w:r w:rsidRPr="001A7652">
        <w:rPr>
          <w:bCs/>
        </w:rPr>
        <w:t xml:space="preserve"> in the urine, with the three main metabolites being M16.5, M22 (an M34.5 glucuronide) and M24.9, with 17, 13 and 11% of the dose, respectively. The formation of the major urinary metabolite M16.5 (direct N-glucuronide) was </w:t>
      </w:r>
      <w:proofErr w:type="spellStart"/>
      <w:r w:rsidRPr="001A7652">
        <w:rPr>
          <w:bCs/>
        </w:rPr>
        <w:t>catalysed</w:t>
      </w:r>
      <w:proofErr w:type="spellEnd"/>
      <w:r w:rsidRPr="001A7652">
        <w:rPr>
          <w:bCs/>
        </w:rPr>
        <w:t xml:space="preserve"> by UGT1A4, 2B7 and 2B10. Less than 1% of the dose was excreted as M34.5 (di-oxygenated </w:t>
      </w:r>
      <w:proofErr w:type="spellStart"/>
      <w:r w:rsidRPr="001A7652">
        <w:rPr>
          <w:bCs/>
        </w:rPr>
        <w:t>osilodrostat</w:t>
      </w:r>
      <w:proofErr w:type="spellEnd"/>
      <w:r w:rsidRPr="001A7652">
        <w:rPr>
          <w:bCs/>
        </w:rPr>
        <w:t xml:space="preserve">) in the urine but 13% of the dose was identified as M22 (M34.5-glucuronide). The formation of M34.5 was non-CYP-mediated. </w:t>
      </w:r>
    </w:p>
    <w:p w14:paraId="7FBAA0C7" w14:textId="41FF129A" w:rsidR="001A7652" w:rsidRPr="001A7652" w:rsidRDefault="001A7652" w:rsidP="009C64DE">
      <w:r w:rsidRPr="001A7652">
        <w:t xml:space="preserve">Multiple CYP enzymes and UDP glucuronosyltransferases contribute to </w:t>
      </w:r>
      <w:proofErr w:type="spellStart"/>
      <w:r w:rsidRPr="001A7652">
        <w:t>osilodrostat</w:t>
      </w:r>
      <w:proofErr w:type="spellEnd"/>
      <w:r w:rsidRPr="001A7652">
        <w:t xml:space="preserve"> </w:t>
      </w:r>
      <w:proofErr w:type="gramStart"/>
      <w:r w:rsidRPr="001A7652">
        <w:t>metabolism</w:t>
      </w:r>
      <w:proofErr w:type="gramEnd"/>
      <w:r w:rsidRPr="001A7652">
        <w:t xml:space="preserve"> and no single enzyme contributes more than 25% to the total clearance. The main </w:t>
      </w:r>
      <w:r w:rsidRPr="001A7652">
        <w:lastRenderedPageBreak/>
        <w:t xml:space="preserve">CYP enzymes involved in </w:t>
      </w:r>
      <w:proofErr w:type="spellStart"/>
      <w:r w:rsidRPr="001A7652">
        <w:t>osilodrostat</w:t>
      </w:r>
      <w:proofErr w:type="spellEnd"/>
      <w:r w:rsidRPr="001A7652">
        <w:t xml:space="preserve"> metabolism are CYP3A4, 2B6 and 2D6. Total CYP contribution is 26%, total UGT contribution is 19% and non-CYP non-UGT mediated metabolism was shown to contribute to ~50% of total clearance. In addition, </w:t>
      </w:r>
      <w:proofErr w:type="spellStart"/>
      <w:r w:rsidRPr="001A7652">
        <w:t>osilodrostat</w:t>
      </w:r>
      <w:proofErr w:type="spellEnd"/>
      <w:r w:rsidRPr="001A7652">
        <w:t xml:space="preserve"> showed a high intrinsic permeability, low efflux ratio and modest impact of inhibitors on the efflux ratio </w:t>
      </w:r>
      <w:r w:rsidRPr="009C64DE">
        <w:rPr>
          <w:i/>
          <w:iCs/>
        </w:rPr>
        <w:t>in vitro</w:t>
      </w:r>
      <w:r w:rsidRPr="001A7652">
        <w:t xml:space="preserve">. This suggests that the potential for clinical drug-drug interactions (DDI) with concomitantly administered medicinal products that inhibit transporters or a single CYP or UGT enzyme is low. </w:t>
      </w:r>
    </w:p>
    <w:p w14:paraId="527CF992" w14:textId="436058FF" w:rsidR="001A7652" w:rsidRPr="009C64DE" w:rsidRDefault="001A7652" w:rsidP="009C64DE">
      <w:r w:rsidRPr="009C64DE">
        <w:rPr>
          <w:i/>
          <w:iCs/>
        </w:rPr>
        <w:t>In vitro</w:t>
      </w:r>
      <w:r w:rsidRPr="001A7652">
        <w:t xml:space="preserve"> data indicate that the metabolites do not contribute to the pharmacological effect of </w:t>
      </w:r>
      <w:proofErr w:type="spellStart"/>
      <w:r w:rsidRPr="001A7652">
        <w:t>osilodrostat</w:t>
      </w:r>
      <w:proofErr w:type="spellEnd"/>
      <w:r w:rsidRPr="001A7652">
        <w:t>.</w:t>
      </w:r>
    </w:p>
    <w:p w14:paraId="12A8073D" w14:textId="3830CE1F" w:rsidR="009320DD" w:rsidRPr="009C64DE" w:rsidRDefault="006A1752" w:rsidP="009C64DE">
      <w:pPr>
        <w:rPr>
          <w:b/>
        </w:rPr>
      </w:pPr>
      <w:r w:rsidRPr="0074724E">
        <w:rPr>
          <w:b/>
        </w:rPr>
        <w:t>Excretio</w:t>
      </w:r>
      <w:r w:rsidR="009C64DE">
        <w:rPr>
          <w:b/>
        </w:rPr>
        <w:t>n</w:t>
      </w:r>
    </w:p>
    <w:p w14:paraId="6331C038" w14:textId="1958C0F3" w:rsidR="001A7652" w:rsidRPr="001A7652" w:rsidRDefault="001A7652" w:rsidP="009C64DE">
      <w:r w:rsidRPr="001A7652">
        <w:t xml:space="preserve">The elimination half-life of </w:t>
      </w:r>
      <w:proofErr w:type="spellStart"/>
      <w:r w:rsidRPr="001A7652">
        <w:t>osilodrostat</w:t>
      </w:r>
      <w:proofErr w:type="spellEnd"/>
      <w:r w:rsidRPr="001A7652">
        <w:t xml:space="preserve"> is approximately 4 hours. </w:t>
      </w:r>
    </w:p>
    <w:p w14:paraId="1B673675" w14:textId="372610F2" w:rsidR="001A7652" w:rsidRDefault="001A7652" w:rsidP="009C64DE">
      <w:r w:rsidRPr="001A7652">
        <w:t xml:space="preserve">In an ADME study, the majority (91%) of the radioactive dose of </w:t>
      </w:r>
      <w:proofErr w:type="spellStart"/>
      <w:r w:rsidRPr="001A7652">
        <w:t>osilodrostat</w:t>
      </w:r>
      <w:proofErr w:type="spellEnd"/>
      <w:r w:rsidRPr="001A7652">
        <w:t xml:space="preserve"> was eliminated in the urine, with only a minor amount eliminated in the </w:t>
      </w:r>
      <w:proofErr w:type="spellStart"/>
      <w:r w:rsidRPr="001A7652">
        <w:t>faeces</w:t>
      </w:r>
      <w:proofErr w:type="spellEnd"/>
      <w:r w:rsidRPr="001A7652">
        <w:t xml:space="preserve"> (1.6% of dose). The low percentage of the dose eliminated in the urine as unchanged </w:t>
      </w:r>
      <w:proofErr w:type="spellStart"/>
      <w:r w:rsidRPr="001A7652">
        <w:t>osilodrostat</w:t>
      </w:r>
      <w:proofErr w:type="spellEnd"/>
      <w:r w:rsidRPr="001A7652">
        <w:t xml:space="preserve"> (5.2%) indicates that metabolism is the major clearance pathway in humans.</w:t>
      </w:r>
    </w:p>
    <w:p w14:paraId="3EB2EF30" w14:textId="09E1D146" w:rsidR="001A7652" w:rsidRPr="009C64DE" w:rsidRDefault="001A7652" w:rsidP="009C64DE">
      <w:pPr>
        <w:rPr>
          <w:b/>
        </w:rPr>
      </w:pPr>
      <w:r w:rsidRPr="001A7652">
        <w:rPr>
          <w:b/>
        </w:rPr>
        <w:t xml:space="preserve">Linearity/non-linearity </w:t>
      </w:r>
    </w:p>
    <w:p w14:paraId="1087CEA4" w14:textId="706A8C7D" w:rsidR="001A7652" w:rsidRPr="001A7652" w:rsidRDefault="001A7652" w:rsidP="009C64DE">
      <w:r w:rsidRPr="001A7652">
        <w:t>Exposure (AUC</w:t>
      </w:r>
      <w:r w:rsidRPr="009C64DE">
        <w:rPr>
          <w:vertAlign w:val="subscript"/>
        </w:rPr>
        <w:t>inf</w:t>
      </w:r>
      <w:r w:rsidRPr="001A7652">
        <w:t xml:space="preserve"> and </w:t>
      </w:r>
      <w:proofErr w:type="spellStart"/>
      <w:r w:rsidRPr="001A7652">
        <w:t>C</w:t>
      </w:r>
      <w:r w:rsidRPr="009C64DE">
        <w:rPr>
          <w:vertAlign w:val="subscript"/>
        </w:rPr>
        <w:t>max</w:t>
      </w:r>
      <w:proofErr w:type="spellEnd"/>
      <w:r w:rsidRPr="001A7652">
        <w:t xml:space="preserve">) increased more than dose-proportionally over the therapeutic dose range. </w:t>
      </w:r>
    </w:p>
    <w:p w14:paraId="6EEEBE5C" w14:textId="19F67364" w:rsidR="001A7652" w:rsidRPr="009C64DE" w:rsidRDefault="001A7652" w:rsidP="009C64DE">
      <w:pPr>
        <w:rPr>
          <w:b/>
        </w:rPr>
      </w:pPr>
      <w:r w:rsidRPr="001A7652">
        <w:rPr>
          <w:b/>
        </w:rPr>
        <w:t xml:space="preserve">Drug-drug interactions (see also section </w:t>
      </w:r>
      <w:hyperlink w:anchor="_INTERACTION_WITH_OTHER" w:history="1">
        <w:r w:rsidRPr="000F1D64">
          <w:rPr>
            <w:rStyle w:val="Hyperlink"/>
            <w:b/>
          </w:rPr>
          <w:t>4.5</w:t>
        </w:r>
        <w:r w:rsidR="009C64DE" w:rsidRPr="000F1D64">
          <w:rPr>
            <w:rStyle w:val="Hyperlink"/>
            <w:b/>
          </w:rPr>
          <w:t xml:space="preserve"> Interaction with other medicines and other forms of interaction</w:t>
        </w:r>
      </w:hyperlink>
      <w:r w:rsidRPr="001A7652">
        <w:rPr>
          <w:b/>
        </w:rPr>
        <w:t xml:space="preserve">) </w:t>
      </w:r>
    </w:p>
    <w:p w14:paraId="0A440C53" w14:textId="19C3F70A" w:rsidR="001A7652" w:rsidRPr="001A7652" w:rsidRDefault="001A7652" w:rsidP="009C64DE">
      <w:r w:rsidRPr="009C64DE">
        <w:rPr>
          <w:i/>
          <w:iCs/>
        </w:rPr>
        <w:t>In vitro</w:t>
      </w:r>
      <w:r w:rsidRPr="001A7652">
        <w:t xml:space="preserve"> data indicate that neither </w:t>
      </w:r>
      <w:proofErr w:type="spellStart"/>
      <w:r w:rsidRPr="001A7652">
        <w:t>osilodrostat</w:t>
      </w:r>
      <w:proofErr w:type="spellEnd"/>
      <w:r w:rsidRPr="001A7652">
        <w:t xml:space="preserve"> nor its major metabolite M34.5 inhibits the following enzymes and transporters at clinically relevant concentrations: CYP2A6, CYP2C8, CYP2C9, UGT2B7, P-</w:t>
      </w:r>
      <w:proofErr w:type="spellStart"/>
      <w:r w:rsidRPr="001A7652">
        <w:t>gp</w:t>
      </w:r>
      <w:proofErr w:type="spellEnd"/>
      <w:r w:rsidRPr="001A7652">
        <w:t xml:space="preserve">, BCRP, BSEP, MRP2, OATP1B3 and MATE2-K. Since the exposure of M34.5 has not yet been determined after repeated dosing, the clinical relevance of the </w:t>
      </w:r>
      <w:r w:rsidRPr="009C64DE">
        <w:rPr>
          <w:i/>
          <w:iCs/>
        </w:rPr>
        <w:t>in vitro</w:t>
      </w:r>
      <w:r w:rsidRPr="001A7652">
        <w:t xml:space="preserve"> drug-drug interaction results for M34.5 is unknown. </w:t>
      </w:r>
    </w:p>
    <w:p w14:paraId="70B91E87" w14:textId="003ED644" w:rsidR="001A7652" w:rsidRPr="009C64DE" w:rsidRDefault="001A7652" w:rsidP="009C64DE">
      <w:pPr>
        <w:rPr>
          <w:b/>
        </w:rPr>
      </w:pPr>
      <w:r w:rsidRPr="001A7652">
        <w:rPr>
          <w:b/>
        </w:rPr>
        <w:t xml:space="preserve">Special populations </w:t>
      </w:r>
    </w:p>
    <w:p w14:paraId="7A0623D1" w14:textId="77777777" w:rsidR="001A7652" w:rsidRPr="009C64DE" w:rsidRDefault="001A7652" w:rsidP="009C64DE">
      <w:pPr>
        <w:rPr>
          <w:bCs/>
          <w:i/>
          <w:iCs/>
        </w:rPr>
      </w:pPr>
      <w:r w:rsidRPr="009C64DE">
        <w:rPr>
          <w:bCs/>
          <w:i/>
          <w:iCs/>
        </w:rPr>
        <w:t>Hepatic impairment</w:t>
      </w:r>
    </w:p>
    <w:p w14:paraId="6EC3352C" w14:textId="4A37344A" w:rsidR="001A7652" w:rsidRPr="009C64DE" w:rsidRDefault="001A7652" w:rsidP="009C64DE">
      <w:r w:rsidRPr="001A7652">
        <w:t xml:space="preserve">In a phase I study in 33 subjects with varying degrees of hepatic function using a single dose of 30 mg </w:t>
      </w:r>
      <w:proofErr w:type="spellStart"/>
      <w:r w:rsidRPr="001A7652">
        <w:t>osilodrostat</w:t>
      </w:r>
      <w:proofErr w:type="spellEnd"/>
      <w:r w:rsidRPr="001A7652">
        <w:t>, AUC</w:t>
      </w:r>
      <w:r w:rsidRPr="009C64DE">
        <w:rPr>
          <w:vertAlign w:val="subscript"/>
        </w:rPr>
        <w:t xml:space="preserve">inf </w:t>
      </w:r>
      <w:r w:rsidRPr="001A7652">
        <w:t xml:space="preserve">was 1.4- and 2.7-fold higher in the moderate (Child-Pugh B) and severe (Child-Pugh C) hepatic impairment cohorts, respectively. </w:t>
      </w:r>
      <w:proofErr w:type="spellStart"/>
      <w:r w:rsidRPr="001A7652">
        <w:t>C</w:t>
      </w:r>
      <w:r w:rsidRPr="009C64DE">
        <w:rPr>
          <w:vertAlign w:val="subscript"/>
        </w:rPr>
        <w:t>max</w:t>
      </w:r>
      <w:proofErr w:type="spellEnd"/>
      <w:r w:rsidRPr="001A7652">
        <w:t xml:space="preserve"> was 15 and 20% lower in the moderate and severe cohorts. The terminal half-life increased to 9.3 hours and 19.5 hours in the moderate and severe cohorts. Mild hepatic impairment (Child-Pugh A) did not influence exposure to any significant extent. The absorption rate was not affected by the degree of hepatic impairment. </w:t>
      </w:r>
    </w:p>
    <w:p w14:paraId="7FEC40BB" w14:textId="77777777" w:rsidR="001A7652" w:rsidRPr="009C64DE" w:rsidRDefault="001A7652" w:rsidP="00893B33">
      <w:pPr>
        <w:pageBreakBefore/>
        <w:rPr>
          <w:i/>
          <w:iCs/>
        </w:rPr>
      </w:pPr>
      <w:r w:rsidRPr="009C64DE">
        <w:rPr>
          <w:i/>
          <w:iCs/>
        </w:rPr>
        <w:lastRenderedPageBreak/>
        <w:t xml:space="preserve">Renal impairment </w:t>
      </w:r>
    </w:p>
    <w:p w14:paraId="30ABBD1D" w14:textId="42DDD59F" w:rsidR="001A7652" w:rsidRDefault="001A7652" w:rsidP="009C64DE">
      <w:r w:rsidRPr="001A7652">
        <w:t xml:space="preserve">In a phase I study in 15 subjects with varying degrees of renal function using a single dose of 30 mg </w:t>
      </w:r>
      <w:proofErr w:type="spellStart"/>
      <w:r w:rsidRPr="001A7652">
        <w:t>osilodrostat</w:t>
      </w:r>
      <w:proofErr w:type="spellEnd"/>
      <w:r w:rsidRPr="001A7652">
        <w:t>, comparable systemic exposure was seen in subjects with severe renal impairment, end-stage renal disease and normal renal function.</w:t>
      </w:r>
    </w:p>
    <w:p w14:paraId="7034FEC3" w14:textId="77777777" w:rsidR="001A7652" w:rsidRPr="009C64DE" w:rsidRDefault="001A7652" w:rsidP="009C64DE">
      <w:pPr>
        <w:rPr>
          <w:i/>
          <w:iCs/>
        </w:rPr>
      </w:pPr>
      <w:r w:rsidRPr="009C64DE">
        <w:rPr>
          <w:i/>
          <w:iCs/>
        </w:rPr>
        <w:t xml:space="preserve">Race/ethnicity and bodyweight </w:t>
      </w:r>
    </w:p>
    <w:p w14:paraId="5738B5AF" w14:textId="531978A3" w:rsidR="001A7652" w:rsidRPr="001A7652" w:rsidRDefault="001A7652" w:rsidP="009C64DE">
      <w:r w:rsidRPr="001A7652">
        <w:t xml:space="preserve">The relative bioavailability was approximately 20% higher in Asian patients compared to other ethnicities. Body weight was not shown to be a major determinant of this difference. </w:t>
      </w:r>
    </w:p>
    <w:p w14:paraId="79C8B1A2" w14:textId="77777777" w:rsidR="001A7652" w:rsidRPr="009C64DE" w:rsidRDefault="001A7652" w:rsidP="009C64DE">
      <w:pPr>
        <w:rPr>
          <w:i/>
          <w:iCs/>
        </w:rPr>
      </w:pPr>
      <w:r w:rsidRPr="009C64DE">
        <w:rPr>
          <w:i/>
          <w:iCs/>
        </w:rPr>
        <w:t xml:space="preserve">Age and gender </w:t>
      </w:r>
    </w:p>
    <w:p w14:paraId="687A8961" w14:textId="0A50797E" w:rsidR="009320DD" w:rsidRDefault="001A7652" w:rsidP="009C64DE">
      <w:r w:rsidRPr="001A7652">
        <w:t xml:space="preserve">Age and gender had no significant impact on </w:t>
      </w:r>
      <w:proofErr w:type="spellStart"/>
      <w:r w:rsidRPr="001A7652">
        <w:t>osilodrostat</w:t>
      </w:r>
      <w:proofErr w:type="spellEnd"/>
      <w:r w:rsidRPr="001A7652">
        <w:t xml:space="preserve"> exposure in adults. The number of elderly patients in clinical studies was limited (see section </w:t>
      </w:r>
      <w:hyperlink w:anchor="_DOSE_AND_METHOD" w:history="1">
        <w:r w:rsidRPr="000F1D64">
          <w:rPr>
            <w:rStyle w:val="Hyperlink"/>
          </w:rPr>
          <w:t>4.2</w:t>
        </w:r>
        <w:r w:rsidR="009C64DE" w:rsidRPr="000F1D64">
          <w:rPr>
            <w:rStyle w:val="Hyperlink"/>
          </w:rPr>
          <w:t xml:space="preserve"> Dose and method of administration</w:t>
        </w:r>
      </w:hyperlink>
      <w:r w:rsidRPr="001A7652">
        <w:t>).</w:t>
      </w:r>
    </w:p>
    <w:p w14:paraId="24F752C5" w14:textId="40977DD5" w:rsidR="00EA6A6B" w:rsidRPr="003E4C4B" w:rsidRDefault="00EA6A6B" w:rsidP="00EA6A6B">
      <w:pPr>
        <w:pStyle w:val="Heading2"/>
        <w:numPr>
          <w:ilvl w:val="1"/>
          <w:numId w:val="6"/>
        </w:numPr>
      </w:pPr>
      <w:bookmarkStart w:id="10" w:name="_PRECLINICAL_SAFETY_DATA"/>
      <w:bookmarkEnd w:id="10"/>
      <w:r w:rsidRPr="003E4C4B">
        <w:t>PRECLINICAL SAFETY DATA</w:t>
      </w:r>
    </w:p>
    <w:p w14:paraId="6AD24498" w14:textId="6D6F7ECF" w:rsidR="00863195" w:rsidRDefault="00A5315D" w:rsidP="00154505">
      <w:pPr>
        <w:rPr>
          <w:b/>
          <w:bCs/>
        </w:rPr>
      </w:pPr>
      <w:r w:rsidRPr="00154505">
        <w:rPr>
          <w:b/>
          <w:bCs/>
        </w:rPr>
        <w:t>Genotoxicity</w:t>
      </w:r>
      <w:r w:rsidR="00A21B6B" w:rsidRPr="00154505">
        <w:rPr>
          <w:b/>
          <w:bCs/>
        </w:rPr>
        <w:t xml:space="preserve"> </w:t>
      </w:r>
    </w:p>
    <w:p w14:paraId="52CA16C9" w14:textId="7A0B9E7C" w:rsidR="005A2CA5" w:rsidRPr="002B2A6C" w:rsidRDefault="005A2CA5" w:rsidP="00154505">
      <w:pPr>
        <w:rPr>
          <w:lang w:val="x-none"/>
        </w:rPr>
      </w:pPr>
      <w:proofErr w:type="spellStart"/>
      <w:r w:rsidRPr="00515A8B">
        <w:rPr>
          <w:lang w:val="x-none"/>
        </w:rPr>
        <w:t>Osilodrostat</w:t>
      </w:r>
      <w:proofErr w:type="spellEnd"/>
      <w:r w:rsidRPr="00515A8B">
        <w:rPr>
          <w:lang w:val="x-none"/>
        </w:rPr>
        <w:t xml:space="preserve"> was negative in the Ames assay and in the micronucleus test in mammalian cells, but clastogenic effects were observed </w:t>
      </w:r>
      <w:r w:rsidRPr="00515A8B">
        <w:rPr>
          <w:i/>
          <w:lang w:val="x-none"/>
        </w:rPr>
        <w:t xml:space="preserve">in vitro </w:t>
      </w:r>
      <w:r w:rsidRPr="00515A8B">
        <w:rPr>
          <w:lang w:val="x-none"/>
        </w:rPr>
        <w:t>at high concentrations in cultured human peripheral blood lymphocytes with and without a metabolic activation system. However,</w:t>
      </w:r>
      <w:r w:rsidR="004140A8">
        <w:t xml:space="preserve"> </w:t>
      </w:r>
      <w:r w:rsidRPr="00515A8B">
        <w:rPr>
          <w:i/>
          <w:lang w:val="x-none"/>
        </w:rPr>
        <w:t xml:space="preserve">in vivo </w:t>
      </w:r>
      <w:r w:rsidRPr="00515A8B">
        <w:rPr>
          <w:lang w:val="x-none"/>
        </w:rPr>
        <w:t>genotoxicity tests in rats (micronucleus assay and comet assay) were negative at</w:t>
      </w:r>
      <w:r w:rsidR="004140A8">
        <w:t xml:space="preserve"> </w:t>
      </w:r>
      <w:r w:rsidRPr="00515A8B">
        <w:rPr>
          <w:lang w:val="x-none"/>
        </w:rPr>
        <w:t xml:space="preserve">sublethal doses. The weight of evidence from these studies suggests that </w:t>
      </w:r>
      <w:proofErr w:type="spellStart"/>
      <w:r w:rsidRPr="00515A8B">
        <w:rPr>
          <w:lang w:val="x-none"/>
        </w:rPr>
        <w:t>osilodrostat</w:t>
      </w:r>
      <w:proofErr w:type="spellEnd"/>
      <w:r w:rsidRPr="00515A8B">
        <w:rPr>
          <w:lang w:val="x-none"/>
        </w:rPr>
        <w:t xml:space="preserve"> does not pose a relevant genotoxic risk in humans.</w:t>
      </w:r>
    </w:p>
    <w:p w14:paraId="207BA9FB" w14:textId="77777777" w:rsidR="009B3C0F" w:rsidRPr="00154505" w:rsidRDefault="009B3C0F" w:rsidP="00154505">
      <w:pPr>
        <w:rPr>
          <w:b/>
          <w:bCs/>
        </w:rPr>
      </w:pPr>
      <w:r w:rsidRPr="00154505">
        <w:rPr>
          <w:b/>
          <w:bCs/>
        </w:rPr>
        <w:t>Carcinogenicity</w:t>
      </w:r>
    </w:p>
    <w:p w14:paraId="078D80B3" w14:textId="38966FE3" w:rsidR="00A21B6B" w:rsidRPr="00515A8B" w:rsidRDefault="00916FA4" w:rsidP="00916FA4">
      <w:pPr>
        <w:rPr>
          <w:lang w:val="x-none"/>
        </w:rPr>
      </w:pPr>
      <w:r w:rsidRPr="00916FA4">
        <w:rPr>
          <w:lang w:val="x-none"/>
        </w:rPr>
        <w:t>In conventional 2 year rat and mouse carcinogenicity studies an increase in liver adenomas and/or carcinoma was seen in male mice dosed orally at 10 mg/kg/day (6 times the human clinical exposure at the MRHD) and at high doses in rats (10 mg/kg/day and 30 mg/kg/day in males and females, respectively; 23 and 74 times the human clinical exposure at the MRHD). Thyroid follicular cell adenomas and/or combined adenoma and carcinoma were also seen in male rats. The findings are likely rodent specific and considered not relevant to</w:t>
      </w:r>
      <w:r>
        <w:t xml:space="preserve"> </w:t>
      </w:r>
      <w:r w:rsidRPr="00916FA4">
        <w:rPr>
          <w:lang w:val="x-none"/>
        </w:rPr>
        <w:t>humans.</w:t>
      </w:r>
    </w:p>
    <w:p w14:paraId="4CAA1BFD" w14:textId="1AB6DC96" w:rsidR="00EA6A6B" w:rsidRPr="003E4C4B" w:rsidRDefault="00EA6A6B" w:rsidP="00EA6A6B">
      <w:pPr>
        <w:pStyle w:val="Heading1"/>
      </w:pPr>
      <w:r w:rsidRPr="003E4C4B">
        <w:t>PHARMACEUTICAL PARTICULARS</w:t>
      </w:r>
    </w:p>
    <w:p w14:paraId="74393191" w14:textId="72A3854A" w:rsidR="00EA6A6B" w:rsidRPr="002A27EF" w:rsidRDefault="00EA6A6B" w:rsidP="00EA6A6B">
      <w:pPr>
        <w:pStyle w:val="Heading2"/>
        <w:numPr>
          <w:ilvl w:val="1"/>
          <w:numId w:val="6"/>
        </w:numPr>
      </w:pPr>
      <w:bookmarkStart w:id="11" w:name="_LIST_OF_EXIPIENTS"/>
      <w:bookmarkStart w:id="12" w:name="_Ref507057191"/>
      <w:bookmarkEnd w:id="11"/>
      <w:r w:rsidRPr="002A27EF">
        <w:t>LIST OF EX</w:t>
      </w:r>
      <w:r w:rsidR="00417B60">
        <w:t>C</w:t>
      </w:r>
      <w:r w:rsidRPr="002A27EF">
        <w:t>IPIENTS</w:t>
      </w:r>
      <w:bookmarkEnd w:id="12"/>
    </w:p>
    <w:p w14:paraId="4A3B7846" w14:textId="685AB052" w:rsidR="00A21B6B" w:rsidRPr="009C64DE" w:rsidRDefault="00A21B6B" w:rsidP="009C64DE">
      <w:pPr>
        <w:rPr>
          <w:b/>
          <w:bCs/>
        </w:rPr>
      </w:pPr>
      <w:r w:rsidRPr="009C64DE">
        <w:rPr>
          <w:b/>
          <w:bCs/>
        </w:rPr>
        <w:t xml:space="preserve">Tablet core </w:t>
      </w:r>
    </w:p>
    <w:p w14:paraId="209FC8EF" w14:textId="649AC9CF" w:rsidR="00A21B6B" w:rsidRDefault="005E2E1D" w:rsidP="009C64DE">
      <w:r>
        <w:t>M</w:t>
      </w:r>
      <w:r w:rsidR="00A21B6B">
        <w:t>icrocrystalline</w:t>
      </w:r>
      <w:r>
        <w:t xml:space="preserve"> cellulose,</w:t>
      </w:r>
      <w:r w:rsidR="009C64DE">
        <w:br/>
      </w:r>
      <w:r w:rsidR="00A21B6B">
        <w:t xml:space="preserve">Mannitol </w:t>
      </w:r>
      <w:r w:rsidR="009C64DE">
        <w:br/>
      </w:r>
      <w:r w:rsidR="00A21B6B">
        <w:t xml:space="preserve">Croscarmellose sodium </w:t>
      </w:r>
      <w:r w:rsidR="009C64DE">
        <w:br/>
      </w:r>
      <w:r w:rsidR="00A21B6B">
        <w:t xml:space="preserve">Magnesium stearate </w:t>
      </w:r>
      <w:r w:rsidR="009C64DE">
        <w:br/>
        <w:t>C</w:t>
      </w:r>
      <w:r w:rsidR="00A21B6B">
        <w:t xml:space="preserve">olloidal anhydrous </w:t>
      </w:r>
      <w:r w:rsidR="009C64DE">
        <w:t>silica</w:t>
      </w:r>
    </w:p>
    <w:p w14:paraId="7B1BDB43" w14:textId="053F2A8F" w:rsidR="00A21B6B" w:rsidRPr="009C64DE" w:rsidRDefault="00A21B6B" w:rsidP="00893B33">
      <w:pPr>
        <w:pageBreakBefore/>
        <w:rPr>
          <w:b/>
          <w:bCs/>
        </w:rPr>
      </w:pPr>
      <w:r w:rsidRPr="009C64DE">
        <w:rPr>
          <w:b/>
          <w:bCs/>
        </w:rPr>
        <w:lastRenderedPageBreak/>
        <w:t xml:space="preserve">Film coat </w:t>
      </w:r>
    </w:p>
    <w:p w14:paraId="76B79964" w14:textId="5AE24A7B" w:rsidR="00A21B6B" w:rsidRDefault="00A21B6B" w:rsidP="009C64DE">
      <w:r>
        <w:t xml:space="preserve">Hypromellose </w:t>
      </w:r>
      <w:r w:rsidR="009C64DE">
        <w:br/>
      </w:r>
      <w:r>
        <w:t xml:space="preserve">Titanium dioxide (E171) </w:t>
      </w:r>
      <w:r w:rsidR="009C64DE">
        <w:br/>
      </w:r>
      <w:r>
        <w:t xml:space="preserve">Macrogol </w:t>
      </w:r>
      <w:r w:rsidR="009C64DE">
        <w:br/>
        <w:t xml:space="preserve">Purified </w:t>
      </w:r>
      <w:r>
        <w:t xml:space="preserve">Talc </w:t>
      </w:r>
    </w:p>
    <w:p w14:paraId="36D38E6B" w14:textId="03877AB8" w:rsidR="00A21B6B" w:rsidRPr="003E4C4B" w:rsidRDefault="00A21B6B" w:rsidP="009C64DE">
      <w:r>
        <w:t xml:space="preserve">Iron oxide yellow (E172) </w:t>
      </w:r>
      <w:r w:rsidR="005E2E1D" w:rsidRPr="005E2E1D">
        <w:rPr>
          <w:b/>
          <w:bCs/>
        </w:rPr>
        <w:t xml:space="preserve">(1 mg, 5 </w:t>
      </w:r>
      <w:proofErr w:type="gramStart"/>
      <w:r w:rsidR="005E2E1D" w:rsidRPr="005E2E1D">
        <w:rPr>
          <w:b/>
          <w:bCs/>
        </w:rPr>
        <w:t>mg</w:t>
      </w:r>
      <w:proofErr w:type="gramEnd"/>
      <w:r w:rsidR="005E2E1D" w:rsidRPr="005E2E1D">
        <w:rPr>
          <w:b/>
          <w:bCs/>
        </w:rPr>
        <w:t xml:space="preserve"> and 10 mg tablet)</w:t>
      </w:r>
      <w:r w:rsidR="005E2E1D">
        <w:rPr>
          <w:b/>
          <w:bCs/>
        </w:rPr>
        <w:br/>
      </w:r>
      <w:r>
        <w:t xml:space="preserve">Iron oxide red (E172) </w:t>
      </w:r>
      <w:r w:rsidR="005E2E1D" w:rsidRPr="005E2E1D">
        <w:rPr>
          <w:b/>
          <w:bCs/>
        </w:rPr>
        <w:t>(1 mg</w:t>
      </w:r>
      <w:r w:rsidR="005E2E1D">
        <w:rPr>
          <w:b/>
          <w:bCs/>
        </w:rPr>
        <w:t xml:space="preserve"> </w:t>
      </w:r>
      <w:r w:rsidR="005E2E1D" w:rsidRPr="005E2E1D">
        <w:rPr>
          <w:b/>
          <w:bCs/>
        </w:rPr>
        <w:t>and 10 mg tablet)</w:t>
      </w:r>
      <w:r w:rsidR="005E2E1D">
        <w:br/>
      </w:r>
      <w:r>
        <w:t>Iron oxide black (E172)</w:t>
      </w:r>
      <w:r w:rsidR="005E2E1D" w:rsidRPr="005E2E1D">
        <w:rPr>
          <w:b/>
          <w:bCs/>
        </w:rPr>
        <w:t xml:space="preserve"> </w:t>
      </w:r>
      <w:r w:rsidR="005E2E1D">
        <w:rPr>
          <w:b/>
          <w:bCs/>
        </w:rPr>
        <w:t>(</w:t>
      </w:r>
      <w:r w:rsidR="005E2E1D" w:rsidRPr="005E2E1D">
        <w:rPr>
          <w:b/>
          <w:bCs/>
        </w:rPr>
        <w:t>10 mg tablet)</w:t>
      </w:r>
    </w:p>
    <w:p w14:paraId="25A09201" w14:textId="07D56F21" w:rsidR="00EA6A6B" w:rsidRDefault="00EA6A6B" w:rsidP="00EA6A6B">
      <w:pPr>
        <w:pStyle w:val="Heading2"/>
        <w:numPr>
          <w:ilvl w:val="1"/>
          <w:numId w:val="6"/>
        </w:numPr>
      </w:pPr>
      <w:r w:rsidRPr="009E02D8">
        <w:t>INCOMPATIBILITIES</w:t>
      </w:r>
    </w:p>
    <w:p w14:paraId="659EF5B9" w14:textId="213CF38D" w:rsidR="00571DD5" w:rsidRPr="00623BCE" w:rsidRDefault="00571DD5" w:rsidP="005E2E1D">
      <w:pPr>
        <w:rPr>
          <w:lang w:val="en-AU"/>
        </w:rPr>
      </w:pPr>
      <w:r w:rsidRPr="00571DD5">
        <w:rPr>
          <w:lang w:val="en-AU"/>
        </w:rPr>
        <w:t>Not applicable.</w:t>
      </w:r>
    </w:p>
    <w:p w14:paraId="74CC9D1A" w14:textId="64192D17" w:rsidR="00EA6A6B" w:rsidRDefault="00EA6A6B" w:rsidP="002D6162">
      <w:pPr>
        <w:pStyle w:val="Heading2"/>
        <w:numPr>
          <w:ilvl w:val="1"/>
          <w:numId w:val="6"/>
        </w:numPr>
      </w:pPr>
      <w:r w:rsidRPr="003E4C4B">
        <w:t>SHELF LIFE</w:t>
      </w:r>
    </w:p>
    <w:p w14:paraId="0055FC93" w14:textId="3A582A89" w:rsidR="00623BCE" w:rsidRPr="00623BCE" w:rsidRDefault="00623BCE" w:rsidP="005E2E1D">
      <w:pPr>
        <w:rPr>
          <w:lang w:val="en-AU"/>
        </w:rPr>
      </w:pPr>
      <w:r w:rsidRPr="0074724E">
        <w:t>In Australia, information on the shelf life can be found on the public summar</w:t>
      </w:r>
      <w:r w:rsidRPr="0074724E">
        <w:rPr>
          <w:spacing w:val="-5"/>
        </w:rPr>
        <w:t>y</w:t>
      </w:r>
      <w:r w:rsidRPr="0074724E">
        <w:t xml:space="preserve"> of the Australian Register of Therapeutic Goods (ARTG). The expir</w:t>
      </w:r>
      <w:r w:rsidRPr="0074724E">
        <w:rPr>
          <w:spacing w:val="-5"/>
        </w:rPr>
        <w:t>y</w:t>
      </w:r>
      <w:r w:rsidRPr="0074724E">
        <w:t xml:space="preserve"> date can be found on the packaging.</w:t>
      </w:r>
    </w:p>
    <w:p w14:paraId="5C08CD81" w14:textId="465984F1" w:rsidR="00EA6A6B" w:rsidRDefault="00EA6A6B" w:rsidP="00EA6A6B">
      <w:pPr>
        <w:pStyle w:val="Heading2"/>
        <w:numPr>
          <w:ilvl w:val="1"/>
          <w:numId w:val="6"/>
        </w:numPr>
      </w:pPr>
      <w:r w:rsidRPr="003E4C4B">
        <w:t>SPECIAL PRECAUTIONS FOR STORAGE</w:t>
      </w:r>
    </w:p>
    <w:p w14:paraId="433A7023" w14:textId="51ED6812" w:rsidR="00623BCE" w:rsidRPr="00623BCE" w:rsidRDefault="00623BCE" w:rsidP="005E2E1D">
      <w:pPr>
        <w:rPr>
          <w:lang w:val="en-AU"/>
        </w:rPr>
      </w:pPr>
      <w:r w:rsidRPr="0074724E">
        <w:t xml:space="preserve">Store below </w:t>
      </w:r>
      <w:r w:rsidR="00644346">
        <w:t>30</w:t>
      </w:r>
      <w:r w:rsidR="008918FD" w:rsidRPr="0074724E">
        <w:t>ºC</w:t>
      </w:r>
      <w:r w:rsidRPr="0074724E">
        <w:t>.</w:t>
      </w:r>
      <w:r w:rsidR="00571DD5" w:rsidRPr="00571DD5">
        <w:t xml:space="preserve"> Store in the original package </w:t>
      </w:r>
      <w:proofErr w:type="gramStart"/>
      <w:r w:rsidR="00571DD5" w:rsidRPr="00571DD5">
        <w:t>in order to</w:t>
      </w:r>
      <w:proofErr w:type="gramEnd"/>
      <w:r w:rsidR="00571DD5" w:rsidRPr="00571DD5">
        <w:t xml:space="preserve"> protect from moisture.</w:t>
      </w:r>
    </w:p>
    <w:p w14:paraId="1822A6E3" w14:textId="661DE49A" w:rsidR="00EA6A6B" w:rsidRDefault="00EA6A6B" w:rsidP="00EA6A6B">
      <w:pPr>
        <w:pStyle w:val="Heading2"/>
        <w:numPr>
          <w:ilvl w:val="1"/>
          <w:numId w:val="6"/>
        </w:numPr>
      </w:pPr>
      <w:r w:rsidRPr="003E4C4B">
        <w:t>NATURE AND CONTENTS OF CONTAINER</w:t>
      </w:r>
    </w:p>
    <w:p w14:paraId="325EF8A4" w14:textId="6F140647" w:rsidR="00571DD5" w:rsidRDefault="00571DD5" w:rsidP="00A67EDC">
      <w:pPr>
        <w:rPr>
          <w:lang w:val="en-AU"/>
        </w:rPr>
      </w:pPr>
      <w:r w:rsidRPr="00571DD5">
        <w:rPr>
          <w:lang w:val="en-AU"/>
        </w:rPr>
        <w:t>Alu/Alu blister</w:t>
      </w:r>
      <w:r w:rsidR="00A67EDC">
        <w:rPr>
          <w:lang w:val="en-AU"/>
        </w:rPr>
        <w:t xml:space="preserve">s </w:t>
      </w:r>
      <w:r w:rsidR="00A67EDC" w:rsidRPr="00A67EDC">
        <w:rPr>
          <w:lang w:val="en-AU"/>
        </w:rPr>
        <w:t>with</w:t>
      </w:r>
      <w:r w:rsidR="00A67EDC">
        <w:rPr>
          <w:lang w:val="en-AU"/>
        </w:rPr>
        <w:t xml:space="preserve"> </w:t>
      </w:r>
      <w:r w:rsidR="00A67EDC" w:rsidRPr="00A67EDC">
        <w:rPr>
          <w:lang w:val="en-AU"/>
        </w:rPr>
        <w:t>PA/AL/PVC foil as forming foil and aluminium foil as backing foil</w:t>
      </w:r>
      <w:r w:rsidRPr="00571DD5">
        <w:rPr>
          <w:lang w:val="en-AU"/>
        </w:rPr>
        <w:t>.</w:t>
      </w:r>
    </w:p>
    <w:p w14:paraId="602DAD8F" w14:textId="257859C5" w:rsidR="00571DD5" w:rsidRPr="00571DD5" w:rsidRDefault="00571DD5" w:rsidP="005E2E1D">
      <w:pPr>
        <w:rPr>
          <w:lang w:val="en-AU"/>
        </w:rPr>
      </w:pPr>
      <w:r w:rsidRPr="00571DD5">
        <w:rPr>
          <w:lang w:val="en-AU"/>
        </w:rPr>
        <w:t>Packs containing 60 tablets (6 blisters of 10 tablets).</w:t>
      </w:r>
    </w:p>
    <w:p w14:paraId="4FBA2300" w14:textId="4662595A" w:rsidR="00EA6A6B" w:rsidRDefault="00EA6A6B" w:rsidP="00EA6A6B">
      <w:pPr>
        <w:pStyle w:val="Heading2"/>
        <w:numPr>
          <w:ilvl w:val="1"/>
          <w:numId w:val="6"/>
        </w:numPr>
      </w:pPr>
      <w:r w:rsidRPr="003E4C4B">
        <w:t>SPECIAL PRECAUTIONS FOR DISPOSAL</w:t>
      </w:r>
    </w:p>
    <w:p w14:paraId="270DD2F0" w14:textId="6DAE83E5" w:rsidR="00571DD5" w:rsidRPr="00571DD5" w:rsidRDefault="00571DD5" w:rsidP="005E2E1D">
      <w:r w:rsidRPr="00571DD5">
        <w:t xml:space="preserve">No special requirements. </w:t>
      </w:r>
    </w:p>
    <w:p w14:paraId="0596706D" w14:textId="5B06CD32" w:rsidR="00571DD5" w:rsidRDefault="00571DD5" w:rsidP="005E2E1D">
      <w:r w:rsidRPr="00571DD5">
        <w:t>Any unused medicinal product or waste material should be disposed of in accordance with local requirements.</w:t>
      </w:r>
    </w:p>
    <w:p w14:paraId="259F62BB" w14:textId="66566EDD" w:rsidR="00623BCE" w:rsidRPr="00623BCE" w:rsidRDefault="005133E2" w:rsidP="005E2E1D">
      <w:pPr>
        <w:rPr>
          <w:lang w:val="en-AU"/>
        </w:rPr>
      </w:pPr>
      <w:r w:rsidRPr="0074724E">
        <w:t>In Australia, a</w:t>
      </w:r>
      <w:r w:rsidRPr="0074724E">
        <w:rPr>
          <w:spacing w:val="4"/>
        </w:rPr>
        <w:t>n</w:t>
      </w:r>
      <w:r w:rsidRPr="0074724E">
        <w:rPr>
          <w:spacing w:val="-6"/>
        </w:rPr>
        <w:t>y</w:t>
      </w:r>
      <w:r w:rsidRPr="0074724E">
        <w:t xml:space="preserve"> unused medicine or waste material should be disposed of b</w:t>
      </w:r>
      <w:r w:rsidRPr="0074724E">
        <w:rPr>
          <w:spacing w:val="-5"/>
        </w:rPr>
        <w:t>y</w:t>
      </w:r>
      <w:r w:rsidRPr="0074724E">
        <w:t xml:space="preserve"> taking to</w:t>
      </w:r>
      <w:r w:rsidRPr="0074724E">
        <w:rPr>
          <w:spacing w:val="5"/>
        </w:rPr>
        <w:t xml:space="preserve"> </w:t>
      </w:r>
      <w:r w:rsidRPr="0074724E">
        <w:rPr>
          <w:spacing w:val="-5"/>
        </w:rPr>
        <w:t>y</w:t>
      </w:r>
      <w:r w:rsidRPr="0074724E">
        <w:t>our local pharmac</w:t>
      </w:r>
      <w:r w:rsidRPr="0074724E">
        <w:rPr>
          <w:spacing w:val="-5"/>
        </w:rPr>
        <w:t>y</w:t>
      </w:r>
      <w:r w:rsidRPr="0074724E">
        <w:t>.</w:t>
      </w:r>
      <w:r w:rsidRPr="0074724E">
        <w:rPr>
          <w:noProof/>
        </w:rPr>
        <w:t xml:space="preserve"> </w:t>
      </w:r>
    </w:p>
    <w:p w14:paraId="2967E6C9" w14:textId="70D74F18" w:rsidR="00EA6A6B" w:rsidRPr="003E4C4B" w:rsidRDefault="00EA6A6B" w:rsidP="00893B33">
      <w:pPr>
        <w:pStyle w:val="Heading2"/>
        <w:pageBreakBefore/>
        <w:numPr>
          <w:ilvl w:val="0"/>
          <w:numId w:val="0"/>
        </w:numPr>
        <w:ind w:left="357"/>
      </w:pPr>
      <w:r w:rsidRPr="003E4C4B">
        <w:lastRenderedPageBreak/>
        <w:t>6.7</w:t>
      </w:r>
      <w:r w:rsidRPr="003E4C4B">
        <w:tab/>
        <w:t>PHYSICOCHEMICAL PROPERTIES</w:t>
      </w:r>
    </w:p>
    <w:p w14:paraId="717A06C1" w14:textId="391EF3B4" w:rsidR="00EA6A6B" w:rsidRPr="005E2E1D" w:rsidRDefault="00F7506D" w:rsidP="005E2E1D">
      <w:pPr>
        <w:rPr>
          <w:b/>
          <w:bCs/>
        </w:rPr>
      </w:pPr>
      <w:r w:rsidRPr="005E2E1D">
        <w:rPr>
          <w:b/>
          <w:bCs/>
        </w:rPr>
        <w:t>Chemical Structure</w:t>
      </w:r>
    </w:p>
    <w:p w14:paraId="6EED1BEF" w14:textId="29E04D8A" w:rsidR="005133E2" w:rsidRDefault="009B2323" w:rsidP="007843ED">
      <w:r>
        <w:rPr>
          <w:noProof/>
        </w:rPr>
        <w:drawing>
          <wp:inline distT="0" distB="0" distL="0" distR="0" wp14:anchorId="600FB24A" wp14:editId="7DC71E79">
            <wp:extent cx="1838325" cy="1888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4890" cy="1895733"/>
                    </a:xfrm>
                    <a:prstGeom prst="rect">
                      <a:avLst/>
                    </a:prstGeom>
                  </pic:spPr>
                </pic:pic>
              </a:graphicData>
            </a:graphic>
          </wp:inline>
        </w:drawing>
      </w:r>
    </w:p>
    <w:p w14:paraId="2E7D4DE4" w14:textId="36496168" w:rsidR="005133E2" w:rsidRPr="00DA0EF5" w:rsidRDefault="005133E2" w:rsidP="005E2E1D">
      <w:pPr>
        <w:rPr>
          <w:rStyle w:val="Heading3Char"/>
          <w:b w:val="0"/>
          <w:sz w:val="22"/>
          <w:szCs w:val="22"/>
        </w:rPr>
      </w:pPr>
      <w:r w:rsidRPr="00DA0EF5">
        <w:rPr>
          <w:b/>
        </w:rPr>
        <w:t>CAS Number:</w:t>
      </w:r>
      <w:r w:rsidRPr="00DA0EF5">
        <w:t xml:space="preserve"> </w:t>
      </w:r>
      <w:r w:rsidR="009B2323" w:rsidRPr="009B2323">
        <w:t>1315449-72-9</w:t>
      </w:r>
    </w:p>
    <w:p w14:paraId="42AAE0E2" w14:textId="77777777" w:rsidR="005133E2" w:rsidRDefault="005133E2" w:rsidP="00800F69">
      <w:pPr>
        <w:rPr>
          <w:rStyle w:val="Heading3Char"/>
          <w:b w:val="0"/>
        </w:rPr>
      </w:pPr>
    </w:p>
    <w:p w14:paraId="2CCF0D85" w14:textId="09476C38" w:rsidR="00EA6A6B" w:rsidRDefault="00EA6A6B" w:rsidP="00EA6A6B">
      <w:pPr>
        <w:pStyle w:val="Heading1"/>
      </w:pPr>
      <w:r w:rsidRPr="003E4C4B">
        <w:t>POISONS STANDARD</w:t>
      </w:r>
    </w:p>
    <w:p w14:paraId="7A5C7A7F" w14:textId="1CE7F3F9" w:rsidR="005133E2" w:rsidRPr="005133E2" w:rsidRDefault="005133E2" w:rsidP="005E2E1D">
      <w:pPr>
        <w:rPr>
          <w:lang w:val="en-AU"/>
        </w:rPr>
      </w:pPr>
      <w:r w:rsidRPr="0074724E">
        <w:t>Schedule 4 – Prescription onl</w:t>
      </w:r>
      <w:r w:rsidRPr="0074724E">
        <w:rPr>
          <w:spacing w:val="-5"/>
        </w:rPr>
        <w:t>y</w:t>
      </w:r>
      <w:r w:rsidRPr="0074724E">
        <w:t xml:space="preserve"> medicine.</w:t>
      </w:r>
    </w:p>
    <w:p w14:paraId="62737B4B" w14:textId="05A89DF3" w:rsidR="00EA6A6B" w:rsidRPr="003E4C4B" w:rsidRDefault="00EA6A6B" w:rsidP="00EA6A6B">
      <w:pPr>
        <w:pStyle w:val="Heading1"/>
      </w:pPr>
      <w:r w:rsidRPr="003E4C4B">
        <w:t>SPONSOR</w:t>
      </w:r>
    </w:p>
    <w:p w14:paraId="1D1CC3BA" w14:textId="4F5F5146" w:rsidR="009B03C4" w:rsidRDefault="00CC179A" w:rsidP="00515A8B">
      <w:pPr>
        <w:spacing w:after="0"/>
      </w:pPr>
      <w:bookmarkStart w:id="13" w:name="_Hlk37918587"/>
      <w:proofErr w:type="spellStart"/>
      <w:r>
        <w:t>Recordati</w:t>
      </w:r>
      <w:proofErr w:type="spellEnd"/>
      <w:r>
        <w:t xml:space="preserve"> Rare Diseases Australia Pty Ltd</w:t>
      </w:r>
      <w:r w:rsidR="005E2E1D">
        <w:br/>
      </w:r>
      <w:r w:rsidRPr="00F770D3">
        <w:t>Level 6, 69 Reservoir Street</w:t>
      </w:r>
      <w:r w:rsidR="005E2E1D">
        <w:br/>
      </w:r>
      <w:r w:rsidRPr="00F770D3">
        <w:t>Surry Hills</w:t>
      </w:r>
      <w:r w:rsidR="005E2E1D">
        <w:br/>
      </w:r>
      <w:r w:rsidRPr="00F770D3">
        <w:t>Sydney NSW 2010</w:t>
      </w:r>
      <w:r w:rsidR="005E2E1D">
        <w:br/>
      </w:r>
      <w:r w:rsidRPr="00F770D3">
        <w:t>Australia</w:t>
      </w:r>
      <w:bookmarkEnd w:id="13"/>
    </w:p>
    <w:p w14:paraId="013C68DE" w14:textId="374A8536" w:rsidR="00EC3912" w:rsidRDefault="00EC3912" w:rsidP="00EC3912">
      <w:pPr>
        <w:spacing w:after="0"/>
      </w:pPr>
      <w:r w:rsidRPr="00EC3912">
        <w:t xml:space="preserve">Email: </w:t>
      </w:r>
      <w:hyperlink r:id="rId14" w:history="1">
        <w:r w:rsidRPr="00477721">
          <w:rPr>
            <w:rStyle w:val="Hyperlink"/>
          </w:rPr>
          <w:t>rrdaustraliainfo@recordati.com</w:t>
        </w:r>
      </w:hyperlink>
    </w:p>
    <w:p w14:paraId="343F06C1" w14:textId="77777777" w:rsidR="00EC3912" w:rsidRPr="003E4C4B" w:rsidRDefault="00EC3912" w:rsidP="00515A8B">
      <w:pPr>
        <w:spacing w:after="0"/>
      </w:pPr>
    </w:p>
    <w:p w14:paraId="574A191E" w14:textId="068A9687" w:rsidR="00EA6A6B" w:rsidRPr="003E4C4B" w:rsidRDefault="00EA6A6B" w:rsidP="00EA6A6B">
      <w:pPr>
        <w:pStyle w:val="Heading1"/>
      </w:pPr>
      <w:r w:rsidRPr="003E4C4B">
        <w:t>DATE OF FIRST APPROVAL</w:t>
      </w:r>
    </w:p>
    <w:p w14:paraId="0DBD6E8C" w14:textId="703EAA8F" w:rsidR="00EA6A6B" w:rsidRPr="0074724E" w:rsidRDefault="00294DAB" w:rsidP="005E2E1D">
      <w:r>
        <w:t>12 May 2022</w:t>
      </w:r>
    </w:p>
    <w:p w14:paraId="66ACB290" w14:textId="77777777" w:rsidR="005133E2" w:rsidRPr="003E4C4B" w:rsidRDefault="005133E2" w:rsidP="005E2E1D"/>
    <w:p w14:paraId="2A551D59" w14:textId="783F2540" w:rsidR="00EA6A6B" w:rsidRDefault="00EA6A6B" w:rsidP="00893B33">
      <w:pPr>
        <w:pStyle w:val="Heading1"/>
        <w:pageBreakBefore/>
        <w:ind w:left="714" w:hanging="357"/>
      </w:pPr>
      <w:r w:rsidRPr="003E4C4B">
        <w:lastRenderedPageBreak/>
        <w:t>DATE OF REVISION</w:t>
      </w:r>
    </w:p>
    <w:p w14:paraId="6E8A2B9A" w14:textId="77777777" w:rsidR="0029482B" w:rsidRDefault="0029482B" w:rsidP="005E2E1D">
      <w:pPr>
        <w:rPr>
          <w:b/>
          <w:bCs/>
        </w:rPr>
      </w:pPr>
    </w:p>
    <w:p w14:paraId="76A0473C" w14:textId="513B6478" w:rsidR="004970D2" w:rsidRPr="005E2E1D" w:rsidRDefault="004970D2" w:rsidP="005E2E1D">
      <w:pPr>
        <w:rPr>
          <w:b/>
          <w:bCs/>
        </w:rPr>
      </w:pPr>
      <w:r w:rsidRPr="005E2E1D">
        <w:rPr>
          <w:b/>
          <w:bCs/>
        </w:rPr>
        <w:t>Summary table of changes</w:t>
      </w:r>
    </w:p>
    <w:p w14:paraId="3B372F53" w14:textId="77777777" w:rsidR="005133E2" w:rsidRPr="0074724E" w:rsidRDefault="005133E2" w:rsidP="005E2E1D"/>
    <w:tbl>
      <w:tblPr>
        <w:tblStyle w:val="TableGrid"/>
        <w:tblW w:w="0" w:type="auto"/>
        <w:tblLook w:val="04A0" w:firstRow="1" w:lastRow="0" w:firstColumn="1" w:lastColumn="0" w:noHBand="0" w:noVBand="1"/>
      </w:tblPr>
      <w:tblGrid>
        <w:gridCol w:w="1696"/>
        <w:gridCol w:w="7320"/>
      </w:tblGrid>
      <w:tr w:rsidR="00AE7E8C" w:rsidRPr="0074724E" w14:paraId="1D311F15" w14:textId="77777777" w:rsidTr="005133E2">
        <w:tc>
          <w:tcPr>
            <w:tcW w:w="1696" w:type="dxa"/>
          </w:tcPr>
          <w:p w14:paraId="15340F2D" w14:textId="1D2CC71F" w:rsidR="00AE7E8C" w:rsidRPr="0074724E" w:rsidRDefault="005133E2" w:rsidP="005E2E1D">
            <w:r w:rsidRPr="0074724E">
              <w:t>Section Changed</w:t>
            </w:r>
          </w:p>
        </w:tc>
        <w:tc>
          <w:tcPr>
            <w:tcW w:w="7320" w:type="dxa"/>
          </w:tcPr>
          <w:p w14:paraId="0936FA68" w14:textId="17AF6ACC" w:rsidR="00AE7E8C" w:rsidRPr="0074724E" w:rsidRDefault="005133E2" w:rsidP="005E2E1D">
            <w:r w:rsidRPr="0074724E">
              <w:rPr>
                <w:rFonts w:eastAsia="Times New Roman"/>
              </w:rPr>
              <w:t>Summary of new information</w:t>
            </w:r>
          </w:p>
        </w:tc>
      </w:tr>
      <w:tr w:rsidR="00AE7E8C" w:rsidRPr="0074724E" w14:paraId="7D084E3A" w14:textId="77777777" w:rsidTr="005133E2">
        <w:tc>
          <w:tcPr>
            <w:tcW w:w="1696" w:type="dxa"/>
          </w:tcPr>
          <w:p w14:paraId="00821E0F" w14:textId="44B33EAD" w:rsidR="00AE7E8C" w:rsidRPr="0074724E" w:rsidRDefault="00AE7E8C" w:rsidP="005E2E1D"/>
        </w:tc>
        <w:tc>
          <w:tcPr>
            <w:tcW w:w="7320" w:type="dxa"/>
          </w:tcPr>
          <w:p w14:paraId="1AC7C61F" w14:textId="623B1460" w:rsidR="00AE7E8C" w:rsidRPr="0074724E" w:rsidRDefault="00AE7E8C" w:rsidP="005E2E1D"/>
        </w:tc>
      </w:tr>
      <w:tr w:rsidR="00AE7E8C" w:rsidRPr="0074724E" w14:paraId="516A87B8" w14:textId="77777777" w:rsidTr="005133E2">
        <w:tc>
          <w:tcPr>
            <w:tcW w:w="1696" w:type="dxa"/>
          </w:tcPr>
          <w:p w14:paraId="42AE10E7" w14:textId="2B783F33" w:rsidR="00AE7E8C" w:rsidRPr="0074724E" w:rsidRDefault="00AE7E8C" w:rsidP="005E2E1D"/>
        </w:tc>
        <w:tc>
          <w:tcPr>
            <w:tcW w:w="7320" w:type="dxa"/>
          </w:tcPr>
          <w:p w14:paraId="2ACB3986" w14:textId="7C6B8AA8" w:rsidR="00AE7E8C" w:rsidRPr="0074724E" w:rsidRDefault="00AE7E8C" w:rsidP="005E2E1D"/>
        </w:tc>
      </w:tr>
      <w:tr w:rsidR="00AE7E8C" w:rsidRPr="00FE3922" w14:paraId="78091A1E" w14:textId="77777777" w:rsidTr="005133E2">
        <w:tc>
          <w:tcPr>
            <w:tcW w:w="1696" w:type="dxa"/>
          </w:tcPr>
          <w:p w14:paraId="7EE586F7" w14:textId="3F1D64E3" w:rsidR="00AE7E8C" w:rsidRPr="0074724E" w:rsidRDefault="00AE7E8C" w:rsidP="005E2E1D"/>
        </w:tc>
        <w:tc>
          <w:tcPr>
            <w:tcW w:w="7320" w:type="dxa"/>
          </w:tcPr>
          <w:p w14:paraId="4677ABDD" w14:textId="65B43EBD" w:rsidR="00AE7E8C" w:rsidRPr="0074724E" w:rsidRDefault="00AE7E8C" w:rsidP="005E2E1D"/>
        </w:tc>
      </w:tr>
    </w:tbl>
    <w:p w14:paraId="34DC6C41" w14:textId="7A2C783C" w:rsidR="00805353" w:rsidRPr="00AE7E8C" w:rsidRDefault="00805353" w:rsidP="005E2E1D"/>
    <w:sectPr w:rsidR="00805353" w:rsidRPr="00AE7E8C" w:rsidSect="00215C53">
      <w:headerReference w:type="default" r:id="rId15"/>
      <w:footerReference w:type="default" r:id="rId16"/>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2C8F" w14:textId="77777777" w:rsidR="00D05312" w:rsidRDefault="00D05312" w:rsidP="00AE7E8C">
      <w:r>
        <w:separator/>
      </w:r>
    </w:p>
  </w:endnote>
  <w:endnote w:type="continuationSeparator" w:id="0">
    <w:p w14:paraId="56026BFC" w14:textId="77777777" w:rsidR="00D05312" w:rsidRDefault="00D05312" w:rsidP="00AE7E8C">
      <w:r>
        <w:continuationSeparator/>
      </w:r>
    </w:p>
  </w:endnote>
  <w:endnote w:type="continuationNotice" w:id="1">
    <w:p w14:paraId="273E61CB" w14:textId="77777777" w:rsidR="00D05312" w:rsidRDefault="00D05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18653"/>
      <w:docPartObj>
        <w:docPartGallery w:val="Page Numbers (Bottom of Page)"/>
        <w:docPartUnique/>
      </w:docPartObj>
    </w:sdtPr>
    <w:sdtEndPr>
      <w:rPr>
        <w:noProof/>
      </w:rPr>
    </w:sdtEndPr>
    <w:sdtContent>
      <w:p w14:paraId="0248974D" w14:textId="3BDE680E" w:rsidR="000E7366" w:rsidRDefault="00D26B54" w:rsidP="009C786E">
        <w:pPr>
          <w:pStyle w:val="Footer"/>
          <w:pBdr>
            <w:top w:val="single" w:sz="4" w:space="0" w:color="auto"/>
          </w:pBdr>
          <w:jc w:val="right"/>
        </w:pPr>
        <w:r>
          <w:t>ISTURISA PI v0.</w:t>
        </w:r>
        <w:r w:rsidR="0025408B">
          <w:t>4</w:t>
        </w:r>
        <w:r w:rsidR="000E7366">
          <w:tab/>
        </w:r>
        <w:r w:rsidR="000E7366">
          <w:tab/>
        </w:r>
        <w:r w:rsidR="000E7366">
          <w:fldChar w:fldCharType="begin"/>
        </w:r>
        <w:r w:rsidR="000E7366">
          <w:instrText xml:space="preserve"> PAGE   \* MERGEFORMAT </w:instrText>
        </w:r>
        <w:r w:rsidR="000E7366">
          <w:fldChar w:fldCharType="separate"/>
        </w:r>
        <w:r w:rsidR="000E7366">
          <w:rPr>
            <w:noProof/>
          </w:rPr>
          <w:t>13</w:t>
        </w:r>
        <w:r w:rsidR="000E736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2E98" w14:textId="77777777" w:rsidR="00D05312" w:rsidRDefault="00D05312" w:rsidP="00AE7E8C">
      <w:r>
        <w:separator/>
      </w:r>
    </w:p>
  </w:footnote>
  <w:footnote w:type="continuationSeparator" w:id="0">
    <w:p w14:paraId="651570FA" w14:textId="77777777" w:rsidR="00D05312" w:rsidRDefault="00D05312" w:rsidP="00AE7E8C">
      <w:r>
        <w:continuationSeparator/>
      </w:r>
    </w:p>
  </w:footnote>
  <w:footnote w:type="continuationNotice" w:id="1">
    <w:p w14:paraId="394A5D1B" w14:textId="77777777" w:rsidR="00D05312" w:rsidRDefault="00D05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893B33" w14:paraId="339503EB" w14:textId="77777777" w:rsidTr="00316873">
      <w:tc>
        <w:tcPr>
          <w:tcW w:w="8720" w:type="dxa"/>
          <w:shd w:val="clear" w:color="auto" w:fill="E4F2E0"/>
        </w:tcPr>
        <w:p w14:paraId="5DAC3C5F" w14:textId="77777777" w:rsidR="00893B33" w:rsidRPr="000739D8" w:rsidRDefault="00893B33" w:rsidP="00893B33">
          <w:pPr>
            <w:rPr>
              <w:b/>
              <w:sz w:val="20"/>
              <w:szCs w:val="20"/>
            </w:rPr>
          </w:pPr>
          <w:r w:rsidRPr="000739D8">
            <w:rPr>
              <w:b/>
              <w:sz w:val="20"/>
              <w:szCs w:val="20"/>
            </w:rPr>
            <w:t xml:space="preserve">Attachment 1: Product information for </w:t>
          </w:r>
          <w:proofErr w:type="spellStart"/>
          <w:r w:rsidRPr="000739D8">
            <w:rPr>
              <w:b/>
              <w:sz w:val="20"/>
              <w:szCs w:val="20"/>
            </w:rPr>
            <w:t>AusPAR</w:t>
          </w:r>
          <w:proofErr w:type="spellEnd"/>
          <w:r w:rsidRPr="000739D8">
            <w:rPr>
              <w:b/>
              <w:sz w:val="20"/>
              <w:szCs w:val="20"/>
            </w:rPr>
            <w:t xml:space="preserve"> - </w:t>
          </w:r>
          <w:proofErr w:type="spellStart"/>
          <w:r w:rsidRPr="000739D8">
            <w:rPr>
              <w:b/>
              <w:sz w:val="20"/>
              <w:szCs w:val="20"/>
            </w:rPr>
            <w:t>Isturisa</w:t>
          </w:r>
          <w:proofErr w:type="spellEnd"/>
          <w:r w:rsidRPr="000739D8">
            <w:rPr>
              <w:b/>
              <w:sz w:val="20"/>
              <w:szCs w:val="20"/>
            </w:rPr>
            <w:t xml:space="preserve"> - </w:t>
          </w:r>
          <w:proofErr w:type="spellStart"/>
          <w:r w:rsidRPr="000739D8">
            <w:rPr>
              <w:b/>
              <w:sz w:val="20"/>
              <w:szCs w:val="20"/>
            </w:rPr>
            <w:t>osilodrostat</w:t>
          </w:r>
          <w:proofErr w:type="spellEnd"/>
          <w:r w:rsidRPr="000739D8">
            <w:rPr>
              <w:b/>
              <w:sz w:val="20"/>
              <w:szCs w:val="20"/>
            </w:rPr>
            <w:t xml:space="preserve"> - </w:t>
          </w:r>
          <w:proofErr w:type="spellStart"/>
          <w:r w:rsidRPr="000739D8">
            <w:rPr>
              <w:b/>
              <w:sz w:val="20"/>
              <w:szCs w:val="20"/>
            </w:rPr>
            <w:t>Recordati</w:t>
          </w:r>
          <w:proofErr w:type="spellEnd"/>
          <w:r w:rsidRPr="000739D8">
            <w:rPr>
              <w:b/>
              <w:sz w:val="20"/>
              <w:szCs w:val="20"/>
            </w:rPr>
            <w:t xml:space="preserve"> Rare Diseases Australia Pty Ltd - PM</w:t>
          </w:r>
          <w:r w:rsidRPr="000739D8">
            <w:rPr>
              <w:b/>
              <w:sz w:val="20"/>
              <w:szCs w:val="20"/>
            </w:rPr>
            <w:noBreakHyphen/>
            <w:t>2021</w:t>
          </w:r>
          <w:r w:rsidRPr="000739D8">
            <w:rPr>
              <w:b/>
              <w:sz w:val="20"/>
              <w:szCs w:val="20"/>
            </w:rPr>
            <w:noBreakHyphen/>
            <w:t>02641</w:t>
          </w:r>
          <w:r w:rsidRPr="000739D8">
            <w:rPr>
              <w:b/>
              <w:sz w:val="20"/>
              <w:szCs w:val="20"/>
            </w:rPr>
            <w:noBreakHyphen/>
            <w:t>1</w:t>
          </w:r>
          <w:r w:rsidRPr="000739D8">
            <w:rPr>
              <w:b/>
              <w:sz w:val="20"/>
              <w:szCs w:val="20"/>
            </w:rPr>
            <w:noBreakHyphen/>
            <w:t xml:space="preserve">5 Final 21 October 2022. This is the Product Information that was approved with the submission described in this </w:t>
          </w:r>
          <w:proofErr w:type="spellStart"/>
          <w:r w:rsidRPr="000739D8">
            <w:rPr>
              <w:b/>
              <w:sz w:val="20"/>
              <w:szCs w:val="20"/>
            </w:rPr>
            <w:t>AusPAR</w:t>
          </w:r>
          <w:proofErr w:type="spellEnd"/>
          <w:r w:rsidRPr="000739D8">
            <w:rPr>
              <w:b/>
              <w:sz w:val="20"/>
              <w:szCs w:val="20"/>
            </w:rPr>
            <w:t>. It may have been superseded. For the most recent PI, please refer to the TGA website at &lt;</w:t>
          </w:r>
          <w:hyperlink r:id="rId1" w:history="1">
            <w:r w:rsidRPr="000739D8">
              <w:rPr>
                <w:rStyle w:val="Hyperlink"/>
                <w:b/>
                <w:sz w:val="20"/>
                <w:szCs w:val="20"/>
              </w:rPr>
              <w:t>https://www.tga.gov.au/products/australian-register-therapeutic-goods-artg/product-information-one</w:t>
            </w:r>
          </w:hyperlink>
          <w:r w:rsidRPr="000739D8">
            <w:rPr>
              <w:rStyle w:val="Hyperlink"/>
              <w:b/>
              <w:color w:val="auto"/>
              <w:sz w:val="20"/>
              <w:szCs w:val="20"/>
            </w:rPr>
            <w:t>&gt;</w:t>
          </w:r>
        </w:p>
      </w:tc>
    </w:tr>
  </w:tbl>
  <w:p w14:paraId="1C322584" w14:textId="6DC86A64" w:rsidR="000E7366" w:rsidRDefault="000E7366" w:rsidP="00823B3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F18"/>
    <w:multiLevelType w:val="hybridMultilevel"/>
    <w:tmpl w:val="E0968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80C3D"/>
    <w:multiLevelType w:val="multilevel"/>
    <w:tmpl w:val="9E221A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CA4"/>
    <w:multiLevelType w:val="hybridMultilevel"/>
    <w:tmpl w:val="F1364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7E345B"/>
    <w:multiLevelType w:val="multilevel"/>
    <w:tmpl w:val="8E689C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545844"/>
    <w:multiLevelType w:val="hybridMultilevel"/>
    <w:tmpl w:val="E24E6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03C57"/>
    <w:multiLevelType w:val="hybridMultilevel"/>
    <w:tmpl w:val="F8406668"/>
    <w:lvl w:ilvl="0" w:tplc="AF921D2E">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A85576"/>
    <w:multiLevelType w:val="hybridMultilevel"/>
    <w:tmpl w:val="1BBC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92B94"/>
    <w:multiLevelType w:val="hybridMultilevel"/>
    <w:tmpl w:val="ECE26002"/>
    <w:lvl w:ilvl="0" w:tplc="C6787806">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623D77"/>
    <w:multiLevelType w:val="hybridMultilevel"/>
    <w:tmpl w:val="87649B6C"/>
    <w:lvl w:ilvl="0" w:tplc="13921C82">
      <w:start w:val="1"/>
      <w:numFmt w:val="decimal"/>
      <w:pStyle w:val="Heading2"/>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78342B0"/>
    <w:multiLevelType w:val="multilevel"/>
    <w:tmpl w:val="A8DED390"/>
    <w:lvl w:ilvl="0">
      <w:start w:val="1"/>
      <w:numFmt w:val="decimal"/>
      <w:lvlText w:val="%1.1"/>
      <w:lvlJc w:val="left"/>
      <w:pPr>
        <w:ind w:left="71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BC72D6"/>
    <w:multiLevelType w:val="multilevel"/>
    <w:tmpl w:val="9E221A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6A6ABA"/>
    <w:multiLevelType w:val="hybridMultilevel"/>
    <w:tmpl w:val="4F469B84"/>
    <w:lvl w:ilvl="0" w:tplc="813418E4">
      <w:start w:val="9"/>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A52A7A"/>
    <w:multiLevelType w:val="multilevel"/>
    <w:tmpl w:val="9E221A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64551"/>
    <w:multiLevelType w:val="multilevel"/>
    <w:tmpl w:val="9E221A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C73964"/>
    <w:multiLevelType w:val="hybridMultilevel"/>
    <w:tmpl w:val="E0083B76"/>
    <w:lvl w:ilvl="0" w:tplc="C2AE40B6">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892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FB686D"/>
    <w:multiLevelType w:val="hybridMultilevel"/>
    <w:tmpl w:val="35BAA286"/>
    <w:lvl w:ilvl="0" w:tplc="AE0A30B0">
      <w:start w:val="3"/>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F67978"/>
    <w:multiLevelType w:val="multilevel"/>
    <w:tmpl w:val="A8DED390"/>
    <w:lvl w:ilvl="0">
      <w:start w:val="1"/>
      <w:numFmt w:val="decimal"/>
      <w:lvlText w:val="%1.1"/>
      <w:lvlJc w:val="left"/>
      <w:pPr>
        <w:ind w:left="71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719089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CC51B6"/>
    <w:multiLevelType w:val="hybridMultilevel"/>
    <w:tmpl w:val="2D92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86749"/>
    <w:multiLevelType w:val="hybridMultilevel"/>
    <w:tmpl w:val="4EC40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E6B26"/>
    <w:multiLevelType w:val="hybridMultilevel"/>
    <w:tmpl w:val="C1B0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E2312"/>
    <w:multiLevelType w:val="hybridMultilevel"/>
    <w:tmpl w:val="1E7E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01DF8"/>
    <w:multiLevelType w:val="multilevel"/>
    <w:tmpl w:val="EF9E1658"/>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C612FD"/>
    <w:multiLevelType w:val="hybridMultilevel"/>
    <w:tmpl w:val="4BA44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C00B56"/>
    <w:multiLevelType w:val="hybridMultilevel"/>
    <w:tmpl w:val="1E18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B6750"/>
    <w:multiLevelType w:val="hybridMultilevel"/>
    <w:tmpl w:val="B9BAB796"/>
    <w:lvl w:ilvl="0" w:tplc="39EC76B6">
      <w:start w:val="4"/>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8" w15:restartNumberingAfterBreak="0">
    <w:nsid w:val="5C5D2426"/>
    <w:multiLevelType w:val="hybridMultilevel"/>
    <w:tmpl w:val="07A6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C061AA"/>
    <w:multiLevelType w:val="multilevel"/>
    <w:tmpl w:val="9E221A4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F76AA8"/>
    <w:multiLevelType w:val="hybridMultilevel"/>
    <w:tmpl w:val="8E20E486"/>
    <w:lvl w:ilvl="0" w:tplc="C2AE40B6">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47D2C44"/>
    <w:multiLevelType w:val="hybridMultilevel"/>
    <w:tmpl w:val="AD92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005E45"/>
    <w:multiLevelType w:val="hybridMultilevel"/>
    <w:tmpl w:val="8694550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3"/>
  </w:num>
  <w:num w:numId="3">
    <w:abstractNumId w:val="19"/>
  </w:num>
  <w:num w:numId="4">
    <w:abstractNumId w:val="10"/>
  </w:num>
  <w:num w:numId="5">
    <w:abstractNumId w:val="16"/>
  </w:num>
  <w:num w:numId="6">
    <w:abstractNumId w:val="24"/>
  </w:num>
  <w:num w:numId="7">
    <w:abstractNumId w:val="18"/>
  </w:num>
  <w:num w:numId="8">
    <w:abstractNumId w:val="27"/>
  </w:num>
  <w:num w:numId="9">
    <w:abstractNumId w:val="8"/>
  </w:num>
  <w:num w:numId="10">
    <w:abstractNumId w:val="5"/>
  </w:num>
  <w:num w:numId="11">
    <w:abstractNumId w:val="13"/>
  </w:num>
  <w:num w:numId="12">
    <w:abstractNumId w:val="14"/>
  </w:num>
  <w:num w:numId="13">
    <w:abstractNumId w:val="1"/>
  </w:num>
  <w:num w:numId="14">
    <w:abstractNumId w:val="29"/>
  </w:num>
  <w:num w:numId="15">
    <w:abstractNumId w:val="11"/>
  </w:num>
  <w:num w:numId="16">
    <w:abstractNumId w:val="2"/>
  </w:num>
  <w:num w:numId="17">
    <w:abstractNumId w:val="2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20"/>
  </w:num>
  <w:num w:numId="22">
    <w:abstractNumId w:val="23"/>
  </w:num>
  <w:num w:numId="23">
    <w:abstractNumId w:val="26"/>
  </w:num>
  <w:num w:numId="24">
    <w:abstractNumId w:val="22"/>
  </w:num>
  <w:num w:numId="25">
    <w:abstractNumId w:val="0"/>
  </w:num>
  <w:num w:numId="26">
    <w:abstractNumId w:val="21"/>
  </w:num>
  <w:num w:numId="27">
    <w:abstractNumId w:val="28"/>
  </w:num>
  <w:num w:numId="28">
    <w:abstractNumId w:val="7"/>
  </w:num>
  <w:num w:numId="29">
    <w:abstractNumId w:val="12"/>
  </w:num>
  <w:num w:numId="30">
    <w:abstractNumId w:val="31"/>
  </w:num>
  <w:num w:numId="31">
    <w:abstractNumId w:val="32"/>
  </w:num>
  <w:num w:numId="32">
    <w:abstractNumId w:val="30"/>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28"/>
    <w:rsid w:val="00001D17"/>
    <w:rsid w:val="00004795"/>
    <w:rsid w:val="00005171"/>
    <w:rsid w:val="000055B4"/>
    <w:rsid w:val="0000563A"/>
    <w:rsid w:val="00006690"/>
    <w:rsid w:val="000128E5"/>
    <w:rsid w:val="00012C66"/>
    <w:rsid w:val="00016CAC"/>
    <w:rsid w:val="00016D4B"/>
    <w:rsid w:val="00017CAB"/>
    <w:rsid w:val="00021F7C"/>
    <w:rsid w:val="00023156"/>
    <w:rsid w:val="00032438"/>
    <w:rsid w:val="0003376F"/>
    <w:rsid w:val="00033CDA"/>
    <w:rsid w:val="00041B6B"/>
    <w:rsid w:val="000420A5"/>
    <w:rsid w:val="00043682"/>
    <w:rsid w:val="000443BF"/>
    <w:rsid w:val="00051A16"/>
    <w:rsid w:val="000543F4"/>
    <w:rsid w:val="00055849"/>
    <w:rsid w:val="00055E7A"/>
    <w:rsid w:val="00056713"/>
    <w:rsid w:val="00057646"/>
    <w:rsid w:val="00057ED6"/>
    <w:rsid w:val="0006091B"/>
    <w:rsid w:val="00061212"/>
    <w:rsid w:val="000615E7"/>
    <w:rsid w:val="00062565"/>
    <w:rsid w:val="00063F2A"/>
    <w:rsid w:val="000641F5"/>
    <w:rsid w:val="00064C45"/>
    <w:rsid w:val="00064F58"/>
    <w:rsid w:val="00071174"/>
    <w:rsid w:val="00072AA4"/>
    <w:rsid w:val="00072BF6"/>
    <w:rsid w:val="00074AE0"/>
    <w:rsid w:val="00076F61"/>
    <w:rsid w:val="0008108B"/>
    <w:rsid w:val="000858C9"/>
    <w:rsid w:val="00086642"/>
    <w:rsid w:val="000872FD"/>
    <w:rsid w:val="00090E6E"/>
    <w:rsid w:val="00091041"/>
    <w:rsid w:val="0009138D"/>
    <w:rsid w:val="000915D8"/>
    <w:rsid w:val="00092E6B"/>
    <w:rsid w:val="00093F31"/>
    <w:rsid w:val="000963EA"/>
    <w:rsid w:val="000A08B2"/>
    <w:rsid w:val="000A0B48"/>
    <w:rsid w:val="000A3878"/>
    <w:rsid w:val="000A5728"/>
    <w:rsid w:val="000B03EA"/>
    <w:rsid w:val="000B33C1"/>
    <w:rsid w:val="000C08E1"/>
    <w:rsid w:val="000C1FC7"/>
    <w:rsid w:val="000C3877"/>
    <w:rsid w:val="000C5F75"/>
    <w:rsid w:val="000C651A"/>
    <w:rsid w:val="000C66AF"/>
    <w:rsid w:val="000C73E9"/>
    <w:rsid w:val="000D01F7"/>
    <w:rsid w:val="000D1072"/>
    <w:rsid w:val="000D2213"/>
    <w:rsid w:val="000D3944"/>
    <w:rsid w:val="000D3E71"/>
    <w:rsid w:val="000D6A9F"/>
    <w:rsid w:val="000E19CE"/>
    <w:rsid w:val="000E27C2"/>
    <w:rsid w:val="000E3B60"/>
    <w:rsid w:val="000E7366"/>
    <w:rsid w:val="000E7EE4"/>
    <w:rsid w:val="000F1D64"/>
    <w:rsid w:val="000F3521"/>
    <w:rsid w:val="000F518E"/>
    <w:rsid w:val="000F6D82"/>
    <w:rsid w:val="00100BA2"/>
    <w:rsid w:val="0010233E"/>
    <w:rsid w:val="00103A57"/>
    <w:rsid w:val="00104673"/>
    <w:rsid w:val="0010494F"/>
    <w:rsid w:val="001107D1"/>
    <w:rsid w:val="00110C2B"/>
    <w:rsid w:val="00110C4F"/>
    <w:rsid w:val="00112047"/>
    <w:rsid w:val="0011588B"/>
    <w:rsid w:val="00115AB8"/>
    <w:rsid w:val="00115F7B"/>
    <w:rsid w:val="001162A8"/>
    <w:rsid w:val="00116515"/>
    <w:rsid w:val="00116B3A"/>
    <w:rsid w:val="00116BDB"/>
    <w:rsid w:val="001266A1"/>
    <w:rsid w:val="00130425"/>
    <w:rsid w:val="00131449"/>
    <w:rsid w:val="00131B19"/>
    <w:rsid w:val="00132F65"/>
    <w:rsid w:val="0013300B"/>
    <w:rsid w:val="001359B7"/>
    <w:rsid w:val="00137779"/>
    <w:rsid w:val="00137D7F"/>
    <w:rsid w:val="0014066B"/>
    <w:rsid w:val="001414EA"/>
    <w:rsid w:val="00142ACF"/>
    <w:rsid w:val="00142E90"/>
    <w:rsid w:val="0014339F"/>
    <w:rsid w:val="001440E2"/>
    <w:rsid w:val="00147CF8"/>
    <w:rsid w:val="001507F6"/>
    <w:rsid w:val="00150922"/>
    <w:rsid w:val="001510FA"/>
    <w:rsid w:val="00151777"/>
    <w:rsid w:val="001527CA"/>
    <w:rsid w:val="00154505"/>
    <w:rsid w:val="001565D5"/>
    <w:rsid w:val="00161AAA"/>
    <w:rsid w:val="00162AC3"/>
    <w:rsid w:val="00163BB8"/>
    <w:rsid w:val="0016568E"/>
    <w:rsid w:val="0016735D"/>
    <w:rsid w:val="00170242"/>
    <w:rsid w:val="00172CAC"/>
    <w:rsid w:val="0017310D"/>
    <w:rsid w:val="00177516"/>
    <w:rsid w:val="00177D6F"/>
    <w:rsid w:val="0018059A"/>
    <w:rsid w:val="001826A2"/>
    <w:rsid w:val="00183D0D"/>
    <w:rsid w:val="001859FE"/>
    <w:rsid w:val="00186CAE"/>
    <w:rsid w:val="00193D50"/>
    <w:rsid w:val="00194A30"/>
    <w:rsid w:val="00196A1B"/>
    <w:rsid w:val="00196DE8"/>
    <w:rsid w:val="001A071D"/>
    <w:rsid w:val="001A347F"/>
    <w:rsid w:val="001A633C"/>
    <w:rsid w:val="001A7652"/>
    <w:rsid w:val="001A7B5C"/>
    <w:rsid w:val="001B2915"/>
    <w:rsid w:val="001B6FA7"/>
    <w:rsid w:val="001C04A3"/>
    <w:rsid w:val="001C1BB4"/>
    <w:rsid w:val="001C270E"/>
    <w:rsid w:val="001C30F9"/>
    <w:rsid w:val="001C3472"/>
    <w:rsid w:val="001C5F99"/>
    <w:rsid w:val="001C6F29"/>
    <w:rsid w:val="001C7F91"/>
    <w:rsid w:val="001D0998"/>
    <w:rsid w:val="001D4665"/>
    <w:rsid w:val="001D4D1C"/>
    <w:rsid w:val="001D5F80"/>
    <w:rsid w:val="001E03E9"/>
    <w:rsid w:val="001E0F40"/>
    <w:rsid w:val="001E14B4"/>
    <w:rsid w:val="001E1C46"/>
    <w:rsid w:val="001E3D46"/>
    <w:rsid w:val="001E404F"/>
    <w:rsid w:val="001E4EA8"/>
    <w:rsid w:val="001E78D7"/>
    <w:rsid w:val="001F2830"/>
    <w:rsid w:val="001F2906"/>
    <w:rsid w:val="001F55B8"/>
    <w:rsid w:val="001F5A55"/>
    <w:rsid w:val="001F75B9"/>
    <w:rsid w:val="001F7ACB"/>
    <w:rsid w:val="001F7B6E"/>
    <w:rsid w:val="0020198F"/>
    <w:rsid w:val="00201DC4"/>
    <w:rsid w:val="00202109"/>
    <w:rsid w:val="002024A4"/>
    <w:rsid w:val="00202803"/>
    <w:rsid w:val="002079A0"/>
    <w:rsid w:val="0021099D"/>
    <w:rsid w:val="00211BC2"/>
    <w:rsid w:val="00212407"/>
    <w:rsid w:val="00213310"/>
    <w:rsid w:val="002138A0"/>
    <w:rsid w:val="0021556A"/>
    <w:rsid w:val="002158ED"/>
    <w:rsid w:val="00215C53"/>
    <w:rsid w:val="0021613B"/>
    <w:rsid w:val="00216BD6"/>
    <w:rsid w:val="00216C10"/>
    <w:rsid w:val="002171D0"/>
    <w:rsid w:val="0022545E"/>
    <w:rsid w:val="002255A8"/>
    <w:rsid w:val="002271B2"/>
    <w:rsid w:val="002276A1"/>
    <w:rsid w:val="002333BF"/>
    <w:rsid w:val="002338F6"/>
    <w:rsid w:val="00234C3E"/>
    <w:rsid w:val="00234D54"/>
    <w:rsid w:val="00241E74"/>
    <w:rsid w:val="00242CFC"/>
    <w:rsid w:val="002452BA"/>
    <w:rsid w:val="00247DBC"/>
    <w:rsid w:val="002502A5"/>
    <w:rsid w:val="0025353E"/>
    <w:rsid w:val="0025408B"/>
    <w:rsid w:val="00254225"/>
    <w:rsid w:val="002567DF"/>
    <w:rsid w:val="00256CBE"/>
    <w:rsid w:val="002609F1"/>
    <w:rsid w:val="002622D8"/>
    <w:rsid w:val="00264985"/>
    <w:rsid w:val="00264B95"/>
    <w:rsid w:val="0026600D"/>
    <w:rsid w:val="002670A8"/>
    <w:rsid w:val="002708DB"/>
    <w:rsid w:val="00270C4A"/>
    <w:rsid w:val="00272029"/>
    <w:rsid w:val="0027443B"/>
    <w:rsid w:val="00274C6F"/>
    <w:rsid w:val="00274D18"/>
    <w:rsid w:val="00275AA4"/>
    <w:rsid w:val="00275EE3"/>
    <w:rsid w:val="0028004F"/>
    <w:rsid w:val="00280669"/>
    <w:rsid w:val="0028074D"/>
    <w:rsid w:val="00280CBF"/>
    <w:rsid w:val="00280D90"/>
    <w:rsid w:val="002824D0"/>
    <w:rsid w:val="002832D5"/>
    <w:rsid w:val="002853F7"/>
    <w:rsid w:val="00287570"/>
    <w:rsid w:val="002912B9"/>
    <w:rsid w:val="00292D0C"/>
    <w:rsid w:val="0029482B"/>
    <w:rsid w:val="00294DAB"/>
    <w:rsid w:val="0029718C"/>
    <w:rsid w:val="002A0946"/>
    <w:rsid w:val="002A123E"/>
    <w:rsid w:val="002A19F6"/>
    <w:rsid w:val="002A27EF"/>
    <w:rsid w:val="002A2BAC"/>
    <w:rsid w:val="002A4F45"/>
    <w:rsid w:val="002A513C"/>
    <w:rsid w:val="002A5CD9"/>
    <w:rsid w:val="002A647A"/>
    <w:rsid w:val="002A6DF5"/>
    <w:rsid w:val="002B1D48"/>
    <w:rsid w:val="002B2A6C"/>
    <w:rsid w:val="002B4AF0"/>
    <w:rsid w:val="002B509D"/>
    <w:rsid w:val="002B6494"/>
    <w:rsid w:val="002B654F"/>
    <w:rsid w:val="002B6FA3"/>
    <w:rsid w:val="002B7DEB"/>
    <w:rsid w:val="002B7FF7"/>
    <w:rsid w:val="002C0D9F"/>
    <w:rsid w:val="002C1F37"/>
    <w:rsid w:val="002C5F9B"/>
    <w:rsid w:val="002C6E27"/>
    <w:rsid w:val="002C6FD7"/>
    <w:rsid w:val="002C7290"/>
    <w:rsid w:val="002C7778"/>
    <w:rsid w:val="002C79E8"/>
    <w:rsid w:val="002D029E"/>
    <w:rsid w:val="002D1508"/>
    <w:rsid w:val="002D3158"/>
    <w:rsid w:val="002D6162"/>
    <w:rsid w:val="002D7F45"/>
    <w:rsid w:val="002E160E"/>
    <w:rsid w:val="002E1F16"/>
    <w:rsid w:val="002E2B7A"/>
    <w:rsid w:val="002E4673"/>
    <w:rsid w:val="002F0DFB"/>
    <w:rsid w:val="002F26BA"/>
    <w:rsid w:val="002F27FE"/>
    <w:rsid w:val="002F313D"/>
    <w:rsid w:val="002F31F8"/>
    <w:rsid w:val="003005EE"/>
    <w:rsid w:val="00300DBE"/>
    <w:rsid w:val="00301399"/>
    <w:rsid w:val="00301E8D"/>
    <w:rsid w:val="00301F7C"/>
    <w:rsid w:val="00302C87"/>
    <w:rsid w:val="003038E9"/>
    <w:rsid w:val="00303966"/>
    <w:rsid w:val="003053E0"/>
    <w:rsid w:val="003058E2"/>
    <w:rsid w:val="00306F0E"/>
    <w:rsid w:val="00307603"/>
    <w:rsid w:val="00310D34"/>
    <w:rsid w:val="00311C26"/>
    <w:rsid w:val="003146DF"/>
    <w:rsid w:val="00314728"/>
    <w:rsid w:val="0031574E"/>
    <w:rsid w:val="0031673B"/>
    <w:rsid w:val="00317A55"/>
    <w:rsid w:val="00321715"/>
    <w:rsid w:val="00322AC7"/>
    <w:rsid w:val="00323551"/>
    <w:rsid w:val="003247B0"/>
    <w:rsid w:val="00326038"/>
    <w:rsid w:val="003260D1"/>
    <w:rsid w:val="0032781A"/>
    <w:rsid w:val="00327AD6"/>
    <w:rsid w:val="00331B34"/>
    <w:rsid w:val="00332745"/>
    <w:rsid w:val="00333362"/>
    <w:rsid w:val="003333BE"/>
    <w:rsid w:val="00333987"/>
    <w:rsid w:val="00335F66"/>
    <w:rsid w:val="00337010"/>
    <w:rsid w:val="00337380"/>
    <w:rsid w:val="003375B2"/>
    <w:rsid w:val="003376BE"/>
    <w:rsid w:val="00340146"/>
    <w:rsid w:val="0034072C"/>
    <w:rsid w:val="00343221"/>
    <w:rsid w:val="00344591"/>
    <w:rsid w:val="00344719"/>
    <w:rsid w:val="00345078"/>
    <w:rsid w:val="00345622"/>
    <w:rsid w:val="00350515"/>
    <w:rsid w:val="00350E55"/>
    <w:rsid w:val="00353F5A"/>
    <w:rsid w:val="00354CDB"/>
    <w:rsid w:val="003568F1"/>
    <w:rsid w:val="00365A80"/>
    <w:rsid w:val="003679B0"/>
    <w:rsid w:val="00372CDF"/>
    <w:rsid w:val="00375F3D"/>
    <w:rsid w:val="00376EFF"/>
    <w:rsid w:val="00380C2A"/>
    <w:rsid w:val="00390A81"/>
    <w:rsid w:val="00393135"/>
    <w:rsid w:val="00394885"/>
    <w:rsid w:val="00396CA8"/>
    <w:rsid w:val="00397686"/>
    <w:rsid w:val="003A01AE"/>
    <w:rsid w:val="003A10D7"/>
    <w:rsid w:val="003A17BC"/>
    <w:rsid w:val="003A370B"/>
    <w:rsid w:val="003A44C0"/>
    <w:rsid w:val="003A4A93"/>
    <w:rsid w:val="003A5CFF"/>
    <w:rsid w:val="003A602A"/>
    <w:rsid w:val="003A7DFA"/>
    <w:rsid w:val="003B31E9"/>
    <w:rsid w:val="003B59FE"/>
    <w:rsid w:val="003B7CA1"/>
    <w:rsid w:val="003C15D8"/>
    <w:rsid w:val="003C277C"/>
    <w:rsid w:val="003C3B3E"/>
    <w:rsid w:val="003C3E4D"/>
    <w:rsid w:val="003C3FFA"/>
    <w:rsid w:val="003C7F47"/>
    <w:rsid w:val="003D01D0"/>
    <w:rsid w:val="003D067D"/>
    <w:rsid w:val="003D0706"/>
    <w:rsid w:val="003D0888"/>
    <w:rsid w:val="003D0FFB"/>
    <w:rsid w:val="003D268F"/>
    <w:rsid w:val="003D2E61"/>
    <w:rsid w:val="003D46FD"/>
    <w:rsid w:val="003D5CFA"/>
    <w:rsid w:val="003E211D"/>
    <w:rsid w:val="003E306D"/>
    <w:rsid w:val="003E32F6"/>
    <w:rsid w:val="003E3853"/>
    <w:rsid w:val="003E4C4B"/>
    <w:rsid w:val="003E4D9C"/>
    <w:rsid w:val="003E5511"/>
    <w:rsid w:val="003E6D36"/>
    <w:rsid w:val="003F1051"/>
    <w:rsid w:val="003F193C"/>
    <w:rsid w:val="003F6DB8"/>
    <w:rsid w:val="004061D5"/>
    <w:rsid w:val="00407B8B"/>
    <w:rsid w:val="00411D12"/>
    <w:rsid w:val="004122D9"/>
    <w:rsid w:val="004140A8"/>
    <w:rsid w:val="004152EE"/>
    <w:rsid w:val="00416618"/>
    <w:rsid w:val="00417B60"/>
    <w:rsid w:val="00420243"/>
    <w:rsid w:val="00420289"/>
    <w:rsid w:val="0042121E"/>
    <w:rsid w:val="004222F1"/>
    <w:rsid w:val="004223C4"/>
    <w:rsid w:val="00425663"/>
    <w:rsid w:val="00425667"/>
    <w:rsid w:val="0042610A"/>
    <w:rsid w:val="004265B4"/>
    <w:rsid w:val="00426ACE"/>
    <w:rsid w:val="0043050E"/>
    <w:rsid w:val="00431D14"/>
    <w:rsid w:val="0043296B"/>
    <w:rsid w:val="00432FC9"/>
    <w:rsid w:val="004355C6"/>
    <w:rsid w:val="00435678"/>
    <w:rsid w:val="00437FE3"/>
    <w:rsid w:val="004434AA"/>
    <w:rsid w:val="004445B7"/>
    <w:rsid w:val="00445127"/>
    <w:rsid w:val="00445E75"/>
    <w:rsid w:val="0044629A"/>
    <w:rsid w:val="00450A13"/>
    <w:rsid w:val="00450A34"/>
    <w:rsid w:val="00451433"/>
    <w:rsid w:val="004517A0"/>
    <w:rsid w:val="00456DC6"/>
    <w:rsid w:val="00460E5C"/>
    <w:rsid w:val="0046118F"/>
    <w:rsid w:val="00461526"/>
    <w:rsid w:val="00461995"/>
    <w:rsid w:val="004628BC"/>
    <w:rsid w:val="004639DA"/>
    <w:rsid w:val="00464042"/>
    <w:rsid w:val="004648FF"/>
    <w:rsid w:val="0046748B"/>
    <w:rsid w:val="00467927"/>
    <w:rsid w:val="00467B30"/>
    <w:rsid w:val="00471255"/>
    <w:rsid w:val="0047137D"/>
    <w:rsid w:val="0047212B"/>
    <w:rsid w:val="0047534C"/>
    <w:rsid w:val="00475E2C"/>
    <w:rsid w:val="00476CD6"/>
    <w:rsid w:val="00481C77"/>
    <w:rsid w:val="00483FE9"/>
    <w:rsid w:val="00486879"/>
    <w:rsid w:val="0049052A"/>
    <w:rsid w:val="00490641"/>
    <w:rsid w:val="0049231C"/>
    <w:rsid w:val="004932D9"/>
    <w:rsid w:val="004933B7"/>
    <w:rsid w:val="00493C7D"/>
    <w:rsid w:val="00493FAA"/>
    <w:rsid w:val="00493FE8"/>
    <w:rsid w:val="004970D2"/>
    <w:rsid w:val="00497A4C"/>
    <w:rsid w:val="004A0982"/>
    <w:rsid w:val="004A0BA8"/>
    <w:rsid w:val="004A5125"/>
    <w:rsid w:val="004A5E06"/>
    <w:rsid w:val="004A5E10"/>
    <w:rsid w:val="004A6104"/>
    <w:rsid w:val="004B1F50"/>
    <w:rsid w:val="004B3151"/>
    <w:rsid w:val="004B4012"/>
    <w:rsid w:val="004B4292"/>
    <w:rsid w:val="004B7000"/>
    <w:rsid w:val="004C1AC0"/>
    <w:rsid w:val="004C334F"/>
    <w:rsid w:val="004C3545"/>
    <w:rsid w:val="004C3917"/>
    <w:rsid w:val="004C6A44"/>
    <w:rsid w:val="004C7766"/>
    <w:rsid w:val="004D5AA6"/>
    <w:rsid w:val="004D5C5B"/>
    <w:rsid w:val="004D5D1F"/>
    <w:rsid w:val="004E1C6B"/>
    <w:rsid w:val="004E2F21"/>
    <w:rsid w:val="004E3E69"/>
    <w:rsid w:val="004E3EC7"/>
    <w:rsid w:val="004E5847"/>
    <w:rsid w:val="004E731A"/>
    <w:rsid w:val="004F086B"/>
    <w:rsid w:val="004F10FE"/>
    <w:rsid w:val="004F1BC3"/>
    <w:rsid w:val="004F274B"/>
    <w:rsid w:val="004F2F03"/>
    <w:rsid w:val="004F375F"/>
    <w:rsid w:val="004F6EDF"/>
    <w:rsid w:val="004F7362"/>
    <w:rsid w:val="004F7A74"/>
    <w:rsid w:val="00501061"/>
    <w:rsid w:val="00503768"/>
    <w:rsid w:val="00505AD9"/>
    <w:rsid w:val="0050607A"/>
    <w:rsid w:val="0050761E"/>
    <w:rsid w:val="00507A4F"/>
    <w:rsid w:val="00513260"/>
    <w:rsid w:val="0051329B"/>
    <w:rsid w:val="005133E2"/>
    <w:rsid w:val="00513EA1"/>
    <w:rsid w:val="00515A8B"/>
    <w:rsid w:val="0051604B"/>
    <w:rsid w:val="005161CD"/>
    <w:rsid w:val="0051703D"/>
    <w:rsid w:val="00527FAE"/>
    <w:rsid w:val="005309CF"/>
    <w:rsid w:val="00531B3C"/>
    <w:rsid w:val="0053443D"/>
    <w:rsid w:val="00534CA7"/>
    <w:rsid w:val="0053711F"/>
    <w:rsid w:val="00537BEA"/>
    <w:rsid w:val="0054089E"/>
    <w:rsid w:val="00541B60"/>
    <w:rsid w:val="005429C2"/>
    <w:rsid w:val="005443C8"/>
    <w:rsid w:val="00546A13"/>
    <w:rsid w:val="005473EC"/>
    <w:rsid w:val="0054790A"/>
    <w:rsid w:val="00547C37"/>
    <w:rsid w:val="0055106E"/>
    <w:rsid w:val="0055126B"/>
    <w:rsid w:val="00551576"/>
    <w:rsid w:val="0055162F"/>
    <w:rsid w:val="00553C41"/>
    <w:rsid w:val="005542C5"/>
    <w:rsid w:val="005557D3"/>
    <w:rsid w:val="0055639B"/>
    <w:rsid w:val="0055675B"/>
    <w:rsid w:val="00556D97"/>
    <w:rsid w:val="005576B7"/>
    <w:rsid w:val="005579A8"/>
    <w:rsid w:val="005607DC"/>
    <w:rsid w:val="00562458"/>
    <w:rsid w:val="00562B8A"/>
    <w:rsid w:val="00562FBD"/>
    <w:rsid w:val="005635A9"/>
    <w:rsid w:val="00565A95"/>
    <w:rsid w:val="005666C3"/>
    <w:rsid w:val="0057060D"/>
    <w:rsid w:val="00570941"/>
    <w:rsid w:val="005711A7"/>
    <w:rsid w:val="00571C4F"/>
    <w:rsid w:val="00571DD5"/>
    <w:rsid w:val="005738F5"/>
    <w:rsid w:val="00574252"/>
    <w:rsid w:val="00575FBC"/>
    <w:rsid w:val="0058277D"/>
    <w:rsid w:val="00584097"/>
    <w:rsid w:val="0058553D"/>
    <w:rsid w:val="0059227D"/>
    <w:rsid w:val="00593656"/>
    <w:rsid w:val="00596098"/>
    <w:rsid w:val="005963C7"/>
    <w:rsid w:val="00597ED6"/>
    <w:rsid w:val="005A0F5C"/>
    <w:rsid w:val="005A2CA5"/>
    <w:rsid w:val="005A4E49"/>
    <w:rsid w:val="005A560D"/>
    <w:rsid w:val="005A734B"/>
    <w:rsid w:val="005B2842"/>
    <w:rsid w:val="005B2DA4"/>
    <w:rsid w:val="005B37D1"/>
    <w:rsid w:val="005B44F2"/>
    <w:rsid w:val="005B63CC"/>
    <w:rsid w:val="005B66FB"/>
    <w:rsid w:val="005B6EB5"/>
    <w:rsid w:val="005B7695"/>
    <w:rsid w:val="005C36B5"/>
    <w:rsid w:val="005C7507"/>
    <w:rsid w:val="005D10B1"/>
    <w:rsid w:val="005D135B"/>
    <w:rsid w:val="005D1B27"/>
    <w:rsid w:val="005D6EF0"/>
    <w:rsid w:val="005E04C1"/>
    <w:rsid w:val="005E0BC7"/>
    <w:rsid w:val="005E160F"/>
    <w:rsid w:val="005E2E1D"/>
    <w:rsid w:val="005E3F16"/>
    <w:rsid w:val="005E4ABA"/>
    <w:rsid w:val="005F17FD"/>
    <w:rsid w:val="005F4BCB"/>
    <w:rsid w:val="005F72A7"/>
    <w:rsid w:val="00600074"/>
    <w:rsid w:val="0060166F"/>
    <w:rsid w:val="00602A80"/>
    <w:rsid w:val="00602B49"/>
    <w:rsid w:val="006049ED"/>
    <w:rsid w:val="00604FD1"/>
    <w:rsid w:val="006067BC"/>
    <w:rsid w:val="0060795C"/>
    <w:rsid w:val="00610C63"/>
    <w:rsid w:val="006121E8"/>
    <w:rsid w:val="006148B0"/>
    <w:rsid w:val="006158ED"/>
    <w:rsid w:val="00616362"/>
    <w:rsid w:val="00617429"/>
    <w:rsid w:val="006229C3"/>
    <w:rsid w:val="0062359C"/>
    <w:rsid w:val="00623BCE"/>
    <w:rsid w:val="00624AFC"/>
    <w:rsid w:val="00626AFC"/>
    <w:rsid w:val="00626C13"/>
    <w:rsid w:val="00626D39"/>
    <w:rsid w:val="00631C68"/>
    <w:rsid w:val="00633B7C"/>
    <w:rsid w:val="006345DC"/>
    <w:rsid w:val="006403FA"/>
    <w:rsid w:val="00641209"/>
    <w:rsid w:val="00644346"/>
    <w:rsid w:val="00644E79"/>
    <w:rsid w:val="00646C6C"/>
    <w:rsid w:val="0065019B"/>
    <w:rsid w:val="0065035D"/>
    <w:rsid w:val="006512D5"/>
    <w:rsid w:val="00651697"/>
    <w:rsid w:val="00652D3C"/>
    <w:rsid w:val="00654769"/>
    <w:rsid w:val="0065588E"/>
    <w:rsid w:val="00656186"/>
    <w:rsid w:val="0065790B"/>
    <w:rsid w:val="00660AC3"/>
    <w:rsid w:val="0066143A"/>
    <w:rsid w:val="00662044"/>
    <w:rsid w:val="00663D87"/>
    <w:rsid w:val="006678A5"/>
    <w:rsid w:val="00667976"/>
    <w:rsid w:val="00670EB2"/>
    <w:rsid w:val="0067208F"/>
    <w:rsid w:val="0067219A"/>
    <w:rsid w:val="00674BCD"/>
    <w:rsid w:val="00674C96"/>
    <w:rsid w:val="006763C9"/>
    <w:rsid w:val="00680A3D"/>
    <w:rsid w:val="00681E73"/>
    <w:rsid w:val="006825AB"/>
    <w:rsid w:val="00684C9B"/>
    <w:rsid w:val="00684E41"/>
    <w:rsid w:val="00685753"/>
    <w:rsid w:val="00686121"/>
    <w:rsid w:val="00686A79"/>
    <w:rsid w:val="00686B40"/>
    <w:rsid w:val="006871FD"/>
    <w:rsid w:val="00691885"/>
    <w:rsid w:val="006922BE"/>
    <w:rsid w:val="00693397"/>
    <w:rsid w:val="00693B50"/>
    <w:rsid w:val="00693EBC"/>
    <w:rsid w:val="006967C3"/>
    <w:rsid w:val="0069757F"/>
    <w:rsid w:val="006A1714"/>
    <w:rsid w:val="006A1752"/>
    <w:rsid w:val="006A2F69"/>
    <w:rsid w:val="006A35C2"/>
    <w:rsid w:val="006A3C9B"/>
    <w:rsid w:val="006A42EB"/>
    <w:rsid w:val="006B050C"/>
    <w:rsid w:val="006B6A53"/>
    <w:rsid w:val="006B71D7"/>
    <w:rsid w:val="006C0C46"/>
    <w:rsid w:val="006C2884"/>
    <w:rsid w:val="006C2F76"/>
    <w:rsid w:val="006C578F"/>
    <w:rsid w:val="006C7778"/>
    <w:rsid w:val="006C7AC0"/>
    <w:rsid w:val="006D0141"/>
    <w:rsid w:val="006D0B12"/>
    <w:rsid w:val="006D0F5F"/>
    <w:rsid w:val="006D1004"/>
    <w:rsid w:val="006D2709"/>
    <w:rsid w:val="006D2EEF"/>
    <w:rsid w:val="006D3F38"/>
    <w:rsid w:val="006E0572"/>
    <w:rsid w:val="006E0CF1"/>
    <w:rsid w:val="006E1D80"/>
    <w:rsid w:val="006E37F6"/>
    <w:rsid w:val="006E3B9B"/>
    <w:rsid w:val="006E502D"/>
    <w:rsid w:val="006E641F"/>
    <w:rsid w:val="006E7A0A"/>
    <w:rsid w:val="006F0228"/>
    <w:rsid w:val="006F1A42"/>
    <w:rsid w:val="006F2F7F"/>
    <w:rsid w:val="006F426D"/>
    <w:rsid w:val="006F4853"/>
    <w:rsid w:val="006F7215"/>
    <w:rsid w:val="006F7F07"/>
    <w:rsid w:val="007007CC"/>
    <w:rsid w:val="00700B69"/>
    <w:rsid w:val="0070251D"/>
    <w:rsid w:val="00707AB3"/>
    <w:rsid w:val="00710082"/>
    <w:rsid w:val="00710428"/>
    <w:rsid w:val="00720D80"/>
    <w:rsid w:val="00722615"/>
    <w:rsid w:val="007247E8"/>
    <w:rsid w:val="007271C9"/>
    <w:rsid w:val="00727F4B"/>
    <w:rsid w:val="00731896"/>
    <w:rsid w:val="007337FD"/>
    <w:rsid w:val="00734A68"/>
    <w:rsid w:val="007355E5"/>
    <w:rsid w:val="00737AFA"/>
    <w:rsid w:val="00740985"/>
    <w:rsid w:val="00740F15"/>
    <w:rsid w:val="00742482"/>
    <w:rsid w:val="007448D9"/>
    <w:rsid w:val="00745CBF"/>
    <w:rsid w:val="007467DE"/>
    <w:rsid w:val="00746916"/>
    <w:rsid w:val="00746B49"/>
    <w:rsid w:val="0074724E"/>
    <w:rsid w:val="0074769A"/>
    <w:rsid w:val="00747F21"/>
    <w:rsid w:val="0075081D"/>
    <w:rsid w:val="00750996"/>
    <w:rsid w:val="007522EC"/>
    <w:rsid w:val="007534A3"/>
    <w:rsid w:val="007535CC"/>
    <w:rsid w:val="00755245"/>
    <w:rsid w:val="00756DAA"/>
    <w:rsid w:val="00757EAE"/>
    <w:rsid w:val="00760C07"/>
    <w:rsid w:val="00763B70"/>
    <w:rsid w:val="007660A5"/>
    <w:rsid w:val="007664D6"/>
    <w:rsid w:val="00773006"/>
    <w:rsid w:val="00773C4C"/>
    <w:rsid w:val="00773CF5"/>
    <w:rsid w:val="00776C45"/>
    <w:rsid w:val="00780355"/>
    <w:rsid w:val="00780E08"/>
    <w:rsid w:val="00784029"/>
    <w:rsid w:val="007843ED"/>
    <w:rsid w:val="00785022"/>
    <w:rsid w:val="007862A2"/>
    <w:rsid w:val="00786870"/>
    <w:rsid w:val="00792073"/>
    <w:rsid w:val="007928DD"/>
    <w:rsid w:val="00794E0B"/>
    <w:rsid w:val="00796479"/>
    <w:rsid w:val="00797391"/>
    <w:rsid w:val="007977F4"/>
    <w:rsid w:val="007A118A"/>
    <w:rsid w:val="007A1CC8"/>
    <w:rsid w:val="007A6C8A"/>
    <w:rsid w:val="007A7680"/>
    <w:rsid w:val="007B1AD5"/>
    <w:rsid w:val="007B1EE2"/>
    <w:rsid w:val="007B3145"/>
    <w:rsid w:val="007B3800"/>
    <w:rsid w:val="007B446D"/>
    <w:rsid w:val="007B6BF5"/>
    <w:rsid w:val="007B7B8F"/>
    <w:rsid w:val="007C05A7"/>
    <w:rsid w:val="007C0CFF"/>
    <w:rsid w:val="007C112F"/>
    <w:rsid w:val="007C1D64"/>
    <w:rsid w:val="007C31D2"/>
    <w:rsid w:val="007C49A2"/>
    <w:rsid w:val="007C56ED"/>
    <w:rsid w:val="007C57B2"/>
    <w:rsid w:val="007C6569"/>
    <w:rsid w:val="007D08C5"/>
    <w:rsid w:val="007D4240"/>
    <w:rsid w:val="007D6894"/>
    <w:rsid w:val="007D6B83"/>
    <w:rsid w:val="007D7BF4"/>
    <w:rsid w:val="007E0237"/>
    <w:rsid w:val="007E06F1"/>
    <w:rsid w:val="007E09AF"/>
    <w:rsid w:val="007E0AFF"/>
    <w:rsid w:val="007E2D08"/>
    <w:rsid w:val="007E4383"/>
    <w:rsid w:val="007E5985"/>
    <w:rsid w:val="007E6599"/>
    <w:rsid w:val="007E744C"/>
    <w:rsid w:val="007F2211"/>
    <w:rsid w:val="007F2F65"/>
    <w:rsid w:val="007F6BB6"/>
    <w:rsid w:val="007F788D"/>
    <w:rsid w:val="00800F69"/>
    <w:rsid w:val="0080194A"/>
    <w:rsid w:val="00804BAD"/>
    <w:rsid w:val="00805353"/>
    <w:rsid w:val="00806401"/>
    <w:rsid w:val="00806D99"/>
    <w:rsid w:val="0081000B"/>
    <w:rsid w:val="00810B8D"/>
    <w:rsid w:val="00812234"/>
    <w:rsid w:val="008152B7"/>
    <w:rsid w:val="00816663"/>
    <w:rsid w:val="00820AF1"/>
    <w:rsid w:val="00820BF0"/>
    <w:rsid w:val="00820DAB"/>
    <w:rsid w:val="00822330"/>
    <w:rsid w:val="0082355A"/>
    <w:rsid w:val="00823616"/>
    <w:rsid w:val="00823B36"/>
    <w:rsid w:val="00823CBA"/>
    <w:rsid w:val="00824AB8"/>
    <w:rsid w:val="008264DA"/>
    <w:rsid w:val="008275A3"/>
    <w:rsid w:val="00831DAE"/>
    <w:rsid w:val="00833AFB"/>
    <w:rsid w:val="00835BBC"/>
    <w:rsid w:val="008367BD"/>
    <w:rsid w:val="00837CEA"/>
    <w:rsid w:val="008408D9"/>
    <w:rsid w:val="00842941"/>
    <w:rsid w:val="0084315E"/>
    <w:rsid w:val="00843FAB"/>
    <w:rsid w:val="00846E94"/>
    <w:rsid w:val="0085030D"/>
    <w:rsid w:val="008516E4"/>
    <w:rsid w:val="00853D5D"/>
    <w:rsid w:val="0085775F"/>
    <w:rsid w:val="00857A2E"/>
    <w:rsid w:val="0086010C"/>
    <w:rsid w:val="008607BF"/>
    <w:rsid w:val="00862560"/>
    <w:rsid w:val="008628AB"/>
    <w:rsid w:val="0086305A"/>
    <w:rsid w:val="00863195"/>
    <w:rsid w:val="00863342"/>
    <w:rsid w:val="00864721"/>
    <w:rsid w:val="0086536A"/>
    <w:rsid w:val="00870C39"/>
    <w:rsid w:val="008729DF"/>
    <w:rsid w:val="00872F8B"/>
    <w:rsid w:val="008748AF"/>
    <w:rsid w:val="00874929"/>
    <w:rsid w:val="00874C8B"/>
    <w:rsid w:val="00875525"/>
    <w:rsid w:val="00880396"/>
    <w:rsid w:val="008817B8"/>
    <w:rsid w:val="008820F1"/>
    <w:rsid w:val="00884704"/>
    <w:rsid w:val="008872A8"/>
    <w:rsid w:val="00890332"/>
    <w:rsid w:val="008918FD"/>
    <w:rsid w:val="0089304D"/>
    <w:rsid w:val="008933C0"/>
    <w:rsid w:val="00893B33"/>
    <w:rsid w:val="00894885"/>
    <w:rsid w:val="00894B38"/>
    <w:rsid w:val="008952C3"/>
    <w:rsid w:val="008954CB"/>
    <w:rsid w:val="008958D0"/>
    <w:rsid w:val="00897C94"/>
    <w:rsid w:val="008A3E6D"/>
    <w:rsid w:val="008A3F1F"/>
    <w:rsid w:val="008A4FC4"/>
    <w:rsid w:val="008A512E"/>
    <w:rsid w:val="008A644A"/>
    <w:rsid w:val="008A6800"/>
    <w:rsid w:val="008B256B"/>
    <w:rsid w:val="008B310C"/>
    <w:rsid w:val="008B35FB"/>
    <w:rsid w:val="008B530A"/>
    <w:rsid w:val="008B5723"/>
    <w:rsid w:val="008B628A"/>
    <w:rsid w:val="008B6D8A"/>
    <w:rsid w:val="008C0AD8"/>
    <w:rsid w:val="008C1414"/>
    <w:rsid w:val="008C1ACD"/>
    <w:rsid w:val="008C5F1E"/>
    <w:rsid w:val="008C5F58"/>
    <w:rsid w:val="008C68B4"/>
    <w:rsid w:val="008C73D0"/>
    <w:rsid w:val="008D2339"/>
    <w:rsid w:val="008D2F37"/>
    <w:rsid w:val="008D3FEC"/>
    <w:rsid w:val="008D4838"/>
    <w:rsid w:val="008D4B04"/>
    <w:rsid w:val="008D7DC9"/>
    <w:rsid w:val="008E0660"/>
    <w:rsid w:val="008E0DFF"/>
    <w:rsid w:val="008E185D"/>
    <w:rsid w:val="008E4182"/>
    <w:rsid w:val="008E7C9A"/>
    <w:rsid w:val="008F1C09"/>
    <w:rsid w:val="008F342F"/>
    <w:rsid w:val="008F345D"/>
    <w:rsid w:val="008F3B1A"/>
    <w:rsid w:val="008F4B0D"/>
    <w:rsid w:val="008F5E66"/>
    <w:rsid w:val="008F688B"/>
    <w:rsid w:val="008F7A68"/>
    <w:rsid w:val="009009F8"/>
    <w:rsid w:val="00900EA7"/>
    <w:rsid w:val="009028DE"/>
    <w:rsid w:val="00906434"/>
    <w:rsid w:val="00906C0F"/>
    <w:rsid w:val="0090719C"/>
    <w:rsid w:val="009076B2"/>
    <w:rsid w:val="0091055E"/>
    <w:rsid w:val="00910F33"/>
    <w:rsid w:val="00916C38"/>
    <w:rsid w:val="00916FA4"/>
    <w:rsid w:val="00920AEA"/>
    <w:rsid w:val="009213F3"/>
    <w:rsid w:val="009226C3"/>
    <w:rsid w:val="00922B09"/>
    <w:rsid w:val="00923D97"/>
    <w:rsid w:val="00925427"/>
    <w:rsid w:val="00926F6D"/>
    <w:rsid w:val="009272A9"/>
    <w:rsid w:val="00927DBD"/>
    <w:rsid w:val="009318C9"/>
    <w:rsid w:val="009320DD"/>
    <w:rsid w:val="009327CB"/>
    <w:rsid w:val="00943924"/>
    <w:rsid w:val="00947AFA"/>
    <w:rsid w:val="00950599"/>
    <w:rsid w:val="00950A15"/>
    <w:rsid w:val="00952229"/>
    <w:rsid w:val="00953CE2"/>
    <w:rsid w:val="00954153"/>
    <w:rsid w:val="00954A2D"/>
    <w:rsid w:val="00954E0E"/>
    <w:rsid w:val="00955D67"/>
    <w:rsid w:val="00957C47"/>
    <w:rsid w:val="0096212E"/>
    <w:rsid w:val="00962B45"/>
    <w:rsid w:val="00962DF2"/>
    <w:rsid w:val="00963D35"/>
    <w:rsid w:val="00963EDE"/>
    <w:rsid w:val="009650D9"/>
    <w:rsid w:val="009677A5"/>
    <w:rsid w:val="009706DF"/>
    <w:rsid w:val="0097105B"/>
    <w:rsid w:val="00971C75"/>
    <w:rsid w:val="00972F21"/>
    <w:rsid w:val="00972F88"/>
    <w:rsid w:val="0097576C"/>
    <w:rsid w:val="00976BCA"/>
    <w:rsid w:val="00977032"/>
    <w:rsid w:val="00980DF1"/>
    <w:rsid w:val="0098398B"/>
    <w:rsid w:val="00983CBD"/>
    <w:rsid w:val="00986931"/>
    <w:rsid w:val="009905B7"/>
    <w:rsid w:val="0099463F"/>
    <w:rsid w:val="00994BCE"/>
    <w:rsid w:val="00995C2E"/>
    <w:rsid w:val="009964C5"/>
    <w:rsid w:val="00996513"/>
    <w:rsid w:val="009A063F"/>
    <w:rsid w:val="009A6A3F"/>
    <w:rsid w:val="009A74D6"/>
    <w:rsid w:val="009B03C4"/>
    <w:rsid w:val="009B11E4"/>
    <w:rsid w:val="009B2323"/>
    <w:rsid w:val="009B3C0F"/>
    <w:rsid w:val="009B46D3"/>
    <w:rsid w:val="009B47E9"/>
    <w:rsid w:val="009C16C6"/>
    <w:rsid w:val="009C1CD3"/>
    <w:rsid w:val="009C2A7F"/>
    <w:rsid w:val="009C3036"/>
    <w:rsid w:val="009C37F7"/>
    <w:rsid w:val="009C5F2D"/>
    <w:rsid w:val="009C61D9"/>
    <w:rsid w:val="009C62ED"/>
    <w:rsid w:val="009C64DE"/>
    <w:rsid w:val="009C6B96"/>
    <w:rsid w:val="009C781D"/>
    <w:rsid w:val="009C786E"/>
    <w:rsid w:val="009C7B0F"/>
    <w:rsid w:val="009D2F81"/>
    <w:rsid w:val="009D425D"/>
    <w:rsid w:val="009D795F"/>
    <w:rsid w:val="009D7FFD"/>
    <w:rsid w:val="009E021D"/>
    <w:rsid w:val="009E02D8"/>
    <w:rsid w:val="009E152F"/>
    <w:rsid w:val="009E2531"/>
    <w:rsid w:val="009E2CBD"/>
    <w:rsid w:val="009E329A"/>
    <w:rsid w:val="009E523F"/>
    <w:rsid w:val="009E5325"/>
    <w:rsid w:val="009E61B0"/>
    <w:rsid w:val="009E6232"/>
    <w:rsid w:val="009E72EC"/>
    <w:rsid w:val="009F150F"/>
    <w:rsid w:val="009F1AFB"/>
    <w:rsid w:val="009F3C71"/>
    <w:rsid w:val="009F5881"/>
    <w:rsid w:val="009F5DFA"/>
    <w:rsid w:val="009F658F"/>
    <w:rsid w:val="009F742D"/>
    <w:rsid w:val="00A000ED"/>
    <w:rsid w:val="00A001AF"/>
    <w:rsid w:val="00A00B5A"/>
    <w:rsid w:val="00A00CF4"/>
    <w:rsid w:val="00A02580"/>
    <w:rsid w:val="00A02AAC"/>
    <w:rsid w:val="00A06ABB"/>
    <w:rsid w:val="00A113E1"/>
    <w:rsid w:val="00A11BD7"/>
    <w:rsid w:val="00A1313A"/>
    <w:rsid w:val="00A14898"/>
    <w:rsid w:val="00A16D86"/>
    <w:rsid w:val="00A17518"/>
    <w:rsid w:val="00A219AB"/>
    <w:rsid w:val="00A21B6B"/>
    <w:rsid w:val="00A304A4"/>
    <w:rsid w:val="00A31368"/>
    <w:rsid w:val="00A342F2"/>
    <w:rsid w:val="00A35037"/>
    <w:rsid w:val="00A3766F"/>
    <w:rsid w:val="00A40F8C"/>
    <w:rsid w:val="00A430D8"/>
    <w:rsid w:val="00A43C53"/>
    <w:rsid w:val="00A44251"/>
    <w:rsid w:val="00A455F1"/>
    <w:rsid w:val="00A45704"/>
    <w:rsid w:val="00A51370"/>
    <w:rsid w:val="00A525F5"/>
    <w:rsid w:val="00A5315D"/>
    <w:rsid w:val="00A558A8"/>
    <w:rsid w:val="00A5614F"/>
    <w:rsid w:val="00A56E2C"/>
    <w:rsid w:val="00A57E1B"/>
    <w:rsid w:val="00A60749"/>
    <w:rsid w:val="00A60CCA"/>
    <w:rsid w:val="00A612F7"/>
    <w:rsid w:val="00A62201"/>
    <w:rsid w:val="00A643F3"/>
    <w:rsid w:val="00A67650"/>
    <w:rsid w:val="00A67EDC"/>
    <w:rsid w:val="00A725A2"/>
    <w:rsid w:val="00A736BB"/>
    <w:rsid w:val="00A73DEA"/>
    <w:rsid w:val="00A74243"/>
    <w:rsid w:val="00A7454A"/>
    <w:rsid w:val="00A750F9"/>
    <w:rsid w:val="00A83B22"/>
    <w:rsid w:val="00A84CD6"/>
    <w:rsid w:val="00A8598B"/>
    <w:rsid w:val="00A86A37"/>
    <w:rsid w:val="00A86F62"/>
    <w:rsid w:val="00A87132"/>
    <w:rsid w:val="00A87B6A"/>
    <w:rsid w:val="00A91F1D"/>
    <w:rsid w:val="00A9287C"/>
    <w:rsid w:val="00A94AC0"/>
    <w:rsid w:val="00A959E3"/>
    <w:rsid w:val="00A95F33"/>
    <w:rsid w:val="00A96F04"/>
    <w:rsid w:val="00A974BE"/>
    <w:rsid w:val="00A9758B"/>
    <w:rsid w:val="00AA0B56"/>
    <w:rsid w:val="00AA3596"/>
    <w:rsid w:val="00AA3733"/>
    <w:rsid w:val="00AA41FF"/>
    <w:rsid w:val="00AA5A7C"/>
    <w:rsid w:val="00AA5B73"/>
    <w:rsid w:val="00AA6B6A"/>
    <w:rsid w:val="00AA73D0"/>
    <w:rsid w:val="00AB194E"/>
    <w:rsid w:val="00AB4022"/>
    <w:rsid w:val="00AB42FC"/>
    <w:rsid w:val="00AB5967"/>
    <w:rsid w:val="00AB62AB"/>
    <w:rsid w:val="00AB63F4"/>
    <w:rsid w:val="00AB6A3C"/>
    <w:rsid w:val="00AB753B"/>
    <w:rsid w:val="00AC0221"/>
    <w:rsid w:val="00AC0469"/>
    <w:rsid w:val="00AC10D3"/>
    <w:rsid w:val="00AC464A"/>
    <w:rsid w:val="00AC5238"/>
    <w:rsid w:val="00AC6607"/>
    <w:rsid w:val="00AC745D"/>
    <w:rsid w:val="00AC7D85"/>
    <w:rsid w:val="00AD0D33"/>
    <w:rsid w:val="00AD0DF5"/>
    <w:rsid w:val="00AD2648"/>
    <w:rsid w:val="00AD3E42"/>
    <w:rsid w:val="00AD42F4"/>
    <w:rsid w:val="00AD44C7"/>
    <w:rsid w:val="00AD55B8"/>
    <w:rsid w:val="00AD5CCC"/>
    <w:rsid w:val="00AD5F27"/>
    <w:rsid w:val="00AD626A"/>
    <w:rsid w:val="00AD6B15"/>
    <w:rsid w:val="00AD7892"/>
    <w:rsid w:val="00AE0643"/>
    <w:rsid w:val="00AE0F7C"/>
    <w:rsid w:val="00AE3128"/>
    <w:rsid w:val="00AE41D7"/>
    <w:rsid w:val="00AE47EE"/>
    <w:rsid w:val="00AE4A62"/>
    <w:rsid w:val="00AE4D56"/>
    <w:rsid w:val="00AE556B"/>
    <w:rsid w:val="00AE72C2"/>
    <w:rsid w:val="00AE7663"/>
    <w:rsid w:val="00AE7E8C"/>
    <w:rsid w:val="00AF0349"/>
    <w:rsid w:val="00AF1987"/>
    <w:rsid w:val="00AF2ADD"/>
    <w:rsid w:val="00AF7022"/>
    <w:rsid w:val="00B029F5"/>
    <w:rsid w:val="00B047B1"/>
    <w:rsid w:val="00B048E7"/>
    <w:rsid w:val="00B04D27"/>
    <w:rsid w:val="00B053B4"/>
    <w:rsid w:val="00B05BC7"/>
    <w:rsid w:val="00B106C7"/>
    <w:rsid w:val="00B11282"/>
    <w:rsid w:val="00B14010"/>
    <w:rsid w:val="00B1694D"/>
    <w:rsid w:val="00B16B06"/>
    <w:rsid w:val="00B1759B"/>
    <w:rsid w:val="00B2108A"/>
    <w:rsid w:val="00B22FCA"/>
    <w:rsid w:val="00B23B92"/>
    <w:rsid w:val="00B246A7"/>
    <w:rsid w:val="00B247C9"/>
    <w:rsid w:val="00B24D43"/>
    <w:rsid w:val="00B24F3B"/>
    <w:rsid w:val="00B254B1"/>
    <w:rsid w:val="00B270B1"/>
    <w:rsid w:val="00B30341"/>
    <w:rsid w:val="00B3143C"/>
    <w:rsid w:val="00B32B3E"/>
    <w:rsid w:val="00B34997"/>
    <w:rsid w:val="00B36003"/>
    <w:rsid w:val="00B36EA2"/>
    <w:rsid w:val="00B3787D"/>
    <w:rsid w:val="00B419C2"/>
    <w:rsid w:val="00B47C27"/>
    <w:rsid w:val="00B512B2"/>
    <w:rsid w:val="00B51F61"/>
    <w:rsid w:val="00B52EBD"/>
    <w:rsid w:val="00B56967"/>
    <w:rsid w:val="00B60307"/>
    <w:rsid w:val="00B6197F"/>
    <w:rsid w:val="00B63444"/>
    <w:rsid w:val="00B64C8C"/>
    <w:rsid w:val="00B65EAE"/>
    <w:rsid w:val="00B70166"/>
    <w:rsid w:val="00B7058E"/>
    <w:rsid w:val="00B70C6F"/>
    <w:rsid w:val="00B72EB0"/>
    <w:rsid w:val="00B7323B"/>
    <w:rsid w:val="00B80F41"/>
    <w:rsid w:val="00B82025"/>
    <w:rsid w:val="00B82B2D"/>
    <w:rsid w:val="00B83A38"/>
    <w:rsid w:val="00B8503F"/>
    <w:rsid w:val="00B86C52"/>
    <w:rsid w:val="00B87AB9"/>
    <w:rsid w:val="00B91003"/>
    <w:rsid w:val="00B91343"/>
    <w:rsid w:val="00B97316"/>
    <w:rsid w:val="00B9774A"/>
    <w:rsid w:val="00BA003B"/>
    <w:rsid w:val="00BA12BA"/>
    <w:rsid w:val="00BA2060"/>
    <w:rsid w:val="00BA3843"/>
    <w:rsid w:val="00BA4233"/>
    <w:rsid w:val="00BA4368"/>
    <w:rsid w:val="00BA461E"/>
    <w:rsid w:val="00BA4825"/>
    <w:rsid w:val="00BA5CB9"/>
    <w:rsid w:val="00BA6583"/>
    <w:rsid w:val="00BA717A"/>
    <w:rsid w:val="00BA76FA"/>
    <w:rsid w:val="00BB174B"/>
    <w:rsid w:val="00BB31A5"/>
    <w:rsid w:val="00BB337A"/>
    <w:rsid w:val="00BB44E8"/>
    <w:rsid w:val="00BB5345"/>
    <w:rsid w:val="00BC2E9A"/>
    <w:rsid w:val="00BC2F8F"/>
    <w:rsid w:val="00BC43E7"/>
    <w:rsid w:val="00BC4624"/>
    <w:rsid w:val="00BC6CEA"/>
    <w:rsid w:val="00BD055E"/>
    <w:rsid w:val="00BD22B9"/>
    <w:rsid w:val="00BD37DF"/>
    <w:rsid w:val="00BD3A6D"/>
    <w:rsid w:val="00BE0304"/>
    <w:rsid w:val="00BE1557"/>
    <w:rsid w:val="00BE1CC2"/>
    <w:rsid w:val="00BE2888"/>
    <w:rsid w:val="00BE461A"/>
    <w:rsid w:val="00BE6B88"/>
    <w:rsid w:val="00BE71FC"/>
    <w:rsid w:val="00BF08CC"/>
    <w:rsid w:val="00BF0DDD"/>
    <w:rsid w:val="00BF1AF4"/>
    <w:rsid w:val="00BF2B6B"/>
    <w:rsid w:val="00BF2DF9"/>
    <w:rsid w:val="00BF37A1"/>
    <w:rsid w:val="00BF6093"/>
    <w:rsid w:val="00BF6C09"/>
    <w:rsid w:val="00C0311D"/>
    <w:rsid w:val="00C03302"/>
    <w:rsid w:val="00C03D60"/>
    <w:rsid w:val="00C04F5C"/>
    <w:rsid w:val="00C060A6"/>
    <w:rsid w:val="00C06F45"/>
    <w:rsid w:val="00C10C64"/>
    <w:rsid w:val="00C12F8C"/>
    <w:rsid w:val="00C13C26"/>
    <w:rsid w:val="00C13D8B"/>
    <w:rsid w:val="00C14130"/>
    <w:rsid w:val="00C151B5"/>
    <w:rsid w:val="00C20C6B"/>
    <w:rsid w:val="00C22E18"/>
    <w:rsid w:val="00C238D6"/>
    <w:rsid w:val="00C23E31"/>
    <w:rsid w:val="00C24B80"/>
    <w:rsid w:val="00C24EEE"/>
    <w:rsid w:val="00C26110"/>
    <w:rsid w:val="00C26BA2"/>
    <w:rsid w:val="00C27806"/>
    <w:rsid w:val="00C30B75"/>
    <w:rsid w:val="00C30C17"/>
    <w:rsid w:val="00C31A2D"/>
    <w:rsid w:val="00C33219"/>
    <w:rsid w:val="00C34064"/>
    <w:rsid w:val="00C3623A"/>
    <w:rsid w:val="00C37166"/>
    <w:rsid w:val="00C40178"/>
    <w:rsid w:val="00C41497"/>
    <w:rsid w:val="00C41DD2"/>
    <w:rsid w:val="00C41FBC"/>
    <w:rsid w:val="00C4226D"/>
    <w:rsid w:val="00C428BC"/>
    <w:rsid w:val="00C42DA4"/>
    <w:rsid w:val="00C43E4B"/>
    <w:rsid w:val="00C445B0"/>
    <w:rsid w:val="00C4523E"/>
    <w:rsid w:val="00C508D2"/>
    <w:rsid w:val="00C518EC"/>
    <w:rsid w:val="00C532A6"/>
    <w:rsid w:val="00C55F76"/>
    <w:rsid w:val="00C56B3B"/>
    <w:rsid w:val="00C60709"/>
    <w:rsid w:val="00C6248C"/>
    <w:rsid w:val="00C636F2"/>
    <w:rsid w:val="00C64813"/>
    <w:rsid w:val="00C64BB3"/>
    <w:rsid w:val="00C65759"/>
    <w:rsid w:val="00C65F93"/>
    <w:rsid w:val="00C70238"/>
    <w:rsid w:val="00C71C02"/>
    <w:rsid w:val="00C71E3A"/>
    <w:rsid w:val="00C725A3"/>
    <w:rsid w:val="00C73B41"/>
    <w:rsid w:val="00C7564E"/>
    <w:rsid w:val="00C77629"/>
    <w:rsid w:val="00C77932"/>
    <w:rsid w:val="00C81881"/>
    <w:rsid w:val="00C827CB"/>
    <w:rsid w:val="00C832D3"/>
    <w:rsid w:val="00C832FB"/>
    <w:rsid w:val="00C84C2A"/>
    <w:rsid w:val="00C85A47"/>
    <w:rsid w:val="00C8713C"/>
    <w:rsid w:val="00C87F3A"/>
    <w:rsid w:val="00C92FBC"/>
    <w:rsid w:val="00C94F3C"/>
    <w:rsid w:val="00C95503"/>
    <w:rsid w:val="00CA0D0C"/>
    <w:rsid w:val="00CA1B4E"/>
    <w:rsid w:val="00CA1C7F"/>
    <w:rsid w:val="00CA411A"/>
    <w:rsid w:val="00CA42B7"/>
    <w:rsid w:val="00CA526A"/>
    <w:rsid w:val="00CA528F"/>
    <w:rsid w:val="00CA52FF"/>
    <w:rsid w:val="00CA5421"/>
    <w:rsid w:val="00CA6143"/>
    <w:rsid w:val="00CB013C"/>
    <w:rsid w:val="00CB0E85"/>
    <w:rsid w:val="00CB1F7F"/>
    <w:rsid w:val="00CB2448"/>
    <w:rsid w:val="00CB26F3"/>
    <w:rsid w:val="00CB27B4"/>
    <w:rsid w:val="00CB4450"/>
    <w:rsid w:val="00CB4476"/>
    <w:rsid w:val="00CB5013"/>
    <w:rsid w:val="00CC015F"/>
    <w:rsid w:val="00CC06ED"/>
    <w:rsid w:val="00CC179A"/>
    <w:rsid w:val="00CC214A"/>
    <w:rsid w:val="00CC25A7"/>
    <w:rsid w:val="00CC2E4D"/>
    <w:rsid w:val="00CC315F"/>
    <w:rsid w:val="00CC31EE"/>
    <w:rsid w:val="00CC5CF8"/>
    <w:rsid w:val="00CC69CB"/>
    <w:rsid w:val="00CC7EEE"/>
    <w:rsid w:val="00CD2669"/>
    <w:rsid w:val="00CD27C8"/>
    <w:rsid w:val="00CD3977"/>
    <w:rsid w:val="00CD4177"/>
    <w:rsid w:val="00CD5EAE"/>
    <w:rsid w:val="00CD6598"/>
    <w:rsid w:val="00CD6D6A"/>
    <w:rsid w:val="00CD73A4"/>
    <w:rsid w:val="00CE089C"/>
    <w:rsid w:val="00CE1CD5"/>
    <w:rsid w:val="00CE3406"/>
    <w:rsid w:val="00CE59EC"/>
    <w:rsid w:val="00CE613F"/>
    <w:rsid w:val="00CE6745"/>
    <w:rsid w:val="00CE77F1"/>
    <w:rsid w:val="00CE7F8E"/>
    <w:rsid w:val="00CF2E0C"/>
    <w:rsid w:val="00CF370A"/>
    <w:rsid w:val="00CF65D0"/>
    <w:rsid w:val="00CF7073"/>
    <w:rsid w:val="00CF7E48"/>
    <w:rsid w:val="00D026D1"/>
    <w:rsid w:val="00D02707"/>
    <w:rsid w:val="00D05312"/>
    <w:rsid w:val="00D05974"/>
    <w:rsid w:val="00D06E65"/>
    <w:rsid w:val="00D075C3"/>
    <w:rsid w:val="00D0793D"/>
    <w:rsid w:val="00D101FB"/>
    <w:rsid w:val="00D10F82"/>
    <w:rsid w:val="00D11B45"/>
    <w:rsid w:val="00D13C8D"/>
    <w:rsid w:val="00D13D67"/>
    <w:rsid w:val="00D16F83"/>
    <w:rsid w:val="00D20C91"/>
    <w:rsid w:val="00D20D0B"/>
    <w:rsid w:val="00D2356F"/>
    <w:rsid w:val="00D26210"/>
    <w:rsid w:val="00D26473"/>
    <w:rsid w:val="00D26B54"/>
    <w:rsid w:val="00D274EC"/>
    <w:rsid w:val="00D27B08"/>
    <w:rsid w:val="00D27FD8"/>
    <w:rsid w:val="00D326E0"/>
    <w:rsid w:val="00D33644"/>
    <w:rsid w:val="00D33A79"/>
    <w:rsid w:val="00D35398"/>
    <w:rsid w:val="00D35F6C"/>
    <w:rsid w:val="00D36693"/>
    <w:rsid w:val="00D378F1"/>
    <w:rsid w:val="00D37AF3"/>
    <w:rsid w:val="00D40F38"/>
    <w:rsid w:val="00D41E7D"/>
    <w:rsid w:val="00D438A4"/>
    <w:rsid w:val="00D440F0"/>
    <w:rsid w:val="00D45495"/>
    <w:rsid w:val="00D45A8F"/>
    <w:rsid w:val="00D45E6A"/>
    <w:rsid w:val="00D46436"/>
    <w:rsid w:val="00D465C5"/>
    <w:rsid w:val="00D46C85"/>
    <w:rsid w:val="00D50459"/>
    <w:rsid w:val="00D5363A"/>
    <w:rsid w:val="00D56D1C"/>
    <w:rsid w:val="00D60060"/>
    <w:rsid w:val="00D60E90"/>
    <w:rsid w:val="00D6218B"/>
    <w:rsid w:val="00D629BD"/>
    <w:rsid w:val="00D62B3A"/>
    <w:rsid w:val="00D62EBC"/>
    <w:rsid w:val="00D631E2"/>
    <w:rsid w:val="00D63880"/>
    <w:rsid w:val="00D6523D"/>
    <w:rsid w:val="00D72F92"/>
    <w:rsid w:val="00D73F43"/>
    <w:rsid w:val="00D76D6D"/>
    <w:rsid w:val="00D76EDF"/>
    <w:rsid w:val="00D77450"/>
    <w:rsid w:val="00D80738"/>
    <w:rsid w:val="00D819ED"/>
    <w:rsid w:val="00D82DD7"/>
    <w:rsid w:val="00D832F2"/>
    <w:rsid w:val="00D84BA3"/>
    <w:rsid w:val="00D84E85"/>
    <w:rsid w:val="00D9010D"/>
    <w:rsid w:val="00D90999"/>
    <w:rsid w:val="00D915FA"/>
    <w:rsid w:val="00D9167F"/>
    <w:rsid w:val="00D91B26"/>
    <w:rsid w:val="00D94B63"/>
    <w:rsid w:val="00D95361"/>
    <w:rsid w:val="00D96EFC"/>
    <w:rsid w:val="00D97926"/>
    <w:rsid w:val="00DA0EF5"/>
    <w:rsid w:val="00DB4DFC"/>
    <w:rsid w:val="00DB4F03"/>
    <w:rsid w:val="00DB60C7"/>
    <w:rsid w:val="00DB6864"/>
    <w:rsid w:val="00DB6D28"/>
    <w:rsid w:val="00DC0A16"/>
    <w:rsid w:val="00DC120A"/>
    <w:rsid w:val="00DC1AB6"/>
    <w:rsid w:val="00DC1CB2"/>
    <w:rsid w:val="00DC43BF"/>
    <w:rsid w:val="00DC530E"/>
    <w:rsid w:val="00DC5F09"/>
    <w:rsid w:val="00DC608B"/>
    <w:rsid w:val="00DC6ED9"/>
    <w:rsid w:val="00DC7C4C"/>
    <w:rsid w:val="00DD1E6C"/>
    <w:rsid w:val="00DD36DC"/>
    <w:rsid w:val="00DD3A7F"/>
    <w:rsid w:val="00DE23C6"/>
    <w:rsid w:val="00DE3D54"/>
    <w:rsid w:val="00DE4DFC"/>
    <w:rsid w:val="00DF0A59"/>
    <w:rsid w:val="00DF0B9C"/>
    <w:rsid w:val="00DF2D26"/>
    <w:rsid w:val="00DF3FD5"/>
    <w:rsid w:val="00DF613C"/>
    <w:rsid w:val="00DF6C7E"/>
    <w:rsid w:val="00E01245"/>
    <w:rsid w:val="00E01531"/>
    <w:rsid w:val="00E02D9B"/>
    <w:rsid w:val="00E03707"/>
    <w:rsid w:val="00E03A7E"/>
    <w:rsid w:val="00E03B3E"/>
    <w:rsid w:val="00E046E8"/>
    <w:rsid w:val="00E053BC"/>
    <w:rsid w:val="00E05E14"/>
    <w:rsid w:val="00E063CB"/>
    <w:rsid w:val="00E064CD"/>
    <w:rsid w:val="00E13089"/>
    <w:rsid w:val="00E15188"/>
    <w:rsid w:val="00E16404"/>
    <w:rsid w:val="00E16624"/>
    <w:rsid w:val="00E177C3"/>
    <w:rsid w:val="00E1785D"/>
    <w:rsid w:val="00E2120D"/>
    <w:rsid w:val="00E23EC6"/>
    <w:rsid w:val="00E24AEC"/>
    <w:rsid w:val="00E24AFA"/>
    <w:rsid w:val="00E2631D"/>
    <w:rsid w:val="00E32735"/>
    <w:rsid w:val="00E362FD"/>
    <w:rsid w:val="00E375C5"/>
    <w:rsid w:val="00E37CA8"/>
    <w:rsid w:val="00E42DA1"/>
    <w:rsid w:val="00E43E07"/>
    <w:rsid w:val="00E473B8"/>
    <w:rsid w:val="00E5358B"/>
    <w:rsid w:val="00E53BC9"/>
    <w:rsid w:val="00E53CBC"/>
    <w:rsid w:val="00E5413C"/>
    <w:rsid w:val="00E54595"/>
    <w:rsid w:val="00E545A1"/>
    <w:rsid w:val="00E54A6E"/>
    <w:rsid w:val="00E564C3"/>
    <w:rsid w:val="00E579AB"/>
    <w:rsid w:val="00E60274"/>
    <w:rsid w:val="00E62A00"/>
    <w:rsid w:val="00E6325C"/>
    <w:rsid w:val="00E64846"/>
    <w:rsid w:val="00E65E92"/>
    <w:rsid w:val="00E660CA"/>
    <w:rsid w:val="00E7061C"/>
    <w:rsid w:val="00E70D07"/>
    <w:rsid w:val="00E720EB"/>
    <w:rsid w:val="00E72217"/>
    <w:rsid w:val="00E727A1"/>
    <w:rsid w:val="00E75C74"/>
    <w:rsid w:val="00E76226"/>
    <w:rsid w:val="00E80736"/>
    <w:rsid w:val="00E80F6A"/>
    <w:rsid w:val="00E825AF"/>
    <w:rsid w:val="00E83945"/>
    <w:rsid w:val="00E8404F"/>
    <w:rsid w:val="00E8411E"/>
    <w:rsid w:val="00E84F63"/>
    <w:rsid w:val="00E901A7"/>
    <w:rsid w:val="00E9192E"/>
    <w:rsid w:val="00E93602"/>
    <w:rsid w:val="00E9436A"/>
    <w:rsid w:val="00E94524"/>
    <w:rsid w:val="00E94CF1"/>
    <w:rsid w:val="00E95755"/>
    <w:rsid w:val="00E95FC7"/>
    <w:rsid w:val="00E97895"/>
    <w:rsid w:val="00EA05D9"/>
    <w:rsid w:val="00EA070D"/>
    <w:rsid w:val="00EA1AE0"/>
    <w:rsid w:val="00EA2407"/>
    <w:rsid w:val="00EA29AB"/>
    <w:rsid w:val="00EA43F8"/>
    <w:rsid w:val="00EA5A27"/>
    <w:rsid w:val="00EA5AD0"/>
    <w:rsid w:val="00EA6A6B"/>
    <w:rsid w:val="00EA6D2F"/>
    <w:rsid w:val="00EB0E1C"/>
    <w:rsid w:val="00EB0EE6"/>
    <w:rsid w:val="00EB1565"/>
    <w:rsid w:val="00EB2558"/>
    <w:rsid w:val="00EB71B4"/>
    <w:rsid w:val="00EC1D95"/>
    <w:rsid w:val="00EC2354"/>
    <w:rsid w:val="00EC3912"/>
    <w:rsid w:val="00EC59F2"/>
    <w:rsid w:val="00EC71CD"/>
    <w:rsid w:val="00EC78F0"/>
    <w:rsid w:val="00ED0953"/>
    <w:rsid w:val="00ED216D"/>
    <w:rsid w:val="00ED3816"/>
    <w:rsid w:val="00ED5BA9"/>
    <w:rsid w:val="00ED6930"/>
    <w:rsid w:val="00EE1750"/>
    <w:rsid w:val="00EE1A19"/>
    <w:rsid w:val="00EE1B0F"/>
    <w:rsid w:val="00EE1E12"/>
    <w:rsid w:val="00EE2F6D"/>
    <w:rsid w:val="00EE372C"/>
    <w:rsid w:val="00EE50EF"/>
    <w:rsid w:val="00EF02D9"/>
    <w:rsid w:val="00EF0309"/>
    <w:rsid w:val="00EF0469"/>
    <w:rsid w:val="00EF0557"/>
    <w:rsid w:val="00EF2274"/>
    <w:rsid w:val="00EF2E61"/>
    <w:rsid w:val="00EF581E"/>
    <w:rsid w:val="00EF6071"/>
    <w:rsid w:val="00EF6A74"/>
    <w:rsid w:val="00EF780D"/>
    <w:rsid w:val="00F02821"/>
    <w:rsid w:val="00F030D3"/>
    <w:rsid w:val="00F06BCD"/>
    <w:rsid w:val="00F07344"/>
    <w:rsid w:val="00F073AB"/>
    <w:rsid w:val="00F111AE"/>
    <w:rsid w:val="00F11730"/>
    <w:rsid w:val="00F20C16"/>
    <w:rsid w:val="00F239A4"/>
    <w:rsid w:val="00F23A74"/>
    <w:rsid w:val="00F23B36"/>
    <w:rsid w:val="00F24BDA"/>
    <w:rsid w:val="00F24CE5"/>
    <w:rsid w:val="00F27FD6"/>
    <w:rsid w:val="00F31028"/>
    <w:rsid w:val="00F3204D"/>
    <w:rsid w:val="00F33BFE"/>
    <w:rsid w:val="00F33F58"/>
    <w:rsid w:val="00F34542"/>
    <w:rsid w:val="00F354EE"/>
    <w:rsid w:val="00F3578F"/>
    <w:rsid w:val="00F3584C"/>
    <w:rsid w:val="00F371C2"/>
    <w:rsid w:val="00F4210B"/>
    <w:rsid w:val="00F4402A"/>
    <w:rsid w:val="00F44379"/>
    <w:rsid w:val="00F44C35"/>
    <w:rsid w:val="00F47E39"/>
    <w:rsid w:val="00F47EE2"/>
    <w:rsid w:val="00F47F7B"/>
    <w:rsid w:val="00F503F8"/>
    <w:rsid w:val="00F50F46"/>
    <w:rsid w:val="00F511DE"/>
    <w:rsid w:val="00F516C9"/>
    <w:rsid w:val="00F52204"/>
    <w:rsid w:val="00F524B6"/>
    <w:rsid w:val="00F549F3"/>
    <w:rsid w:val="00F55161"/>
    <w:rsid w:val="00F553D3"/>
    <w:rsid w:val="00F556EB"/>
    <w:rsid w:val="00F5750B"/>
    <w:rsid w:val="00F57E53"/>
    <w:rsid w:val="00F61F24"/>
    <w:rsid w:val="00F6291C"/>
    <w:rsid w:val="00F646F9"/>
    <w:rsid w:val="00F674AF"/>
    <w:rsid w:val="00F710A4"/>
    <w:rsid w:val="00F71A8F"/>
    <w:rsid w:val="00F71F62"/>
    <w:rsid w:val="00F72363"/>
    <w:rsid w:val="00F739A9"/>
    <w:rsid w:val="00F73FA4"/>
    <w:rsid w:val="00F74415"/>
    <w:rsid w:val="00F74E78"/>
    <w:rsid w:val="00F7506D"/>
    <w:rsid w:val="00F76179"/>
    <w:rsid w:val="00F80ED9"/>
    <w:rsid w:val="00F81B44"/>
    <w:rsid w:val="00F823E8"/>
    <w:rsid w:val="00F831E5"/>
    <w:rsid w:val="00F84022"/>
    <w:rsid w:val="00F868A3"/>
    <w:rsid w:val="00F87B27"/>
    <w:rsid w:val="00F87FD8"/>
    <w:rsid w:val="00F9055D"/>
    <w:rsid w:val="00F93493"/>
    <w:rsid w:val="00F953E9"/>
    <w:rsid w:val="00F9706C"/>
    <w:rsid w:val="00FA08A0"/>
    <w:rsid w:val="00FA08C8"/>
    <w:rsid w:val="00FA1725"/>
    <w:rsid w:val="00FA321B"/>
    <w:rsid w:val="00FA3EF3"/>
    <w:rsid w:val="00FA6FB9"/>
    <w:rsid w:val="00FA7257"/>
    <w:rsid w:val="00FA7EC8"/>
    <w:rsid w:val="00FB34B5"/>
    <w:rsid w:val="00FB4F62"/>
    <w:rsid w:val="00FB619C"/>
    <w:rsid w:val="00FB6A1D"/>
    <w:rsid w:val="00FB772B"/>
    <w:rsid w:val="00FC22E5"/>
    <w:rsid w:val="00FC6E6E"/>
    <w:rsid w:val="00FC77BA"/>
    <w:rsid w:val="00FD1C3E"/>
    <w:rsid w:val="00FD2779"/>
    <w:rsid w:val="00FD5D79"/>
    <w:rsid w:val="00FD77E9"/>
    <w:rsid w:val="00FD7A71"/>
    <w:rsid w:val="00FE08A4"/>
    <w:rsid w:val="00FE0FE6"/>
    <w:rsid w:val="00FE1A30"/>
    <w:rsid w:val="00FE308A"/>
    <w:rsid w:val="00FE53EF"/>
    <w:rsid w:val="00FE59E8"/>
    <w:rsid w:val="00FE66C9"/>
    <w:rsid w:val="00FF0274"/>
    <w:rsid w:val="00FF2245"/>
    <w:rsid w:val="00FF266B"/>
    <w:rsid w:val="00FF5C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1A60"/>
  <w15:docId w15:val="{170EFBB0-E02A-4D4F-BB8C-DF72FA50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54"/>
    <w:pPr>
      <w:autoSpaceDE w:val="0"/>
      <w:autoSpaceDN w:val="0"/>
      <w:adjustRightInd w:val="0"/>
      <w:spacing w:after="120" w:line="276" w:lineRule="auto"/>
    </w:pPr>
    <w:rPr>
      <w:rFonts w:ascii="Times New Roman" w:eastAsia="SimSun" w:hAnsi="Times New Roman" w:cs="Times New Roman"/>
      <w:color w:val="000000"/>
      <w:sz w:val="24"/>
      <w:szCs w:val="24"/>
      <w:lang w:val="en-US"/>
    </w:rPr>
  </w:style>
  <w:style w:type="paragraph" w:styleId="Heading1">
    <w:name w:val="heading 1"/>
    <w:aliases w:val="Main Sections"/>
    <w:basedOn w:val="Normal"/>
    <w:next w:val="Normal"/>
    <w:link w:val="Heading1Char"/>
    <w:uiPriority w:val="1"/>
    <w:qFormat/>
    <w:rsid w:val="005E4ABA"/>
    <w:pPr>
      <w:keepNext/>
      <w:keepLines/>
      <w:numPr>
        <w:numId w:val="6"/>
      </w:numPr>
      <w:autoSpaceDE/>
      <w:autoSpaceDN/>
      <w:adjustRightInd/>
      <w:spacing w:after="60"/>
      <w:jc w:val="both"/>
      <w:outlineLvl w:val="0"/>
    </w:pPr>
    <w:rPr>
      <w:rFonts w:eastAsiaTheme="majorEastAsia" w:cstheme="majorBidi"/>
      <w:b/>
      <w:color w:val="auto"/>
      <w:szCs w:val="32"/>
      <w:lang w:val="en-AU"/>
    </w:rPr>
  </w:style>
  <w:style w:type="paragraph" w:styleId="Heading2">
    <w:name w:val="heading 2"/>
    <w:aliases w:val="Sub-Sections"/>
    <w:basedOn w:val="Normal"/>
    <w:next w:val="Normal"/>
    <w:link w:val="Heading2Char"/>
    <w:uiPriority w:val="2"/>
    <w:qFormat/>
    <w:rsid w:val="00740985"/>
    <w:pPr>
      <w:keepNext/>
      <w:keepLines/>
      <w:numPr>
        <w:numId w:val="9"/>
      </w:numPr>
      <w:autoSpaceDE/>
      <w:autoSpaceDN/>
      <w:adjustRightInd/>
      <w:spacing w:after="60"/>
      <w:jc w:val="both"/>
      <w:outlineLvl w:val="1"/>
    </w:pPr>
    <w:rPr>
      <w:rFonts w:eastAsiaTheme="majorEastAsia" w:cstheme="majorBidi"/>
      <w:b/>
      <w:color w:val="auto"/>
      <w:szCs w:val="26"/>
      <w:lang w:val="en-AU"/>
    </w:rPr>
  </w:style>
  <w:style w:type="paragraph" w:styleId="Heading3">
    <w:name w:val="heading 3"/>
    <w:aliases w:val="Text Body Heading"/>
    <w:basedOn w:val="Normal"/>
    <w:next w:val="Normal"/>
    <w:link w:val="Heading3Char"/>
    <w:autoRedefine/>
    <w:uiPriority w:val="3"/>
    <w:qFormat/>
    <w:rsid w:val="00AF1987"/>
    <w:pPr>
      <w:autoSpaceDE/>
      <w:autoSpaceDN/>
      <w:adjustRightInd/>
      <w:spacing w:after="60"/>
      <w:jc w:val="both"/>
      <w:outlineLvl w:val="2"/>
    </w:pPr>
    <w:rPr>
      <w:rFonts w:eastAsiaTheme="majorEastAsia" w:cstheme="majorBidi"/>
      <w:b/>
      <w:color w:val="auto"/>
      <w:lang w:val="en-AU"/>
    </w:rPr>
  </w:style>
  <w:style w:type="paragraph" w:styleId="Heading4">
    <w:name w:val="heading 4"/>
    <w:aliases w:val="Footer Text"/>
    <w:basedOn w:val="Normal"/>
    <w:next w:val="Normal"/>
    <w:link w:val="Heading4Char"/>
    <w:uiPriority w:val="4"/>
    <w:rsid w:val="003E6D36"/>
    <w:pPr>
      <w:keepNext/>
      <w:keepLines/>
      <w:autoSpaceDE/>
      <w:autoSpaceDN/>
      <w:adjustRightInd/>
      <w:ind w:left="720" w:hanging="720"/>
      <w:jc w:val="both"/>
      <w:outlineLvl w:val="3"/>
    </w:pPr>
    <w:rPr>
      <w:rFonts w:eastAsiaTheme="majorEastAsia" w:cstheme="majorBidi"/>
      <w:iCs/>
      <w:color w:val="auto"/>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ext Body Heading Char"/>
    <w:basedOn w:val="DefaultParagraphFont"/>
    <w:link w:val="Heading3"/>
    <w:uiPriority w:val="3"/>
    <w:rsid w:val="00AF1987"/>
    <w:rPr>
      <w:rFonts w:ascii="Times New Roman" w:eastAsiaTheme="majorEastAsia" w:hAnsi="Times New Roman" w:cstheme="majorBidi"/>
      <w:b/>
      <w:sz w:val="24"/>
      <w:szCs w:val="24"/>
    </w:rPr>
  </w:style>
  <w:style w:type="character" w:customStyle="1" w:styleId="Heading1Char">
    <w:name w:val="Heading 1 Char"/>
    <w:aliases w:val="Main Sections Char"/>
    <w:basedOn w:val="DefaultParagraphFont"/>
    <w:link w:val="Heading1"/>
    <w:uiPriority w:val="1"/>
    <w:rsid w:val="005E4ABA"/>
    <w:rPr>
      <w:rFonts w:ascii="Times New Roman" w:eastAsiaTheme="majorEastAsia" w:hAnsi="Times New Roman" w:cstheme="majorBidi"/>
      <w:b/>
      <w:sz w:val="24"/>
      <w:szCs w:val="32"/>
    </w:rPr>
  </w:style>
  <w:style w:type="character" w:customStyle="1" w:styleId="Heading2Char">
    <w:name w:val="Heading 2 Char"/>
    <w:aliases w:val="Sub-Sections Char"/>
    <w:basedOn w:val="DefaultParagraphFont"/>
    <w:link w:val="Heading2"/>
    <w:uiPriority w:val="2"/>
    <w:rsid w:val="005E4ABA"/>
    <w:rPr>
      <w:rFonts w:ascii="Times New Roman" w:eastAsiaTheme="majorEastAsia" w:hAnsi="Times New Roman" w:cstheme="majorBidi"/>
      <w:b/>
      <w:sz w:val="24"/>
      <w:szCs w:val="26"/>
    </w:rPr>
  </w:style>
  <w:style w:type="paragraph" w:styleId="ListParagraph">
    <w:name w:val="List Paragraph"/>
    <w:basedOn w:val="Normal"/>
    <w:uiPriority w:val="34"/>
    <w:semiHidden/>
    <w:qFormat/>
    <w:rsid w:val="005E4ABA"/>
    <w:pPr>
      <w:autoSpaceDE/>
      <w:autoSpaceDN/>
      <w:adjustRightInd/>
      <w:spacing w:after="240"/>
      <w:ind w:left="720"/>
      <w:contextualSpacing/>
      <w:jc w:val="both"/>
    </w:pPr>
    <w:rPr>
      <w:rFonts w:eastAsiaTheme="minorHAnsi" w:cstheme="minorBidi"/>
      <w:color w:val="auto"/>
      <w:szCs w:val="22"/>
      <w:lang w:val="en-AU"/>
    </w:rPr>
  </w:style>
  <w:style w:type="table" w:styleId="TableGrid">
    <w:name w:val="Table Grid"/>
    <w:basedOn w:val="TableNormal"/>
    <w:uiPriority w:val="59"/>
    <w:rsid w:val="00AE7E8C"/>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E7E8C"/>
    <w:pPr>
      <w:tabs>
        <w:tab w:val="center" w:pos="4513"/>
        <w:tab w:val="right" w:pos="9026"/>
      </w:tabs>
      <w:autoSpaceDE/>
      <w:autoSpaceDN/>
      <w:adjustRightInd/>
      <w:jc w:val="both"/>
    </w:pPr>
    <w:rPr>
      <w:rFonts w:eastAsiaTheme="minorHAnsi" w:cstheme="minorBidi"/>
      <w:color w:val="auto"/>
      <w:szCs w:val="22"/>
      <w:lang w:val="en-AU"/>
    </w:rPr>
  </w:style>
  <w:style w:type="character" w:customStyle="1" w:styleId="HeaderChar">
    <w:name w:val="Header Char"/>
    <w:basedOn w:val="DefaultParagraphFont"/>
    <w:link w:val="Header"/>
    <w:uiPriority w:val="99"/>
    <w:semiHidden/>
    <w:rsid w:val="00AE7E8C"/>
    <w:rPr>
      <w:rFonts w:ascii="Times New Roman" w:hAnsi="Times New Roman"/>
      <w:sz w:val="24"/>
    </w:rPr>
  </w:style>
  <w:style w:type="paragraph" w:styleId="Footer">
    <w:name w:val="footer"/>
    <w:basedOn w:val="Normal"/>
    <w:link w:val="FooterChar"/>
    <w:uiPriority w:val="99"/>
    <w:rsid w:val="00AE7E8C"/>
    <w:pPr>
      <w:tabs>
        <w:tab w:val="center" w:pos="4513"/>
        <w:tab w:val="right" w:pos="9026"/>
      </w:tabs>
      <w:autoSpaceDE/>
      <w:autoSpaceDN/>
      <w:adjustRightInd/>
      <w:jc w:val="both"/>
    </w:pPr>
    <w:rPr>
      <w:rFonts w:eastAsiaTheme="minorHAnsi" w:cstheme="minorBidi"/>
      <w:color w:val="auto"/>
      <w:szCs w:val="22"/>
      <w:lang w:val="en-AU"/>
    </w:rPr>
  </w:style>
  <w:style w:type="character" w:customStyle="1" w:styleId="FooterChar">
    <w:name w:val="Footer Char"/>
    <w:basedOn w:val="DefaultParagraphFont"/>
    <w:link w:val="Footer"/>
    <w:uiPriority w:val="99"/>
    <w:rsid w:val="00AE7E8C"/>
    <w:rPr>
      <w:rFonts w:ascii="Times New Roman" w:hAnsi="Times New Roman"/>
      <w:sz w:val="24"/>
    </w:rPr>
  </w:style>
  <w:style w:type="paragraph" w:styleId="Caption">
    <w:name w:val="caption"/>
    <w:basedOn w:val="Normal"/>
    <w:next w:val="Normal"/>
    <w:uiPriority w:val="6"/>
    <w:qFormat/>
    <w:rsid w:val="00BF6093"/>
    <w:pPr>
      <w:autoSpaceDE/>
      <w:autoSpaceDN/>
      <w:adjustRightInd/>
      <w:spacing w:after="200"/>
      <w:jc w:val="both"/>
    </w:pPr>
    <w:rPr>
      <w:rFonts w:eastAsiaTheme="minorHAnsi" w:cstheme="minorBidi"/>
      <w:b/>
      <w:iCs/>
      <w:color w:val="auto"/>
      <w:szCs w:val="18"/>
      <w:lang w:val="en-AU"/>
    </w:rPr>
  </w:style>
  <w:style w:type="paragraph" w:styleId="BalloonText">
    <w:name w:val="Balloon Text"/>
    <w:basedOn w:val="Normal"/>
    <w:link w:val="BalloonTextChar"/>
    <w:uiPriority w:val="99"/>
    <w:semiHidden/>
    <w:rsid w:val="00D63880"/>
    <w:pPr>
      <w:autoSpaceDE/>
      <w:autoSpaceDN/>
      <w:adjustRightInd/>
      <w:jc w:val="both"/>
    </w:pPr>
    <w:rPr>
      <w:rFonts w:ascii="Segoe UI" w:eastAsiaTheme="minorHAnsi" w:hAnsi="Segoe UI" w:cs="Segoe UI"/>
      <w:color w:val="auto"/>
      <w:sz w:val="18"/>
      <w:szCs w:val="18"/>
      <w:lang w:val="en-AU"/>
    </w:rPr>
  </w:style>
  <w:style w:type="character" w:customStyle="1" w:styleId="BalloonTextChar">
    <w:name w:val="Balloon Text Char"/>
    <w:basedOn w:val="DefaultParagraphFont"/>
    <w:link w:val="BalloonText"/>
    <w:uiPriority w:val="99"/>
    <w:semiHidden/>
    <w:rsid w:val="00D63880"/>
    <w:rPr>
      <w:rFonts w:ascii="Segoe UI" w:hAnsi="Segoe UI" w:cs="Segoe UI"/>
      <w:sz w:val="18"/>
      <w:szCs w:val="18"/>
    </w:rPr>
  </w:style>
  <w:style w:type="character" w:customStyle="1" w:styleId="Heading4Char">
    <w:name w:val="Heading 4 Char"/>
    <w:aliases w:val="Footer Text Char"/>
    <w:basedOn w:val="DefaultParagraphFont"/>
    <w:link w:val="Heading4"/>
    <w:uiPriority w:val="4"/>
    <w:rsid w:val="003E6D36"/>
    <w:rPr>
      <w:rFonts w:ascii="Times New Roman" w:eastAsiaTheme="majorEastAsia" w:hAnsi="Times New Roman" w:cstheme="majorBidi"/>
      <w:iCs/>
      <w:sz w:val="20"/>
    </w:rPr>
  </w:style>
  <w:style w:type="character" w:styleId="CommentReference">
    <w:name w:val="annotation reference"/>
    <w:basedOn w:val="DefaultParagraphFont"/>
    <w:uiPriority w:val="99"/>
    <w:semiHidden/>
    <w:rsid w:val="00B512B2"/>
    <w:rPr>
      <w:sz w:val="16"/>
      <w:szCs w:val="16"/>
    </w:rPr>
  </w:style>
  <w:style w:type="paragraph" w:styleId="CommentText">
    <w:name w:val="annotation text"/>
    <w:basedOn w:val="Normal"/>
    <w:link w:val="CommentTextChar"/>
    <w:uiPriority w:val="99"/>
    <w:semiHidden/>
    <w:rsid w:val="00B512B2"/>
    <w:pPr>
      <w:autoSpaceDE/>
      <w:autoSpaceDN/>
      <w:adjustRightInd/>
      <w:spacing w:after="240"/>
      <w:jc w:val="both"/>
    </w:pPr>
    <w:rPr>
      <w:rFonts w:eastAsia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B512B2"/>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B512B2"/>
    <w:rPr>
      <w:b/>
      <w:bCs/>
    </w:rPr>
  </w:style>
  <w:style w:type="character" w:customStyle="1" w:styleId="CommentSubjectChar">
    <w:name w:val="Comment Subject Char"/>
    <w:basedOn w:val="CommentTextChar"/>
    <w:link w:val="CommentSubject"/>
    <w:uiPriority w:val="99"/>
    <w:semiHidden/>
    <w:rsid w:val="00B512B2"/>
    <w:rPr>
      <w:rFonts w:ascii="Times New Roman" w:hAnsi="Times New Roman"/>
      <w:b/>
      <w:bCs/>
      <w:sz w:val="20"/>
      <w:szCs w:val="20"/>
    </w:rPr>
  </w:style>
  <w:style w:type="paragraph" w:customStyle="1" w:styleId="Style1Footer">
    <w:name w:val="Style1 Footer"/>
    <w:basedOn w:val="Normal"/>
    <w:next w:val="Normal"/>
    <w:link w:val="Style1FooterChar"/>
    <w:uiPriority w:val="5"/>
    <w:qFormat/>
    <w:rsid w:val="00FD5D79"/>
    <w:pPr>
      <w:autoSpaceDE/>
      <w:autoSpaceDN/>
      <w:adjustRightInd/>
      <w:jc w:val="both"/>
    </w:pPr>
    <w:rPr>
      <w:rFonts w:eastAsiaTheme="majorEastAsia" w:cstheme="majorBidi"/>
      <w:iCs/>
      <w:color w:val="auto"/>
      <w:sz w:val="20"/>
      <w:szCs w:val="22"/>
    </w:rPr>
  </w:style>
  <w:style w:type="character" w:customStyle="1" w:styleId="Style1FooterChar">
    <w:name w:val="Style1 Footer Char"/>
    <w:basedOn w:val="DefaultParagraphFont"/>
    <w:link w:val="Style1Footer"/>
    <w:uiPriority w:val="5"/>
    <w:rsid w:val="00BA3843"/>
    <w:rPr>
      <w:rFonts w:ascii="Times New Roman" w:eastAsiaTheme="majorEastAsia" w:hAnsi="Times New Roman" w:cstheme="majorBidi"/>
      <w:iCs/>
      <w:sz w:val="20"/>
      <w:lang w:val="en-US"/>
    </w:rPr>
  </w:style>
  <w:style w:type="paragraph" w:styleId="Revision">
    <w:name w:val="Revision"/>
    <w:hidden/>
    <w:uiPriority w:val="99"/>
    <w:semiHidden/>
    <w:rsid w:val="000055B4"/>
    <w:pPr>
      <w:spacing w:after="0" w:line="240" w:lineRule="auto"/>
    </w:pPr>
    <w:rPr>
      <w:rFonts w:ascii="Times New Roman" w:hAnsi="Times New Roman"/>
      <w:sz w:val="24"/>
    </w:rPr>
  </w:style>
  <w:style w:type="paragraph" w:customStyle="1" w:styleId="Default">
    <w:name w:val="Default"/>
    <w:rsid w:val="00C77629"/>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246A7"/>
    <w:rPr>
      <w:color w:val="0563C1" w:themeColor="hyperlink"/>
      <w:u w:val="single"/>
    </w:rPr>
  </w:style>
  <w:style w:type="character" w:customStyle="1" w:styleId="UnresolvedMention1">
    <w:name w:val="Unresolved Mention1"/>
    <w:basedOn w:val="DefaultParagraphFont"/>
    <w:uiPriority w:val="99"/>
    <w:semiHidden/>
    <w:unhideWhenUsed/>
    <w:rsid w:val="00B246A7"/>
    <w:rPr>
      <w:color w:val="605E5C"/>
      <w:shd w:val="clear" w:color="auto" w:fill="E1DFDD"/>
    </w:rPr>
  </w:style>
  <w:style w:type="character" w:styleId="UnresolvedMention">
    <w:name w:val="Unresolved Mention"/>
    <w:basedOn w:val="DefaultParagraphFont"/>
    <w:uiPriority w:val="99"/>
    <w:semiHidden/>
    <w:unhideWhenUsed/>
    <w:rsid w:val="0026600D"/>
    <w:rPr>
      <w:color w:val="605E5C"/>
      <w:shd w:val="clear" w:color="auto" w:fill="E1DFDD"/>
    </w:rPr>
  </w:style>
  <w:style w:type="paragraph" w:styleId="ListBullet">
    <w:name w:val="List Bullet"/>
    <w:basedOn w:val="Normal"/>
    <w:uiPriority w:val="99"/>
    <w:qFormat/>
    <w:rsid w:val="00893B33"/>
    <w:pPr>
      <w:numPr>
        <w:numId w:val="34"/>
      </w:numPr>
      <w:autoSpaceDE/>
      <w:autoSpaceDN/>
      <w:adjustRightInd/>
      <w:spacing w:before="120" w:after="180" w:line="240" w:lineRule="atLeast"/>
    </w:pPr>
    <w:rPr>
      <w:rFonts w:ascii="Cambria" w:eastAsia="Cambria" w:hAnsi="Cambria"/>
      <w:color w:val="auto"/>
      <w:sz w:val="22"/>
      <w:szCs w:val="22"/>
      <w:lang w:val="en-AU"/>
    </w:rPr>
  </w:style>
  <w:style w:type="paragraph" w:styleId="ListBullet2">
    <w:name w:val="List Bullet 2"/>
    <w:basedOn w:val="Normal"/>
    <w:uiPriority w:val="99"/>
    <w:qFormat/>
    <w:rsid w:val="00893B33"/>
    <w:pPr>
      <w:numPr>
        <w:ilvl w:val="1"/>
        <w:numId w:val="34"/>
      </w:numPr>
      <w:autoSpaceDE/>
      <w:autoSpaceDN/>
      <w:adjustRightInd/>
      <w:spacing w:before="120" w:after="180" w:line="240" w:lineRule="atLeast"/>
    </w:pPr>
    <w:rPr>
      <w:rFonts w:ascii="Cambria" w:eastAsia="Cambria" w:hAnsi="Cambria"/>
      <w:color w:val="auto"/>
      <w:sz w:val="22"/>
      <w:szCs w:val="22"/>
      <w:lang w:val="en-AU"/>
    </w:rPr>
  </w:style>
  <w:style w:type="paragraph" w:styleId="ListBullet3">
    <w:name w:val="List Bullet 3"/>
    <w:basedOn w:val="Normal"/>
    <w:uiPriority w:val="99"/>
    <w:qFormat/>
    <w:rsid w:val="00893B33"/>
    <w:pPr>
      <w:numPr>
        <w:ilvl w:val="2"/>
        <w:numId w:val="34"/>
      </w:numPr>
      <w:autoSpaceDE/>
      <w:autoSpaceDN/>
      <w:adjustRightInd/>
      <w:spacing w:before="120" w:after="180" w:line="240" w:lineRule="atLeast"/>
    </w:pPr>
    <w:rPr>
      <w:rFonts w:ascii="Cambria" w:eastAsia="Cambria" w:hAnsi="Cambria"/>
      <w:color w:val="auto"/>
      <w:sz w:val="22"/>
      <w:szCs w:val="22"/>
      <w:lang w:val="en-AU"/>
    </w:rPr>
  </w:style>
  <w:style w:type="numbering" w:customStyle="1" w:styleId="ListBullets">
    <w:name w:val="ListBullets"/>
    <w:uiPriority w:val="99"/>
    <w:locked/>
    <w:rsid w:val="00893B33"/>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daustraliainfo@recordati.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8D16795F6104CADC9761269269227" ma:contentTypeVersion="15" ma:contentTypeDescription="Create a new document." ma:contentTypeScope="" ma:versionID="b7b1308e796e4f8b1308a0b382e37d4e">
  <xsd:schema xmlns:xsd="http://www.w3.org/2001/XMLSchema" xmlns:xs="http://www.w3.org/2001/XMLSchema" xmlns:p="http://schemas.microsoft.com/office/2006/metadata/properties" xmlns:ns1="http://schemas.microsoft.com/sharepoint/v3" xmlns:ns2="be4a75de-3a52-40dc-9166-71518ebc79f9" xmlns:ns3="883f2561-f29d-4851-bd58-310d31de436c" xmlns:ns4="11bd01df-c60f-45a1-9d8c-b9d56758f72b" targetNamespace="http://schemas.microsoft.com/office/2006/metadata/properties" ma:root="true" ma:fieldsID="781cd4ee34dd1f6eaea7fa617a1970ab" ns1:_="" ns2:_="" ns3:_="" ns4:_="">
    <xsd:import namespace="http://schemas.microsoft.com/sharepoint/v3"/>
    <xsd:import namespace="be4a75de-3a52-40dc-9166-71518ebc79f9"/>
    <xsd:import namespace="883f2561-f29d-4851-bd58-310d31de436c"/>
    <xsd:import namespace="11bd01df-c60f-45a1-9d8c-b9d56758f72b"/>
    <xsd:element name="properties">
      <xsd:complexType>
        <xsd:sequence>
          <xsd:element name="documentManagement">
            <xsd:complexType>
              <xsd:all>
                <xsd:element ref="ns1:PublishingStartDate" minOccurs="0"/>
                <xsd:element ref="ns1:PublishingExpirationDate" minOccurs="0"/>
                <xsd:element ref="ns2:Key_x0020_Doc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a75de-3a52-40dc-9166-71518ebc79f9" elementFormDefault="qualified">
    <xsd:import namespace="http://schemas.microsoft.com/office/2006/documentManagement/types"/>
    <xsd:import namespace="http://schemas.microsoft.com/office/infopath/2007/PartnerControls"/>
    <xsd:element name="Key_x0020_Docs" ma:index="10" nillable="true" ma:displayName="Key Docs" ma:default="1" ma:internalName="Key_x0020_Docs"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3f2561-f29d-4851-bd58-310d31de43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1f0c6-8048-4b1c-bf18-03ad6e7038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bd01df-c60f-45a1-9d8c-b9d56758f72b"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e2475b-848b-4d90-8af4-67346f07f0a6}" ma:internalName="TaxCatchAll" ma:showField="CatchAllData" ma:web="11bd01df-c60f-45a1-9d8c-b9d56758f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_x0020_Docs xmlns="be4a75de-3a52-40dc-9166-71518ebc79f9">true</Key_x0020_Docs>
    <TaxCatchAll xmlns="11bd01df-c60f-45a1-9d8c-b9d56758f72b" xsi:nil="true"/>
    <lcf76f155ced4ddcb4097134ff3c332f xmlns="883f2561-f29d-4851-bd58-310d31de43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E5E068-9125-496D-8EA0-8905B25EBAEF}">
  <ds:schemaRefs>
    <ds:schemaRef ds:uri="http://schemas.openxmlformats.org/officeDocument/2006/bibliography"/>
  </ds:schemaRefs>
</ds:datastoreItem>
</file>

<file path=customXml/itemProps2.xml><?xml version="1.0" encoding="utf-8"?>
<ds:datastoreItem xmlns:ds="http://schemas.openxmlformats.org/officeDocument/2006/customXml" ds:itemID="{604F8EB1-6C7B-46B3-8131-A7D4B6FC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4a75de-3a52-40dc-9166-71518ebc79f9"/>
    <ds:schemaRef ds:uri="883f2561-f29d-4851-bd58-310d31de436c"/>
    <ds:schemaRef ds:uri="11bd01df-c60f-45a1-9d8c-b9d56758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F95D1-C762-4462-AEDA-8CA72F69CAB9}">
  <ds:schemaRefs>
    <ds:schemaRef ds:uri="http://schemas.microsoft.com/sharepoint/v3/contenttype/forms"/>
  </ds:schemaRefs>
</ds:datastoreItem>
</file>

<file path=customXml/itemProps4.xml><?xml version="1.0" encoding="utf-8"?>
<ds:datastoreItem xmlns:ds="http://schemas.openxmlformats.org/officeDocument/2006/customXml" ds:itemID="{1E7283D0-0E40-4266-A6B3-D0DC7F6CF190}">
  <ds:schemaRefs>
    <ds:schemaRef ds:uri="http://schemas.microsoft.com/office/2006/metadata/properties"/>
    <ds:schemaRef ds:uri="http://schemas.microsoft.com/office/infopath/2007/PartnerControls"/>
    <ds:schemaRef ds:uri="http://schemas.microsoft.com/sharepoint/v3"/>
    <ds:schemaRef ds:uri="be4a75de-3a52-40dc-9166-71518ebc79f9"/>
    <ds:schemaRef ds:uri="11bd01df-c60f-45a1-9d8c-b9d56758f72b"/>
    <ds:schemaRef ds:uri="883f2561-f29d-4851-bd58-310d31de436c"/>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5678</Words>
  <Characters>32368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AusPAR Attachment 1: Product Information for Isturisa</vt:lpstr>
    </vt:vector>
  </TitlesOfParts>
  <Company/>
  <LinksUpToDate>false</LinksUpToDate>
  <CharactersWithSpaces>37971</CharactersWithSpaces>
  <SharedDoc>false</SharedDoc>
  <HLinks>
    <vt:vector size="198" baseType="variant">
      <vt:variant>
        <vt:i4>6881372</vt:i4>
      </vt:variant>
      <vt:variant>
        <vt:i4>96</vt:i4>
      </vt:variant>
      <vt:variant>
        <vt:i4>0</vt:i4>
      </vt:variant>
      <vt:variant>
        <vt:i4>5</vt:i4>
      </vt:variant>
      <vt:variant>
        <vt:lpwstr>mailto:rrdaustraliainfo@recordati.com</vt:lpwstr>
      </vt:variant>
      <vt:variant>
        <vt:lpwstr/>
      </vt:variant>
      <vt:variant>
        <vt:i4>1048614</vt:i4>
      </vt:variant>
      <vt:variant>
        <vt:i4>93</vt:i4>
      </vt:variant>
      <vt:variant>
        <vt:i4>0</vt:i4>
      </vt:variant>
      <vt:variant>
        <vt:i4>5</vt:i4>
      </vt:variant>
      <vt:variant>
        <vt:lpwstr/>
      </vt:variant>
      <vt:variant>
        <vt:lpwstr>_DOSE_AND_METHOD</vt:lpwstr>
      </vt:variant>
      <vt:variant>
        <vt:i4>4587639</vt:i4>
      </vt:variant>
      <vt:variant>
        <vt:i4>90</vt:i4>
      </vt:variant>
      <vt:variant>
        <vt:i4>0</vt:i4>
      </vt:variant>
      <vt:variant>
        <vt:i4>5</vt:i4>
      </vt:variant>
      <vt:variant>
        <vt:lpwstr/>
      </vt:variant>
      <vt:variant>
        <vt:lpwstr>_INTERACTION_WITH_OTHER</vt:lpwstr>
      </vt:variant>
      <vt:variant>
        <vt:i4>5505064</vt:i4>
      </vt:variant>
      <vt:variant>
        <vt:i4>87</vt:i4>
      </vt:variant>
      <vt:variant>
        <vt:i4>0</vt:i4>
      </vt:variant>
      <vt:variant>
        <vt:i4>5</vt:i4>
      </vt:variant>
      <vt:variant>
        <vt:lpwstr/>
      </vt:variant>
      <vt:variant>
        <vt:lpwstr>_ADVERSE_EFFECTS_(UNDESIRABLE</vt:lpwstr>
      </vt:variant>
      <vt:variant>
        <vt:i4>5570626</vt:i4>
      </vt:variant>
      <vt:variant>
        <vt:i4>84</vt:i4>
      </vt:variant>
      <vt:variant>
        <vt:i4>0</vt:i4>
      </vt:variant>
      <vt:variant>
        <vt:i4>5</vt:i4>
      </vt:variant>
      <vt:variant>
        <vt:lpwstr>https://www.tga.gov.au/reporting-problems</vt:lpwstr>
      </vt:variant>
      <vt:variant>
        <vt:lpwstr/>
      </vt:variant>
      <vt:variant>
        <vt:i4>7340156</vt:i4>
      </vt:variant>
      <vt:variant>
        <vt:i4>81</vt:i4>
      </vt:variant>
      <vt:variant>
        <vt:i4>0</vt:i4>
      </vt:variant>
      <vt:variant>
        <vt:i4>5</vt:i4>
      </vt:variant>
      <vt:variant>
        <vt:lpwstr/>
      </vt:variant>
      <vt:variant>
        <vt:lpwstr>_PHARMACODYNAMIC_PROPERTIES</vt:lpwstr>
      </vt:variant>
      <vt:variant>
        <vt:i4>2686977</vt:i4>
      </vt:variant>
      <vt:variant>
        <vt:i4>78</vt:i4>
      </vt:variant>
      <vt:variant>
        <vt:i4>0</vt:i4>
      </vt:variant>
      <vt:variant>
        <vt:i4>5</vt:i4>
      </vt:variant>
      <vt:variant>
        <vt:lpwstr/>
      </vt:variant>
      <vt:variant>
        <vt:lpwstr>_SPECIAL_WARNINGS_AND</vt:lpwstr>
      </vt:variant>
      <vt:variant>
        <vt:i4>1048614</vt:i4>
      </vt:variant>
      <vt:variant>
        <vt:i4>75</vt:i4>
      </vt:variant>
      <vt:variant>
        <vt:i4>0</vt:i4>
      </vt:variant>
      <vt:variant>
        <vt:i4>5</vt:i4>
      </vt:variant>
      <vt:variant>
        <vt:lpwstr/>
      </vt:variant>
      <vt:variant>
        <vt:lpwstr>_DOSE_AND_METHOD</vt:lpwstr>
      </vt:variant>
      <vt:variant>
        <vt:i4>5505064</vt:i4>
      </vt:variant>
      <vt:variant>
        <vt:i4>72</vt:i4>
      </vt:variant>
      <vt:variant>
        <vt:i4>0</vt:i4>
      </vt:variant>
      <vt:variant>
        <vt:i4>5</vt:i4>
      </vt:variant>
      <vt:variant>
        <vt:lpwstr/>
      </vt:variant>
      <vt:variant>
        <vt:lpwstr>_ADVERSE_EFFECTS_(UNDESIRABLE</vt:lpwstr>
      </vt:variant>
      <vt:variant>
        <vt:i4>4587639</vt:i4>
      </vt:variant>
      <vt:variant>
        <vt:i4>69</vt:i4>
      </vt:variant>
      <vt:variant>
        <vt:i4>0</vt:i4>
      </vt:variant>
      <vt:variant>
        <vt:i4>5</vt:i4>
      </vt:variant>
      <vt:variant>
        <vt:lpwstr/>
      </vt:variant>
      <vt:variant>
        <vt:lpwstr>_INTERACTION_WITH_OTHER</vt:lpwstr>
      </vt:variant>
      <vt:variant>
        <vt:i4>2490397</vt:i4>
      </vt:variant>
      <vt:variant>
        <vt:i4>66</vt:i4>
      </vt:variant>
      <vt:variant>
        <vt:i4>0</vt:i4>
      </vt:variant>
      <vt:variant>
        <vt:i4>5</vt:i4>
      </vt:variant>
      <vt:variant>
        <vt:lpwstr/>
      </vt:variant>
      <vt:variant>
        <vt:lpwstr>_PRECLINICAL_SAFETY_DATA</vt:lpwstr>
      </vt:variant>
      <vt:variant>
        <vt:i4>2490397</vt:i4>
      </vt:variant>
      <vt:variant>
        <vt:i4>63</vt:i4>
      </vt:variant>
      <vt:variant>
        <vt:i4>0</vt:i4>
      </vt:variant>
      <vt:variant>
        <vt:i4>5</vt:i4>
      </vt:variant>
      <vt:variant>
        <vt:lpwstr/>
      </vt:variant>
      <vt:variant>
        <vt:lpwstr>_PRECLINICAL_SAFETY_DATA</vt:lpwstr>
      </vt:variant>
      <vt:variant>
        <vt:i4>1310839</vt:i4>
      </vt:variant>
      <vt:variant>
        <vt:i4>60</vt:i4>
      </vt:variant>
      <vt:variant>
        <vt:i4>0</vt:i4>
      </vt:variant>
      <vt:variant>
        <vt:i4>5</vt:i4>
      </vt:variant>
      <vt:variant>
        <vt:lpwstr/>
      </vt:variant>
      <vt:variant>
        <vt:lpwstr>_FERTILITY,_PREGNANCY_AND</vt:lpwstr>
      </vt:variant>
      <vt:variant>
        <vt:i4>2686977</vt:i4>
      </vt:variant>
      <vt:variant>
        <vt:i4>57</vt:i4>
      </vt:variant>
      <vt:variant>
        <vt:i4>0</vt:i4>
      </vt:variant>
      <vt:variant>
        <vt:i4>5</vt:i4>
      </vt:variant>
      <vt:variant>
        <vt:lpwstr/>
      </vt:variant>
      <vt:variant>
        <vt:lpwstr>_SPECIAL_WARNINGS_AND</vt:lpwstr>
      </vt:variant>
      <vt:variant>
        <vt:i4>6684776</vt:i4>
      </vt:variant>
      <vt:variant>
        <vt:i4>54</vt:i4>
      </vt:variant>
      <vt:variant>
        <vt:i4>0</vt:i4>
      </vt:variant>
      <vt:variant>
        <vt:i4>5</vt:i4>
      </vt:variant>
      <vt:variant>
        <vt:lpwstr/>
      </vt:variant>
      <vt:variant>
        <vt:lpwstr>_PHARMACOKINETIC_PROPERTIES</vt:lpwstr>
      </vt:variant>
      <vt:variant>
        <vt:i4>2686977</vt:i4>
      </vt:variant>
      <vt:variant>
        <vt:i4>51</vt:i4>
      </vt:variant>
      <vt:variant>
        <vt:i4>0</vt:i4>
      </vt:variant>
      <vt:variant>
        <vt:i4>5</vt:i4>
      </vt:variant>
      <vt:variant>
        <vt:lpwstr/>
      </vt:variant>
      <vt:variant>
        <vt:lpwstr>_SPECIAL_WARNINGS_AND</vt:lpwstr>
      </vt:variant>
      <vt:variant>
        <vt:i4>2686977</vt:i4>
      </vt:variant>
      <vt:variant>
        <vt:i4>48</vt:i4>
      </vt:variant>
      <vt:variant>
        <vt:i4>0</vt:i4>
      </vt:variant>
      <vt:variant>
        <vt:i4>5</vt:i4>
      </vt:variant>
      <vt:variant>
        <vt:lpwstr/>
      </vt:variant>
      <vt:variant>
        <vt:lpwstr>_SPECIAL_WARNINGS_AND</vt:lpwstr>
      </vt:variant>
      <vt:variant>
        <vt:i4>6684776</vt:i4>
      </vt:variant>
      <vt:variant>
        <vt:i4>45</vt:i4>
      </vt:variant>
      <vt:variant>
        <vt:i4>0</vt:i4>
      </vt:variant>
      <vt:variant>
        <vt:i4>5</vt:i4>
      </vt:variant>
      <vt:variant>
        <vt:lpwstr/>
      </vt:variant>
      <vt:variant>
        <vt:lpwstr>_PHARMACOKINETIC_PROPERTIES</vt:lpwstr>
      </vt:variant>
      <vt:variant>
        <vt:i4>7340156</vt:i4>
      </vt:variant>
      <vt:variant>
        <vt:i4>42</vt:i4>
      </vt:variant>
      <vt:variant>
        <vt:i4>0</vt:i4>
      </vt:variant>
      <vt:variant>
        <vt:i4>5</vt:i4>
      </vt:variant>
      <vt:variant>
        <vt:lpwstr/>
      </vt:variant>
      <vt:variant>
        <vt:lpwstr>_PHARMACODYNAMIC_PROPERTIES</vt:lpwstr>
      </vt:variant>
      <vt:variant>
        <vt:i4>2686977</vt:i4>
      </vt:variant>
      <vt:variant>
        <vt:i4>39</vt:i4>
      </vt:variant>
      <vt:variant>
        <vt:i4>0</vt:i4>
      </vt:variant>
      <vt:variant>
        <vt:i4>5</vt:i4>
      </vt:variant>
      <vt:variant>
        <vt:lpwstr/>
      </vt:variant>
      <vt:variant>
        <vt:lpwstr>_SPECIAL_WARNINGS_AND</vt:lpwstr>
      </vt:variant>
      <vt:variant>
        <vt:i4>1310839</vt:i4>
      </vt:variant>
      <vt:variant>
        <vt:i4>36</vt:i4>
      </vt:variant>
      <vt:variant>
        <vt:i4>0</vt:i4>
      </vt:variant>
      <vt:variant>
        <vt:i4>5</vt:i4>
      </vt:variant>
      <vt:variant>
        <vt:lpwstr/>
      </vt:variant>
      <vt:variant>
        <vt:lpwstr>_FERTILITY,_PREGNANCY_AND</vt:lpwstr>
      </vt:variant>
      <vt:variant>
        <vt:i4>4587639</vt:i4>
      </vt:variant>
      <vt:variant>
        <vt:i4>33</vt:i4>
      </vt:variant>
      <vt:variant>
        <vt:i4>0</vt:i4>
      </vt:variant>
      <vt:variant>
        <vt:i4>5</vt:i4>
      </vt:variant>
      <vt:variant>
        <vt:lpwstr/>
      </vt:variant>
      <vt:variant>
        <vt:lpwstr>_INTERACTION_WITH_OTHER</vt:lpwstr>
      </vt:variant>
      <vt:variant>
        <vt:i4>4587639</vt:i4>
      </vt:variant>
      <vt:variant>
        <vt:i4>30</vt:i4>
      </vt:variant>
      <vt:variant>
        <vt:i4>0</vt:i4>
      </vt:variant>
      <vt:variant>
        <vt:i4>5</vt:i4>
      </vt:variant>
      <vt:variant>
        <vt:lpwstr/>
      </vt:variant>
      <vt:variant>
        <vt:lpwstr>_INTERACTION_WITH_OTHER</vt:lpwstr>
      </vt:variant>
      <vt:variant>
        <vt:i4>7340156</vt:i4>
      </vt:variant>
      <vt:variant>
        <vt:i4>27</vt:i4>
      </vt:variant>
      <vt:variant>
        <vt:i4>0</vt:i4>
      </vt:variant>
      <vt:variant>
        <vt:i4>5</vt:i4>
      </vt:variant>
      <vt:variant>
        <vt:lpwstr/>
      </vt:variant>
      <vt:variant>
        <vt:lpwstr>_PHARMACODYNAMIC_PROPERTIES</vt:lpwstr>
      </vt:variant>
      <vt:variant>
        <vt:i4>4587639</vt:i4>
      </vt:variant>
      <vt:variant>
        <vt:i4>24</vt:i4>
      </vt:variant>
      <vt:variant>
        <vt:i4>0</vt:i4>
      </vt:variant>
      <vt:variant>
        <vt:i4>5</vt:i4>
      </vt:variant>
      <vt:variant>
        <vt:lpwstr/>
      </vt:variant>
      <vt:variant>
        <vt:lpwstr>_INTERACTION_WITH_OTHER</vt:lpwstr>
      </vt:variant>
      <vt:variant>
        <vt:i4>1048614</vt:i4>
      </vt:variant>
      <vt:variant>
        <vt:i4>21</vt:i4>
      </vt:variant>
      <vt:variant>
        <vt:i4>0</vt:i4>
      </vt:variant>
      <vt:variant>
        <vt:i4>5</vt:i4>
      </vt:variant>
      <vt:variant>
        <vt:lpwstr/>
      </vt:variant>
      <vt:variant>
        <vt:lpwstr>_DOSE_AND_METHOD</vt:lpwstr>
      </vt:variant>
      <vt:variant>
        <vt:i4>6160491</vt:i4>
      </vt:variant>
      <vt:variant>
        <vt:i4>18</vt:i4>
      </vt:variant>
      <vt:variant>
        <vt:i4>0</vt:i4>
      </vt:variant>
      <vt:variant>
        <vt:i4>5</vt:i4>
      </vt:variant>
      <vt:variant>
        <vt:lpwstr/>
      </vt:variant>
      <vt:variant>
        <vt:lpwstr>_LIST_OF_EXIPIENTS</vt:lpwstr>
      </vt:variant>
      <vt:variant>
        <vt:i4>6684776</vt:i4>
      </vt:variant>
      <vt:variant>
        <vt:i4>15</vt:i4>
      </vt:variant>
      <vt:variant>
        <vt:i4>0</vt:i4>
      </vt:variant>
      <vt:variant>
        <vt:i4>5</vt:i4>
      </vt:variant>
      <vt:variant>
        <vt:lpwstr/>
      </vt:variant>
      <vt:variant>
        <vt:lpwstr>_PHARMACOKINETIC_PROPERTIES</vt:lpwstr>
      </vt:variant>
      <vt:variant>
        <vt:i4>6684776</vt:i4>
      </vt:variant>
      <vt:variant>
        <vt:i4>12</vt:i4>
      </vt:variant>
      <vt:variant>
        <vt:i4>0</vt:i4>
      </vt:variant>
      <vt:variant>
        <vt:i4>5</vt:i4>
      </vt:variant>
      <vt:variant>
        <vt:lpwstr/>
      </vt:variant>
      <vt:variant>
        <vt:lpwstr>_PHARMACOKINETIC_PROPERTIES</vt:lpwstr>
      </vt:variant>
      <vt:variant>
        <vt:i4>2686977</vt:i4>
      </vt:variant>
      <vt:variant>
        <vt:i4>9</vt:i4>
      </vt:variant>
      <vt:variant>
        <vt:i4>0</vt:i4>
      </vt:variant>
      <vt:variant>
        <vt:i4>5</vt:i4>
      </vt:variant>
      <vt:variant>
        <vt:lpwstr/>
      </vt:variant>
      <vt:variant>
        <vt:lpwstr>_SPECIAL_WARNINGS_AND</vt:lpwstr>
      </vt:variant>
      <vt:variant>
        <vt:i4>6684776</vt:i4>
      </vt:variant>
      <vt:variant>
        <vt:i4>6</vt:i4>
      </vt:variant>
      <vt:variant>
        <vt:i4>0</vt:i4>
      </vt:variant>
      <vt:variant>
        <vt:i4>5</vt:i4>
      </vt:variant>
      <vt:variant>
        <vt:lpwstr/>
      </vt:variant>
      <vt:variant>
        <vt:lpwstr>_PHARMACOKINETIC_PROPERTIES</vt:lpwstr>
      </vt:variant>
      <vt:variant>
        <vt:i4>6160491</vt:i4>
      </vt:variant>
      <vt:variant>
        <vt:i4>3</vt:i4>
      </vt:variant>
      <vt:variant>
        <vt:i4>0</vt:i4>
      </vt:variant>
      <vt:variant>
        <vt:i4>5</vt:i4>
      </vt:variant>
      <vt:variant>
        <vt:lpwstr/>
      </vt:variant>
      <vt:variant>
        <vt:lpwstr>_LIST_OF_EXIPIENTS</vt:lpwstr>
      </vt:variant>
      <vt:variant>
        <vt:i4>5570626</vt:i4>
      </vt:variant>
      <vt:variant>
        <vt:i4>0</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Isturisa</dc:title>
  <dc:subject>Prescription medicines</dc:subject>
  <dc:creator>Elizabeth Anthonisz</dc:creator>
  <cp:keywords>AusPARs</cp:keywords>
  <dc:description/>
  <cp:lastModifiedBy>PITKIN, Brendan</cp:lastModifiedBy>
  <cp:revision>9</cp:revision>
  <cp:lastPrinted>2021-06-22T02:15:00Z</cp:lastPrinted>
  <dcterms:created xsi:type="dcterms:W3CDTF">2022-03-10T03:55:00Z</dcterms:created>
  <dcterms:modified xsi:type="dcterms:W3CDTF">2022-10-27T00:24:00Z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0x0101009CA8D16795F6104CADC9761269269227</vt:lpwstr>
  </property>
  <property fmtid="{D5CDD505-2E9C-101B-9397-08002B2CF9AE}" pid="3" name="MediaServiceImageTags">
    <vt:lpwstr/>
  </property>
</Properties>
</file>