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1EF1C" w14:textId="36DABE9F" w:rsidR="00256154" w:rsidRPr="00B07007" w:rsidRDefault="00256154" w:rsidP="00311635">
      <w:pPr>
        <w:tabs>
          <w:tab w:val="left" w:pos="7371"/>
        </w:tabs>
        <w:spacing w:after="0" w:line="240" w:lineRule="auto"/>
        <w:ind w:left="0"/>
        <w:rPr>
          <w:rFonts w:asciiTheme="minorHAnsi" w:hAnsiTheme="minorHAnsi" w:cstheme="minorHAnsi"/>
          <w:sz w:val="22"/>
          <w:szCs w:val="22"/>
        </w:rPr>
      </w:pPr>
      <w:r w:rsidRPr="00B07007">
        <w:rPr>
          <w:rFonts w:asciiTheme="minorHAnsi" w:hAnsiTheme="minorHAnsi" w:cstheme="minorHAnsi"/>
          <w:noProof/>
          <w:sz w:val="22"/>
          <w:szCs w:val="22"/>
        </w:rPr>
        <mc:AlternateContent>
          <mc:Choice Requires="wps">
            <w:drawing>
              <wp:inline distT="0" distB="0" distL="0" distR="0" wp14:anchorId="5B5039A4" wp14:editId="2FC0256A">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D6687" w14:textId="77777777" w:rsidR="00F414D0" w:rsidRDefault="00F414D0" w:rsidP="00C47E0F">
                            <w:pPr>
                              <w:ind w:left="284" w:right="-1557" w:hanging="284"/>
                              <w:rPr>
                                <w:rFonts w:ascii="Wingdings 3" w:hAnsi="Wingdings 3" w:hint="eastAsia"/>
                                <w:sz w:val="56"/>
                                <w:szCs w:val="56"/>
                              </w:rPr>
                            </w:pPr>
                            <w:r>
                              <w:rPr>
                                <w:rFonts w:ascii="SimSun" w:eastAsia="SimSun" w:hAnsi="SimSun" w:cs="Arial" w:hint="eastAsia"/>
                                <w:sz w:val="56"/>
                                <w:szCs w:val="56"/>
                              </w:rPr>
                              <w:t>▼</w:t>
                            </w:r>
                          </w:p>
                        </w:txbxContent>
                      </wps:txbx>
                      <wps:bodyPr rot="0" vert="horz" wrap="square" lIns="0" tIns="0" rIns="0" bIns="0" anchor="t" anchorCtr="0" upright="1">
                        <a:noAutofit/>
                      </wps:bodyPr>
                    </wps:wsp>
                  </a:graphicData>
                </a:graphic>
              </wp:inline>
            </w:drawing>
          </mc:Choice>
          <mc:Fallback>
            <w:pict>
              <v:shapetype w14:anchorId="5B5039A4"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" stroked="f">
                <v:textbox inset="0,0,0,0">
                  <w:txbxContent>
                    <w:p w14:paraId="17BD6687" w14:textId="77777777" w:rsidR="00F414D0" w:rsidRDefault="00F414D0" w:rsidP="00C47E0F">
                      <w:pPr>
                        <w:ind w:left="284" w:right="-1557" w:hanging="284"/>
                        <w:rPr>
                          <w:rFonts w:ascii="Wingdings 3" w:hAnsi="Wingdings 3" w:hint="eastAsia"/>
                          <w:sz w:val="56"/>
                          <w:szCs w:val="56"/>
                        </w:rPr>
                      </w:pPr>
                      <w:r>
                        <w:rPr>
                          <w:rFonts w:ascii="SimSun" w:eastAsia="SimSun" w:hAnsi="SimSun" w:cs="Arial" w:hint="eastAsia"/>
                          <w:sz w:val="56"/>
                          <w:szCs w:val="56"/>
                        </w:rPr>
                        <w:t>▼</w:t>
                      </w:r>
                    </w:p>
                  </w:txbxContent>
                </v:textbox>
                <w10:anchorlock/>
              </v:shape>
            </w:pict>
          </mc:Fallback>
        </mc:AlternateContent>
      </w:r>
      <w:r w:rsidRPr="00B07007">
        <w:rPr>
          <w:rFonts w:asciiTheme="minorHAnsi" w:hAnsiTheme="minorHAnsi" w:cstheme="minorHAnsi"/>
          <w:sz w:val="22"/>
          <w:szCs w:val="22"/>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B07007">
          <w:rPr>
            <w:rStyle w:val="Hyperlink"/>
            <w:rFonts w:asciiTheme="minorHAnsi" w:hAnsiTheme="minorHAnsi" w:cstheme="minorHAnsi"/>
            <w:sz w:val="22"/>
            <w:szCs w:val="22"/>
          </w:rPr>
          <w:t>https://www.tga.gov.au/reporting-problems</w:t>
        </w:r>
      </w:hyperlink>
    </w:p>
    <w:p w14:paraId="74B18CA1" w14:textId="77777777" w:rsidR="00105C1D" w:rsidRPr="00B07007" w:rsidRDefault="004032BD" w:rsidP="00105C1D">
      <w:pPr>
        <w:pStyle w:val="Title"/>
        <w:spacing w:after="0"/>
        <w:jc w:val="center"/>
        <w:rPr>
          <w:rFonts w:asciiTheme="minorHAnsi" w:hAnsiTheme="minorHAnsi" w:cstheme="minorHAnsi"/>
          <w:sz w:val="22"/>
          <w:szCs w:val="22"/>
        </w:rPr>
      </w:pPr>
      <w:r w:rsidRPr="00B07007">
        <w:rPr>
          <w:rFonts w:asciiTheme="minorHAnsi" w:hAnsiTheme="minorHAnsi" w:cstheme="minorHAnsi"/>
          <w:sz w:val="22"/>
          <w:szCs w:val="22"/>
        </w:rPr>
        <w:t>Australian P</w:t>
      </w:r>
      <w:r w:rsidR="00677840" w:rsidRPr="00B07007">
        <w:rPr>
          <w:rFonts w:asciiTheme="minorHAnsi" w:hAnsiTheme="minorHAnsi" w:cstheme="minorHAnsi"/>
          <w:sz w:val="22"/>
          <w:szCs w:val="22"/>
        </w:rPr>
        <w:t xml:space="preserve">roduct </w:t>
      </w:r>
      <w:r w:rsidRPr="00B07007">
        <w:rPr>
          <w:rFonts w:asciiTheme="minorHAnsi" w:hAnsiTheme="minorHAnsi" w:cstheme="minorHAnsi"/>
          <w:sz w:val="22"/>
          <w:szCs w:val="22"/>
        </w:rPr>
        <w:t>I</w:t>
      </w:r>
      <w:r w:rsidR="00677840" w:rsidRPr="00B07007">
        <w:rPr>
          <w:rFonts w:asciiTheme="minorHAnsi" w:hAnsiTheme="minorHAnsi" w:cstheme="minorHAnsi"/>
          <w:sz w:val="22"/>
          <w:szCs w:val="22"/>
        </w:rPr>
        <w:t>nformation</w:t>
      </w:r>
    </w:p>
    <w:p w14:paraId="010EE024" w14:textId="00342E70" w:rsidR="004032BD" w:rsidRPr="00B07007" w:rsidRDefault="0020380F" w:rsidP="00105C1D">
      <w:pPr>
        <w:pStyle w:val="Title"/>
        <w:spacing w:before="0"/>
        <w:jc w:val="center"/>
        <w:rPr>
          <w:rFonts w:asciiTheme="minorHAnsi" w:hAnsiTheme="minorHAnsi" w:cstheme="minorHAnsi"/>
          <w:sz w:val="22"/>
          <w:szCs w:val="22"/>
        </w:rPr>
      </w:pPr>
      <w:r w:rsidRPr="00B07007">
        <w:rPr>
          <w:rFonts w:asciiTheme="minorHAnsi" w:eastAsiaTheme="minorHAnsi" w:hAnsiTheme="minorHAnsi" w:cstheme="minorHAnsi"/>
          <w:color w:val="auto"/>
          <w:sz w:val="22"/>
          <w:szCs w:val="22"/>
          <w:lang w:val="en-AU"/>
        </w:rPr>
        <w:t xml:space="preserve">lutetium </w:t>
      </w:r>
      <w:r w:rsidR="00864B29">
        <w:rPr>
          <w:rFonts w:asciiTheme="minorHAnsi" w:eastAsiaTheme="minorHAnsi" w:hAnsiTheme="minorHAnsi" w:cstheme="minorHAnsi"/>
          <w:color w:val="auto"/>
          <w:sz w:val="22"/>
          <w:szCs w:val="22"/>
          <w:lang w:val="en-AU"/>
        </w:rPr>
        <w:t>(</w:t>
      </w:r>
      <w:r w:rsidR="00864B29" w:rsidRPr="00AA4FBC">
        <w:rPr>
          <w:rFonts w:asciiTheme="minorHAnsi" w:eastAsiaTheme="minorHAnsi" w:hAnsiTheme="minorHAnsi" w:cstheme="minorHAnsi"/>
          <w:color w:val="auto"/>
          <w:sz w:val="22"/>
          <w:szCs w:val="22"/>
          <w:vertAlign w:val="superscript"/>
          <w:lang w:val="en-AU"/>
        </w:rPr>
        <w:t>177</w:t>
      </w:r>
      <w:r w:rsidR="00864B29">
        <w:rPr>
          <w:rFonts w:asciiTheme="minorHAnsi" w:eastAsiaTheme="minorHAnsi" w:hAnsiTheme="minorHAnsi" w:cstheme="minorHAnsi"/>
          <w:color w:val="auto"/>
          <w:sz w:val="22"/>
          <w:szCs w:val="22"/>
          <w:lang w:val="en-AU"/>
        </w:rPr>
        <w:t>L</w:t>
      </w:r>
      <w:r w:rsidR="00864B29">
        <w:rPr>
          <w:rFonts w:asciiTheme="minorHAnsi" w:eastAsiaTheme="minorHAnsi" w:hAnsiTheme="minorHAnsi" w:cstheme="minorHAnsi"/>
          <w:caps w:val="0"/>
          <w:color w:val="auto"/>
          <w:sz w:val="22"/>
          <w:szCs w:val="22"/>
          <w:lang w:val="en-AU"/>
        </w:rPr>
        <w:t>u</w:t>
      </w:r>
      <w:r w:rsidR="00864B29">
        <w:rPr>
          <w:rFonts w:asciiTheme="minorHAnsi" w:eastAsiaTheme="minorHAnsi" w:hAnsiTheme="minorHAnsi" w:cstheme="minorHAnsi"/>
          <w:color w:val="auto"/>
          <w:sz w:val="22"/>
          <w:szCs w:val="22"/>
          <w:lang w:val="en-AU"/>
        </w:rPr>
        <w:t xml:space="preserve">) </w:t>
      </w:r>
      <w:r w:rsidRPr="00B07007">
        <w:rPr>
          <w:rFonts w:asciiTheme="minorHAnsi" w:eastAsiaTheme="minorHAnsi" w:hAnsiTheme="minorHAnsi" w:cstheme="minorHAnsi"/>
          <w:color w:val="auto"/>
          <w:sz w:val="22"/>
          <w:szCs w:val="22"/>
          <w:lang w:val="en-AU"/>
        </w:rPr>
        <w:t>chloride RADIOPHARMACEUTICAL PRECURSOR</w:t>
      </w:r>
      <w:r w:rsidR="002260AF">
        <w:rPr>
          <w:rFonts w:asciiTheme="minorHAnsi" w:eastAsiaTheme="minorHAnsi" w:hAnsiTheme="minorHAnsi" w:cstheme="minorHAnsi"/>
          <w:color w:val="auto"/>
          <w:sz w:val="22"/>
          <w:szCs w:val="22"/>
          <w:lang w:val="en-AU"/>
        </w:rPr>
        <w:t>, SOLUTION</w:t>
      </w:r>
    </w:p>
    <w:p w14:paraId="4D4A738C" w14:textId="6FA6C341" w:rsidR="00FD6494" w:rsidRPr="00B07007" w:rsidRDefault="001A3992" w:rsidP="00C47E0F">
      <w:pPr>
        <w:pStyle w:val="Heading1"/>
        <w:rPr>
          <w:rFonts w:asciiTheme="minorHAnsi" w:hAnsiTheme="minorHAnsi" w:cstheme="minorHAnsi"/>
          <w:sz w:val="22"/>
          <w:szCs w:val="22"/>
        </w:rPr>
      </w:pPr>
      <w:r w:rsidRPr="00B07007">
        <w:rPr>
          <w:rFonts w:asciiTheme="minorHAnsi" w:hAnsiTheme="minorHAnsi" w:cstheme="minorHAnsi"/>
          <w:sz w:val="22"/>
          <w:szCs w:val="22"/>
        </w:rPr>
        <w:t>Name of the medicine</w:t>
      </w:r>
    </w:p>
    <w:p w14:paraId="2466A009" w14:textId="0EA5D70E" w:rsidR="00FD6494" w:rsidRPr="00B07007" w:rsidRDefault="00D95315" w:rsidP="00C47E0F">
      <w:pPr>
        <w:rPr>
          <w:rFonts w:asciiTheme="minorHAnsi" w:hAnsiTheme="minorHAnsi" w:cstheme="minorHAnsi"/>
          <w:sz w:val="22"/>
          <w:szCs w:val="22"/>
        </w:rPr>
      </w:pPr>
      <w:bookmarkStart w:id="0" w:name="_Hlk54168684"/>
      <w:bookmarkStart w:id="1" w:name="_Hlk58145664"/>
      <w:r w:rsidRPr="00B07007">
        <w:rPr>
          <w:rFonts w:asciiTheme="minorHAnsi" w:hAnsiTheme="minorHAnsi" w:cstheme="minorHAnsi"/>
          <w:sz w:val="22"/>
          <w:szCs w:val="22"/>
        </w:rPr>
        <w:t xml:space="preserve">Lutetium </w:t>
      </w:r>
      <w:r w:rsidR="00864B29">
        <w:rPr>
          <w:rFonts w:asciiTheme="minorHAnsi" w:hAnsiTheme="minorHAnsi" w:cstheme="minorHAnsi"/>
          <w:sz w:val="22"/>
          <w:szCs w:val="22"/>
        </w:rPr>
        <w:t>(</w:t>
      </w:r>
      <w:r w:rsidR="00864B29" w:rsidRPr="00AA4FBC">
        <w:rPr>
          <w:rFonts w:asciiTheme="minorHAnsi" w:hAnsiTheme="minorHAnsi" w:cstheme="minorHAnsi"/>
          <w:sz w:val="22"/>
          <w:szCs w:val="22"/>
          <w:vertAlign w:val="superscript"/>
        </w:rPr>
        <w:t>177</w:t>
      </w:r>
      <w:r w:rsidR="00864B29">
        <w:rPr>
          <w:rFonts w:asciiTheme="minorHAnsi" w:hAnsiTheme="minorHAnsi" w:cstheme="minorHAnsi"/>
          <w:sz w:val="22"/>
          <w:szCs w:val="22"/>
        </w:rPr>
        <w:t>Lu) c</w:t>
      </w:r>
      <w:r w:rsidRPr="00B07007">
        <w:rPr>
          <w:rFonts w:asciiTheme="minorHAnsi" w:hAnsiTheme="minorHAnsi" w:cstheme="minorHAnsi"/>
          <w:sz w:val="22"/>
          <w:szCs w:val="22"/>
        </w:rPr>
        <w:t>hloride</w:t>
      </w:r>
      <w:bookmarkEnd w:id="0"/>
      <w:bookmarkEnd w:id="1"/>
      <w:r w:rsidR="00F8194E">
        <w:rPr>
          <w:rFonts w:asciiTheme="minorHAnsi" w:hAnsiTheme="minorHAnsi" w:cstheme="minorHAnsi"/>
          <w:sz w:val="22"/>
          <w:szCs w:val="22"/>
        </w:rPr>
        <w:t>.</w:t>
      </w:r>
    </w:p>
    <w:p w14:paraId="673BEEC7" w14:textId="4A6A6E57" w:rsidR="00FD6494" w:rsidRPr="00B07007" w:rsidRDefault="001A3992" w:rsidP="00FC7012">
      <w:pPr>
        <w:pStyle w:val="Heading1"/>
        <w:rPr>
          <w:rFonts w:asciiTheme="minorHAnsi" w:hAnsiTheme="minorHAnsi" w:cstheme="minorHAnsi"/>
          <w:sz w:val="22"/>
          <w:szCs w:val="22"/>
        </w:rPr>
      </w:pPr>
      <w:r w:rsidRPr="00B07007">
        <w:rPr>
          <w:rFonts w:asciiTheme="minorHAnsi" w:hAnsiTheme="minorHAnsi" w:cstheme="minorHAnsi"/>
          <w:sz w:val="22"/>
          <w:szCs w:val="22"/>
        </w:rPr>
        <w:t>Qualitative and quantitative composition</w:t>
      </w:r>
    </w:p>
    <w:p w14:paraId="4C31D7AB" w14:textId="46D018F7" w:rsidR="00CE3BF0" w:rsidRPr="00B07007" w:rsidRDefault="00914BFC" w:rsidP="00B2616E">
      <w:pPr>
        <w:pStyle w:val="BodyText"/>
        <w:rPr>
          <w:rFonts w:asciiTheme="minorHAnsi" w:hAnsiTheme="minorHAnsi" w:cstheme="minorHAnsi"/>
          <w:sz w:val="22"/>
        </w:rPr>
      </w:pPr>
      <w:r w:rsidRPr="00B07007">
        <w:rPr>
          <w:rFonts w:asciiTheme="minorHAnsi" w:hAnsiTheme="minorHAnsi" w:cstheme="minorHAnsi"/>
          <w:sz w:val="22"/>
        </w:rPr>
        <w:t xml:space="preserve">Lutetium </w:t>
      </w:r>
      <w:r w:rsidR="00873EF2">
        <w:rPr>
          <w:rFonts w:asciiTheme="minorHAnsi" w:hAnsiTheme="minorHAnsi" w:cstheme="minorHAnsi"/>
          <w:sz w:val="22"/>
        </w:rPr>
        <w:t>(</w:t>
      </w:r>
      <w:r w:rsidR="00873EF2" w:rsidRPr="00AA4FBC">
        <w:rPr>
          <w:rFonts w:asciiTheme="minorHAnsi" w:hAnsiTheme="minorHAnsi" w:cstheme="minorHAnsi"/>
          <w:sz w:val="22"/>
          <w:vertAlign w:val="superscript"/>
        </w:rPr>
        <w:t>177</w:t>
      </w:r>
      <w:r w:rsidR="00873EF2">
        <w:rPr>
          <w:rFonts w:asciiTheme="minorHAnsi" w:hAnsiTheme="minorHAnsi" w:cstheme="minorHAnsi"/>
          <w:sz w:val="22"/>
        </w:rPr>
        <w:t>Lu) c</w:t>
      </w:r>
      <w:r w:rsidRPr="00B07007">
        <w:rPr>
          <w:rFonts w:asciiTheme="minorHAnsi" w:hAnsiTheme="minorHAnsi" w:cstheme="minorHAnsi"/>
          <w:sz w:val="22"/>
        </w:rPr>
        <w:t xml:space="preserve">hloride </w:t>
      </w:r>
      <w:r w:rsidR="000270FC">
        <w:rPr>
          <w:rFonts w:asciiTheme="minorHAnsi" w:hAnsiTheme="minorHAnsi" w:cstheme="minorHAnsi"/>
          <w:sz w:val="22"/>
        </w:rPr>
        <w:t xml:space="preserve">(lutetium chloride) </w:t>
      </w:r>
      <w:r w:rsidRPr="00B07007">
        <w:rPr>
          <w:rFonts w:asciiTheme="minorHAnsi" w:hAnsiTheme="minorHAnsi" w:cstheme="minorHAnsi"/>
          <w:sz w:val="22"/>
        </w:rPr>
        <w:t xml:space="preserve">is a clear, </w:t>
      </w:r>
      <w:proofErr w:type="spellStart"/>
      <w:r w:rsidRPr="00B07007">
        <w:rPr>
          <w:rFonts w:asciiTheme="minorHAnsi" w:hAnsiTheme="minorHAnsi" w:cstheme="minorHAnsi"/>
          <w:sz w:val="22"/>
        </w:rPr>
        <w:t>colourless</w:t>
      </w:r>
      <w:proofErr w:type="spellEnd"/>
      <w:r w:rsidRPr="00B07007">
        <w:rPr>
          <w:rFonts w:asciiTheme="minorHAnsi" w:hAnsiTheme="minorHAnsi" w:cstheme="minorHAnsi"/>
          <w:sz w:val="22"/>
        </w:rPr>
        <w:t xml:space="preserve"> solution, free of impurities in 0.04M hydrochloric acid.  </w:t>
      </w:r>
      <w:r w:rsidR="00CE3BF0" w:rsidRPr="00B07007">
        <w:rPr>
          <w:rFonts w:asciiTheme="minorHAnsi" w:hAnsiTheme="minorHAnsi" w:cstheme="minorHAnsi"/>
          <w:sz w:val="22"/>
        </w:rPr>
        <w:t xml:space="preserve">Each vial may contain between </w:t>
      </w:r>
      <w:r w:rsidR="00085398">
        <w:rPr>
          <w:rFonts w:asciiTheme="minorHAnsi" w:hAnsiTheme="minorHAnsi" w:cstheme="minorHAnsi"/>
          <w:sz w:val="22"/>
        </w:rPr>
        <w:t>10</w:t>
      </w:r>
      <w:r w:rsidR="00085398" w:rsidRPr="00B07007">
        <w:rPr>
          <w:rFonts w:asciiTheme="minorHAnsi" w:hAnsiTheme="minorHAnsi" w:cstheme="minorHAnsi"/>
          <w:sz w:val="22"/>
        </w:rPr>
        <w:t xml:space="preserve"> </w:t>
      </w:r>
      <w:proofErr w:type="spellStart"/>
      <w:r w:rsidR="00CE3BF0" w:rsidRPr="00B07007">
        <w:rPr>
          <w:rFonts w:asciiTheme="minorHAnsi" w:hAnsiTheme="minorHAnsi" w:cstheme="minorHAnsi"/>
          <w:sz w:val="22"/>
        </w:rPr>
        <w:t>GBq</w:t>
      </w:r>
      <w:proofErr w:type="spellEnd"/>
      <w:r w:rsidR="00CE3BF0" w:rsidRPr="00B07007">
        <w:rPr>
          <w:rFonts w:asciiTheme="minorHAnsi" w:hAnsiTheme="minorHAnsi" w:cstheme="minorHAnsi"/>
          <w:sz w:val="22"/>
        </w:rPr>
        <w:t xml:space="preserve">/mL to </w:t>
      </w:r>
      <w:r w:rsidR="00085398">
        <w:rPr>
          <w:rFonts w:asciiTheme="minorHAnsi" w:hAnsiTheme="minorHAnsi" w:cstheme="minorHAnsi"/>
          <w:sz w:val="22"/>
        </w:rPr>
        <w:t>2</w:t>
      </w:r>
      <w:r w:rsidR="00085398" w:rsidRPr="00B07007">
        <w:rPr>
          <w:rFonts w:asciiTheme="minorHAnsi" w:hAnsiTheme="minorHAnsi" w:cstheme="minorHAnsi"/>
          <w:sz w:val="22"/>
        </w:rPr>
        <w:t xml:space="preserve">00 </w:t>
      </w:r>
      <w:proofErr w:type="spellStart"/>
      <w:r w:rsidR="00CE3BF0" w:rsidRPr="00B07007">
        <w:rPr>
          <w:rFonts w:asciiTheme="minorHAnsi" w:hAnsiTheme="minorHAnsi" w:cstheme="minorHAnsi"/>
          <w:sz w:val="22"/>
        </w:rPr>
        <w:t>GBq</w:t>
      </w:r>
      <w:proofErr w:type="spellEnd"/>
      <w:r w:rsidR="00CE3BF0" w:rsidRPr="00B07007">
        <w:rPr>
          <w:rFonts w:asciiTheme="minorHAnsi" w:hAnsiTheme="minorHAnsi" w:cstheme="minorHAnsi"/>
          <w:sz w:val="22"/>
        </w:rPr>
        <w:t xml:space="preserve">/mL </w:t>
      </w:r>
      <w:r w:rsidR="00AA4FBC">
        <w:rPr>
          <w:rFonts w:asciiTheme="minorHAnsi" w:hAnsiTheme="minorHAnsi" w:cstheme="minorHAnsi"/>
          <w:sz w:val="22"/>
        </w:rPr>
        <w:t>lutetium chloride</w:t>
      </w:r>
      <w:r w:rsidR="00CE3BF0" w:rsidRPr="00B07007">
        <w:rPr>
          <w:rFonts w:asciiTheme="minorHAnsi" w:hAnsiTheme="minorHAnsi" w:cstheme="minorHAnsi"/>
          <w:sz w:val="22"/>
          <w:vertAlign w:val="subscript"/>
        </w:rPr>
        <w:t xml:space="preserve"> </w:t>
      </w:r>
      <w:r w:rsidR="00CE3BF0" w:rsidRPr="00B07007">
        <w:rPr>
          <w:rFonts w:asciiTheme="minorHAnsi" w:hAnsiTheme="minorHAnsi" w:cstheme="minorHAnsi"/>
          <w:sz w:val="22"/>
        </w:rPr>
        <w:t xml:space="preserve">at Calibration DATE AND TIME (radioactive concentration) in required volume of 0.04 M hydrochloric acid to make the final solution volume of 0.5 </w:t>
      </w:r>
      <w:proofErr w:type="spellStart"/>
      <w:r w:rsidR="00CE3BF0" w:rsidRPr="00B07007">
        <w:rPr>
          <w:rFonts w:asciiTheme="minorHAnsi" w:hAnsiTheme="minorHAnsi" w:cstheme="minorHAnsi"/>
          <w:sz w:val="22"/>
        </w:rPr>
        <w:t>mL.</w:t>
      </w:r>
      <w:proofErr w:type="spellEnd"/>
      <w:r w:rsidR="00CE3BF0" w:rsidRPr="00B07007">
        <w:rPr>
          <w:rFonts w:asciiTheme="minorHAnsi" w:hAnsiTheme="minorHAnsi" w:cstheme="minorHAnsi"/>
          <w:sz w:val="22"/>
        </w:rPr>
        <w:t xml:space="preserve">  </w:t>
      </w:r>
    </w:p>
    <w:p w14:paraId="40F4D89F" w14:textId="5019A9AE" w:rsidR="00914BFC" w:rsidRPr="00B07007" w:rsidRDefault="00914BFC" w:rsidP="00B2616E">
      <w:pPr>
        <w:pStyle w:val="BodyText"/>
        <w:rPr>
          <w:rFonts w:asciiTheme="minorHAnsi" w:hAnsiTheme="minorHAnsi" w:cstheme="minorHAnsi"/>
          <w:sz w:val="22"/>
        </w:rPr>
      </w:pPr>
      <w:r w:rsidRPr="00B07007">
        <w:rPr>
          <w:rFonts w:asciiTheme="minorHAnsi" w:hAnsiTheme="minorHAnsi" w:cstheme="minorHAnsi"/>
          <w:sz w:val="22"/>
        </w:rPr>
        <w:t xml:space="preserve">Lutetium emits both medium-energy beta particles and imageable gamma photons and has a half-life of 6.647 days. The primary radiation emissions of </w:t>
      </w:r>
      <w:r w:rsidR="008A1A14">
        <w:rPr>
          <w:rFonts w:asciiTheme="minorHAnsi" w:hAnsiTheme="minorHAnsi" w:cstheme="minorHAnsi"/>
          <w:sz w:val="22"/>
        </w:rPr>
        <w:t>l</w:t>
      </w:r>
      <w:r w:rsidRPr="00B07007">
        <w:rPr>
          <w:rFonts w:asciiTheme="minorHAnsi" w:hAnsiTheme="minorHAnsi" w:cstheme="minorHAnsi"/>
          <w:sz w:val="22"/>
        </w:rPr>
        <w:t>utetium are shown in Table 1 below.</w:t>
      </w:r>
    </w:p>
    <w:p w14:paraId="5D2CFA32" w14:textId="0193A575" w:rsidR="00FD6494" w:rsidRPr="00B07007" w:rsidRDefault="00FD6494" w:rsidP="00C47E0F">
      <w:pPr>
        <w:jc w:val="center"/>
        <w:rPr>
          <w:rFonts w:asciiTheme="minorHAnsi" w:hAnsiTheme="minorHAnsi" w:cstheme="minorHAnsi"/>
          <w:b/>
          <w:bCs/>
          <w:sz w:val="22"/>
          <w:szCs w:val="22"/>
        </w:rPr>
      </w:pPr>
      <w:r w:rsidRPr="00B07007">
        <w:rPr>
          <w:rFonts w:asciiTheme="minorHAnsi" w:hAnsiTheme="minorHAnsi" w:cstheme="minorHAnsi"/>
          <w:b/>
          <w:bCs/>
          <w:sz w:val="22"/>
          <w:szCs w:val="22"/>
        </w:rPr>
        <w:t>Table 1: Lutetium (</w:t>
      </w:r>
      <w:r w:rsidRPr="00B07007">
        <w:rPr>
          <w:rFonts w:asciiTheme="minorHAnsi" w:hAnsiTheme="minorHAnsi" w:cstheme="minorHAnsi"/>
          <w:b/>
          <w:bCs/>
          <w:sz w:val="22"/>
          <w:szCs w:val="22"/>
          <w:vertAlign w:val="superscript"/>
        </w:rPr>
        <w:t>177</w:t>
      </w:r>
      <w:r w:rsidRPr="00B07007">
        <w:rPr>
          <w:rFonts w:asciiTheme="minorHAnsi" w:hAnsiTheme="minorHAnsi" w:cstheme="minorHAnsi"/>
          <w:b/>
          <w:bCs/>
          <w:sz w:val="22"/>
          <w:szCs w:val="22"/>
        </w:rPr>
        <w:t xml:space="preserve">Lu) </w:t>
      </w:r>
      <w:proofErr w:type="gramStart"/>
      <w:r w:rsidRPr="00B07007">
        <w:rPr>
          <w:rFonts w:asciiTheme="minorHAnsi" w:hAnsiTheme="minorHAnsi" w:cstheme="minorHAnsi"/>
          <w:b/>
          <w:bCs/>
          <w:sz w:val="22"/>
          <w:szCs w:val="22"/>
        </w:rPr>
        <w:t>principle</w:t>
      </w:r>
      <w:proofErr w:type="gramEnd"/>
      <w:r w:rsidRPr="00B07007">
        <w:rPr>
          <w:rFonts w:asciiTheme="minorHAnsi" w:hAnsiTheme="minorHAnsi" w:cstheme="minorHAnsi"/>
          <w:b/>
          <w:bCs/>
          <w:sz w:val="22"/>
          <w:szCs w:val="22"/>
        </w:rPr>
        <w:t xml:space="preserve"> radiation emission data</w:t>
      </w:r>
    </w:p>
    <w:tbl>
      <w:tblPr>
        <w:tblW w:w="0" w:type="auto"/>
        <w:tblInd w:w="1800" w:type="dxa"/>
        <w:tblLayout w:type="fixed"/>
        <w:tblCellMar>
          <w:left w:w="0" w:type="dxa"/>
          <w:right w:w="0" w:type="dxa"/>
        </w:tblCellMar>
        <w:tblLook w:val="01E0" w:firstRow="1" w:lastRow="1" w:firstColumn="1" w:lastColumn="1" w:noHBand="0" w:noVBand="0"/>
      </w:tblPr>
      <w:tblGrid>
        <w:gridCol w:w="1744"/>
        <w:gridCol w:w="1843"/>
        <w:gridCol w:w="2358"/>
      </w:tblGrid>
      <w:tr w:rsidR="00FD6494" w:rsidRPr="00B07007" w14:paraId="2A6F735D" w14:textId="77777777" w:rsidTr="00914BFC">
        <w:trPr>
          <w:trHeight w:val="324"/>
        </w:trPr>
        <w:tc>
          <w:tcPr>
            <w:tcW w:w="1744" w:type="dxa"/>
            <w:tcBorders>
              <w:top w:val="single" w:sz="4" w:space="0" w:color="000000"/>
              <w:bottom w:val="single" w:sz="4" w:space="0" w:color="000000"/>
            </w:tcBorders>
          </w:tcPr>
          <w:p w14:paraId="2187480E" w14:textId="77777777" w:rsidR="00FD6494" w:rsidRPr="00B07007" w:rsidRDefault="00FD6494" w:rsidP="00914BFC">
            <w:pPr>
              <w:pStyle w:val="TableParagraph"/>
              <w:spacing w:after="0" w:line="240" w:lineRule="auto"/>
              <w:ind w:left="108"/>
              <w:jc w:val="center"/>
              <w:rPr>
                <w:rFonts w:asciiTheme="minorHAnsi" w:hAnsiTheme="minorHAnsi" w:cstheme="minorHAnsi"/>
                <w:b/>
                <w:bCs/>
              </w:rPr>
            </w:pPr>
            <w:r w:rsidRPr="00B07007">
              <w:rPr>
                <w:rFonts w:asciiTheme="minorHAnsi" w:hAnsiTheme="minorHAnsi" w:cstheme="minorHAnsi"/>
                <w:b/>
                <w:bCs/>
              </w:rPr>
              <w:t>Radiation</w:t>
            </w:r>
          </w:p>
        </w:tc>
        <w:tc>
          <w:tcPr>
            <w:tcW w:w="1843" w:type="dxa"/>
            <w:tcBorders>
              <w:top w:val="single" w:sz="4" w:space="0" w:color="000000"/>
              <w:bottom w:val="single" w:sz="4" w:space="0" w:color="000000"/>
            </w:tcBorders>
          </w:tcPr>
          <w:p w14:paraId="5DE3FD2D" w14:textId="77777777" w:rsidR="00FD6494" w:rsidRPr="00B07007" w:rsidRDefault="00FD6494" w:rsidP="00914BFC">
            <w:pPr>
              <w:pStyle w:val="TableParagraph"/>
              <w:spacing w:after="0" w:line="240" w:lineRule="auto"/>
              <w:ind w:left="149"/>
              <w:jc w:val="center"/>
              <w:rPr>
                <w:rFonts w:asciiTheme="minorHAnsi" w:hAnsiTheme="minorHAnsi" w:cstheme="minorHAnsi"/>
                <w:b/>
                <w:bCs/>
              </w:rPr>
            </w:pPr>
            <w:r w:rsidRPr="00B07007">
              <w:rPr>
                <w:rFonts w:asciiTheme="minorHAnsi" w:hAnsiTheme="minorHAnsi" w:cstheme="minorHAnsi"/>
                <w:b/>
                <w:bCs/>
              </w:rPr>
              <w:t>Energy (keV)*</w:t>
            </w:r>
          </w:p>
        </w:tc>
        <w:tc>
          <w:tcPr>
            <w:tcW w:w="2358" w:type="dxa"/>
            <w:tcBorders>
              <w:top w:val="single" w:sz="4" w:space="0" w:color="000000"/>
              <w:bottom w:val="single" w:sz="4" w:space="0" w:color="000000"/>
            </w:tcBorders>
          </w:tcPr>
          <w:p w14:paraId="0E749B1D" w14:textId="77777777" w:rsidR="00FD6494" w:rsidRPr="00B07007" w:rsidRDefault="00FD6494" w:rsidP="00914BFC">
            <w:pPr>
              <w:pStyle w:val="TableParagraph"/>
              <w:spacing w:after="0" w:line="240" w:lineRule="auto"/>
              <w:ind w:left="352"/>
              <w:jc w:val="center"/>
              <w:rPr>
                <w:rFonts w:asciiTheme="minorHAnsi" w:hAnsiTheme="minorHAnsi" w:cstheme="minorHAnsi"/>
                <w:b/>
                <w:bCs/>
              </w:rPr>
            </w:pPr>
            <w:r w:rsidRPr="00B07007">
              <w:rPr>
                <w:rFonts w:asciiTheme="minorHAnsi" w:hAnsiTheme="minorHAnsi" w:cstheme="minorHAnsi"/>
                <w:b/>
                <w:bCs/>
              </w:rPr>
              <w:t>Abundance (%)</w:t>
            </w:r>
          </w:p>
        </w:tc>
      </w:tr>
      <w:tr w:rsidR="00FD6494" w:rsidRPr="00B07007" w14:paraId="26ED3C13" w14:textId="77777777" w:rsidTr="00914BFC">
        <w:trPr>
          <w:trHeight w:val="397"/>
        </w:trPr>
        <w:tc>
          <w:tcPr>
            <w:tcW w:w="1744" w:type="dxa"/>
            <w:tcBorders>
              <w:top w:val="single" w:sz="4" w:space="0" w:color="000000"/>
            </w:tcBorders>
          </w:tcPr>
          <w:p w14:paraId="10A989BC" w14:textId="77777777" w:rsidR="00FD6494" w:rsidRPr="00B07007" w:rsidRDefault="00FD6494" w:rsidP="00914BFC">
            <w:pPr>
              <w:pStyle w:val="TableParagraph"/>
              <w:spacing w:before="70" w:after="0" w:line="240" w:lineRule="auto"/>
              <w:ind w:left="108"/>
              <w:jc w:val="center"/>
              <w:rPr>
                <w:rFonts w:asciiTheme="minorHAnsi" w:hAnsiTheme="minorHAnsi" w:cstheme="minorHAnsi"/>
              </w:rPr>
            </w:pPr>
            <w:r w:rsidRPr="00B07007">
              <w:rPr>
                <w:rFonts w:asciiTheme="minorHAnsi" w:hAnsiTheme="minorHAnsi" w:cstheme="minorHAnsi"/>
              </w:rPr>
              <w:t>Beta (β</w:t>
            </w:r>
            <w:r w:rsidRPr="00B07007">
              <w:rPr>
                <w:rFonts w:asciiTheme="minorHAnsi" w:hAnsiTheme="minorHAnsi" w:cstheme="minorHAnsi"/>
                <w:vertAlign w:val="superscript"/>
              </w:rPr>
              <w:t>−</w:t>
            </w:r>
            <w:r w:rsidRPr="00B07007">
              <w:rPr>
                <w:rFonts w:asciiTheme="minorHAnsi" w:hAnsiTheme="minorHAnsi" w:cstheme="minorHAnsi"/>
              </w:rPr>
              <w:t>)</w:t>
            </w:r>
          </w:p>
        </w:tc>
        <w:tc>
          <w:tcPr>
            <w:tcW w:w="1843" w:type="dxa"/>
            <w:tcBorders>
              <w:top w:val="single" w:sz="4" w:space="0" w:color="000000"/>
            </w:tcBorders>
          </w:tcPr>
          <w:p w14:paraId="5315A7B2" w14:textId="77777777" w:rsidR="00FD6494" w:rsidRPr="00B07007" w:rsidRDefault="00FD6494" w:rsidP="00914BFC">
            <w:pPr>
              <w:pStyle w:val="TableParagraph"/>
              <w:spacing w:before="70" w:after="0" w:line="240" w:lineRule="auto"/>
              <w:ind w:left="149"/>
              <w:jc w:val="center"/>
              <w:rPr>
                <w:rFonts w:asciiTheme="minorHAnsi" w:hAnsiTheme="minorHAnsi" w:cstheme="minorHAnsi"/>
              </w:rPr>
            </w:pPr>
            <w:r w:rsidRPr="00B07007">
              <w:rPr>
                <w:rFonts w:asciiTheme="minorHAnsi" w:hAnsiTheme="minorHAnsi" w:cstheme="minorHAnsi"/>
              </w:rPr>
              <w:t>47.66</w:t>
            </w:r>
          </w:p>
        </w:tc>
        <w:tc>
          <w:tcPr>
            <w:tcW w:w="2358" w:type="dxa"/>
            <w:tcBorders>
              <w:top w:val="single" w:sz="4" w:space="0" w:color="000000"/>
            </w:tcBorders>
          </w:tcPr>
          <w:p w14:paraId="00CF2C90" w14:textId="77777777" w:rsidR="00FD6494" w:rsidRPr="00B07007" w:rsidRDefault="00FD6494" w:rsidP="00914BFC">
            <w:pPr>
              <w:pStyle w:val="TableParagraph"/>
              <w:spacing w:before="70" w:after="0" w:line="240" w:lineRule="auto"/>
              <w:ind w:left="352"/>
              <w:jc w:val="center"/>
              <w:rPr>
                <w:rFonts w:asciiTheme="minorHAnsi" w:hAnsiTheme="minorHAnsi" w:cstheme="minorHAnsi"/>
              </w:rPr>
            </w:pPr>
            <w:r w:rsidRPr="00B07007">
              <w:rPr>
                <w:rFonts w:asciiTheme="minorHAnsi" w:hAnsiTheme="minorHAnsi" w:cstheme="minorHAnsi"/>
              </w:rPr>
              <w:t>11.61</w:t>
            </w:r>
          </w:p>
        </w:tc>
      </w:tr>
      <w:tr w:rsidR="00FD6494" w:rsidRPr="00B07007" w14:paraId="211233C2" w14:textId="77777777" w:rsidTr="00914BFC">
        <w:trPr>
          <w:trHeight w:val="397"/>
        </w:trPr>
        <w:tc>
          <w:tcPr>
            <w:tcW w:w="1744" w:type="dxa"/>
          </w:tcPr>
          <w:p w14:paraId="76265B60" w14:textId="77777777" w:rsidR="00FD6494" w:rsidRPr="00B07007" w:rsidRDefault="00FD6494" w:rsidP="00914BFC">
            <w:pPr>
              <w:pStyle w:val="TableParagraph"/>
              <w:spacing w:before="71" w:after="0" w:line="240" w:lineRule="auto"/>
              <w:ind w:left="108"/>
              <w:jc w:val="center"/>
              <w:rPr>
                <w:rFonts w:asciiTheme="minorHAnsi" w:hAnsiTheme="minorHAnsi" w:cstheme="minorHAnsi"/>
              </w:rPr>
            </w:pPr>
            <w:r w:rsidRPr="00B07007">
              <w:rPr>
                <w:rFonts w:asciiTheme="minorHAnsi" w:hAnsiTheme="minorHAnsi" w:cstheme="minorHAnsi"/>
              </w:rPr>
              <w:t>Beta (β</w:t>
            </w:r>
            <w:r w:rsidRPr="00B07007">
              <w:rPr>
                <w:rFonts w:asciiTheme="minorHAnsi" w:hAnsiTheme="minorHAnsi" w:cstheme="minorHAnsi"/>
                <w:vertAlign w:val="superscript"/>
              </w:rPr>
              <w:t>−</w:t>
            </w:r>
            <w:r w:rsidRPr="00B07007">
              <w:rPr>
                <w:rFonts w:asciiTheme="minorHAnsi" w:hAnsiTheme="minorHAnsi" w:cstheme="minorHAnsi"/>
              </w:rPr>
              <w:t>)</w:t>
            </w:r>
          </w:p>
        </w:tc>
        <w:tc>
          <w:tcPr>
            <w:tcW w:w="1843" w:type="dxa"/>
          </w:tcPr>
          <w:p w14:paraId="388C593D" w14:textId="77777777" w:rsidR="00FD6494" w:rsidRPr="00B07007" w:rsidRDefault="00FD6494" w:rsidP="00914BFC">
            <w:pPr>
              <w:pStyle w:val="TableParagraph"/>
              <w:spacing w:before="71" w:after="0" w:line="240" w:lineRule="auto"/>
              <w:ind w:left="149"/>
              <w:jc w:val="center"/>
              <w:rPr>
                <w:rFonts w:asciiTheme="minorHAnsi" w:hAnsiTheme="minorHAnsi" w:cstheme="minorHAnsi"/>
              </w:rPr>
            </w:pPr>
            <w:r w:rsidRPr="00B07007">
              <w:rPr>
                <w:rFonts w:asciiTheme="minorHAnsi" w:hAnsiTheme="minorHAnsi" w:cstheme="minorHAnsi"/>
              </w:rPr>
              <w:t>111.69</w:t>
            </w:r>
          </w:p>
        </w:tc>
        <w:tc>
          <w:tcPr>
            <w:tcW w:w="2358" w:type="dxa"/>
          </w:tcPr>
          <w:p w14:paraId="7B4855D8" w14:textId="77777777" w:rsidR="00FD6494" w:rsidRPr="00B07007" w:rsidRDefault="00FD6494" w:rsidP="00914BFC">
            <w:pPr>
              <w:pStyle w:val="TableParagraph"/>
              <w:spacing w:before="71" w:after="0" w:line="240" w:lineRule="auto"/>
              <w:ind w:left="352"/>
              <w:jc w:val="center"/>
              <w:rPr>
                <w:rFonts w:asciiTheme="minorHAnsi" w:hAnsiTheme="minorHAnsi" w:cstheme="minorHAnsi"/>
              </w:rPr>
            </w:pPr>
            <w:r w:rsidRPr="00B07007">
              <w:rPr>
                <w:rFonts w:asciiTheme="minorHAnsi" w:hAnsiTheme="minorHAnsi" w:cstheme="minorHAnsi"/>
              </w:rPr>
              <w:t>9.0</w:t>
            </w:r>
          </w:p>
        </w:tc>
      </w:tr>
      <w:tr w:rsidR="00FD6494" w:rsidRPr="00B07007" w14:paraId="4572BA73" w14:textId="77777777" w:rsidTr="00914BFC">
        <w:trPr>
          <w:trHeight w:val="400"/>
        </w:trPr>
        <w:tc>
          <w:tcPr>
            <w:tcW w:w="1744" w:type="dxa"/>
          </w:tcPr>
          <w:p w14:paraId="52586FB8" w14:textId="77777777" w:rsidR="00FD6494" w:rsidRPr="00B07007" w:rsidRDefault="00FD6494" w:rsidP="00914BFC">
            <w:pPr>
              <w:pStyle w:val="TableParagraph"/>
              <w:spacing w:before="70" w:after="0" w:line="240" w:lineRule="auto"/>
              <w:ind w:left="108"/>
              <w:jc w:val="center"/>
              <w:rPr>
                <w:rFonts w:asciiTheme="minorHAnsi" w:hAnsiTheme="minorHAnsi" w:cstheme="minorHAnsi"/>
              </w:rPr>
            </w:pPr>
            <w:r w:rsidRPr="00B07007">
              <w:rPr>
                <w:rFonts w:asciiTheme="minorHAnsi" w:hAnsiTheme="minorHAnsi" w:cstheme="minorHAnsi"/>
              </w:rPr>
              <w:t>Beta (β</w:t>
            </w:r>
            <w:r w:rsidRPr="00B07007">
              <w:rPr>
                <w:rFonts w:asciiTheme="minorHAnsi" w:hAnsiTheme="minorHAnsi" w:cstheme="minorHAnsi"/>
                <w:vertAlign w:val="superscript"/>
              </w:rPr>
              <w:t>−</w:t>
            </w:r>
            <w:r w:rsidRPr="00B07007">
              <w:rPr>
                <w:rFonts w:asciiTheme="minorHAnsi" w:hAnsiTheme="minorHAnsi" w:cstheme="minorHAnsi"/>
              </w:rPr>
              <w:t>)</w:t>
            </w:r>
          </w:p>
        </w:tc>
        <w:tc>
          <w:tcPr>
            <w:tcW w:w="1843" w:type="dxa"/>
          </w:tcPr>
          <w:p w14:paraId="25C2C24F" w14:textId="77777777" w:rsidR="00FD6494" w:rsidRPr="00B07007" w:rsidRDefault="00FD6494" w:rsidP="00914BFC">
            <w:pPr>
              <w:pStyle w:val="TableParagraph"/>
              <w:spacing w:before="70" w:after="0" w:line="240" w:lineRule="auto"/>
              <w:ind w:left="149"/>
              <w:jc w:val="center"/>
              <w:rPr>
                <w:rFonts w:asciiTheme="minorHAnsi" w:hAnsiTheme="minorHAnsi" w:cstheme="minorHAnsi"/>
              </w:rPr>
            </w:pPr>
            <w:r w:rsidRPr="00B07007">
              <w:rPr>
                <w:rFonts w:asciiTheme="minorHAnsi" w:hAnsiTheme="minorHAnsi" w:cstheme="minorHAnsi"/>
              </w:rPr>
              <w:t>149.35</w:t>
            </w:r>
          </w:p>
        </w:tc>
        <w:tc>
          <w:tcPr>
            <w:tcW w:w="2358" w:type="dxa"/>
          </w:tcPr>
          <w:p w14:paraId="3BA509B8" w14:textId="77777777" w:rsidR="00FD6494" w:rsidRPr="00B07007" w:rsidRDefault="00FD6494" w:rsidP="00914BFC">
            <w:pPr>
              <w:pStyle w:val="TableParagraph"/>
              <w:spacing w:before="70" w:after="0" w:line="240" w:lineRule="auto"/>
              <w:ind w:left="352"/>
              <w:jc w:val="center"/>
              <w:rPr>
                <w:rFonts w:asciiTheme="minorHAnsi" w:hAnsiTheme="minorHAnsi" w:cstheme="minorHAnsi"/>
              </w:rPr>
            </w:pPr>
            <w:r w:rsidRPr="00B07007">
              <w:rPr>
                <w:rFonts w:asciiTheme="minorHAnsi" w:hAnsiTheme="minorHAnsi" w:cstheme="minorHAnsi"/>
              </w:rPr>
              <w:t>79.4</w:t>
            </w:r>
          </w:p>
        </w:tc>
      </w:tr>
      <w:tr w:rsidR="00FD6494" w:rsidRPr="00B07007" w14:paraId="755735D0" w14:textId="77777777" w:rsidTr="00914BFC">
        <w:trPr>
          <w:trHeight w:val="397"/>
        </w:trPr>
        <w:tc>
          <w:tcPr>
            <w:tcW w:w="1744" w:type="dxa"/>
          </w:tcPr>
          <w:p w14:paraId="5D67A91D" w14:textId="77777777" w:rsidR="00FD6494" w:rsidRPr="00B07007" w:rsidRDefault="00FD6494" w:rsidP="00914BFC">
            <w:pPr>
              <w:pStyle w:val="TableParagraph"/>
              <w:spacing w:before="68" w:after="0" w:line="240" w:lineRule="auto"/>
              <w:ind w:left="108"/>
              <w:jc w:val="center"/>
              <w:rPr>
                <w:rFonts w:asciiTheme="minorHAnsi" w:hAnsiTheme="minorHAnsi" w:cstheme="minorHAnsi"/>
              </w:rPr>
            </w:pPr>
            <w:r w:rsidRPr="00B07007">
              <w:rPr>
                <w:rFonts w:asciiTheme="minorHAnsi" w:hAnsiTheme="minorHAnsi" w:cstheme="minorHAnsi"/>
              </w:rPr>
              <w:t>Gamma</w:t>
            </w:r>
          </w:p>
        </w:tc>
        <w:tc>
          <w:tcPr>
            <w:tcW w:w="1843" w:type="dxa"/>
          </w:tcPr>
          <w:p w14:paraId="6CCFA77B" w14:textId="77777777" w:rsidR="00FD6494" w:rsidRPr="00B07007" w:rsidRDefault="00FD6494" w:rsidP="00914BFC">
            <w:pPr>
              <w:pStyle w:val="TableParagraph"/>
              <w:spacing w:before="68" w:after="0" w:line="240" w:lineRule="auto"/>
              <w:ind w:left="149"/>
              <w:jc w:val="center"/>
              <w:rPr>
                <w:rFonts w:asciiTheme="minorHAnsi" w:hAnsiTheme="minorHAnsi" w:cstheme="minorHAnsi"/>
              </w:rPr>
            </w:pPr>
            <w:r w:rsidRPr="00B07007">
              <w:rPr>
                <w:rFonts w:asciiTheme="minorHAnsi" w:hAnsiTheme="minorHAnsi" w:cstheme="minorHAnsi"/>
              </w:rPr>
              <w:t>112.9498</w:t>
            </w:r>
          </w:p>
        </w:tc>
        <w:tc>
          <w:tcPr>
            <w:tcW w:w="2358" w:type="dxa"/>
          </w:tcPr>
          <w:p w14:paraId="755913BD" w14:textId="77777777" w:rsidR="00FD6494" w:rsidRPr="00B07007" w:rsidRDefault="00FD6494" w:rsidP="00914BFC">
            <w:pPr>
              <w:pStyle w:val="TableParagraph"/>
              <w:spacing w:before="68" w:after="0" w:line="240" w:lineRule="auto"/>
              <w:ind w:left="352"/>
              <w:jc w:val="center"/>
              <w:rPr>
                <w:rFonts w:asciiTheme="minorHAnsi" w:hAnsiTheme="minorHAnsi" w:cstheme="minorHAnsi"/>
              </w:rPr>
            </w:pPr>
            <w:r w:rsidRPr="00B07007">
              <w:rPr>
                <w:rFonts w:asciiTheme="minorHAnsi" w:hAnsiTheme="minorHAnsi" w:cstheme="minorHAnsi"/>
              </w:rPr>
              <w:t>6.17</w:t>
            </w:r>
          </w:p>
        </w:tc>
      </w:tr>
      <w:tr w:rsidR="00FD6494" w:rsidRPr="00B07007" w14:paraId="7297C34A" w14:textId="77777777" w:rsidTr="00914BFC">
        <w:trPr>
          <w:trHeight w:val="464"/>
        </w:trPr>
        <w:tc>
          <w:tcPr>
            <w:tcW w:w="1744" w:type="dxa"/>
            <w:tcBorders>
              <w:bottom w:val="single" w:sz="4" w:space="0" w:color="000000"/>
            </w:tcBorders>
          </w:tcPr>
          <w:p w14:paraId="2DB86C04" w14:textId="77777777" w:rsidR="00FD6494" w:rsidRPr="00B07007" w:rsidRDefault="00FD6494" w:rsidP="00914BFC">
            <w:pPr>
              <w:pStyle w:val="TableParagraph"/>
              <w:spacing w:before="67" w:after="0" w:line="240" w:lineRule="auto"/>
              <w:ind w:left="108"/>
              <w:jc w:val="center"/>
              <w:rPr>
                <w:rFonts w:asciiTheme="minorHAnsi" w:hAnsiTheme="minorHAnsi" w:cstheme="minorHAnsi"/>
              </w:rPr>
            </w:pPr>
            <w:r w:rsidRPr="00B07007">
              <w:rPr>
                <w:rFonts w:asciiTheme="minorHAnsi" w:hAnsiTheme="minorHAnsi" w:cstheme="minorHAnsi"/>
              </w:rPr>
              <w:t>Gamma</w:t>
            </w:r>
          </w:p>
        </w:tc>
        <w:tc>
          <w:tcPr>
            <w:tcW w:w="1843" w:type="dxa"/>
            <w:tcBorders>
              <w:bottom w:val="single" w:sz="4" w:space="0" w:color="000000"/>
            </w:tcBorders>
          </w:tcPr>
          <w:p w14:paraId="1714AE3F" w14:textId="77777777" w:rsidR="00FD6494" w:rsidRPr="00B07007" w:rsidRDefault="00FD6494" w:rsidP="00914BFC">
            <w:pPr>
              <w:pStyle w:val="TableParagraph"/>
              <w:spacing w:before="67" w:after="0" w:line="240" w:lineRule="auto"/>
              <w:ind w:left="149"/>
              <w:jc w:val="center"/>
              <w:rPr>
                <w:rFonts w:asciiTheme="minorHAnsi" w:hAnsiTheme="minorHAnsi" w:cstheme="minorHAnsi"/>
              </w:rPr>
            </w:pPr>
            <w:r w:rsidRPr="00B07007">
              <w:rPr>
                <w:rFonts w:asciiTheme="minorHAnsi" w:hAnsiTheme="minorHAnsi" w:cstheme="minorHAnsi"/>
              </w:rPr>
              <w:t>208.3662</w:t>
            </w:r>
          </w:p>
        </w:tc>
        <w:tc>
          <w:tcPr>
            <w:tcW w:w="2358" w:type="dxa"/>
            <w:tcBorders>
              <w:bottom w:val="single" w:sz="4" w:space="0" w:color="000000"/>
            </w:tcBorders>
          </w:tcPr>
          <w:p w14:paraId="0F6D63BB" w14:textId="77777777" w:rsidR="00FD6494" w:rsidRPr="00B07007" w:rsidRDefault="00FD6494" w:rsidP="00914BFC">
            <w:pPr>
              <w:pStyle w:val="TableParagraph"/>
              <w:spacing w:before="67" w:after="0" w:line="240" w:lineRule="auto"/>
              <w:ind w:left="352"/>
              <w:jc w:val="center"/>
              <w:rPr>
                <w:rFonts w:asciiTheme="minorHAnsi" w:hAnsiTheme="minorHAnsi" w:cstheme="minorHAnsi"/>
              </w:rPr>
            </w:pPr>
            <w:r w:rsidRPr="00B07007">
              <w:rPr>
                <w:rFonts w:asciiTheme="minorHAnsi" w:hAnsiTheme="minorHAnsi" w:cstheme="minorHAnsi"/>
              </w:rPr>
              <w:t>10.36</w:t>
            </w:r>
          </w:p>
        </w:tc>
      </w:tr>
    </w:tbl>
    <w:p w14:paraId="04D2D0EB" w14:textId="69D6A3E0" w:rsidR="00FD6494" w:rsidRPr="00B07007" w:rsidRDefault="00B2616E" w:rsidP="00B2616E">
      <w:pPr>
        <w:pStyle w:val="BodyText"/>
        <w:rPr>
          <w:rFonts w:asciiTheme="minorHAnsi" w:hAnsiTheme="minorHAnsi" w:cstheme="minorHAnsi"/>
          <w:sz w:val="22"/>
        </w:rPr>
      </w:pPr>
      <w:r w:rsidRPr="00B07007">
        <w:rPr>
          <w:rFonts w:asciiTheme="minorHAnsi" w:hAnsiTheme="minorHAnsi" w:cstheme="minorHAnsi"/>
          <w:sz w:val="22"/>
        </w:rPr>
        <w:tab/>
      </w:r>
      <w:r w:rsidRPr="00B07007">
        <w:rPr>
          <w:rFonts w:asciiTheme="minorHAnsi" w:hAnsiTheme="minorHAnsi" w:cstheme="minorHAnsi"/>
          <w:sz w:val="22"/>
        </w:rPr>
        <w:tab/>
      </w:r>
      <w:r w:rsidRPr="00B07007">
        <w:rPr>
          <w:rFonts w:asciiTheme="minorHAnsi" w:hAnsiTheme="minorHAnsi" w:cstheme="minorHAnsi"/>
          <w:sz w:val="22"/>
        </w:rPr>
        <w:tab/>
      </w:r>
      <w:r w:rsidR="00FD6494" w:rsidRPr="00B07007">
        <w:rPr>
          <w:rFonts w:asciiTheme="minorHAnsi" w:hAnsiTheme="minorHAnsi" w:cstheme="minorHAnsi"/>
          <w:sz w:val="22"/>
        </w:rPr>
        <w:t xml:space="preserve">* </w:t>
      </w:r>
      <w:proofErr w:type="gramStart"/>
      <w:r w:rsidR="00FD6494" w:rsidRPr="00B07007">
        <w:rPr>
          <w:rFonts w:asciiTheme="minorHAnsi" w:hAnsiTheme="minorHAnsi" w:cstheme="minorHAnsi"/>
          <w:sz w:val="22"/>
        </w:rPr>
        <w:t>mean</w:t>
      </w:r>
      <w:proofErr w:type="gramEnd"/>
      <w:r w:rsidR="00FD6494" w:rsidRPr="00B07007">
        <w:rPr>
          <w:rFonts w:asciiTheme="minorHAnsi" w:hAnsiTheme="minorHAnsi" w:cstheme="minorHAnsi"/>
          <w:sz w:val="22"/>
        </w:rPr>
        <w:t xml:space="preserve"> energies are listed for beta particles</w:t>
      </w:r>
    </w:p>
    <w:p w14:paraId="2A73F889" w14:textId="286BEC4A" w:rsidR="00D07223" w:rsidRPr="00B07007" w:rsidRDefault="001A3992" w:rsidP="00D07223">
      <w:pPr>
        <w:pStyle w:val="Heading1"/>
        <w:rPr>
          <w:rFonts w:asciiTheme="minorHAnsi" w:hAnsiTheme="minorHAnsi" w:cstheme="minorHAnsi"/>
          <w:sz w:val="22"/>
          <w:szCs w:val="22"/>
        </w:rPr>
      </w:pPr>
      <w:r w:rsidRPr="00B07007">
        <w:rPr>
          <w:rFonts w:asciiTheme="minorHAnsi" w:hAnsiTheme="minorHAnsi" w:cstheme="minorHAnsi"/>
          <w:sz w:val="22"/>
          <w:szCs w:val="22"/>
        </w:rPr>
        <w:t>Pharmaceutical form</w:t>
      </w:r>
    </w:p>
    <w:p w14:paraId="4E8E2FC6" w14:textId="54644CD4" w:rsidR="0042193F" w:rsidRDefault="00CB45BB" w:rsidP="00B2616E">
      <w:pPr>
        <w:pStyle w:val="BodyText"/>
        <w:rPr>
          <w:rFonts w:asciiTheme="minorHAnsi" w:hAnsiTheme="minorHAnsi" w:cstheme="minorHAnsi"/>
          <w:sz w:val="22"/>
        </w:rPr>
      </w:pPr>
      <w:r w:rsidRPr="00B07007">
        <w:rPr>
          <w:rFonts w:asciiTheme="minorHAnsi" w:hAnsiTheme="minorHAnsi" w:cstheme="minorHAnsi"/>
          <w:sz w:val="22"/>
        </w:rPr>
        <w:t xml:space="preserve">Lutetium </w:t>
      </w:r>
      <w:r w:rsidR="00CE3BF0" w:rsidRPr="00B07007">
        <w:rPr>
          <w:rFonts w:asciiTheme="minorHAnsi" w:hAnsiTheme="minorHAnsi" w:cstheme="minorHAnsi"/>
          <w:sz w:val="22"/>
        </w:rPr>
        <w:t>c</w:t>
      </w:r>
      <w:r w:rsidRPr="00B07007">
        <w:rPr>
          <w:rFonts w:asciiTheme="minorHAnsi" w:hAnsiTheme="minorHAnsi" w:cstheme="minorHAnsi"/>
          <w:sz w:val="22"/>
        </w:rPr>
        <w:t xml:space="preserve">hloride is a clear, </w:t>
      </w:r>
      <w:proofErr w:type="spellStart"/>
      <w:r w:rsidRPr="00B07007">
        <w:rPr>
          <w:rFonts w:asciiTheme="minorHAnsi" w:hAnsiTheme="minorHAnsi" w:cstheme="minorHAnsi"/>
          <w:sz w:val="22"/>
        </w:rPr>
        <w:t>colourless</w:t>
      </w:r>
      <w:proofErr w:type="spellEnd"/>
      <w:r w:rsidRPr="00B07007">
        <w:rPr>
          <w:rFonts w:asciiTheme="minorHAnsi" w:hAnsiTheme="minorHAnsi" w:cstheme="minorHAnsi"/>
          <w:sz w:val="22"/>
        </w:rPr>
        <w:t xml:space="preserve"> solution, free of impurities</w:t>
      </w:r>
      <w:r w:rsidR="00CE3BF0" w:rsidRPr="00B07007">
        <w:rPr>
          <w:rFonts w:asciiTheme="minorHAnsi" w:hAnsiTheme="minorHAnsi" w:cstheme="minorHAnsi"/>
          <w:sz w:val="22"/>
        </w:rPr>
        <w:t xml:space="preserve"> supplied as a radiopharmaceutical precursor</w:t>
      </w:r>
      <w:r w:rsidR="0042193F">
        <w:rPr>
          <w:rFonts w:asciiTheme="minorHAnsi" w:hAnsiTheme="minorHAnsi" w:cstheme="minorHAnsi"/>
          <w:sz w:val="22"/>
        </w:rPr>
        <w:t>.</w:t>
      </w:r>
    </w:p>
    <w:p w14:paraId="4D9FCC7F" w14:textId="79586A3D" w:rsidR="0042193F" w:rsidRPr="00864B29" w:rsidRDefault="00864B29" w:rsidP="006A2B93">
      <w:pPr>
        <w:ind w:left="426"/>
        <w:rPr>
          <w:rFonts w:asciiTheme="minorHAnsi" w:hAnsiTheme="minorHAnsi" w:cstheme="minorHAnsi"/>
          <w:sz w:val="22"/>
          <w:szCs w:val="22"/>
        </w:rPr>
      </w:pPr>
      <w:r>
        <w:rPr>
          <w:rFonts w:asciiTheme="minorHAnsi" w:hAnsiTheme="minorHAnsi" w:cstheme="minorHAnsi"/>
          <w:sz w:val="22"/>
          <w:szCs w:val="22"/>
        </w:rPr>
        <w:lastRenderedPageBreak/>
        <w:t xml:space="preserve">Lutetium chloride </w:t>
      </w:r>
      <w:r w:rsidR="0042193F" w:rsidRPr="00864B29">
        <w:rPr>
          <w:rFonts w:asciiTheme="minorHAnsi" w:hAnsiTheme="minorHAnsi" w:cstheme="minorHAnsi"/>
          <w:sz w:val="22"/>
          <w:szCs w:val="22"/>
        </w:rPr>
        <w:t>has no therapeutic application in clinical medicine.  It is intended to be used only when bound to a specific biological carrier as part of peptide receptor radionuclide therapy (PRRT).</w:t>
      </w:r>
    </w:p>
    <w:p w14:paraId="78270898" w14:textId="77777777"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Clinical particulars</w:t>
      </w:r>
    </w:p>
    <w:p w14:paraId="019EA4B3" w14:textId="0EEF41EC" w:rsidR="006F25A9" w:rsidRPr="00B07007" w:rsidRDefault="001A3992" w:rsidP="006F25A9">
      <w:pPr>
        <w:pStyle w:val="Heading2"/>
        <w:rPr>
          <w:rFonts w:asciiTheme="minorHAnsi" w:hAnsiTheme="minorHAnsi" w:cstheme="minorHAnsi"/>
          <w:szCs w:val="22"/>
        </w:rPr>
      </w:pPr>
      <w:r w:rsidRPr="00B07007">
        <w:rPr>
          <w:rFonts w:asciiTheme="minorHAnsi" w:hAnsiTheme="minorHAnsi" w:cstheme="minorHAnsi"/>
          <w:szCs w:val="22"/>
        </w:rPr>
        <w:t xml:space="preserve">Therapeutic indications </w:t>
      </w:r>
    </w:p>
    <w:p w14:paraId="0BC0B1A9" w14:textId="290B30DD" w:rsidR="003A2609" w:rsidRPr="00B07007" w:rsidRDefault="003A2609" w:rsidP="00B2616E">
      <w:pPr>
        <w:rPr>
          <w:rFonts w:asciiTheme="minorHAnsi" w:hAnsiTheme="minorHAnsi" w:cstheme="minorHAnsi"/>
          <w:sz w:val="22"/>
          <w:szCs w:val="22"/>
        </w:rPr>
      </w:pPr>
      <w:bookmarkStart w:id="2" w:name="_Hlk58145686"/>
      <w:r w:rsidRPr="00B07007">
        <w:rPr>
          <w:rFonts w:asciiTheme="minorHAnsi" w:hAnsiTheme="minorHAnsi" w:cstheme="minorHAnsi"/>
          <w:sz w:val="22"/>
          <w:szCs w:val="22"/>
        </w:rPr>
        <w:t xml:space="preserve">Lutetium </w:t>
      </w:r>
      <w:r w:rsidR="003B774E">
        <w:rPr>
          <w:rFonts w:asciiTheme="minorHAnsi" w:hAnsiTheme="minorHAnsi" w:cstheme="minorHAnsi"/>
          <w:sz w:val="22"/>
          <w:szCs w:val="22"/>
        </w:rPr>
        <w:t>(</w:t>
      </w:r>
      <w:r w:rsidR="003B774E" w:rsidRPr="00315041">
        <w:rPr>
          <w:rFonts w:asciiTheme="minorHAnsi" w:hAnsiTheme="minorHAnsi" w:cstheme="minorHAnsi"/>
          <w:sz w:val="22"/>
          <w:szCs w:val="22"/>
          <w:vertAlign w:val="superscript"/>
        </w:rPr>
        <w:t>177</w:t>
      </w:r>
      <w:r w:rsidR="003B774E">
        <w:rPr>
          <w:rFonts w:asciiTheme="minorHAnsi" w:hAnsiTheme="minorHAnsi" w:cstheme="minorHAnsi"/>
          <w:sz w:val="22"/>
          <w:szCs w:val="22"/>
        </w:rPr>
        <w:t xml:space="preserve">Lu) </w:t>
      </w:r>
      <w:r w:rsidRPr="00B07007">
        <w:rPr>
          <w:rFonts w:asciiTheme="minorHAnsi" w:hAnsiTheme="minorHAnsi" w:cstheme="minorHAnsi"/>
          <w:sz w:val="22"/>
          <w:szCs w:val="22"/>
        </w:rPr>
        <w:t xml:space="preserve">chloride </w:t>
      </w:r>
      <w:bookmarkEnd w:id="2"/>
      <w:r w:rsidRPr="00B07007">
        <w:rPr>
          <w:rFonts w:asciiTheme="minorHAnsi" w:hAnsiTheme="minorHAnsi" w:cstheme="minorHAnsi"/>
          <w:sz w:val="22"/>
          <w:szCs w:val="22"/>
        </w:rPr>
        <w:t xml:space="preserve">is a radiopharmaceutical precursor, and it is not intended for direct use in patients. For the treatment of non </w:t>
      </w:r>
      <w:proofErr w:type="spellStart"/>
      <w:r w:rsidRPr="00B07007">
        <w:rPr>
          <w:rFonts w:asciiTheme="minorHAnsi" w:hAnsiTheme="minorHAnsi" w:cstheme="minorHAnsi"/>
          <w:sz w:val="22"/>
          <w:szCs w:val="22"/>
        </w:rPr>
        <w:t>resectable</w:t>
      </w:r>
      <w:proofErr w:type="spellEnd"/>
      <w:r w:rsidRPr="00B07007">
        <w:rPr>
          <w:rFonts w:asciiTheme="minorHAnsi" w:hAnsiTheme="minorHAnsi" w:cstheme="minorHAnsi"/>
          <w:sz w:val="22"/>
          <w:szCs w:val="22"/>
        </w:rPr>
        <w:t xml:space="preserve"> or metastatic neuroendocrine </w:t>
      </w:r>
      <w:proofErr w:type="spellStart"/>
      <w:r w:rsidRPr="00B07007">
        <w:rPr>
          <w:rFonts w:asciiTheme="minorHAnsi" w:hAnsiTheme="minorHAnsi" w:cstheme="minorHAnsi"/>
          <w:sz w:val="22"/>
          <w:szCs w:val="22"/>
        </w:rPr>
        <w:t>tumours</w:t>
      </w:r>
      <w:proofErr w:type="spellEnd"/>
      <w:r w:rsidRPr="00B07007">
        <w:rPr>
          <w:rFonts w:asciiTheme="minorHAnsi" w:hAnsiTheme="minorHAnsi" w:cstheme="minorHAnsi"/>
          <w:sz w:val="22"/>
          <w:szCs w:val="22"/>
        </w:rPr>
        <w:t xml:space="preserve"> (NETS) expressing somatostatin subtype 2 receptors when coupled with a suitable carrier molecule.  </w:t>
      </w:r>
    </w:p>
    <w:p w14:paraId="0E3130D9" w14:textId="7F5FEEC9" w:rsidR="00123F3D" w:rsidRPr="00B07007" w:rsidRDefault="001A3992" w:rsidP="00123F3D">
      <w:pPr>
        <w:pStyle w:val="Heading2"/>
        <w:rPr>
          <w:rFonts w:asciiTheme="minorHAnsi" w:hAnsiTheme="minorHAnsi" w:cstheme="minorHAnsi"/>
          <w:szCs w:val="22"/>
        </w:rPr>
      </w:pPr>
      <w:r w:rsidRPr="00B07007">
        <w:rPr>
          <w:rFonts w:asciiTheme="minorHAnsi" w:hAnsiTheme="minorHAnsi" w:cstheme="minorHAnsi"/>
          <w:szCs w:val="22"/>
        </w:rPr>
        <w:t xml:space="preserve">Dose and method of administration </w:t>
      </w:r>
    </w:p>
    <w:p w14:paraId="0F304ED9" w14:textId="3575A17F" w:rsidR="00AC78CA" w:rsidRPr="00B07007" w:rsidRDefault="00BF470F" w:rsidP="00B2616E">
      <w:pPr>
        <w:rPr>
          <w:rFonts w:asciiTheme="minorHAnsi" w:hAnsiTheme="minorHAnsi" w:cstheme="minorHAnsi"/>
          <w:sz w:val="22"/>
          <w:szCs w:val="22"/>
        </w:rPr>
      </w:pPr>
      <w:r w:rsidRPr="00B07007">
        <w:rPr>
          <w:rFonts w:asciiTheme="minorHAnsi" w:hAnsiTheme="minorHAnsi" w:cstheme="minorHAnsi"/>
          <w:sz w:val="22"/>
          <w:szCs w:val="22"/>
        </w:rPr>
        <w:t>Lutetium chloride</w:t>
      </w:r>
      <w:r w:rsidR="002B4B59" w:rsidRPr="002B4B59">
        <w:rPr>
          <w:rFonts w:asciiTheme="minorHAnsi" w:hAnsiTheme="minorHAnsi" w:cstheme="minorHAnsi"/>
          <w:sz w:val="22"/>
          <w:szCs w:val="22"/>
        </w:rPr>
        <w:t xml:space="preserve"> </w:t>
      </w:r>
      <w:r w:rsidR="002B4B59" w:rsidRPr="00B07007">
        <w:rPr>
          <w:rFonts w:asciiTheme="minorHAnsi" w:hAnsiTheme="minorHAnsi" w:cstheme="minorHAnsi"/>
          <w:sz w:val="22"/>
          <w:szCs w:val="22"/>
        </w:rPr>
        <w:t xml:space="preserve">is intended for </w:t>
      </w:r>
      <w:r w:rsidR="002B4B59" w:rsidRPr="00B07007">
        <w:rPr>
          <w:rFonts w:asciiTheme="minorHAnsi" w:hAnsiTheme="minorHAnsi" w:cstheme="minorHAnsi"/>
          <w:i/>
          <w:sz w:val="22"/>
          <w:szCs w:val="22"/>
        </w:rPr>
        <w:t xml:space="preserve">in vitro </w:t>
      </w:r>
      <w:proofErr w:type="spellStart"/>
      <w:r w:rsidR="002B4B59" w:rsidRPr="00B07007">
        <w:rPr>
          <w:rFonts w:asciiTheme="minorHAnsi" w:hAnsiTheme="minorHAnsi" w:cstheme="minorHAnsi"/>
          <w:sz w:val="22"/>
          <w:szCs w:val="22"/>
        </w:rPr>
        <w:t>radiolabelling</w:t>
      </w:r>
      <w:proofErr w:type="spellEnd"/>
      <w:r w:rsidR="002B4B59" w:rsidRPr="00B07007">
        <w:rPr>
          <w:rFonts w:asciiTheme="minorHAnsi" w:hAnsiTheme="minorHAnsi" w:cstheme="minorHAnsi"/>
          <w:sz w:val="22"/>
          <w:szCs w:val="22"/>
        </w:rPr>
        <w:t xml:space="preserve"> of medicinal products which are subsequently administered by the approved route.</w:t>
      </w:r>
      <w:r w:rsidR="002B4B59">
        <w:rPr>
          <w:rFonts w:asciiTheme="minorHAnsi" w:hAnsiTheme="minorHAnsi" w:cstheme="minorHAnsi"/>
          <w:sz w:val="22"/>
          <w:szCs w:val="22"/>
        </w:rPr>
        <w:t xml:space="preserve"> It </w:t>
      </w:r>
      <w:r w:rsidRPr="00B07007">
        <w:rPr>
          <w:rFonts w:asciiTheme="minorHAnsi" w:hAnsiTheme="minorHAnsi" w:cstheme="minorHAnsi"/>
          <w:sz w:val="22"/>
          <w:szCs w:val="22"/>
        </w:rPr>
        <w:t>should not be administered directly to the patient.</w:t>
      </w:r>
      <w:r w:rsidR="006F25A9" w:rsidRPr="00B07007">
        <w:rPr>
          <w:rFonts w:asciiTheme="minorHAnsi" w:hAnsiTheme="minorHAnsi" w:cstheme="minorHAnsi"/>
          <w:i/>
          <w:sz w:val="22"/>
          <w:szCs w:val="22"/>
        </w:rPr>
        <w:t xml:space="preserve">            </w:t>
      </w:r>
      <w:r w:rsidR="00AC78CA" w:rsidRPr="00B07007">
        <w:rPr>
          <w:rFonts w:asciiTheme="minorHAnsi" w:hAnsiTheme="minorHAnsi" w:cstheme="minorHAnsi"/>
          <w:i/>
          <w:sz w:val="22"/>
          <w:szCs w:val="22"/>
        </w:rPr>
        <w:t xml:space="preserve"> </w:t>
      </w:r>
    </w:p>
    <w:p w14:paraId="1C3510AE" w14:textId="18836064" w:rsidR="002B4B59" w:rsidRPr="00B07007" w:rsidRDefault="002B4B59" w:rsidP="002B4B59">
      <w:pPr>
        <w:rPr>
          <w:rFonts w:asciiTheme="minorHAnsi" w:hAnsiTheme="minorHAnsi" w:cstheme="minorHAnsi"/>
          <w:i/>
          <w:sz w:val="22"/>
          <w:szCs w:val="22"/>
        </w:rPr>
      </w:pPr>
      <w:r w:rsidRPr="00B07007">
        <w:rPr>
          <w:rFonts w:asciiTheme="minorHAnsi" w:hAnsiTheme="minorHAnsi" w:cstheme="minorHAnsi"/>
          <w:sz w:val="22"/>
          <w:szCs w:val="22"/>
        </w:rPr>
        <w:t xml:space="preserve">Lutetium chloride is only to be used by specialists experienced with </w:t>
      </w:r>
      <w:r w:rsidRPr="00864B29">
        <w:rPr>
          <w:rFonts w:asciiTheme="minorHAnsi" w:hAnsiTheme="minorHAnsi" w:cstheme="minorHAnsi"/>
          <w:iCs/>
          <w:sz w:val="22"/>
          <w:szCs w:val="22"/>
        </w:rPr>
        <w:t>PRRT</w:t>
      </w:r>
      <w:r w:rsidRPr="00B07007">
        <w:rPr>
          <w:rFonts w:asciiTheme="minorHAnsi" w:hAnsiTheme="minorHAnsi" w:cstheme="minorHAnsi"/>
          <w:sz w:val="22"/>
          <w:szCs w:val="22"/>
        </w:rPr>
        <w:t>.</w:t>
      </w:r>
      <w:r w:rsidRPr="00B07007">
        <w:rPr>
          <w:rFonts w:asciiTheme="minorHAnsi" w:hAnsiTheme="minorHAnsi" w:cstheme="minorHAnsi"/>
          <w:iCs/>
          <w:sz w:val="22"/>
          <w:szCs w:val="22"/>
        </w:rPr>
        <w:t xml:space="preserve"> </w:t>
      </w:r>
      <w:r w:rsidRPr="00B07007">
        <w:rPr>
          <w:rFonts w:asciiTheme="minorHAnsi" w:hAnsiTheme="minorHAnsi" w:cstheme="minorHAnsi"/>
          <w:i/>
          <w:sz w:val="22"/>
          <w:szCs w:val="22"/>
        </w:rPr>
        <w:t xml:space="preserve"> </w:t>
      </w:r>
    </w:p>
    <w:p w14:paraId="5BE76898" w14:textId="3ACD9AEC" w:rsidR="00AC78CA" w:rsidRPr="00B07007" w:rsidRDefault="00AC78CA" w:rsidP="00EA0201">
      <w:pPr>
        <w:pStyle w:val="Heading3"/>
        <w:rPr>
          <w:rFonts w:asciiTheme="minorHAnsi" w:hAnsiTheme="minorHAnsi" w:cstheme="minorHAnsi"/>
          <w:szCs w:val="22"/>
        </w:rPr>
      </w:pPr>
      <w:r w:rsidRPr="00B07007">
        <w:rPr>
          <w:rFonts w:asciiTheme="minorHAnsi" w:hAnsiTheme="minorHAnsi" w:cstheme="minorHAnsi"/>
          <w:szCs w:val="22"/>
        </w:rPr>
        <w:t>Dos</w:t>
      </w:r>
      <w:r w:rsidR="00BD541F" w:rsidRPr="00B07007">
        <w:rPr>
          <w:rFonts w:asciiTheme="minorHAnsi" w:hAnsiTheme="minorHAnsi" w:cstheme="minorHAnsi"/>
          <w:szCs w:val="22"/>
        </w:rPr>
        <w:t>age</w:t>
      </w:r>
    </w:p>
    <w:p w14:paraId="46AF39B9" w14:textId="0315949A" w:rsidR="00471E23" w:rsidRDefault="00AC78CA" w:rsidP="00B2616E">
      <w:pPr>
        <w:rPr>
          <w:rFonts w:asciiTheme="minorHAnsi" w:hAnsiTheme="minorHAnsi" w:cstheme="minorHAnsi"/>
          <w:sz w:val="22"/>
          <w:szCs w:val="22"/>
        </w:rPr>
      </w:pPr>
      <w:r w:rsidRPr="00B07007">
        <w:rPr>
          <w:rFonts w:asciiTheme="minorHAnsi" w:hAnsiTheme="minorHAnsi" w:cstheme="minorHAnsi"/>
          <w:sz w:val="22"/>
          <w:szCs w:val="22"/>
        </w:rPr>
        <w:t xml:space="preserve">The quantity of </w:t>
      </w:r>
      <w:r w:rsidR="00AA4FBC">
        <w:rPr>
          <w:rFonts w:asciiTheme="minorHAnsi" w:hAnsiTheme="minorHAnsi" w:cstheme="minorHAnsi"/>
          <w:sz w:val="22"/>
          <w:szCs w:val="22"/>
        </w:rPr>
        <w:t>l</w:t>
      </w:r>
      <w:r w:rsidR="00AA4FBC" w:rsidRPr="00B07007">
        <w:rPr>
          <w:rFonts w:asciiTheme="minorHAnsi" w:hAnsiTheme="minorHAnsi" w:cstheme="minorHAnsi"/>
          <w:sz w:val="22"/>
          <w:szCs w:val="22"/>
        </w:rPr>
        <w:t xml:space="preserve">utetium </w:t>
      </w:r>
      <w:r w:rsidR="003A2609" w:rsidRPr="00B07007">
        <w:rPr>
          <w:rFonts w:asciiTheme="minorHAnsi" w:hAnsiTheme="minorHAnsi" w:cstheme="minorHAnsi"/>
          <w:sz w:val="22"/>
          <w:szCs w:val="22"/>
        </w:rPr>
        <w:t>(</w:t>
      </w:r>
      <w:r w:rsidR="003A2609" w:rsidRPr="00B07007">
        <w:rPr>
          <w:rFonts w:asciiTheme="minorHAnsi" w:hAnsiTheme="minorHAnsi" w:cstheme="minorHAnsi"/>
          <w:sz w:val="22"/>
          <w:szCs w:val="22"/>
          <w:vertAlign w:val="superscript"/>
        </w:rPr>
        <w:t>177</w:t>
      </w:r>
      <w:r w:rsidR="003A2609" w:rsidRPr="00B07007">
        <w:rPr>
          <w:rFonts w:asciiTheme="minorHAnsi" w:hAnsiTheme="minorHAnsi" w:cstheme="minorHAnsi"/>
          <w:sz w:val="22"/>
          <w:szCs w:val="22"/>
        </w:rPr>
        <w:t>Lu)-</w:t>
      </w:r>
      <w:r w:rsidRPr="00B07007">
        <w:rPr>
          <w:rFonts w:asciiTheme="minorHAnsi" w:hAnsiTheme="minorHAnsi" w:cstheme="minorHAnsi"/>
          <w:sz w:val="22"/>
          <w:szCs w:val="22"/>
        </w:rPr>
        <w:t xml:space="preserve">labelled </w:t>
      </w:r>
      <w:r w:rsidR="00BD5BD4">
        <w:rPr>
          <w:rFonts w:asciiTheme="minorHAnsi" w:hAnsiTheme="minorHAnsi" w:cstheme="minorHAnsi"/>
          <w:sz w:val="22"/>
          <w:szCs w:val="22"/>
        </w:rPr>
        <w:t>PRRT</w:t>
      </w:r>
      <w:r w:rsidRPr="00B07007">
        <w:rPr>
          <w:rFonts w:asciiTheme="minorHAnsi" w:hAnsiTheme="minorHAnsi" w:cstheme="minorHAnsi"/>
          <w:sz w:val="22"/>
          <w:szCs w:val="22"/>
        </w:rPr>
        <w:t xml:space="preserve"> that is subsequently administered will depend on the </w:t>
      </w:r>
      <w:r w:rsidR="00BD5BD4">
        <w:rPr>
          <w:rFonts w:asciiTheme="minorHAnsi" w:hAnsiTheme="minorHAnsi" w:cstheme="minorHAnsi"/>
          <w:sz w:val="22"/>
          <w:szCs w:val="22"/>
        </w:rPr>
        <w:t>carrier molecule to be</w:t>
      </w:r>
      <w:r w:rsidRPr="00B07007">
        <w:rPr>
          <w:rFonts w:asciiTheme="minorHAnsi" w:hAnsiTheme="minorHAnsi" w:cstheme="minorHAnsi"/>
          <w:sz w:val="22"/>
          <w:szCs w:val="22"/>
        </w:rPr>
        <w:t xml:space="preserv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 xml:space="preserve"> and its intended use. </w:t>
      </w:r>
    </w:p>
    <w:p w14:paraId="6F6EA25D" w14:textId="3F7839DB" w:rsidR="003D1586" w:rsidRPr="00B07007" w:rsidRDefault="003D1586" w:rsidP="00B2616E">
      <w:pPr>
        <w:rPr>
          <w:rFonts w:asciiTheme="minorHAnsi" w:hAnsiTheme="minorHAnsi" w:cstheme="minorHAnsi"/>
          <w:sz w:val="22"/>
          <w:szCs w:val="22"/>
        </w:rPr>
      </w:pPr>
      <w:r w:rsidRPr="00B07007">
        <w:rPr>
          <w:rFonts w:asciiTheme="minorHAnsi" w:hAnsiTheme="minorHAnsi" w:cstheme="minorHAnsi"/>
          <w:sz w:val="22"/>
          <w:szCs w:val="22"/>
        </w:rPr>
        <w:t xml:space="preserve">The radiation dose received by various organs following intravenous administration of a </w:t>
      </w:r>
      <w:r w:rsidR="00AA4FBC">
        <w:rPr>
          <w:rFonts w:asciiTheme="minorHAnsi" w:hAnsiTheme="minorHAnsi" w:cstheme="minorHAnsi"/>
          <w:sz w:val="22"/>
          <w:szCs w:val="22"/>
        </w:rPr>
        <w:t>l</w:t>
      </w:r>
      <w:r w:rsidR="00AA4FBC" w:rsidRPr="00B07007">
        <w:rPr>
          <w:rFonts w:asciiTheme="minorHAnsi" w:hAnsiTheme="minorHAnsi" w:cstheme="minorHAnsi"/>
          <w:sz w:val="22"/>
          <w:szCs w:val="22"/>
        </w:rPr>
        <w:t>utetium (</w:t>
      </w:r>
      <w:r w:rsidR="00AA4FBC" w:rsidRPr="00B07007">
        <w:rPr>
          <w:rFonts w:asciiTheme="minorHAnsi" w:hAnsiTheme="minorHAnsi" w:cstheme="minorHAnsi"/>
          <w:sz w:val="22"/>
          <w:szCs w:val="22"/>
          <w:vertAlign w:val="superscript"/>
        </w:rPr>
        <w:t>177</w:t>
      </w:r>
      <w:r w:rsidR="00AA4FBC" w:rsidRPr="00B07007">
        <w:rPr>
          <w:rFonts w:asciiTheme="minorHAnsi" w:hAnsiTheme="minorHAnsi" w:cstheme="minorHAnsi"/>
          <w:sz w:val="22"/>
          <w:szCs w:val="22"/>
        </w:rPr>
        <w:t>Lu)-</w:t>
      </w:r>
      <w:r w:rsidR="00D91D78">
        <w:rPr>
          <w:rFonts w:asciiTheme="minorHAnsi" w:hAnsiTheme="minorHAnsi" w:cstheme="minorHAnsi"/>
          <w:sz w:val="22"/>
          <w:szCs w:val="22"/>
          <w:vertAlign w:val="subscript"/>
        </w:rPr>
        <w:t xml:space="preserve"> </w:t>
      </w:r>
      <w:r w:rsidRPr="00B07007">
        <w:rPr>
          <w:rFonts w:asciiTheme="minorHAnsi" w:hAnsiTheme="minorHAnsi" w:cstheme="minorHAnsi"/>
          <w:sz w:val="22"/>
          <w:szCs w:val="22"/>
        </w:rPr>
        <w:t xml:space="preserve">labelled </w:t>
      </w:r>
      <w:r w:rsidR="003F09EA">
        <w:rPr>
          <w:rFonts w:asciiTheme="minorHAnsi" w:hAnsiTheme="minorHAnsi" w:cstheme="minorHAnsi"/>
          <w:sz w:val="22"/>
          <w:szCs w:val="22"/>
        </w:rPr>
        <w:t>PRRT</w:t>
      </w:r>
      <w:r w:rsidRPr="00B07007">
        <w:rPr>
          <w:rFonts w:asciiTheme="minorHAnsi" w:hAnsiTheme="minorHAnsi" w:cstheme="minorHAnsi"/>
          <w:sz w:val="22"/>
          <w:szCs w:val="22"/>
        </w:rPr>
        <w:t xml:space="preserve"> is </w:t>
      </w:r>
      <w:r w:rsidR="003F09EA">
        <w:rPr>
          <w:rFonts w:asciiTheme="minorHAnsi" w:hAnsiTheme="minorHAnsi" w:cstheme="minorHAnsi"/>
          <w:sz w:val="22"/>
          <w:szCs w:val="22"/>
        </w:rPr>
        <w:t xml:space="preserve">also </w:t>
      </w:r>
      <w:r w:rsidRPr="00B07007">
        <w:rPr>
          <w:rFonts w:asciiTheme="minorHAnsi" w:hAnsiTheme="minorHAnsi" w:cstheme="minorHAnsi"/>
          <w:sz w:val="22"/>
          <w:szCs w:val="22"/>
        </w:rPr>
        <w:t xml:space="preserve">dependent on the specific molecule being </w:t>
      </w:r>
      <w:proofErr w:type="spellStart"/>
      <w:r w:rsidRPr="00B07007">
        <w:rPr>
          <w:rFonts w:asciiTheme="minorHAnsi" w:hAnsiTheme="minorHAnsi" w:cstheme="minorHAnsi"/>
          <w:sz w:val="22"/>
          <w:szCs w:val="22"/>
        </w:rPr>
        <w:t>radiolabelled</w:t>
      </w:r>
      <w:proofErr w:type="spellEnd"/>
      <w:r w:rsidR="00AA4FBC">
        <w:rPr>
          <w:rFonts w:asciiTheme="minorHAnsi" w:hAnsiTheme="minorHAnsi" w:cstheme="minorHAnsi"/>
          <w:sz w:val="22"/>
          <w:szCs w:val="22"/>
        </w:rPr>
        <w:t>.</w:t>
      </w:r>
    </w:p>
    <w:p w14:paraId="41D06EF5" w14:textId="77777777" w:rsidR="00C47E0F" w:rsidRPr="00B07007" w:rsidRDefault="00C47E0F" w:rsidP="00EA0201">
      <w:pPr>
        <w:pStyle w:val="Heading3"/>
        <w:rPr>
          <w:rFonts w:asciiTheme="minorHAnsi" w:hAnsiTheme="minorHAnsi" w:cstheme="minorHAnsi"/>
          <w:szCs w:val="22"/>
        </w:rPr>
      </w:pPr>
      <w:r w:rsidRPr="00B07007">
        <w:rPr>
          <w:rFonts w:asciiTheme="minorHAnsi" w:hAnsiTheme="minorHAnsi" w:cstheme="minorHAnsi"/>
          <w:szCs w:val="22"/>
        </w:rPr>
        <w:t>Dosimetry</w:t>
      </w:r>
    </w:p>
    <w:p w14:paraId="54DCA2C0" w14:textId="51158991" w:rsidR="00C47E0F" w:rsidRPr="00B07007" w:rsidRDefault="00C47E0F" w:rsidP="00C47E0F">
      <w:pPr>
        <w:rPr>
          <w:rFonts w:asciiTheme="minorHAnsi" w:hAnsiTheme="minorHAnsi" w:cstheme="minorHAnsi"/>
          <w:sz w:val="22"/>
          <w:szCs w:val="22"/>
        </w:rPr>
      </w:pPr>
      <w:r w:rsidRPr="00B07007">
        <w:rPr>
          <w:rFonts w:asciiTheme="minorHAnsi" w:hAnsiTheme="minorHAnsi" w:cstheme="minorHAnsi"/>
          <w:sz w:val="22"/>
          <w:szCs w:val="22"/>
        </w:rPr>
        <w:t xml:space="preserve">The dosimetry table below is presented </w:t>
      </w:r>
      <w:proofErr w:type="gramStart"/>
      <w:r w:rsidRPr="00B07007">
        <w:rPr>
          <w:rFonts w:asciiTheme="minorHAnsi" w:hAnsiTheme="minorHAnsi" w:cstheme="minorHAnsi"/>
          <w:sz w:val="22"/>
          <w:szCs w:val="22"/>
        </w:rPr>
        <w:t>in order to</w:t>
      </w:r>
      <w:proofErr w:type="gramEnd"/>
      <w:r w:rsidRPr="00B07007">
        <w:rPr>
          <w:rFonts w:asciiTheme="minorHAnsi" w:hAnsiTheme="minorHAnsi" w:cstheme="minorHAnsi"/>
          <w:sz w:val="22"/>
          <w:szCs w:val="22"/>
        </w:rPr>
        <w:t xml:space="preserve"> evaluate the contribution of non-conjugated </w:t>
      </w:r>
      <w:r w:rsidR="00873EF2">
        <w:rPr>
          <w:rFonts w:asciiTheme="minorHAnsi" w:hAnsiTheme="minorHAnsi" w:cstheme="minorHAnsi"/>
          <w:sz w:val="22"/>
          <w:szCs w:val="22"/>
        </w:rPr>
        <w:t>l</w:t>
      </w:r>
      <w:r w:rsidR="00873EF2" w:rsidRPr="00B07007">
        <w:rPr>
          <w:rFonts w:asciiTheme="minorHAnsi" w:hAnsiTheme="minorHAnsi" w:cstheme="minorHAnsi"/>
          <w:sz w:val="22"/>
          <w:szCs w:val="22"/>
        </w:rPr>
        <w:t xml:space="preserve">utetium chloride </w:t>
      </w:r>
      <w:r w:rsidRPr="00B07007">
        <w:rPr>
          <w:rFonts w:asciiTheme="minorHAnsi" w:hAnsiTheme="minorHAnsi" w:cstheme="minorHAnsi"/>
          <w:sz w:val="22"/>
          <w:szCs w:val="22"/>
        </w:rPr>
        <w:t xml:space="preserve">to the radiation dose following the administration of a </w:t>
      </w:r>
      <w:r w:rsidR="00873EF2">
        <w:rPr>
          <w:rFonts w:asciiTheme="minorHAnsi" w:hAnsiTheme="minorHAnsi" w:cstheme="minorHAnsi"/>
          <w:sz w:val="22"/>
          <w:szCs w:val="22"/>
        </w:rPr>
        <w:t>l</w:t>
      </w:r>
      <w:r w:rsidR="00873EF2" w:rsidRPr="00B07007">
        <w:rPr>
          <w:rFonts w:asciiTheme="minorHAnsi" w:hAnsiTheme="minorHAnsi" w:cstheme="minorHAnsi"/>
          <w:sz w:val="22"/>
          <w:szCs w:val="22"/>
        </w:rPr>
        <w:t xml:space="preserve">utetium chloride </w:t>
      </w:r>
      <w:r w:rsidRPr="00B07007">
        <w:rPr>
          <w:rFonts w:asciiTheme="minorHAnsi" w:hAnsiTheme="minorHAnsi" w:cstheme="minorHAnsi"/>
          <w:sz w:val="22"/>
          <w:szCs w:val="22"/>
        </w:rPr>
        <w:t xml:space="preserve">labelled </w:t>
      </w:r>
      <w:r w:rsidR="009D3D34">
        <w:rPr>
          <w:rFonts w:asciiTheme="minorHAnsi" w:hAnsiTheme="minorHAnsi" w:cstheme="minorHAnsi"/>
          <w:sz w:val="22"/>
          <w:szCs w:val="22"/>
        </w:rPr>
        <w:t>PRRT</w:t>
      </w:r>
      <w:r w:rsidRPr="00B07007">
        <w:rPr>
          <w:rFonts w:asciiTheme="minorHAnsi" w:hAnsiTheme="minorHAnsi" w:cstheme="minorHAnsi"/>
          <w:sz w:val="22"/>
          <w:szCs w:val="22"/>
        </w:rPr>
        <w:t xml:space="preserve"> or resulting from an accidental intravenous injection of </w:t>
      </w:r>
      <w:r w:rsidR="00873EF2">
        <w:rPr>
          <w:rFonts w:asciiTheme="minorHAnsi" w:hAnsiTheme="minorHAnsi" w:cstheme="minorHAnsi"/>
          <w:sz w:val="22"/>
          <w:szCs w:val="22"/>
        </w:rPr>
        <w:t>l</w:t>
      </w:r>
      <w:r w:rsidR="00873EF2" w:rsidRPr="00B07007">
        <w:rPr>
          <w:rFonts w:asciiTheme="minorHAnsi" w:hAnsiTheme="minorHAnsi" w:cstheme="minorHAnsi"/>
          <w:sz w:val="22"/>
          <w:szCs w:val="22"/>
        </w:rPr>
        <w:t>utetium chloride</w:t>
      </w:r>
      <w:r w:rsidRPr="00B07007">
        <w:rPr>
          <w:rFonts w:asciiTheme="minorHAnsi" w:hAnsiTheme="minorHAnsi" w:cstheme="minorHAnsi"/>
          <w:sz w:val="22"/>
          <w:szCs w:val="22"/>
        </w:rPr>
        <w:t>.</w:t>
      </w:r>
    </w:p>
    <w:p w14:paraId="2F5C88E0" w14:textId="77777777" w:rsidR="00C47E0F" w:rsidRPr="00B07007" w:rsidRDefault="00C47E0F" w:rsidP="00C47E0F">
      <w:pPr>
        <w:rPr>
          <w:rFonts w:asciiTheme="minorHAnsi" w:hAnsiTheme="minorHAnsi" w:cstheme="minorHAnsi"/>
          <w:sz w:val="22"/>
          <w:szCs w:val="22"/>
        </w:rPr>
      </w:pPr>
      <w:r w:rsidRPr="00B07007">
        <w:rPr>
          <w:rFonts w:asciiTheme="minorHAnsi" w:hAnsiTheme="minorHAnsi" w:cstheme="minorHAnsi"/>
          <w:sz w:val="22"/>
          <w:szCs w:val="22"/>
        </w:rPr>
        <w:t xml:space="preserve">The dosimetry estimates were based on a rat biodistribution study performed according to MIRD pamphlet no.16, and the calculations were performed using the OLINDA 1.1 software package. Time points for measurements were 5 minutes, 1 hour, 12 hours, 2 days, 7 </w:t>
      </w:r>
      <w:proofErr w:type="gramStart"/>
      <w:r w:rsidRPr="00B07007">
        <w:rPr>
          <w:rFonts w:asciiTheme="minorHAnsi" w:hAnsiTheme="minorHAnsi" w:cstheme="minorHAnsi"/>
          <w:sz w:val="22"/>
          <w:szCs w:val="22"/>
        </w:rPr>
        <w:t>days</w:t>
      </w:r>
      <w:proofErr w:type="gramEnd"/>
      <w:r w:rsidRPr="00B07007">
        <w:rPr>
          <w:rFonts w:asciiTheme="minorHAnsi" w:hAnsiTheme="minorHAnsi" w:cstheme="minorHAnsi"/>
          <w:sz w:val="22"/>
          <w:szCs w:val="22"/>
        </w:rPr>
        <w:t xml:space="preserve"> and 28 days.</w:t>
      </w:r>
    </w:p>
    <w:p w14:paraId="0BFBCD26" w14:textId="77777777" w:rsidR="00C47E0F" w:rsidRPr="000270FC" w:rsidRDefault="00C47E0F" w:rsidP="000270FC">
      <w:pPr>
        <w:keepNext/>
        <w:jc w:val="center"/>
        <w:rPr>
          <w:rFonts w:asciiTheme="minorHAnsi" w:hAnsiTheme="minorHAnsi" w:cstheme="minorHAnsi"/>
          <w:b/>
          <w:bCs/>
          <w:sz w:val="22"/>
          <w:szCs w:val="22"/>
        </w:rPr>
      </w:pPr>
      <w:r w:rsidRPr="000270FC">
        <w:rPr>
          <w:rFonts w:asciiTheme="minorHAnsi" w:hAnsiTheme="minorHAnsi" w:cstheme="minorHAnsi"/>
          <w:b/>
          <w:bCs/>
          <w:sz w:val="22"/>
          <w:szCs w:val="22"/>
        </w:rPr>
        <w:lastRenderedPageBreak/>
        <w:t xml:space="preserve">Table 2: Estimated organ absorbed radiation doses and effective doses (mSv/MBq) after inadvertent intravenous administration of </w:t>
      </w:r>
      <w:r w:rsidRPr="000270FC">
        <w:rPr>
          <w:rFonts w:asciiTheme="minorHAnsi" w:hAnsiTheme="minorHAnsi" w:cstheme="minorHAnsi"/>
          <w:b/>
          <w:bCs/>
          <w:sz w:val="22"/>
          <w:szCs w:val="22"/>
          <w:vertAlign w:val="superscript"/>
        </w:rPr>
        <w:t>177</w:t>
      </w:r>
      <w:r w:rsidRPr="000270FC">
        <w:rPr>
          <w:rFonts w:asciiTheme="minorHAnsi" w:hAnsiTheme="minorHAnsi" w:cstheme="minorHAnsi"/>
          <w:b/>
          <w:bCs/>
          <w:sz w:val="22"/>
          <w:szCs w:val="22"/>
        </w:rPr>
        <w:t>LuCl</w:t>
      </w:r>
      <w:r w:rsidRPr="000270FC">
        <w:rPr>
          <w:rFonts w:asciiTheme="minorHAnsi" w:hAnsiTheme="minorHAnsi" w:cstheme="minorHAnsi"/>
          <w:b/>
          <w:bCs/>
          <w:sz w:val="22"/>
          <w:szCs w:val="22"/>
          <w:vertAlign w:val="subscript"/>
        </w:rPr>
        <w:t>3</w:t>
      </w:r>
      <w:r w:rsidRPr="000270FC">
        <w:rPr>
          <w:rFonts w:asciiTheme="minorHAnsi" w:hAnsiTheme="minorHAnsi" w:cstheme="minorHAnsi"/>
          <w:b/>
          <w:bCs/>
          <w:sz w:val="22"/>
          <w:szCs w:val="22"/>
        </w:rPr>
        <w:t xml:space="preserve"> for various human age classes, based on data collected in rats (n = 24)</w:t>
      </w:r>
    </w:p>
    <w:tbl>
      <w:tblPr>
        <w:tblW w:w="928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1397"/>
        <w:gridCol w:w="1395"/>
        <w:gridCol w:w="1397"/>
        <w:gridCol w:w="1397"/>
        <w:gridCol w:w="1399"/>
      </w:tblGrid>
      <w:tr w:rsidR="00C47E0F" w:rsidRPr="00B07007" w14:paraId="02A49773" w14:textId="77777777" w:rsidTr="00EA0201">
        <w:trPr>
          <w:trHeight w:val="382"/>
        </w:trPr>
        <w:tc>
          <w:tcPr>
            <w:tcW w:w="2304" w:type="dxa"/>
            <w:vMerge w:val="restart"/>
            <w:tcBorders>
              <w:bottom w:val="single" w:sz="18" w:space="0" w:color="000000"/>
            </w:tcBorders>
          </w:tcPr>
          <w:p w14:paraId="55F9E120" w14:textId="77777777" w:rsidR="00C47E0F" w:rsidRPr="00B07007" w:rsidRDefault="00C47E0F" w:rsidP="000270FC">
            <w:pPr>
              <w:keepNext/>
              <w:widowControl w:val="0"/>
              <w:autoSpaceDE w:val="0"/>
              <w:autoSpaceDN w:val="0"/>
              <w:spacing w:after="0" w:line="240" w:lineRule="auto"/>
              <w:ind w:left="0"/>
              <w:rPr>
                <w:rFonts w:asciiTheme="minorHAnsi" w:eastAsia="Times New Roman" w:hAnsiTheme="minorHAnsi" w:cstheme="minorHAnsi"/>
                <w:b/>
                <w:color w:val="auto"/>
                <w:sz w:val="22"/>
                <w:szCs w:val="22"/>
              </w:rPr>
            </w:pPr>
          </w:p>
          <w:p w14:paraId="6E3E7CE9" w14:textId="77777777" w:rsidR="00C47E0F" w:rsidRPr="00B07007" w:rsidRDefault="00C47E0F" w:rsidP="000270FC">
            <w:pPr>
              <w:keepNext/>
              <w:widowControl w:val="0"/>
              <w:autoSpaceDE w:val="0"/>
              <w:autoSpaceDN w:val="0"/>
              <w:spacing w:after="0" w:line="240" w:lineRule="auto"/>
              <w:ind w:left="0"/>
              <w:rPr>
                <w:rFonts w:asciiTheme="minorHAnsi" w:eastAsia="Times New Roman" w:hAnsiTheme="minorHAnsi" w:cstheme="minorHAnsi"/>
                <w:b/>
                <w:color w:val="auto"/>
                <w:sz w:val="22"/>
                <w:szCs w:val="22"/>
              </w:rPr>
            </w:pPr>
          </w:p>
          <w:p w14:paraId="6E4AF33F" w14:textId="77777777" w:rsidR="00C47E0F" w:rsidRPr="00B07007" w:rsidRDefault="00C47E0F" w:rsidP="000270FC">
            <w:pPr>
              <w:keepNext/>
              <w:widowControl w:val="0"/>
              <w:autoSpaceDE w:val="0"/>
              <w:autoSpaceDN w:val="0"/>
              <w:spacing w:before="205" w:after="0" w:line="219" w:lineRule="exact"/>
              <w:ind w:left="107"/>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Organ</w:t>
            </w:r>
          </w:p>
        </w:tc>
        <w:tc>
          <w:tcPr>
            <w:tcW w:w="6985" w:type="dxa"/>
            <w:gridSpan w:val="5"/>
            <w:tcBorders>
              <w:bottom w:val="nil"/>
            </w:tcBorders>
          </w:tcPr>
          <w:p w14:paraId="4C62BAC9"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Absorbed dose per unit radioactivity administered (mSv/MBq)</w:t>
            </w:r>
          </w:p>
        </w:tc>
      </w:tr>
      <w:tr w:rsidR="00C47E0F" w:rsidRPr="00B07007" w14:paraId="20C003E0" w14:textId="77777777" w:rsidTr="00EA0201">
        <w:trPr>
          <w:trHeight w:val="568"/>
        </w:trPr>
        <w:tc>
          <w:tcPr>
            <w:tcW w:w="2304" w:type="dxa"/>
            <w:vMerge/>
            <w:tcBorders>
              <w:top w:val="nil"/>
              <w:bottom w:val="single" w:sz="18" w:space="0" w:color="000000"/>
            </w:tcBorders>
          </w:tcPr>
          <w:p w14:paraId="7F52D5DD" w14:textId="77777777" w:rsidR="00C47E0F" w:rsidRPr="00B07007" w:rsidRDefault="00C47E0F" w:rsidP="000270FC">
            <w:pPr>
              <w:keepNext/>
              <w:widowControl w:val="0"/>
              <w:autoSpaceDE w:val="0"/>
              <w:autoSpaceDN w:val="0"/>
              <w:spacing w:after="0" w:line="240" w:lineRule="auto"/>
              <w:ind w:left="0"/>
              <w:rPr>
                <w:rFonts w:asciiTheme="minorHAnsi" w:eastAsia="Times New Roman" w:hAnsiTheme="minorHAnsi" w:cstheme="minorHAnsi"/>
                <w:color w:val="auto"/>
                <w:sz w:val="22"/>
                <w:szCs w:val="22"/>
              </w:rPr>
            </w:pPr>
          </w:p>
        </w:tc>
        <w:tc>
          <w:tcPr>
            <w:tcW w:w="1397" w:type="dxa"/>
            <w:tcBorders>
              <w:top w:val="nil"/>
              <w:bottom w:val="single" w:sz="18" w:space="0" w:color="000000"/>
            </w:tcBorders>
          </w:tcPr>
          <w:p w14:paraId="27E37D3E" w14:textId="77777777" w:rsidR="00C47E0F" w:rsidRPr="00B07007" w:rsidRDefault="00C47E0F" w:rsidP="000270FC">
            <w:pPr>
              <w:keepNext/>
              <w:widowControl w:val="0"/>
              <w:autoSpaceDE w:val="0"/>
              <w:autoSpaceDN w:val="0"/>
              <w:spacing w:after="0" w:line="229" w:lineRule="exact"/>
              <w:ind w:left="115" w:right="105"/>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Adult</w:t>
            </w:r>
          </w:p>
          <w:p w14:paraId="5D488AF7" w14:textId="77777777" w:rsidR="00C47E0F" w:rsidRPr="00B07007" w:rsidRDefault="00C47E0F" w:rsidP="000270FC">
            <w:pPr>
              <w:keepNext/>
              <w:widowControl w:val="0"/>
              <w:autoSpaceDE w:val="0"/>
              <w:autoSpaceDN w:val="0"/>
              <w:spacing w:after="0" w:line="252" w:lineRule="exact"/>
              <w:ind w:left="113" w:right="107"/>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(73.7 kg)</w:t>
            </w:r>
          </w:p>
        </w:tc>
        <w:tc>
          <w:tcPr>
            <w:tcW w:w="1395" w:type="dxa"/>
            <w:tcBorders>
              <w:top w:val="nil"/>
              <w:bottom w:val="single" w:sz="18" w:space="0" w:color="000000"/>
            </w:tcBorders>
          </w:tcPr>
          <w:p w14:paraId="4307FE98" w14:textId="77777777" w:rsidR="00C47E0F" w:rsidRPr="00B07007" w:rsidRDefault="00C47E0F" w:rsidP="000270FC">
            <w:pPr>
              <w:keepNext/>
              <w:widowControl w:val="0"/>
              <w:autoSpaceDE w:val="0"/>
              <w:autoSpaceDN w:val="0"/>
              <w:spacing w:after="0" w:line="229" w:lineRule="exact"/>
              <w:ind w:left="113" w:right="107"/>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15 years old</w:t>
            </w:r>
          </w:p>
          <w:p w14:paraId="24BEF765" w14:textId="77777777" w:rsidR="00C47E0F" w:rsidRPr="00B07007" w:rsidRDefault="00C47E0F" w:rsidP="000270FC">
            <w:pPr>
              <w:keepNext/>
              <w:widowControl w:val="0"/>
              <w:autoSpaceDE w:val="0"/>
              <w:autoSpaceDN w:val="0"/>
              <w:spacing w:after="0" w:line="252" w:lineRule="exact"/>
              <w:ind w:left="109" w:right="107"/>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(56.8 kg)</w:t>
            </w:r>
          </w:p>
        </w:tc>
        <w:tc>
          <w:tcPr>
            <w:tcW w:w="1397" w:type="dxa"/>
            <w:tcBorders>
              <w:top w:val="nil"/>
              <w:bottom w:val="single" w:sz="18" w:space="0" w:color="000000"/>
            </w:tcBorders>
          </w:tcPr>
          <w:p w14:paraId="4D259FED" w14:textId="77777777" w:rsidR="00C47E0F" w:rsidRPr="00B07007" w:rsidRDefault="00C47E0F" w:rsidP="000270FC">
            <w:pPr>
              <w:keepNext/>
              <w:widowControl w:val="0"/>
              <w:autoSpaceDE w:val="0"/>
              <w:autoSpaceDN w:val="0"/>
              <w:spacing w:after="0" w:line="229" w:lineRule="exact"/>
              <w:ind w:left="115" w:right="107"/>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10 years old</w:t>
            </w:r>
          </w:p>
          <w:p w14:paraId="377536D1" w14:textId="77777777" w:rsidR="00C47E0F" w:rsidRPr="00B07007" w:rsidRDefault="00C47E0F" w:rsidP="000270FC">
            <w:pPr>
              <w:keepNext/>
              <w:widowControl w:val="0"/>
              <w:autoSpaceDE w:val="0"/>
              <w:autoSpaceDN w:val="0"/>
              <w:spacing w:after="0" w:line="252" w:lineRule="exact"/>
              <w:ind w:left="111" w:right="107"/>
              <w:jc w:val="center"/>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(33.2 kg)</w:t>
            </w:r>
          </w:p>
        </w:tc>
        <w:tc>
          <w:tcPr>
            <w:tcW w:w="1397" w:type="dxa"/>
            <w:tcBorders>
              <w:top w:val="nil"/>
              <w:bottom w:val="single" w:sz="18" w:space="0" w:color="000000"/>
            </w:tcBorders>
          </w:tcPr>
          <w:p w14:paraId="26C4C319" w14:textId="77777777" w:rsidR="00C47E0F" w:rsidRPr="00B07007" w:rsidRDefault="00C47E0F" w:rsidP="000270FC">
            <w:pPr>
              <w:keepNext/>
              <w:widowControl w:val="0"/>
              <w:autoSpaceDE w:val="0"/>
              <w:autoSpaceDN w:val="0"/>
              <w:spacing w:after="0" w:line="229" w:lineRule="exact"/>
              <w:ind w:left="106"/>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5 years old</w:t>
            </w:r>
          </w:p>
          <w:p w14:paraId="657D6162" w14:textId="77777777" w:rsidR="00C47E0F" w:rsidRPr="00B07007" w:rsidRDefault="00C47E0F" w:rsidP="000270FC">
            <w:pPr>
              <w:keepNext/>
              <w:widowControl w:val="0"/>
              <w:autoSpaceDE w:val="0"/>
              <w:autoSpaceDN w:val="0"/>
              <w:spacing w:after="0" w:line="252" w:lineRule="exact"/>
              <w:ind w:left="106"/>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(19.8 kg)</w:t>
            </w:r>
          </w:p>
        </w:tc>
        <w:tc>
          <w:tcPr>
            <w:tcW w:w="1399" w:type="dxa"/>
            <w:tcBorders>
              <w:top w:val="nil"/>
              <w:bottom w:val="single" w:sz="18" w:space="0" w:color="000000"/>
            </w:tcBorders>
          </w:tcPr>
          <w:p w14:paraId="160DDB80" w14:textId="77777777" w:rsidR="00C47E0F" w:rsidRPr="00B07007" w:rsidRDefault="00C47E0F" w:rsidP="000270FC">
            <w:pPr>
              <w:keepNext/>
              <w:widowControl w:val="0"/>
              <w:autoSpaceDE w:val="0"/>
              <w:autoSpaceDN w:val="0"/>
              <w:spacing w:after="0" w:line="229" w:lineRule="exact"/>
              <w:ind w:left="231"/>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1 year old</w:t>
            </w:r>
          </w:p>
          <w:p w14:paraId="2CAA6A62" w14:textId="77777777" w:rsidR="00C47E0F" w:rsidRPr="00B07007" w:rsidRDefault="00C47E0F" w:rsidP="000270FC">
            <w:pPr>
              <w:keepNext/>
              <w:widowControl w:val="0"/>
              <w:autoSpaceDE w:val="0"/>
              <w:autoSpaceDN w:val="0"/>
              <w:spacing w:after="0" w:line="252" w:lineRule="exact"/>
              <w:ind w:left="341"/>
              <w:rPr>
                <w:rFonts w:asciiTheme="minorHAnsi" w:eastAsia="Times New Roman" w:hAnsiTheme="minorHAnsi" w:cstheme="minorHAnsi"/>
                <w:b/>
                <w:color w:val="auto"/>
                <w:sz w:val="22"/>
                <w:szCs w:val="22"/>
              </w:rPr>
            </w:pPr>
            <w:r w:rsidRPr="00B07007">
              <w:rPr>
                <w:rFonts w:asciiTheme="minorHAnsi" w:eastAsia="Times New Roman" w:hAnsiTheme="minorHAnsi" w:cstheme="minorHAnsi"/>
                <w:b/>
                <w:color w:val="auto"/>
                <w:sz w:val="22"/>
                <w:szCs w:val="22"/>
              </w:rPr>
              <w:t>(9.7 kg)</w:t>
            </w:r>
          </w:p>
        </w:tc>
      </w:tr>
      <w:tr w:rsidR="00C47E0F" w:rsidRPr="00B07007" w14:paraId="72EF0F82" w14:textId="77777777" w:rsidTr="00EA0201">
        <w:trPr>
          <w:trHeight w:val="273"/>
        </w:trPr>
        <w:tc>
          <w:tcPr>
            <w:tcW w:w="2304" w:type="dxa"/>
            <w:tcBorders>
              <w:top w:val="single" w:sz="18" w:space="0" w:color="000000"/>
            </w:tcBorders>
          </w:tcPr>
          <w:p w14:paraId="01616CCA" w14:textId="77777777" w:rsidR="00C47E0F" w:rsidRPr="00B07007" w:rsidRDefault="00C47E0F" w:rsidP="000270FC">
            <w:pPr>
              <w:keepNext/>
              <w:widowControl w:val="0"/>
              <w:autoSpaceDE w:val="0"/>
              <w:autoSpaceDN w:val="0"/>
              <w:spacing w:after="0" w:line="247"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Adrenals</w:t>
            </w:r>
          </w:p>
        </w:tc>
        <w:tc>
          <w:tcPr>
            <w:tcW w:w="1397" w:type="dxa"/>
            <w:tcBorders>
              <w:top w:val="single" w:sz="18" w:space="0" w:color="000000"/>
            </w:tcBorders>
          </w:tcPr>
          <w:p w14:paraId="11972EA5" w14:textId="77777777" w:rsidR="00C47E0F" w:rsidRPr="00B07007" w:rsidRDefault="00C47E0F" w:rsidP="000270FC">
            <w:pPr>
              <w:keepNext/>
              <w:widowControl w:val="0"/>
              <w:autoSpaceDE w:val="0"/>
              <w:autoSpaceDN w:val="0"/>
              <w:spacing w:after="0" w:line="247"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0.2130</w:t>
            </w:r>
          </w:p>
        </w:tc>
        <w:tc>
          <w:tcPr>
            <w:tcW w:w="1395" w:type="dxa"/>
            <w:tcBorders>
              <w:top w:val="single" w:sz="18" w:space="0" w:color="000000"/>
            </w:tcBorders>
          </w:tcPr>
          <w:p w14:paraId="6FE51854" w14:textId="77777777" w:rsidR="00C47E0F" w:rsidRPr="00B07007" w:rsidRDefault="00C47E0F" w:rsidP="000270FC">
            <w:pPr>
              <w:keepNext/>
              <w:widowControl w:val="0"/>
              <w:autoSpaceDE w:val="0"/>
              <w:autoSpaceDN w:val="0"/>
              <w:spacing w:after="0" w:line="247"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0.3070</w:t>
            </w:r>
          </w:p>
        </w:tc>
        <w:tc>
          <w:tcPr>
            <w:tcW w:w="1397" w:type="dxa"/>
            <w:tcBorders>
              <w:top w:val="single" w:sz="18" w:space="0" w:color="000000"/>
            </w:tcBorders>
          </w:tcPr>
          <w:p w14:paraId="42E3302F" w14:textId="77777777" w:rsidR="00C47E0F" w:rsidRPr="00B07007" w:rsidRDefault="00C47E0F" w:rsidP="000270FC">
            <w:pPr>
              <w:keepNext/>
              <w:widowControl w:val="0"/>
              <w:autoSpaceDE w:val="0"/>
              <w:autoSpaceDN w:val="0"/>
              <w:spacing w:after="0" w:line="247"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0.4450</w:t>
            </w:r>
          </w:p>
        </w:tc>
        <w:tc>
          <w:tcPr>
            <w:tcW w:w="1397" w:type="dxa"/>
            <w:tcBorders>
              <w:top w:val="single" w:sz="18" w:space="0" w:color="000000"/>
            </w:tcBorders>
          </w:tcPr>
          <w:p w14:paraId="20BC5F41" w14:textId="77777777" w:rsidR="00C47E0F" w:rsidRPr="00B07007" w:rsidRDefault="00C47E0F" w:rsidP="000270FC">
            <w:pPr>
              <w:keepNext/>
              <w:widowControl w:val="0"/>
              <w:autoSpaceDE w:val="0"/>
              <w:autoSpaceDN w:val="0"/>
              <w:spacing w:after="0" w:line="247"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6.0400</w:t>
            </w:r>
          </w:p>
        </w:tc>
        <w:tc>
          <w:tcPr>
            <w:tcW w:w="1399" w:type="dxa"/>
            <w:tcBorders>
              <w:top w:val="single" w:sz="18" w:space="0" w:color="000000"/>
            </w:tcBorders>
          </w:tcPr>
          <w:p w14:paraId="759F14D4" w14:textId="77777777" w:rsidR="00C47E0F" w:rsidRPr="00B07007" w:rsidRDefault="00C47E0F" w:rsidP="000270FC">
            <w:pPr>
              <w:keepNext/>
              <w:widowControl w:val="0"/>
              <w:autoSpaceDE w:val="0"/>
              <w:autoSpaceDN w:val="0"/>
              <w:spacing w:after="0" w:line="247"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0.9120</w:t>
            </w:r>
          </w:p>
        </w:tc>
      </w:tr>
      <w:tr w:rsidR="00C47E0F" w:rsidRPr="00B07007" w14:paraId="0403F79B" w14:textId="77777777" w:rsidTr="00EA0201">
        <w:trPr>
          <w:trHeight w:val="290"/>
        </w:trPr>
        <w:tc>
          <w:tcPr>
            <w:tcW w:w="2304" w:type="dxa"/>
          </w:tcPr>
          <w:p w14:paraId="5832F03A"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Brain</w:t>
            </w:r>
          </w:p>
        </w:tc>
        <w:tc>
          <w:tcPr>
            <w:tcW w:w="1397" w:type="dxa"/>
          </w:tcPr>
          <w:p w14:paraId="3536C09B"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0.0056</w:t>
            </w:r>
          </w:p>
        </w:tc>
        <w:tc>
          <w:tcPr>
            <w:tcW w:w="1395" w:type="dxa"/>
          </w:tcPr>
          <w:p w14:paraId="1087C47E"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0.0068</w:t>
            </w:r>
          </w:p>
        </w:tc>
        <w:tc>
          <w:tcPr>
            <w:tcW w:w="1397" w:type="dxa"/>
          </w:tcPr>
          <w:p w14:paraId="4389C281"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0.0089</w:t>
            </w:r>
          </w:p>
        </w:tc>
        <w:tc>
          <w:tcPr>
            <w:tcW w:w="1397" w:type="dxa"/>
          </w:tcPr>
          <w:p w14:paraId="16F7B990"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1.3500</w:t>
            </w:r>
          </w:p>
        </w:tc>
        <w:tc>
          <w:tcPr>
            <w:tcW w:w="1399" w:type="dxa"/>
          </w:tcPr>
          <w:p w14:paraId="389695F7"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0.0197</w:t>
            </w:r>
          </w:p>
        </w:tc>
      </w:tr>
      <w:tr w:rsidR="00C47E0F" w:rsidRPr="00B07007" w14:paraId="51D917BF" w14:textId="77777777" w:rsidTr="00EA0201">
        <w:trPr>
          <w:trHeight w:val="290"/>
        </w:trPr>
        <w:tc>
          <w:tcPr>
            <w:tcW w:w="2304" w:type="dxa"/>
          </w:tcPr>
          <w:p w14:paraId="273EA4BD"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Breasts</w:t>
            </w:r>
          </w:p>
        </w:tc>
        <w:tc>
          <w:tcPr>
            <w:tcW w:w="1397" w:type="dxa"/>
          </w:tcPr>
          <w:p w14:paraId="2942BFAD"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0.0107</w:t>
            </w:r>
          </w:p>
        </w:tc>
        <w:tc>
          <w:tcPr>
            <w:tcW w:w="1395" w:type="dxa"/>
          </w:tcPr>
          <w:p w14:paraId="00C02199"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0.0134</w:t>
            </w:r>
          </w:p>
        </w:tc>
        <w:tc>
          <w:tcPr>
            <w:tcW w:w="1397" w:type="dxa"/>
          </w:tcPr>
          <w:p w14:paraId="65D5A493"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0.0239</w:t>
            </w:r>
          </w:p>
        </w:tc>
        <w:tc>
          <w:tcPr>
            <w:tcW w:w="1397" w:type="dxa"/>
          </w:tcPr>
          <w:p w14:paraId="50178BDF"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0.0377</w:t>
            </w:r>
          </w:p>
        </w:tc>
        <w:tc>
          <w:tcPr>
            <w:tcW w:w="1399" w:type="dxa"/>
          </w:tcPr>
          <w:p w14:paraId="325DC19B"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0.0697</w:t>
            </w:r>
          </w:p>
        </w:tc>
      </w:tr>
      <w:tr w:rsidR="00C47E0F" w:rsidRPr="00B07007" w14:paraId="5A29F297" w14:textId="77777777" w:rsidTr="00EA0201">
        <w:trPr>
          <w:trHeight w:val="292"/>
        </w:trPr>
        <w:tc>
          <w:tcPr>
            <w:tcW w:w="2304" w:type="dxa"/>
          </w:tcPr>
          <w:p w14:paraId="1070DC52"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Gallbladder Wall</w:t>
            </w:r>
          </w:p>
        </w:tc>
        <w:tc>
          <w:tcPr>
            <w:tcW w:w="1397" w:type="dxa"/>
          </w:tcPr>
          <w:p w14:paraId="54C0F8C6"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0.1090</w:t>
            </w:r>
          </w:p>
        </w:tc>
        <w:tc>
          <w:tcPr>
            <w:tcW w:w="1395" w:type="dxa"/>
          </w:tcPr>
          <w:p w14:paraId="0A14AC9C"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0.1240</w:t>
            </w:r>
          </w:p>
        </w:tc>
        <w:tc>
          <w:tcPr>
            <w:tcW w:w="1397" w:type="dxa"/>
          </w:tcPr>
          <w:p w14:paraId="562E86A1"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0.1610</w:t>
            </w:r>
          </w:p>
        </w:tc>
        <w:tc>
          <w:tcPr>
            <w:tcW w:w="1397" w:type="dxa"/>
          </w:tcPr>
          <w:p w14:paraId="51EFC3E6"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0.2530</w:t>
            </w:r>
          </w:p>
        </w:tc>
        <w:tc>
          <w:tcPr>
            <w:tcW w:w="1399" w:type="dxa"/>
          </w:tcPr>
          <w:p w14:paraId="763B4098"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0.4500</w:t>
            </w:r>
          </w:p>
        </w:tc>
      </w:tr>
      <w:tr w:rsidR="00C47E0F" w:rsidRPr="00B07007" w14:paraId="0E48E895" w14:textId="77777777" w:rsidTr="00EA0201">
        <w:trPr>
          <w:trHeight w:val="289"/>
        </w:trPr>
        <w:tc>
          <w:tcPr>
            <w:tcW w:w="2304" w:type="dxa"/>
          </w:tcPr>
          <w:p w14:paraId="164C6FF0"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LLI Wall</w:t>
            </w:r>
          </w:p>
        </w:tc>
        <w:tc>
          <w:tcPr>
            <w:tcW w:w="1397" w:type="dxa"/>
          </w:tcPr>
          <w:p w14:paraId="0D6EFEF1"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0.0104</w:t>
            </w:r>
          </w:p>
        </w:tc>
        <w:tc>
          <w:tcPr>
            <w:tcW w:w="1395" w:type="dxa"/>
          </w:tcPr>
          <w:p w14:paraId="7637123A"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0.0097</w:t>
            </w:r>
          </w:p>
        </w:tc>
        <w:tc>
          <w:tcPr>
            <w:tcW w:w="1397" w:type="dxa"/>
          </w:tcPr>
          <w:p w14:paraId="39C3417E"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0.0167</w:t>
            </w:r>
          </w:p>
        </w:tc>
        <w:tc>
          <w:tcPr>
            <w:tcW w:w="1397" w:type="dxa"/>
          </w:tcPr>
          <w:p w14:paraId="12B45385"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0.0292</w:t>
            </w:r>
          </w:p>
        </w:tc>
        <w:tc>
          <w:tcPr>
            <w:tcW w:w="1399" w:type="dxa"/>
          </w:tcPr>
          <w:p w14:paraId="2AF4D981"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0.0522</w:t>
            </w:r>
          </w:p>
        </w:tc>
      </w:tr>
      <w:tr w:rsidR="00C47E0F" w:rsidRPr="00B07007" w14:paraId="0630CAC6" w14:textId="77777777" w:rsidTr="00EA0201">
        <w:trPr>
          <w:trHeight w:val="290"/>
        </w:trPr>
        <w:tc>
          <w:tcPr>
            <w:tcW w:w="2304" w:type="dxa"/>
          </w:tcPr>
          <w:p w14:paraId="1E0F50E1"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Small Intestine</w:t>
            </w:r>
          </w:p>
        </w:tc>
        <w:tc>
          <w:tcPr>
            <w:tcW w:w="1397" w:type="dxa"/>
          </w:tcPr>
          <w:p w14:paraId="4C9E9CC8"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0.1090</w:t>
            </w:r>
          </w:p>
        </w:tc>
        <w:tc>
          <w:tcPr>
            <w:tcW w:w="1395" w:type="dxa"/>
          </w:tcPr>
          <w:p w14:paraId="7BF184B6"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0.0244</w:t>
            </w:r>
          </w:p>
        </w:tc>
        <w:tc>
          <w:tcPr>
            <w:tcW w:w="1397" w:type="dxa"/>
          </w:tcPr>
          <w:p w14:paraId="7B7D3512"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0.0434</w:t>
            </w:r>
          </w:p>
        </w:tc>
        <w:tc>
          <w:tcPr>
            <w:tcW w:w="1397" w:type="dxa"/>
          </w:tcPr>
          <w:p w14:paraId="0D69F698"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0.0731</w:t>
            </w:r>
          </w:p>
        </w:tc>
        <w:tc>
          <w:tcPr>
            <w:tcW w:w="1399" w:type="dxa"/>
          </w:tcPr>
          <w:p w14:paraId="3525CCDB"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0.1260</w:t>
            </w:r>
          </w:p>
        </w:tc>
      </w:tr>
      <w:tr w:rsidR="00C47E0F" w:rsidRPr="00B07007" w14:paraId="243A6851" w14:textId="77777777" w:rsidTr="00EA0201">
        <w:trPr>
          <w:trHeight w:val="292"/>
        </w:trPr>
        <w:tc>
          <w:tcPr>
            <w:tcW w:w="2304" w:type="dxa"/>
          </w:tcPr>
          <w:p w14:paraId="18DFBFE9"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Stomach Wall</w:t>
            </w:r>
          </w:p>
        </w:tc>
        <w:tc>
          <w:tcPr>
            <w:tcW w:w="1397" w:type="dxa"/>
          </w:tcPr>
          <w:p w14:paraId="5AD2070A"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0.0556</w:t>
            </w:r>
          </w:p>
        </w:tc>
        <w:tc>
          <w:tcPr>
            <w:tcW w:w="1395" w:type="dxa"/>
          </w:tcPr>
          <w:p w14:paraId="4664E9B7"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0.0381</w:t>
            </w:r>
          </w:p>
        </w:tc>
        <w:tc>
          <w:tcPr>
            <w:tcW w:w="1397" w:type="dxa"/>
          </w:tcPr>
          <w:p w14:paraId="2866FE94"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0.0648</w:t>
            </w:r>
          </w:p>
        </w:tc>
        <w:tc>
          <w:tcPr>
            <w:tcW w:w="1397" w:type="dxa"/>
          </w:tcPr>
          <w:p w14:paraId="1241393A"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0.1040</w:t>
            </w:r>
          </w:p>
        </w:tc>
        <w:tc>
          <w:tcPr>
            <w:tcW w:w="1399" w:type="dxa"/>
          </w:tcPr>
          <w:p w14:paraId="6B3D2828"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0.1860</w:t>
            </w:r>
          </w:p>
        </w:tc>
      </w:tr>
      <w:tr w:rsidR="00C47E0F" w:rsidRPr="00B07007" w14:paraId="4C89C034" w14:textId="77777777" w:rsidTr="00EA0201">
        <w:trPr>
          <w:trHeight w:val="290"/>
        </w:trPr>
        <w:tc>
          <w:tcPr>
            <w:tcW w:w="2304" w:type="dxa"/>
          </w:tcPr>
          <w:p w14:paraId="6FC0A08C"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ULI Wall</w:t>
            </w:r>
          </w:p>
        </w:tc>
        <w:tc>
          <w:tcPr>
            <w:tcW w:w="1397" w:type="dxa"/>
          </w:tcPr>
          <w:p w14:paraId="4BDC12BF"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0.0297</w:t>
            </w:r>
          </w:p>
        </w:tc>
        <w:tc>
          <w:tcPr>
            <w:tcW w:w="1395" w:type="dxa"/>
          </w:tcPr>
          <w:p w14:paraId="54C7F4D7"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0.0334</w:t>
            </w:r>
          </w:p>
        </w:tc>
        <w:tc>
          <w:tcPr>
            <w:tcW w:w="1397" w:type="dxa"/>
          </w:tcPr>
          <w:p w14:paraId="1608B293"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0.0609</w:t>
            </w:r>
          </w:p>
        </w:tc>
        <w:tc>
          <w:tcPr>
            <w:tcW w:w="1397" w:type="dxa"/>
          </w:tcPr>
          <w:p w14:paraId="66B77C67"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0.1050</w:t>
            </w:r>
          </w:p>
        </w:tc>
        <w:tc>
          <w:tcPr>
            <w:tcW w:w="1399" w:type="dxa"/>
          </w:tcPr>
          <w:p w14:paraId="282C74CE"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0.1830</w:t>
            </w:r>
          </w:p>
        </w:tc>
      </w:tr>
      <w:tr w:rsidR="00C47E0F" w:rsidRPr="00B07007" w14:paraId="4C93FBD1" w14:textId="77777777" w:rsidTr="00EA0201">
        <w:trPr>
          <w:trHeight w:val="292"/>
        </w:trPr>
        <w:tc>
          <w:tcPr>
            <w:tcW w:w="2304" w:type="dxa"/>
          </w:tcPr>
          <w:p w14:paraId="5B9F5BA9"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Heart Wall</w:t>
            </w:r>
          </w:p>
        </w:tc>
        <w:tc>
          <w:tcPr>
            <w:tcW w:w="1397" w:type="dxa"/>
          </w:tcPr>
          <w:p w14:paraId="0B8C5B42"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0.0415</w:t>
            </w:r>
          </w:p>
        </w:tc>
        <w:tc>
          <w:tcPr>
            <w:tcW w:w="1395" w:type="dxa"/>
          </w:tcPr>
          <w:p w14:paraId="2295A5EE"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0.0535</w:t>
            </w:r>
          </w:p>
        </w:tc>
        <w:tc>
          <w:tcPr>
            <w:tcW w:w="1397" w:type="dxa"/>
          </w:tcPr>
          <w:p w14:paraId="620B62B7"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0.0805</w:t>
            </w:r>
          </w:p>
        </w:tc>
        <w:tc>
          <w:tcPr>
            <w:tcW w:w="1397" w:type="dxa"/>
          </w:tcPr>
          <w:p w14:paraId="69D6FCB7"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0.1190</w:t>
            </w:r>
          </w:p>
        </w:tc>
        <w:tc>
          <w:tcPr>
            <w:tcW w:w="1399" w:type="dxa"/>
          </w:tcPr>
          <w:p w14:paraId="77A9EA71"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0.2090</w:t>
            </w:r>
          </w:p>
        </w:tc>
      </w:tr>
      <w:tr w:rsidR="00C47E0F" w:rsidRPr="00B07007" w14:paraId="2AA844E6" w14:textId="77777777" w:rsidTr="00EA0201">
        <w:trPr>
          <w:trHeight w:val="289"/>
        </w:trPr>
        <w:tc>
          <w:tcPr>
            <w:tcW w:w="2304" w:type="dxa"/>
          </w:tcPr>
          <w:p w14:paraId="64306A0C"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Kidneys</w:t>
            </w:r>
          </w:p>
        </w:tc>
        <w:tc>
          <w:tcPr>
            <w:tcW w:w="1397" w:type="dxa"/>
          </w:tcPr>
          <w:p w14:paraId="3061487E"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0.3720</w:t>
            </w:r>
          </w:p>
        </w:tc>
        <w:tc>
          <w:tcPr>
            <w:tcW w:w="1395" w:type="dxa"/>
          </w:tcPr>
          <w:p w14:paraId="1F26E676"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0.4490</w:t>
            </w:r>
          </w:p>
        </w:tc>
        <w:tc>
          <w:tcPr>
            <w:tcW w:w="1397" w:type="dxa"/>
          </w:tcPr>
          <w:p w14:paraId="32640ACB"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0.6460</w:t>
            </w:r>
          </w:p>
        </w:tc>
        <w:tc>
          <w:tcPr>
            <w:tcW w:w="1397" w:type="dxa"/>
          </w:tcPr>
          <w:p w14:paraId="42FEE3FD"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0.956</w:t>
            </w:r>
          </w:p>
        </w:tc>
        <w:tc>
          <w:tcPr>
            <w:tcW w:w="1399" w:type="dxa"/>
          </w:tcPr>
          <w:p w14:paraId="477D3D5F"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1.7200</w:t>
            </w:r>
          </w:p>
        </w:tc>
      </w:tr>
      <w:tr w:rsidR="00C47E0F" w:rsidRPr="00B07007" w14:paraId="1791F1BA" w14:textId="77777777" w:rsidTr="00EA0201">
        <w:trPr>
          <w:trHeight w:val="290"/>
        </w:trPr>
        <w:tc>
          <w:tcPr>
            <w:tcW w:w="2304" w:type="dxa"/>
          </w:tcPr>
          <w:p w14:paraId="1467E7CD"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Liver</w:t>
            </w:r>
          </w:p>
        </w:tc>
        <w:tc>
          <w:tcPr>
            <w:tcW w:w="1397" w:type="dxa"/>
          </w:tcPr>
          <w:p w14:paraId="71345872"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5.5600</w:t>
            </w:r>
          </w:p>
        </w:tc>
        <w:tc>
          <w:tcPr>
            <w:tcW w:w="1395" w:type="dxa"/>
          </w:tcPr>
          <w:p w14:paraId="0031F75E"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7.5600</w:t>
            </w:r>
          </w:p>
        </w:tc>
        <w:tc>
          <w:tcPr>
            <w:tcW w:w="1397" w:type="dxa"/>
          </w:tcPr>
          <w:p w14:paraId="17EB7EA2"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11.900</w:t>
            </w:r>
          </w:p>
        </w:tc>
        <w:tc>
          <w:tcPr>
            <w:tcW w:w="1397" w:type="dxa"/>
          </w:tcPr>
          <w:p w14:paraId="4065CA25"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17.900</w:t>
            </w:r>
          </w:p>
        </w:tc>
        <w:tc>
          <w:tcPr>
            <w:tcW w:w="1399" w:type="dxa"/>
          </w:tcPr>
          <w:p w14:paraId="1C08C59E"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35.700</w:t>
            </w:r>
          </w:p>
        </w:tc>
      </w:tr>
      <w:tr w:rsidR="00C47E0F" w:rsidRPr="00B07007" w14:paraId="0C6DCAF0" w14:textId="77777777" w:rsidTr="00EA0201">
        <w:trPr>
          <w:trHeight w:val="292"/>
        </w:trPr>
        <w:tc>
          <w:tcPr>
            <w:tcW w:w="2304" w:type="dxa"/>
          </w:tcPr>
          <w:p w14:paraId="54F3304E"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Lungs</w:t>
            </w:r>
          </w:p>
        </w:tc>
        <w:tc>
          <w:tcPr>
            <w:tcW w:w="1397" w:type="dxa"/>
          </w:tcPr>
          <w:p w14:paraId="109101F9"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0.0574</w:t>
            </w:r>
          </w:p>
        </w:tc>
        <w:tc>
          <w:tcPr>
            <w:tcW w:w="1395" w:type="dxa"/>
          </w:tcPr>
          <w:p w14:paraId="26055492"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0.0808</w:t>
            </w:r>
          </w:p>
        </w:tc>
        <w:tc>
          <w:tcPr>
            <w:tcW w:w="1397" w:type="dxa"/>
          </w:tcPr>
          <w:p w14:paraId="358A37D6"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0.1140</w:t>
            </w:r>
          </w:p>
        </w:tc>
        <w:tc>
          <w:tcPr>
            <w:tcW w:w="1397" w:type="dxa"/>
          </w:tcPr>
          <w:p w14:paraId="128CDB92"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0.1720</w:t>
            </w:r>
          </w:p>
        </w:tc>
        <w:tc>
          <w:tcPr>
            <w:tcW w:w="1399" w:type="dxa"/>
          </w:tcPr>
          <w:p w14:paraId="40D026D0"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0.3230</w:t>
            </w:r>
          </w:p>
        </w:tc>
      </w:tr>
      <w:tr w:rsidR="00C47E0F" w:rsidRPr="00B07007" w14:paraId="3050CD54" w14:textId="77777777" w:rsidTr="00EA0201">
        <w:trPr>
          <w:trHeight w:val="290"/>
        </w:trPr>
        <w:tc>
          <w:tcPr>
            <w:tcW w:w="2304" w:type="dxa"/>
          </w:tcPr>
          <w:p w14:paraId="6B0F16B4"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Muscle</w:t>
            </w:r>
          </w:p>
        </w:tc>
        <w:tc>
          <w:tcPr>
            <w:tcW w:w="1397" w:type="dxa"/>
          </w:tcPr>
          <w:p w14:paraId="3CE6D61A"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0.0143</w:t>
            </w:r>
          </w:p>
        </w:tc>
        <w:tc>
          <w:tcPr>
            <w:tcW w:w="1395" w:type="dxa"/>
          </w:tcPr>
          <w:p w14:paraId="7EB06DB2"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0.0180</w:t>
            </w:r>
          </w:p>
        </w:tc>
        <w:tc>
          <w:tcPr>
            <w:tcW w:w="1397" w:type="dxa"/>
          </w:tcPr>
          <w:p w14:paraId="516D4617"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0.0260</w:t>
            </w:r>
          </w:p>
        </w:tc>
        <w:tc>
          <w:tcPr>
            <w:tcW w:w="1397" w:type="dxa"/>
          </w:tcPr>
          <w:p w14:paraId="6826C714"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0.0386</w:t>
            </w:r>
          </w:p>
        </w:tc>
        <w:tc>
          <w:tcPr>
            <w:tcW w:w="1399" w:type="dxa"/>
          </w:tcPr>
          <w:p w14:paraId="32B04B98"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0.0697</w:t>
            </w:r>
          </w:p>
        </w:tc>
      </w:tr>
      <w:tr w:rsidR="00C47E0F" w:rsidRPr="00B07007" w14:paraId="66E850DC" w14:textId="77777777" w:rsidTr="00EA0201">
        <w:trPr>
          <w:trHeight w:val="292"/>
        </w:trPr>
        <w:tc>
          <w:tcPr>
            <w:tcW w:w="2304" w:type="dxa"/>
          </w:tcPr>
          <w:p w14:paraId="26E1D174"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Ovaries</w:t>
            </w:r>
          </w:p>
        </w:tc>
        <w:tc>
          <w:tcPr>
            <w:tcW w:w="1397" w:type="dxa"/>
          </w:tcPr>
          <w:p w14:paraId="402D22FC"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0.0106</w:t>
            </w:r>
          </w:p>
        </w:tc>
        <w:tc>
          <w:tcPr>
            <w:tcW w:w="1395" w:type="dxa"/>
          </w:tcPr>
          <w:p w14:paraId="1EA40134"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0.0129</w:t>
            </w:r>
          </w:p>
        </w:tc>
        <w:tc>
          <w:tcPr>
            <w:tcW w:w="1397" w:type="dxa"/>
          </w:tcPr>
          <w:p w14:paraId="14CEF1B3"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0.0224</w:t>
            </w:r>
          </w:p>
        </w:tc>
        <w:tc>
          <w:tcPr>
            <w:tcW w:w="1397" w:type="dxa"/>
          </w:tcPr>
          <w:p w14:paraId="621B1048"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0.0379</w:t>
            </w:r>
          </w:p>
        </w:tc>
        <w:tc>
          <w:tcPr>
            <w:tcW w:w="1399" w:type="dxa"/>
          </w:tcPr>
          <w:p w14:paraId="434C7319"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0.0709</w:t>
            </w:r>
          </w:p>
        </w:tc>
      </w:tr>
      <w:tr w:rsidR="00C47E0F" w:rsidRPr="00B07007" w14:paraId="2FD80502" w14:textId="77777777" w:rsidTr="00EA0201">
        <w:trPr>
          <w:trHeight w:val="289"/>
        </w:trPr>
        <w:tc>
          <w:tcPr>
            <w:tcW w:w="2304" w:type="dxa"/>
          </w:tcPr>
          <w:p w14:paraId="7972EC66"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Pancreas</w:t>
            </w:r>
          </w:p>
        </w:tc>
        <w:tc>
          <w:tcPr>
            <w:tcW w:w="1397" w:type="dxa"/>
          </w:tcPr>
          <w:p w14:paraId="48E3F526"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0.0663</w:t>
            </w:r>
          </w:p>
        </w:tc>
        <w:tc>
          <w:tcPr>
            <w:tcW w:w="1395" w:type="dxa"/>
          </w:tcPr>
          <w:p w14:paraId="6C408273"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0.0818</w:t>
            </w:r>
          </w:p>
        </w:tc>
        <w:tc>
          <w:tcPr>
            <w:tcW w:w="1397" w:type="dxa"/>
          </w:tcPr>
          <w:p w14:paraId="01D97935"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0.1250</w:t>
            </w:r>
          </w:p>
        </w:tc>
        <w:tc>
          <w:tcPr>
            <w:tcW w:w="1397" w:type="dxa"/>
          </w:tcPr>
          <w:p w14:paraId="0F0B8A73"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0.1900</w:t>
            </w:r>
          </w:p>
        </w:tc>
        <w:tc>
          <w:tcPr>
            <w:tcW w:w="1399" w:type="dxa"/>
          </w:tcPr>
          <w:p w14:paraId="48CB06FD"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0.3050</w:t>
            </w:r>
          </w:p>
        </w:tc>
      </w:tr>
      <w:tr w:rsidR="00C47E0F" w:rsidRPr="00B07007" w14:paraId="64FDDB8B" w14:textId="77777777" w:rsidTr="00EA0201">
        <w:trPr>
          <w:trHeight w:val="290"/>
        </w:trPr>
        <w:tc>
          <w:tcPr>
            <w:tcW w:w="2304" w:type="dxa"/>
          </w:tcPr>
          <w:p w14:paraId="0D44E330"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Red Marrow</w:t>
            </w:r>
          </w:p>
        </w:tc>
        <w:tc>
          <w:tcPr>
            <w:tcW w:w="1397" w:type="dxa"/>
          </w:tcPr>
          <w:p w14:paraId="26CC6A87"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0.5910</w:t>
            </w:r>
          </w:p>
        </w:tc>
        <w:tc>
          <w:tcPr>
            <w:tcW w:w="1395" w:type="dxa"/>
          </w:tcPr>
          <w:p w14:paraId="0B1F7877"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0.6670</w:t>
            </w:r>
          </w:p>
        </w:tc>
        <w:tc>
          <w:tcPr>
            <w:tcW w:w="1397" w:type="dxa"/>
          </w:tcPr>
          <w:p w14:paraId="515D2247"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1.2300</w:t>
            </w:r>
          </w:p>
        </w:tc>
        <w:tc>
          <w:tcPr>
            <w:tcW w:w="1397" w:type="dxa"/>
          </w:tcPr>
          <w:p w14:paraId="7CF8EEB5"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2.6200</w:t>
            </w:r>
          </w:p>
        </w:tc>
        <w:tc>
          <w:tcPr>
            <w:tcW w:w="1399" w:type="dxa"/>
          </w:tcPr>
          <w:p w14:paraId="74EA8BB0"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6.6000</w:t>
            </w:r>
          </w:p>
        </w:tc>
      </w:tr>
      <w:tr w:rsidR="00C47E0F" w:rsidRPr="00B07007" w14:paraId="460599F1" w14:textId="77777777" w:rsidTr="00EA0201">
        <w:trPr>
          <w:trHeight w:val="289"/>
        </w:trPr>
        <w:tc>
          <w:tcPr>
            <w:tcW w:w="2304" w:type="dxa"/>
          </w:tcPr>
          <w:p w14:paraId="79DC4008"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Osteogenic Cells</w:t>
            </w:r>
          </w:p>
        </w:tc>
        <w:tc>
          <w:tcPr>
            <w:tcW w:w="1397" w:type="dxa"/>
          </w:tcPr>
          <w:p w14:paraId="11915943"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2.1500</w:t>
            </w:r>
          </w:p>
        </w:tc>
        <w:tc>
          <w:tcPr>
            <w:tcW w:w="1395" w:type="dxa"/>
          </w:tcPr>
          <w:p w14:paraId="101A179D"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2.8100</w:t>
            </w:r>
          </w:p>
        </w:tc>
        <w:tc>
          <w:tcPr>
            <w:tcW w:w="1397" w:type="dxa"/>
          </w:tcPr>
          <w:p w14:paraId="5408A552"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4.5900</w:t>
            </w:r>
          </w:p>
        </w:tc>
        <w:tc>
          <w:tcPr>
            <w:tcW w:w="1397" w:type="dxa"/>
          </w:tcPr>
          <w:p w14:paraId="6ABB18F9"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7.8000</w:t>
            </w:r>
          </w:p>
        </w:tc>
        <w:tc>
          <w:tcPr>
            <w:tcW w:w="1399" w:type="dxa"/>
          </w:tcPr>
          <w:p w14:paraId="26B9EEA9"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18.800</w:t>
            </w:r>
          </w:p>
        </w:tc>
      </w:tr>
      <w:tr w:rsidR="00C47E0F" w:rsidRPr="00B07007" w14:paraId="343412AE" w14:textId="77777777" w:rsidTr="00EA0201">
        <w:trPr>
          <w:trHeight w:val="289"/>
        </w:trPr>
        <w:tc>
          <w:tcPr>
            <w:tcW w:w="2304" w:type="dxa"/>
          </w:tcPr>
          <w:p w14:paraId="5FEF9681"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Skin</w:t>
            </w:r>
          </w:p>
        </w:tc>
        <w:tc>
          <w:tcPr>
            <w:tcW w:w="1397" w:type="dxa"/>
          </w:tcPr>
          <w:p w14:paraId="056DB88B"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0.0073</w:t>
            </w:r>
          </w:p>
        </w:tc>
        <w:tc>
          <w:tcPr>
            <w:tcW w:w="1395" w:type="dxa"/>
          </w:tcPr>
          <w:p w14:paraId="5D4D72A1" w14:textId="77777777" w:rsidR="00C47E0F" w:rsidRPr="00B07007" w:rsidRDefault="00C47E0F" w:rsidP="000270FC">
            <w:pPr>
              <w:keepNext/>
              <w:widowControl w:val="0"/>
              <w:autoSpaceDE w:val="0"/>
              <w:autoSpaceDN w:val="0"/>
              <w:spacing w:before="1" w:after="0" w:line="240" w:lineRule="auto"/>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0.0091</w:t>
            </w:r>
          </w:p>
        </w:tc>
        <w:tc>
          <w:tcPr>
            <w:tcW w:w="1397" w:type="dxa"/>
          </w:tcPr>
          <w:p w14:paraId="7F3364EC"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0.0140</w:t>
            </w:r>
          </w:p>
        </w:tc>
        <w:tc>
          <w:tcPr>
            <w:tcW w:w="1397" w:type="dxa"/>
          </w:tcPr>
          <w:p w14:paraId="71B3BB26"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0.0217</w:t>
            </w:r>
          </w:p>
        </w:tc>
        <w:tc>
          <w:tcPr>
            <w:tcW w:w="1399" w:type="dxa"/>
          </w:tcPr>
          <w:p w14:paraId="171FA61B" w14:textId="77777777" w:rsidR="00C47E0F" w:rsidRPr="00B07007" w:rsidRDefault="00C47E0F" w:rsidP="000270FC">
            <w:pPr>
              <w:keepNext/>
              <w:widowControl w:val="0"/>
              <w:autoSpaceDE w:val="0"/>
              <w:autoSpaceDN w:val="0"/>
              <w:spacing w:before="1" w:after="0" w:line="240" w:lineRule="auto"/>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0.0412</w:t>
            </w:r>
          </w:p>
        </w:tc>
      </w:tr>
      <w:tr w:rsidR="00C47E0F" w:rsidRPr="00B07007" w14:paraId="24376DDC" w14:textId="77777777" w:rsidTr="00EA0201">
        <w:trPr>
          <w:trHeight w:val="290"/>
        </w:trPr>
        <w:tc>
          <w:tcPr>
            <w:tcW w:w="2304" w:type="dxa"/>
          </w:tcPr>
          <w:p w14:paraId="4CBD71E1"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Spleen</w:t>
            </w:r>
          </w:p>
        </w:tc>
        <w:tc>
          <w:tcPr>
            <w:tcW w:w="1397" w:type="dxa"/>
          </w:tcPr>
          <w:p w14:paraId="1AC6A852"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5.7300</w:t>
            </w:r>
          </w:p>
        </w:tc>
        <w:tc>
          <w:tcPr>
            <w:tcW w:w="1395" w:type="dxa"/>
          </w:tcPr>
          <w:p w14:paraId="523414A0" w14:textId="77777777" w:rsidR="00C47E0F" w:rsidRPr="00B07007" w:rsidRDefault="00C47E0F" w:rsidP="000270FC">
            <w:pPr>
              <w:keepNext/>
              <w:widowControl w:val="0"/>
              <w:autoSpaceDE w:val="0"/>
              <w:autoSpaceDN w:val="0"/>
              <w:spacing w:before="1" w:after="0" w:line="240" w:lineRule="auto"/>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8.5000</w:t>
            </w:r>
          </w:p>
        </w:tc>
        <w:tc>
          <w:tcPr>
            <w:tcW w:w="1397" w:type="dxa"/>
          </w:tcPr>
          <w:p w14:paraId="330818DD"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13.500</w:t>
            </w:r>
          </w:p>
        </w:tc>
        <w:tc>
          <w:tcPr>
            <w:tcW w:w="1397" w:type="dxa"/>
          </w:tcPr>
          <w:p w14:paraId="58AEAED9"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21.600</w:t>
            </w:r>
          </w:p>
        </w:tc>
        <w:tc>
          <w:tcPr>
            <w:tcW w:w="1399" w:type="dxa"/>
          </w:tcPr>
          <w:p w14:paraId="4076AF7F" w14:textId="77777777" w:rsidR="00C47E0F" w:rsidRPr="00B07007" w:rsidRDefault="00C47E0F" w:rsidP="000270FC">
            <w:pPr>
              <w:keepNext/>
              <w:widowControl w:val="0"/>
              <w:autoSpaceDE w:val="0"/>
              <w:autoSpaceDN w:val="0"/>
              <w:spacing w:before="1" w:after="0" w:line="240" w:lineRule="auto"/>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40.700</w:t>
            </w:r>
          </w:p>
        </w:tc>
      </w:tr>
      <w:tr w:rsidR="00C47E0F" w:rsidRPr="00B07007" w14:paraId="2C52BF29" w14:textId="77777777" w:rsidTr="00EA0201">
        <w:trPr>
          <w:trHeight w:val="294"/>
        </w:trPr>
        <w:tc>
          <w:tcPr>
            <w:tcW w:w="2304" w:type="dxa"/>
          </w:tcPr>
          <w:p w14:paraId="7D7E58C6"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Testes</w:t>
            </w:r>
          </w:p>
        </w:tc>
        <w:tc>
          <w:tcPr>
            <w:tcW w:w="1397" w:type="dxa"/>
          </w:tcPr>
          <w:p w14:paraId="7320AB8C" w14:textId="77777777" w:rsidR="00C47E0F" w:rsidRPr="00B07007" w:rsidRDefault="00C47E0F" w:rsidP="000270FC">
            <w:pPr>
              <w:keepNext/>
              <w:widowControl w:val="0"/>
              <w:autoSpaceDE w:val="0"/>
              <w:autoSpaceDN w:val="0"/>
              <w:spacing w:before="1" w:after="0" w:line="240" w:lineRule="auto"/>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0.0022</w:t>
            </w:r>
          </w:p>
        </w:tc>
        <w:tc>
          <w:tcPr>
            <w:tcW w:w="1395" w:type="dxa"/>
          </w:tcPr>
          <w:p w14:paraId="4762115F" w14:textId="77777777" w:rsidR="00C47E0F" w:rsidRPr="00B07007" w:rsidRDefault="00C47E0F" w:rsidP="000270FC">
            <w:pPr>
              <w:keepNext/>
              <w:widowControl w:val="0"/>
              <w:autoSpaceDE w:val="0"/>
              <w:autoSpaceDN w:val="0"/>
              <w:spacing w:before="1" w:after="0" w:line="240" w:lineRule="auto"/>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0.0029</w:t>
            </w:r>
          </w:p>
        </w:tc>
        <w:tc>
          <w:tcPr>
            <w:tcW w:w="1397" w:type="dxa"/>
          </w:tcPr>
          <w:p w14:paraId="18413890"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0.0049</w:t>
            </w:r>
          </w:p>
        </w:tc>
        <w:tc>
          <w:tcPr>
            <w:tcW w:w="1397" w:type="dxa"/>
          </w:tcPr>
          <w:p w14:paraId="1923B7FE" w14:textId="77777777" w:rsidR="00C47E0F" w:rsidRPr="00B07007" w:rsidRDefault="00C47E0F" w:rsidP="000270FC">
            <w:pPr>
              <w:keepNext/>
              <w:widowControl w:val="0"/>
              <w:autoSpaceDE w:val="0"/>
              <w:autoSpaceDN w:val="0"/>
              <w:spacing w:before="1" w:after="0" w:line="240" w:lineRule="auto"/>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0.0088</w:t>
            </w:r>
          </w:p>
        </w:tc>
        <w:tc>
          <w:tcPr>
            <w:tcW w:w="1399" w:type="dxa"/>
          </w:tcPr>
          <w:p w14:paraId="0A565049" w14:textId="77777777" w:rsidR="00C47E0F" w:rsidRPr="00B07007" w:rsidRDefault="00C47E0F" w:rsidP="000270FC">
            <w:pPr>
              <w:keepNext/>
              <w:widowControl w:val="0"/>
              <w:autoSpaceDE w:val="0"/>
              <w:autoSpaceDN w:val="0"/>
              <w:spacing w:before="1" w:after="0" w:line="240" w:lineRule="auto"/>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0.0188</w:t>
            </w:r>
          </w:p>
        </w:tc>
      </w:tr>
      <w:tr w:rsidR="00C47E0F" w:rsidRPr="00B07007" w14:paraId="1625F69B" w14:textId="77777777" w:rsidTr="00EA0201">
        <w:trPr>
          <w:trHeight w:val="290"/>
        </w:trPr>
        <w:tc>
          <w:tcPr>
            <w:tcW w:w="2304" w:type="dxa"/>
          </w:tcPr>
          <w:p w14:paraId="7D7C5C09"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Thymus</w:t>
            </w:r>
          </w:p>
        </w:tc>
        <w:tc>
          <w:tcPr>
            <w:tcW w:w="1397" w:type="dxa"/>
          </w:tcPr>
          <w:p w14:paraId="26E3C4CD" w14:textId="77777777" w:rsidR="00C47E0F" w:rsidRPr="00B07007" w:rsidRDefault="00C47E0F" w:rsidP="000270FC">
            <w:pPr>
              <w:keepNext/>
              <w:widowControl w:val="0"/>
              <w:autoSpaceDE w:val="0"/>
              <w:autoSpaceDN w:val="0"/>
              <w:spacing w:after="0" w:line="251" w:lineRule="exact"/>
              <w:ind w:left="107"/>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0.0102</w:t>
            </w:r>
          </w:p>
        </w:tc>
        <w:tc>
          <w:tcPr>
            <w:tcW w:w="1395" w:type="dxa"/>
          </w:tcPr>
          <w:p w14:paraId="0B01A5F2" w14:textId="77777777" w:rsidR="00C47E0F" w:rsidRPr="00B07007" w:rsidRDefault="00C47E0F" w:rsidP="000270FC">
            <w:pPr>
              <w:keepNext/>
              <w:widowControl w:val="0"/>
              <w:autoSpaceDE w:val="0"/>
              <w:autoSpaceDN w:val="0"/>
              <w:spacing w:after="0" w:line="251" w:lineRule="exact"/>
              <w:ind w:left="105"/>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0.0128</w:t>
            </w:r>
          </w:p>
        </w:tc>
        <w:tc>
          <w:tcPr>
            <w:tcW w:w="1397" w:type="dxa"/>
          </w:tcPr>
          <w:p w14:paraId="5947F49A"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0.0179</w:t>
            </w:r>
          </w:p>
        </w:tc>
        <w:tc>
          <w:tcPr>
            <w:tcW w:w="1397" w:type="dxa"/>
          </w:tcPr>
          <w:p w14:paraId="387FA0EC" w14:textId="77777777" w:rsidR="00C47E0F" w:rsidRPr="00B07007" w:rsidRDefault="00C47E0F" w:rsidP="000270FC">
            <w:pPr>
              <w:keepNext/>
              <w:widowControl w:val="0"/>
              <w:autoSpaceDE w:val="0"/>
              <w:autoSpaceDN w:val="0"/>
              <w:spacing w:after="0" w:line="251" w:lineRule="exact"/>
              <w:ind w:left="106"/>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0.0276</w:t>
            </w:r>
          </w:p>
        </w:tc>
        <w:tc>
          <w:tcPr>
            <w:tcW w:w="1399" w:type="dxa"/>
          </w:tcPr>
          <w:p w14:paraId="134D4392" w14:textId="77777777" w:rsidR="00C47E0F" w:rsidRPr="00B07007" w:rsidRDefault="00C47E0F" w:rsidP="000270FC">
            <w:pPr>
              <w:keepNext/>
              <w:widowControl w:val="0"/>
              <w:autoSpaceDE w:val="0"/>
              <w:autoSpaceDN w:val="0"/>
              <w:spacing w:after="0" w:line="251" w:lineRule="exact"/>
              <w:ind w:left="104"/>
              <w:rPr>
                <w:rFonts w:asciiTheme="minorHAnsi" w:eastAsia="Times New Roman" w:hAnsiTheme="minorHAnsi" w:cstheme="minorHAnsi"/>
                <w:color w:val="auto"/>
                <w:sz w:val="22"/>
                <w:szCs w:val="22"/>
              </w:rPr>
            </w:pPr>
            <w:r w:rsidRPr="00B07007">
              <w:rPr>
                <w:rFonts w:asciiTheme="minorHAnsi" w:eastAsia="Times New Roman" w:hAnsiTheme="minorHAnsi" w:cstheme="minorHAnsi"/>
                <w:color w:val="auto"/>
                <w:sz w:val="22"/>
                <w:szCs w:val="22"/>
              </w:rPr>
              <w:t>0.0469</w:t>
            </w:r>
          </w:p>
        </w:tc>
      </w:tr>
    </w:tbl>
    <w:p w14:paraId="281B4E01" w14:textId="77777777" w:rsidR="000270FC" w:rsidRDefault="000270FC" w:rsidP="00EA0201">
      <w:pPr>
        <w:autoSpaceDE w:val="0"/>
        <w:autoSpaceDN w:val="0"/>
        <w:adjustRightInd w:val="0"/>
        <w:spacing w:after="0" w:line="240" w:lineRule="auto"/>
        <w:rPr>
          <w:rFonts w:asciiTheme="minorHAnsi" w:eastAsiaTheme="minorHAnsi" w:hAnsiTheme="minorHAnsi" w:cstheme="minorHAnsi"/>
          <w:color w:val="auto"/>
          <w:sz w:val="22"/>
          <w:szCs w:val="22"/>
          <w:lang w:val="en-AU"/>
        </w:rPr>
      </w:pPr>
    </w:p>
    <w:p w14:paraId="3E5E69E4" w14:textId="565C2599" w:rsidR="00EA0201" w:rsidRPr="00B07007" w:rsidRDefault="00EA0201" w:rsidP="00EA0201">
      <w:pPr>
        <w:autoSpaceDE w:val="0"/>
        <w:autoSpaceDN w:val="0"/>
        <w:adjustRightInd w:val="0"/>
        <w:spacing w:after="0" w:line="240" w:lineRule="auto"/>
        <w:rPr>
          <w:rFonts w:asciiTheme="minorHAnsi" w:hAnsiTheme="minorHAnsi" w:cstheme="minorHAnsi"/>
          <w:sz w:val="22"/>
          <w:szCs w:val="22"/>
        </w:rPr>
      </w:pPr>
      <w:r w:rsidRPr="00B07007">
        <w:rPr>
          <w:rFonts w:asciiTheme="minorHAnsi" w:eastAsiaTheme="minorHAnsi" w:hAnsiTheme="minorHAnsi" w:cstheme="minorHAnsi"/>
          <w:color w:val="auto"/>
          <w:sz w:val="22"/>
          <w:szCs w:val="22"/>
          <w:lang w:val="en-AU"/>
        </w:rPr>
        <w:t xml:space="preserve">The effective dose to a 73.7 kg adult resulting from an inadvertently injected intravenous activity of 1 </w:t>
      </w:r>
      <w:proofErr w:type="spellStart"/>
      <w:r w:rsidRPr="00B07007">
        <w:rPr>
          <w:rFonts w:asciiTheme="minorHAnsi" w:eastAsiaTheme="minorHAnsi" w:hAnsiTheme="minorHAnsi" w:cstheme="minorHAnsi"/>
          <w:color w:val="auto"/>
          <w:sz w:val="22"/>
          <w:szCs w:val="22"/>
          <w:lang w:val="en-AU"/>
        </w:rPr>
        <w:t>GBq</w:t>
      </w:r>
      <w:proofErr w:type="spellEnd"/>
      <w:r w:rsidRPr="00B07007">
        <w:rPr>
          <w:rFonts w:asciiTheme="minorHAnsi" w:eastAsiaTheme="minorHAnsi" w:hAnsiTheme="minorHAnsi" w:cstheme="minorHAnsi"/>
          <w:color w:val="auto"/>
          <w:sz w:val="22"/>
          <w:szCs w:val="22"/>
          <w:lang w:val="en-AU"/>
        </w:rPr>
        <w:t xml:space="preserve"> would be 534 mSv.</w:t>
      </w:r>
    </w:p>
    <w:p w14:paraId="45B354B5" w14:textId="044C237F" w:rsidR="00AC78CA" w:rsidRDefault="00AC78CA" w:rsidP="00EA0201">
      <w:pPr>
        <w:pStyle w:val="Heading3"/>
        <w:rPr>
          <w:rFonts w:asciiTheme="minorHAnsi" w:hAnsiTheme="minorHAnsi" w:cstheme="minorHAnsi"/>
          <w:szCs w:val="22"/>
        </w:rPr>
      </w:pPr>
      <w:r w:rsidRPr="00B07007">
        <w:rPr>
          <w:rFonts w:asciiTheme="minorHAnsi" w:hAnsiTheme="minorHAnsi" w:cstheme="minorHAnsi"/>
          <w:szCs w:val="22"/>
        </w:rPr>
        <w:t>Method of administration</w:t>
      </w:r>
    </w:p>
    <w:p w14:paraId="42B6BEE8" w14:textId="77777777" w:rsidR="00CE2A7C" w:rsidRPr="002F3947" w:rsidRDefault="00CE2A7C" w:rsidP="00CE2A7C">
      <w:pPr>
        <w:rPr>
          <w:rFonts w:asciiTheme="minorHAnsi" w:hAnsiTheme="minorHAnsi" w:cstheme="minorHAnsi"/>
          <w:sz w:val="22"/>
          <w:szCs w:val="22"/>
        </w:rPr>
      </w:pPr>
      <w:bookmarkStart w:id="3" w:name="_Hlk57021399"/>
      <w:r w:rsidRPr="002F3947">
        <w:rPr>
          <w:rFonts w:asciiTheme="minorHAnsi" w:hAnsiTheme="minorHAnsi" w:cstheme="minorHAnsi"/>
          <w:sz w:val="22"/>
          <w:szCs w:val="22"/>
        </w:rPr>
        <w:t>Lutetium chloride should not be administered directly to the patient.</w:t>
      </w:r>
    </w:p>
    <w:bookmarkEnd w:id="3"/>
    <w:p w14:paraId="21911366" w14:textId="77777777" w:rsidR="009D3D34" w:rsidRPr="002B4B59" w:rsidRDefault="009D3D34" w:rsidP="000270FC">
      <w:pPr>
        <w:pStyle w:val="BodyText"/>
        <w:spacing w:before="2"/>
        <w:ind w:left="426" w:right="120"/>
        <w:rPr>
          <w:rFonts w:asciiTheme="minorHAnsi" w:hAnsiTheme="minorHAnsi" w:cstheme="minorHAnsi"/>
          <w:sz w:val="22"/>
        </w:rPr>
      </w:pPr>
      <w:r w:rsidRPr="002B4B59">
        <w:rPr>
          <w:rFonts w:asciiTheme="minorHAnsi" w:hAnsiTheme="minorHAnsi" w:cstheme="minorHAnsi"/>
          <w:sz w:val="22"/>
        </w:rPr>
        <w:t>Before each administration and during the treatment, biological tests are required to re-assess the patient’s condition and adapt the therapeutic protocol if necessary (dose, infusion interval, number of infusions).</w:t>
      </w:r>
    </w:p>
    <w:p w14:paraId="55A20313" w14:textId="576A25A6" w:rsidR="009D3D34" w:rsidRPr="00572358" w:rsidRDefault="009D3D34" w:rsidP="0022452B">
      <w:pPr>
        <w:rPr>
          <w:rFonts w:asciiTheme="minorHAnsi" w:hAnsiTheme="minorHAnsi" w:cstheme="minorHAnsi"/>
          <w:sz w:val="22"/>
        </w:rPr>
      </w:pPr>
      <w:r w:rsidRPr="0022452B">
        <w:rPr>
          <w:rFonts w:asciiTheme="minorHAnsi" w:eastAsia="Times New Roman" w:hAnsiTheme="minorHAnsi" w:cstheme="minorHAnsi"/>
          <w:color w:val="auto"/>
          <w:sz w:val="22"/>
          <w:szCs w:val="22"/>
        </w:rPr>
        <w:t>The minimum laboratory tests needed before each infusion are:</w:t>
      </w:r>
    </w:p>
    <w:p w14:paraId="435CD3A2" w14:textId="1922AED1" w:rsidR="009D3D34" w:rsidRPr="0022452B" w:rsidRDefault="009D3D34" w:rsidP="0022452B">
      <w:pPr>
        <w:pStyle w:val="ListParagraph"/>
        <w:numPr>
          <w:ilvl w:val="0"/>
          <w:numId w:val="3"/>
        </w:numPr>
        <w:rPr>
          <w:rFonts w:asciiTheme="minorHAnsi" w:eastAsia="Times New Roman" w:hAnsiTheme="minorHAnsi" w:cstheme="minorHAnsi"/>
          <w:color w:val="auto"/>
          <w:sz w:val="22"/>
          <w:szCs w:val="22"/>
        </w:rPr>
      </w:pPr>
      <w:r w:rsidRPr="0022452B">
        <w:rPr>
          <w:rFonts w:asciiTheme="minorHAnsi" w:eastAsia="Times New Roman" w:hAnsiTheme="minorHAnsi" w:cstheme="minorHAnsi"/>
          <w:color w:val="auto"/>
          <w:sz w:val="22"/>
          <w:szCs w:val="22"/>
        </w:rPr>
        <w:t>Liver function (alanine aminotransferase [ALAT], aspartate aminotransferase [ASAT], albumin, bilirubin)</w:t>
      </w:r>
    </w:p>
    <w:p w14:paraId="5B2FBE9F" w14:textId="2517944A" w:rsidR="009D3D34" w:rsidRPr="0022452B" w:rsidRDefault="009D3D34" w:rsidP="0022452B">
      <w:pPr>
        <w:pStyle w:val="ListParagraph"/>
        <w:numPr>
          <w:ilvl w:val="0"/>
          <w:numId w:val="3"/>
        </w:numPr>
        <w:rPr>
          <w:rFonts w:asciiTheme="minorHAnsi" w:eastAsia="Times New Roman" w:hAnsiTheme="minorHAnsi" w:cstheme="minorHAnsi"/>
          <w:color w:val="auto"/>
          <w:sz w:val="22"/>
          <w:szCs w:val="22"/>
        </w:rPr>
      </w:pPr>
      <w:r w:rsidRPr="0022452B">
        <w:rPr>
          <w:rFonts w:asciiTheme="minorHAnsi" w:eastAsia="Times New Roman" w:hAnsiTheme="minorHAnsi" w:cstheme="minorHAnsi"/>
          <w:color w:val="auto"/>
          <w:sz w:val="22"/>
          <w:szCs w:val="22"/>
        </w:rPr>
        <w:lastRenderedPageBreak/>
        <w:t>Kidney function (creatinine and creatinine clearance)</w:t>
      </w:r>
    </w:p>
    <w:p w14:paraId="51B0D29F" w14:textId="5994BBDC" w:rsidR="009D3D34" w:rsidRPr="0022452B" w:rsidRDefault="009D3D34" w:rsidP="0022452B">
      <w:pPr>
        <w:pStyle w:val="ListParagraph"/>
        <w:numPr>
          <w:ilvl w:val="0"/>
          <w:numId w:val="3"/>
        </w:numPr>
        <w:rPr>
          <w:rFonts w:asciiTheme="minorHAnsi" w:eastAsia="Times New Roman" w:hAnsiTheme="minorHAnsi" w:cstheme="minorHAnsi"/>
          <w:color w:val="auto"/>
          <w:sz w:val="22"/>
          <w:szCs w:val="22"/>
        </w:rPr>
      </w:pPr>
      <w:proofErr w:type="spellStart"/>
      <w:r w:rsidRPr="0022452B">
        <w:rPr>
          <w:rFonts w:asciiTheme="minorHAnsi" w:eastAsia="Times New Roman" w:hAnsiTheme="minorHAnsi" w:cstheme="minorHAnsi"/>
          <w:color w:val="auto"/>
          <w:sz w:val="22"/>
          <w:szCs w:val="22"/>
        </w:rPr>
        <w:t>Haematology</w:t>
      </w:r>
      <w:proofErr w:type="spellEnd"/>
      <w:r w:rsidRPr="0022452B">
        <w:rPr>
          <w:rFonts w:asciiTheme="minorHAnsi" w:eastAsia="Times New Roman" w:hAnsiTheme="minorHAnsi" w:cstheme="minorHAnsi"/>
          <w:color w:val="auto"/>
          <w:sz w:val="22"/>
          <w:szCs w:val="22"/>
        </w:rPr>
        <w:t xml:space="preserve"> (</w:t>
      </w:r>
      <w:proofErr w:type="spellStart"/>
      <w:r w:rsidRPr="0022452B">
        <w:rPr>
          <w:rFonts w:asciiTheme="minorHAnsi" w:eastAsia="Times New Roman" w:hAnsiTheme="minorHAnsi" w:cstheme="minorHAnsi"/>
          <w:color w:val="auto"/>
          <w:sz w:val="22"/>
          <w:szCs w:val="22"/>
        </w:rPr>
        <w:t>Haemoglobin</w:t>
      </w:r>
      <w:proofErr w:type="spellEnd"/>
      <w:r w:rsidRPr="0022452B">
        <w:rPr>
          <w:rFonts w:asciiTheme="minorHAnsi" w:eastAsia="Times New Roman" w:hAnsiTheme="minorHAnsi" w:cstheme="minorHAnsi"/>
          <w:color w:val="auto"/>
          <w:sz w:val="22"/>
          <w:szCs w:val="22"/>
        </w:rPr>
        <w:t xml:space="preserve"> [Hb], white blood count, platelet count)</w:t>
      </w:r>
    </w:p>
    <w:p w14:paraId="1048C18E" w14:textId="28781600" w:rsidR="009D3D34" w:rsidRPr="00572358" w:rsidRDefault="009D3D34" w:rsidP="0022452B">
      <w:pPr>
        <w:rPr>
          <w:rFonts w:asciiTheme="minorHAnsi" w:hAnsiTheme="minorHAnsi" w:cstheme="minorHAnsi"/>
          <w:sz w:val="22"/>
        </w:rPr>
      </w:pPr>
      <w:r w:rsidRPr="0022452B">
        <w:rPr>
          <w:rFonts w:asciiTheme="minorHAnsi" w:eastAsia="Times New Roman" w:hAnsiTheme="minorHAnsi" w:cstheme="minorHAnsi"/>
          <w:color w:val="auto"/>
          <w:sz w:val="22"/>
          <w:szCs w:val="22"/>
        </w:rPr>
        <w:t>These tests should be performed at least once within 2 to 4 weeks prior to administration and shortly before the administration. It is also recommended to perform these tests every 4 weeks for at least</w:t>
      </w:r>
      <w:r w:rsidR="002B4B59" w:rsidRPr="00572358">
        <w:rPr>
          <w:rFonts w:asciiTheme="minorHAnsi" w:eastAsia="Times New Roman" w:hAnsiTheme="minorHAnsi" w:cstheme="minorHAnsi"/>
          <w:color w:val="auto"/>
          <w:sz w:val="22"/>
          <w:szCs w:val="22"/>
        </w:rPr>
        <w:t xml:space="preserve"> </w:t>
      </w:r>
      <w:r w:rsidRPr="00572358">
        <w:rPr>
          <w:rFonts w:asciiTheme="minorHAnsi" w:eastAsia="Times New Roman" w:hAnsiTheme="minorHAnsi" w:cstheme="minorHAnsi"/>
          <w:color w:val="auto"/>
          <w:sz w:val="22"/>
          <w:szCs w:val="22"/>
        </w:rPr>
        <w:t xml:space="preserve">3 months after the last infusion of </w:t>
      </w:r>
      <w:proofErr w:type="gramStart"/>
      <w:r w:rsidR="00DD3C13">
        <w:rPr>
          <w:rFonts w:asciiTheme="minorHAnsi" w:eastAsia="Times New Roman" w:hAnsiTheme="minorHAnsi" w:cstheme="minorHAnsi"/>
          <w:color w:val="auto"/>
          <w:sz w:val="22"/>
          <w:szCs w:val="22"/>
        </w:rPr>
        <w:t>l</w:t>
      </w:r>
      <w:r w:rsidRPr="0022452B">
        <w:rPr>
          <w:rFonts w:asciiTheme="minorHAnsi" w:eastAsia="Times New Roman" w:hAnsiTheme="minorHAnsi" w:cstheme="minorHAnsi"/>
          <w:color w:val="auto"/>
          <w:sz w:val="22"/>
          <w:szCs w:val="22"/>
        </w:rPr>
        <w:t>u</w:t>
      </w:r>
      <w:r w:rsidR="00DD3C13">
        <w:rPr>
          <w:rFonts w:asciiTheme="minorHAnsi" w:eastAsia="Times New Roman" w:hAnsiTheme="minorHAnsi" w:cstheme="minorHAnsi"/>
          <w:color w:val="auto"/>
          <w:sz w:val="22"/>
          <w:szCs w:val="22"/>
        </w:rPr>
        <w:t>tetium</w:t>
      </w:r>
      <w:r w:rsidRPr="0022452B">
        <w:rPr>
          <w:rFonts w:asciiTheme="minorHAnsi" w:eastAsia="Times New Roman" w:hAnsiTheme="minorHAnsi" w:cstheme="minorHAnsi"/>
          <w:color w:val="auto"/>
          <w:sz w:val="22"/>
          <w:szCs w:val="22"/>
        </w:rPr>
        <w:t>-based</w:t>
      </w:r>
      <w:proofErr w:type="gramEnd"/>
      <w:r w:rsidRPr="0022452B">
        <w:rPr>
          <w:rFonts w:asciiTheme="minorHAnsi" w:eastAsia="Times New Roman" w:hAnsiTheme="minorHAnsi" w:cstheme="minorHAnsi"/>
          <w:color w:val="auto"/>
          <w:sz w:val="22"/>
          <w:szCs w:val="22"/>
        </w:rPr>
        <w:t xml:space="preserve"> PRRT </w:t>
      </w:r>
      <w:r w:rsidRPr="00572358">
        <w:rPr>
          <w:rFonts w:asciiTheme="minorHAnsi" w:eastAsia="Times New Roman" w:hAnsiTheme="minorHAnsi" w:cstheme="minorHAnsi"/>
          <w:color w:val="auto"/>
          <w:sz w:val="22"/>
          <w:szCs w:val="22"/>
        </w:rPr>
        <w:t>and every 6 months thereof, in order to be able to detect possible delayed adverse reactions (see section 4.8). Dosing may need to be modified based on the tests results.</w:t>
      </w:r>
    </w:p>
    <w:p w14:paraId="52363030" w14:textId="77777777" w:rsidR="009D3D34" w:rsidRPr="0022452B" w:rsidRDefault="009D3D34" w:rsidP="0022452B">
      <w:pPr>
        <w:pStyle w:val="Heading3"/>
        <w:rPr>
          <w:rFonts w:asciiTheme="minorHAnsi" w:hAnsiTheme="minorHAnsi" w:cstheme="minorHAnsi"/>
          <w:b w:val="0"/>
          <w:szCs w:val="22"/>
        </w:rPr>
      </w:pPr>
      <w:r w:rsidRPr="0022452B">
        <w:rPr>
          <w:rFonts w:asciiTheme="minorHAnsi" w:hAnsiTheme="minorHAnsi" w:cstheme="minorHAnsi"/>
          <w:szCs w:val="22"/>
        </w:rPr>
        <w:t>Dose modification</w:t>
      </w:r>
    </w:p>
    <w:p w14:paraId="142DBC4A" w14:textId="78275A1D" w:rsidR="002F3947" w:rsidRDefault="009D3D34" w:rsidP="002F3947">
      <w:pPr>
        <w:pStyle w:val="BodyText"/>
        <w:spacing w:before="1"/>
        <w:ind w:left="426" w:right="120"/>
        <w:rPr>
          <w:rFonts w:asciiTheme="minorHAnsi" w:hAnsiTheme="minorHAnsi" w:cstheme="minorHAnsi"/>
          <w:b/>
          <w:sz w:val="22"/>
        </w:rPr>
      </w:pPr>
      <w:r w:rsidRPr="000270FC">
        <w:rPr>
          <w:rFonts w:asciiTheme="minorHAnsi" w:hAnsiTheme="minorHAnsi" w:cstheme="minorHAnsi"/>
          <w:sz w:val="22"/>
        </w:rPr>
        <w:t xml:space="preserve">In some circumstances, it might be necessary to temporarily discontinue treatment with </w:t>
      </w:r>
      <w:proofErr w:type="gramStart"/>
      <w:r w:rsidR="00973FB2" w:rsidRPr="00D725EB">
        <w:rPr>
          <w:rFonts w:asciiTheme="minorHAnsi" w:eastAsia="AdvTT7c3c51d9" w:hAnsiTheme="minorHAnsi" w:cstheme="minorHAnsi"/>
          <w:sz w:val="22"/>
        </w:rPr>
        <w:t>lutetium</w:t>
      </w:r>
      <w:r w:rsidRPr="000270FC">
        <w:rPr>
          <w:rFonts w:asciiTheme="minorHAnsi" w:eastAsia="AdvTT7c3c51d9" w:hAnsiTheme="minorHAnsi" w:cstheme="minorHAnsi"/>
          <w:sz w:val="22"/>
        </w:rPr>
        <w:t>-based</w:t>
      </w:r>
      <w:proofErr w:type="gramEnd"/>
      <w:r w:rsidRPr="000270FC">
        <w:rPr>
          <w:rFonts w:asciiTheme="minorHAnsi" w:eastAsia="AdvTT7c3c51d9" w:hAnsiTheme="minorHAnsi" w:cstheme="minorHAnsi"/>
          <w:sz w:val="22"/>
        </w:rPr>
        <w:t xml:space="preserve"> PRRT</w:t>
      </w:r>
      <w:r w:rsidR="002F3947">
        <w:rPr>
          <w:rFonts w:asciiTheme="minorHAnsi" w:eastAsia="AdvTT7c3c51d9" w:hAnsiTheme="minorHAnsi" w:cstheme="minorHAnsi"/>
          <w:sz w:val="22"/>
        </w:rPr>
        <w:t xml:space="preserve">, </w:t>
      </w:r>
      <w:r w:rsidRPr="000270FC">
        <w:rPr>
          <w:rFonts w:asciiTheme="minorHAnsi" w:hAnsiTheme="minorHAnsi" w:cstheme="minorHAnsi"/>
          <w:sz w:val="22"/>
        </w:rPr>
        <w:t>adapt the dose after the first administration</w:t>
      </w:r>
      <w:r w:rsidR="002F3947">
        <w:rPr>
          <w:rFonts w:asciiTheme="minorHAnsi" w:hAnsiTheme="minorHAnsi" w:cstheme="minorHAnsi"/>
          <w:sz w:val="22"/>
        </w:rPr>
        <w:t>,</w:t>
      </w:r>
      <w:r w:rsidRPr="000270FC">
        <w:rPr>
          <w:rFonts w:asciiTheme="minorHAnsi" w:hAnsiTheme="minorHAnsi" w:cstheme="minorHAnsi"/>
          <w:sz w:val="22"/>
        </w:rPr>
        <w:t xml:space="preserve"> or even discontinue the treatment</w:t>
      </w:r>
      <w:r w:rsidR="002F3947">
        <w:rPr>
          <w:rFonts w:asciiTheme="minorHAnsi" w:hAnsiTheme="minorHAnsi" w:cstheme="minorHAnsi"/>
          <w:b/>
          <w:sz w:val="22"/>
        </w:rPr>
        <w:t>.</w:t>
      </w:r>
    </w:p>
    <w:p w14:paraId="43FA7831" w14:textId="3F63261F" w:rsidR="00C00CA3" w:rsidRPr="00B07007" w:rsidRDefault="00C00CA3" w:rsidP="0046346A">
      <w:pPr>
        <w:pStyle w:val="Heading2"/>
        <w:rPr>
          <w:rFonts w:asciiTheme="minorHAnsi" w:hAnsiTheme="minorHAnsi" w:cstheme="minorHAnsi"/>
          <w:szCs w:val="22"/>
        </w:rPr>
      </w:pPr>
      <w:r w:rsidRPr="00B07007">
        <w:rPr>
          <w:rFonts w:asciiTheme="minorHAnsi" w:hAnsiTheme="minorHAnsi" w:cstheme="minorHAnsi"/>
          <w:szCs w:val="22"/>
        </w:rPr>
        <w:t>Contraindications</w:t>
      </w:r>
    </w:p>
    <w:p w14:paraId="427FAEBC" w14:textId="7EAB1E5E" w:rsidR="00C00CA3" w:rsidRPr="006B16BC" w:rsidRDefault="00C00CA3" w:rsidP="006B16BC">
      <w:pPr>
        <w:pStyle w:val="ListParagraph"/>
        <w:numPr>
          <w:ilvl w:val="0"/>
          <w:numId w:val="34"/>
        </w:numPr>
        <w:rPr>
          <w:rFonts w:asciiTheme="minorHAnsi" w:hAnsiTheme="minorHAnsi" w:cstheme="minorHAnsi"/>
          <w:sz w:val="22"/>
          <w:szCs w:val="22"/>
        </w:rPr>
      </w:pPr>
      <w:r w:rsidRPr="006B16BC">
        <w:rPr>
          <w:rFonts w:asciiTheme="minorHAnsi" w:hAnsiTheme="minorHAnsi" w:cstheme="minorHAnsi"/>
          <w:sz w:val="22"/>
          <w:szCs w:val="22"/>
        </w:rPr>
        <w:t>Hypersensitivity to the active substance or to any of the excipients listed in section 6.1</w:t>
      </w:r>
      <w:r w:rsidR="00B2616E" w:rsidRPr="006B16BC">
        <w:rPr>
          <w:rFonts w:asciiTheme="minorHAnsi" w:hAnsiTheme="minorHAnsi" w:cstheme="minorHAnsi"/>
          <w:sz w:val="22"/>
          <w:szCs w:val="22"/>
        </w:rPr>
        <w:t xml:space="preserve"> List of excipients</w:t>
      </w:r>
      <w:r w:rsidRPr="006B16BC">
        <w:rPr>
          <w:rFonts w:asciiTheme="minorHAnsi" w:hAnsiTheme="minorHAnsi" w:cstheme="minorHAnsi"/>
          <w:sz w:val="22"/>
          <w:szCs w:val="22"/>
        </w:rPr>
        <w:t xml:space="preserve">. </w:t>
      </w:r>
    </w:p>
    <w:p w14:paraId="7D3E747C" w14:textId="77777777" w:rsidR="003033EB" w:rsidRPr="006B16BC" w:rsidRDefault="003033EB" w:rsidP="006B16BC">
      <w:pPr>
        <w:pStyle w:val="ListParagraph"/>
        <w:numPr>
          <w:ilvl w:val="0"/>
          <w:numId w:val="34"/>
        </w:numPr>
        <w:spacing w:after="160" w:line="259" w:lineRule="auto"/>
        <w:rPr>
          <w:rFonts w:asciiTheme="minorHAnsi" w:hAnsiTheme="minorHAnsi" w:cstheme="minorHAnsi"/>
          <w:b/>
          <w:bCs/>
          <w:sz w:val="22"/>
          <w:szCs w:val="22"/>
        </w:rPr>
      </w:pPr>
      <w:r w:rsidRPr="006B16BC">
        <w:rPr>
          <w:rFonts w:asciiTheme="minorHAnsi" w:hAnsiTheme="minorHAnsi" w:cstheme="minorHAnsi"/>
          <w:color w:val="231F20"/>
          <w:sz w:val="22"/>
          <w:szCs w:val="22"/>
        </w:rPr>
        <w:t>Severe hepatic impairment, i.e., total bilirubin &gt;3 upper limit of normal or both an albumin &lt;25 g/L and prothrombin time increased &gt;1.5 upper limit of normal, indicating biosynthetic liver failure should be an absolute contraindication.</w:t>
      </w:r>
    </w:p>
    <w:p w14:paraId="6007C3F6" w14:textId="58C5F94A" w:rsidR="003033EB" w:rsidRPr="00BD21C8" w:rsidRDefault="003033EB" w:rsidP="006B16BC">
      <w:pPr>
        <w:pStyle w:val="ListParagraph"/>
        <w:numPr>
          <w:ilvl w:val="0"/>
          <w:numId w:val="34"/>
        </w:numPr>
        <w:spacing w:after="160" w:line="259" w:lineRule="auto"/>
        <w:rPr>
          <w:rFonts w:asciiTheme="minorHAnsi" w:hAnsiTheme="minorHAnsi" w:cstheme="minorHAnsi"/>
          <w:b/>
          <w:bCs/>
          <w:sz w:val="22"/>
          <w:szCs w:val="22"/>
        </w:rPr>
      </w:pPr>
      <w:r w:rsidRPr="006B16BC">
        <w:rPr>
          <w:rFonts w:asciiTheme="minorHAnsi" w:hAnsiTheme="minorHAnsi" w:cstheme="minorHAnsi"/>
          <w:color w:val="231F20"/>
          <w:sz w:val="22"/>
          <w:szCs w:val="22"/>
        </w:rPr>
        <w:t xml:space="preserve">Severe cardiac impairment (New York Heart Association grade III or IV) </w:t>
      </w:r>
      <w:r w:rsidR="00BD21C8">
        <w:rPr>
          <w:rFonts w:asciiTheme="minorHAnsi" w:hAnsiTheme="minorHAnsi" w:cstheme="minorHAnsi"/>
          <w:color w:val="231F20"/>
          <w:sz w:val="22"/>
          <w:szCs w:val="22"/>
        </w:rPr>
        <w:t>should be an absolute contraindication.</w:t>
      </w:r>
    </w:p>
    <w:p w14:paraId="3DF97276" w14:textId="174FBDB2" w:rsidR="00BD21C8" w:rsidRPr="006B16BC" w:rsidRDefault="00BD21C8" w:rsidP="006B16BC">
      <w:pPr>
        <w:pStyle w:val="ListParagraph"/>
        <w:numPr>
          <w:ilvl w:val="0"/>
          <w:numId w:val="34"/>
        </w:numPr>
        <w:spacing w:after="160" w:line="259" w:lineRule="auto"/>
        <w:rPr>
          <w:rFonts w:asciiTheme="minorHAnsi" w:hAnsiTheme="minorHAnsi" w:cstheme="minorHAnsi"/>
          <w:b/>
          <w:bCs/>
          <w:sz w:val="22"/>
          <w:szCs w:val="22"/>
        </w:rPr>
      </w:pPr>
      <w:r>
        <w:rPr>
          <w:rFonts w:asciiTheme="minorHAnsi" w:hAnsiTheme="minorHAnsi" w:cstheme="minorHAnsi"/>
          <w:sz w:val="22"/>
          <w:szCs w:val="22"/>
        </w:rPr>
        <w:t>Pregnancy or ongoing lactation.</w:t>
      </w:r>
    </w:p>
    <w:p w14:paraId="69F5E1A4" w14:textId="39187C7E" w:rsidR="005B3C0B" w:rsidRPr="006B16BC" w:rsidRDefault="00C00CA3" w:rsidP="006B16BC">
      <w:pPr>
        <w:pStyle w:val="ListParagraph"/>
        <w:numPr>
          <w:ilvl w:val="0"/>
          <w:numId w:val="34"/>
        </w:numPr>
        <w:rPr>
          <w:rFonts w:asciiTheme="minorHAnsi" w:hAnsiTheme="minorHAnsi" w:cstheme="minorHAnsi"/>
          <w:sz w:val="22"/>
          <w:szCs w:val="22"/>
        </w:rPr>
      </w:pPr>
      <w:r w:rsidRPr="006B16BC">
        <w:rPr>
          <w:rFonts w:asciiTheme="minorHAnsi" w:hAnsiTheme="minorHAnsi" w:cstheme="minorHAnsi"/>
          <w:sz w:val="22"/>
          <w:szCs w:val="22"/>
        </w:rPr>
        <w:t>Established or suspected pregnancy or when pregnancy has not been excluded (see section 4.6</w:t>
      </w:r>
      <w:r w:rsidR="00BF470F" w:rsidRPr="006B16BC">
        <w:rPr>
          <w:rFonts w:asciiTheme="minorHAnsi" w:hAnsiTheme="minorHAnsi" w:cstheme="minorHAnsi"/>
          <w:sz w:val="22"/>
          <w:szCs w:val="22"/>
        </w:rPr>
        <w:t xml:space="preserve"> Fertility, Pregnancy and Lactation</w:t>
      </w:r>
      <w:r w:rsidRPr="006B16BC">
        <w:rPr>
          <w:rFonts w:asciiTheme="minorHAnsi" w:hAnsiTheme="minorHAnsi" w:cstheme="minorHAnsi"/>
          <w:sz w:val="22"/>
          <w:szCs w:val="22"/>
        </w:rPr>
        <w:t>).</w:t>
      </w:r>
    </w:p>
    <w:p w14:paraId="272168EE" w14:textId="26BFA9E1" w:rsidR="001A3992" w:rsidRPr="00B07007" w:rsidRDefault="00E74A56" w:rsidP="000270FC">
      <w:pPr>
        <w:pStyle w:val="Heading2"/>
        <w:rPr>
          <w:rFonts w:asciiTheme="minorHAnsi" w:hAnsiTheme="minorHAnsi" w:cstheme="minorHAnsi"/>
          <w:szCs w:val="22"/>
        </w:rPr>
      </w:pPr>
      <w:r w:rsidRPr="00B07007">
        <w:rPr>
          <w:rFonts w:asciiTheme="minorHAnsi" w:hAnsiTheme="minorHAnsi" w:cstheme="minorHAnsi"/>
          <w:szCs w:val="22"/>
        </w:rPr>
        <w:t>Special warnings and p</w:t>
      </w:r>
      <w:r w:rsidR="001A3992" w:rsidRPr="00B07007">
        <w:rPr>
          <w:rFonts w:asciiTheme="minorHAnsi" w:hAnsiTheme="minorHAnsi" w:cstheme="minorHAnsi"/>
          <w:szCs w:val="22"/>
        </w:rPr>
        <w:t xml:space="preserve">recautions </w:t>
      </w:r>
      <w:r w:rsidRPr="00B07007">
        <w:rPr>
          <w:rFonts w:asciiTheme="minorHAnsi" w:hAnsiTheme="minorHAnsi" w:cstheme="minorHAnsi"/>
          <w:szCs w:val="22"/>
        </w:rPr>
        <w:t>for use</w:t>
      </w:r>
    </w:p>
    <w:p w14:paraId="7AAE6AC4" w14:textId="72B10ECC" w:rsidR="008C4AA3" w:rsidRPr="008C4AA3" w:rsidRDefault="008C4AA3" w:rsidP="008C4AA3">
      <w:pPr>
        <w:pStyle w:val="Heading3"/>
        <w:keepNext/>
        <w:rPr>
          <w:rFonts w:asciiTheme="minorHAnsi" w:hAnsiTheme="minorHAnsi" w:cstheme="minorHAnsi"/>
          <w:szCs w:val="22"/>
        </w:rPr>
      </w:pPr>
      <w:r w:rsidRPr="008C4AA3">
        <w:rPr>
          <w:rFonts w:asciiTheme="minorHAnsi" w:hAnsiTheme="minorHAnsi" w:cstheme="minorHAnsi"/>
          <w:szCs w:val="22"/>
        </w:rPr>
        <w:t>General</w:t>
      </w:r>
    </w:p>
    <w:p w14:paraId="0AC1D5B4" w14:textId="77777777" w:rsidR="008C4AA3" w:rsidRDefault="008C4AA3" w:rsidP="008C4AA3">
      <w:pPr>
        <w:rPr>
          <w:rFonts w:asciiTheme="minorHAnsi" w:hAnsiTheme="minorHAnsi" w:cstheme="minorHAnsi"/>
          <w:sz w:val="22"/>
          <w:szCs w:val="22"/>
        </w:rPr>
      </w:pPr>
      <w:r w:rsidRPr="008C4AA3">
        <w:rPr>
          <w:rFonts w:asciiTheme="minorHAnsi" w:hAnsiTheme="minorHAnsi" w:cstheme="minorHAnsi"/>
          <w:sz w:val="22"/>
          <w:szCs w:val="22"/>
        </w:rPr>
        <w:t xml:space="preserve">Radiopharmaceuticals should be used only by physicians who are qualified by specific training in the safe use and handling of radionuclides produced by a nuclear reactor or particle accelerator and whose experience and training have been approved by the appropriate government agency </w:t>
      </w:r>
      <w:proofErr w:type="spellStart"/>
      <w:r w:rsidRPr="008C4AA3">
        <w:rPr>
          <w:rFonts w:asciiTheme="minorHAnsi" w:hAnsiTheme="minorHAnsi" w:cstheme="minorHAnsi"/>
          <w:sz w:val="22"/>
          <w:szCs w:val="22"/>
        </w:rPr>
        <w:t>authorised</w:t>
      </w:r>
      <w:proofErr w:type="spellEnd"/>
      <w:r w:rsidRPr="008C4AA3">
        <w:rPr>
          <w:rFonts w:asciiTheme="minorHAnsi" w:hAnsiTheme="minorHAnsi" w:cstheme="minorHAnsi"/>
          <w:sz w:val="22"/>
          <w:szCs w:val="22"/>
        </w:rPr>
        <w:t xml:space="preserve"> to license the use of radionuclides. </w:t>
      </w:r>
    </w:p>
    <w:p w14:paraId="56E0C92B" w14:textId="49F0E63D" w:rsidR="008C4AA3" w:rsidRDefault="008C4AA3" w:rsidP="008C4AA3">
      <w:pPr>
        <w:rPr>
          <w:rFonts w:asciiTheme="minorHAnsi" w:hAnsiTheme="minorHAnsi" w:cstheme="minorHAnsi"/>
          <w:sz w:val="22"/>
          <w:szCs w:val="22"/>
        </w:rPr>
      </w:pPr>
      <w:r w:rsidRPr="008C4AA3">
        <w:rPr>
          <w:rFonts w:asciiTheme="minorHAnsi" w:hAnsiTheme="minorHAnsi" w:cstheme="minorHAnsi"/>
          <w:sz w:val="22"/>
          <w:szCs w:val="22"/>
        </w:rPr>
        <w:t xml:space="preserve">Care should be taken to </w:t>
      </w:r>
      <w:proofErr w:type="spellStart"/>
      <w:r w:rsidRPr="008C4AA3">
        <w:rPr>
          <w:rFonts w:asciiTheme="minorHAnsi" w:hAnsiTheme="minorHAnsi" w:cstheme="minorHAnsi"/>
          <w:sz w:val="22"/>
          <w:szCs w:val="22"/>
        </w:rPr>
        <w:t>minimise</w:t>
      </w:r>
      <w:proofErr w:type="spellEnd"/>
      <w:r w:rsidRPr="008C4AA3">
        <w:rPr>
          <w:rFonts w:asciiTheme="minorHAnsi" w:hAnsiTheme="minorHAnsi" w:cstheme="minorHAnsi"/>
          <w:sz w:val="22"/>
          <w:szCs w:val="22"/>
        </w:rPr>
        <w:t xml:space="preserve"> radiation exposure to patients consistent with proper patient management. </w:t>
      </w:r>
    </w:p>
    <w:p w14:paraId="38B0822A" w14:textId="77777777" w:rsidR="00BF1592" w:rsidRPr="0046476A" w:rsidRDefault="00BF1592" w:rsidP="00BF1592">
      <w:pPr>
        <w:rPr>
          <w:rFonts w:asciiTheme="minorHAnsi" w:hAnsiTheme="minorHAnsi" w:cstheme="minorHAnsi"/>
          <w:sz w:val="22"/>
          <w:szCs w:val="22"/>
        </w:rPr>
      </w:pPr>
      <w:bookmarkStart w:id="4" w:name="_Hlk76552145"/>
      <w:r w:rsidRPr="0046476A">
        <w:rPr>
          <w:rFonts w:asciiTheme="minorHAnsi" w:hAnsiTheme="minorHAnsi" w:cstheme="minorHAnsi"/>
          <w:sz w:val="22"/>
          <w:szCs w:val="22"/>
        </w:rPr>
        <w:t xml:space="preserve">There have been reports of extravasation of lutetium-labelled ligands in the post-marketing setting in Europe. In case of extravasation, infusion of the medicinal product should be </w:t>
      </w:r>
      <w:r w:rsidRPr="0046476A">
        <w:rPr>
          <w:rFonts w:asciiTheme="minorHAnsi" w:hAnsiTheme="minorHAnsi" w:cstheme="minorHAnsi"/>
          <w:sz w:val="22"/>
          <w:szCs w:val="22"/>
        </w:rPr>
        <w:lastRenderedPageBreak/>
        <w:t xml:space="preserve">immediately ceased, and the nuclear medicine physician and the </w:t>
      </w:r>
      <w:proofErr w:type="spellStart"/>
      <w:r w:rsidRPr="0046476A">
        <w:rPr>
          <w:rFonts w:asciiTheme="minorHAnsi" w:hAnsiTheme="minorHAnsi" w:cstheme="minorHAnsi"/>
          <w:sz w:val="22"/>
          <w:szCs w:val="22"/>
        </w:rPr>
        <w:t>radiopharmacist</w:t>
      </w:r>
      <w:proofErr w:type="spellEnd"/>
      <w:r w:rsidRPr="0046476A">
        <w:rPr>
          <w:rFonts w:asciiTheme="minorHAnsi" w:hAnsiTheme="minorHAnsi" w:cstheme="minorHAnsi"/>
          <w:sz w:val="22"/>
          <w:szCs w:val="22"/>
        </w:rPr>
        <w:t xml:space="preserve"> should be promptly informed. Management should be in accordance with local protocols.</w:t>
      </w:r>
    </w:p>
    <w:bookmarkEnd w:id="4"/>
    <w:p w14:paraId="28A7EEBD" w14:textId="7AD8A8CD" w:rsidR="008C4AA3" w:rsidRPr="008C4AA3" w:rsidRDefault="008C4AA3" w:rsidP="008C4AA3">
      <w:pPr>
        <w:rPr>
          <w:rFonts w:asciiTheme="minorHAnsi" w:hAnsiTheme="minorHAnsi" w:cstheme="minorHAnsi"/>
          <w:sz w:val="22"/>
          <w:szCs w:val="22"/>
        </w:rPr>
      </w:pPr>
      <w:r w:rsidRPr="008C4AA3">
        <w:rPr>
          <w:rFonts w:asciiTheme="minorHAnsi" w:hAnsiTheme="minorHAnsi" w:cstheme="minorHAnsi"/>
          <w:sz w:val="22"/>
          <w:szCs w:val="22"/>
        </w:rPr>
        <w:t xml:space="preserve">As with other radioactive drugs, </w:t>
      </w:r>
      <w:r>
        <w:rPr>
          <w:rFonts w:asciiTheme="minorHAnsi" w:hAnsiTheme="minorHAnsi" w:cstheme="minorHAnsi"/>
          <w:sz w:val="22"/>
          <w:szCs w:val="22"/>
        </w:rPr>
        <w:t>lutetium chloride</w:t>
      </w:r>
      <w:r w:rsidRPr="008C4AA3">
        <w:rPr>
          <w:rFonts w:asciiTheme="minorHAnsi" w:hAnsiTheme="minorHAnsi" w:cstheme="minorHAnsi"/>
          <w:sz w:val="22"/>
          <w:szCs w:val="22"/>
        </w:rPr>
        <w:t xml:space="preserve"> must be handled with care and appropriate safety measures should be used to </w:t>
      </w:r>
      <w:proofErr w:type="spellStart"/>
      <w:r w:rsidRPr="008C4AA3">
        <w:rPr>
          <w:rFonts w:asciiTheme="minorHAnsi" w:hAnsiTheme="minorHAnsi" w:cstheme="minorHAnsi"/>
          <w:sz w:val="22"/>
          <w:szCs w:val="22"/>
        </w:rPr>
        <w:t>minimise</w:t>
      </w:r>
      <w:proofErr w:type="spellEnd"/>
      <w:r w:rsidRPr="008C4AA3">
        <w:rPr>
          <w:rFonts w:asciiTheme="minorHAnsi" w:hAnsiTheme="minorHAnsi" w:cstheme="minorHAnsi"/>
          <w:sz w:val="22"/>
          <w:szCs w:val="22"/>
        </w:rPr>
        <w:t xml:space="preserve"> radiation exposure to clinical personnel. Disposal of all radioactive wastes should be carried out in accordance with </w:t>
      </w:r>
      <w:r w:rsidR="00973FB2">
        <w:rPr>
          <w:rFonts w:asciiTheme="minorHAnsi" w:hAnsiTheme="minorHAnsi" w:cstheme="minorHAnsi"/>
          <w:sz w:val="22"/>
          <w:szCs w:val="22"/>
        </w:rPr>
        <w:t>local requirements</w:t>
      </w:r>
      <w:r w:rsidRPr="008C4AA3">
        <w:rPr>
          <w:rFonts w:asciiTheme="minorHAnsi" w:hAnsiTheme="minorHAnsi" w:cstheme="minorHAnsi"/>
          <w:sz w:val="22"/>
          <w:szCs w:val="22"/>
        </w:rPr>
        <w:t xml:space="preserve">. </w:t>
      </w:r>
    </w:p>
    <w:p w14:paraId="21E4F2AF" w14:textId="0D91AD09" w:rsidR="00390705" w:rsidRPr="00B07007" w:rsidRDefault="00390705" w:rsidP="000270FC">
      <w:pPr>
        <w:pStyle w:val="Heading3"/>
        <w:keepNext/>
        <w:rPr>
          <w:rFonts w:asciiTheme="minorHAnsi" w:hAnsiTheme="minorHAnsi" w:cstheme="minorHAnsi"/>
          <w:szCs w:val="22"/>
        </w:rPr>
      </w:pPr>
      <w:r w:rsidRPr="00B07007">
        <w:rPr>
          <w:rFonts w:asciiTheme="minorHAnsi" w:hAnsiTheme="minorHAnsi" w:cstheme="minorHAnsi"/>
          <w:szCs w:val="22"/>
        </w:rPr>
        <w:t>Individual benefit/risk justification</w:t>
      </w:r>
    </w:p>
    <w:p w14:paraId="09420293" w14:textId="77777777" w:rsidR="00973FB2" w:rsidRDefault="0084227D" w:rsidP="007D3372">
      <w:pPr>
        <w:keepNext/>
        <w:ind w:left="426" w:right="120"/>
        <w:rPr>
          <w:rFonts w:asciiTheme="minorHAnsi" w:hAnsiTheme="minorHAnsi" w:cstheme="minorHAnsi"/>
          <w:sz w:val="22"/>
          <w:szCs w:val="22"/>
        </w:rPr>
      </w:pPr>
      <w:r w:rsidRPr="00B07007">
        <w:rPr>
          <w:rFonts w:asciiTheme="minorHAnsi" w:hAnsiTheme="minorHAnsi" w:cstheme="minorHAnsi"/>
          <w:sz w:val="22"/>
          <w:szCs w:val="22"/>
        </w:rPr>
        <w:t xml:space="preserve">For each patient, the radiation exposure must be justifiable by the likely benefit. </w:t>
      </w:r>
    </w:p>
    <w:p w14:paraId="1EF873CB" w14:textId="3554976D" w:rsidR="00C95076" w:rsidRPr="000270FC" w:rsidRDefault="0084227D" w:rsidP="007D3372">
      <w:pPr>
        <w:keepNext/>
        <w:ind w:left="426" w:right="120"/>
        <w:rPr>
          <w:rFonts w:asciiTheme="minorHAnsi" w:hAnsiTheme="minorHAnsi" w:cstheme="minorHAnsi"/>
          <w:sz w:val="22"/>
          <w:szCs w:val="22"/>
        </w:rPr>
      </w:pPr>
      <w:r w:rsidRPr="00B07007">
        <w:rPr>
          <w:rFonts w:asciiTheme="minorHAnsi" w:hAnsiTheme="minorHAnsi" w:cstheme="minorHAnsi"/>
          <w:sz w:val="22"/>
          <w:szCs w:val="22"/>
        </w:rPr>
        <w:t>The activity administered should in every case be as low as reasonably achievable to obtain the required therapeutic effect.</w:t>
      </w:r>
      <w:r w:rsidR="008C4AA3">
        <w:rPr>
          <w:rFonts w:asciiTheme="minorHAnsi" w:hAnsiTheme="minorHAnsi" w:cstheme="minorHAnsi"/>
          <w:sz w:val="22"/>
          <w:szCs w:val="22"/>
        </w:rPr>
        <w:t xml:space="preserve"> </w:t>
      </w:r>
      <w:r w:rsidR="00C95076" w:rsidRPr="000270FC">
        <w:rPr>
          <w:rFonts w:asciiTheme="minorHAnsi" w:hAnsiTheme="minorHAnsi" w:cstheme="minorHAnsi"/>
          <w:sz w:val="22"/>
          <w:szCs w:val="22"/>
        </w:rPr>
        <w:t xml:space="preserve">A patient presenting with any of the conditions below is more prone to develop adverse reactions. Therefore, it is recommended to monitor those patients more frequently during the treatment, with modification of dosing considered as appropriate by the treating physician. </w:t>
      </w:r>
    </w:p>
    <w:p w14:paraId="3C7EF150" w14:textId="4D0AEC30" w:rsidR="00C95076" w:rsidRPr="000270FC" w:rsidRDefault="00C95076" w:rsidP="007D3372">
      <w:pPr>
        <w:pStyle w:val="ListParagraph"/>
        <w:numPr>
          <w:ilvl w:val="0"/>
          <w:numId w:val="32"/>
        </w:numPr>
        <w:spacing w:after="160" w:line="259" w:lineRule="auto"/>
        <w:ind w:left="993"/>
        <w:rPr>
          <w:rFonts w:asciiTheme="minorHAnsi" w:hAnsiTheme="minorHAnsi" w:cstheme="minorHAnsi"/>
          <w:sz w:val="22"/>
          <w:szCs w:val="22"/>
        </w:rPr>
      </w:pPr>
      <w:r w:rsidRPr="000270FC">
        <w:rPr>
          <w:rFonts w:asciiTheme="minorHAnsi" w:hAnsiTheme="minorHAnsi" w:cstheme="minorHAnsi"/>
          <w:color w:val="231F20"/>
          <w:sz w:val="22"/>
          <w:szCs w:val="22"/>
        </w:rPr>
        <w:t xml:space="preserve">Moderate to severe renal impairment (i.e., creatinine clearance &lt;50 ml/min). </w:t>
      </w:r>
      <w:r w:rsidRPr="000270FC">
        <w:rPr>
          <w:rFonts w:asciiTheme="minorHAnsi" w:hAnsiTheme="minorHAnsi" w:cstheme="minorHAnsi"/>
          <w:sz w:val="22"/>
          <w:szCs w:val="22"/>
        </w:rPr>
        <w:t xml:space="preserve">For patients with severe baseline renal dysfunction,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 xml:space="preserve">based PRRT </w:t>
      </w:r>
      <w:r w:rsidRPr="000270FC">
        <w:rPr>
          <w:rFonts w:asciiTheme="minorHAnsi" w:hAnsiTheme="minorHAnsi" w:cstheme="minorHAnsi"/>
          <w:sz w:val="22"/>
          <w:szCs w:val="22"/>
        </w:rPr>
        <w:t>should be used only in exceptional circumstances in consultation with a nephrologist.</w:t>
      </w:r>
    </w:p>
    <w:p w14:paraId="6CFC573C" w14:textId="506D5382" w:rsidR="00C95076" w:rsidRPr="000270FC" w:rsidRDefault="00C95076" w:rsidP="007D3372">
      <w:pPr>
        <w:pStyle w:val="ListParagraph"/>
        <w:numPr>
          <w:ilvl w:val="0"/>
          <w:numId w:val="32"/>
        </w:numPr>
        <w:spacing w:after="160" w:line="259" w:lineRule="auto"/>
        <w:ind w:left="993"/>
        <w:rPr>
          <w:rFonts w:asciiTheme="minorHAnsi" w:hAnsiTheme="minorHAnsi" w:cstheme="minorHAnsi"/>
          <w:color w:val="231F20"/>
          <w:sz w:val="22"/>
          <w:szCs w:val="22"/>
        </w:rPr>
      </w:pPr>
      <w:r w:rsidRPr="000270FC">
        <w:rPr>
          <w:rFonts w:asciiTheme="minorHAnsi" w:hAnsiTheme="minorHAnsi" w:cstheme="minorHAnsi"/>
          <w:color w:val="231F20"/>
          <w:sz w:val="22"/>
          <w:szCs w:val="22"/>
        </w:rPr>
        <w:t xml:space="preserve">Impaired </w:t>
      </w:r>
      <w:proofErr w:type="spellStart"/>
      <w:r w:rsidRPr="000270FC">
        <w:rPr>
          <w:rFonts w:asciiTheme="minorHAnsi" w:hAnsiTheme="minorHAnsi" w:cstheme="minorHAnsi"/>
          <w:color w:val="231F20"/>
          <w:sz w:val="22"/>
          <w:szCs w:val="22"/>
        </w:rPr>
        <w:t>haematological</w:t>
      </w:r>
      <w:proofErr w:type="spellEnd"/>
      <w:r w:rsidRPr="000270FC">
        <w:rPr>
          <w:rFonts w:asciiTheme="minorHAnsi" w:hAnsiTheme="minorHAnsi" w:cstheme="minorHAnsi"/>
          <w:color w:val="231F20"/>
          <w:sz w:val="22"/>
          <w:szCs w:val="22"/>
        </w:rPr>
        <w:t xml:space="preserve"> function, i.e., Hb &lt;5 mmol/L (8 g/dL); platelets &lt;75</w:t>
      </w:r>
      <w:r w:rsidR="007D3372">
        <w:rPr>
          <w:rFonts w:asciiTheme="minorHAnsi" w:hAnsiTheme="minorHAnsi" w:cstheme="minorHAnsi"/>
          <w:color w:val="231F20"/>
          <w:sz w:val="22"/>
          <w:szCs w:val="22"/>
        </w:rPr>
        <w:t> </w:t>
      </w:r>
      <w:r>
        <w:rPr>
          <w:rFonts w:asciiTheme="minorHAnsi" w:hAnsiTheme="minorHAnsi" w:cstheme="minorHAnsi"/>
          <w:color w:val="231F20"/>
          <w:sz w:val="22"/>
          <w:szCs w:val="22"/>
        </w:rPr>
        <w:t>X</w:t>
      </w:r>
      <w:r w:rsidR="007D3372">
        <w:rPr>
          <w:rFonts w:asciiTheme="minorHAnsi" w:hAnsiTheme="minorHAnsi" w:cstheme="minorHAnsi"/>
          <w:color w:val="231F20"/>
          <w:sz w:val="22"/>
          <w:szCs w:val="22"/>
        </w:rPr>
        <w:t> </w:t>
      </w:r>
      <w:r w:rsidRPr="000270FC">
        <w:rPr>
          <w:rFonts w:asciiTheme="minorHAnsi" w:hAnsiTheme="minorHAnsi" w:cstheme="minorHAnsi"/>
          <w:color w:val="231F20"/>
          <w:sz w:val="22"/>
          <w:szCs w:val="22"/>
        </w:rPr>
        <w:t>10</w:t>
      </w:r>
      <w:r w:rsidRPr="000270FC">
        <w:rPr>
          <w:rFonts w:asciiTheme="minorHAnsi" w:hAnsiTheme="minorHAnsi" w:cstheme="minorHAnsi"/>
          <w:color w:val="231F20"/>
          <w:sz w:val="22"/>
          <w:szCs w:val="22"/>
          <w:vertAlign w:val="superscript"/>
        </w:rPr>
        <w:t>9</w:t>
      </w:r>
      <w:r w:rsidR="007D3372">
        <w:rPr>
          <w:rFonts w:asciiTheme="minorHAnsi" w:hAnsiTheme="minorHAnsi" w:cstheme="minorHAnsi"/>
          <w:color w:val="231F20"/>
          <w:sz w:val="22"/>
          <w:szCs w:val="22"/>
        </w:rPr>
        <w:t> </w:t>
      </w:r>
      <w:r w:rsidRPr="000270FC">
        <w:rPr>
          <w:rFonts w:asciiTheme="minorHAnsi" w:hAnsiTheme="minorHAnsi" w:cstheme="minorHAnsi"/>
          <w:color w:val="231F20"/>
          <w:sz w:val="22"/>
          <w:szCs w:val="22"/>
        </w:rPr>
        <w:t xml:space="preserve">/L; white blood cell count &lt;2 </w:t>
      </w:r>
      <w:r>
        <w:rPr>
          <w:rFonts w:asciiTheme="minorHAnsi" w:hAnsiTheme="minorHAnsi" w:cstheme="minorHAnsi"/>
          <w:color w:val="231F20"/>
          <w:sz w:val="22"/>
          <w:szCs w:val="22"/>
        </w:rPr>
        <w:t>X</w:t>
      </w:r>
      <w:r w:rsidRPr="000270FC">
        <w:rPr>
          <w:rFonts w:asciiTheme="minorHAnsi" w:hAnsiTheme="minorHAnsi" w:cstheme="minorHAnsi"/>
          <w:color w:val="231F20"/>
          <w:sz w:val="22"/>
          <w:szCs w:val="22"/>
        </w:rPr>
        <w:t xml:space="preserve"> 10</w:t>
      </w:r>
      <w:r w:rsidRPr="000270FC">
        <w:rPr>
          <w:rFonts w:asciiTheme="minorHAnsi" w:hAnsiTheme="minorHAnsi" w:cstheme="minorHAnsi"/>
          <w:color w:val="231F20"/>
          <w:sz w:val="22"/>
          <w:szCs w:val="22"/>
          <w:vertAlign w:val="superscript"/>
        </w:rPr>
        <w:t>9</w:t>
      </w:r>
      <w:r w:rsidRPr="000270FC">
        <w:rPr>
          <w:rFonts w:asciiTheme="minorHAnsi" w:hAnsiTheme="minorHAnsi" w:cstheme="minorHAnsi"/>
          <w:color w:val="231F20"/>
          <w:sz w:val="22"/>
          <w:szCs w:val="22"/>
        </w:rPr>
        <w:t xml:space="preserve"> /L</w:t>
      </w:r>
      <w:r w:rsidR="006B16BC">
        <w:rPr>
          <w:rFonts w:asciiTheme="minorHAnsi" w:hAnsiTheme="minorHAnsi" w:cstheme="minorHAnsi"/>
          <w:color w:val="231F20"/>
          <w:sz w:val="22"/>
          <w:szCs w:val="22"/>
        </w:rPr>
        <w:t>.</w:t>
      </w:r>
    </w:p>
    <w:p w14:paraId="27AB9C73" w14:textId="77777777" w:rsidR="00C95076" w:rsidRPr="000270FC" w:rsidRDefault="00C95076" w:rsidP="007D3372">
      <w:pPr>
        <w:pStyle w:val="ListParagraph"/>
        <w:numPr>
          <w:ilvl w:val="0"/>
          <w:numId w:val="32"/>
        </w:numPr>
        <w:spacing w:after="160" w:line="259" w:lineRule="auto"/>
        <w:ind w:left="993" w:right="120"/>
        <w:rPr>
          <w:rFonts w:asciiTheme="minorHAnsi" w:hAnsiTheme="minorHAnsi" w:cstheme="minorHAnsi"/>
          <w:color w:val="231F20"/>
          <w:sz w:val="22"/>
          <w:szCs w:val="22"/>
        </w:rPr>
      </w:pPr>
      <w:r w:rsidRPr="000270FC">
        <w:rPr>
          <w:rFonts w:asciiTheme="minorHAnsi" w:hAnsiTheme="minorHAnsi" w:cstheme="minorHAnsi"/>
          <w:color w:val="231F20"/>
          <w:sz w:val="22"/>
          <w:szCs w:val="22"/>
        </w:rPr>
        <w:t>Moderate to severe right heart valvular disease.</w:t>
      </w:r>
    </w:p>
    <w:p w14:paraId="7D9DA0CB" w14:textId="77777777" w:rsidR="00C95076" w:rsidRPr="006B16BC" w:rsidRDefault="00C95076" w:rsidP="007D3372">
      <w:pPr>
        <w:pStyle w:val="ListParagraph"/>
        <w:numPr>
          <w:ilvl w:val="0"/>
          <w:numId w:val="32"/>
        </w:numPr>
        <w:spacing w:after="160" w:line="259" w:lineRule="auto"/>
        <w:ind w:left="993" w:right="120"/>
        <w:rPr>
          <w:rFonts w:asciiTheme="minorHAnsi" w:hAnsiTheme="minorHAnsi" w:cstheme="minorHAnsi"/>
          <w:color w:val="231F20"/>
          <w:sz w:val="22"/>
          <w:szCs w:val="22"/>
        </w:rPr>
      </w:pPr>
      <w:r w:rsidRPr="006B16BC">
        <w:rPr>
          <w:rFonts w:asciiTheme="minorHAnsi" w:hAnsiTheme="minorHAnsi" w:cstheme="minorHAnsi"/>
          <w:color w:val="231F20"/>
          <w:sz w:val="22"/>
          <w:szCs w:val="22"/>
        </w:rPr>
        <w:t xml:space="preserve">Significant sites of active disease as determined by unequivocal, contrast-enhancing lesions on CT or MRI that lack </w:t>
      </w:r>
      <w:r w:rsidRPr="006B16BC">
        <w:rPr>
          <w:rFonts w:asciiTheme="minorHAnsi" w:hAnsiTheme="minorHAnsi" w:cstheme="minorHAnsi"/>
          <w:sz w:val="22"/>
          <w:szCs w:val="22"/>
        </w:rPr>
        <w:t>somatostatin receptor</w:t>
      </w:r>
      <w:r w:rsidRPr="006B16BC">
        <w:rPr>
          <w:rFonts w:asciiTheme="minorHAnsi" w:hAnsiTheme="minorHAnsi" w:cstheme="minorHAnsi"/>
          <w:color w:val="231F20"/>
          <w:sz w:val="22"/>
          <w:szCs w:val="22"/>
        </w:rPr>
        <w:t xml:space="preserve"> expression.</w:t>
      </w:r>
    </w:p>
    <w:p w14:paraId="51C579EC" w14:textId="77777777" w:rsidR="00066F59" w:rsidRPr="0045536E" w:rsidRDefault="00066F59" w:rsidP="00066F59">
      <w:pPr>
        <w:pStyle w:val="Heading3"/>
        <w:rPr>
          <w:rFonts w:asciiTheme="minorHAnsi" w:hAnsiTheme="minorHAnsi" w:cstheme="minorHAnsi"/>
          <w:szCs w:val="22"/>
        </w:rPr>
      </w:pPr>
      <w:r w:rsidRPr="0045536E">
        <w:rPr>
          <w:rFonts w:asciiTheme="minorHAnsi" w:hAnsiTheme="minorHAnsi" w:cstheme="minorHAnsi"/>
          <w:szCs w:val="22"/>
        </w:rPr>
        <w:t>Myelosuppression</w:t>
      </w:r>
    </w:p>
    <w:p w14:paraId="1FE331D2" w14:textId="32B09611" w:rsidR="00066F59" w:rsidRDefault="00066F59" w:rsidP="00066F59">
      <w:pPr>
        <w:rPr>
          <w:rFonts w:asciiTheme="minorHAnsi" w:hAnsiTheme="minorHAnsi" w:cstheme="minorHAnsi"/>
          <w:sz w:val="22"/>
          <w:szCs w:val="22"/>
        </w:rPr>
      </w:pPr>
      <w:proofErr w:type="spellStart"/>
      <w:r w:rsidRPr="00B07007">
        <w:rPr>
          <w:rFonts w:asciiTheme="minorHAnsi" w:hAnsiTheme="minorHAnsi" w:cstheme="minorHAnsi"/>
          <w:sz w:val="22"/>
          <w:szCs w:val="22"/>
        </w:rPr>
        <w:t>Anaemia</w:t>
      </w:r>
      <w:proofErr w:type="spellEnd"/>
      <w:r w:rsidRPr="00B07007">
        <w:rPr>
          <w:rFonts w:asciiTheme="minorHAnsi" w:hAnsiTheme="minorHAnsi" w:cstheme="minorHAnsi"/>
          <w:sz w:val="22"/>
          <w:szCs w:val="22"/>
        </w:rPr>
        <w:t xml:space="preserve">, thrombocytopenia, leucopenia, lymphopenia, and less commonly neutropenia may occur during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based PRRT</w:t>
      </w:r>
      <w:r w:rsidRPr="00B07007">
        <w:rPr>
          <w:rFonts w:asciiTheme="minorHAnsi" w:hAnsiTheme="minorHAnsi" w:cstheme="minorHAnsi"/>
          <w:sz w:val="22"/>
          <w:szCs w:val="22"/>
        </w:rPr>
        <w:t xml:space="preserve">. </w:t>
      </w:r>
    </w:p>
    <w:p w14:paraId="69FB0C05" w14:textId="67735B19" w:rsidR="00066F59" w:rsidRPr="00D725EB" w:rsidRDefault="00501A8F" w:rsidP="00066F59">
      <w:pPr>
        <w:rPr>
          <w:rFonts w:asciiTheme="minorHAnsi" w:hAnsiTheme="minorHAnsi" w:cstheme="minorHAnsi"/>
          <w:color w:val="auto"/>
          <w:sz w:val="22"/>
          <w:szCs w:val="22"/>
        </w:rPr>
      </w:pPr>
      <w:bookmarkStart w:id="5" w:name="_Hlk56595179"/>
      <w:r>
        <w:rPr>
          <w:rFonts w:asciiTheme="minorHAnsi" w:hAnsiTheme="minorHAnsi" w:cstheme="minorHAnsi"/>
          <w:sz w:val="22"/>
          <w:szCs w:val="22"/>
        </w:rPr>
        <w:t xml:space="preserve">In a study with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based PRRT</w:t>
      </w:r>
      <w:r>
        <w:rPr>
          <w:rFonts w:asciiTheme="minorHAnsi" w:hAnsiTheme="minorHAnsi" w:cstheme="minorHAnsi"/>
          <w:sz w:val="22"/>
          <w:szCs w:val="22"/>
        </w:rPr>
        <w:t xml:space="preserve">, </w:t>
      </w:r>
      <w:r w:rsidR="00066F59" w:rsidRPr="006B16BC">
        <w:rPr>
          <w:rFonts w:asciiTheme="minorHAnsi" w:hAnsiTheme="minorHAnsi" w:cstheme="minorHAnsi"/>
          <w:sz w:val="22"/>
          <w:szCs w:val="22"/>
        </w:rPr>
        <w:t xml:space="preserve">Grade 3 </w:t>
      </w:r>
      <w:r>
        <w:rPr>
          <w:rFonts w:asciiTheme="minorHAnsi" w:hAnsiTheme="minorHAnsi" w:cstheme="minorHAnsi"/>
          <w:sz w:val="22"/>
          <w:szCs w:val="22"/>
        </w:rPr>
        <w:t>or</w:t>
      </w:r>
      <w:r w:rsidRPr="006B16BC">
        <w:rPr>
          <w:rFonts w:asciiTheme="minorHAnsi" w:hAnsiTheme="minorHAnsi" w:cstheme="minorHAnsi"/>
          <w:sz w:val="22"/>
          <w:szCs w:val="22"/>
        </w:rPr>
        <w:t xml:space="preserve"> </w:t>
      </w:r>
      <w:r w:rsidR="00066F59" w:rsidRPr="006B16BC">
        <w:rPr>
          <w:rFonts w:asciiTheme="minorHAnsi" w:hAnsiTheme="minorHAnsi" w:cstheme="minorHAnsi"/>
          <w:sz w:val="22"/>
          <w:szCs w:val="22"/>
        </w:rPr>
        <w:t xml:space="preserve">4 </w:t>
      </w:r>
      <w:proofErr w:type="spellStart"/>
      <w:r w:rsidR="00066F59" w:rsidRPr="006B16BC">
        <w:rPr>
          <w:rFonts w:asciiTheme="minorHAnsi" w:hAnsiTheme="minorHAnsi" w:cstheme="minorHAnsi"/>
          <w:sz w:val="22"/>
          <w:szCs w:val="22"/>
        </w:rPr>
        <w:t>haematological</w:t>
      </w:r>
      <w:proofErr w:type="spellEnd"/>
      <w:r w:rsidR="00066F59" w:rsidRPr="006B16BC">
        <w:rPr>
          <w:rFonts w:asciiTheme="minorHAnsi" w:hAnsiTheme="minorHAnsi" w:cstheme="minorHAnsi"/>
          <w:sz w:val="22"/>
          <w:szCs w:val="22"/>
        </w:rPr>
        <w:t xml:space="preserve"> toxicity occurred in 61 of 582 patients (10%; 95%CI,8%–13%), </w:t>
      </w:r>
      <w:r>
        <w:rPr>
          <w:rFonts w:asciiTheme="minorHAnsi" w:hAnsiTheme="minorHAnsi" w:cstheme="minorHAnsi"/>
          <w:sz w:val="22"/>
          <w:szCs w:val="22"/>
        </w:rPr>
        <w:t>G</w:t>
      </w:r>
      <w:r w:rsidRPr="006B16BC">
        <w:rPr>
          <w:rFonts w:asciiTheme="minorHAnsi" w:hAnsiTheme="minorHAnsi" w:cstheme="minorHAnsi"/>
          <w:sz w:val="22"/>
          <w:szCs w:val="22"/>
        </w:rPr>
        <w:t xml:space="preserve">rade </w:t>
      </w:r>
      <w:r w:rsidR="00066F59" w:rsidRPr="006B16BC">
        <w:rPr>
          <w:rFonts w:asciiTheme="minorHAnsi" w:hAnsiTheme="minorHAnsi" w:cstheme="minorHAnsi"/>
          <w:sz w:val="22"/>
          <w:szCs w:val="22"/>
        </w:rPr>
        <w:t>3</w:t>
      </w:r>
      <w:r>
        <w:rPr>
          <w:rFonts w:asciiTheme="minorHAnsi" w:hAnsiTheme="minorHAnsi" w:cstheme="minorHAnsi"/>
          <w:sz w:val="22"/>
          <w:szCs w:val="22"/>
        </w:rPr>
        <w:t xml:space="preserve"> </w:t>
      </w:r>
      <w:r w:rsidR="00B61C14">
        <w:rPr>
          <w:rFonts w:asciiTheme="minorHAnsi" w:hAnsiTheme="minorHAnsi" w:cstheme="minorHAnsi"/>
          <w:sz w:val="22"/>
          <w:szCs w:val="22"/>
        </w:rPr>
        <w:t>or</w:t>
      </w:r>
      <w:r>
        <w:rPr>
          <w:rFonts w:asciiTheme="minorHAnsi" w:hAnsiTheme="minorHAnsi" w:cstheme="minorHAnsi"/>
          <w:sz w:val="22"/>
          <w:szCs w:val="22"/>
        </w:rPr>
        <w:t xml:space="preserve"> </w:t>
      </w:r>
      <w:r w:rsidR="00066F59" w:rsidRPr="006B16BC">
        <w:rPr>
          <w:rFonts w:asciiTheme="minorHAnsi" w:hAnsiTheme="minorHAnsi" w:cstheme="minorHAnsi"/>
          <w:sz w:val="22"/>
          <w:szCs w:val="22"/>
        </w:rPr>
        <w:t xml:space="preserve">4 toxicity of platelets occurred in 30 of 582 patients (5%; 95% CI, 4%–7%), total WBC count </w:t>
      </w:r>
      <w:r>
        <w:rPr>
          <w:rFonts w:asciiTheme="minorHAnsi" w:hAnsiTheme="minorHAnsi" w:cstheme="minorHAnsi"/>
          <w:sz w:val="22"/>
          <w:szCs w:val="22"/>
        </w:rPr>
        <w:t>G</w:t>
      </w:r>
      <w:r w:rsidR="00066F59" w:rsidRPr="006B16BC">
        <w:rPr>
          <w:rFonts w:asciiTheme="minorHAnsi" w:hAnsiTheme="minorHAnsi" w:cstheme="minorHAnsi"/>
          <w:sz w:val="22"/>
          <w:szCs w:val="22"/>
        </w:rPr>
        <w:t xml:space="preserve">rade </w:t>
      </w:r>
      <w:r w:rsidR="00066F59">
        <w:rPr>
          <w:rFonts w:asciiTheme="minorHAnsi" w:hAnsiTheme="minorHAnsi" w:cstheme="minorHAnsi"/>
          <w:sz w:val="22"/>
          <w:szCs w:val="22"/>
        </w:rPr>
        <w:t>3</w:t>
      </w:r>
      <w:r>
        <w:rPr>
          <w:rFonts w:asciiTheme="minorHAnsi" w:hAnsiTheme="minorHAnsi" w:cstheme="minorHAnsi"/>
          <w:sz w:val="22"/>
          <w:szCs w:val="22"/>
        </w:rPr>
        <w:t xml:space="preserve"> </w:t>
      </w:r>
      <w:r w:rsidR="00B61C14">
        <w:rPr>
          <w:rFonts w:asciiTheme="minorHAnsi" w:hAnsiTheme="minorHAnsi" w:cstheme="minorHAnsi"/>
          <w:sz w:val="22"/>
          <w:szCs w:val="22"/>
        </w:rPr>
        <w:t>or</w:t>
      </w:r>
      <w:r>
        <w:rPr>
          <w:rFonts w:asciiTheme="minorHAnsi" w:hAnsiTheme="minorHAnsi" w:cstheme="minorHAnsi"/>
          <w:sz w:val="22"/>
          <w:szCs w:val="22"/>
        </w:rPr>
        <w:t xml:space="preserve"> </w:t>
      </w:r>
      <w:r w:rsidR="00066F59">
        <w:rPr>
          <w:rFonts w:asciiTheme="minorHAnsi" w:hAnsiTheme="minorHAnsi" w:cstheme="minorHAnsi"/>
          <w:sz w:val="22"/>
          <w:szCs w:val="22"/>
        </w:rPr>
        <w:t>4</w:t>
      </w:r>
      <w:r w:rsidR="00066F59" w:rsidRPr="006B16BC">
        <w:rPr>
          <w:rFonts w:asciiTheme="minorHAnsi" w:hAnsiTheme="minorHAnsi" w:cstheme="minorHAnsi"/>
          <w:sz w:val="22"/>
          <w:szCs w:val="22"/>
        </w:rPr>
        <w:t xml:space="preserve"> toxicity in 32 of 582 patients (5%; 95% CI,4%–8%), </w:t>
      </w:r>
      <w:proofErr w:type="spellStart"/>
      <w:r w:rsidR="00066F59" w:rsidRPr="006B16BC">
        <w:rPr>
          <w:rFonts w:asciiTheme="minorHAnsi" w:hAnsiTheme="minorHAnsi" w:cstheme="minorHAnsi"/>
          <w:sz w:val="22"/>
          <w:szCs w:val="22"/>
        </w:rPr>
        <w:t>haemoglobin</w:t>
      </w:r>
      <w:proofErr w:type="spellEnd"/>
      <w:r w:rsidR="00066F59" w:rsidRPr="006B16BC">
        <w:rPr>
          <w:rFonts w:asciiTheme="minorHAnsi" w:hAnsiTheme="minorHAnsi" w:cstheme="minorHAnsi"/>
          <w:sz w:val="22"/>
          <w:szCs w:val="22"/>
        </w:rPr>
        <w:t xml:space="preserve"> </w:t>
      </w:r>
      <w:r>
        <w:rPr>
          <w:rFonts w:asciiTheme="minorHAnsi" w:hAnsiTheme="minorHAnsi" w:cstheme="minorHAnsi"/>
          <w:sz w:val="22"/>
          <w:szCs w:val="22"/>
        </w:rPr>
        <w:t>G</w:t>
      </w:r>
      <w:r w:rsidR="003B166D">
        <w:rPr>
          <w:rFonts w:asciiTheme="minorHAnsi" w:hAnsiTheme="minorHAnsi" w:cstheme="minorHAnsi"/>
          <w:sz w:val="22"/>
          <w:szCs w:val="22"/>
        </w:rPr>
        <w:t>r</w:t>
      </w:r>
      <w:r w:rsidR="00066F59" w:rsidRPr="006B16BC">
        <w:rPr>
          <w:rFonts w:asciiTheme="minorHAnsi" w:hAnsiTheme="minorHAnsi" w:cstheme="minorHAnsi"/>
          <w:sz w:val="22"/>
          <w:szCs w:val="22"/>
        </w:rPr>
        <w:t xml:space="preserve">ade 3 toxicity in 22 of 582 patients (4%; 95% </w:t>
      </w:r>
      <w:r w:rsidR="00066F59" w:rsidRPr="00D725EB">
        <w:rPr>
          <w:rFonts w:asciiTheme="minorHAnsi" w:hAnsiTheme="minorHAnsi" w:cstheme="minorHAnsi"/>
          <w:color w:val="auto"/>
          <w:sz w:val="22"/>
          <w:szCs w:val="22"/>
        </w:rPr>
        <w:t>CI, 2%–6%)</w:t>
      </w:r>
      <w:r w:rsidR="00973FB2" w:rsidRPr="00D725EB">
        <w:rPr>
          <w:rFonts w:asciiTheme="minorHAnsi" w:hAnsiTheme="minorHAnsi" w:cstheme="minorHAnsi"/>
          <w:color w:val="auto"/>
          <w:sz w:val="22"/>
          <w:szCs w:val="22"/>
        </w:rPr>
        <w:t xml:space="preserve">. No </w:t>
      </w:r>
      <w:r w:rsidRPr="00D725EB">
        <w:rPr>
          <w:rFonts w:asciiTheme="minorHAnsi" w:hAnsiTheme="minorHAnsi" w:cstheme="minorHAnsi"/>
          <w:color w:val="auto"/>
          <w:sz w:val="22"/>
          <w:szCs w:val="22"/>
        </w:rPr>
        <w:t>G</w:t>
      </w:r>
      <w:r w:rsidR="00066F59" w:rsidRPr="00D725EB">
        <w:rPr>
          <w:rFonts w:asciiTheme="minorHAnsi" w:hAnsiTheme="minorHAnsi" w:cstheme="minorHAnsi"/>
          <w:color w:val="auto"/>
          <w:sz w:val="22"/>
          <w:szCs w:val="22"/>
        </w:rPr>
        <w:t xml:space="preserve">rade 4 </w:t>
      </w:r>
      <w:proofErr w:type="spellStart"/>
      <w:r w:rsidR="00066F59" w:rsidRPr="00D725EB">
        <w:rPr>
          <w:rFonts w:asciiTheme="minorHAnsi" w:hAnsiTheme="minorHAnsi" w:cstheme="minorHAnsi"/>
          <w:color w:val="auto"/>
          <w:sz w:val="22"/>
          <w:szCs w:val="22"/>
        </w:rPr>
        <w:t>haemoglobin</w:t>
      </w:r>
      <w:proofErr w:type="spellEnd"/>
      <w:r w:rsidR="00066F59" w:rsidRPr="00D725EB">
        <w:rPr>
          <w:rFonts w:asciiTheme="minorHAnsi" w:hAnsiTheme="minorHAnsi" w:cstheme="minorHAnsi"/>
          <w:color w:val="auto"/>
          <w:sz w:val="22"/>
          <w:szCs w:val="22"/>
        </w:rPr>
        <w:t xml:space="preserve"> toxicity was observed.</w:t>
      </w:r>
    </w:p>
    <w:p w14:paraId="3D84E776" w14:textId="2F2539F6" w:rsidR="00066F59" w:rsidRPr="00D725EB" w:rsidRDefault="00066F59" w:rsidP="00066F59">
      <w:pPr>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At first follow-up visit after 3 months, these values </w:t>
      </w:r>
      <w:proofErr w:type="spellStart"/>
      <w:r w:rsidR="00546E87" w:rsidRPr="00D725EB">
        <w:rPr>
          <w:rFonts w:asciiTheme="minorHAnsi" w:hAnsiTheme="minorHAnsi" w:cstheme="minorHAnsi"/>
          <w:color w:val="auto"/>
          <w:sz w:val="22"/>
          <w:szCs w:val="22"/>
        </w:rPr>
        <w:t>normalised</w:t>
      </w:r>
      <w:proofErr w:type="spellEnd"/>
      <w:r w:rsidR="00546E87" w:rsidRPr="00D725EB">
        <w:rPr>
          <w:rFonts w:asciiTheme="minorHAnsi" w:hAnsiTheme="minorHAnsi" w:cstheme="minorHAnsi"/>
          <w:color w:val="auto"/>
          <w:sz w:val="22"/>
          <w:szCs w:val="22"/>
        </w:rPr>
        <w:t xml:space="preserve"> </w:t>
      </w:r>
      <w:r w:rsidRPr="00D725EB">
        <w:rPr>
          <w:rFonts w:asciiTheme="minorHAnsi" w:hAnsiTheme="minorHAnsi" w:cstheme="minorHAnsi"/>
          <w:color w:val="auto"/>
          <w:sz w:val="22"/>
          <w:szCs w:val="22"/>
        </w:rPr>
        <w:t xml:space="preserve">in 77% of </w:t>
      </w:r>
      <w:r w:rsidRPr="0022452B">
        <w:rPr>
          <w:rFonts w:asciiTheme="minorHAnsi" w:hAnsiTheme="minorHAnsi" w:cstheme="minorHAnsi"/>
          <w:color w:val="auto"/>
          <w:sz w:val="22"/>
          <w:szCs w:val="22"/>
        </w:rPr>
        <w:t>patients. Grade 3</w:t>
      </w:r>
      <w:r w:rsidR="00501A8F" w:rsidRPr="0022452B">
        <w:rPr>
          <w:rFonts w:asciiTheme="minorHAnsi" w:hAnsiTheme="minorHAnsi" w:cstheme="minorHAnsi"/>
          <w:color w:val="auto"/>
          <w:sz w:val="22"/>
          <w:szCs w:val="22"/>
        </w:rPr>
        <w:t xml:space="preserve"> </w:t>
      </w:r>
      <w:r w:rsidR="00546E87" w:rsidRPr="00D725EB">
        <w:rPr>
          <w:rFonts w:asciiTheme="minorHAnsi" w:hAnsiTheme="minorHAnsi" w:cstheme="minorHAnsi"/>
          <w:color w:val="auto"/>
          <w:sz w:val="22"/>
          <w:szCs w:val="22"/>
        </w:rPr>
        <w:t>or</w:t>
      </w:r>
      <w:r w:rsidR="00501A8F" w:rsidRPr="00D725EB">
        <w:rPr>
          <w:rFonts w:asciiTheme="minorHAnsi" w:hAnsiTheme="minorHAnsi" w:cstheme="minorHAnsi"/>
          <w:color w:val="auto"/>
          <w:sz w:val="22"/>
          <w:szCs w:val="22"/>
        </w:rPr>
        <w:t xml:space="preserve"> </w:t>
      </w:r>
      <w:r w:rsidRPr="00D725EB">
        <w:rPr>
          <w:rFonts w:asciiTheme="minorHAnsi" w:hAnsiTheme="minorHAnsi" w:cstheme="minorHAnsi"/>
          <w:color w:val="auto"/>
          <w:sz w:val="22"/>
          <w:szCs w:val="22"/>
        </w:rPr>
        <w:t>4 of t</w:t>
      </w:r>
      <w:r w:rsidRPr="0022452B">
        <w:rPr>
          <w:rFonts w:asciiTheme="minorHAnsi" w:hAnsiTheme="minorHAnsi" w:cstheme="minorHAnsi"/>
          <w:color w:val="auto"/>
          <w:sz w:val="22"/>
          <w:szCs w:val="22"/>
        </w:rPr>
        <w:t>he lymphocytes was observed in 288 of 58</w:t>
      </w:r>
      <w:r w:rsidR="00B61C14">
        <w:rPr>
          <w:rFonts w:asciiTheme="minorHAnsi" w:hAnsiTheme="minorHAnsi" w:cstheme="minorHAnsi"/>
          <w:color w:val="auto"/>
          <w:sz w:val="22"/>
          <w:szCs w:val="22"/>
        </w:rPr>
        <w:t>2</w:t>
      </w:r>
      <w:r w:rsidR="003B166D">
        <w:rPr>
          <w:rFonts w:asciiTheme="minorHAnsi" w:hAnsiTheme="minorHAnsi" w:cstheme="minorHAnsi"/>
          <w:color w:val="auto"/>
          <w:sz w:val="22"/>
          <w:szCs w:val="22"/>
        </w:rPr>
        <w:t xml:space="preserve"> </w:t>
      </w:r>
      <w:r w:rsidRPr="0022452B">
        <w:rPr>
          <w:rFonts w:asciiTheme="minorHAnsi" w:hAnsiTheme="minorHAnsi" w:cstheme="minorHAnsi"/>
          <w:color w:val="auto"/>
          <w:sz w:val="22"/>
          <w:szCs w:val="22"/>
        </w:rPr>
        <w:t xml:space="preserve">patients (50%; 95% CI, 46%–54%). At 3 months follow-up, 74 of 287 patients and at 30 months follow-up 6 of 108 patients had </w:t>
      </w:r>
      <w:r w:rsidRPr="00D725EB">
        <w:rPr>
          <w:rFonts w:asciiTheme="minorHAnsi" w:hAnsiTheme="minorHAnsi" w:cstheme="minorHAnsi"/>
          <w:color w:val="auto"/>
          <w:sz w:val="22"/>
          <w:szCs w:val="22"/>
        </w:rPr>
        <w:t xml:space="preserve">persistent </w:t>
      </w:r>
      <w:r w:rsidR="003B166D">
        <w:rPr>
          <w:rFonts w:asciiTheme="minorHAnsi" w:hAnsiTheme="minorHAnsi" w:cstheme="minorHAnsi"/>
          <w:color w:val="auto"/>
          <w:sz w:val="22"/>
          <w:szCs w:val="22"/>
        </w:rPr>
        <w:t>G</w:t>
      </w:r>
      <w:r w:rsidRPr="00D725EB">
        <w:rPr>
          <w:rFonts w:asciiTheme="minorHAnsi" w:hAnsiTheme="minorHAnsi" w:cstheme="minorHAnsi"/>
          <w:color w:val="auto"/>
          <w:sz w:val="22"/>
          <w:szCs w:val="22"/>
        </w:rPr>
        <w:t>rade 3</w:t>
      </w:r>
      <w:r w:rsidR="004127FE">
        <w:rPr>
          <w:rFonts w:asciiTheme="minorHAnsi" w:hAnsiTheme="minorHAnsi" w:cstheme="minorHAnsi"/>
          <w:color w:val="auto"/>
          <w:sz w:val="22"/>
          <w:szCs w:val="22"/>
        </w:rPr>
        <w:t xml:space="preserve"> or </w:t>
      </w:r>
      <w:r w:rsidRPr="00D725EB">
        <w:rPr>
          <w:rFonts w:asciiTheme="minorHAnsi" w:hAnsiTheme="minorHAnsi" w:cstheme="minorHAnsi"/>
          <w:color w:val="auto"/>
          <w:sz w:val="22"/>
          <w:szCs w:val="22"/>
        </w:rPr>
        <w:t xml:space="preserve">4 lymphocyte toxicity and 53 of 108 patients had </w:t>
      </w:r>
      <w:r w:rsidR="00501A8F" w:rsidRPr="00D725EB">
        <w:rPr>
          <w:rFonts w:asciiTheme="minorHAnsi" w:hAnsiTheme="minorHAnsi" w:cstheme="minorHAnsi"/>
          <w:color w:val="auto"/>
          <w:sz w:val="22"/>
          <w:szCs w:val="22"/>
        </w:rPr>
        <w:t>G</w:t>
      </w:r>
      <w:r w:rsidRPr="00D725EB">
        <w:rPr>
          <w:rFonts w:asciiTheme="minorHAnsi" w:hAnsiTheme="minorHAnsi" w:cstheme="minorHAnsi"/>
          <w:color w:val="auto"/>
          <w:sz w:val="22"/>
          <w:szCs w:val="22"/>
        </w:rPr>
        <w:t>rade 1</w:t>
      </w:r>
      <w:r w:rsidR="00501A8F" w:rsidRPr="00D725EB">
        <w:rPr>
          <w:rFonts w:asciiTheme="minorHAnsi" w:hAnsiTheme="minorHAnsi" w:cstheme="minorHAnsi"/>
          <w:color w:val="auto"/>
          <w:sz w:val="22"/>
          <w:szCs w:val="22"/>
        </w:rPr>
        <w:t xml:space="preserve"> </w:t>
      </w:r>
      <w:r w:rsidR="00546E87" w:rsidRPr="00D725EB">
        <w:rPr>
          <w:rFonts w:asciiTheme="minorHAnsi" w:hAnsiTheme="minorHAnsi" w:cstheme="minorHAnsi"/>
          <w:color w:val="auto"/>
          <w:sz w:val="22"/>
          <w:szCs w:val="22"/>
        </w:rPr>
        <w:t>or</w:t>
      </w:r>
      <w:r w:rsidRPr="00D725EB">
        <w:rPr>
          <w:rFonts w:asciiTheme="minorHAnsi" w:hAnsiTheme="minorHAnsi" w:cstheme="minorHAnsi"/>
          <w:color w:val="auto"/>
          <w:sz w:val="22"/>
          <w:szCs w:val="22"/>
        </w:rPr>
        <w:t>2 lymphocyte toxicity.</w:t>
      </w:r>
    </w:p>
    <w:p w14:paraId="2EB070B6" w14:textId="5EBB9D94" w:rsidR="00066F59" w:rsidRPr="0022452B" w:rsidRDefault="00066F59" w:rsidP="00D725EB">
      <w:pPr>
        <w:autoSpaceDE w:val="0"/>
        <w:autoSpaceDN w:val="0"/>
        <w:adjustRightInd w:val="0"/>
        <w:spacing w:after="0"/>
        <w:ind w:left="426"/>
        <w:rPr>
          <w:rFonts w:asciiTheme="minorHAnsi" w:hAnsiTheme="minorHAnsi" w:cstheme="minorHAnsi"/>
          <w:color w:val="auto"/>
          <w:sz w:val="22"/>
          <w:szCs w:val="22"/>
        </w:rPr>
      </w:pPr>
      <w:r w:rsidRPr="00D725EB">
        <w:rPr>
          <w:rFonts w:asciiTheme="minorHAnsi" w:hAnsiTheme="minorHAnsi" w:cstheme="minorHAnsi"/>
          <w:color w:val="auto"/>
          <w:sz w:val="22"/>
          <w:szCs w:val="22"/>
        </w:rPr>
        <w:lastRenderedPageBreak/>
        <w:t xml:space="preserve">A systematic review of the published literature </w:t>
      </w:r>
      <w:r w:rsidR="00546E87" w:rsidRPr="00D725EB">
        <w:rPr>
          <w:rFonts w:asciiTheme="minorHAnsi" w:hAnsiTheme="minorHAnsi" w:cstheme="minorHAnsi"/>
          <w:color w:val="auto"/>
          <w:sz w:val="22"/>
          <w:szCs w:val="22"/>
        </w:rPr>
        <w:t xml:space="preserve">on </w:t>
      </w:r>
      <w:bookmarkStart w:id="6" w:name="_Hlk59095882"/>
      <w:r w:rsidR="00546E87" w:rsidRPr="00D725EB">
        <w:rPr>
          <w:rFonts w:asciiTheme="minorHAnsi" w:hAnsiTheme="minorHAnsi" w:cstheme="minorHAnsi"/>
          <w:color w:val="auto"/>
          <w:sz w:val="22"/>
          <w:szCs w:val="22"/>
        </w:rPr>
        <w:t>lutetium chloride</w:t>
      </w:r>
      <w:r w:rsidR="00546E87" w:rsidRPr="00D725EB">
        <w:rPr>
          <w:rFonts w:asciiTheme="minorHAnsi" w:hAnsiTheme="minorHAnsi" w:cstheme="minorHAnsi"/>
          <w:color w:val="auto"/>
          <w:sz w:val="22"/>
          <w:szCs w:val="22"/>
          <w:vertAlign w:val="subscript"/>
        </w:rPr>
        <w:t xml:space="preserve"> </w:t>
      </w:r>
      <w:r w:rsidR="00546E87" w:rsidRPr="00D725EB">
        <w:rPr>
          <w:rFonts w:asciiTheme="minorHAnsi" w:hAnsiTheme="minorHAnsi" w:cstheme="minorHAnsi"/>
          <w:color w:val="auto"/>
          <w:sz w:val="22"/>
          <w:szCs w:val="22"/>
        </w:rPr>
        <w:t xml:space="preserve">based PRRT </w:t>
      </w:r>
      <w:bookmarkEnd w:id="6"/>
      <w:r w:rsidRPr="00D725EB">
        <w:rPr>
          <w:rFonts w:asciiTheme="minorHAnsi" w:hAnsiTheme="minorHAnsi" w:cstheme="minorHAnsi"/>
          <w:color w:val="auto"/>
          <w:sz w:val="22"/>
          <w:szCs w:val="22"/>
        </w:rPr>
        <w:t xml:space="preserve">found that acute </w:t>
      </w:r>
      <w:proofErr w:type="spellStart"/>
      <w:r w:rsidRPr="00D725EB">
        <w:rPr>
          <w:rFonts w:asciiTheme="minorHAnsi" w:hAnsiTheme="minorHAnsi" w:cstheme="minorHAnsi"/>
          <w:color w:val="auto"/>
          <w:sz w:val="22"/>
          <w:szCs w:val="22"/>
        </w:rPr>
        <w:t>haematological</w:t>
      </w:r>
      <w:proofErr w:type="spellEnd"/>
      <w:r w:rsidRPr="00D725EB">
        <w:rPr>
          <w:rFonts w:asciiTheme="minorHAnsi" w:hAnsiTheme="minorHAnsi" w:cstheme="minorHAnsi"/>
          <w:color w:val="auto"/>
          <w:sz w:val="22"/>
          <w:szCs w:val="22"/>
        </w:rPr>
        <w:t xml:space="preserve"> toxicity manifested as modest self-limited </w:t>
      </w:r>
      <w:r w:rsidR="00546E87" w:rsidRPr="00D725EB">
        <w:rPr>
          <w:rFonts w:asciiTheme="minorHAnsi" w:hAnsiTheme="minorHAnsi" w:cstheme="minorHAnsi"/>
          <w:color w:val="auto"/>
          <w:sz w:val="22"/>
          <w:szCs w:val="22"/>
        </w:rPr>
        <w:t xml:space="preserve">Grade </w:t>
      </w:r>
      <w:r w:rsidRPr="00D725EB">
        <w:rPr>
          <w:rFonts w:asciiTheme="minorHAnsi" w:hAnsiTheme="minorHAnsi" w:cstheme="minorHAnsi"/>
          <w:color w:val="auto"/>
          <w:sz w:val="22"/>
          <w:szCs w:val="22"/>
        </w:rPr>
        <w:t>3</w:t>
      </w:r>
      <w:r w:rsidR="00546E87" w:rsidRPr="00D725EB">
        <w:rPr>
          <w:rFonts w:asciiTheme="minorHAnsi" w:hAnsiTheme="minorHAnsi" w:cstheme="minorHAnsi"/>
          <w:color w:val="auto"/>
          <w:sz w:val="22"/>
          <w:szCs w:val="22"/>
        </w:rPr>
        <w:t xml:space="preserve"> or </w:t>
      </w:r>
      <w:r w:rsidRPr="00D725EB">
        <w:rPr>
          <w:rFonts w:asciiTheme="minorHAnsi" w:hAnsiTheme="minorHAnsi" w:cstheme="minorHAnsi"/>
          <w:color w:val="auto"/>
          <w:sz w:val="22"/>
          <w:szCs w:val="22"/>
        </w:rPr>
        <w:t xml:space="preserve">4 </w:t>
      </w:r>
      <w:r w:rsidRPr="0022452B">
        <w:rPr>
          <w:rFonts w:asciiTheme="minorHAnsi" w:hAnsiTheme="minorHAnsi" w:cstheme="minorHAnsi"/>
          <w:color w:val="auto"/>
          <w:sz w:val="22"/>
          <w:szCs w:val="22"/>
        </w:rPr>
        <w:t>toxicity (CTCAE or WHO</w:t>
      </w:r>
      <w:r w:rsidR="008363D5">
        <w:rPr>
          <w:rFonts w:asciiTheme="minorHAnsi" w:hAnsiTheme="minorHAnsi" w:cstheme="minorHAnsi"/>
          <w:color w:val="auto"/>
          <w:sz w:val="22"/>
          <w:szCs w:val="22"/>
        </w:rPr>
        <w:t xml:space="preserve"> classification</w:t>
      </w:r>
      <w:r w:rsidRPr="0022452B">
        <w:rPr>
          <w:rFonts w:asciiTheme="minorHAnsi" w:hAnsiTheme="minorHAnsi" w:cstheme="minorHAnsi"/>
          <w:color w:val="auto"/>
          <w:sz w:val="22"/>
          <w:szCs w:val="22"/>
        </w:rPr>
        <w:t xml:space="preserve">) most often affecting platelets, </w:t>
      </w:r>
      <w:r w:rsidRPr="00D725EB">
        <w:rPr>
          <w:rFonts w:asciiTheme="minorHAnsi" w:hAnsiTheme="minorHAnsi" w:cstheme="minorHAnsi"/>
          <w:color w:val="auto"/>
          <w:sz w:val="22"/>
          <w:szCs w:val="22"/>
        </w:rPr>
        <w:t xml:space="preserve">then WBC </w:t>
      </w:r>
      <w:r w:rsidRPr="0022452B">
        <w:rPr>
          <w:rFonts w:asciiTheme="minorHAnsi" w:hAnsiTheme="minorHAnsi" w:cstheme="minorHAnsi"/>
          <w:color w:val="auto"/>
          <w:sz w:val="22"/>
          <w:szCs w:val="22"/>
        </w:rPr>
        <w:t xml:space="preserve">and finally hemoglobin, and was commonly observed during the first cycle of treatment, with the lowest nadir predictive of time taken for recovery. Toxicity manifesting </w:t>
      </w:r>
      <w:r w:rsidRPr="00D725EB">
        <w:rPr>
          <w:rFonts w:asciiTheme="minorHAnsi" w:hAnsiTheme="minorHAnsi" w:cstheme="minorHAnsi"/>
          <w:color w:val="auto"/>
          <w:sz w:val="22"/>
          <w:szCs w:val="22"/>
        </w:rPr>
        <w:t xml:space="preserve">early was </w:t>
      </w:r>
      <w:r w:rsidRPr="0022452B">
        <w:rPr>
          <w:rFonts w:asciiTheme="minorHAnsi" w:hAnsiTheme="minorHAnsi" w:cstheme="minorHAnsi"/>
          <w:color w:val="auto"/>
          <w:sz w:val="22"/>
          <w:szCs w:val="22"/>
        </w:rPr>
        <w:t>managed with dose modification or therapy cessation and was ameliorated by appropriate patient selection based on age, prior therapies, comorbidities, and adequate baseline myeloid function.</w:t>
      </w:r>
    </w:p>
    <w:bookmarkEnd w:id="5"/>
    <w:p w14:paraId="33839A41" w14:textId="20CCD811" w:rsidR="006226CC" w:rsidRPr="000270FC" w:rsidRDefault="006226CC" w:rsidP="000270FC">
      <w:pPr>
        <w:pStyle w:val="Heading3"/>
        <w:rPr>
          <w:rFonts w:asciiTheme="minorHAnsi" w:hAnsiTheme="minorHAnsi" w:cstheme="minorHAnsi"/>
          <w:szCs w:val="22"/>
        </w:rPr>
      </w:pPr>
      <w:r w:rsidRPr="000270FC">
        <w:rPr>
          <w:rFonts w:asciiTheme="minorHAnsi" w:hAnsiTheme="minorHAnsi" w:cstheme="minorHAnsi"/>
          <w:szCs w:val="22"/>
        </w:rPr>
        <w:t xml:space="preserve">Myelodysplastic syndrome and acute myeloid </w:t>
      </w:r>
      <w:proofErr w:type="spellStart"/>
      <w:r w:rsidRPr="000270FC">
        <w:rPr>
          <w:rFonts w:asciiTheme="minorHAnsi" w:hAnsiTheme="minorHAnsi" w:cstheme="minorHAnsi"/>
          <w:szCs w:val="22"/>
        </w:rPr>
        <w:t>leukaemia</w:t>
      </w:r>
      <w:proofErr w:type="spellEnd"/>
    </w:p>
    <w:p w14:paraId="21112B66" w14:textId="27792447" w:rsidR="00F20EFB" w:rsidRDefault="006226CC" w:rsidP="00B2616E">
      <w:pPr>
        <w:rPr>
          <w:rFonts w:asciiTheme="minorHAnsi" w:hAnsiTheme="minorHAnsi" w:cstheme="minorHAnsi"/>
          <w:sz w:val="22"/>
          <w:szCs w:val="22"/>
        </w:rPr>
      </w:pPr>
      <w:r w:rsidRPr="00B07007">
        <w:rPr>
          <w:rFonts w:asciiTheme="minorHAnsi" w:hAnsiTheme="minorHAnsi" w:cstheme="minorHAnsi"/>
          <w:sz w:val="22"/>
          <w:szCs w:val="22"/>
        </w:rPr>
        <w:t xml:space="preserve">Myelodysplastic syndrome (MDS) and acute myeloid </w:t>
      </w:r>
      <w:proofErr w:type="spellStart"/>
      <w:r w:rsidRPr="00B07007">
        <w:rPr>
          <w:rFonts w:asciiTheme="minorHAnsi" w:hAnsiTheme="minorHAnsi" w:cstheme="minorHAnsi"/>
          <w:sz w:val="22"/>
          <w:szCs w:val="22"/>
        </w:rPr>
        <w:t>leukaemia</w:t>
      </w:r>
      <w:proofErr w:type="spellEnd"/>
      <w:r w:rsidRPr="00B07007">
        <w:rPr>
          <w:rFonts w:asciiTheme="minorHAnsi" w:hAnsiTheme="minorHAnsi" w:cstheme="minorHAnsi"/>
          <w:sz w:val="22"/>
          <w:szCs w:val="22"/>
        </w:rPr>
        <w:t xml:space="preserve"> (AML) have been observed after treatment with</w:t>
      </w:r>
      <w:r w:rsidR="006B16BC">
        <w:rPr>
          <w:rFonts w:asciiTheme="minorHAnsi" w:hAnsiTheme="minorHAnsi" w:cstheme="minorHAnsi"/>
          <w:sz w:val="22"/>
          <w:szCs w:val="22"/>
        </w:rPr>
        <w:t xml:space="preserve"> lutetium chloride </w:t>
      </w:r>
      <w:r w:rsidR="00F20EFB" w:rsidRPr="006B16BC">
        <w:rPr>
          <w:rFonts w:asciiTheme="minorHAnsi" w:hAnsiTheme="minorHAnsi" w:cstheme="minorHAnsi"/>
          <w:sz w:val="22"/>
          <w:szCs w:val="22"/>
        </w:rPr>
        <w:t>based PRRT</w:t>
      </w:r>
      <w:r w:rsidR="00F20EFB">
        <w:rPr>
          <w:rFonts w:asciiTheme="minorHAnsi" w:hAnsiTheme="minorHAnsi" w:cstheme="minorHAnsi"/>
          <w:sz w:val="22"/>
          <w:szCs w:val="22"/>
          <w:vertAlign w:val="subscript"/>
        </w:rPr>
        <w:t xml:space="preserve"> </w:t>
      </w:r>
      <w:r w:rsidRPr="00B07007">
        <w:rPr>
          <w:rFonts w:asciiTheme="minorHAnsi" w:hAnsiTheme="minorHAnsi" w:cstheme="minorHAnsi"/>
          <w:sz w:val="22"/>
          <w:szCs w:val="22"/>
        </w:rPr>
        <w:t xml:space="preserve">for neuroendocrine </w:t>
      </w:r>
      <w:proofErr w:type="spellStart"/>
      <w:r w:rsidRPr="00B07007">
        <w:rPr>
          <w:rFonts w:asciiTheme="minorHAnsi" w:hAnsiTheme="minorHAnsi" w:cstheme="minorHAnsi"/>
          <w:sz w:val="22"/>
          <w:szCs w:val="22"/>
        </w:rPr>
        <w:t>tumours</w:t>
      </w:r>
      <w:proofErr w:type="spellEnd"/>
      <w:r w:rsidRPr="00B07007">
        <w:rPr>
          <w:rFonts w:asciiTheme="minorHAnsi" w:hAnsiTheme="minorHAnsi" w:cstheme="minorHAnsi"/>
          <w:sz w:val="22"/>
          <w:szCs w:val="22"/>
        </w:rPr>
        <w:t xml:space="preserve"> (see section 4.8). </w:t>
      </w:r>
    </w:p>
    <w:p w14:paraId="258290B1" w14:textId="2CAB8633" w:rsidR="00F20EFB" w:rsidRDefault="00F20EFB" w:rsidP="000270FC">
      <w:pPr>
        <w:autoSpaceDE w:val="0"/>
        <w:autoSpaceDN w:val="0"/>
        <w:adjustRightInd w:val="0"/>
        <w:spacing w:after="0"/>
        <w:ind w:left="426"/>
        <w:rPr>
          <w:rFonts w:asciiTheme="minorHAnsi" w:hAnsiTheme="minorHAnsi" w:cstheme="minorHAnsi"/>
          <w:sz w:val="22"/>
          <w:szCs w:val="22"/>
        </w:rPr>
      </w:pPr>
      <w:r w:rsidRPr="006B16BC">
        <w:rPr>
          <w:rFonts w:asciiTheme="minorHAnsi" w:hAnsiTheme="minorHAnsi" w:cstheme="minorHAnsi"/>
          <w:sz w:val="22"/>
          <w:szCs w:val="22"/>
        </w:rPr>
        <w:t xml:space="preserve">The prevalence of therapy-related persistent </w:t>
      </w:r>
      <w:proofErr w:type="spellStart"/>
      <w:r w:rsidRPr="006B16BC">
        <w:rPr>
          <w:rFonts w:asciiTheme="minorHAnsi" w:hAnsiTheme="minorHAnsi" w:cstheme="minorHAnsi"/>
          <w:sz w:val="22"/>
          <w:szCs w:val="22"/>
        </w:rPr>
        <w:t>haematological</w:t>
      </w:r>
      <w:proofErr w:type="spellEnd"/>
      <w:r w:rsidRPr="006B16BC">
        <w:rPr>
          <w:rFonts w:asciiTheme="minorHAnsi" w:hAnsiTheme="minorHAnsi" w:cstheme="minorHAnsi"/>
          <w:sz w:val="22"/>
          <w:szCs w:val="22"/>
        </w:rPr>
        <w:t xml:space="preserve"> dysfunction (PHD), defined as </w:t>
      </w:r>
      <w:r w:rsidRPr="006B16BC">
        <w:rPr>
          <w:rFonts w:asciiTheme="minorHAnsi" w:hAnsiTheme="minorHAnsi" w:cstheme="minorHAnsi"/>
          <w:color w:val="131413"/>
          <w:sz w:val="22"/>
          <w:szCs w:val="22"/>
        </w:rPr>
        <w:t xml:space="preserve">MDS, </w:t>
      </w:r>
      <w:r w:rsidRPr="006B16BC">
        <w:rPr>
          <w:rFonts w:asciiTheme="minorHAnsi" w:hAnsiTheme="minorHAnsi" w:cstheme="minorHAnsi"/>
          <w:sz w:val="22"/>
          <w:szCs w:val="22"/>
        </w:rPr>
        <w:t xml:space="preserve">AML, myeloproliferative neoplasm (MPN), or MDS/MPN or unexplained </w:t>
      </w:r>
      <w:r w:rsidR="00546E87">
        <w:rPr>
          <w:rFonts w:asciiTheme="minorHAnsi" w:hAnsiTheme="minorHAnsi" w:cstheme="minorHAnsi"/>
          <w:sz w:val="22"/>
          <w:szCs w:val="22"/>
        </w:rPr>
        <w:t>G</w:t>
      </w:r>
      <w:r w:rsidRPr="006B16BC">
        <w:rPr>
          <w:rFonts w:asciiTheme="minorHAnsi" w:hAnsiTheme="minorHAnsi" w:cstheme="minorHAnsi"/>
          <w:sz w:val="22"/>
          <w:szCs w:val="22"/>
        </w:rPr>
        <w:t xml:space="preserve">rade 34 </w:t>
      </w:r>
      <w:proofErr w:type="spellStart"/>
      <w:r w:rsidRPr="006B16BC">
        <w:rPr>
          <w:rFonts w:asciiTheme="minorHAnsi" w:hAnsiTheme="minorHAnsi" w:cstheme="minorHAnsi"/>
          <w:sz w:val="22"/>
          <w:szCs w:val="22"/>
        </w:rPr>
        <w:t>haematologic</w:t>
      </w:r>
      <w:proofErr w:type="spellEnd"/>
      <w:r w:rsidRPr="006B16BC">
        <w:rPr>
          <w:rFonts w:asciiTheme="minorHAnsi" w:hAnsiTheme="minorHAnsi" w:cstheme="minorHAnsi"/>
          <w:sz w:val="22"/>
          <w:szCs w:val="22"/>
        </w:rPr>
        <w:t xml:space="preserve"> toxicity (&gt; 6 months) in </w:t>
      </w:r>
      <w:proofErr w:type="spellStart"/>
      <w:r w:rsidRPr="006B16BC">
        <w:rPr>
          <w:rFonts w:asciiTheme="minorHAnsi" w:hAnsiTheme="minorHAnsi" w:cstheme="minorHAnsi"/>
          <w:sz w:val="22"/>
          <w:szCs w:val="22"/>
        </w:rPr>
        <w:t>haemoglobin</w:t>
      </w:r>
      <w:proofErr w:type="spellEnd"/>
      <w:r w:rsidRPr="006B16BC">
        <w:rPr>
          <w:rFonts w:asciiTheme="minorHAnsi" w:hAnsiTheme="minorHAnsi" w:cstheme="minorHAnsi"/>
          <w:sz w:val="22"/>
          <w:szCs w:val="22"/>
        </w:rPr>
        <w:t xml:space="preserve">, platelets, or white blood </w:t>
      </w:r>
      <w:proofErr w:type="gramStart"/>
      <w:r w:rsidRPr="006B16BC">
        <w:rPr>
          <w:rFonts w:asciiTheme="minorHAnsi" w:hAnsiTheme="minorHAnsi" w:cstheme="minorHAnsi"/>
          <w:sz w:val="22"/>
          <w:szCs w:val="22"/>
        </w:rPr>
        <w:t>cells )</w:t>
      </w:r>
      <w:proofErr w:type="gramEnd"/>
      <w:r w:rsidRPr="006B16BC">
        <w:rPr>
          <w:rFonts w:asciiTheme="minorHAnsi" w:hAnsiTheme="minorHAnsi" w:cstheme="minorHAnsi"/>
          <w:sz w:val="22"/>
          <w:szCs w:val="22"/>
        </w:rPr>
        <w:t xml:space="preserve"> after </w:t>
      </w:r>
      <w:r w:rsidR="006905EE">
        <w:rPr>
          <w:rFonts w:asciiTheme="minorHAnsi" w:hAnsiTheme="minorHAnsi" w:cstheme="minorHAnsi"/>
          <w:sz w:val="22"/>
          <w:szCs w:val="22"/>
        </w:rPr>
        <w:t>l</w:t>
      </w:r>
      <w:r w:rsidR="006905EE" w:rsidRPr="00B07007">
        <w:rPr>
          <w:rFonts w:asciiTheme="minorHAnsi" w:hAnsiTheme="minorHAnsi" w:cstheme="minorHAnsi"/>
          <w:sz w:val="22"/>
          <w:szCs w:val="22"/>
        </w:rPr>
        <w:t>utetium chloride</w:t>
      </w:r>
      <w:r w:rsidR="006905EE">
        <w:rPr>
          <w:rFonts w:asciiTheme="minorHAnsi" w:hAnsiTheme="minorHAnsi" w:cstheme="minorHAnsi"/>
          <w:sz w:val="22"/>
          <w:szCs w:val="22"/>
          <w:vertAlign w:val="subscript"/>
        </w:rPr>
        <w:t xml:space="preserve"> </w:t>
      </w:r>
      <w:r w:rsidR="006905EE" w:rsidRPr="003C27C9">
        <w:rPr>
          <w:rFonts w:asciiTheme="minorHAnsi" w:hAnsiTheme="minorHAnsi" w:cstheme="minorHAnsi"/>
          <w:sz w:val="22"/>
          <w:szCs w:val="22"/>
        </w:rPr>
        <w:t>based PRRT</w:t>
      </w:r>
      <w:r w:rsidR="006905EE" w:rsidRPr="00066F59">
        <w:rPr>
          <w:rFonts w:asciiTheme="minorHAnsi" w:hAnsiTheme="minorHAnsi" w:cstheme="minorHAnsi"/>
          <w:color w:val="4F81BD" w:themeColor="accent1"/>
          <w:sz w:val="22"/>
          <w:szCs w:val="22"/>
        </w:rPr>
        <w:t xml:space="preserve"> </w:t>
      </w:r>
      <w:r w:rsidRPr="006B16BC">
        <w:rPr>
          <w:rFonts w:asciiTheme="minorHAnsi" w:hAnsiTheme="minorHAnsi" w:cstheme="minorHAnsi"/>
          <w:sz w:val="22"/>
          <w:szCs w:val="22"/>
        </w:rPr>
        <w:t xml:space="preserve">in GEP NET patients was 4%, implying a relative risk of 2.7 compared to the untreated population. </w:t>
      </w:r>
    </w:p>
    <w:p w14:paraId="447796BA" w14:textId="3ADE3982" w:rsidR="007E4CAB" w:rsidRDefault="007E4CAB" w:rsidP="000270FC">
      <w:pPr>
        <w:autoSpaceDE w:val="0"/>
        <w:autoSpaceDN w:val="0"/>
        <w:adjustRightInd w:val="0"/>
        <w:spacing w:after="0"/>
        <w:ind w:left="426"/>
        <w:rPr>
          <w:rFonts w:asciiTheme="minorHAnsi" w:hAnsiTheme="minorHAnsi" w:cstheme="minorHAnsi"/>
          <w:sz w:val="22"/>
          <w:szCs w:val="22"/>
        </w:rPr>
      </w:pPr>
    </w:p>
    <w:p w14:paraId="15E7D86B" w14:textId="0949374F" w:rsidR="007E4CAB" w:rsidRPr="00D725EB" w:rsidRDefault="007E4CAB" w:rsidP="007E4CAB">
      <w:pPr>
        <w:autoSpaceDE w:val="0"/>
        <w:autoSpaceDN w:val="0"/>
        <w:adjustRightInd w:val="0"/>
        <w:spacing w:after="0"/>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In a study designed to evaluate the incidence of persistent </w:t>
      </w:r>
      <w:proofErr w:type="spellStart"/>
      <w:r w:rsidRPr="00D725EB">
        <w:rPr>
          <w:rFonts w:asciiTheme="minorHAnsi" w:hAnsiTheme="minorHAnsi" w:cstheme="minorHAnsi"/>
          <w:color w:val="auto"/>
          <w:sz w:val="22"/>
          <w:szCs w:val="22"/>
        </w:rPr>
        <w:t>haematological</w:t>
      </w:r>
      <w:proofErr w:type="spellEnd"/>
      <w:r w:rsidRPr="00D725EB">
        <w:rPr>
          <w:rFonts w:asciiTheme="minorHAnsi" w:hAnsiTheme="minorHAnsi" w:cstheme="minorHAnsi"/>
          <w:color w:val="auto"/>
          <w:sz w:val="22"/>
          <w:szCs w:val="22"/>
        </w:rPr>
        <w:t xml:space="preserve"> dysfunction (PHD) after </w:t>
      </w:r>
      <w:bookmarkStart w:id="7" w:name="_Hlk58146768"/>
      <w:r w:rsidR="006905EE" w:rsidRPr="00D725EB">
        <w:rPr>
          <w:rFonts w:asciiTheme="minorHAnsi" w:hAnsiTheme="minorHAnsi" w:cstheme="minorHAnsi"/>
          <w:color w:val="auto"/>
          <w:sz w:val="22"/>
          <w:szCs w:val="22"/>
        </w:rPr>
        <w:t>lutetium chloride</w:t>
      </w:r>
      <w:r w:rsidR="006905EE" w:rsidRPr="00D725EB">
        <w:rPr>
          <w:rFonts w:asciiTheme="minorHAnsi" w:hAnsiTheme="minorHAnsi" w:cstheme="minorHAnsi"/>
          <w:color w:val="auto"/>
          <w:sz w:val="22"/>
          <w:szCs w:val="22"/>
          <w:vertAlign w:val="subscript"/>
        </w:rPr>
        <w:t xml:space="preserve"> </w:t>
      </w:r>
      <w:r w:rsidR="006905EE" w:rsidRPr="00D725EB">
        <w:rPr>
          <w:rFonts w:asciiTheme="minorHAnsi" w:hAnsiTheme="minorHAnsi" w:cstheme="minorHAnsi"/>
          <w:color w:val="auto"/>
          <w:sz w:val="22"/>
          <w:szCs w:val="22"/>
        </w:rPr>
        <w:t>based PRRT</w:t>
      </w:r>
      <w:bookmarkEnd w:id="7"/>
      <w:r w:rsidRPr="00D725EB">
        <w:rPr>
          <w:rFonts w:asciiTheme="minorHAnsi" w:hAnsiTheme="minorHAnsi" w:cstheme="minorHAnsi"/>
          <w:color w:val="auto"/>
          <w:sz w:val="22"/>
          <w:szCs w:val="22"/>
        </w:rPr>
        <w:t xml:space="preserve"> in GEP NET patients, </w:t>
      </w:r>
      <w:r w:rsidR="006905EE" w:rsidRPr="00D725EB">
        <w:rPr>
          <w:rFonts w:asciiTheme="minorHAnsi" w:hAnsiTheme="minorHAnsi" w:cstheme="minorHAnsi"/>
          <w:color w:val="auto"/>
          <w:sz w:val="22"/>
          <w:szCs w:val="22"/>
        </w:rPr>
        <w:t xml:space="preserve">11 </w:t>
      </w:r>
      <w:r w:rsidRPr="00D725EB">
        <w:rPr>
          <w:rFonts w:asciiTheme="minorHAnsi" w:hAnsiTheme="minorHAnsi" w:cstheme="minorHAnsi"/>
          <w:color w:val="auto"/>
          <w:sz w:val="22"/>
          <w:szCs w:val="22"/>
        </w:rPr>
        <w:t xml:space="preserve">of the 274 patients (6 women and 5 men) had PHD after </w:t>
      </w:r>
      <w:r w:rsidR="006905EE" w:rsidRPr="00D725EB">
        <w:rPr>
          <w:rFonts w:asciiTheme="minorHAnsi" w:hAnsiTheme="minorHAnsi" w:cstheme="minorHAnsi"/>
          <w:color w:val="auto"/>
          <w:sz w:val="22"/>
          <w:szCs w:val="22"/>
        </w:rPr>
        <w:t>lutetium chloride</w:t>
      </w:r>
      <w:r w:rsidR="006905EE" w:rsidRPr="00D725EB">
        <w:rPr>
          <w:rFonts w:asciiTheme="minorHAnsi" w:hAnsiTheme="minorHAnsi" w:cstheme="minorHAnsi"/>
          <w:color w:val="auto"/>
          <w:sz w:val="22"/>
          <w:szCs w:val="22"/>
          <w:vertAlign w:val="subscript"/>
        </w:rPr>
        <w:t xml:space="preserve"> </w:t>
      </w:r>
      <w:r w:rsidR="006905EE" w:rsidRPr="00D725EB">
        <w:rPr>
          <w:rFonts w:asciiTheme="minorHAnsi" w:hAnsiTheme="minorHAnsi" w:cstheme="minorHAnsi"/>
          <w:color w:val="auto"/>
          <w:sz w:val="22"/>
          <w:szCs w:val="22"/>
        </w:rPr>
        <w:t>based PRRT</w:t>
      </w:r>
      <w:r w:rsidR="006905EE" w:rsidRPr="00D725EB" w:rsidDel="006905EE">
        <w:rPr>
          <w:rFonts w:asciiTheme="minorHAnsi" w:hAnsiTheme="minorHAnsi" w:cstheme="minorHAnsi"/>
          <w:color w:val="auto"/>
          <w:sz w:val="22"/>
          <w:szCs w:val="22"/>
        </w:rPr>
        <w:t xml:space="preserve"> </w:t>
      </w:r>
      <w:r w:rsidRPr="00D725EB">
        <w:rPr>
          <w:rFonts w:asciiTheme="minorHAnsi" w:hAnsiTheme="minorHAnsi" w:cstheme="minorHAnsi"/>
          <w:color w:val="auto"/>
          <w:sz w:val="22"/>
          <w:szCs w:val="22"/>
        </w:rPr>
        <w:t xml:space="preserve">(4%). Eight patients developed a hematopoietic malignancy (4 myelodysplastic syndrome (MDS), 1 acute myeloid </w:t>
      </w:r>
      <w:proofErr w:type="spellStart"/>
      <w:r w:rsidRPr="00D725EB">
        <w:rPr>
          <w:rFonts w:asciiTheme="minorHAnsi" w:hAnsiTheme="minorHAnsi" w:cstheme="minorHAnsi"/>
          <w:color w:val="auto"/>
          <w:sz w:val="22"/>
          <w:szCs w:val="22"/>
        </w:rPr>
        <w:t>leukaemia</w:t>
      </w:r>
      <w:proofErr w:type="spellEnd"/>
      <w:r w:rsidRPr="00D725EB">
        <w:rPr>
          <w:rFonts w:asciiTheme="minorHAnsi" w:hAnsiTheme="minorHAnsi" w:cstheme="minorHAnsi"/>
          <w:color w:val="auto"/>
          <w:sz w:val="22"/>
          <w:szCs w:val="22"/>
        </w:rPr>
        <w:t xml:space="preserve"> (AML), 1 myeloproliferative neoplasm (MPN), and 2 MDS/MPN), and 3 patients developed bone marrow (BM) failure characterized by cytopenia and BM aplasia.</w:t>
      </w:r>
    </w:p>
    <w:p w14:paraId="7A662FFF" w14:textId="77777777" w:rsidR="007E4CAB" w:rsidRPr="00D725EB" w:rsidRDefault="007E4CAB" w:rsidP="007E4CAB">
      <w:pPr>
        <w:autoSpaceDE w:val="0"/>
        <w:autoSpaceDN w:val="0"/>
        <w:adjustRightInd w:val="0"/>
        <w:spacing w:after="0"/>
        <w:rPr>
          <w:rFonts w:asciiTheme="minorHAnsi" w:hAnsiTheme="minorHAnsi" w:cstheme="minorHAnsi"/>
          <w:color w:val="auto"/>
          <w:sz w:val="22"/>
          <w:szCs w:val="22"/>
        </w:rPr>
      </w:pPr>
    </w:p>
    <w:p w14:paraId="3D4C5381" w14:textId="6D023B70" w:rsidR="007E4CAB" w:rsidRPr="00D725EB" w:rsidRDefault="007E4CAB" w:rsidP="007E4CAB">
      <w:pPr>
        <w:autoSpaceDE w:val="0"/>
        <w:autoSpaceDN w:val="0"/>
        <w:adjustRightInd w:val="0"/>
        <w:spacing w:after="0"/>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The median latency period from initiation of PRRT to diagnosis of PHD in the 11 of 274 GEP NET patients was 41 months (range, 15–84 m). In 5 of the 11 patients, PRRT was interrupted. The median cumulative estimated BM dose was 2.0 </w:t>
      </w:r>
      <w:proofErr w:type="spellStart"/>
      <w:r w:rsidRPr="00D725EB">
        <w:rPr>
          <w:rFonts w:asciiTheme="minorHAnsi" w:hAnsiTheme="minorHAnsi" w:cstheme="minorHAnsi"/>
          <w:color w:val="auto"/>
          <w:sz w:val="22"/>
          <w:szCs w:val="22"/>
        </w:rPr>
        <w:t>Gy</w:t>
      </w:r>
      <w:proofErr w:type="spellEnd"/>
      <w:r w:rsidRPr="00D725EB">
        <w:rPr>
          <w:rFonts w:asciiTheme="minorHAnsi" w:hAnsiTheme="minorHAnsi" w:cstheme="minorHAnsi"/>
          <w:color w:val="auto"/>
          <w:sz w:val="22"/>
          <w:szCs w:val="22"/>
        </w:rPr>
        <w:t xml:space="preserve"> (range, 0.2–4.0 </w:t>
      </w:r>
      <w:proofErr w:type="spellStart"/>
      <w:r w:rsidRPr="00D725EB">
        <w:rPr>
          <w:rFonts w:asciiTheme="minorHAnsi" w:hAnsiTheme="minorHAnsi" w:cstheme="minorHAnsi"/>
          <w:color w:val="auto"/>
          <w:sz w:val="22"/>
          <w:szCs w:val="22"/>
        </w:rPr>
        <w:t>Gy</w:t>
      </w:r>
      <w:proofErr w:type="spellEnd"/>
      <w:r w:rsidRPr="00D725EB">
        <w:rPr>
          <w:rFonts w:asciiTheme="minorHAnsi" w:hAnsiTheme="minorHAnsi" w:cstheme="minorHAnsi"/>
          <w:color w:val="auto"/>
          <w:sz w:val="22"/>
          <w:szCs w:val="22"/>
        </w:rPr>
        <w:t xml:space="preserve">) in the 263 patients without PHD and 1.8 </w:t>
      </w:r>
      <w:proofErr w:type="spellStart"/>
      <w:r w:rsidRPr="00D725EB">
        <w:rPr>
          <w:rFonts w:asciiTheme="minorHAnsi" w:hAnsiTheme="minorHAnsi" w:cstheme="minorHAnsi"/>
          <w:color w:val="auto"/>
          <w:sz w:val="22"/>
          <w:szCs w:val="22"/>
        </w:rPr>
        <w:t>Gy</w:t>
      </w:r>
      <w:proofErr w:type="spellEnd"/>
      <w:r w:rsidRPr="00D725EB">
        <w:rPr>
          <w:rFonts w:asciiTheme="minorHAnsi" w:hAnsiTheme="minorHAnsi" w:cstheme="minorHAnsi"/>
          <w:color w:val="auto"/>
          <w:sz w:val="22"/>
          <w:szCs w:val="22"/>
        </w:rPr>
        <w:t xml:space="preserve"> (range, 1.0 22.0 </w:t>
      </w:r>
      <w:proofErr w:type="spellStart"/>
      <w:r w:rsidRPr="00D725EB">
        <w:rPr>
          <w:rFonts w:asciiTheme="minorHAnsi" w:hAnsiTheme="minorHAnsi" w:cstheme="minorHAnsi"/>
          <w:color w:val="auto"/>
          <w:sz w:val="22"/>
          <w:szCs w:val="22"/>
        </w:rPr>
        <w:t>Gy</w:t>
      </w:r>
      <w:proofErr w:type="spellEnd"/>
      <w:r w:rsidRPr="00D725EB">
        <w:rPr>
          <w:rFonts w:asciiTheme="minorHAnsi" w:hAnsiTheme="minorHAnsi" w:cstheme="minorHAnsi"/>
          <w:color w:val="auto"/>
          <w:sz w:val="22"/>
          <w:szCs w:val="22"/>
        </w:rPr>
        <w:t xml:space="preserve">) in the 11 patients with PHD.  Seven of the 11 patients received a BM dose of less than 2.0 </w:t>
      </w:r>
      <w:proofErr w:type="spellStart"/>
      <w:r w:rsidRPr="00D725EB">
        <w:rPr>
          <w:rFonts w:asciiTheme="minorHAnsi" w:hAnsiTheme="minorHAnsi" w:cstheme="minorHAnsi"/>
          <w:color w:val="auto"/>
          <w:sz w:val="22"/>
          <w:szCs w:val="22"/>
        </w:rPr>
        <w:t>Gy</w:t>
      </w:r>
      <w:proofErr w:type="spellEnd"/>
      <w:r w:rsidRPr="00D725EB">
        <w:rPr>
          <w:rFonts w:asciiTheme="minorHAnsi" w:hAnsiTheme="minorHAnsi" w:cstheme="minorHAnsi"/>
          <w:color w:val="auto"/>
          <w:sz w:val="22"/>
          <w:szCs w:val="22"/>
        </w:rPr>
        <w:t>.</w:t>
      </w:r>
    </w:p>
    <w:p w14:paraId="7A510531" w14:textId="77777777" w:rsidR="007E4CAB" w:rsidRPr="00D725EB" w:rsidRDefault="007E4CAB" w:rsidP="000270FC">
      <w:pPr>
        <w:autoSpaceDE w:val="0"/>
        <w:autoSpaceDN w:val="0"/>
        <w:adjustRightInd w:val="0"/>
        <w:spacing w:after="0"/>
        <w:ind w:left="426"/>
        <w:rPr>
          <w:rFonts w:asciiTheme="minorHAnsi" w:hAnsiTheme="minorHAnsi" w:cstheme="minorHAnsi"/>
          <w:color w:val="auto"/>
          <w:sz w:val="22"/>
          <w:szCs w:val="22"/>
        </w:rPr>
      </w:pPr>
    </w:p>
    <w:p w14:paraId="13C19CD0" w14:textId="4B78EDE2" w:rsidR="00F20EFB" w:rsidRPr="006B16BC" w:rsidRDefault="00F20EFB" w:rsidP="000270FC">
      <w:pPr>
        <w:autoSpaceDE w:val="0"/>
        <w:autoSpaceDN w:val="0"/>
        <w:adjustRightInd w:val="0"/>
        <w:spacing w:after="0"/>
        <w:ind w:left="426"/>
        <w:rPr>
          <w:rFonts w:asciiTheme="minorHAnsi" w:hAnsiTheme="minorHAnsi" w:cstheme="minorHAnsi"/>
          <w:color w:val="131413"/>
          <w:sz w:val="22"/>
          <w:szCs w:val="22"/>
        </w:rPr>
      </w:pPr>
      <w:r w:rsidRPr="006B16BC">
        <w:rPr>
          <w:rFonts w:asciiTheme="minorHAnsi" w:hAnsiTheme="minorHAnsi" w:cstheme="minorHAnsi"/>
          <w:color w:val="131413"/>
          <w:sz w:val="22"/>
          <w:szCs w:val="22"/>
        </w:rPr>
        <w:t xml:space="preserve">Of patients treated with a median cumulative radionuclide administered activity of 40.5 </w:t>
      </w:r>
      <w:proofErr w:type="spellStart"/>
      <w:r w:rsidRPr="006B16BC">
        <w:rPr>
          <w:rFonts w:asciiTheme="minorHAnsi" w:hAnsiTheme="minorHAnsi" w:cstheme="minorHAnsi"/>
          <w:color w:val="131413"/>
          <w:sz w:val="22"/>
          <w:szCs w:val="22"/>
        </w:rPr>
        <w:t>GBq</w:t>
      </w:r>
      <w:proofErr w:type="spellEnd"/>
      <w:r w:rsidRPr="006B16BC">
        <w:rPr>
          <w:rFonts w:asciiTheme="minorHAnsi" w:hAnsiTheme="minorHAnsi" w:cstheme="minorHAnsi"/>
          <w:color w:val="131413"/>
          <w:sz w:val="22"/>
          <w:szCs w:val="22"/>
        </w:rPr>
        <w:t xml:space="preserve"> (range 24.4–74.8), 19 (3.6% of entire cohort) developed MDS and six patients (1.2% of entire cohort) developed AML. No patient developed acute lymphoblastic </w:t>
      </w:r>
      <w:proofErr w:type="spellStart"/>
      <w:r w:rsidRPr="006B16BC">
        <w:rPr>
          <w:rFonts w:asciiTheme="minorHAnsi" w:hAnsiTheme="minorHAnsi" w:cstheme="minorHAnsi"/>
          <w:color w:val="131413"/>
          <w:sz w:val="22"/>
          <w:szCs w:val="22"/>
        </w:rPr>
        <w:t>leukaemia</w:t>
      </w:r>
      <w:proofErr w:type="spellEnd"/>
      <w:r w:rsidRPr="006B16BC">
        <w:rPr>
          <w:rFonts w:asciiTheme="minorHAnsi" w:hAnsiTheme="minorHAnsi" w:cstheme="minorHAnsi"/>
          <w:color w:val="131413"/>
          <w:sz w:val="22"/>
          <w:szCs w:val="22"/>
        </w:rPr>
        <w:t xml:space="preserve">. </w:t>
      </w:r>
    </w:p>
    <w:p w14:paraId="05A986D9" w14:textId="77777777" w:rsidR="00F20EFB" w:rsidRPr="006B16BC" w:rsidRDefault="00F20EFB" w:rsidP="000270FC">
      <w:pPr>
        <w:autoSpaceDE w:val="0"/>
        <w:autoSpaceDN w:val="0"/>
        <w:adjustRightInd w:val="0"/>
        <w:spacing w:after="0"/>
        <w:ind w:left="426"/>
        <w:rPr>
          <w:rFonts w:asciiTheme="minorHAnsi" w:hAnsiTheme="minorHAnsi" w:cstheme="minorHAnsi"/>
          <w:sz w:val="22"/>
          <w:szCs w:val="22"/>
        </w:rPr>
      </w:pPr>
    </w:p>
    <w:p w14:paraId="53A6D78C" w14:textId="77777777" w:rsidR="00F20EFB" w:rsidRPr="006B16BC" w:rsidRDefault="00F20EFB" w:rsidP="00D725EB">
      <w:pPr>
        <w:autoSpaceDE w:val="0"/>
        <w:autoSpaceDN w:val="0"/>
        <w:adjustRightInd w:val="0"/>
        <w:spacing w:after="0"/>
        <w:ind w:left="426"/>
        <w:rPr>
          <w:rFonts w:asciiTheme="minorHAnsi" w:hAnsiTheme="minorHAnsi" w:cstheme="minorHAnsi"/>
          <w:sz w:val="22"/>
          <w:szCs w:val="22"/>
        </w:rPr>
      </w:pPr>
      <w:r w:rsidRPr="006B16BC">
        <w:rPr>
          <w:rFonts w:asciiTheme="minorHAnsi" w:hAnsiTheme="minorHAnsi" w:cstheme="minorHAnsi"/>
          <w:sz w:val="22"/>
          <w:szCs w:val="22"/>
        </w:rPr>
        <w:t xml:space="preserve">Factors associated with development of significant short and long-term myelotoxicity included age &gt;70 years, impaired renal function, baseline </w:t>
      </w:r>
      <w:proofErr w:type="spellStart"/>
      <w:r w:rsidRPr="006B16BC">
        <w:rPr>
          <w:rFonts w:asciiTheme="minorHAnsi" w:hAnsiTheme="minorHAnsi" w:cstheme="minorHAnsi"/>
          <w:sz w:val="22"/>
          <w:szCs w:val="22"/>
        </w:rPr>
        <w:t>cytopenias</w:t>
      </w:r>
      <w:proofErr w:type="spellEnd"/>
      <w:r w:rsidRPr="006B16BC">
        <w:rPr>
          <w:rFonts w:asciiTheme="minorHAnsi" w:hAnsiTheme="minorHAnsi" w:cstheme="minorHAnsi"/>
          <w:sz w:val="22"/>
          <w:szCs w:val="22"/>
        </w:rPr>
        <w:t xml:space="preserve">, prior number of therapies, prior chemotherapy (especially alkylating agents), and prior radiation therapy. </w:t>
      </w:r>
    </w:p>
    <w:p w14:paraId="499E5A63" w14:textId="77777777" w:rsidR="006B16BC" w:rsidRDefault="006B16BC" w:rsidP="00D725EB">
      <w:pPr>
        <w:spacing w:after="0" w:line="240" w:lineRule="auto"/>
        <w:rPr>
          <w:rFonts w:asciiTheme="minorHAnsi" w:hAnsiTheme="minorHAnsi" w:cstheme="minorHAnsi"/>
          <w:sz w:val="22"/>
          <w:szCs w:val="22"/>
        </w:rPr>
      </w:pPr>
    </w:p>
    <w:p w14:paraId="4ED6EC66" w14:textId="4CA0A31C" w:rsidR="006226CC" w:rsidRPr="00B07007" w:rsidRDefault="006226CC" w:rsidP="00B2616E">
      <w:pPr>
        <w:rPr>
          <w:rFonts w:asciiTheme="minorHAnsi" w:hAnsiTheme="minorHAnsi" w:cstheme="minorHAnsi"/>
          <w:sz w:val="22"/>
          <w:szCs w:val="22"/>
        </w:rPr>
      </w:pPr>
      <w:r w:rsidRPr="00B07007">
        <w:rPr>
          <w:rFonts w:asciiTheme="minorHAnsi" w:hAnsiTheme="minorHAnsi" w:cstheme="minorHAnsi"/>
          <w:sz w:val="22"/>
          <w:szCs w:val="22"/>
        </w:rPr>
        <w:lastRenderedPageBreak/>
        <w:t xml:space="preserve">This should be </w:t>
      </w:r>
      <w:proofErr w:type="gramStart"/>
      <w:r w:rsidRPr="00B07007">
        <w:rPr>
          <w:rFonts w:asciiTheme="minorHAnsi" w:hAnsiTheme="minorHAnsi" w:cstheme="minorHAnsi"/>
          <w:sz w:val="22"/>
          <w:szCs w:val="22"/>
        </w:rPr>
        <w:t>taken into account</w:t>
      </w:r>
      <w:proofErr w:type="gramEnd"/>
      <w:r w:rsidRPr="00B07007">
        <w:rPr>
          <w:rFonts w:asciiTheme="minorHAnsi" w:hAnsiTheme="minorHAnsi" w:cstheme="minorHAnsi"/>
          <w:sz w:val="22"/>
          <w:szCs w:val="22"/>
        </w:rPr>
        <w:t xml:space="preserve"> when considering the benefit/risk, especially in patients with possible risk factors like prior exposure to chemotherapeutic agents (such as alkylating agents).</w:t>
      </w:r>
    </w:p>
    <w:p w14:paraId="791C1889" w14:textId="1C3E4EC5" w:rsidR="006226CC" w:rsidRPr="006A2B93" w:rsidRDefault="006226CC" w:rsidP="006A2B93">
      <w:pPr>
        <w:pStyle w:val="Heading3"/>
        <w:rPr>
          <w:rFonts w:asciiTheme="minorHAnsi" w:hAnsiTheme="minorHAnsi" w:cstheme="minorHAnsi"/>
          <w:szCs w:val="22"/>
        </w:rPr>
      </w:pPr>
      <w:r w:rsidRPr="006A2B93">
        <w:rPr>
          <w:rFonts w:asciiTheme="minorHAnsi" w:hAnsiTheme="minorHAnsi" w:cstheme="minorHAnsi"/>
          <w:szCs w:val="22"/>
        </w:rPr>
        <w:t>Renal irradiation</w:t>
      </w:r>
    </w:p>
    <w:p w14:paraId="3B295E6C" w14:textId="5B0A8C85" w:rsidR="007E4CAB" w:rsidRPr="00D725EB" w:rsidRDefault="007E4CAB" w:rsidP="007E4CAB">
      <w:pPr>
        <w:autoSpaceDE w:val="0"/>
        <w:autoSpaceDN w:val="0"/>
        <w:adjustRightInd w:val="0"/>
        <w:spacing w:after="0"/>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In 323 patients treated </w:t>
      </w:r>
      <w:r w:rsidR="00A44ED7" w:rsidRPr="00D725EB">
        <w:rPr>
          <w:rFonts w:asciiTheme="minorHAnsi" w:hAnsiTheme="minorHAnsi" w:cstheme="minorHAnsi"/>
          <w:color w:val="auto"/>
          <w:sz w:val="22"/>
          <w:szCs w:val="22"/>
        </w:rPr>
        <w:t>with lutetium chloride</w:t>
      </w:r>
      <w:r w:rsidR="00A44ED7" w:rsidRPr="00D725EB">
        <w:rPr>
          <w:rFonts w:asciiTheme="minorHAnsi" w:hAnsiTheme="minorHAnsi" w:cstheme="minorHAnsi"/>
          <w:color w:val="auto"/>
          <w:sz w:val="22"/>
          <w:szCs w:val="22"/>
          <w:vertAlign w:val="subscript"/>
        </w:rPr>
        <w:t xml:space="preserve"> </w:t>
      </w:r>
      <w:r w:rsidR="00A44ED7" w:rsidRPr="00D725EB">
        <w:rPr>
          <w:rFonts w:asciiTheme="minorHAnsi" w:hAnsiTheme="minorHAnsi" w:cstheme="minorHAnsi"/>
          <w:color w:val="auto"/>
          <w:sz w:val="22"/>
          <w:szCs w:val="22"/>
        </w:rPr>
        <w:t>based PRRT</w:t>
      </w:r>
      <w:r w:rsidR="00A44ED7" w:rsidRPr="00D725EB" w:rsidDel="00A44ED7">
        <w:rPr>
          <w:rFonts w:asciiTheme="minorHAnsi" w:hAnsiTheme="minorHAnsi" w:cstheme="minorHAnsi"/>
          <w:color w:val="auto"/>
          <w:sz w:val="22"/>
          <w:szCs w:val="22"/>
        </w:rPr>
        <w:t xml:space="preserve"> </w:t>
      </w:r>
      <w:r w:rsidRPr="00D725EB">
        <w:rPr>
          <w:rFonts w:asciiTheme="minorHAnsi" w:hAnsiTheme="minorHAnsi" w:cstheme="minorHAnsi"/>
          <w:color w:val="auto"/>
          <w:sz w:val="22"/>
          <w:szCs w:val="22"/>
        </w:rPr>
        <w:t xml:space="preserve">in a median cumulative activity of 29.6 </w:t>
      </w:r>
      <w:proofErr w:type="spellStart"/>
      <w:r w:rsidRPr="00D725EB">
        <w:rPr>
          <w:rFonts w:asciiTheme="minorHAnsi" w:hAnsiTheme="minorHAnsi" w:cstheme="minorHAnsi"/>
          <w:color w:val="auto"/>
          <w:sz w:val="22"/>
          <w:szCs w:val="22"/>
        </w:rPr>
        <w:t>GBq</w:t>
      </w:r>
      <w:proofErr w:type="spellEnd"/>
      <w:r w:rsidRPr="00D725EB">
        <w:rPr>
          <w:rFonts w:asciiTheme="minorHAnsi" w:hAnsiTheme="minorHAnsi" w:cstheme="minorHAnsi"/>
          <w:color w:val="auto"/>
          <w:sz w:val="22"/>
          <w:szCs w:val="22"/>
        </w:rPr>
        <w:t xml:space="preserve"> (range 7.4 – 29.6 </w:t>
      </w:r>
      <w:proofErr w:type="spellStart"/>
      <w:r w:rsidRPr="00D725EB">
        <w:rPr>
          <w:rFonts w:asciiTheme="minorHAnsi" w:hAnsiTheme="minorHAnsi" w:cstheme="minorHAnsi"/>
          <w:color w:val="auto"/>
          <w:sz w:val="22"/>
          <w:szCs w:val="22"/>
        </w:rPr>
        <w:t>GBq</w:t>
      </w:r>
      <w:proofErr w:type="spellEnd"/>
      <w:r w:rsidRPr="00D725EB">
        <w:rPr>
          <w:rFonts w:asciiTheme="minorHAnsi" w:hAnsiTheme="minorHAnsi" w:cstheme="minorHAnsi"/>
          <w:color w:val="auto"/>
          <w:sz w:val="22"/>
          <w:szCs w:val="22"/>
        </w:rPr>
        <w:t xml:space="preserve">), 14 (4 %) had a (sub)acute toxicity </w:t>
      </w:r>
      <w:r w:rsidR="00671CE5" w:rsidRPr="00D725EB">
        <w:rPr>
          <w:rFonts w:asciiTheme="minorHAnsi" w:hAnsiTheme="minorHAnsi" w:cstheme="minorHAnsi"/>
          <w:color w:val="auto"/>
          <w:sz w:val="22"/>
          <w:szCs w:val="22"/>
        </w:rPr>
        <w:t xml:space="preserve">Grade </w:t>
      </w:r>
      <w:r w:rsidRPr="00D725EB">
        <w:rPr>
          <w:rFonts w:asciiTheme="minorHAnsi" w:hAnsiTheme="minorHAnsi" w:cstheme="minorHAnsi"/>
          <w:color w:val="auto"/>
          <w:sz w:val="22"/>
          <w:szCs w:val="22"/>
        </w:rPr>
        <w:t xml:space="preserve">1 (creatinine increase &gt;26.5 </w:t>
      </w:r>
      <w:proofErr w:type="spellStart"/>
      <w:r w:rsidRPr="00D725EB">
        <w:rPr>
          <w:rFonts w:asciiTheme="minorHAnsi" w:hAnsiTheme="minorHAnsi" w:cstheme="minorHAnsi"/>
          <w:color w:val="auto"/>
          <w:sz w:val="22"/>
          <w:szCs w:val="22"/>
        </w:rPr>
        <w:t>μmol</w:t>
      </w:r>
      <w:proofErr w:type="spellEnd"/>
      <w:r w:rsidRPr="00D725EB">
        <w:rPr>
          <w:rFonts w:asciiTheme="minorHAnsi" w:hAnsiTheme="minorHAnsi" w:cstheme="minorHAnsi"/>
          <w:color w:val="auto"/>
          <w:sz w:val="22"/>
          <w:szCs w:val="22"/>
        </w:rPr>
        <w:t xml:space="preserve">/L). Three patients (1 %) developed (subacute) toxicity </w:t>
      </w:r>
      <w:r w:rsidR="00671CE5" w:rsidRPr="00D725EB">
        <w:rPr>
          <w:rFonts w:asciiTheme="minorHAnsi" w:hAnsiTheme="minorHAnsi" w:cstheme="minorHAnsi"/>
          <w:color w:val="auto"/>
          <w:sz w:val="22"/>
          <w:szCs w:val="22"/>
        </w:rPr>
        <w:t xml:space="preserve">Grade </w:t>
      </w:r>
      <w:r w:rsidRPr="00D725EB">
        <w:rPr>
          <w:rFonts w:asciiTheme="minorHAnsi" w:hAnsiTheme="minorHAnsi" w:cstheme="minorHAnsi"/>
          <w:color w:val="auto"/>
          <w:sz w:val="22"/>
          <w:szCs w:val="22"/>
        </w:rPr>
        <w:t xml:space="preserve">2 (creatinine increase &gt;1.5 – 3.0 × baseline or upper limit of normal). No </w:t>
      </w:r>
      <w:r w:rsidR="00671CE5" w:rsidRPr="00D725EB">
        <w:rPr>
          <w:rFonts w:asciiTheme="minorHAnsi" w:hAnsiTheme="minorHAnsi" w:cstheme="minorHAnsi"/>
          <w:color w:val="auto"/>
          <w:sz w:val="22"/>
          <w:szCs w:val="22"/>
        </w:rPr>
        <w:t xml:space="preserve">Grade </w:t>
      </w:r>
      <w:r w:rsidRPr="00D725EB">
        <w:rPr>
          <w:rFonts w:asciiTheme="minorHAnsi" w:hAnsiTheme="minorHAnsi" w:cstheme="minorHAnsi"/>
          <w:color w:val="auto"/>
          <w:sz w:val="22"/>
          <w:szCs w:val="22"/>
        </w:rPr>
        <w:t>3 or 4(sub)acute nephrotoxicity was observed.</w:t>
      </w:r>
    </w:p>
    <w:p w14:paraId="369908E9" w14:textId="34DBB49B" w:rsidR="006226CC" w:rsidRPr="00B07007" w:rsidRDefault="006226CC" w:rsidP="006A2B93">
      <w:pPr>
        <w:pStyle w:val="Heading3"/>
        <w:keepNext/>
        <w:rPr>
          <w:rFonts w:asciiTheme="minorHAnsi" w:hAnsiTheme="minorHAnsi" w:cstheme="minorHAnsi"/>
          <w:szCs w:val="22"/>
        </w:rPr>
      </w:pPr>
      <w:r w:rsidRPr="00B07007">
        <w:rPr>
          <w:rFonts w:asciiTheme="minorHAnsi" w:hAnsiTheme="minorHAnsi" w:cstheme="minorHAnsi"/>
          <w:szCs w:val="22"/>
        </w:rPr>
        <w:t>Hormone release syndromes</w:t>
      </w:r>
    </w:p>
    <w:p w14:paraId="557021C2" w14:textId="63CDDCBA" w:rsidR="00630DE2" w:rsidRPr="00630DE2" w:rsidRDefault="006226CC" w:rsidP="006A2B93">
      <w:pPr>
        <w:keepNext/>
        <w:autoSpaceDE w:val="0"/>
        <w:autoSpaceDN w:val="0"/>
        <w:adjustRightInd w:val="0"/>
        <w:spacing w:after="0"/>
        <w:ind w:left="426"/>
        <w:rPr>
          <w:rFonts w:asciiTheme="minorHAnsi" w:hAnsiTheme="minorHAnsi" w:cstheme="minorHAnsi"/>
          <w:sz w:val="22"/>
          <w:szCs w:val="22"/>
        </w:rPr>
      </w:pPr>
      <w:r w:rsidRPr="00B07007">
        <w:rPr>
          <w:rFonts w:asciiTheme="minorHAnsi" w:hAnsiTheme="minorHAnsi" w:cstheme="minorHAnsi"/>
          <w:sz w:val="22"/>
          <w:szCs w:val="22"/>
        </w:rPr>
        <w:t xml:space="preserve">There have been reports of carcinoid crisis and other syndromes associated with release of hormones from functional neuroendocrine </w:t>
      </w:r>
      <w:proofErr w:type="spellStart"/>
      <w:r w:rsidRPr="00B07007">
        <w:rPr>
          <w:rFonts w:asciiTheme="minorHAnsi" w:hAnsiTheme="minorHAnsi" w:cstheme="minorHAnsi"/>
          <w:sz w:val="22"/>
          <w:szCs w:val="22"/>
        </w:rPr>
        <w:t>tumours</w:t>
      </w:r>
      <w:proofErr w:type="spellEnd"/>
      <w:r w:rsidRPr="00B07007">
        <w:rPr>
          <w:rFonts w:asciiTheme="minorHAnsi" w:hAnsiTheme="minorHAnsi" w:cstheme="minorHAnsi"/>
          <w:sz w:val="22"/>
          <w:szCs w:val="22"/>
        </w:rPr>
        <w:t xml:space="preserve"> following</w:t>
      </w:r>
      <w:r w:rsidR="000274A9" w:rsidRPr="000274A9">
        <w:rPr>
          <w:rFonts w:asciiTheme="minorHAnsi" w:hAnsiTheme="minorHAnsi" w:cstheme="minorHAnsi"/>
          <w:sz w:val="22"/>
          <w:szCs w:val="22"/>
        </w:rPr>
        <w:t xml:space="preserve">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utetium chloride</w:t>
      </w:r>
      <w:r w:rsidR="00A44ED7">
        <w:rPr>
          <w:rFonts w:asciiTheme="minorHAnsi" w:hAnsiTheme="minorHAnsi" w:cstheme="minorHAnsi"/>
          <w:sz w:val="22"/>
          <w:szCs w:val="22"/>
          <w:vertAlign w:val="subscript"/>
        </w:rPr>
        <w:t xml:space="preserve"> </w:t>
      </w:r>
      <w:r w:rsidR="00A44ED7" w:rsidRPr="003C27C9">
        <w:rPr>
          <w:rFonts w:asciiTheme="minorHAnsi" w:hAnsiTheme="minorHAnsi" w:cstheme="minorHAnsi"/>
          <w:sz w:val="22"/>
          <w:szCs w:val="22"/>
        </w:rPr>
        <w:t>based PRRT</w:t>
      </w:r>
      <w:r w:rsidRPr="00B07007">
        <w:rPr>
          <w:rFonts w:asciiTheme="minorHAnsi" w:hAnsiTheme="minorHAnsi" w:cstheme="minorHAnsi"/>
          <w:sz w:val="22"/>
          <w:szCs w:val="22"/>
        </w:rPr>
        <w:t xml:space="preserve">. </w:t>
      </w:r>
      <w:r w:rsidR="00630DE2" w:rsidRPr="00630DE2">
        <w:rPr>
          <w:rFonts w:asciiTheme="minorHAnsi" w:hAnsiTheme="minorHAnsi" w:cstheme="minorHAnsi"/>
          <w:color w:val="131413"/>
          <w:sz w:val="22"/>
          <w:szCs w:val="22"/>
        </w:rPr>
        <w:t xml:space="preserve">The reported incidence ranges from 0.6% to 3.5% of patients. Patients at greater risk are those with a high </w:t>
      </w:r>
      <w:proofErr w:type="spellStart"/>
      <w:r w:rsidR="00630DE2" w:rsidRPr="00630DE2">
        <w:rPr>
          <w:rFonts w:asciiTheme="minorHAnsi" w:hAnsiTheme="minorHAnsi" w:cstheme="minorHAnsi"/>
          <w:color w:val="131413"/>
          <w:sz w:val="22"/>
          <w:szCs w:val="22"/>
        </w:rPr>
        <w:t>tumour</w:t>
      </w:r>
      <w:proofErr w:type="spellEnd"/>
      <w:r w:rsidR="00630DE2" w:rsidRPr="00630DE2">
        <w:rPr>
          <w:rFonts w:asciiTheme="minorHAnsi" w:hAnsiTheme="minorHAnsi" w:cstheme="minorHAnsi"/>
          <w:color w:val="131413"/>
          <w:sz w:val="22"/>
          <w:szCs w:val="22"/>
        </w:rPr>
        <w:t xml:space="preserve"> load, </w:t>
      </w:r>
      <w:r w:rsidR="00630DE2" w:rsidRPr="00630DE2">
        <w:rPr>
          <w:rFonts w:asciiTheme="minorHAnsi" w:hAnsiTheme="minorHAnsi" w:cstheme="minorHAnsi"/>
          <w:sz w:val="22"/>
          <w:szCs w:val="22"/>
        </w:rPr>
        <w:t>liver metastases, high chromogranin A (</w:t>
      </w:r>
      <w:proofErr w:type="spellStart"/>
      <w:r w:rsidR="00630DE2" w:rsidRPr="00630DE2">
        <w:rPr>
          <w:rFonts w:asciiTheme="minorHAnsi" w:hAnsiTheme="minorHAnsi" w:cstheme="minorHAnsi"/>
          <w:sz w:val="22"/>
          <w:szCs w:val="22"/>
        </w:rPr>
        <w:t>CgA</w:t>
      </w:r>
      <w:proofErr w:type="spellEnd"/>
      <w:r w:rsidR="00630DE2" w:rsidRPr="00630DE2">
        <w:rPr>
          <w:rFonts w:asciiTheme="minorHAnsi" w:hAnsiTheme="minorHAnsi" w:cstheme="minorHAnsi"/>
          <w:sz w:val="22"/>
          <w:szCs w:val="22"/>
        </w:rPr>
        <w:t xml:space="preserve">)/urinary </w:t>
      </w:r>
      <w:r w:rsidR="00630DE2" w:rsidRPr="00630DE2">
        <w:rPr>
          <w:rFonts w:asciiTheme="minorHAnsi" w:hAnsiTheme="minorHAnsi" w:cstheme="minorHAnsi"/>
          <w:color w:val="222222"/>
          <w:sz w:val="22"/>
          <w:szCs w:val="22"/>
          <w:shd w:val="clear" w:color="auto" w:fill="FFFFFF"/>
        </w:rPr>
        <w:t>5-Hydroxyindoleacetic acid</w:t>
      </w:r>
      <w:r w:rsidR="00630DE2" w:rsidRPr="00630DE2">
        <w:rPr>
          <w:rFonts w:asciiTheme="minorHAnsi" w:hAnsiTheme="minorHAnsi" w:cstheme="minorHAnsi"/>
          <w:sz w:val="22"/>
          <w:szCs w:val="22"/>
        </w:rPr>
        <w:t xml:space="preserve"> (5-HIAA) ratio, established carcinoid syndrome or known carcinoid heart </w:t>
      </w:r>
      <w:r w:rsidR="00630DE2" w:rsidRPr="00A548D9">
        <w:rPr>
          <w:rFonts w:asciiTheme="minorHAnsi" w:hAnsiTheme="minorHAnsi" w:cstheme="minorHAnsi"/>
          <w:sz w:val="22"/>
          <w:szCs w:val="22"/>
        </w:rPr>
        <w:t>disease</w:t>
      </w:r>
      <w:r w:rsidR="00630DE2" w:rsidRPr="00D725EB">
        <w:rPr>
          <w:rFonts w:asciiTheme="minorHAnsi" w:hAnsiTheme="minorHAnsi" w:cstheme="minorHAnsi"/>
          <w:sz w:val="22"/>
          <w:szCs w:val="22"/>
        </w:rPr>
        <w:t>.</w:t>
      </w:r>
    </w:p>
    <w:p w14:paraId="39B5A146" w14:textId="77777777" w:rsidR="00630DE2" w:rsidRDefault="00630DE2" w:rsidP="006A2B93">
      <w:pPr>
        <w:spacing w:after="0"/>
        <w:rPr>
          <w:rFonts w:asciiTheme="minorHAnsi" w:hAnsiTheme="minorHAnsi" w:cstheme="minorHAnsi"/>
          <w:sz w:val="22"/>
          <w:szCs w:val="22"/>
        </w:rPr>
      </w:pPr>
    </w:p>
    <w:p w14:paraId="398609DE" w14:textId="56F46C54" w:rsidR="00A055C2" w:rsidRDefault="006226CC" w:rsidP="00A055C2">
      <w:pPr>
        <w:autoSpaceDE w:val="0"/>
        <w:autoSpaceDN w:val="0"/>
        <w:adjustRightInd w:val="0"/>
        <w:spacing w:after="0"/>
        <w:rPr>
          <w:rFonts w:asciiTheme="minorHAnsi" w:hAnsiTheme="minorHAnsi" w:cstheme="minorHAnsi"/>
          <w:sz w:val="22"/>
          <w:szCs w:val="22"/>
        </w:rPr>
      </w:pPr>
      <w:r w:rsidRPr="00B07007">
        <w:rPr>
          <w:rFonts w:asciiTheme="minorHAnsi" w:hAnsiTheme="minorHAnsi" w:cstheme="minorHAnsi"/>
          <w:sz w:val="22"/>
          <w:szCs w:val="22"/>
        </w:rPr>
        <w:t xml:space="preserve">Reported symptoms include flushing and </w:t>
      </w:r>
      <w:proofErr w:type="spellStart"/>
      <w:r w:rsidRPr="00B07007">
        <w:rPr>
          <w:rFonts w:asciiTheme="minorHAnsi" w:hAnsiTheme="minorHAnsi" w:cstheme="minorHAnsi"/>
          <w:sz w:val="22"/>
          <w:szCs w:val="22"/>
        </w:rPr>
        <w:t>diarrhoea</w:t>
      </w:r>
      <w:proofErr w:type="spellEnd"/>
      <w:r w:rsidRPr="00B07007">
        <w:rPr>
          <w:rFonts w:asciiTheme="minorHAnsi" w:hAnsiTheme="minorHAnsi" w:cstheme="minorHAnsi"/>
          <w:sz w:val="22"/>
          <w:szCs w:val="22"/>
        </w:rPr>
        <w:t xml:space="preserve"> associated with hypotension. Observation of patients by overnight </w:t>
      </w:r>
      <w:proofErr w:type="spellStart"/>
      <w:r w:rsidRPr="00B07007">
        <w:rPr>
          <w:rFonts w:asciiTheme="minorHAnsi" w:hAnsiTheme="minorHAnsi" w:cstheme="minorHAnsi"/>
          <w:sz w:val="22"/>
          <w:szCs w:val="22"/>
        </w:rPr>
        <w:t>hospitalisation</w:t>
      </w:r>
      <w:proofErr w:type="spellEnd"/>
      <w:r w:rsidRPr="00B07007">
        <w:rPr>
          <w:rFonts w:asciiTheme="minorHAnsi" w:hAnsiTheme="minorHAnsi" w:cstheme="minorHAnsi"/>
          <w:sz w:val="22"/>
          <w:szCs w:val="22"/>
        </w:rPr>
        <w:t xml:space="preserve"> should be considered in some cases (</w:t>
      </w:r>
      <w:proofErr w:type="gramStart"/>
      <w:r w:rsidRPr="00B07007">
        <w:rPr>
          <w:rFonts w:asciiTheme="minorHAnsi" w:hAnsiTheme="minorHAnsi" w:cstheme="minorHAnsi"/>
          <w:sz w:val="22"/>
          <w:szCs w:val="22"/>
        </w:rPr>
        <w:t>e.g.</w:t>
      </w:r>
      <w:proofErr w:type="gramEnd"/>
      <w:r w:rsidRPr="00B07007">
        <w:rPr>
          <w:rFonts w:asciiTheme="minorHAnsi" w:hAnsiTheme="minorHAnsi" w:cstheme="minorHAnsi"/>
          <w:sz w:val="22"/>
          <w:szCs w:val="22"/>
        </w:rPr>
        <w:t xml:space="preserve"> patients with poor pharmacologic control of symptoms). In case of hormonal crises, treatments may </w:t>
      </w:r>
      <w:r w:rsidR="002260AF" w:rsidRPr="00B07007">
        <w:rPr>
          <w:rFonts w:asciiTheme="minorHAnsi" w:hAnsiTheme="minorHAnsi" w:cstheme="minorHAnsi"/>
          <w:sz w:val="22"/>
          <w:szCs w:val="22"/>
        </w:rPr>
        <w:t>include</w:t>
      </w:r>
      <w:r w:rsidRPr="00B07007">
        <w:rPr>
          <w:rFonts w:asciiTheme="minorHAnsi" w:hAnsiTheme="minorHAnsi" w:cstheme="minorHAnsi"/>
          <w:sz w:val="22"/>
          <w:szCs w:val="22"/>
        </w:rPr>
        <w:t xml:space="preserve"> intravenous high dose somatostatin analogues, intravenous fluids, corticosteroids, and correction of electrolyte disturbances in patients with </w:t>
      </w:r>
      <w:proofErr w:type="spellStart"/>
      <w:r w:rsidRPr="00B07007">
        <w:rPr>
          <w:rFonts w:asciiTheme="minorHAnsi" w:hAnsiTheme="minorHAnsi" w:cstheme="minorHAnsi"/>
          <w:sz w:val="22"/>
          <w:szCs w:val="22"/>
        </w:rPr>
        <w:t>diarrhoea</w:t>
      </w:r>
      <w:proofErr w:type="spellEnd"/>
      <w:r w:rsidRPr="00B07007">
        <w:rPr>
          <w:rFonts w:asciiTheme="minorHAnsi" w:hAnsiTheme="minorHAnsi" w:cstheme="minorHAnsi"/>
          <w:sz w:val="22"/>
          <w:szCs w:val="22"/>
        </w:rPr>
        <w:t xml:space="preserve"> and/or vomiting.</w:t>
      </w:r>
    </w:p>
    <w:p w14:paraId="79ECB98A" w14:textId="77777777" w:rsidR="00A055C2" w:rsidRPr="004A379D" w:rsidRDefault="00A055C2" w:rsidP="00A055C2">
      <w:pPr>
        <w:autoSpaceDE w:val="0"/>
        <w:autoSpaceDN w:val="0"/>
        <w:adjustRightInd w:val="0"/>
        <w:spacing w:after="0"/>
        <w:rPr>
          <w:rFonts w:asciiTheme="minorHAnsi" w:hAnsiTheme="minorHAnsi" w:cstheme="minorHAnsi"/>
          <w:sz w:val="22"/>
          <w:szCs w:val="22"/>
        </w:rPr>
      </w:pPr>
    </w:p>
    <w:p w14:paraId="6635539A" w14:textId="7E1CCD95" w:rsidR="00A055C2" w:rsidRPr="004A379D" w:rsidRDefault="004A379D" w:rsidP="004A379D">
      <w:pPr>
        <w:kinsoku w:val="0"/>
        <w:overflowPunct w:val="0"/>
        <w:ind w:left="426"/>
        <w:rPr>
          <w:rFonts w:asciiTheme="minorHAnsi" w:hAnsiTheme="minorHAnsi" w:cstheme="minorHAnsi"/>
          <w:sz w:val="22"/>
          <w:szCs w:val="22"/>
        </w:rPr>
      </w:pPr>
      <w:bookmarkStart w:id="8" w:name="_Hlk78193240"/>
      <w:r w:rsidRPr="004A379D">
        <w:rPr>
          <w:rFonts w:asciiTheme="minorHAnsi" w:hAnsiTheme="minorHAnsi" w:cstheme="minorHAnsi"/>
          <w:sz w:val="22"/>
          <w:szCs w:val="22"/>
        </w:rPr>
        <w:t xml:space="preserve">Hormone </w:t>
      </w:r>
      <w:r w:rsidR="00CC0047">
        <w:rPr>
          <w:rFonts w:asciiTheme="minorHAnsi" w:hAnsiTheme="minorHAnsi" w:cstheme="minorHAnsi"/>
          <w:sz w:val="22"/>
          <w:szCs w:val="22"/>
        </w:rPr>
        <w:t>r</w:t>
      </w:r>
      <w:r w:rsidRPr="004A379D">
        <w:rPr>
          <w:rFonts w:asciiTheme="minorHAnsi" w:hAnsiTheme="minorHAnsi" w:cstheme="minorHAnsi"/>
          <w:sz w:val="22"/>
          <w:szCs w:val="22"/>
        </w:rPr>
        <w:t xml:space="preserve">elease </w:t>
      </w:r>
      <w:r w:rsidR="00CC0047">
        <w:rPr>
          <w:rFonts w:asciiTheme="minorHAnsi" w:hAnsiTheme="minorHAnsi" w:cstheme="minorHAnsi"/>
          <w:sz w:val="22"/>
          <w:szCs w:val="22"/>
        </w:rPr>
        <w:t>s</w:t>
      </w:r>
      <w:r w:rsidRPr="004A379D">
        <w:rPr>
          <w:rFonts w:asciiTheme="minorHAnsi" w:hAnsiTheme="minorHAnsi" w:cstheme="minorHAnsi"/>
          <w:sz w:val="22"/>
          <w:szCs w:val="22"/>
        </w:rPr>
        <w:t xml:space="preserve">yndromes may develop again </w:t>
      </w:r>
      <w:r w:rsidR="000A6B6D">
        <w:rPr>
          <w:rFonts w:asciiTheme="minorHAnsi" w:hAnsiTheme="minorHAnsi" w:cstheme="minorHAnsi"/>
          <w:sz w:val="22"/>
          <w:szCs w:val="22"/>
        </w:rPr>
        <w:t>following</w:t>
      </w:r>
      <w:r w:rsidRPr="004A379D">
        <w:rPr>
          <w:rFonts w:asciiTheme="minorHAnsi" w:hAnsiTheme="minorHAnsi" w:cstheme="minorHAnsi"/>
          <w:sz w:val="22"/>
          <w:szCs w:val="22"/>
        </w:rPr>
        <w:t xml:space="preserve"> subsequen</w:t>
      </w:r>
      <w:r w:rsidR="000A6B6D">
        <w:rPr>
          <w:rFonts w:asciiTheme="minorHAnsi" w:hAnsiTheme="minorHAnsi" w:cstheme="minorHAnsi"/>
          <w:sz w:val="22"/>
          <w:szCs w:val="22"/>
        </w:rPr>
        <w:t>t</w:t>
      </w:r>
      <w:r w:rsidRPr="004A379D">
        <w:rPr>
          <w:rFonts w:asciiTheme="minorHAnsi" w:hAnsiTheme="minorHAnsi" w:cstheme="minorHAnsi"/>
          <w:sz w:val="22"/>
          <w:szCs w:val="22"/>
        </w:rPr>
        <w:t xml:space="preserve"> cycle</w:t>
      </w:r>
      <w:r w:rsidR="000A6B6D">
        <w:rPr>
          <w:rFonts w:asciiTheme="minorHAnsi" w:hAnsiTheme="minorHAnsi" w:cstheme="minorHAnsi"/>
          <w:sz w:val="22"/>
          <w:szCs w:val="22"/>
        </w:rPr>
        <w:t>s</w:t>
      </w:r>
      <w:r w:rsidRPr="004A379D">
        <w:rPr>
          <w:rFonts w:asciiTheme="minorHAnsi" w:hAnsiTheme="minorHAnsi" w:cstheme="minorHAnsi"/>
          <w:sz w:val="22"/>
          <w:szCs w:val="22"/>
        </w:rPr>
        <w:t xml:space="preserve"> of lutetium chloride</w:t>
      </w:r>
      <w:r w:rsidR="000A6B6D">
        <w:rPr>
          <w:rFonts w:asciiTheme="minorHAnsi" w:hAnsiTheme="minorHAnsi" w:cstheme="minorHAnsi"/>
          <w:sz w:val="22"/>
          <w:szCs w:val="22"/>
        </w:rPr>
        <w:t xml:space="preserve"> based PRRT</w:t>
      </w:r>
      <w:r w:rsidRPr="004A379D">
        <w:rPr>
          <w:rFonts w:asciiTheme="minorHAnsi" w:hAnsiTheme="minorHAnsi" w:cstheme="minorHAnsi"/>
          <w:sz w:val="22"/>
          <w:szCs w:val="22"/>
        </w:rPr>
        <w:t>.  It is recommended that additional precautions are taken before the administration of further therapy cycles in patients who develop a hormonal crisis after their first therapy cycle</w:t>
      </w:r>
      <w:r>
        <w:rPr>
          <w:rFonts w:asciiTheme="minorHAnsi" w:hAnsiTheme="minorHAnsi" w:cstheme="minorHAnsi"/>
          <w:sz w:val="22"/>
          <w:szCs w:val="22"/>
        </w:rPr>
        <w:t xml:space="preserve">, </w:t>
      </w:r>
      <w:r w:rsidRPr="004A379D">
        <w:rPr>
          <w:rFonts w:asciiTheme="minorHAnsi" w:hAnsiTheme="minorHAnsi" w:cstheme="minorHAnsi"/>
          <w:sz w:val="22"/>
          <w:szCs w:val="22"/>
        </w:rPr>
        <w:t xml:space="preserve">including continuation of somatostatin analogues, corticosteroids, </w:t>
      </w:r>
      <w:r>
        <w:rPr>
          <w:rFonts w:asciiTheme="minorHAnsi" w:hAnsiTheme="minorHAnsi" w:cstheme="minorHAnsi"/>
          <w:sz w:val="22"/>
          <w:szCs w:val="22"/>
        </w:rPr>
        <w:t xml:space="preserve">prolonged </w:t>
      </w:r>
      <w:r w:rsidRPr="004A379D">
        <w:rPr>
          <w:rFonts w:asciiTheme="minorHAnsi" w:hAnsiTheme="minorHAnsi" w:cstheme="minorHAnsi"/>
          <w:sz w:val="22"/>
          <w:szCs w:val="22"/>
        </w:rPr>
        <w:t>observation in hospital</w:t>
      </w:r>
      <w:r>
        <w:rPr>
          <w:rFonts w:asciiTheme="minorHAnsi" w:hAnsiTheme="minorHAnsi" w:cstheme="minorHAnsi"/>
          <w:sz w:val="22"/>
          <w:szCs w:val="22"/>
        </w:rPr>
        <w:t>, and reduction in dose</w:t>
      </w:r>
      <w:bookmarkEnd w:id="8"/>
      <w:r w:rsidR="000A6B6D">
        <w:rPr>
          <w:rFonts w:asciiTheme="minorHAnsi" w:hAnsiTheme="minorHAnsi" w:cstheme="minorHAnsi"/>
          <w:sz w:val="22"/>
          <w:szCs w:val="22"/>
        </w:rPr>
        <w:t>.</w:t>
      </w:r>
      <w:r w:rsidRPr="004A379D">
        <w:rPr>
          <w:rFonts w:asciiTheme="minorHAnsi" w:hAnsiTheme="minorHAnsi" w:cstheme="minorHAnsi"/>
          <w:sz w:val="22"/>
          <w:szCs w:val="22"/>
        </w:rPr>
        <w:t xml:space="preserve"> </w:t>
      </w:r>
    </w:p>
    <w:p w14:paraId="27760B0A" w14:textId="6BAC802A" w:rsidR="006226CC" w:rsidRPr="00B07007" w:rsidRDefault="006226CC" w:rsidP="00EA0201">
      <w:pPr>
        <w:pStyle w:val="Heading3"/>
        <w:rPr>
          <w:rFonts w:asciiTheme="minorHAnsi" w:hAnsiTheme="minorHAnsi" w:cstheme="minorHAnsi"/>
          <w:szCs w:val="22"/>
        </w:rPr>
      </w:pPr>
      <w:proofErr w:type="spellStart"/>
      <w:r w:rsidRPr="00B07007">
        <w:rPr>
          <w:rFonts w:asciiTheme="minorHAnsi" w:hAnsiTheme="minorHAnsi" w:cstheme="minorHAnsi"/>
          <w:szCs w:val="22"/>
        </w:rPr>
        <w:t>Tumour</w:t>
      </w:r>
      <w:proofErr w:type="spellEnd"/>
      <w:r w:rsidRPr="00B07007">
        <w:rPr>
          <w:rFonts w:asciiTheme="minorHAnsi" w:hAnsiTheme="minorHAnsi" w:cstheme="minorHAnsi"/>
          <w:szCs w:val="22"/>
        </w:rPr>
        <w:t xml:space="preserve"> lysis syndrome</w:t>
      </w:r>
    </w:p>
    <w:p w14:paraId="6262D5F8" w14:textId="2748F842" w:rsidR="006226CC" w:rsidRDefault="006226CC" w:rsidP="000270FC">
      <w:pPr>
        <w:autoSpaceDE w:val="0"/>
        <w:autoSpaceDN w:val="0"/>
        <w:adjustRightInd w:val="0"/>
        <w:spacing w:after="0"/>
        <w:rPr>
          <w:rFonts w:asciiTheme="minorHAnsi" w:hAnsiTheme="minorHAnsi" w:cstheme="minorHAnsi"/>
          <w:sz w:val="22"/>
          <w:szCs w:val="22"/>
        </w:rPr>
      </w:pPr>
      <w:proofErr w:type="spellStart"/>
      <w:r w:rsidRPr="00B07007">
        <w:rPr>
          <w:rFonts w:asciiTheme="minorHAnsi" w:hAnsiTheme="minorHAnsi" w:cstheme="minorHAnsi"/>
          <w:sz w:val="22"/>
          <w:szCs w:val="22"/>
        </w:rPr>
        <w:t>Tumour</w:t>
      </w:r>
      <w:proofErr w:type="spellEnd"/>
      <w:r w:rsidRPr="00B07007">
        <w:rPr>
          <w:rFonts w:asciiTheme="minorHAnsi" w:hAnsiTheme="minorHAnsi" w:cstheme="minorHAnsi"/>
          <w:sz w:val="22"/>
          <w:szCs w:val="22"/>
        </w:rPr>
        <w:t xml:space="preserve"> lysis syndrome</w:t>
      </w:r>
      <w:r w:rsidR="00F87F79">
        <w:rPr>
          <w:rFonts w:asciiTheme="minorHAnsi" w:hAnsiTheme="minorHAnsi" w:cstheme="minorHAnsi"/>
          <w:sz w:val="22"/>
          <w:szCs w:val="22"/>
        </w:rPr>
        <w:t xml:space="preserve"> (TLS)</w:t>
      </w:r>
      <w:r w:rsidRPr="00B07007">
        <w:rPr>
          <w:rFonts w:asciiTheme="minorHAnsi" w:hAnsiTheme="minorHAnsi" w:cstheme="minorHAnsi"/>
          <w:sz w:val="22"/>
          <w:szCs w:val="22"/>
        </w:rPr>
        <w:t xml:space="preserve"> has been reported following </w:t>
      </w:r>
      <w:r w:rsidR="003F2E60">
        <w:rPr>
          <w:rFonts w:asciiTheme="minorHAnsi" w:hAnsiTheme="minorHAnsi" w:cstheme="minorHAnsi"/>
          <w:sz w:val="22"/>
          <w:szCs w:val="22"/>
        </w:rPr>
        <w:t>l</w:t>
      </w:r>
      <w:r w:rsidR="003F2E60" w:rsidRPr="00B07007">
        <w:rPr>
          <w:rFonts w:asciiTheme="minorHAnsi" w:hAnsiTheme="minorHAnsi" w:cstheme="minorHAnsi"/>
          <w:sz w:val="22"/>
          <w:szCs w:val="22"/>
        </w:rPr>
        <w:t>utetium chloride</w:t>
      </w:r>
      <w:r w:rsidR="00195A99">
        <w:rPr>
          <w:rFonts w:asciiTheme="minorHAnsi" w:hAnsiTheme="minorHAnsi" w:cstheme="minorHAnsi"/>
          <w:sz w:val="22"/>
          <w:szCs w:val="22"/>
          <w:vertAlign w:val="subscript"/>
        </w:rPr>
        <w:t xml:space="preserve"> </w:t>
      </w:r>
      <w:r w:rsidR="00195A99" w:rsidRPr="003C27C9">
        <w:rPr>
          <w:rFonts w:asciiTheme="minorHAnsi" w:hAnsiTheme="minorHAnsi" w:cstheme="minorHAnsi"/>
          <w:sz w:val="22"/>
          <w:szCs w:val="22"/>
        </w:rPr>
        <w:t>based PRRT</w:t>
      </w:r>
      <w:r w:rsidR="00630DE2">
        <w:rPr>
          <w:rFonts w:asciiTheme="minorHAnsi" w:hAnsiTheme="minorHAnsi" w:cstheme="minorHAnsi"/>
          <w:sz w:val="22"/>
          <w:szCs w:val="22"/>
        </w:rPr>
        <w:t xml:space="preserve">. </w:t>
      </w:r>
      <w:r w:rsidR="00195A99" w:rsidRPr="00630DE2">
        <w:rPr>
          <w:rFonts w:asciiTheme="minorHAnsi" w:hAnsiTheme="minorHAnsi" w:cstheme="minorHAnsi"/>
          <w:sz w:val="22"/>
          <w:szCs w:val="22"/>
        </w:rPr>
        <w:t xml:space="preserve">The reported incidence associated with </w:t>
      </w:r>
      <w:r w:rsidR="00195A99" w:rsidRPr="00630DE2">
        <w:rPr>
          <w:rFonts w:asciiTheme="minorHAnsi" w:hAnsiTheme="minorHAnsi" w:cstheme="minorHAnsi"/>
          <w:color w:val="131413"/>
          <w:sz w:val="22"/>
          <w:szCs w:val="22"/>
          <w:vertAlign w:val="superscript"/>
        </w:rPr>
        <w:t>177</w:t>
      </w:r>
      <w:r w:rsidR="00195A99" w:rsidRPr="00630DE2">
        <w:rPr>
          <w:rFonts w:asciiTheme="minorHAnsi" w:hAnsiTheme="minorHAnsi" w:cstheme="minorHAnsi"/>
          <w:color w:val="131413"/>
          <w:sz w:val="22"/>
          <w:szCs w:val="22"/>
        </w:rPr>
        <w:t>Lu-ligand PRRT is 0.74% of PRRT cycles administered</w:t>
      </w:r>
      <w:r w:rsidRPr="00B07007">
        <w:rPr>
          <w:rFonts w:asciiTheme="minorHAnsi" w:hAnsiTheme="minorHAnsi" w:cstheme="minorHAnsi"/>
          <w:sz w:val="22"/>
          <w:szCs w:val="22"/>
        </w:rPr>
        <w:t>.</w:t>
      </w:r>
      <w:r w:rsidR="000274A9">
        <w:rPr>
          <w:rFonts w:asciiTheme="minorHAnsi" w:hAnsiTheme="minorHAnsi" w:cstheme="minorHAnsi"/>
          <w:sz w:val="22"/>
          <w:szCs w:val="22"/>
        </w:rPr>
        <w:t xml:space="preserve">  </w:t>
      </w:r>
      <w:r w:rsidRPr="00B07007">
        <w:rPr>
          <w:rFonts w:asciiTheme="minorHAnsi" w:hAnsiTheme="minorHAnsi" w:cstheme="minorHAnsi"/>
          <w:sz w:val="22"/>
          <w:szCs w:val="22"/>
        </w:rPr>
        <w:t xml:space="preserve">Patients with a history of renal insufficiency and high </w:t>
      </w:r>
      <w:proofErr w:type="spellStart"/>
      <w:r w:rsidRPr="00B07007">
        <w:rPr>
          <w:rFonts w:asciiTheme="minorHAnsi" w:hAnsiTheme="minorHAnsi" w:cstheme="minorHAnsi"/>
          <w:sz w:val="22"/>
          <w:szCs w:val="22"/>
        </w:rPr>
        <w:t>tumour</w:t>
      </w:r>
      <w:proofErr w:type="spellEnd"/>
      <w:r w:rsidRPr="00B07007">
        <w:rPr>
          <w:rFonts w:asciiTheme="minorHAnsi" w:hAnsiTheme="minorHAnsi" w:cstheme="minorHAnsi"/>
          <w:sz w:val="22"/>
          <w:szCs w:val="22"/>
        </w:rPr>
        <w:t xml:space="preserve"> burden may be at greater risk </w:t>
      </w:r>
      <w:r w:rsidR="00763E4A">
        <w:rPr>
          <w:rFonts w:asciiTheme="minorHAnsi" w:hAnsiTheme="minorHAnsi" w:cstheme="minorHAnsi"/>
          <w:sz w:val="22"/>
          <w:szCs w:val="22"/>
        </w:rPr>
        <w:t>of TLS.</w:t>
      </w:r>
    </w:p>
    <w:p w14:paraId="4F93669E" w14:textId="77777777" w:rsidR="000274A9" w:rsidRDefault="000274A9" w:rsidP="00630DE2">
      <w:pPr>
        <w:autoSpaceDE w:val="0"/>
        <w:autoSpaceDN w:val="0"/>
        <w:adjustRightInd w:val="0"/>
        <w:spacing w:after="0" w:line="240" w:lineRule="auto"/>
        <w:rPr>
          <w:rFonts w:asciiTheme="minorHAnsi" w:eastAsiaTheme="minorHAnsi" w:hAnsiTheme="minorHAnsi" w:cstheme="minorHAnsi"/>
          <w:color w:val="auto"/>
          <w:sz w:val="22"/>
          <w:szCs w:val="22"/>
          <w:lang w:val="en-AU"/>
        </w:rPr>
      </w:pPr>
    </w:p>
    <w:p w14:paraId="0705A90A" w14:textId="25270D4D" w:rsidR="00F87F79" w:rsidRDefault="00F87F79" w:rsidP="00630DE2">
      <w:pPr>
        <w:autoSpaceDE w:val="0"/>
        <w:autoSpaceDN w:val="0"/>
        <w:adjustRightInd w:val="0"/>
        <w:spacing w:after="0" w:line="240" w:lineRule="auto"/>
        <w:rPr>
          <w:rFonts w:asciiTheme="minorHAnsi" w:eastAsiaTheme="minorHAnsi" w:hAnsiTheme="minorHAnsi" w:cstheme="minorHAnsi"/>
          <w:color w:val="auto"/>
          <w:sz w:val="22"/>
          <w:szCs w:val="22"/>
          <w:lang w:val="en-AU"/>
        </w:rPr>
      </w:pPr>
      <w:r w:rsidRPr="00630DE2">
        <w:rPr>
          <w:rFonts w:asciiTheme="minorHAnsi" w:eastAsiaTheme="minorHAnsi" w:hAnsiTheme="minorHAnsi" w:cstheme="minorHAnsi"/>
          <w:color w:val="auto"/>
          <w:sz w:val="22"/>
          <w:szCs w:val="22"/>
          <w:lang w:val="en-AU"/>
        </w:rPr>
        <w:t>Patients who develop TLS should be treated symptomatically according to TLS guidelines</w:t>
      </w:r>
      <w:r>
        <w:rPr>
          <w:rFonts w:asciiTheme="minorHAnsi" w:eastAsiaTheme="minorHAnsi" w:hAnsiTheme="minorHAnsi" w:cstheme="minorHAnsi"/>
          <w:color w:val="auto"/>
          <w:sz w:val="22"/>
          <w:szCs w:val="22"/>
          <w:lang w:val="en-AU"/>
        </w:rPr>
        <w:t>.</w:t>
      </w:r>
    </w:p>
    <w:p w14:paraId="0AD582EA" w14:textId="77777777" w:rsidR="00BF4350" w:rsidRPr="003B166D" w:rsidRDefault="00BF4350" w:rsidP="003B166D">
      <w:pPr>
        <w:pStyle w:val="Heading3"/>
        <w:rPr>
          <w:rFonts w:asciiTheme="minorHAnsi" w:hAnsiTheme="minorHAnsi" w:cstheme="minorHAnsi"/>
          <w:szCs w:val="22"/>
        </w:rPr>
      </w:pPr>
      <w:r w:rsidRPr="003B166D">
        <w:rPr>
          <w:rFonts w:asciiTheme="minorHAnsi" w:hAnsiTheme="minorHAnsi" w:cstheme="minorHAnsi"/>
          <w:szCs w:val="22"/>
        </w:rPr>
        <w:lastRenderedPageBreak/>
        <w:t>Pituitary and related endocrine effects</w:t>
      </w:r>
    </w:p>
    <w:p w14:paraId="3C0BF485" w14:textId="4606CB78" w:rsidR="00BF4350" w:rsidRPr="00D725EB" w:rsidRDefault="00BF4350" w:rsidP="00BF4350">
      <w:pPr>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In patients </w:t>
      </w:r>
      <w:r w:rsidR="00671CE5" w:rsidRPr="00D725EB">
        <w:rPr>
          <w:rFonts w:asciiTheme="minorHAnsi" w:hAnsiTheme="minorHAnsi" w:cstheme="minorHAnsi"/>
          <w:color w:val="auto"/>
          <w:sz w:val="22"/>
          <w:szCs w:val="22"/>
        </w:rPr>
        <w:t>undergoing lutetium chloride</w:t>
      </w:r>
      <w:r w:rsidR="00671CE5" w:rsidRPr="00D725EB">
        <w:rPr>
          <w:rFonts w:asciiTheme="minorHAnsi" w:hAnsiTheme="minorHAnsi" w:cstheme="minorHAnsi"/>
          <w:color w:val="auto"/>
          <w:sz w:val="22"/>
          <w:szCs w:val="22"/>
          <w:vertAlign w:val="subscript"/>
        </w:rPr>
        <w:t xml:space="preserve"> </w:t>
      </w:r>
      <w:r w:rsidR="00671CE5" w:rsidRPr="00D725EB">
        <w:rPr>
          <w:rFonts w:asciiTheme="minorHAnsi" w:hAnsiTheme="minorHAnsi" w:cstheme="minorHAnsi"/>
          <w:color w:val="auto"/>
          <w:sz w:val="22"/>
          <w:szCs w:val="22"/>
        </w:rPr>
        <w:t>based PRRT</w:t>
      </w:r>
      <w:r w:rsidR="00671CE5" w:rsidRPr="00D725EB" w:rsidDel="00A44ED7">
        <w:rPr>
          <w:rFonts w:asciiTheme="minorHAnsi" w:hAnsiTheme="minorHAnsi" w:cstheme="minorHAnsi"/>
          <w:color w:val="auto"/>
          <w:sz w:val="22"/>
          <w:szCs w:val="22"/>
          <w:vertAlign w:val="superscript"/>
        </w:rPr>
        <w:t xml:space="preserve"> </w:t>
      </w:r>
      <w:r w:rsidRPr="00D725EB">
        <w:rPr>
          <w:rFonts w:asciiTheme="minorHAnsi" w:hAnsiTheme="minorHAnsi" w:cstheme="minorHAnsi"/>
          <w:color w:val="auto"/>
          <w:sz w:val="22"/>
          <w:szCs w:val="22"/>
        </w:rPr>
        <w:t xml:space="preserve">treated with 7.4GBq per cycle (3 to 9 cycles), a small </w:t>
      </w:r>
      <w:proofErr w:type="gramStart"/>
      <w:r w:rsidRPr="00D725EB">
        <w:rPr>
          <w:rFonts w:asciiTheme="minorHAnsi" w:hAnsiTheme="minorHAnsi" w:cstheme="minorHAnsi"/>
          <w:color w:val="auto"/>
          <w:sz w:val="22"/>
          <w:szCs w:val="22"/>
        </w:rPr>
        <w:t>number</w:t>
      </w:r>
      <w:proofErr w:type="gramEnd"/>
      <w:r w:rsidRPr="00D725EB">
        <w:rPr>
          <w:rFonts w:asciiTheme="minorHAnsi" w:hAnsiTheme="minorHAnsi" w:cstheme="minorHAnsi"/>
          <w:color w:val="auto"/>
          <w:sz w:val="22"/>
          <w:szCs w:val="22"/>
        </w:rPr>
        <w:t xml:space="preserve"> patients developed hypothyroidism or elevated levels of HbA1c.  the study also found that in men, </w:t>
      </w:r>
      <w:r w:rsidR="00A44ED7" w:rsidRPr="00D725EB">
        <w:rPr>
          <w:rFonts w:asciiTheme="minorHAnsi" w:hAnsiTheme="minorHAnsi" w:cstheme="minorHAnsi"/>
          <w:color w:val="auto"/>
          <w:sz w:val="22"/>
          <w:szCs w:val="22"/>
        </w:rPr>
        <w:t>lutetium chloride</w:t>
      </w:r>
      <w:r w:rsidR="00A44ED7" w:rsidRPr="00D725EB">
        <w:rPr>
          <w:rFonts w:asciiTheme="minorHAnsi" w:hAnsiTheme="minorHAnsi" w:cstheme="minorHAnsi"/>
          <w:color w:val="auto"/>
          <w:sz w:val="22"/>
          <w:szCs w:val="22"/>
          <w:vertAlign w:val="subscript"/>
        </w:rPr>
        <w:t xml:space="preserve"> </w:t>
      </w:r>
      <w:r w:rsidR="00A44ED7" w:rsidRPr="00D725EB">
        <w:rPr>
          <w:rFonts w:asciiTheme="minorHAnsi" w:hAnsiTheme="minorHAnsi" w:cstheme="minorHAnsi"/>
          <w:color w:val="auto"/>
          <w:sz w:val="22"/>
          <w:szCs w:val="22"/>
        </w:rPr>
        <w:t>based PRRT</w:t>
      </w:r>
      <w:r w:rsidR="00A44ED7" w:rsidRPr="00D725EB" w:rsidDel="00A44ED7">
        <w:rPr>
          <w:rFonts w:asciiTheme="minorHAnsi" w:hAnsiTheme="minorHAnsi" w:cstheme="minorHAnsi"/>
          <w:color w:val="auto"/>
          <w:sz w:val="22"/>
          <w:szCs w:val="22"/>
          <w:vertAlign w:val="superscript"/>
        </w:rPr>
        <w:t xml:space="preserve"> </w:t>
      </w:r>
      <w:r w:rsidRPr="00D725EB">
        <w:rPr>
          <w:rFonts w:asciiTheme="minorHAnsi" w:hAnsiTheme="minorHAnsi" w:cstheme="minorHAnsi"/>
          <w:color w:val="auto"/>
          <w:sz w:val="22"/>
          <w:szCs w:val="22"/>
        </w:rPr>
        <w:t>induced transient inhibitory effects on spermatogenesis, but non-SHBG bound T levels remained unaffected. Gonadotropin levels decreased significantly in postmenopausal women.</w:t>
      </w:r>
    </w:p>
    <w:p w14:paraId="2E1D3425" w14:textId="2F8DAF7E" w:rsidR="009A3E59" w:rsidRPr="00D725EB" w:rsidRDefault="00BF4350" w:rsidP="009A3E59">
      <w:pPr>
        <w:rPr>
          <w:rFonts w:asciiTheme="minorHAnsi" w:hAnsiTheme="minorHAnsi" w:cstheme="minorHAnsi"/>
          <w:color w:val="auto"/>
          <w:sz w:val="22"/>
          <w:szCs w:val="22"/>
        </w:rPr>
      </w:pPr>
      <w:r w:rsidRPr="00D725EB">
        <w:rPr>
          <w:rFonts w:asciiTheme="minorHAnsi" w:hAnsiTheme="minorHAnsi" w:cstheme="minorHAnsi"/>
          <w:color w:val="auto"/>
          <w:sz w:val="22"/>
          <w:szCs w:val="22"/>
        </w:rPr>
        <w:t xml:space="preserve">A further study, using similar dosage regimens of </w:t>
      </w:r>
      <w:r w:rsidR="00A44ED7" w:rsidRPr="00D725EB">
        <w:rPr>
          <w:rFonts w:asciiTheme="minorHAnsi" w:hAnsiTheme="minorHAnsi" w:cstheme="minorHAnsi"/>
          <w:color w:val="auto"/>
          <w:sz w:val="22"/>
          <w:szCs w:val="22"/>
        </w:rPr>
        <w:t>lutetium chloride</w:t>
      </w:r>
      <w:r w:rsidR="00A44ED7" w:rsidRPr="00D725EB">
        <w:rPr>
          <w:rFonts w:asciiTheme="minorHAnsi" w:hAnsiTheme="minorHAnsi" w:cstheme="minorHAnsi"/>
          <w:color w:val="auto"/>
          <w:sz w:val="22"/>
          <w:szCs w:val="22"/>
          <w:vertAlign w:val="subscript"/>
        </w:rPr>
        <w:t xml:space="preserve"> </w:t>
      </w:r>
      <w:r w:rsidR="00A44ED7" w:rsidRPr="00D725EB">
        <w:rPr>
          <w:rFonts w:asciiTheme="minorHAnsi" w:hAnsiTheme="minorHAnsi" w:cstheme="minorHAnsi"/>
          <w:color w:val="auto"/>
          <w:sz w:val="22"/>
          <w:szCs w:val="22"/>
        </w:rPr>
        <w:t>based PRRT</w:t>
      </w:r>
      <w:r w:rsidR="00A44ED7" w:rsidRPr="00D725EB" w:rsidDel="00A44ED7">
        <w:rPr>
          <w:rFonts w:asciiTheme="minorHAnsi" w:hAnsiTheme="minorHAnsi" w:cstheme="minorHAnsi"/>
          <w:color w:val="auto"/>
          <w:sz w:val="22"/>
          <w:szCs w:val="22"/>
          <w:vertAlign w:val="superscript"/>
        </w:rPr>
        <w:t xml:space="preserve"> </w:t>
      </w:r>
      <w:r w:rsidRPr="00D725EB">
        <w:rPr>
          <w:rFonts w:asciiTheme="minorHAnsi" w:hAnsiTheme="minorHAnsi" w:cstheme="minorHAnsi"/>
          <w:color w:val="auto"/>
          <w:sz w:val="22"/>
          <w:szCs w:val="22"/>
        </w:rPr>
        <w:t xml:space="preserve">found a statistically significant decrease in insulin like growth hormone IGF-1 levels, which was significantly correlated with the number of cycles of </w:t>
      </w:r>
      <w:r w:rsidR="00A44ED7" w:rsidRPr="00D725EB">
        <w:rPr>
          <w:rFonts w:asciiTheme="minorHAnsi" w:hAnsiTheme="minorHAnsi" w:cstheme="minorHAnsi"/>
          <w:color w:val="auto"/>
          <w:sz w:val="22"/>
          <w:szCs w:val="22"/>
        </w:rPr>
        <w:t>lutetium chloride</w:t>
      </w:r>
      <w:r w:rsidR="00A44ED7" w:rsidRPr="00D725EB">
        <w:rPr>
          <w:rFonts w:asciiTheme="minorHAnsi" w:hAnsiTheme="minorHAnsi" w:cstheme="minorHAnsi"/>
          <w:color w:val="auto"/>
          <w:sz w:val="22"/>
          <w:szCs w:val="22"/>
          <w:vertAlign w:val="subscript"/>
        </w:rPr>
        <w:t xml:space="preserve"> </w:t>
      </w:r>
      <w:r w:rsidR="00A44ED7" w:rsidRPr="00D725EB">
        <w:rPr>
          <w:rFonts w:asciiTheme="minorHAnsi" w:hAnsiTheme="minorHAnsi" w:cstheme="minorHAnsi"/>
          <w:color w:val="auto"/>
          <w:sz w:val="22"/>
          <w:szCs w:val="22"/>
        </w:rPr>
        <w:t>based PRRT</w:t>
      </w:r>
      <w:r w:rsidRPr="00D725EB">
        <w:rPr>
          <w:rFonts w:asciiTheme="minorHAnsi" w:hAnsiTheme="minorHAnsi" w:cstheme="minorHAnsi"/>
          <w:color w:val="auto"/>
          <w:sz w:val="22"/>
          <w:szCs w:val="22"/>
        </w:rPr>
        <w:t xml:space="preserve"> received as well as to the radiation dose.</w:t>
      </w:r>
    </w:p>
    <w:p w14:paraId="6EC7C32E" w14:textId="77777777" w:rsidR="00695835" w:rsidRPr="00572358" w:rsidRDefault="00695835" w:rsidP="00D725EB">
      <w:pPr>
        <w:pStyle w:val="Heading3"/>
        <w:rPr>
          <w:rFonts w:cstheme="minorHAnsi"/>
          <w:szCs w:val="22"/>
        </w:rPr>
      </w:pPr>
      <w:r w:rsidRPr="00D725EB">
        <w:rPr>
          <w:rFonts w:asciiTheme="minorHAnsi" w:hAnsiTheme="minorHAnsi" w:cstheme="minorHAnsi"/>
          <w:szCs w:val="22"/>
        </w:rPr>
        <w:t>Calcium Homeostasis</w:t>
      </w:r>
    </w:p>
    <w:p w14:paraId="0097AECE" w14:textId="1CBFA0CC" w:rsidR="00695835" w:rsidRPr="000270FC" w:rsidRDefault="00695835" w:rsidP="00695835">
      <w:pPr>
        <w:autoSpaceDE w:val="0"/>
        <w:autoSpaceDN w:val="0"/>
        <w:adjustRightInd w:val="0"/>
        <w:spacing w:after="0"/>
        <w:rPr>
          <w:rFonts w:asciiTheme="minorHAnsi" w:hAnsiTheme="minorHAnsi" w:cstheme="minorHAnsi"/>
          <w:color w:val="131413"/>
          <w:sz w:val="22"/>
          <w:szCs w:val="22"/>
        </w:rPr>
      </w:pPr>
      <w:r w:rsidRPr="000270FC">
        <w:rPr>
          <w:rFonts w:asciiTheme="minorHAnsi" w:hAnsiTheme="minorHAnsi" w:cstheme="minorHAnsi"/>
          <w:color w:val="131413"/>
          <w:sz w:val="22"/>
          <w:szCs w:val="22"/>
        </w:rPr>
        <w:t xml:space="preserve">In 47 patients who received </w:t>
      </w:r>
      <w:r w:rsidR="00B51088" w:rsidRPr="000270FC">
        <w:rPr>
          <w:rFonts w:asciiTheme="minorHAnsi" w:hAnsiTheme="minorHAnsi" w:cstheme="minorHAnsi"/>
          <w:color w:val="131413"/>
          <w:sz w:val="22"/>
          <w:szCs w:val="22"/>
        </w:rPr>
        <w:t>a cumulative 29.6</w:t>
      </w:r>
      <w:r w:rsidR="00502849">
        <w:rPr>
          <w:rFonts w:asciiTheme="minorHAnsi" w:hAnsiTheme="minorHAnsi" w:cstheme="minorHAnsi"/>
          <w:color w:val="131413"/>
          <w:sz w:val="22"/>
          <w:szCs w:val="22"/>
        </w:rPr>
        <w:t xml:space="preserve"> </w:t>
      </w:r>
      <w:proofErr w:type="spellStart"/>
      <w:r w:rsidR="00B51088" w:rsidRPr="000270FC">
        <w:rPr>
          <w:rFonts w:asciiTheme="minorHAnsi" w:hAnsiTheme="minorHAnsi" w:cstheme="minorHAnsi"/>
          <w:color w:val="131413"/>
          <w:sz w:val="22"/>
          <w:szCs w:val="22"/>
        </w:rPr>
        <w:t>GBq</w:t>
      </w:r>
      <w:proofErr w:type="spellEnd"/>
      <w:r w:rsidR="00B51088" w:rsidRPr="000270FC">
        <w:rPr>
          <w:rFonts w:asciiTheme="minorHAnsi" w:hAnsiTheme="minorHAnsi" w:cstheme="minorHAnsi"/>
          <w:color w:val="131413"/>
          <w:sz w:val="22"/>
          <w:szCs w:val="22"/>
        </w:rPr>
        <w:t xml:space="preserve"> dose </w:t>
      </w:r>
      <w:r w:rsidR="00B51088">
        <w:rPr>
          <w:rFonts w:asciiTheme="minorHAnsi" w:hAnsiTheme="minorHAnsi" w:cstheme="minorHAnsi"/>
          <w:color w:val="131413"/>
          <w:sz w:val="22"/>
          <w:szCs w:val="22"/>
        </w:rPr>
        <w:t xml:space="preserve">of </w:t>
      </w:r>
      <w:r>
        <w:rPr>
          <w:rFonts w:asciiTheme="minorHAnsi" w:hAnsiTheme="minorHAnsi" w:cstheme="minorHAnsi"/>
          <w:sz w:val="22"/>
          <w:szCs w:val="22"/>
        </w:rPr>
        <w:t>l</w:t>
      </w:r>
      <w:r w:rsidRPr="00B07007">
        <w:rPr>
          <w:rFonts w:asciiTheme="minorHAnsi" w:hAnsiTheme="minorHAnsi" w:cstheme="minorHAnsi"/>
          <w:sz w:val="22"/>
          <w:szCs w:val="22"/>
        </w:rPr>
        <w:t>utetium chloride</w:t>
      </w:r>
      <w:r w:rsidRPr="000270FC">
        <w:rPr>
          <w:rFonts w:asciiTheme="minorHAnsi" w:hAnsiTheme="minorHAnsi" w:cstheme="minorHAnsi"/>
          <w:sz w:val="22"/>
          <w:szCs w:val="22"/>
        </w:rPr>
        <w:t xml:space="preserve">, </w:t>
      </w:r>
      <w:r w:rsidRPr="000270FC">
        <w:rPr>
          <w:rFonts w:asciiTheme="minorHAnsi" w:hAnsiTheme="minorHAnsi" w:cstheme="minorHAnsi"/>
          <w:color w:val="131413"/>
          <w:sz w:val="22"/>
          <w:szCs w:val="22"/>
        </w:rPr>
        <w:t>the mean serum calcium level decreased significantly from 2.29</w:t>
      </w:r>
      <w:r w:rsidR="00502849">
        <w:rPr>
          <w:rFonts w:asciiTheme="minorHAnsi" w:hAnsiTheme="minorHAnsi" w:cstheme="minorHAnsi"/>
          <w:color w:val="131413"/>
          <w:sz w:val="22"/>
          <w:szCs w:val="22"/>
        </w:rPr>
        <w:t xml:space="preserve"> </w:t>
      </w:r>
      <w:r w:rsidRPr="000270FC">
        <w:rPr>
          <w:rFonts w:asciiTheme="minorHAnsi" w:hAnsiTheme="minorHAnsi" w:cstheme="minorHAnsi"/>
          <w:color w:val="131413"/>
          <w:sz w:val="22"/>
          <w:szCs w:val="22"/>
        </w:rPr>
        <w:t>±</w:t>
      </w:r>
      <w:r w:rsidR="00502849">
        <w:rPr>
          <w:rFonts w:asciiTheme="minorHAnsi" w:hAnsiTheme="minorHAnsi" w:cstheme="minorHAnsi"/>
          <w:color w:val="131413"/>
          <w:sz w:val="22"/>
          <w:szCs w:val="22"/>
        </w:rPr>
        <w:t xml:space="preserve"> </w:t>
      </w:r>
      <w:r w:rsidRPr="000270FC">
        <w:rPr>
          <w:rFonts w:asciiTheme="minorHAnsi" w:hAnsiTheme="minorHAnsi" w:cstheme="minorHAnsi"/>
          <w:color w:val="131413"/>
          <w:sz w:val="22"/>
          <w:szCs w:val="22"/>
        </w:rPr>
        <w:t>0.01</w:t>
      </w:r>
      <w:r w:rsidR="00502849">
        <w:rPr>
          <w:rFonts w:asciiTheme="minorHAnsi" w:hAnsiTheme="minorHAnsi" w:cstheme="minorHAnsi"/>
          <w:color w:val="131413"/>
          <w:sz w:val="22"/>
          <w:szCs w:val="22"/>
        </w:rPr>
        <w:t xml:space="preserve"> </w:t>
      </w:r>
      <w:r w:rsidRPr="000270FC">
        <w:rPr>
          <w:rFonts w:asciiTheme="minorHAnsi" w:hAnsiTheme="minorHAnsi" w:cstheme="minorHAnsi"/>
          <w:color w:val="131413"/>
          <w:sz w:val="22"/>
          <w:szCs w:val="22"/>
        </w:rPr>
        <w:t>mmol/l to a nadir of 2.24</w:t>
      </w:r>
      <w:r w:rsidR="00502849">
        <w:rPr>
          <w:rFonts w:asciiTheme="minorHAnsi" w:hAnsiTheme="minorHAnsi" w:cstheme="minorHAnsi"/>
          <w:color w:val="131413"/>
          <w:sz w:val="22"/>
          <w:szCs w:val="22"/>
        </w:rPr>
        <w:t> </w:t>
      </w:r>
      <w:r w:rsidRPr="000270FC">
        <w:rPr>
          <w:rFonts w:asciiTheme="minorHAnsi" w:hAnsiTheme="minorHAnsi" w:cstheme="minorHAnsi"/>
          <w:color w:val="131413"/>
          <w:sz w:val="22"/>
          <w:szCs w:val="22"/>
        </w:rPr>
        <w:t>±</w:t>
      </w:r>
      <w:r w:rsidR="00502849">
        <w:rPr>
          <w:rFonts w:asciiTheme="minorHAnsi" w:hAnsiTheme="minorHAnsi" w:cstheme="minorHAnsi"/>
          <w:color w:val="131413"/>
          <w:sz w:val="22"/>
          <w:szCs w:val="22"/>
        </w:rPr>
        <w:t> </w:t>
      </w:r>
      <w:r w:rsidRPr="000270FC">
        <w:rPr>
          <w:rFonts w:asciiTheme="minorHAnsi" w:hAnsiTheme="minorHAnsi" w:cstheme="minorHAnsi"/>
          <w:color w:val="131413"/>
          <w:sz w:val="22"/>
          <w:szCs w:val="22"/>
        </w:rPr>
        <w:t>0.01</w:t>
      </w:r>
      <w:r w:rsidR="00502849">
        <w:rPr>
          <w:rFonts w:asciiTheme="minorHAnsi" w:hAnsiTheme="minorHAnsi" w:cstheme="minorHAnsi"/>
          <w:color w:val="131413"/>
          <w:sz w:val="22"/>
          <w:szCs w:val="22"/>
        </w:rPr>
        <w:t xml:space="preserve"> </w:t>
      </w:r>
      <w:r w:rsidRPr="000270FC">
        <w:rPr>
          <w:rFonts w:asciiTheme="minorHAnsi" w:hAnsiTheme="minorHAnsi" w:cstheme="minorHAnsi"/>
          <w:color w:val="131413"/>
          <w:sz w:val="22"/>
          <w:szCs w:val="22"/>
        </w:rPr>
        <w:t xml:space="preserve">mmol/l at 6 weeks after treatment (p=0.02). The decline in plasma calcium concentration was confirmed in a larger, retrospectively </w:t>
      </w:r>
      <w:proofErr w:type="spellStart"/>
      <w:r w:rsidRPr="000270FC">
        <w:rPr>
          <w:rFonts w:asciiTheme="minorHAnsi" w:hAnsiTheme="minorHAnsi" w:cstheme="minorHAnsi"/>
          <w:color w:val="131413"/>
          <w:sz w:val="22"/>
          <w:szCs w:val="22"/>
        </w:rPr>
        <w:t>analysed</w:t>
      </w:r>
      <w:proofErr w:type="spellEnd"/>
      <w:r w:rsidRPr="000270FC">
        <w:rPr>
          <w:rFonts w:asciiTheme="minorHAnsi" w:hAnsiTheme="minorHAnsi" w:cstheme="minorHAnsi"/>
          <w:color w:val="131413"/>
          <w:sz w:val="22"/>
          <w:szCs w:val="22"/>
        </w:rPr>
        <w:t xml:space="preserve">, patient group, in which 22 % of patients developed </w:t>
      </w:r>
      <w:proofErr w:type="spellStart"/>
      <w:r w:rsidRPr="000270FC">
        <w:rPr>
          <w:rFonts w:asciiTheme="minorHAnsi" w:hAnsiTheme="minorHAnsi" w:cstheme="minorHAnsi"/>
          <w:color w:val="131413"/>
          <w:sz w:val="22"/>
          <w:szCs w:val="22"/>
        </w:rPr>
        <w:t>hypocalcaemia</w:t>
      </w:r>
      <w:proofErr w:type="spellEnd"/>
      <w:r w:rsidRPr="000270FC">
        <w:rPr>
          <w:rFonts w:asciiTheme="minorHAnsi" w:hAnsiTheme="minorHAnsi" w:cstheme="minorHAnsi"/>
          <w:color w:val="131413"/>
          <w:sz w:val="22"/>
          <w:szCs w:val="22"/>
        </w:rPr>
        <w:t xml:space="preserve">. </w:t>
      </w:r>
      <w:r w:rsidR="000A6B6D">
        <w:rPr>
          <w:rFonts w:asciiTheme="minorHAnsi" w:hAnsiTheme="minorHAnsi" w:cstheme="minorHAnsi"/>
          <w:color w:val="131413"/>
          <w:sz w:val="22"/>
          <w:szCs w:val="22"/>
        </w:rPr>
        <w:t xml:space="preserve"> </w:t>
      </w:r>
      <w:bookmarkStart w:id="9" w:name="_Hlk78193696"/>
      <w:r w:rsidR="000A6B6D">
        <w:rPr>
          <w:rFonts w:asciiTheme="minorHAnsi" w:hAnsiTheme="minorHAnsi" w:cstheme="minorHAnsi"/>
          <w:color w:val="131413"/>
          <w:sz w:val="22"/>
          <w:szCs w:val="22"/>
        </w:rPr>
        <w:t xml:space="preserve">Calcium supplementation may be required in patients who develop </w:t>
      </w:r>
      <w:proofErr w:type="spellStart"/>
      <w:r w:rsidR="000A6B6D">
        <w:rPr>
          <w:rFonts w:asciiTheme="minorHAnsi" w:hAnsiTheme="minorHAnsi" w:cstheme="minorHAnsi"/>
          <w:color w:val="131413"/>
          <w:sz w:val="22"/>
          <w:szCs w:val="22"/>
        </w:rPr>
        <w:t>hypocalcaemia</w:t>
      </w:r>
      <w:proofErr w:type="spellEnd"/>
      <w:r w:rsidR="000A6B6D">
        <w:rPr>
          <w:rFonts w:asciiTheme="minorHAnsi" w:hAnsiTheme="minorHAnsi" w:cstheme="minorHAnsi"/>
          <w:color w:val="131413"/>
          <w:sz w:val="22"/>
          <w:szCs w:val="22"/>
        </w:rPr>
        <w:t>.</w:t>
      </w:r>
      <w:bookmarkEnd w:id="9"/>
    </w:p>
    <w:p w14:paraId="5619C850" w14:textId="77777777" w:rsidR="00695835" w:rsidRPr="00572358" w:rsidRDefault="00695835" w:rsidP="00315041">
      <w:pPr>
        <w:pStyle w:val="Heading3"/>
        <w:rPr>
          <w:rFonts w:cstheme="minorHAnsi"/>
          <w:szCs w:val="22"/>
        </w:rPr>
      </w:pPr>
      <w:r w:rsidRPr="00315041">
        <w:rPr>
          <w:rFonts w:asciiTheme="minorHAnsi" w:hAnsiTheme="minorHAnsi" w:cstheme="minorHAnsi"/>
          <w:szCs w:val="22"/>
        </w:rPr>
        <w:t xml:space="preserve">Parathyroid hormone </w:t>
      </w:r>
    </w:p>
    <w:p w14:paraId="362676BD" w14:textId="42723C24" w:rsidR="00695835" w:rsidRDefault="00695835" w:rsidP="00695835">
      <w:pPr>
        <w:autoSpaceDE w:val="0"/>
        <w:autoSpaceDN w:val="0"/>
        <w:adjustRightInd w:val="0"/>
        <w:spacing w:after="0"/>
        <w:rPr>
          <w:rFonts w:asciiTheme="minorHAnsi" w:hAnsiTheme="minorHAnsi" w:cstheme="minorHAnsi"/>
          <w:sz w:val="22"/>
          <w:szCs w:val="22"/>
        </w:rPr>
      </w:pPr>
      <w:r w:rsidRPr="000270FC">
        <w:rPr>
          <w:rFonts w:asciiTheme="minorHAnsi" w:hAnsiTheme="minorHAnsi" w:cstheme="minorHAnsi"/>
          <w:sz w:val="22"/>
          <w:szCs w:val="22"/>
        </w:rPr>
        <w:t>A small</w:t>
      </w:r>
      <w:r>
        <w:rPr>
          <w:rFonts w:asciiTheme="minorHAnsi" w:hAnsiTheme="minorHAnsi" w:cstheme="minorHAnsi"/>
          <w:sz w:val="22"/>
          <w:szCs w:val="22"/>
        </w:rPr>
        <w:t>,</w:t>
      </w:r>
      <w:r w:rsidRPr="000270FC">
        <w:rPr>
          <w:rFonts w:asciiTheme="minorHAnsi" w:hAnsiTheme="minorHAnsi" w:cstheme="minorHAnsi"/>
          <w:sz w:val="22"/>
          <w:szCs w:val="22"/>
        </w:rPr>
        <w:t xml:space="preserve"> but significant reduction in parathyroid hormone was observed in men but not women.</w:t>
      </w:r>
    </w:p>
    <w:p w14:paraId="3C469190" w14:textId="043EC7B9" w:rsidR="00315041" w:rsidRPr="00315041" w:rsidRDefault="00315041" w:rsidP="00315041">
      <w:pPr>
        <w:pStyle w:val="Heading3"/>
        <w:rPr>
          <w:rFonts w:asciiTheme="minorHAnsi" w:hAnsiTheme="minorHAnsi" w:cstheme="minorHAnsi"/>
          <w:szCs w:val="22"/>
        </w:rPr>
      </w:pPr>
      <w:r w:rsidRPr="00315041">
        <w:rPr>
          <w:rFonts w:asciiTheme="minorHAnsi" w:hAnsiTheme="minorHAnsi" w:cstheme="minorHAnsi"/>
          <w:szCs w:val="22"/>
        </w:rPr>
        <w:t>Bowel obstruction</w:t>
      </w:r>
    </w:p>
    <w:p w14:paraId="7A4B0E43" w14:textId="77777777" w:rsidR="00315041" w:rsidRPr="00315041" w:rsidRDefault="00315041" w:rsidP="00315041">
      <w:pPr>
        <w:rPr>
          <w:rFonts w:cstheme="minorHAnsi"/>
          <w:i/>
          <w:iCs/>
          <w:color w:val="auto"/>
          <w:sz w:val="18"/>
          <w:szCs w:val="18"/>
        </w:rPr>
      </w:pPr>
      <w:r w:rsidRPr="00315041">
        <w:rPr>
          <w:rFonts w:asciiTheme="minorHAnsi" w:hAnsiTheme="minorHAnsi" w:cstheme="minorHAnsi"/>
          <w:color w:val="auto"/>
          <w:sz w:val="22"/>
          <w:szCs w:val="22"/>
        </w:rPr>
        <w:t>Patients with midgut NETs and underlying peritoneal and mesenteric metastases are at increased risk of developing bowel obstruction during PRRT.</w:t>
      </w:r>
    </w:p>
    <w:p w14:paraId="4CDFD0E0" w14:textId="77777777" w:rsidR="00671CE5" w:rsidRPr="00B07007" w:rsidRDefault="00671CE5" w:rsidP="00671CE5">
      <w:pPr>
        <w:pStyle w:val="Heading3"/>
        <w:rPr>
          <w:rFonts w:asciiTheme="minorHAnsi" w:hAnsiTheme="minorHAnsi" w:cstheme="minorHAnsi"/>
          <w:szCs w:val="22"/>
        </w:rPr>
      </w:pPr>
      <w:r>
        <w:rPr>
          <w:rFonts w:asciiTheme="minorHAnsi" w:hAnsiTheme="minorHAnsi" w:cstheme="minorHAnsi"/>
          <w:szCs w:val="22"/>
        </w:rPr>
        <w:t>Use in hepatic impairment</w:t>
      </w:r>
    </w:p>
    <w:p w14:paraId="253E3EE0" w14:textId="77777777" w:rsidR="00695835" w:rsidRPr="00B07007" w:rsidRDefault="00695835" w:rsidP="00695835">
      <w:pPr>
        <w:rPr>
          <w:rFonts w:asciiTheme="minorHAnsi" w:hAnsiTheme="minorHAnsi" w:cstheme="minorHAnsi"/>
          <w:sz w:val="22"/>
          <w:szCs w:val="22"/>
        </w:rPr>
      </w:pPr>
      <w:r w:rsidRPr="00B07007">
        <w:rPr>
          <w:rFonts w:asciiTheme="minorHAnsi" w:hAnsiTheme="minorHAnsi" w:cstheme="minorHAnsi"/>
          <w:sz w:val="22"/>
          <w:szCs w:val="22"/>
        </w:rPr>
        <w:t>Liver function should be monitored regularly during treatment. Dose reduction may be necessary in affected patients.</w:t>
      </w:r>
    </w:p>
    <w:p w14:paraId="2674A649" w14:textId="6992446C" w:rsidR="00671CE5" w:rsidRDefault="00671CE5" w:rsidP="00671CE5">
      <w:pPr>
        <w:autoSpaceDE w:val="0"/>
        <w:autoSpaceDN w:val="0"/>
        <w:adjustRightInd w:val="0"/>
        <w:rPr>
          <w:rFonts w:asciiTheme="minorHAnsi" w:hAnsiTheme="minorHAnsi" w:cstheme="minorHAnsi"/>
          <w:color w:val="auto"/>
          <w:sz w:val="22"/>
          <w:szCs w:val="22"/>
        </w:rPr>
      </w:pPr>
      <w:r w:rsidRPr="0022452B">
        <w:rPr>
          <w:rFonts w:asciiTheme="minorHAnsi" w:hAnsiTheme="minorHAnsi" w:cstheme="minorHAnsi"/>
          <w:color w:val="auto"/>
          <w:sz w:val="22"/>
          <w:szCs w:val="22"/>
        </w:rPr>
        <w:t>In patients treated with lutetium chloride</w:t>
      </w:r>
      <w:r w:rsidRPr="0022452B">
        <w:rPr>
          <w:rFonts w:asciiTheme="minorHAnsi" w:hAnsiTheme="minorHAnsi" w:cstheme="minorHAnsi"/>
          <w:color w:val="auto"/>
          <w:sz w:val="22"/>
          <w:szCs w:val="22"/>
          <w:vertAlign w:val="subscript"/>
        </w:rPr>
        <w:t xml:space="preserve"> </w:t>
      </w:r>
      <w:r w:rsidRPr="0022452B">
        <w:rPr>
          <w:rFonts w:asciiTheme="minorHAnsi" w:hAnsiTheme="minorHAnsi" w:cstheme="minorHAnsi"/>
          <w:color w:val="auto"/>
          <w:sz w:val="22"/>
          <w:szCs w:val="22"/>
        </w:rPr>
        <w:t>based PRRT</w:t>
      </w:r>
      <w:r w:rsidRPr="0022452B" w:rsidDel="00A44ED7">
        <w:rPr>
          <w:rFonts w:asciiTheme="minorHAnsi" w:eastAsia="OTNEJMQuadraat" w:hAnsiTheme="minorHAnsi" w:cstheme="minorHAnsi"/>
          <w:color w:val="auto"/>
          <w:sz w:val="22"/>
          <w:szCs w:val="22"/>
          <w:vertAlign w:val="superscript"/>
        </w:rPr>
        <w:t xml:space="preserve"> </w:t>
      </w:r>
      <w:r w:rsidRPr="0022452B">
        <w:rPr>
          <w:rFonts w:asciiTheme="minorHAnsi" w:hAnsiTheme="minorHAnsi" w:cstheme="minorHAnsi"/>
          <w:color w:val="auto"/>
          <w:sz w:val="22"/>
          <w:szCs w:val="22"/>
        </w:rPr>
        <w:t xml:space="preserve">in doses up to a cumulative intended dose of 750 to 800 </w:t>
      </w:r>
      <w:proofErr w:type="spellStart"/>
      <w:r w:rsidRPr="0022452B">
        <w:rPr>
          <w:rFonts w:asciiTheme="minorHAnsi" w:hAnsiTheme="minorHAnsi" w:cstheme="minorHAnsi"/>
          <w:color w:val="auto"/>
          <w:sz w:val="22"/>
          <w:szCs w:val="22"/>
        </w:rPr>
        <w:t>mCi</w:t>
      </w:r>
      <w:proofErr w:type="spellEnd"/>
      <w:r w:rsidRPr="0022452B">
        <w:rPr>
          <w:rFonts w:asciiTheme="minorHAnsi" w:hAnsiTheme="minorHAnsi" w:cstheme="minorHAnsi"/>
          <w:color w:val="auto"/>
          <w:sz w:val="22"/>
          <w:szCs w:val="22"/>
        </w:rPr>
        <w:t xml:space="preserve"> (27.8–29.6 </w:t>
      </w:r>
      <w:proofErr w:type="spellStart"/>
      <w:r w:rsidRPr="0022452B">
        <w:rPr>
          <w:rFonts w:asciiTheme="minorHAnsi" w:hAnsiTheme="minorHAnsi" w:cstheme="minorHAnsi"/>
          <w:color w:val="auto"/>
          <w:sz w:val="22"/>
          <w:szCs w:val="22"/>
        </w:rPr>
        <w:t>GBq</w:t>
      </w:r>
      <w:proofErr w:type="spellEnd"/>
      <w:r w:rsidRPr="0022452B">
        <w:rPr>
          <w:rFonts w:asciiTheme="minorHAnsi" w:hAnsiTheme="minorHAnsi" w:cstheme="minorHAnsi"/>
          <w:color w:val="auto"/>
          <w:sz w:val="22"/>
          <w:szCs w:val="22"/>
        </w:rPr>
        <w:t>), an increase of aminotransferases (aspartate transaminase and/or alanine transaminase) grade 3/4 was observed (3%; 95% CI, 2%–5%). After 3 months follow up, there were three patients with persistent grade 3/4 toxicity of the aminotransferases. No hepatic failure was observed during or after therapy</w:t>
      </w:r>
      <w:r w:rsidRPr="00315041">
        <w:rPr>
          <w:rFonts w:asciiTheme="minorHAnsi" w:hAnsiTheme="minorHAnsi" w:cstheme="minorHAnsi"/>
          <w:color w:val="auto"/>
          <w:sz w:val="22"/>
          <w:szCs w:val="22"/>
        </w:rPr>
        <w:t xml:space="preserve">. </w:t>
      </w:r>
    </w:p>
    <w:p w14:paraId="2B57C04C" w14:textId="77777777" w:rsidR="009A3E59" w:rsidRPr="00315041" w:rsidRDefault="009A3E59" w:rsidP="00671CE5">
      <w:pPr>
        <w:autoSpaceDE w:val="0"/>
        <w:autoSpaceDN w:val="0"/>
        <w:adjustRightInd w:val="0"/>
        <w:rPr>
          <w:rFonts w:asciiTheme="minorHAnsi" w:hAnsiTheme="minorHAnsi" w:cstheme="minorHAnsi"/>
          <w:color w:val="auto"/>
          <w:sz w:val="22"/>
          <w:szCs w:val="22"/>
        </w:rPr>
      </w:pPr>
    </w:p>
    <w:p w14:paraId="274507E2" w14:textId="77777777" w:rsidR="00671CE5" w:rsidRPr="00315041" w:rsidRDefault="00671CE5" w:rsidP="00671CE5">
      <w:pPr>
        <w:pStyle w:val="Heading3"/>
        <w:ind w:left="426"/>
        <w:rPr>
          <w:rFonts w:asciiTheme="minorHAnsi" w:hAnsiTheme="minorHAnsi" w:cstheme="minorHAnsi"/>
          <w:szCs w:val="22"/>
        </w:rPr>
      </w:pPr>
      <w:r w:rsidRPr="00315041">
        <w:rPr>
          <w:rFonts w:asciiTheme="minorHAnsi" w:hAnsiTheme="minorHAnsi" w:cstheme="minorHAnsi"/>
          <w:szCs w:val="22"/>
        </w:rPr>
        <w:lastRenderedPageBreak/>
        <w:t xml:space="preserve">Use in renal impairment </w:t>
      </w:r>
    </w:p>
    <w:p w14:paraId="5F17891E" w14:textId="77777777" w:rsidR="00695835" w:rsidRPr="00315041" w:rsidRDefault="00695835" w:rsidP="00695835">
      <w:pPr>
        <w:spacing w:line="240" w:lineRule="auto"/>
        <w:ind w:left="426"/>
        <w:rPr>
          <w:rFonts w:asciiTheme="minorHAnsi" w:hAnsiTheme="minorHAnsi" w:cstheme="minorHAnsi"/>
          <w:color w:val="auto"/>
          <w:sz w:val="22"/>
          <w:szCs w:val="22"/>
        </w:rPr>
      </w:pPr>
      <w:r w:rsidRPr="00315041">
        <w:rPr>
          <w:rFonts w:asciiTheme="minorHAnsi" w:hAnsiTheme="minorHAnsi" w:cstheme="minorHAnsi"/>
          <w:color w:val="auto"/>
          <w:sz w:val="22"/>
          <w:szCs w:val="22"/>
        </w:rPr>
        <w:t xml:space="preserve">Renal function including glomerular filtration rate (GFR) should be assessed at baseline and during treatment and renal protection should be considered, in accordance with clinical guidance of the </w:t>
      </w:r>
      <w:proofErr w:type="spellStart"/>
      <w:r w:rsidRPr="00315041">
        <w:rPr>
          <w:rFonts w:asciiTheme="minorHAnsi" w:hAnsiTheme="minorHAnsi" w:cstheme="minorHAnsi"/>
          <w:color w:val="auto"/>
          <w:sz w:val="22"/>
          <w:szCs w:val="22"/>
        </w:rPr>
        <w:t>radiolabelled</w:t>
      </w:r>
      <w:proofErr w:type="spellEnd"/>
      <w:r w:rsidRPr="00315041">
        <w:rPr>
          <w:rFonts w:asciiTheme="minorHAnsi" w:hAnsiTheme="minorHAnsi" w:cstheme="minorHAnsi"/>
          <w:color w:val="auto"/>
          <w:sz w:val="22"/>
          <w:szCs w:val="22"/>
        </w:rPr>
        <w:t xml:space="preserve"> medicinal product.</w:t>
      </w:r>
    </w:p>
    <w:p w14:paraId="1E4C39BA" w14:textId="57BA0065" w:rsidR="00671CE5" w:rsidRPr="00315041" w:rsidRDefault="00671CE5" w:rsidP="00671CE5">
      <w:pPr>
        <w:autoSpaceDE w:val="0"/>
        <w:autoSpaceDN w:val="0"/>
        <w:adjustRightInd w:val="0"/>
        <w:ind w:left="426"/>
        <w:rPr>
          <w:rFonts w:asciiTheme="minorHAnsi" w:hAnsiTheme="minorHAnsi" w:cstheme="minorHAnsi"/>
          <w:color w:val="auto"/>
          <w:sz w:val="22"/>
          <w:szCs w:val="22"/>
        </w:rPr>
      </w:pPr>
      <w:r w:rsidRPr="00315041">
        <w:rPr>
          <w:rFonts w:asciiTheme="minorHAnsi" w:hAnsiTheme="minorHAnsi" w:cstheme="minorHAnsi"/>
          <w:color w:val="auto"/>
          <w:sz w:val="22"/>
          <w:szCs w:val="22"/>
        </w:rPr>
        <w:t>A retrospective study assessing renal function over time, reported the incidence of nephrotoxicity in patients treated with lutetium chloride</w:t>
      </w:r>
      <w:r w:rsidRPr="00315041">
        <w:rPr>
          <w:rFonts w:asciiTheme="minorHAnsi" w:hAnsiTheme="minorHAnsi" w:cstheme="minorHAnsi"/>
          <w:color w:val="auto"/>
          <w:sz w:val="22"/>
          <w:szCs w:val="22"/>
          <w:vertAlign w:val="subscript"/>
        </w:rPr>
        <w:t xml:space="preserve"> </w:t>
      </w:r>
      <w:r w:rsidRPr="00315041">
        <w:rPr>
          <w:rFonts w:asciiTheme="minorHAnsi" w:hAnsiTheme="minorHAnsi" w:cstheme="minorHAnsi"/>
          <w:color w:val="auto"/>
          <w:sz w:val="22"/>
          <w:szCs w:val="22"/>
        </w:rPr>
        <w:t xml:space="preserve">based PRRT primarily for NETs. The intended cumulative activity was 29.6 </w:t>
      </w:r>
      <w:proofErr w:type="spellStart"/>
      <w:r w:rsidRPr="00315041">
        <w:rPr>
          <w:rFonts w:asciiTheme="minorHAnsi" w:hAnsiTheme="minorHAnsi" w:cstheme="minorHAnsi"/>
          <w:color w:val="auto"/>
          <w:sz w:val="22"/>
          <w:szCs w:val="22"/>
        </w:rPr>
        <w:t>GBq</w:t>
      </w:r>
      <w:proofErr w:type="spellEnd"/>
      <w:r w:rsidRPr="00315041">
        <w:rPr>
          <w:rFonts w:asciiTheme="minorHAnsi" w:hAnsiTheme="minorHAnsi" w:cstheme="minorHAnsi"/>
          <w:color w:val="auto"/>
          <w:sz w:val="22"/>
          <w:szCs w:val="22"/>
        </w:rPr>
        <w:t xml:space="preserve"> (800 </w:t>
      </w:r>
      <w:proofErr w:type="spellStart"/>
      <w:r w:rsidRPr="00315041">
        <w:rPr>
          <w:rFonts w:asciiTheme="minorHAnsi" w:hAnsiTheme="minorHAnsi" w:cstheme="minorHAnsi"/>
          <w:color w:val="auto"/>
          <w:sz w:val="22"/>
          <w:szCs w:val="22"/>
        </w:rPr>
        <w:t>mCi</w:t>
      </w:r>
      <w:proofErr w:type="spellEnd"/>
      <w:r w:rsidRPr="00315041">
        <w:rPr>
          <w:rFonts w:asciiTheme="minorHAnsi" w:hAnsiTheme="minorHAnsi" w:cstheme="minorHAnsi"/>
          <w:color w:val="auto"/>
          <w:sz w:val="22"/>
          <w:szCs w:val="22"/>
        </w:rPr>
        <w:t>). The interval between treatments was 6 – 16 weeks.</w:t>
      </w:r>
    </w:p>
    <w:p w14:paraId="6D4F5921" w14:textId="77777777" w:rsidR="00671CE5" w:rsidRPr="00315041" w:rsidRDefault="00671CE5" w:rsidP="00671CE5">
      <w:pPr>
        <w:autoSpaceDE w:val="0"/>
        <w:autoSpaceDN w:val="0"/>
        <w:adjustRightInd w:val="0"/>
        <w:spacing w:after="0"/>
        <w:ind w:left="426"/>
        <w:rPr>
          <w:rFonts w:asciiTheme="minorHAnsi" w:hAnsiTheme="minorHAnsi" w:cstheme="minorHAnsi"/>
          <w:color w:val="auto"/>
          <w:sz w:val="22"/>
          <w:szCs w:val="22"/>
        </w:rPr>
      </w:pPr>
      <w:r w:rsidRPr="00315041">
        <w:rPr>
          <w:rFonts w:asciiTheme="minorHAnsi" w:hAnsiTheme="minorHAnsi" w:cstheme="minorHAnsi"/>
          <w:color w:val="auto"/>
          <w:sz w:val="22"/>
          <w:szCs w:val="22"/>
        </w:rPr>
        <w:t xml:space="preserve">A total of 14 patients (4 %) had a (sub)acute toxicity Grade 1 (creatinine increase &gt;26.5 </w:t>
      </w:r>
      <w:proofErr w:type="spellStart"/>
      <w:r w:rsidRPr="00315041">
        <w:rPr>
          <w:rFonts w:asciiTheme="minorHAnsi" w:hAnsiTheme="minorHAnsi" w:cstheme="minorHAnsi"/>
          <w:color w:val="auto"/>
          <w:sz w:val="22"/>
          <w:szCs w:val="22"/>
        </w:rPr>
        <w:t>μmol</w:t>
      </w:r>
      <w:proofErr w:type="spellEnd"/>
      <w:r w:rsidRPr="00315041">
        <w:rPr>
          <w:rFonts w:asciiTheme="minorHAnsi" w:hAnsiTheme="minorHAnsi" w:cstheme="minorHAnsi"/>
          <w:color w:val="auto"/>
          <w:sz w:val="22"/>
          <w:szCs w:val="22"/>
        </w:rPr>
        <w:t>/l). Three patients (1 %) developed (subacute) toxicity Grade 2 (creatinine increase &gt;1.5 – 3.0 × baseline or upper limit of normal). These changes were judged not related to therapy.  No Grade 3 or 4 (sub)acute nephrotoxicity was observed.</w:t>
      </w:r>
    </w:p>
    <w:p w14:paraId="181B288C" w14:textId="77777777" w:rsidR="00671CE5" w:rsidRPr="00315041" w:rsidRDefault="00671CE5" w:rsidP="00671CE5">
      <w:pPr>
        <w:autoSpaceDE w:val="0"/>
        <w:autoSpaceDN w:val="0"/>
        <w:adjustRightInd w:val="0"/>
        <w:spacing w:after="0"/>
        <w:ind w:left="426"/>
        <w:rPr>
          <w:rFonts w:asciiTheme="minorHAnsi" w:hAnsiTheme="minorHAnsi" w:cstheme="minorHAnsi"/>
          <w:color w:val="auto"/>
          <w:sz w:val="22"/>
          <w:szCs w:val="22"/>
        </w:rPr>
      </w:pPr>
    </w:p>
    <w:p w14:paraId="64EF4984" w14:textId="0F9F1CBB" w:rsidR="00671CE5" w:rsidRPr="00315041" w:rsidRDefault="00671CE5" w:rsidP="00671CE5">
      <w:pPr>
        <w:autoSpaceDE w:val="0"/>
        <w:autoSpaceDN w:val="0"/>
        <w:adjustRightInd w:val="0"/>
        <w:spacing w:after="0"/>
        <w:ind w:left="426"/>
        <w:rPr>
          <w:rFonts w:asciiTheme="minorHAnsi" w:hAnsiTheme="minorHAnsi" w:cstheme="minorHAnsi"/>
          <w:color w:val="auto"/>
          <w:sz w:val="22"/>
          <w:szCs w:val="22"/>
        </w:rPr>
      </w:pPr>
      <w:r w:rsidRPr="00315041">
        <w:rPr>
          <w:rFonts w:asciiTheme="minorHAnsi" w:hAnsiTheme="minorHAnsi" w:cstheme="minorHAnsi"/>
          <w:color w:val="auto"/>
          <w:sz w:val="22"/>
          <w:szCs w:val="22"/>
        </w:rPr>
        <w:t xml:space="preserve">With all other factors held constant, the estimated average baseline CLR showed a </w:t>
      </w:r>
      <w:r w:rsidRPr="008363D5">
        <w:rPr>
          <w:rFonts w:asciiTheme="minorHAnsi" w:hAnsiTheme="minorHAnsi" w:cstheme="minorHAnsi"/>
          <w:color w:val="auto"/>
          <w:sz w:val="22"/>
          <w:szCs w:val="22"/>
        </w:rPr>
        <w:t>significant decrease in patients older than 70 years or with baseline CTCAE grade 2</w:t>
      </w:r>
      <w:r w:rsidR="00B057B7" w:rsidRPr="008363D5">
        <w:rPr>
          <w:rFonts w:asciiTheme="minorHAnsi" w:hAnsiTheme="minorHAnsi" w:cstheme="minorHAnsi"/>
          <w:color w:val="auto"/>
          <w:sz w:val="22"/>
          <w:szCs w:val="22"/>
        </w:rPr>
        <w:t xml:space="preserve"> (both p &lt;0.0001)</w:t>
      </w:r>
      <w:r w:rsidRPr="008363D5">
        <w:rPr>
          <w:rFonts w:asciiTheme="minorHAnsi" w:hAnsiTheme="minorHAnsi" w:cstheme="minorHAnsi"/>
          <w:color w:val="auto"/>
          <w:sz w:val="22"/>
          <w:szCs w:val="22"/>
        </w:rPr>
        <w:t xml:space="preserve">. </w:t>
      </w:r>
      <w:r w:rsidRPr="00315041">
        <w:rPr>
          <w:rFonts w:asciiTheme="minorHAnsi" w:hAnsiTheme="minorHAnsi" w:cstheme="minorHAnsi"/>
          <w:color w:val="auto"/>
          <w:sz w:val="22"/>
          <w:szCs w:val="22"/>
        </w:rPr>
        <w:t xml:space="preserve">None of the risk factors considered for inclusion in the model (hypertension, diabetes, age &gt;70 years, cumulative injected activity &gt;22.2 </w:t>
      </w:r>
      <w:proofErr w:type="spellStart"/>
      <w:r w:rsidRPr="00315041">
        <w:rPr>
          <w:rFonts w:asciiTheme="minorHAnsi" w:hAnsiTheme="minorHAnsi" w:cstheme="minorHAnsi"/>
          <w:color w:val="auto"/>
          <w:sz w:val="22"/>
          <w:szCs w:val="22"/>
        </w:rPr>
        <w:t>GBq</w:t>
      </w:r>
      <w:proofErr w:type="spellEnd"/>
      <w:r w:rsidRPr="00315041">
        <w:rPr>
          <w:rFonts w:asciiTheme="minorHAnsi" w:hAnsiTheme="minorHAnsi" w:cstheme="minorHAnsi"/>
          <w:color w:val="auto"/>
          <w:sz w:val="22"/>
          <w:szCs w:val="22"/>
        </w:rPr>
        <w:t>, high radiation dose to the kidneys and CTCAE grade at baseline) had a significant effect on the estimated rate of change in CLR over time.</w:t>
      </w:r>
    </w:p>
    <w:p w14:paraId="4AE431CE" w14:textId="77777777" w:rsidR="00671CE5" w:rsidRPr="00315041" w:rsidRDefault="00671CE5" w:rsidP="00671CE5">
      <w:pPr>
        <w:autoSpaceDE w:val="0"/>
        <w:autoSpaceDN w:val="0"/>
        <w:adjustRightInd w:val="0"/>
        <w:spacing w:after="0"/>
        <w:ind w:left="426"/>
        <w:rPr>
          <w:rFonts w:asciiTheme="minorHAnsi" w:hAnsiTheme="minorHAnsi" w:cstheme="minorHAnsi"/>
          <w:color w:val="auto"/>
          <w:sz w:val="22"/>
          <w:szCs w:val="22"/>
        </w:rPr>
      </w:pPr>
    </w:p>
    <w:p w14:paraId="2F579869" w14:textId="4117FFA0" w:rsidR="00671CE5" w:rsidRPr="0022452B" w:rsidRDefault="00671CE5" w:rsidP="00671CE5">
      <w:pPr>
        <w:autoSpaceDE w:val="0"/>
        <w:autoSpaceDN w:val="0"/>
        <w:adjustRightInd w:val="0"/>
        <w:spacing w:after="0"/>
        <w:ind w:left="426"/>
        <w:rPr>
          <w:rFonts w:asciiTheme="minorHAnsi" w:hAnsiTheme="minorHAnsi" w:cstheme="minorHAnsi"/>
          <w:color w:val="auto"/>
          <w:sz w:val="22"/>
          <w:szCs w:val="22"/>
        </w:rPr>
      </w:pPr>
      <w:r w:rsidRPr="00315041">
        <w:rPr>
          <w:rFonts w:asciiTheme="minorHAnsi" w:hAnsiTheme="minorHAnsi" w:cstheme="minorHAnsi"/>
          <w:color w:val="auto"/>
          <w:sz w:val="22"/>
          <w:szCs w:val="22"/>
        </w:rPr>
        <w:t>In a study of patients treated with lutetium chloride</w:t>
      </w:r>
      <w:r w:rsidRPr="00315041">
        <w:rPr>
          <w:rFonts w:asciiTheme="minorHAnsi" w:hAnsiTheme="minorHAnsi" w:cstheme="minorHAnsi"/>
          <w:color w:val="auto"/>
          <w:sz w:val="22"/>
          <w:szCs w:val="22"/>
          <w:vertAlign w:val="subscript"/>
        </w:rPr>
        <w:t xml:space="preserve"> </w:t>
      </w:r>
      <w:r w:rsidRPr="00315041">
        <w:rPr>
          <w:rFonts w:asciiTheme="minorHAnsi" w:hAnsiTheme="minorHAnsi" w:cstheme="minorHAnsi"/>
          <w:color w:val="auto"/>
          <w:sz w:val="22"/>
          <w:szCs w:val="22"/>
        </w:rPr>
        <w:t xml:space="preserve">based PRRT, </w:t>
      </w:r>
      <w:r w:rsidR="00B51088">
        <w:rPr>
          <w:rFonts w:asciiTheme="minorHAnsi" w:hAnsiTheme="minorHAnsi" w:cstheme="minorHAnsi"/>
          <w:color w:val="auto"/>
          <w:sz w:val="22"/>
          <w:szCs w:val="22"/>
        </w:rPr>
        <w:t xml:space="preserve">with </w:t>
      </w:r>
      <w:r w:rsidRPr="00315041">
        <w:rPr>
          <w:rFonts w:asciiTheme="minorHAnsi" w:hAnsiTheme="minorHAnsi" w:cstheme="minorHAnsi"/>
          <w:color w:val="auto"/>
          <w:sz w:val="22"/>
          <w:szCs w:val="22"/>
        </w:rPr>
        <w:t xml:space="preserve">primary NETs in the gastrointestinal tract, or NETs of unknown primary origin, patients who had </w:t>
      </w:r>
      <w:r w:rsidRPr="00315041">
        <w:rPr>
          <w:rFonts w:asciiTheme="minorHAnsi" w:hAnsiTheme="minorHAnsi" w:cstheme="minorHAnsi"/>
          <w:color w:val="auto"/>
          <w:sz w:val="22"/>
          <w:szCs w:val="22"/>
          <w:vertAlign w:val="superscript"/>
        </w:rPr>
        <w:t>51</w:t>
      </w:r>
      <w:r w:rsidRPr="00315041">
        <w:rPr>
          <w:rFonts w:asciiTheme="minorHAnsi" w:hAnsiTheme="minorHAnsi" w:cstheme="minorHAnsi"/>
          <w:color w:val="auto"/>
          <w:sz w:val="22"/>
          <w:szCs w:val="22"/>
        </w:rPr>
        <w:t xml:space="preserve">Cr-EDTA GFR measured prior to and at the end of induction therapy (n=64), showed a change in mean GFR after administration of a mean activity of 24.6 </w:t>
      </w:r>
      <w:proofErr w:type="spellStart"/>
      <w:r w:rsidRPr="00315041">
        <w:rPr>
          <w:rFonts w:asciiTheme="minorHAnsi" w:hAnsiTheme="minorHAnsi" w:cstheme="minorHAnsi"/>
          <w:color w:val="auto"/>
          <w:sz w:val="22"/>
          <w:szCs w:val="22"/>
        </w:rPr>
        <w:t>GBq</w:t>
      </w:r>
      <w:proofErr w:type="spellEnd"/>
      <w:r w:rsidRPr="00315041">
        <w:rPr>
          <w:rFonts w:asciiTheme="minorHAnsi" w:hAnsiTheme="minorHAnsi" w:cstheme="minorHAnsi"/>
          <w:color w:val="auto"/>
          <w:sz w:val="22"/>
          <w:szCs w:val="22"/>
        </w:rPr>
        <w:t xml:space="preserve"> over 2.8 cycles of 1.2 ml/min (95 % CI </w:t>
      </w:r>
      <w:r w:rsidRPr="00315041">
        <w:rPr>
          <w:rFonts w:asciiTheme="minorHAnsi" w:eastAsia="AdvTT3713a231+22" w:hAnsiTheme="minorHAnsi" w:cstheme="minorHAnsi"/>
          <w:color w:val="auto"/>
          <w:sz w:val="22"/>
          <w:szCs w:val="22"/>
        </w:rPr>
        <w:t>−</w:t>
      </w:r>
      <w:r w:rsidRPr="00315041">
        <w:rPr>
          <w:rFonts w:asciiTheme="minorHAnsi" w:hAnsiTheme="minorHAnsi" w:cstheme="minorHAnsi"/>
          <w:color w:val="auto"/>
          <w:sz w:val="22"/>
          <w:szCs w:val="22"/>
        </w:rPr>
        <w:t>6.9 to 4.4 ml/min). This change not statistically significant</w:t>
      </w:r>
      <w:r w:rsidRPr="0022452B">
        <w:rPr>
          <w:rFonts w:asciiTheme="minorHAnsi" w:hAnsiTheme="minorHAnsi" w:cstheme="minorHAnsi"/>
          <w:color w:val="auto"/>
          <w:sz w:val="22"/>
          <w:szCs w:val="22"/>
        </w:rPr>
        <w:t>.</w:t>
      </w:r>
    </w:p>
    <w:p w14:paraId="4E7EAF30" w14:textId="77777777" w:rsidR="00671CE5" w:rsidRPr="0022452B" w:rsidRDefault="00671CE5" w:rsidP="00671CE5">
      <w:pPr>
        <w:autoSpaceDE w:val="0"/>
        <w:autoSpaceDN w:val="0"/>
        <w:adjustRightInd w:val="0"/>
        <w:spacing w:after="0"/>
        <w:ind w:left="0"/>
        <w:rPr>
          <w:rFonts w:asciiTheme="minorHAnsi" w:hAnsiTheme="minorHAnsi" w:cstheme="minorHAnsi"/>
          <w:color w:val="auto"/>
          <w:sz w:val="22"/>
          <w:szCs w:val="22"/>
        </w:rPr>
      </w:pPr>
    </w:p>
    <w:p w14:paraId="6D13A35F" w14:textId="151ADDC2" w:rsidR="00671CE5" w:rsidRPr="0022452B" w:rsidRDefault="00671CE5" w:rsidP="00671CE5">
      <w:pPr>
        <w:autoSpaceDE w:val="0"/>
        <w:autoSpaceDN w:val="0"/>
        <w:adjustRightInd w:val="0"/>
        <w:spacing w:after="0" w:line="240" w:lineRule="auto"/>
        <w:ind w:left="426"/>
        <w:rPr>
          <w:rFonts w:asciiTheme="minorHAnsi" w:hAnsiTheme="minorHAnsi" w:cstheme="minorHAnsi"/>
          <w:color w:val="auto"/>
          <w:sz w:val="22"/>
          <w:szCs w:val="22"/>
        </w:rPr>
      </w:pPr>
      <w:r w:rsidRPr="0022452B">
        <w:rPr>
          <w:rFonts w:asciiTheme="minorHAnsi" w:hAnsiTheme="minorHAnsi" w:cstheme="minorHAnsi"/>
          <w:color w:val="auto"/>
          <w:sz w:val="22"/>
          <w:szCs w:val="22"/>
        </w:rPr>
        <w:t xml:space="preserve">In a study </w:t>
      </w:r>
      <w:r w:rsidR="002260AF" w:rsidRPr="0022452B">
        <w:rPr>
          <w:rFonts w:asciiTheme="minorHAnsi" w:hAnsiTheme="minorHAnsi" w:cstheme="minorHAnsi"/>
          <w:color w:val="auto"/>
          <w:sz w:val="22"/>
          <w:szCs w:val="22"/>
        </w:rPr>
        <w:t>of patients</w:t>
      </w:r>
      <w:r w:rsidRPr="0022452B">
        <w:rPr>
          <w:rFonts w:asciiTheme="minorHAnsi" w:hAnsiTheme="minorHAnsi" w:cstheme="minorHAnsi"/>
          <w:color w:val="auto"/>
          <w:sz w:val="22"/>
          <w:szCs w:val="22"/>
        </w:rPr>
        <w:t xml:space="preserve"> with a progressive metastatic neuroendocrine </w:t>
      </w:r>
      <w:proofErr w:type="spellStart"/>
      <w:r w:rsidRPr="0022452B">
        <w:rPr>
          <w:rFonts w:asciiTheme="minorHAnsi" w:hAnsiTheme="minorHAnsi" w:cstheme="minorHAnsi"/>
          <w:color w:val="auto"/>
          <w:sz w:val="22"/>
          <w:szCs w:val="22"/>
        </w:rPr>
        <w:t>tumour</w:t>
      </w:r>
      <w:proofErr w:type="spellEnd"/>
      <w:r w:rsidRPr="0022452B">
        <w:rPr>
          <w:rFonts w:asciiTheme="minorHAnsi" w:hAnsiTheme="minorHAnsi" w:cstheme="minorHAnsi"/>
          <w:color w:val="auto"/>
          <w:sz w:val="22"/>
          <w:szCs w:val="22"/>
        </w:rPr>
        <w:t xml:space="preserve"> treated with multiple cycles of lutetium chloride</w:t>
      </w:r>
      <w:r w:rsidRPr="0022452B">
        <w:rPr>
          <w:rFonts w:asciiTheme="minorHAnsi" w:hAnsiTheme="minorHAnsi" w:cstheme="minorHAnsi"/>
          <w:color w:val="auto"/>
          <w:sz w:val="22"/>
          <w:szCs w:val="22"/>
          <w:vertAlign w:val="subscript"/>
        </w:rPr>
        <w:t xml:space="preserve"> </w:t>
      </w:r>
      <w:r w:rsidRPr="0022452B">
        <w:rPr>
          <w:rFonts w:asciiTheme="minorHAnsi" w:hAnsiTheme="minorHAnsi" w:cstheme="minorHAnsi"/>
          <w:color w:val="auto"/>
          <w:sz w:val="22"/>
          <w:szCs w:val="22"/>
        </w:rPr>
        <w:t xml:space="preserve">based PRRT at a standard activity of 7.4 </w:t>
      </w:r>
      <w:proofErr w:type="spellStart"/>
      <w:r w:rsidRPr="0022452B">
        <w:rPr>
          <w:rFonts w:asciiTheme="minorHAnsi" w:hAnsiTheme="minorHAnsi" w:cstheme="minorHAnsi"/>
          <w:color w:val="auto"/>
          <w:sz w:val="22"/>
          <w:szCs w:val="22"/>
        </w:rPr>
        <w:t>GBq</w:t>
      </w:r>
      <w:proofErr w:type="spellEnd"/>
      <w:r w:rsidRPr="0022452B">
        <w:rPr>
          <w:rFonts w:asciiTheme="minorHAnsi" w:hAnsiTheme="minorHAnsi" w:cstheme="minorHAnsi"/>
          <w:color w:val="auto"/>
          <w:sz w:val="22"/>
          <w:szCs w:val="22"/>
        </w:rPr>
        <w:t xml:space="preserve"> at 8-12-week intervals, the mean absolute annual change in measured GFR was -4.3 mL/min/1.73</w:t>
      </w:r>
      <w:r w:rsidR="00CC0047">
        <w:rPr>
          <w:rFonts w:asciiTheme="minorHAnsi" w:hAnsiTheme="minorHAnsi" w:cstheme="minorHAnsi"/>
          <w:color w:val="auto"/>
          <w:sz w:val="22"/>
          <w:szCs w:val="22"/>
        </w:rPr>
        <w:t xml:space="preserve"> </w:t>
      </w:r>
      <w:r w:rsidRPr="0022452B">
        <w:rPr>
          <w:rFonts w:asciiTheme="minorHAnsi" w:hAnsiTheme="minorHAnsi" w:cstheme="minorHAnsi"/>
          <w:color w:val="auto"/>
          <w:sz w:val="22"/>
          <w:szCs w:val="22"/>
        </w:rPr>
        <w:t>m</w:t>
      </w:r>
      <w:r w:rsidRPr="0022452B">
        <w:rPr>
          <w:rFonts w:asciiTheme="minorHAnsi" w:hAnsiTheme="minorHAnsi" w:cstheme="minorHAnsi"/>
          <w:color w:val="auto"/>
          <w:sz w:val="22"/>
          <w:szCs w:val="22"/>
          <w:vertAlign w:val="superscript"/>
        </w:rPr>
        <w:t xml:space="preserve">2 </w:t>
      </w:r>
      <w:r w:rsidRPr="0022452B">
        <w:rPr>
          <w:rFonts w:asciiTheme="minorHAnsi" w:hAnsiTheme="minorHAnsi" w:cstheme="minorHAnsi"/>
          <w:color w:val="auto"/>
          <w:sz w:val="22"/>
          <w:szCs w:val="22"/>
        </w:rPr>
        <w:t xml:space="preserve">(range +11 to -30).  This compared to the mean annual GFR-loss in a normal population of a similar age range, which is between 0.4 ± 3.6 and 1.8 ± 2.6 mL/min. </w:t>
      </w:r>
    </w:p>
    <w:p w14:paraId="256F52AC" w14:textId="77777777" w:rsidR="00671CE5" w:rsidRPr="0022452B" w:rsidRDefault="00671CE5" w:rsidP="00671CE5">
      <w:pPr>
        <w:autoSpaceDE w:val="0"/>
        <w:autoSpaceDN w:val="0"/>
        <w:adjustRightInd w:val="0"/>
        <w:spacing w:after="0" w:line="240" w:lineRule="auto"/>
        <w:ind w:left="426"/>
        <w:rPr>
          <w:rFonts w:asciiTheme="minorHAnsi" w:hAnsiTheme="minorHAnsi" w:cstheme="minorHAnsi"/>
          <w:color w:val="auto"/>
          <w:sz w:val="22"/>
          <w:szCs w:val="22"/>
        </w:rPr>
      </w:pPr>
    </w:p>
    <w:p w14:paraId="3AC35E56" w14:textId="5DC470F4" w:rsidR="00671CE5" w:rsidRPr="0022452B" w:rsidRDefault="00671CE5" w:rsidP="002260AF">
      <w:pPr>
        <w:autoSpaceDE w:val="0"/>
        <w:autoSpaceDN w:val="0"/>
        <w:adjustRightInd w:val="0"/>
        <w:spacing w:after="0" w:line="240" w:lineRule="auto"/>
        <w:ind w:left="426"/>
        <w:rPr>
          <w:rFonts w:asciiTheme="minorHAnsi" w:hAnsiTheme="minorHAnsi" w:cstheme="minorHAnsi"/>
          <w:color w:val="auto"/>
          <w:sz w:val="22"/>
          <w:szCs w:val="22"/>
        </w:rPr>
      </w:pPr>
      <w:r w:rsidRPr="0022452B">
        <w:rPr>
          <w:rFonts w:asciiTheme="minorHAnsi" w:hAnsiTheme="minorHAnsi" w:cstheme="minorHAnsi"/>
          <w:color w:val="auto"/>
          <w:sz w:val="22"/>
          <w:szCs w:val="22"/>
        </w:rPr>
        <w:t xml:space="preserve">During long-term follow-up (median 22 months), in </w:t>
      </w:r>
      <w:r w:rsidRPr="0022452B">
        <w:rPr>
          <w:rFonts w:asciiTheme="minorHAnsi" w:eastAsiaTheme="minorHAnsi" w:hAnsiTheme="minorHAnsi" w:cstheme="minorHAnsi"/>
          <w:color w:val="auto"/>
          <w:sz w:val="22"/>
          <w:szCs w:val="22"/>
          <w:lang w:val="en-AU"/>
        </w:rPr>
        <w:t>patients who received doses of 6</w:t>
      </w:r>
      <w:r w:rsidR="002260AF">
        <w:rPr>
          <w:rFonts w:asciiTheme="minorHAnsi" w:eastAsiaTheme="minorHAnsi" w:hAnsiTheme="minorHAnsi" w:cstheme="minorHAnsi"/>
          <w:color w:val="auto"/>
          <w:sz w:val="22"/>
          <w:szCs w:val="22"/>
          <w:lang w:val="en-AU"/>
        </w:rPr>
        <w:t> </w:t>
      </w:r>
      <w:r w:rsidRPr="0022452B">
        <w:rPr>
          <w:rFonts w:asciiTheme="minorHAnsi" w:eastAsia="AdvTT3713a231+20" w:hAnsiTheme="minorHAnsi" w:cstheme="minorHAnsi" w:hint="eastAsia"/>
          <w:color w:val="auto"/>
          <w:sz w:val="22"/>
          <w:szCs w:val="22"/>
          <w:lang w:val="en-AU"/>
        </w:rPr>
        <w:t>–</w:t>
      </w:r>
      <w:r w:rsidR="002260AF">
        <w:rPr>
          <w:rFonts w:asciiTheme="minorHAnsi" w:eastAsia="AdvTT3713a231+20" w:hAnsiTheme="minorHAnsi" w:cstheme="minorHAnsi"/>
          <w:color w:val="auto"/>
          <w:sz w:val="22"/>
          <w:szCs w:val="22"/>
          <w:lang w:val="en-AU"/>
        </w:rPr>
        <w:t> </w:t>
      </w:r>
      <w:r w:rsidRPr="0022452B">
        <w:rPr>
          <w:rFonts w:asciiTheme="minorHAnsi" w:eastAsiaTheme="minorHAnsi" w:hAnsiTheme="minorHAnsi" w:cstheme="minorHAnsi"/>
          <w:color w:val="auto"/>
          <w:sz w:val="22"/>
          <w:szCs w:val="22"/>
          <w:lang w:val="en-AU"/>
        </w:rPr>
        <w:t>12</w:t>
      </w:r>
      <w:r w:rsidR="002260AF">
        <w:rPr>
          <w:rFonts w:asciiTheme="minorHAnsi" w:eastAsiaTheme="minorHAnsi" w:hAnsiTheme="minorHAnsi" w:cstheme="minorHAnsi"/>
          <w:color w:val="auto"/>
          <w:sz w:val="22"/>
          <w:szCs w:val="22"/>
          <w:lang w:val="en-AU"/>
        </w:rPr>
        <w:t> </w:t>
      </w:r>
      <w:proofErr w:type="spellStart"/>
      <w:r w:rsidRPr="0022452B">
        <w:rPr>
          <w:rFonts w:asciiTheme="minorHAnsi" w:eastAsiaTheme="minorHAnsi" w:hAnsiTheme="minorHAnsi" w:cstheme="minorHAnsi"/>
          <w:color w:val="auto"/>
          <w:sz w:val="22"/>
          <w:szCs w:val="22"/>
          <w:lang w:val="en-AU"/>
        </w:rPr>
        <w:t>GBq</w:t>
      </w:r>
      <w:proofErr w:type="spellEnd"/>
      <w:r w:rsidRPr="0022452B">
        <w:rPr>
          <w:rFonts w:asciiTheme="minorHAnsi" w:eastAsiaTheme="minorHAnsi" w:hAnsiTheme="minorHAnsi" w:cstheme="minorHAnsi"/>
          <w:color w:val="auto"/>
          <w:sz w:val="22"/>
          <w:szCs w:val="22"/>
          <w:lang w:val="en-AU"/>
        </w:rPr>
        <w:t xml:space="preserve"> as an induction course consisting of four cycles separated by 6 </w:t>
      </w:r>
      <w:r w:rsidR="00695835" w:rsidRPr="0022452B">
        <w:rPr>
          <w:rFonts w:asciiTheme="minorHAnsi" w:eastAsiaTheme="minorHAnsi" w:hAnsiTheme="minorHAnsi" w:cstheme="minorHAnsi"/>
          <w:color w:val="auto"/>
          <w:sz w:val="22"/>
          <w:szCs w:val="22"/>
          <w:lang w:val="en-AU"/>
        </w:rPr>
        <w:t>-</w:t>
      </w:r>
      <w:r w:rsidRPr="0022452B">
        <w:rPr>
          <w:rFonts w:asciiTheme="minorHAnsi" w:eastAsiaTheme="minorHAnsi" w:hAnsiTheme="minorHAnsi" w:cstheme="minorHAnsi"/>
          <w:color w:val="auto"/>
          <w:sz w:val="22"/>
          <w:szCs w:val="22"/>
          <w:lang w:val="en-AU"/>
        </w:rPr>
        <w:t xml:space="preserve"> 8 weeks followed by one or two consolidation cycles in selected patients and one maintenance cycle as needed 12 </w:t>
      </w:r>
      <w:r w:rsidR="00695835" w:rsidRPr="0022452B">
        <w:rPr>
          <w:rFonts w:asciiTheme="minorHAnsi" w:eastAsia="AdvTT3713a231+20" w:hAnsiTheme="minorHAnsi" w:cstheme="minorHAnsi"/>
          <w:color w:val="auto"/>
          <w:sz w:val="22"/>
          <w:szCs w:val="22"/>
          <w:lang w:val="en-AU"/>
        </w:rPr>
        <w:t>-</w:t>
      </w:r>
      <w:r w:rsidRPr="0022452B">
        <w:rPr>
          <w:rFonts w:asciiTheme="minorHAnsi" w:eastAsia="AdvTT3713a231+20" w:hAnsiTheme="minorHAnsi" w:cstheme="minorHAnsi"/>
          <w:color w:val="auto"/>
          <w:sz w:val="22"/>
          <w:szCs w:val="22"/>
          <w:lang w:val="en-AU"/>
        </w:rPr>
        <w:t xml:space="preserve"> </w:t>
      </w:r>
      <w:r w:rsidRPr="0022452B">
        <w:rPr>
          <w:rFonts w:asciiTheme="minorHAnsi" w:eastAsiaTheme="minorHAnsi" w:hAnsiTheme="minorHAnsi" w:cstheme="minorHAnsi"/>
          <w:color w:val="auto"/>
          <w:sz w:val="22"/>
          <w:szCs w:val="22"/>
          <w:lang w:val="en-AU"/>
        </w:rPr>
        <w:t>18 months after induction,</w:t>
      </w:r>
      <w:r w:rsidRPr="0022452B">
        <w:rPr>
          <w:rFonts w:asciiTheme="minorHAnsi" w:hAnsiTheme="minorHAnsi" w:cstheme="minorHAnsi"/>
          <w:color w:val="auto"/>
          <w:sz w:val="22"/>
          <w:szCs w:val="22"/>
        </w:rPr>
        <w:t xml:space="preserve"> the mean rate of decline of GFR estimated in patients who had more than two GFR measurements (n=44) was 2.2 mL/min per year (95 % CI, 4.1 to 0.3 mL/min per year).</w:t>
      </w:r>
    </w:p>
    <w:p w14:paraId="146976E0" w14:textId="798BFD7B" w:rsidR="001A3992" w:rsidRPr="00B07007" w:rsidRDefault="001A3992" w:rsidP="00CF3CA1">
      <w:pPr>
        <w:pStyle w:val="Heading3"/>
        <w:rPr>
          <w:rFonts w:asciiTheme="minorHAnsi" w:hAnsiTheme="minorHAnsi" w:cstheme="minorHAnsi"/>
          <w:szCs w:val="22"/>
        </w:rPr>
      </w:pPr>
      <w:r w:rsidRPr="00B07007">
        <w:rPr>
          <w:rFonts w:asciiTheme="minorHAnsi" w:hAnsiTheme="minorHAnsi" w:cstheme="minorHAnsi"/>
          <w:szCs w:val="22"/>
        </w:rPr>
        <w:t>Use in the elderly</w:t>
      </w:r>
    </w:p>
    <w:p w14:paraId="653FA8B5" w14:textId="265B5BAC" w:rsidR="009C5C30" w:rsidRPr="00630DE2" w:rsidRDefault="009C5C30" w:rsidP="009C5C30">
      <w:pPr>
        <w:pStyle w:val="BodyText"/>
        <w:spacing w:before="1"/>
        <w:ind w:right="120"/>
        <w:rPr>
          <w:rFonts w:asciiTheme="minorHAnsi" w:hAnsiTheme="minorHAnsi" w:cstheme="minorHAnsi"/>
          <w:sz w:val="22"/>
        </w:rPr>
      </w:pPr>
      <w:r w:rsidRPr="00630DE2">
        <w:rPr>
          <w:rFonts w:asciiTheme="minorHAnsi" w:hAnsiTheme="minorHAnsi" w:cstheme="minorHAnsi"/>
          <w:sz w:val="22"/>
        </w:rPr>
        <w:t xml:space="preserve">Clinical experience using </w:t>
      </w:r>
      <w:r w:rsidR="003F2E60">
        <w:rPr>
          <w:rFonts w:asciiTheme="minorHAnsi" w:hAnsiTheme="minorHAnsi" w:cstheme="minorHAnsi"/>
          <w:sz w:val="22"/>
        </w:rPr>
        <w:t>l</w:t>
      </w:r>
      <w:r w:rsidR="003F2E60" w:rsidRPr="00B07007">
        <w:rPr>
          <w:rFonts w:asciiTheme="minorHAnsi" w:hAnsiTheme="minorHAnsi" w:cstheme="minorHAnsi"/>
          <w:sz w:val="22"/>
        </w:rPr>
        <w:t>utetium chloride</w:t>
      </w:r>
      <w:r w:rsidRPr="009C5C30">
        <w:rPr>
          <w:rFonts w:asciiTheme="minorHAnsi" w:hAnsiTheme="minorHAnsi" w:cstheme="minorHAnsi"/>
          <w:sz w:val="22"/>
          <w:vertAlign w:val="subscript"/>
        </w:rPr>
        <w:t xml:space="preserve"> </w:t>
      </w:r>
      <w:r w:rsidRPr="009C5C30">
        <w:rPr>
          <w:rFonts w:asciiTheme="minorHAnsi" w:hAnsiTheme="minorHAnsi" w:cstheme="minorHAnsi"/>
          <w:sz w:val="22"/>
        </w:rPr>
        <w:t>based PRRT</w:t>
      </w:r>
      <w:r w:rsidRPr="00630DE2">
        <w:rPr>
          <w:rFonts w:asciiTheme="minorHAnsi" w:hAnsiTheme="minorHAnsi" w:cstheme="minorHAnsi"/>
          <w:sz w:val="22"/>
        </w:rPr>
        <w:t xml:space="preserve"> has not identified differences in </w:t>
      </w:r>
      <w:r w:rsidRPr="00630DE2">
        <w:rPr>
          <w:rFonts w:asciiTheme="minorHAnsi" w:hAnsiTheme="minorHAnsi" w:cstheme="minorHAnsi"/>
          <w:sz w:val="22"/>
        </w:rPr>
        <w:lastRenderedPageBreak/>
        <w:t xml:space="preserve">responses between the elderly and younger patients. However, since increased risk of presenting </w:t>
      </w:r>
      <w:proofErr w:type="spellStart"/>
      <w:r w:rsidRPr="00630DE2">
        <w:rPr>
          <w:rFonts w:asciiTheme="minorHAnsi" w:hAnsiTheme="minorHAnsi" w:cstheme="minorHAnsi"/>
          <w:sz w:val="22"/>
        </w:rPr>
        <w:t>haematotoxicity</w:t>
      </w:r>
      <w:proofErr w:type="spellEnd"/>
      <w:r w:rsidRPr="00630DE2">
        <w:rPr>
          <w:rFonts w:asciiTheme="minorHAnsi" w:hAnsiTheme="minorHAnsi" w:cstheme="minorHAnsi"/>
          <w:sz w:val="22"/>
        </w:rPr>
        <w:t xml:space="preserve"> has been described in elderly patients (≥ 80 years old), a close follow up allowing for prompt dose adaptation (DMT) in this population is advisable.</w:t>
      </w:r>
    </w:p>
    <w:p w14:paraId="2D02355C" w14:textId="606560AB" w:rsidR="001A3992" w:rsidRPr="00B07007" w:rsidRDefault="001A3992" w:rsidP="00CF3CA1">
      <w:pPr>
        <w:pStyle w:val="Heading3"/>
        <w:rPr>
          <w:rFonts w:asciiTheme="minorHAnsi" w:hAnsiTheme="minorHAnsi" w:cstheme="minorHAnsi"/>
          <w:szCs w:val="22"/>
        </w:rPr>
      </w:pPr>
      <w:proofErr w:type="spellStart"/>
      <w:r w:rsidRPr="00B07007">
        <w:rPr>
          <w:rFonts w:asciiTheme="minorHAnsi" w:hAnsiTheme="minorHAnsi" w:cstheme="minorHAnsi"/>
          <w:szCs w:val="22"/>
        </w:rPr>
        <w:t>Paediatric</w:t>
      </w:r>
      <w:proofErr w:type="spellEnd"/>
      <w:r w:rsidRPr="00B07007">
        <w:rPr>
          <w:rFonts w:asciiTheme="minorHAnsi" w:hAnsiTheme="minorHAnsi" w:cstheme="minorHAnsi"/>
          <w:szCs w:val="22"/>
        </w:rPr>
        <w:t xml:space="preserve"> use</w:t>
      </w:r>
    </w:p>
    <w:p w14:paraId="2C3A6726" w14:textId="5232481B" w:rsidR="00123F3D" w:rsidRPr="00B07007" w:rsidRDefault="00184897" w:rsidP="00B2616E">
      <w:pPr>
        <w:rPr>
          <w:rFonts w:asciiTheme="minorHAnsi" w:hAnsiTheme="minorHAnsi" w:cstheme="minorHAnsi"/>
          <w:sz w:val="22"/>
          <w:szCs w:val="22"/>
        </w:rPr>
      </w:pPr>
      <w:r>
        <w:rPr>
          <w:rFonts w:asciiTheme="minorHAnsi" w:hAnsiTheme="minorHAnsi" w:cstheme="minorHAnsi"/>
          <w:sz w:val="22"/>
          <w:szCs w:val="22"/>
        </w:rPr>
        <w:t>No data available.</w:t>
      </w:r>
    </w:p>
    <w:p w14:paraId="48C5D6EC" w14:textId="0DC95F14" w:rsidR="001A3992" w:rsidRDefault="001A3992" w:rsidP="00CF3CA1">
      <w:pPr>
        <w:pStyle w:val="Heading3"/>
        <w:rPr>
          <w:rFonts w:asciiTheme="minorHAnsi" w:hAnsiTheme="minorHAnsi" w:cstheme="minorHAnsi"/>
          <w:szCs w:val="22"/>
        </w:rPr>
      </w:pPr>
      <w:r w:rsidRPr="00B07007">
        <w:rPr>
          <w:rFonts w:asciiTheme="minorHAnsi" w:hAnsiTheme="minorHAnsi" w:cstheme="minorHAnsi"/>
          <w:szCs w:val="22"/>
        </w:rPr>
        <w:t>Effects on laboratory tests</w:t>
      </w:r>
    </w:p>
    <w:p w14:paraId="5121C3DF" w14:textId="77777777" w:rsidR="00695835" w:rsidRPr="00B07007" w:rsidRDefault="00695835" w:rsidP="00695835">
      <w:pPr>
        <w:rPr>
          <w:rFonts w:asciiTheme="minorHAnsi" w:hAnsiTheme="minorHAnsi" w:cstheme="minorHAnsi"/>
          <w:sz w:val="22"/>
          <w:szCs w:val="22"/>
        </w:rPr>
      </w:pPr>
      <w:r>
        <w:rPr>
          <w:rFonts w:asciiTheme="minorHAnsi" w:hAnsiTheme="minorHAnsi" w:cstheme="minorHAnsi"/>
          <w:sz w:val="22"/>
          <w:szCs w:val="22"/>
        </w:rPr>
        <w:t>No data available.</w:t>
      </w:r>
    </w:p>
    <w:p w14:paraId="01E7B4D7" w14:textId="548D09C4" w:rsidR="0086152F" w:rsidRPr="00B07007" w:rsidRDefault="001A3992" w:rsidP="0086152F">
      <w:pPr>
        <w:pStyle w:val="Heading2"/>
        <w:rPr>
          <w:rFonts w:asciiTheme="minorHAnsi" w:hAnsiTheme="minorHAnsi" w:cstheme="minorHAnsi"/>
          <w:szCs w:val="22"/>
        </w:rPr>
      </w:pPr>
      <w:r w:rsidRPr="00B07007">
        <w:rPr>
          <w:rFonts w:asciiTheme="minorHAnsi" w:hAnsiTheme="minorHAnsi" w:cstheme="minorHAnsi"/>
          <w:szCs w:val="22"/>
        </w:rPr>
        <w:t>Interactions with other medicines and other forms of interactions</w:t>
      </w:r>
    </w:p>
    <w:p w14:paraId="40E26D1A" w14:textId="3F21EA76" w:rsidR="0086152F" w:rsidRPr="00B07007" w:rsidRDefault="0086152F" w:rsidP="00B2616E">
      <w:pPr>
        <w:rPr>
          <w:rFonts w:asciiTheme="minorHAnsi" w:hAnsiTheme="minorHAnsi" w:cstheme="minorHAnsi"/>
          <w:sz w:val="22"/>
          <w:szCs w:val="22"/>
        </w:rPr>
      </w:pPr>
      <w:r w:rsidRPr="00B07007">
        <w:rPr>
          <w:rFonts w:asciiTheme="minorHAnsi" w:hAnsiTheme="minorHAnsi" w:cstheme="minorHAnsi"/>
          <w:sz w:val="22"/>
          <w:szCs w:val="22"/>
        </w:rPr>
        <w:t xml:space="preserve">No interaction studies of </w:t>
      </w:r>
      <w:r w:rsidR="009C5C30" w:rsidRPr="009C5C30">
        <w:rPr>
          <w:rFonts w:asciiTheme="minorHAnsi" w:hAnsiTheme="minorHAnsi" w:cstheme="minorHAnsi"/>
          <w:sz w:val="22"/>
          <w:szCs w:val="22"/>
          <w:vertAlign w:val="superscript"/>
        </w:rPr>
        <w:t>177</w:t>
      </w:r>
      <w:r w:rsidR="009C5C30" w:rsidRPr="003C27C9">
        <w:rPr>
          <w:rFonts w:asciiTheme="minorHAnsi" w:hAnsiTheme="minorHAnsi" w:cstheme="minorHAnsi"/>
          <w:sz w:val="22"/>
          <w:szCs w:val="22"/>
        </w:rPr>
        <w:t>LuCl</w:t>
      </w:r>
      <w:r w:rsidR="009C5C30" w:rsidRPr="003C27C9">
        <w:rPr>
          <w:rFonts w:asciiTheme="minorHAnsi" w:hAnsiTheme="minorHAnsi" w:cstheme="minorHAnsi"/>
          <w:sz w:val="22"/>
          <w:szCs w:val="22"/>
          <w:vertAlign w:val="subscript"/>
        </w:rPr>
        <w:t>3</w:t>
      </w:r>
      <w:r w:rsidRPr="00B07007">
        <w:rPr>
          <w:rFonts w:asciiTheme="minorHAnsi" w:hAnsiTheme="minorHAnsi" w:cstheme="minorHAnsi"/>
          <w:sz w:val="22"/>
          <w:szCs w:val="22"/>
        </w:rPr>
        <w:t xml:space="preserve">with other </w:t>
      </w:r>
      <w:r w:rsidR="009C5C30">
        <w:rPr>
          <w:rFonts w:asciiTheme="minorHAnsi" w:hAnsiTheme="minorHAnsi" w:cstheme="minorHAnsi"/>
          <w:sz w:val="22"/>
          <w:szCs w:val="22"/>
        </w:rPr>
        <w:t>medicines</w:t>
      </w:r>
      <w:r w:rsidRPr="00B07007">
        <w:rPr>
          <w:rFonts w:asciiTheme="minorHAnsi" w:hAnsiTheme="minorHAnsi" w:cstheme="minorHAnsi"/>
          <w:sz w:val="22"/>
          <w:szCs w:val="22"/>
        </w:rPr>
        <w:t xml:space="preserve"> have been performed.</w:t>
      </w:r>
    </w:p>
    <w:p w14:paraId="18903AF4" w14:textId="542E2605" w:rsidR="005F42A9" w:rsidRPr="00B07007" w:rsidRDefault="009C5C30" w:rsidP="00B2616E">
      <w:pPr>
        <w:rPr>
          <w:rFonts w:asciiTheme="minorHAnsi" w:hAnsiTheme="minorHAnsi" w:cstheme="minorHAnsi"/>
          <w:sz w:val="22"/>
          <w:szCs w:val="22"/>
        </w:rPr>
      </w:pPr>
      <w:r w:rsidRPr="000270FC">
        <w:rPr>
          <w:rFonts w:asciiTheme="minorHAnsi" w:hAnsiTheme="minorHAnsi" w:cstheme="minorHAnsi"/>
          <w:sz w:val="22"/>
          <w:szCs w:val="22"/>
        </w:rPr>
        <w:t xml:space="preserve">A </w:t>
      </w:r>
      <w:r>
        <w:rPr>
          <w:rFonts w:asciiTheme="minorHAnsi" w:hAnsiTheme="minorHAnsi" w:cstheme="minorHAnsi"/>
          <w:sz w:val="22"/>
          <w:szCs w:val="22"/>
        </w:rPr>
        <w:t xml:space="preserve">clinical study which evaluated the effect of </w:t>
      </w:r>
      <w:r w:rsidRPr="000270FC">
        <w:rPr>
          <w:rFonts w:asciiTheme="minorHAnsi" w:hAnsiTheme="minorHAnsi" w:cstheme="minorHAnsi"/>
          <w:sz w:val="22"/>
          <w:szCs w:val="22"/>
        </w:rPr>
        <w:t xml:space="preserve">concomitant IV infusion of an amino acid solution (22.0 g of lysine and 16.8 g of arginine in 2 L </w:t>
      </w:r>
      <w:proofErr w:type="gramStart"/>
      <w:r w:rsidRPr="000270FC">
        <w:rPr>
          <w:rFonts w:asciiTheme="minorHAnsi" w:hAnsiTheme="minorHAnsi" w:cstheme="minorHAnsi"/>
          <w:sz w:val="22"/>
          <w:szCs w:val="22"/>
        </w:rPr>
        <w:t>solution, and</w:t>
      </w:r>
      <w:proofErr w:type="gramEnd"/>
      <w:r w:rsidRPr="000270FC">
        <w:rPr>
          <w:rFonts w:asciiTheme="minorHAnsi" w:hAnsiTheme="minorHAnsi" w:cstheme="minorHAnsi"/>
          <w:sz w:val="22"/>
          <w:szCs w:val="22"/>
        </w:rPr>
        <w:t xml:space="preserve"> containing smaller amounts of 18 other amino acids), with a dose of 7.4 </w:t>
      </w:r>
      <w:proofErr w:type="spellStart"/>
      <w:r w:rsidRPr="000270FC">
        <w:rPr>
          <w:rFonts w:asciiTheme="minorHAnsi" w:hAnsiTheme="minorHAnsi" w:cstheme="minorHAnsi"/>
          <w:sz w:val="22"/>
          <w:szCs w:val="22"/>
        </w:rPr>
        <w:t>GBq</w:t>
      </w:r>
      <w:proofErr w:type="spellEnd"/>
      <w:r w:rsidRPr="000270FC">
        <w:rPr>
          <w:rFonts w:asciiTheme="minorHAnsi" w:hAnsiTheme="minorHAnsi" w:cstheme="minorHAnsi"/>
          <w:sz w:val="22"/>
          <w:szCs w:val="22"/>
        </w:rPr>
        <w:t xml:space="preserve">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utetium chloride</w:t>
      </w:r>
      <w:r w:rsidR="00A44ED7">
        <w:rPr>
          <w:rFonts w:asciiTheme="minorHAnsi" w:hAnsiTheme="minorHAnsi" w:cstheme="minorHAnsi"/>
          <w:sz w:val="22"/>
          <w:szCs w:val="22"/>
          <w:vertAlign w:val="subscript"/>
        </w:rPr>
        <w:t xml:space="preserve"> </w:t>
      </w:r>
      <w:r w:rsidR="00A44ED7" w:rsidRPr="003C27C9">
        <w:rPr>
          <w:rFonts w:asciiTheme="minorHAnsi" w:hAnsiTheme="minorHAnsi" w:cstheme="minorHAnsi"/>
          <w:sz w:val="22"/>
          <w:szCs w:val="22"/>
        </w:rPr>
        <w:t>based PRRT</w:t>
      </w:r>
      <w:r w:rsidRPr="000270FC">
        <w:rPr>
          <w:rFonts w:asciiTheme="minorHAnsi" w:eastAsia="AdvTT7c3c51d9" w:hAnsiTheme="minorHAnsi" w:cstheme="minorHAnsi"/>
          <w:sz w:val="22"/>
          <w:szCs w:val="22"/>
        </w:rPr>
        <w:t>,</w:t>
      </w:r>
      <w:r w:rsidRPr="000270FC">
        <w:rPr>
          <w:rFonts w:asciiTheme="minorHAnsi" w:hAnsiTheme="minorHAnsi" w:cstheme="minorHAnsi"/>
          <w:sz w:val="22"/>
          <w:szCs w:val="22"/>
        </w:rPr>
        <w:t xml:space="preserve"> </w:t>
      </w:r>
      <w:r>
        <w:rPr>
          <w:rFonts w:asciiTheme="minorHAnsi" w:hAnsiTheme="minorHAnsi" w:cstheme="minorHAnsi"/>
          <w:sz w:val="22"/>
          <w:szCs w:val="22"/>
        </w:rPr>
        <w:t xml:space="preserve">found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utetium chloride</w:t>
      </w:r>
      <w:r w:rsidR="00A44ED7">
        <w:rPr>
          <w:rFonts w:asciiTheme="minorHAnsi" w:hAnsiTheme="minorHAnsi" w:cstheme="minorHAnsi"/>
          <w:sz w:val="22"/>
          <w:szCs w:val="22"/>
          <w:vertAlign w:val="subscript"/>
        </w:rPr>
        <w:t xml:space="preserve"> </w:t>
      </w:r>
      <w:r w:rsidR="00A44ED7" w:rsidRPr="003C27C9">
        <w:rPr>
          <w:rFonts w:asciiTheme="minorHAnsi" w:hAnsiTheme="minorHAnsi" w:cstheme="minorHAnsi"/>
          <w:sz w:val="22"/>
          <w:szCs w:val="22"/>
        </w:rPr>
        <w:t>based PRRT</w:t>
      </w:r>
      <w:r w:rsidR="00A44ED7" w:rsidRPr="000270FC" w:rsidDel="00A44ED7">
        <w:rPr>
          <w:rFonts w:asciiTheme="minorHAnsi" w:hAnsiTheme="minorHAnsi" w:cstheme="minorHAnsi"/>
          <w:sz w:val="22"/>
          <w:szCs w:val="22"/>
          <w:vertAlign w:val="superscript"/>
        </w:rPr>
        <w:t xml:space="preserve"> </w:t>
      </w:r>
      <w:r w:rsidRPr="000270FC">
        <w:rPr>
          <w:rFonts w:asciiTheme="minorHAnsi" w:hAnsiTheme="minorHAnsi" w:cstheme="minorHAnsi"/>
          <w:sz w:val="22"/>
          <w:szCs w:val="22"/>
        </w:rPr>
        <w:t>AUC</w:t>
      </w:r>
      <w:r w:rsidRPr="000270FC">
        <w:rPr>
          <w:rFonts w:asciiTheme="minorHAnsi" w:hAnsiTheme="minorHAnsi" w:cstheme="minorHAnsi"/>
          <w:sz w:val="22"/>
          <w:szCs w:val="22"/>
          <w:vertAlign w:val="subscript"/>
        </w:rPr>
        <w:t xml:space="preserve">Day15, </w:t>
      </w:r>
      <w:r w:rsidRPr="000270FC">
        <w:rPr>
          <w:rFonts w:asciiTheme="minorHAnsi" w:hAnsiTheme="minorHAnsi" w:cstheme="minorHAnsi"/>
          <w:sz w:val="22"/>
          <w:szCs w:val="22"/>
        </w:rPr>
        <w:t>decreased by a mean value of 12.6%.</w:t>
      </w:r>
    </w:p>
    <w:p w14:paraId="02C19BF2" w14:textId="77777777" w:rsidR="001A3992" w:rsidRPr="00B07007" w:rsidRDefault="001A3992" w:rsidP="00CF3CA1">
      <w:pPr>
        <w:pStyle w:val="Heading2"/>
        <w:rPr>
          <w:rFonts w:asciiTheme="minorHAnsi" w:hAnsiTheme="minorHAnsi" w:cstheme="minorHAnsi"/>
          <w:szCs w:val="22"/>
        </w:rPr>
      </w:pPr>
      <w:r w:rsidRPr="00B07007">
        <w:rPr>
          <w:rFonts w:asciiTheme="minorHAnsi" w:hAnsiTheme="minorHAnsi" w:cstheme="minorHAnsi"/>
          <w:szCs w:val="22"/>
        </w:rPr>
        <w:t xml:space="preserve">Fertility, pregnancy and lactation </w:t>
      </w:r>
    </w:p>
    <w:p w14:paraId="588844D1" w14:textId="1D5067B2" w:rsidR="001A3992" w:rsidRPr="00B07007" w:rsidRDefault="001A3992" w:rsidP="00CF3CA1">
      <w:pPr>
        <w:pStyle w:val="Heading3"/>
        <w:rPr>
          <w:rFonts w:asciiTheme="minorHAnsi" w:hAnsiTheme="minorHAnsi" w:cstheme="minorHAnsi"/>
          <w:szCs w:val="22"/>
        </w:rPr>
      </w:pPr>
      <w:r w:rsidRPr="00B07007">
        <w:rPr>
          <w:rFonts w:asciiTheme="minorHAnsi" w:hAnsiTheme="minorHAnsi" w:cstheme="minorHAnsi"/>
          <w:szCs w:val="22"/>
        </w:rPr>
        <w:t>Effects on fertility</w:t>
      </w:r>
    </w:p>
    <w:p w14:paraId="30A6D089" w14:textId="1048C785" w:rsidR="0086152F" w:rsidRPr="00B07007" w:rsidRDefault="00FB5DDC" w:rsidP="00547314">
      <w:pPr>
        <w:rPr>
          <w:rFonts w:asciiTheme="minorHAnsi" w:hAnsiTheme="minorHAnsi" w:cstheme="minorHAnsi"/>
          <w:sz w:val="22"/>
          <w:szCs w:val="22"/>
        </w:rPr>
      </w:pPr>
      <w:r>
        <w:rPr>
          <w:rFonts w:asciiTheme="minorHAnsi" w:hAnsiTheme="minorHAnsi" w:cstheme="minorHAnsi"/>
          <w:sz w:val="22"/>
          <w:szCs w:val="22"/>
        </w:rPr>
        <w:t>No data available.</w:t>
      </w:r>
    </w:p>
    <w:p w14:paraId="7EC4DEB7" w14:textId="58730805" w:rsidR="001A3992" w:rsidRPr="00B07007" w:rsidRDefault="001A3992" w:rsidP="00CF3CA1">
      <w:pPr>
        <w:pStyle w:val="Heading3"/>
        <w:rPr>
          <w:rFonts w:asciiTheme="minorHAnsi" w:hAnsiTheme="minorHAnsi" w:cstheme="minorHAnsi"/>
          <w:szCs w:val="22"/>
        </w:rPr>
      </w:pPr>
      <w:r w:rsidRPr="00B07007">
        <w:rPr>
          <w:rFonts w:asciiTheme="minorHAnsi" w:hAnsiTheme="minorHAnsi" w:cstheme="minorHAnsi"/>
          <w:szCs w:val="22"/>
        </w:rPr>
        <w:t xml:space="preserve">Use in pregnancy </w:t>
      </w:r>
      <w:r w:rsidR="00497C85" w:rsidRPr="00B07007">
        <w:rPr>
          <w:rFonts w:asciiTheme="minorHAnsi" w:hAnsiTheme="minorHAnsi" w:cstheme="minorHAnsi"/>
          <w:szCs w:val="22"/>
        </w:rPr>
        <w:t xml:space="preserve">– Pregnancy Category </w:t>
      </w:r>
      <w:r w:rsidR="0039678C" w:rsidRPr="00B07007">
        <w:rPr>
          <w:rFonts w:asciiTheme="minorHAnsi" w:hAnsiTheme="minorHAnsi" w:cstheme="minorHAnsi"/>
          <w:szCs w:val="22"/>
        </w:rPr>
        <w:t>X</w:t>
      </w:r>
    </w:p>
    <w:p w14:paraId="7E8DF2EB" w14:textId="7EA019B1" w:rsidR="00AD0DA5" w:rsidRPr="00B07007" w:rsidRDefault="00AD0DA5" w:rsidP="00B2616E">
      <w:pPr>
        <w:rPr>
          <w:rFonts w:asciiTheme="minorHAnsi" w:hAnsiTheme="minorHAnsi" w:cstheme="minorHAnsi"/>
          <w:sz w:val="22"/>
          <w:szCs w:val="22"/>
        </w:rPr>
      </w:pPr>
      <w:r w:rsidRPr="00B07007">
        <w:rPr>
          <w:rFonts w:asciiTheme="minorHAnsi" w:hAnsiTheme="minorHAnsi" w:cstheme="minorHAnsi"/>
          <w:sz w:val="22"/>
          <w:szCs w:val="22"/>
        </w:rPr>
        <w:t xml:space="preserve">When an administration of radiopharmaceuticals to a woman of childbearing potential is intended, it is important to determine </w:t>
      </w:r>
      <w:proofErr w:type="gramStart"/>
      <w:r w:rsidRPr="00B07007">
        <w:rPr>
          <w:rFonts w:asciiTheme="minorHAnsi" w:hAnsiTheme="minorHAnsi" w:cstheme="minorHAnsi"/>
          <w:sz w:val="22"/>
          <w:szCs w:val="22"/>
        </w:rPr>
        <w:t>whether or not</w:t>
      </w:r>
      <w:proofErr w:type="gramEnd"/>
      <w:r w:rsidRPr="00B07007">
        <w:rPr>
          <w:rFonts w:asciiTheme="minorHAnsi" w:hAnsiTheme="minorHAnsi" w:cstheme="minorHAnsi"/>
          <w:sz w:val="22"/>
          <w:szCs w:val="22"/>
        </w:rPr>
        <w:t xml:space="preserve"> she is pregnant. Any woman who has missed a period should be assumed to be pregnant until proven otherwise. If in doubt about her potential pregnancy (if the woman has missed a period, if the period is very irregular, etc.), alternative techniques not using </w:t>
      </w:r>
      <w:proofErr w:type="spellStart"/>
      <w:r w:rsidRPr="00B07007">
        <w:rPr>
          <w:rFonts w:asciiTheme="minorHAnsi" w:hAnsiTheme="minorHAnsi" w:cstheme="minorHAnsi"/>
          <w:sz w:val="22"/>
          <w:szCs w:val="22"/>
        </w:rPr>
        <w:t>ionising</w:t>
      </w:r>
      <w:proofErr w:type="spellEnd"/>
      <w:r w:rsidRPr="00B07007">
        <w:rPr>
          <w:rFonts w:asciiTheme="minorHAnsi" w:hAnsiTheme="minorHAnsi" w:cstheme="minorHAnsi"/>
          <w:sz w:val="22"/>
          <w:szCs w:val="22"/>
        </w:rPr>
        <w:t xml:space="preserve"> radiation (if there are any) should be offered to the patient. Before the use of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based PRRT</w:t>
      </w:r>
      <w:r w:rsidRPr="00B07007">
        <w:rPr>
          <w:rFonts w:asciiTheme="minorHAnsi" w:hAnsiTheme="minorHAnsi" w:cstheme="minorHAnsi"/>
          <w:sz w:val="22"/>
          <w:szCs w:val="22"/>
        </w:rPr>
        <w:t>, pregnancy should be excluded using an adequate/validated test.</w:t>
      </w:r>
    </w:p>
    <w:p w14:paraId="305E0FD2" w14:textId="6078EE03" w:rsidR="00F83545" w:rsidRDefault="0086152F" w:rsidP="00B2616E">
      <w:pPr>
        <w:rPr>
          <w:rFonts w:asciiTheme="minorHAnsi" w:hAnsiTheme="minorHAnsi" w:cstheme="minorHAnsi"/>
          <w:sz w:val="22"/>
          <w:szCs w:val="22"/>
        </w:rPr>
      </w:pPr>
      <w:r w:rsidRPr="00B07007">
        <w:rPr>
          <w:rFonts w:asciiTheme="minorHAnsi" w:hAnsiTheme="minorHAnsi" w:cstheme="minorHAnsi"/>
          <w:sz w:val="22"/>
          <w:szCs w:val="22"/>
        </w:rPr>
        <w:t xml:space="preserve">The use of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 xml:space="preserve">based PRRT </w:t>
      </w:r>
      <w:r w:rsidRPr="00B07007">
        <w:rPr>
          <w:rFonts w:asciiTheme="minorHAnsi" w:hAnsiTheme="minorHAnsi" w:cstheme="minorHAnsi"/>
          <w:sz w:val="22"/>
          <w:szCs w:val="22"/>
        </w:rPr>
        <w:t>is contraindicated during established or</w:t>
      </w:r>
      <w:r w:rsidR="006F178F" w:rsidRPr="00B07007">
        <w:rPr>
          <w:rFonts w:asciiTheme="minorHAnsi" w:hAnsiTheme="minorHAnsi" w:cstheme="minorHAnsi"/>
          <w:sz w:val="22"/>
          <w:szCs w:val="22"/>
        </w:rPr>
        <w:t xml:space="preserve"> </w:t>
      </w:r>
      <w:r w:rsidRPr="00B07007">
        <w:rPr>
          <w:rFonts w:asciiTheme="minorHAnsi" w:hAnsiTheme="minorHAnsi" w:cstheme="minorHAnsi"/>
          <w:sz w:val="22"/>
          <w:szCs w:val="22"/>
        </w:rPr>
        <w:t>suspected pregnancy or when pregnancy has not been excluded due to the risk of ionizing radiation to the fetus (see section 4.3</w:t>
      </w:r>
      <w:r w:rsidR="00BF470F" w:rsidRPr="00B07007">
        <w:rPr>
          <w:rFonts w:asciiTheme="minorHAnsi" w:hAnsiTheme="minorHAnsi" w:cstheme="minorHAnsi"/>
          <w:sz w:val="22"/>
          <w:szCs w:val="22"/>
        </w:rPr>
        <w:t xml:space="preserve"> Contraindications</w:t>
      </w:r>
      <w:r w:rsidRPr="00B07007">
        <w:rPr>
          <w:rFonts w:asciiTheme="minorHAnsi" w:hAnsiTheme="minorHAnsi" w:cstheme="minorHAnsi"/>
          <w:sz w:val="22"/>
          <w:szCs w:val="22"/>
        </w:rPr>
        <w:t>).</w:t>
      </w:r>
    </w:p>
    <w:p w14:paraId="1A4FD118" w14:textId="77777777" w:rsidR="009A3E59" w:rsidRPr="00B07007" w:rsidRDefault="009A3E59" w:rsidP="00B2616E">
      <w:pPr>
        <w:rPr>
          <w:rFonts w:asciiTheme="minorHAnsi" w:hAnsiTheme="minorHAnsi" w:cstheme="minorHAnsi"/>
          <w:sz w:val="22"/>
          <w:szCs w:val="22"/>
        </w:rPr>
      </w:pPr>
    </w:p>
    <w:p w14:paraId="61A10CB0" w14:textId="44AE57CE" w:rsidR="001A3992" w:rsidRPr="00B07007" w:rsidRDefault="001A3992" w:rsidP="00CF3CA1">
      <w:pPr>
        <w:pStyle w:val="Heading3"/>
        <w:rPr>
          <w:rFonts w:asciiTheme="minorHAnsi" w:hAnsiTheme="minorHAnsi" w:cstheme="minorHAnsi"/>
          <w:szCs w:val="22"/>
        </w:rPr>
      </w:pPr>
      <w:r w:rsidRPr="00B07007">
        <w:rPr>
          <w:rFonts w:asciiTheme="minorHAnsi" w:hAnsiTheme="minorHAnsi" w:cstheme="minorHAnsi"/>
          <w:szCs w:val="22"/>
        </w:rPr>
        <w:lastRenderedPageBreak/>
        <w:t xml:space="preserve">Use in lactation. </w:t>
      </w:r>
    </w:p>
    <w:p w14:paraId="6F6B567B" w14:textId="42762207" w:rsidR="0086152F" w:rsidRPr="00B07007" w:rsidRDefault="009C5C30" w:rsidP="00B2616E">
      <w:pPr>
        <w:rPr>
          <w:rFonts w:asciiTheme="minorHAnsi" w:hAnsiTheme="minorHAnsi" w:cstheme="minorHAnsi"/>
          <w:sz w:val="22"/>
          <w:szCs w:val="22"/>
        </w:rPr>
      </w:pPr>
      <w:r w:rsidRPr="0022452B">
        <w:rPr>
          <w:rFonts w:asciiTheme="minorHAnsi" w:hAnsiTheme="minorHAnsi" w:cstheme="minorHAnsi"/>
          <w:color w:val="242424"/>
          <w:sz w:val="22"/>
          <w:szCs w:val="22"/>
          <w:shd w:val="clear" w:color="auto" w:fill="FFFFFF"/>
        </w:rPr>
        <w:t>The effects in the nursing infant are unknown.</w:t>
      </w:r>
      <w:r>
        <w:rPr>
          <w:rFonts w:asciiTheme="minorHAnsi" w:hAnsiTheme="minorHAnsi" w:cstheme="minorHAnsi"/>
          <w:color w:val="242424"/>
          <w:sz w:val="22"/>
          <w:szCs w:val="22"/>
          <w:shd w:val="clear" w:color="auto" w:fill="FFFFFF"/>
        </w:rPr>
        <w:t xml:space="preserve"> </w:t>
      </w:r>
      <w:r w:rsidR="0086152F" w:rsidRPr="00B07007">
        <w:rPr>
          <w:rFonts w:asciiTheme="minorHAnsi" w:hAnsiTheme="minorHAnsi" w:cstheme="minorHAnsi"/>
          <w:sz w:val="22"/>
          <w:szCs w:val="22"/>
        </w:rPr>
        <w:t xml:space="preserve">Before administering radiopharmaceuticals to a mother who is breastfeeding, consideration should be given to the possibility of delaying the administration of radionuclide until the mother has ceased breastfeeding, and to what is the most appropriate choice of radiopharmaceuticals, bearing in mind the secretion of activity in breast milk. If the administration is considered necessary, breastfeeding should be </w:t>
      </w:r>
      <w:proofErr w:type="gramStart"/>
      <w:r w:rsidR="0086152F" w:rsidRPr="00B07007">
        <w:rPr>
          <w:rFonts w:asciiTheme="minorHAnsi" w:hAnsiTheme="minorHAnsi" w:cstheme="minorHAnsi"/>
          <w:sz w:val="22"/>
          <w:szCs w:val="22"/>
        </w:rPr>
        <w:t>interrupted</w:t>
      </w:r>
      <w:proofErr w:type="gramEnd"/>
      <w:r w:rsidR="0086152F" w:rsidRPr="00B07007">
        <w:rPr>
          <w:rFonts w:asciiTheme="minorHAnsi" w:hAnsiTheme="minorHAnsi" w:cstheme="minorHAnsi"/>
          <w:sz w:val="22"/>
          <w:szCs w:val="22"/>
        </w:rPr>
        <w:t xml:space="preserve"> and the expressed feeds discarded.</w:t>
      </w:r>
    </w:p>
    <w:p w14:paraId="7991163A" w14:textId="2DFAE543" w:rsidR="001A6900" w:rsidRPr="00B07007" w:rsidRDefault="001A3992" w:rsidP="00B93C1C">
      <w:pPr>
        <w:pStyle w:val="Heading2"/>
        <w:rPr>
          <w:rFonts w:asciiTheme="minorHAnsi" w:hAnsiTheme="minorHAnsi" w:cstheme="minorHAnsi"/>
          <w:szCs w:val="22"/>
        </w:rPr>
      </w:pPr>
      <w:r w:rsidRPr="00B07007">
        <w:rPr>
          <w:rFonts w:asciiTheme="minorHAnsi" w:hAnsiTheme="minorHAnsi" w:cstheme="minorHAnsi"/>
          <w:szCs w:val="22"/>
        </w:rPr>
        <w:t xml:space="preserve">Effects on ability to drive and use machines </w:t>
      </w:r>
    </w:p>
    <w:p w14:paraId="4DC77507" w14:textId="39440534" w:rsidR="001A6900" w:rsidRPr="00B07007" w:rsidRDefault="001A6900" w:rsidP="00B2616E">
      <w:pPr>
        <w:rPr>
          <w:rFonts w:asciiTheme="minorHAnsi" w:hAnsiTheme="minorHAnsi" w:cstheme="minorHAnsi"/>
          <w:sz w:val="22"/>
          <w:szCs w:val="22"/>
        </w:rPr>
      </w:pPr>
      <w:r w:rsidRPr="00B07007">
        <w:rPr>
          <w:rFonts w:asciiTheme="minorHAnsi" w:hAnsiTheme="minorHAnsi" w:cstheme="minorHAnsi"/>
          <w:sz w:val="22"/>
          <w:szCs w:val="22"/>
        </w:rPr>
        <w:t xml:space="preserve">Effects on ability to drive and to use machines </w:t>
      </w:r>
      <w:r w:rsidR="002260AF">
        <w:rPr>
          <w:rFonts w:asciiTheme="minorHAnsi" w:hAnsiTheme="minorHAnsi" w:cstheme="minorHAnsi"/>
          <w:sz w:val="22"/>
          <w:szCs w:val="22"/>
        </w:rPr>
        <w:t xml:space="preserve">have not been studied for lutetium chloride.  For effects on ability to drive and use machines </w:t>
      </w:r>
      <w:r w:rsidRPr="00B07007">
        <w:rPr>
          <w:rFonts w:asciiTheme="minorHAnsi" w:hAnsiTheme="minorHAnsi" w:cstheme="minorHAnsi"/>
          <w:sz w:val="22"/>
          <w:szCs w:val="22"/>
        </w:rPr>
        <w:t xml:space="preserve">following treatment by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based PRRT</w:t>
      </w:r>
      <w:r w:rsidRPr="00B07007">
        <w:rPr>
          <w:rFonts w:asciiTheme="minorHAnsi" w:hAnsiTheme="minorHAnsi" w:cstheme="minorHAnsi"/>
          <w:sz w:val="22"/>
          <w:szCs w:val="22"/>
        </w:rPr>
        <w:t xml:space="preserve"> </w:t>
      </w:r>
      <w:r w:rsidR="002260AF">
        <w:rPr>
          <w:rFonts w:asciiTheme="minorHAnsi" w:hAnsiTheme="minorHAnsi" w:cstheme="minorHAnsi"/>
          <w:sz w:val="22"/>
          <w:szCs w:val="22"/>
        </w:rPr>
        <w:t>refer to</w:t>
      </w:r>
      <w:r w:rsidRPr="00B07007">
        <w:rPr>
          <w:rFonts w:asciiTheme="minorHAnsi" w:hAnsiTheme="minorHAnsi" w:cstheme="minorHAnsi"/>
          <w:sz w:val="22"/>
          <w:szCs w:val="22"/>
        </w:rPr>
        <w:t xml:space="preserve"> the </w:t>
      </w:r>
      <w:r w:rsidR="00DC6069" w:rsidRPr="00B07007">
        <w:rPr>
          <w:rFonts w:asciiTheme="minorHAnsi" w:hAnsiTheme="minorHAnsi" w:cstheme="minorHAnsi"/>
          <w:sz w:val="22"/>
          <w:szCs w:val="22"/>
        </w:rPr>
        <w:t>Product Information</w:t>
      </w:r>
      <w:r w:rsidRPr="00B07007">
        <w:rPr>
          <w:rFonts w:asciiTheme="minorHAnsi" w:hAnsiTheme="minorHAnsi" w:cstheme="minorHAnsi"/>
          <w:sz w:val="22"/>
          <w:szCs w:val="22"/>
        </w:rPr>
        <w:t xml:space="preserve"> of the medicinal product to be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w:t>
      </w:r>
    </w:p>
    <w:p w14:paraId="1595AAD7" w14:textId="2630882E" w:rsidR="001A3992" w:rsidRPr="00B07007" w:rsidRDefault="001A3992" w:rsidP="00CF3CA1">
      <w:pPr>
        <w:pStyle w:val="Heading2"/>
        <w:rPr>
          <w:rFonts w:asciiTheme="minorHAnsi" w:hAnsiTheme="minorHAnsi" w:cstheme="minorHAnsi"/>
          <w:szCs w:val="22"/>
        </w:rPr>
      </w:pPr>
      <w:r w:rsidRPr="00B07007">
        <w:rPr>
          <w:rFonts w:asciiTheme="minorHAnsi" w:hAnsiTheme="minorHAnsi" w:cstheme="minorHAnsi"/>
          <w:szCs w:val="22"/>
        </w:rPr>
        <w:t>Adverse effects (Undesirable effects)</w:t>
      </w:r>
    </w:p>
    <w:p w14:paraId="0023E53A" w14:textId="77777777" w:rsidR="00B70F62" w:rsidRDefault="00B70F62" w:rsidP="00B70F62">
      <w:pPr>
        <w:rPr>
          <w:rFonts w:asciiTheme="minorHAnsi" w:hAnsiTheme="minorHAnsi" w:cstheme="minorHAnsi"/>
          <w:sz w:val="22"/>
          <w:szCs w:val="22"/>
        </w:rPr>
      </w:pPr>
      <w:r>
        <w:rPr>
          <w:rFonts w:asciiTheme="minorHAnsi" w:hAnsiTheme="minorHAnsi" w:cstheme="minorHAnsi"/>
          <w:sz w:val="22"/>
          <w:szCs w:val="22"/>
        </w:rPr>
        <w:t>I</w:t>
      </w:r>
      <w:r w:rsidRPr="00940FB6">
        <w:rPr>
          <w:rFonts w:asciiTheme="minorHAnsi" w:hAnsiTheme="minorHAnsi" w:cstheme="minorHAnsi"/>
          <w:sz w:val="22"/>
          <w:szCs w:val="22"/>
        </w:rPr>
        <w:t xml:space="preserve">njection of </w:t>
      </w:r>
      <w:r>
        <w:rPr>
          <w:rFonts w:asciiTheme="minorHAnsi" w:hAnsiTheme="minorHAnsi" w:cstheme="minorHAnsi"/>
          <w:sz w:val="22"/>
          <w:szCs w:val="22"/>
        </w:rPr>
        <w:t>l</w:t>
      </w:r>
      <w:r w:rsidRPr="00B07007">
        <w:rPr>
          <w:rFonts w:asciiTheme="minorHAnsi" w:hAnsiTheme="minorHAnsi" w:cstheme="minorHAnsi"/>
          <w:sz w:val="22"/>
          <w:szCs w:val="22"/>
        </w:rPr>
        <w:t>utetium chloride</w:t>
      </w:r>
      <w:r w:rsidRPr="00940FB6">
        <w:rPr>
          <w:rFonts w:asciiTheme="minorHAnsi" w:hAnsiTheme="minorHAnsi" w:cstheme="minorHAnsi"/>
          <w:sz w:val="22"/>
          <w:szCs w:val="22"/>
        </w:rPr>
        <w:t xml:space="preserve"> in animals has produced insoluble precipitates at the site of injection.  It is uncertain whether this effect is directly related to the chloride salt, or low pH required to check the radionuclide in solution. </w:t>
      </w:r>
    </w:p>
    <w:p w14:paraId="7B144FD7" w14:textId="4A2BB3B7" w:rsidR="00B93C1C" w:rsidRDefault="001333B2" w:rsidP="001333B2">
      <w:pPr>
        <w:rPr>
          <w:rFonts w:asciiTheme="minorHAnsi" w:hAnsiTheme="minorHAnsi" w:cstheme="minorHAnsi"/>
          <w:color w:val="auto"/>
          <w:sz w:val="22"/>
          <w:szCs w:val="22"/>
        </w:rPr>
      </w:pPr>
      <w:r>
        <w:rPr>
          <w:rFonts w:asciiTheme="minorHAnsi" w:hAnsiTheme="minorHAnsi" w:cstheme="minorHAnsi"/>
          <w:sz w:val="22"/>
          <w:szCs w:val="22"/>
        </w:rPr>
        <w:t>Lutetium chloride</w:t>
      </w:r>
      <w:r w:rsidRPr="001333B2">
        <w:rPr>
          <w:rFonts w:asciiTheme="minorHAnsi" w:hAnsiTheme="minorHAnsi" w:cstheme="minorHAnsi"/>
          <w:sz w:val="22"/>
          <w:szCs w:val="22"/>
        </w:rPr>
        <w:t xml:space="preserve"> has no therapeutic application in clinical medicine.  It is intended to be used only when bound to a specific biological carrier as part of PRRT.</w:t>
      </w:r>
      <w:r>
        <w:rPr>
          <w:rFonts w:asciiTheme="minorHAnsi" w:hAnsiTheme="minorHAnsi" w:cstheme="minorHAnsi"/>
          <w:sz w:val="22"/>
          <w:szCs w:val="22"/>
        </w:rPr>
        <w:t xml:space="preserve">  </w:t>
      </w:r>
      <w:r w:rsidRPr="001333B2">
        <w:rPr>
          <w:rFonts w:asciiTheme="minorHAnsi" w:hAnsiTheme="minorHAnsi" w:cstheme="minorHAnsi"/>
          <w:sz w:val="22"/>
          <w:szCs w:val="22"/>
        </w:rPr>
        <w:t xml:space="preserve">Consequently, </w:t>
      </w:r>
      <w:r>
        <w:rPr>
          <w:rFonts w:asciiTheme="minorHAnsi" w:hAnsiTheme="minorHAnsi" w:cstheme="minorHAnsi"/>
          <w:sz w:val="22"/>
          <w:szCs w:val="22"/>
        </w:rPr>
        <w:t>a</w:t>
      </w:r>
      <w:r w:rsidRPr="00B07007">
        <w:rPr>
          <w:rFonts w:asciiTheme="minorHAnsi" w:hAnsiTheme="minorHAnsi" w:cstheme="minorHAnsi"/>
          <w:sz w:val="22"/>
          <w:szCs w:val="22"/>
        </w:rPr>
        <w:t xml:space="preserve">dverse </w:t>
      </w:r>
      <w:r w:rsidR="00B93C1C" w:rsidRPr="00B07007">
        <w:rPr>
          <w:rFonts w:asciiTheme="minorHAnsi" w:hAnsiTheme="minorHAnsi" w:cstheme="minorHAnsi"/>
          <w:sz w:val="22"/>
          <w:szCs w:val="22"/>
        </w:rPr>
        <w:t xml:space="preserve">reactions following </w:t>
      </w:r>
      <w:r w:rsidR="00DD3C13" w:rsidRPr="00D725EB">
        <w:rPr>
          <w:rFonts w:asciiTheme="minorHAnsi" w:hAnsiTheme="minorHAnsi" w:cstheme="minorHAnsi"/>
          <w:color w:val="auto"/>
          <w:sz w:val="22"/>
          <w:szCs w:val="22"/>
        </w:rPr>
        <w:t>lutetium chloride</w:t>
      </w:r>
      <w:r w:rsidR="00DD3C13" w:rsidRPr="00D725EB">
        <w:rPr>
          <w:rFonts w:asciiTheme="minorHAnsi" w:hAnsiTheme="minorHAnsi" w:cstheme="minorHAnsi"/>
          <w:color w:val="auto"/>
          <w:sz w:val="22"/>
          <w:szCs w:val="22"/>
          <w:vertAlign w:val="subscript"/>
        </w:rPr>
        <w:t xml:space="preserve"> </w:t>
      </w:r>
      <w:r w:rsidR="00DD3C13" w:rsidRPr="00D725EB">
        <w:rPr>
          <w:rFonts w:asciiTheme="minorHAnsi" w:hAnsiTheme="minorHAnsi" w:cstheme="minorHAnsi"/>
          <w:color w:val="auto"/>
          <w:sz w:val="22"/>
          <w:szCs w:val="22"/>
        </w:rPr>
        <w:t xml:space="preserve">based PRRT </w:t>
      </w:r>
      <w:r w:rsidR="00B93C1C" w:rsidRPr="0022452B">
        <w:rPr>
          <w:rFonts w:asciiTheme="minorHAnsi" w:hAnsiTheme="minorHAnsi" w:cstheme="minorHAnsi"/>
          <w:color w:val="auto"/>
          <w:sz w:val="22"/>
          <w:szCs w:val="22"/>
        </w:rPr>
        <w:t xml:space="preserve">will be dependent on the specific </w:t>
      </w:r>
      <w:r w:rsidRPr="0022452B">
        <w:rPr>
          <w:rFonts w:asciiTheme="minorHAnsi" w:hAnsiTheme="minorHAnsi" w:cstheme="minorHAnsi"/>
          <w:color w:val="auto"/>
          <w:sz w:val="22"/>
          <w:szCs w:val="22"/>
        </w:rPr>
        <w:t>carrier molecule</w:t>
      </w:r>
      <w:r w:rsidR="00B93C1C" w:rsidRPr="0022452B">
        <w:rPr>
          <w:rFonts w:asciiTheme="minorHAnsi" w:hAnsiTheme="minorHAnsi" w:cstheme="minorHAnsi"/>
          <w:color w:val="auto"/>
          <w:sz w:val="22"/>
          <w:szCs w:val="22"/>
        </w:rPr>
        <w:t xml:space="preserve"> being used. </w:t>
      </w:r>
    </w:p>
    <w:p w14:paraId="185A3646" w14:textId="281C838E" w:rsidR="00F90541" w:rsidRPr="00D725EB" w:rsidRDefault="00F90541" w:rsidP="00F90541">
      <w:pPr>
        <w:autoSpaceDE w:val="0"/>
        <w:autoSpaceDN w:val="0"/>
        <w:adjustRightInd w:val="0"/>
        <w:spacing w:after="0"/>
        <w:rPr>
          <w:rFonts w:asciiTheme="minorHAnsi" w:eastAsia="OTNEJMQuadraat" w:hAnsiTheme="minorHAnsi" w:cstheme="minorHAnsi"/>
          <w:color w:val="auto"/>
          <w:sz w:val="22"/>
          <w:szCs w:val="22"/>
        </w:rPr>
      </w:pPr>
      <w:r w:rsidRPr="00D725EB">
        <w:rPr>
          <w:rFonts w:asciiTheme="minorHAnsi" w:eastAsia="OTNEJMQuadraat" w:hAnsiTheme="minorHAnsi" w:cstheme="minorHAnsi"/>
          <w:color w:val="auto"/>
          <w:sz w:val="22"/>
          <w:szCs w:val="22"/>
        </w:rPr>
        <w:t xml:space="preserve">The most common treatment emergent adverse events (TEAE) among patients treated with </w:t>
      </w:r>
      <w:r w:rsidR="00A44ED7" w:rsidRPr="00D725EB">
        <w:rPr>
          <w:rFonts w:asciiTheme="minorHAnsi" w:hAnsiTheme="minorHAnsi" w:cstheme="minorHAnsi"/>
          <w:color w:val="auto"/>
          <w:sz w:val="22"/>
          <w:szCs w:val="22"/>
        </w:rPr>
        <w:t>lutetium chloride</w:t>
      </w:r>
      <w:r w:rsidR="00A44ED7" w:rsidRPr="00D725EB">
        <w:rPr>
          <w:rFonts w:asciiTheme="minorHAnsi" w:hAnsiTheme="minorHAnsi" w:cstheme="minorHAnsi"/>
          <w:color w:val="auto"/>
          <w:sz w:val="22"/>
          <w:szCs w:val="22"/>
          <w:vertAlign w:val="subscript"/>
        </w:rPr>
        <w:t xml:space="preserve"> </w:t>
      </w:r>
      <w:r w:rsidR="00A44ED7" w:rsidRPr="00D725EB">
        <w:rPr>
          <w:rFonts w:asciiTheme="minorHAnsi" w:hAnsiTheme="minorHAnsi" w:cstheme="minorHAnsi"/>
          <w:color w:val="auto"/>
          <w:sz w:val="22"/>
          <w:szCs w:val="22"/>
        </w:rPr>
        <w:t>based PRRT</w:t>
      </w:r>
      <w:r w:rsidR="00A44ED7" w:rsidRPr="00D725EB" w:rsidDel="00A44ED7">
        <w:rPr>
          <w:rFonts w:asciiTheme="minorHAnsi" w:eastAsia="OTNEJMQuadraat" w:hAnsiTheme="minorHAnsi" w:cstheme="minorHAnsi"/>
          <w:color w:val="auto"/>
          <w:sz w:val="22"/>
          <w:szCs w:val="22"/>
          <w:vertAlign w:val="superscript"/>
        </w:rPr>
        <w:t xml:space="preserve"> </w:t>
      </w:r>
      <w:r w:rsidRPr="00D725EB">
        <w:rPr>
          <w:rFonts w:asciiTheme="minorHAnsi" w:eastAsia="OTNEJMQuadraat" w:hAnsiTheme="minorHAnsi" w:cstheme="minorHAnsi"/>
          <w:color w:val="auto"/>
          <w:sz w:val="22"/>
          <w:szCs w:val="22"/>
        </w:rPr>
        <w:t xml:space="preserve">were nausea [59%] and vomiting [47%]. Other common adverse events include fatigue or asthenia, abdominal pain, and diarrhea; however, </w:t>
      </w:r>
      <w:proofErr w:type="gramStart"/>
      <w:r w:rsidRPr="00D725EB">
        <w:rPr>
          <w:rFonts w:asciiTheme="minorHAnsi" w:eastAsia="OTNEJMQuadraat" w:hAnsiTheme="minorHAnsi" w:cstheme="minorHAnsi"/>
          <w:color w:val="auto"/>
          <w:sz w:val="22"/>
          <w:szCs w:val="22"/>
        </w:rPr>
        <w:t>a majority of</w:t>
      </w:r>
      <w:proofErr w:type="gramEnd"/>
      <w:r w:rsidRPr="00D725EB">
        <w:rPr>
          <w:rFonts w:asciiTheme="minorHAnsi" w:eastAsia="OTNEJMQuadraat" w:hAnsiTheme="minorHAnsi" w:cstheme="minorHAnsi"/>
          <w:color w:val="auto"/>
          <w:sz w:val="22"/>
          <w:szCs w:val="22"/>
        </w:rPr>
        <w:t xml:space="preserve"> the patients in whom these events were reported (≥97%) had events of </w:t>
      </w:r>
      <w:r w:rsidR="00544D48" w:rsidRPr="00D725EB">
        <w:rPr>
          <w:rFonts w:asciiTheme="minorHAnsi" w:eastAsia="OTNEJMQuadraat" w:hAnsiTheme="minorHAnsi" w:cstheme="minorHAnsi"/>
          <w:color w:val="auto"/>
          <w:sz w:val="22"/>
          <w:szCs w:val="22"/>
        </w:rPr>
        <w:t>G</w:t>
      </w:r>
      <w:r w:rsidRPr="00D725EB">
        <w:rPr>
          <w:rFonts w:asciiTheme="minorHAnsi" w:eastAsia="OTNEJMQuadraat" w:hAnsiTheme="minorHAnsi" w:cstheme="minorHAnsi"/>
          <w:color w:val="auto"/>
          <w:sz w:val="22"/>
          <w:szCs w:val="22"/>
        </w:rPr>
        <w:t>rade 1 or 2.</w:t>
      </w:r>
    </w:p>
    <w:p w14:paraId="11121E8D" w14:textId="77777777" w:rsidR="00B70F62" w:rsidRPr="00F90541" w:rsidRDefault="00B70F62" w:rsidP="00F90541">
      <w:pPr>
        <w:autoSpaceDE w:val="0"/>
        <w:autoSpaceDN w:val="0"/>
        <w:adjustRightInd w:val="0"/>
        <w:spacing w:after="0"/>
        <w:rPr>
          <w:rFonts w:asciiTheme="minorHAnsi" w:eastAsia="OTNEJMQuadraat" w:hAnsiTheme="minorHAnsi" w:cstheme="minorHAnsi"/>
          <w:color w:val="4F81BD" w:themeColor="accent1"/>
          <w:sz w:val="22"/>
          <w:szCs w:val="22"/>
        </w:rPr>
      </w:pPr>
    </w:p>
    <w:p w14:paraId="738A4B63" w14:textId="7D859FEE" w:rsidR="00AD23D3" w:rsidRPr="0022452B" w:rsidRDefault="00AD23D3" w:rsidP="00F90541">
      <w:pPr>
        <w:rPr>
          <w:rFonts w:asciiTheme="minorHAnsi" w:hAnsiTheme="minorHAnsi" w:cstheme="minorHAnsi"/>
          <w:b/>
          <w:bCs/>
          <w:sz w:val="22"/>
          <w:szCs w:val="22"/>
        </w:rPr>
      </w:pPr>
      <w:r w:rsidRPr="0022452B">
        <w:rPr>
          <w:rFonts w:asciiTheme="minorHAnsi" w:hAnsiTheme="minorHAnsi" w:cstheme="minorHAnsi"/>
          <w:b/>
          <w:bCs/>
          <w:sz w:val="22"/>
          <w:szCs w:val="22"/>
        </w:rPr>
        <w:t>Tabulated list of adverse reactions</w:t>
      </w:r>
    </w:p>
    <w:p w14:paraId="1B7B049C" w14:textId="33CFC5BA" w:rsidR="00AD23D3" w:rsidRPr="0022452B" w:rsidRDefault="00AD23D3" w:rsidP="0022452B">
      <w:pPr>
        <w:ind w:left="426" w:right="718"/>
        <w:rPr>
          <w:rFonts w:asciiTheme="minorHAnsi" w:hAnsiTheme="minorHAnsi" w:cstheme="minorHAnsi"/>
          <w:sz w:val="22"/>
          <w:szCs w:val="22"/>
        </w:rPr>
      </w:pPr>
      <w:r w:rsidRPr="0022452B">
        <w:rPr>
          <w:rFonts w:asciiTheme="minorHAnsi" w:hAnsiTheme="minorHAnsi" w:cstheme="minorHAnsi"/>
          <w:sz w:val="22"/>
          <w:szCs w:val="22"/>
        </w:rPr>
        <w:t xml:space="preserve">The adverse reactions are listed in Table </w:t>
      </w:r>
      <w:r w:rsidR="00155A0C">
        <w:rPr>
          <w:rFonts w:asciiTheme="minorHAnsi" w:hAnsiTheme="minorHAnsi" w:cstheme="minorHAnsi"/>
          <w:sz w:val="22"/>
          <w:szCs w:val="22"/>
        </w:rPr>
        <w:t>3</w:t>
      </w:r>
      <w:r w:rsidR="00155A0C" w:rsidRPr="0022452B">
        <w:rPr>
          <w:rFonts w:asciiTheme="minorHAnsi" w:hAnsiTheme="minorHAnsi" w:cstheme="minorHAnsi"/>
          <w:sz w:val="22"/>
          <w:szCs w:val="22"/>
        </w:rPr>
        <w:t xml:space="preserve"> </w:t>
      </w:r>
      <w:r w:rsidRPr="0022452B">
        <w:rPr>
          <w:rFonts w:asciiTheme="minorHAnsi" w:hAnsiTheme="minorHAnsi" w:cstheme="minorHAnsi"/>
          <w:sz w:val="22"/>
          <w:szCs w:val="22"/>
        </w:rPr>
        <w:t xml:space="preserve">according to the frequency and the MedDRA System Organ Class (SOC). </w:t>
      </w:r>
    </w:p>
    <w:p w14:paraId="376A408B" w14:textId="3CD14080" w:rsidR="00AD23D3" w:rsidRPr="0022452B" w:rsidRDefault="00AD23D3" w:rsidP="0022452B">
      <w:pPr>
        <w:jc w:val="center"/>
        <w:rPr>
          <w:rFonts w:asciiTheme="minorHAnsi" w:hAnsiTheme="minorHAnsi" w:cstheme="minorHAnsi"/>
          <w:b/>
          <w:bCs/>
          <w:sz w:val="22"/>
          <w:szCs w:val="22"/>
        </w:rPr>
      </w:pPr>
      <w:r w:rsidRPr="0022452B">
        <w:rPr>
          <w:rFonts w:asciiTheme="minorHAnsi" w:hAnsiTheme="minorHAnsi" w:cstheme="minorHAnsi"/>
          <w:b/>
          <w:bCs/>
          <w:sz w:val="22"/>
          <w:szCs w:val="22"/>
        </w:rPr>
        <w:t xml:space="preserve">Table </w:t>
      </w:r>
      <w:r w:rsidR="006A2B93" w:rsidRPr="006A2B93">
        <w:rPr>
          <w:rFonts w:asciiTheme="minorHAnsi" w:hAnsiTheme="minorHAnsi" w:cstheme="minorHAnsi"/>
          <w:b/>
          <w:bCs/>
          <w:sz w:val="22"/>
          <w:szCs w:val="22"/>
        </w:rPr>
        <w:t>3</w:t>
      </w:r>
      <w:r w:rsidRPr="0022452B">
        <w:rPr>
          <w:rFonts w:asciiTheme="minorHAnsi" w:hAnsiTheme="minorHAnsi" w:cstheme="minorHAnsi"/>
          <w:b/>
          <w:bCs/>
          <w:sz w:val="22"/>
          <w:szCs w:val="22"/>
        </w:rPr>
        <w:t xml:space="preserve">. Frequency of adverse reactions reported from clinical trials </w:t>
      </w:r>
    </w:p>
    <w:tbl>
      <w:tblPr>
        <w:tblStyle w:val="TableGrid"/>
        <w:tblW w:w="0" w:type="auto"/>
        <w:tblInd w:w="425" w:type="dxa"/>
        <w:tblLook w:val="04A0" w:firstRow="1" w:lastRow="0" w:firstColumn="1" w:lastColumn="0" w:noHBand="0" w:noVBand="1"/>
      </w:tblPr>
      <w:tblGrid>
        <w:gridCol w:w="2904"/>
        <w:gridCol w:w="2642"/>
        <w:gridCol w:w="2644"/>
      </w:tblGrid>
      <w:tr w:rsidR="00AD23D3" w:rsidRPr="00AD23D3" w14:paraId="6F44C420" w14:textId="77777777" w:rsidTr="00AD23D3">
        <w:tc>
          <w:tcPr>
            <w:tcW w:w="3246" w:type="dxa"/>
          </w:tcPr>
          <w:p w14:paraId="023AD46A" w14:textId="77777777" w:rsidR="00AD23D3" w:rsidRPr="00AD23D3" w:rsidRDefault="00AD23D3" w:rsidP="00AD23D3">
            <w:pPr>
              <w:ind w:left="0"/>
              <w:rPr>
                <w:b/>
                <w:bCs/>
                <w:caps/>
                <w:sz w:val="20"/>
                <w:szCs w:val="20"/>
              </w:rPr>
            </w:pPr>
            <w:r w:rsidRPr="00AD23D3">
              <w:rPr>
                <w:b/>
                <w:bCs/>
                <w:sz w:val="20"/>
                <w:szCs w:val="20"/>
              </w:rPr>
              <w:t>System organ class</w:t>
            </w:r>
          </w:p>
        </w:tc>
        <w:tc>
          <w:tcPr>
            <w:tcW w:w="3193" w:type="dxa"/>
          </w:tcPr>
          <w:p w14:paraId="25F397AA" w14:textId="2A6DA876" w:rsidR="00AD23D3" w:rsidRPr="00AD23D3" w:rsidRDefault="00AD23D3" w:rsidP="00AD23D3">
            <w:pPr>
              <w:ind w:left="0"/>
              <w:jc w:val="center"/>
              <w:rPr>
                <w:b/>
                <w:bCs/>
                <w:caps/>
                <w:sz w:val="20"/>
                <w:szCs w:val="20"/>
              </w:rPr>
            </w:pPr>
            <w:r w:rsidRPr="00AD23D3">
              <w:rPr>
                <w:b/>
                <w:bCs/>
                <w:sz w:val="20"/>
                <w:szCs w:val="20"/>
              </w:rPr>
              <w:t xml:space="preserve">Any </w:t>
            </w:r>
            <w:r w:rsidR="00544D48">
              <w:rPr>
                <w:b/>
                <w:bCs/>
                <w:sz w:val="20"/>
                <w:szCs w:val="20"/>
              </w:rPr>
              <w:t>G</w:t>
            </w:r>
            <w:r w:rsidRPr="00AD23D3">
              <w:rPr>
                <w:b/>
                <w:bCs/>
                <w:sz w:val="20"/>
                <w:szCs w:val="20"/>
              </w:rPr>
              <w:t>rade (n/%)</w:t>
            </w:r>
          </w:p>
        </w:tc>
        <w:tc>
          <w:tcPr>
            <w:tcW w:w="3196" w:type="dxa"/>
          </w:tcPr>
          <w:p w14:paraId="0D0E0E3C" w14:textId="77777777" w:rsidR="00AD23D3" w:rsidRPr="00AD23D3" w:rsidRDefault="00AD23D3" w:rsidP="00AD23D3">
            <w:pPr>
              <w:ind w:left="0"/>
              <w:jc w:val="center"/>
              <w:rPr>
                <w:b/>
                <w:bCs/>
                <w:caps/>
                <w:sz w:val="20"/>
                <w:szCs w:val="20"/>
              </w:rPr>
            </w:pPr>
            <w:r w:rsidRPr="00AD23D3">
              <w:rPr>
                <w:b/>
                <w:bCs/>
                <w:sz w:val="20"/>
                <w:szCs w:val="20"/>
              </w:rPr>
              <w:t>Grade 3 or 4 (n/%)</w:t>
            </w:r>
          </w:p>
        </w:tc>
      </w:tr>
      <w:tr w:rsidR="00AD23D3" w:rsidRPr="00AD23D3" w14:paraId="39329E7B" w14:textId="77777777" w:rsidTr="00AD23D3">
        <w:tc>
          <w:tcPr>
            <w:tcW w:w="3246" w:type="dxa"/>
          </w:tcPr>
          <w:p w14:paraId="3C24DF89" w14:textId="77777777" w:rsidR="00AD23D3" w:rsidRPr="00AD23D3" w:rsidRDefault="00AD23D3" w:rsidP="00AD23D3">
            <w:pPr>
              <w:widowControl w:val="0"/>
              <w:autoSpaceDE w:val="0"/>
              <w:autoSpaceDN w:val="0"/>
              <w:ind w:left="0" w:right="134"/>
              <w:rPr>
                <w:rFonts w:eastAsia="Times New Roman"/>
                <w:b/>
                <w:color w:val="auto"/>
                <w:sz w:val="18"/>
                <w:szCs w:val="22"/>
              </w:rPr>
            </w:pPr>
            <w:r w:rsidRPr="00AD23D3">
              <w:rPr>
                <w:rFonts w:eastAsia="Times New Roman"/>
                <w:b/>
                <w:color w:val="auto"/>
                <w:sz w:val="18"/>
                <w:szCs w:val="22"/>
              </w:rPr>
              <w:t xml:space="preserve">Neoplasms benign, </w:t>
            </w:r>
            <w:proofErr w:type="gramStart"/>
            <w:r w:rsidRPr="00AD23D3">
              <w:rPr>
                <w:rFonts w:eastAsia="Times New Roman"/>
                <w:b/>
                <w:color w:val="auto"/>
                <w:sz w:val="18"/>
                <w:szCs w:val="22"/>
              </w:rPr>
              <w:t>malignant</w:t>
            </w:r>
            <w:proofErr w:type="gramEnd"/>
            <w:r w:rsidRPr="00AD23D3">
              <w:rPr>
                <w:rFonts w:eastAsia="Times New Roman"/>
                <w:b/>
                <w:color w:val="auto"/>
                <w:sz w:val="18"/>
                <w:szCs w:val="22"/>
              </w:rPr>
              <w:t xml:space="preserve"> and unspecified (including cysts and</w:t>
            </w:r>
          </w:p>
          <w:p w14:paraId="6DA0516D" w14:textId="77777777" w:rsidR="00AD23D3" w:rsidRPr="00AD23D3" w:rsidRDefault="00AD23D3" w:rsidP="00AD23D3">
            <w:pPr>
              <w:ind w:left="0"/>
              <w:rPr>
                <w:b/>
                <w:bCs/>
                <w:sz w:val="20"/>
                <w:szCs w:val="20"/>
              </w:rPr>
            </w:pPr>
            <w:r w:rsidRPr="00AD23D3">
              <w:rPr>
                <w:rFonts w:eastAsia="Times New Roman"/>
                <w:b/>
                <w:color w:val="auto"/>
                <w:sz w:val="18"/>
                <w:szCs w:val="22"/>
              </w:rPr>
              <w:t>polyps)</w:t>
            </w:r>
          </w:p>
        </w:tc>
        <w:tc>
          <w:tcPr>
            <w:tcW w:w="3193" w:type="dxa"/>
          </w:tcPr>
          <w:p w14:paraId="3A60A774" w14:textId="77777777" w:rsidR="00AD23D3" w:rsidRPr="00AD23D3" w:rsidRDefault="00AD23D3" w:rsidP="00AD23D3">
            <w:pPr>
              <w:ind w:left="0"/>
              <w:jc w:val="center"/>
              <w:rPr>
                <w:b/>
                <w:bCs/>
                <w:sz w:val="20"/>
                <w:szCs w:val="20"/>
              </w:rPr>
            </w:pPr>
          </w:p>
        </w:tc>
        <w:tc>
          <w:tcPr>
            <w:tcW w:w="3196" w:type="dxa"/>
          </w:tcPr>
          <w:p w14:paraId="2904D380" w14:textId="77777777" w:rsidR="00AD23D3" w:rsidRPr="00AD23D3" w:rsidRDefault="00AD23D3" w:rsidP="00AD23D3">
            <w:pPr>
              <w:ind w:left="0"/>
              <w:jc w:val="center"/>
              <w:rPr>
                <w:b/>
                <w:bCs/>
                <w:sz w:val="20"/>
                <w:szCs w:val="20"/>
              </w:rPr>
            </w:pPr>
          </w:p>
        </w:tc>
      </w:tr>
      <w:tr w:rsidR="00AD23D3" w:rsidRPr="00AD23D3" w14:paraId="22442BB4" w14:textId="77777777" w:rsidTr="00AD23D3">
        <w:tc>
          <w:tcPr>
            <w:tcW w:w="3246" w:type="dxa"/>
          </w:tcPr>
          <w:p w14:paraId="65F6AB60" w14:textId="77777777" w:rsidR="00AD23D3" w:rsidRPr="00AD23D3" w:rsidRDefault="00AD23D3" w:rsidP="00AD23D3">
            <w:pPr>
              <w:ind w:left="0"/>
              <w:rPr>
                <w:sz w:val="20"/>
                <w:szCs w:val="20"/>
              </w:rPr>
            </w:pPr>
            <w:r w:rsidRPr="00AD23D3">
              <w:rPr>
                <w:sz w:val="20"/>
                <w:szCs w:val="20"/>
              </w:rPr>
              <w:t>Myelodysplastic syndrome</w:t>
            </w:r>
          </w:p>
        </w:tc>
        <w:tc>
          <w:tcPr>
            <w:tcW w:w="3193" w:type="dxa"/>
          </w:tcPr>
          <w:p w14:paraId="431961C9" w14:textId="77777777" w:rsidR="00AD23D3" w:rsidRPr="00AD23D3" w:rsidRDefault="00AD23D3" w:rsidP="00AD23D3">
            <w:pPr>
              <w:ind w:left="0"/>
              <w:jc w:val="center"/>
              <w:rPr>
                <w:sz w:val="20"/>
                <w:szCs w:val="20"/>
              </w:rPr>
            </w:pPr>
            <w:r w:rsidRPr="00AD23D3">
              <w:rPr>
                <w:sz w:val="20"/>
                <w:szCs w:val="20"/>
              </w:rPr>
              <w:t>19 (3.6)</w:t>
            </w:r>
          </w:p>
        </w:tc>
        <w:tc>
          <w:tcPr>
            <w:tcW w:w="3196" w:type="dxa"/>
          </w:tcPr>
          <w:p w14:paraId="3FC922AD" w14:textId="77777777" w:rsidR="00AD23D3" w:rsidRPr="00AD23D3" w:rsidRDefault="00AD23D3" w:rsidP="00AD23D3">
            <w:pPr>
              <w:ind w:left="0"/>
              <w:jc w:val="center"/>
              <w:rPr>
                <w:sz w:val="20"/>
                <w:szCs w:val="20"/>
              </w:rPr>
            </w:pPr>
            <w:r w:rsidRPr="00AD23D3">
              <w:rPr>
                <w:sz w:val="20"/>
                <w:szCs w:val="20"/>
              </w:rPr>
              <w:t>3 (1)</w:t>
            </w:r>
          </w:p>
        </w:tc>
      </w:tr>
      <w:tr w:rsidR="00AD23D3" w:rsidRPr="00AD23D3" w14:paraId="3F7579A1" w14:textId="77777777" w:rsidTr="00AD23D3">
        <w:tc>
          <w:tcPr>
            <w:tcW w:w="3246" w:type="dxa"/>
          </w:tcPr>
          <w:p w14:paraId="2C4D5E9A" w14:textId="77777777" w:rsidR="00AD23D3" w:rsidRPr="00AD23D3" w:rsidRDefault="00AD23D3" w:rsidP="00AD23D3">
            <w:pPr>
              <w:ind w:left="0"/>
              <w:rPr>
                <w:sz w:val="20"/>
                <w:szCs w:val="20"/>
              </w:rPr>
            </w:pPr>
            <w:r w:rsidRPr="00AD23D3">
              <w:rPr>
                <w:sz w:val="20"/>
                <w:szCs w:val="20"/>
              </w:rPr>
              <w:lastRenderedPageBreak/>
              <w:t xml:space="preserve">Acute or chronic myeloid </w:t>
            </w:r>
            <w:proofErr w:type="spellStart"/>
            <w:r w:rsidRPr="00AD23D3">
              <w:rPr>
                <w:sz w:val="20"/>
                <w:szCs w:val="20"/>
              </w:rPr>
              <w:t>leukaemia</w:t>
            </w:r>
            <w:proofErr w:type="spellEnd"/>
          </w:p>
        </w:tc>
        <w:tc>
          <w:tcPr>
            <w:tcW w:w="3193" w:type="dxa"/>
          </w:tcPr>
          <w:p w14:paraId="2F32F4FD" w14:textId="77777777" w:rsidR="00AD23D3" w:rsidRPr="00AD23D3" w:rsidRDefault="00AD23D3" w:rsidP="00AD23D3">
            <w:pPr>
              <w:ind w:left="0"/>
              <w:jc w:val="center"/>
              <w:rPr>
                <w:sz w:val="20"/>
                <w:szCs w:val="20"/>
              </w:rPr>
            </w:pPr>
            <w:r w:rsidRPr="00AD23D3">
              <w:rPr>
                <w:sz w:val="20"/>
                <w:szCs w:val="20"/>
              </w:rPr>
              <w:t>6 (1.2)</w:t>
            </w:r>
          </w:p>
        </w:tc>
        <w:tc>
          <w:tcPr>
            <w:tcW w:w="3196" w:type="dxa"/>
          </w:tcPr>
          <w:p w14:paraId="50ED6CD8" w14:textId="77777777" w:rsidR="00AD23D3" w:rsidRPr="00AD23D3" w:rsidRDefault="00AD23D3" w:rsidP="00AD23D3">
            <w:pPr>
              <w:ind w:left="0"/>
              <w:jc w:val="center"/>
              <w:rPr>
                <w:sz w:val="20"/>
                <w:szCs w:val="20"/>
              </w:rPr>
            </w:pPr>
            <w:r w:rsidRPr="00AD23D3">
              <w:rPr>
                <w:sz w:val="20"/>
                <w:szCs w:val="20"/>
              </w:rPr>
              <w:t>1 (0.36)</w:t>
            </w:r>
          </w:p>
        </w:tc>
      </w:tr>
      <w:tr w:rsidR="00AD23D3" w:rsidRPr="00AD23D3" w14:paraId="20FFC765" w14:textId="77777777" w:rsidTr="00AD23D3">
        <w:tc>
          <w:tcPr>
            <w:tcW w:w="3246" w:type="dxa"/>
          </w:tcPr>
          <w:p w14:paraId="18C7E331" w14:textId="77777777" w:rsidR="00AD23D3" w:rsidRPr="00AD23D3" w:rsidRDefault="00AD23D3" w:rsidP="00AD23D3">
            <w:pPr>
              <w:ind w:left="0"/>
              <w:rPr>
                <w:b/>
                <w:bCs/>
                <w:sz w:val="20"/>
                <w:szCs w:val="20"/>
              </w:rPr>
            </w:pPr>
          </w:p>
        </w:tc>
        <w:tc>
          <w:tcPr>
            <w:tcW w:w="3193" w:type="dxa"/>
          </w:tcPr>
          <w:p w14:paraId="47639023" w14:textId="77777777" w:rsidR="00AD23D3" w:rsidRPr="00AD23D3" w:rsidRDefault="00AD23D3" w:rsidP="00AD23D3">
            <w:pPr>
              <w:ind w:left="0"/>
              <w:jc w:val="center"/>
              <w:rPr>
                <w:sz w:val="20"/>
                <w:szCs w:val="20"/>
              </w:rPr>
            </w:pPr>
          </w:p>
        </w:tc>
        <w:tc>
          <w:tcPr>
            <w:tcW w:w="3196" w:type="dxa"/>
          </w:tcPr>
          <w:p w14:paraId="519D778A" w14:textId="77777777" w:rsidR="00AD23D3" w:rsidRPr="00AD23D3" w:rsidRDefault="00AD23D3" w:rsidP="00AD23D3">
            <w:pPr>
              <w:ind w:left="0"/>
              <w:jc w:val="center"/>
              <w:rPr>
                <w:sz w:val="20"/>
                <w:szCs w:val="20"/>
              </w:rPr>
            </w:pPr>
          </w:p>
        </w:tc>
      </w:tr>
      <w:tr w:rsidR="00AD23D3" w:rsidRPr="00AD23D3" w14:paraId="33464DC1" w14:textId="77777777" w:rsidTr="00AD23D3">
        <w:tc>
          <w:tcPr>
            <w:tcW w:w="3246" w:type="dxa"/>
          </w:tcPr>
          <w:p w14:paraId="0F913480" w14:textId="77777777" w:rsidR="00AD23D3" w:rsidRPr="00AD23D3" w:rsidRDefault="00AD23D3" w:rsidP="00AD23D3">
            <w:pPr>
              <w:ind w:left="0"/>
              <w:rPr>
                <w:b/>
                <w:bCs/>
                <w:caps/>
                <w:sz w:val="20"/>
                <w:szCs w:val="20"/>
              </w:rPr>
            </w:pPr>
            <w:r w:rsidRPr="00AD23D3">
              <w:rPr>
                <w:b/>
                <w:bCs/>
                <w:sz w:val="20"/>
                <w:szCs w:val="20"/>
              </w:rPr>
              <w:t>Gastrointestinal disorders</w:t>
            </w:r>
          </w:p>
        </w:tc>
        <w:tc>
          <w:tcPr>
            <w:tcW w:w="3193" w:type="dxa"/>
          </w:tcPr>
          <w:p w14:paraId="5097DEED" w14:textId="77777777" w:rsidR="00AD23D3" w:rsidRPr="00AD23D3" w:rsidRDefault="00AD23D3" w:rsidP="00AD23D3">
            <w:pPr>
              <w:ind w:left="0"/>
              <w:jc w:val="center"/>
              <w:rPr>
                <w:caps/>
                <w:sz w:val="20"/>
                <w:szCs w:val="20"/>
              </w:rPr>
            </w:pPr>
          </w:p>
        </w:tc>
        <w:tc>
          <w:tcPr>
            <w:tcW w:w="3196" w:type="dxa"/>
          </w:tcPr>
          <w:p w14:paraId="6D500E6D" w14:textId="77777777" w:rsidR="00AD23D3" w:rsidRPr="00AD23D3" w:rsidRDefault="00AD23D3" w:rsidP="00AD23D3">
            <w:pPr>
              <w:ind w:left="0"/>
              <w:jc w:val="center"/>
              <w:rPr>
                <w:caps/>
                <w:sz w:val="20"/>
                <w:szCs w:val="20"/>
              </w:rPr>
            </w:pPr>
          </w:p>
        </w:tc>
      </w:tr>
      <w:tr w:rsidR="00AD23D3" w:rsidRPr="00AD23D3" w14:paraId="0EF91181" w14:textId="77777777" w:rsidTr="00AD23D3">
        <w:tc>
          <w:tcPr>
            <w:tcW w:w="3246" w:type="dxa"/>
          </w:tcPr>
          <w:p w14:paraId="2B21BD28" w14:textId="77777777" w:rsidR="00AD23D3" w:rsidRPr="00AD23D3" w:rsidRDefault="00AD23D3" w:rsidP="00AD23D3">
            <w:pPr>
              <w:ind w:left="0"/>
              <w:rPr>
                <w:caps/>
                <w:sz w:val="20"/>
                <w:szCs w:val="20"/>
              </w:rPr>
            </w:pPr>
            <w:r w:rsidRPr="00AD23D3">
              <w:rPr>
                <w:sz w:val="20"/>
                <w:szCs w:val="20"/>
              </w:rPr>
              <w:t>Nausea</w:t>
            </w:r>
          </w:p>
        </w:tc>
        <w:tc>
          <w:tcPr>
            <w:tcW w:w="3193" w:type="dxa"/>
          </w:tcPr>
          <w:p w14:paraId="48626B6B" w14:textId="77777777" w:rsidR="00AD23D3" w:rsidRPr="00AD23D3" w:rsidRDefault="00AD23D3" w:rsidP="00AD23D3">
            <w:pPr>
              <w:ind w:left="0"/>
              <w:jc w:val="center"/>
              <w:rPr>
                <w:caps/>
                <w:sz w:val="20"/>
                <w:szCs w:val="20"/>
              </w:rPr>
            </w:pPr>
            <w:r w:rsidRPr="00AD23D3">
              <w:rPr>
                <w:caps/>
                <w:sz w:val="20"/>
                <w:szCs w:val="20"/>
              </w:rPr>
              <w:t>65 (59)</w:t>
            </w:r>
          </w:p>
        </w:tc>
        <w:tc>
          <w:tcPr>
            <w:tcW w:w="3196" w:type="dxa"/>
          </w:tcPr>
          <w:p w14:paraId="02BFB115" w14:textId="77777777" w:rsidR="00AD23D3" w:rsidRPr="00AD23D3" w:rsidRDefault="00AD23D3" w:rsidP="00AD23D3">
            <w:pPr>
              <w:ind w:left="0"/>
              <w:jc w:val="center"/>
              <w:rPr>
                <w:caps/>
                <w:sz w:val="20"/>
                <w:szCs w:val="20"/>
              </w:rPr>
            </w:pPr>
            <w:r w:rsidRPr="00AD23D3">
              <w:rPr>
                <w:caps/>
                <w:sz w:val="20"/>
                <w:szCs w:val="20"/>
              </w:rPr>
              <w:t>4 (4)</w:t>
            </w:r>
          </w:p>
        </w:tc>
      </w:tr>
      <w:tr w:rsidR="00AD23D3" w:rsidRPr="00AD23D3" w14:paraId="109AE9B4" w14:textId="77777777" w:rsidTr="00AD23D3">
        <w:tc>
          <w:tcPr>
            <w:tcW w:w="3246" w:type="dxa"/>
          </w:tcPr>
          <w:p w14:paraId="04212F0D" w14:textId="77777777" w:rsidR="00AD23D3" w:rsidRPr="00AD23D3" w:rsidRDefault="00AD23D3" w:rsidP="00AD23D3">
            <w:pPr>
              <w:ind w:left="0"/>
              <w:rPr>
                <w:caps/>
                <w:sz w:val="20"/>
                <w:szCs w:val="20"/>
              </w:rPr>
            </w:pPr>
            <w:r w:rsidRPr="00AD23D3">
              <w:rPr>
                <w:sz w:val="20"/>
                <w:szCs w:val="20"/>
              </w:rPr>
              <w:t>Vomiting</w:t>
            </w:r>
          </w:p>
        </w:tc>
        <w:tc>
          <w:tcPr>
            <w:tcW w:w="3193" w:type="dxa"/>
          </w:tcPr>
          <w:p w14:paraId="0816BE26" w14:textId="77777777" w:rsidR="00AD23D3" w:rsidRPr="00AD23D3" w:rsidRDefault="00AD23D3" w:rsidP="00AD23D3">
            <w:pPr>
              <w:ind w:left="0"/>
              <w:jc w:val="center"/>
              <w:rPr>
                <w:caps/>
                <w:sz w:val="20"/>
                <w:szCs w:val="20"/>
              </w:rPr>
            </w:pPr>
            <w:r w:rsidRPr="00AD23D3">
              <w:rPr>
                <w:caps/>
                <w:sz w:val="20"/>
                <w:szCs w:val="20"/>
              </w:rPr>
              <w:t>52 (47)</w:t>
            </w:r>
          </w:p>
        </w:tc>
        <w:tc>
          <w:tcPr>
            <w:tcW w:w="3196" w:type="dxa"/>
          </w:tcPr>
          <w:p w14:paraId="6B8962A9" w14:textId="77777777" w:rsidR="00AD23D3" w:rsidRPr="00AD23D3" w:rsidRDefault="00AD23D3" w:rsidP="00AD23D3">
            <w:pPr>
              <w:ind w:left="0"/>
              <w:jc w:val="center"/>
              <w:rPr>
                <w:caps/>
                <w:sz w:val="20"/>
                <w:szCs w:val="20"/>
              </w:rPr>
            </w:pPr>
            <w:r w:rsidRPr="00AD23D3">
              <w:rPr>
                <w:caps/>
                <w:sz w:val="20"/>
                <w:szCs w:val="20"/>
              </w:rPr>
              <w:t>8 (7)</w:t>
            </w:r>
          </w:p>
        </w:tc>
      </w:tr>
      <w:tr w:rsidR="00AD23D3" w:rsidRPr="00AD23D3" w14:paraId="06A968A0" w14:textId="77777777" w:rsidTr="00AD23D3">
        <w:tc>
          <w:tcPr>
            <w:tcW w:w="3246" w:type="dxa"/>
          </w:tcPr>
          <w:p w14:paraId="22045F0E" w14:textId="77777777" w:rsidR="00AD23D3" w:rsidRPr="00AD23D3" w:rsidRDefault="00AD23D3" w:rsidP="00AD23D3">
            <w:pPr>
              <w:ind w:left="0"/>
              <w:rPr>
                <w:caps/>
                <w:sz w:val="20"/>
                <w:szCs w:val="20"/>
              </w:rPr>
            </w:pPr>
            <w:r w:rsidRPr="00AD23D3">
              <w:rPr>
                <w:sz w:val="20"/>
                <w:szCs w:val="20"/>
              </w:rPr>
              <w:t>Abdominal pain</w:t>
            </w:r>
          </w:p>
        </w:tc>
        <w:tc>
          <w:tcPr>
            <w:tcW w:w="3193" w:type="dxa"/>
          </w:tcPr>
          <w:p w14:paraId="1CBF6C90" w14:textId="77777777" w:rsidR="00AD23D3" w:rsidRPr="00AD23D3" w:rsidRDefault="00AD23D3" w:rsidP="00AD23D3">
            <w:pPr>
              <w:ind w:left="0"/>
              <w:jc w:val="center"/>
              <w:rPr>
                <w:caps/>
                <w:sz w:val="20"/>
                <w:szCs w:val="20"/>
              </w:rPr>
            </w:pPr>
            <w:r w:rsidRPr="00AD23D3">
              <w:rPr>
                <w:caps/>
                <w:sz w:val="20"/>
                <w:szCs w:val="20"/>
              </w:rPr>
              <w:t>29 (26)</w:t>
            </w:r>
          </w:p>
        </w:tc>
        <w:tc>
          <w:tcPr>
            <w:tcW w:w="3196" w:type="dxa"/>
          </w:tcPr>
          <w:p w14:paraId="76B486EF" w14:textId="77777777" w:rsidR="00AD23D3" w:rsidRPr="00AD23D3" w:rsidRDefault="00AD23D3" w:rsidP="00AD23D3">
            <w:pPr>
              <w:ind w:left="0"/>
              <w:jc w:val="center"/>
              <w:rPr>
                <w:caps/>
                <w:sz w:val="20"/>
                <w:szCs w:val="20"/>
              </w:rPr>
            </w:pPr>
            <w:r w:rsidRPr="00AD23D3">
              <w:rPr>
                <w:caps/>
                <w:sz w:val="20"/>
                <w:szCs w:val="20"/>
              </w:rPr>
              <w:t>3 (3)</w:t>
            </w:r>
          </w:p>
        </w:tc>
      </w:tr>
      <w:tr w:rsidR="00AD23D3" w:rsidRPr="00AD23D3" w14:paraId="11554916" w14:textId="77777777" w:rsidTr="00AD23D3">
        <w:tc>
          <w:tcPr>
            <w:tcW w:w="3246" w:type="dxa"/>
          </w:tcPr>
          <w:p w14:paraId="2C1F87E3" w14:textId="77777777" w:rsidR="00AD23D3" w:rsidRPr="00AD23D3" w:rsidRDefault="00AD23D3" w:rsidP="00AD23D3">
            <w:pPr>
              <w:ind w:left="0"/>
              <w:rPr>
                <w:caps/>
                <w:sz w:val="20"/>
                <w:szCs w:val="20"/>
              </w:rPr>
            </w:pPr>
            <w:proofErr w:type="spellStart"/>
            <w:r w:rsidRPr="00AD23D3">
              <w:rPr>
                <w:sz w:val="20"/>
                <w:szCs w:val="20"/>
              </w:rPr>
              <w:t>Diarrhoea</w:t>
            </w:r>
            <w:proofErr w:type="spellEnd"/>
            <w:r w:rsidRPr="00AD23D3">
              <w:rPr>
                <w:sz w:val="20"/>
                <w:szCs w:val="20"/>
              </w:rPr>
              <w:t xml:space="preserve"> </w:t>
            </w:r>
          </w:p>
        </w:tc>
        <w:tc>
          <w:tcPr>
            <w:tcW w:w="3193" w:type="dxa"/>
          </w:tcPr>
          <w:p w14:paraId="50ACC710" w14:textId="77777777" w:rsidR="00AD23D3" w:rsidRPr="00AD23D3" w:rsidRDefault="00AD23D3" w:rsidP="00AD23D3">
            <w:pPr>
              <w:ind w:left="0"/>
              <w:jc w:val="center"/>
              <w:rPr>
                <w:caps/>
                <w:sz w:val="20"/>
                <w:szCs w:val="20"/>
              </w:rPr>
            </w:pPr>
            <w:r w:rsidRPr="00AD23D3">
              <w:rPr>
                <w:caps/>
                <w:sz w:val="20"/>
                <w:szCs w:val="20"/>
              </w:rPr>
              <w:t>32 (29)</w:t>
            </w:r>
          </w:p>
        </w:tc>
        <w:tc>
          <w:tcPr>
            <w:tcW w:w="3196" w:type="dxa"/>
          </w:tcPr>
          <w:p w14:paraId="0F5D821D" w14:textId="77777777" w:rsidR="00AD23D3" w:rsidRPr="00AD23D3" w:rsidRDefault="00AD23D3" w:rsidP="00AD23D3">
            <w:pPr>
              <w:ind w:left="0"/>
              <w:jc w:val="center"/>
              <w:rPr>
                <w:caps/>
                <w:sz w:val="20"/>
                <w:szCs w:val="20"/>
              </w:rPr>
            </w:pPr>
            <w:r w:rsidRPr="00AD23D3">
              <w:rPr>
                <w:caps/>
                <w:sz w:val="20"/>
                <w:szCs w:val="20"/>
              </w:rPr>
              <w:t>3 (3)</w:t>
            </w:r>
          </w:p>
        </w:tc>
      </w:tr>
      <w:tr w:rsidR="00AD23D3" w:rsidRPr="00AD23D3" w14:paraId="2FC02A47" w14:textId="77777777" w:rsidTr="00AD23D3">
        <w:tc>
          <w:tcPr>
            <w:tcW w:w="3246" w:type="dxa"/>
          </w:tcPr>
          <w:p w14:paraId="0FE18D76" w14:textId="77777777" w:rsidR="00AD23D3" w:rsidRPr="00AD23D3" w:rsidRDefault="00AD23D3" w:rsidP="00AD23D3">
            <w:pPr>
              <w:ind w:left="0"/>
              <w:rPr>
                <w:caps/>
                <w:sz w:val="20"/>
                <w:szCs w:val="20"/>
              </w:rPr>
            </w:pPr>
            <w:r w:rsidRPr="00AD23D3">
              <w:rPr>
                <w:sz w:val="20"/>
                <w:szCs w:val="20"/>
              </w:rPr>
              <w:t>Distension</w:t>
            </w:r>
          </w:p>
        </w:tc>
        <w:tc>
          <w:tcPr>
            <w:tcW w:w="3193" w:type="dxa"/>
          </w:tcPr>
          <w:p w14:paraId="5AFCB1BF" w14:textId="77777777" w:rsidR="00AD23D3" w:rsidRPr="00AD23D3" w:rsidRDefault="00AD23D3" w:rsidP="00AD23D3">
            <w:pPr>
              <w:ind w:left="0"/>
              <w:jc w:val="center"/>
              <w:rPr>
                <w:caps/>
                <w:sz w:val="20"/>
                <w:szCs w:val="20"/>
              </w:rPr>
            </w:pPr>
            <w:r w:rsidRPr="00AD23D3">
              <w:rPr>
                <w:caps/>
                <w:sz w:val="20"/>
                <w:szCs w:val="20"/>
              </w:rPr>
              <w:t>14 (13)</w:t>
            </w:r>
          </w:p>
        </w:tc>
        <w:tc>
          <w:tcPr>
            <w:tcW w:w="3196" w:type="dxa"/>
          </w:tcPr>
          <w:p w14:paraId="2B3BC9F9" w14:textId="77777777" w:rsidR="00AD23D3" w:rsidRPr="00AD23D3" w:rsidRDefault="00AD23D3" w:rsidP="00AD23D3">
            <w:pPr>
              <w:ind w:left="0"/>
              <w:jc w:val="center"/>
              <w:rPr>
                <w:caps/>
                <w:sz w:val="20"/>
                <w:szCs w:val="20"/>
              </w:rPr>
            </w:pPr>
            <w:r w:rsidRPr="00AD23D3">
              <w:rPr>
                <w:caps/>
                <w:sz w:val="20"/>
                <w:szCs w:val="20"/>
              </w:rPr>
              <w:t>0</w:t>
            </w:r>
          </w:p>
        </w:tc>
      </w:tr>
      <w:tr w:rsidR="00AD23D3" w:rsidRPr="00AD23D3" w14:paraId="62AFE1C3" w14:textId="77777777" w:rsidTr="00AD23D3">
        <w:tc>
          <w:tcPr>
            <w:tcW w:w="3246" w:type="dxa"/>
          </w:tcPr>
          <w:p w14:paraId="7A22B0F1" w14:textId="77777777" w:rsidR="00AD23D3" w:rsidRPr="00AD23D3" w:rsidRDefault="00AD23D3" w:rsidP="00AD23D3">
            <w:pPr>
              <w:ind w:left="0"/>
              <w:rPr>
                <w:caps/>
                <w:sz w:val="20"/>
                <w:szCs w:val="20"/>
              </w:rPr>
            </w:pPr>
          </w:p>
        </w:tc>
        <w:tc>
          <w:tcPr>
            <w:tcW w:w="3193" w:type="dxa"/>
          </w:tcPr>
          <w:p w14:paraId="1FEB14E0" w14:textId="77777777" w:rsidR="00AD23D3" w:rsidRPr="00AD23D3" w:rsidRDefault="00AD23D3" w:rsidP="00AD23D3">
            <w:pPr>
              <w:ind w:left="0"/>
              <w:jc w:val="center"/>
              <w:rPr>
                <w:caps/>
                <w:sz w:val="20"/>
                <w:szCs w:val="20"/>
              </w:rPr>
            </w:pPr>
          </w:p>
        </w:tc>
        <w:tc>
          <w:tcPr>
            <w:tcW w:w="3196" w:type="dxa"/>
          </w:tcPr>
          <w:p w14:paraId="188C8AA7" w14:textId="77777777" w:rsidR="00AD23D3" w:rsidRPr="00AD23D3" w:rsidRDefault="00AD23D3" w:rsidP="00AD23D3">
            <w:pPr>
              <w:ind w:left="0"/>
              <w:jc w:val="center"/>
              <w:rPr>
                <w:caps/>
                <w:sz w:val="20"/>
                <w:szCs w:val="20"/>
              </w:rPr>
            </w:pPr>
          </w:p>
        </w:tc>
      </w:tr>
      <w:tr w:rsidR="00AD23D3" w:rsidRPr="00AD23D3" w14:paraId="73B904A7" w14:textId="77777777" w:rsidTr="00AD23D3">
        <w:tc>
          <w:tcPr>
            <w:tcW w:w="3246" w:type="dxa"/>
          </w:tcPr>
          <w:p w14:paraId="1074DF6B" w14:textId="77777777" w:rsidR="00AD23D3" w:rsidRPr="00AD23D3" w:rsidRDefault="00AD23D3" w:rsidP="00AD23D3">
            <w:pPr>
              <w:ind w:left="0"/>
              <w:rPr>
                <w:b/>
                <w:bCs/>
                <w:caps/>
                <w:sz w:val="20"/>
                <w:szCs w:val="20"/>
              </w:rPr>
            </w:pPr>
            <w:r w:rsidRPr="00AD23D3">
              <w:rPr>
                <w:b/>
                <w:bCs/>
                <w:caps/>
                <w:sz w:val="20"/>
                <w:szCs w:val="20"/>
              </w:rPr>
              <w:t>G</w:t>
            </w:r>
            <w:r w:rsidRPr="00AD23D3">
              <w:rPr>
                <w:b/>
                <w:bCs/>
                <w:sz w:val="20"/>
                <w:szCs w:val="20"/>
              </w:rPr>
              <w:t>eneral disorders</w:t>
            </w:r>
          </w:p>
        </w:tc>
        <w:tc>
          <w:tcPr>
            <w:tcW w:w="3193" w:type="dxa"/>
          </w:tcPr>
          <w:p w14:paraId="6EABBCB9" w14:textId="77777777" w:rsidR="00AD23D3" w:rsidRPr="00AD23D3" w:rsidRDefault="00AD23D3" w:rsidP="00AD23D3">
            <w:pPr>
              <w:ind w:left="0"/>
              <w:jc w:val="center"/>
              <w:rPr>
                <w:caps/>
                <w:sz w:val="20"/>
                <w:szCs w:val="20"/>
              </w:rPr>
            </w:pPr>
          </w:p>
        </w:tc>
        <w:tc>
          <w:tcPr>
            <w:tcW w:w="3196" w:type="dxa"/>
          </w:tcPr>
          <w:p w14:paraId="4D73EF88" w14:textId="77777777" w:rsidR="00AD23D3" w:rsidRPr="00AD23D3" w:rsidRDefault="00AD23D3" w:rsidP="00AD23D3">
            <w:pPr>
              <w:ind w:left="0"/>
              <w:jc w:val="center"/>
              <w:rPr>
                <w:caps/>
                <w:sz w:val="20"/>
                <w:szCs w:val="20"/>
              </w:rPr>
            </w:pPr>
          </w:p>
        </w:tc>
      </w:tr>
      <w:tr w:rsidR="00AD23D3" w:rsidRPr="00AD23D3" w14:paraId="6AA56DAE" w14:textId="77777777" w:rsidTr="00AD23D3">
        <w:tc>
          <w:tcPr>
            <w:tcW w:w="3246" w:type="dxa"/>
          </w:tcPr>
          <w:p w14:paraId="1BF4691D" w14:textId="77777777" w:rsidR="00AD23D3" w:rsidRPr="00AD23D3" w:rsidRDefault="00AD23D3" w:rsidP="00AD23D3">
            <w:pPr>
              <w:ind w:left="0"/>
              <w:rPr>
                <w:caps/>
                <w:sz w:val="20"/>
                <w:szCs w:val="20"/>
              </w:rPr>
            </w:pPr>
            <w:r w:rsidRPr="00AD23D3">
              <w:rPr>
                <w:sz w:val="20"/>
                <w:szCs w:val="20"/>
              </w:rPr>
              <w:t>Fatigue or asthenia</w:t>
            </w:r>
          </w:p>
        </w:tc>
        <w:tc>
          <w:tcPr>
            <w:tcW w:w="3193" w:type="dxa"/>
          </w:tcPr>
          <w:p w14:paraId="0A714D7D" w14:textId="77777777" w:rsidR="00AD23D3" w:rsidRPr="00AD23D3" w:rsidRDefault="00AD23D3" w:rsidP="00AD23D3">
            <w:pPr>
              <w:ind w:left="0"/>
              <w:jc w:val="center"/>
              <w:rPr>
                <w:caps/>
                <w:sz w:val="20"/>
                <w:szCs w:val="20"/>
              </w:rPr>
            </w:pPr>
            <w:r w:rsidRPr="00AD23D3">
              <w:rPr>
                <w:caps/>
                <w:sz w:val="20"/>
                <w:szCs w:val="20"/>
              </w:rPr>
              <w:t>44 (40)</w:t>
            </w:r>
          </w:p>
        </w:tc>
        <w:tc>
          <w:tcPr>
            <w:tcW w:w="3196" w:type="dxa"/>
          </w:tcPr>
          <w:p w14:paraId="37B6609E" w14:textId="77777777" w:rsidR="00AD23D3" w:rsidRPr="00AD23D3" w:rsidRDefault="00AD23D3" w:rsidP="00AD23D3">
            <w:pPr>
              <w:ind w:left="0"/>
              <w:jc w:val="center"/>
              <w:rPr>
                <w:caps/>
                <w:sz w:val="20"/>
                <w:szCs w:val="20"/>
              </w:rPr>
            </w:pPr>
            <w:r w:rsidRPr="00AD23D3">
              <w:rPr>
                <w:caps/>
                <w:sz w:val="20"/>
                <w:szCs w:val="20"/>
              </w:rPr>
              <w:t>2 (2)</w:t>
            </w:r>
          </w:p>
        </w:tc>
      </w:tr>
      <w:tr w:rsidR="00AD23D3" w:rsidRPr="00AD23D3" w14:paraId="360F7C62" w14:textId="77777777" w:rsidTr="00AD23D3">
        <w:tc>
          <w:tcPr>
            <w:tcW w:w="3246" w:type="dxa"/>
          </w:tcPr>
          <w:p w14:paraId="676D95B5" w14:textId="77777777" w:rsidR="00AD23D3" w:rsidRPr="00AD23D3" w:rsidRDefault="00AD23D3" w:rsidP="00AD23D3">
            <w:pPr>
              <w:ind w:left="0"/>
              <w:rPr>
                <w:caps/>
                <w:sz w:val="20"/>
                <w:szCs w:val="20"/>
              </w:rPr>
            </w:pPr>
            <w:r w:rsidRPr="00AD23D3">
              <w:rPr>
                <w:sz w:val="20"/>
                <w:szCs w:val="20"/>
              </w:rPr>
              <w:t>Oedema peripheral</w:t>
            </w:r>
          </w:p>
        </w:tc>
        <w:tc>
          <w:tcPr>
            <w:tcW w:w="3193" w:type="dxa"/>
          </w:tcPr>
          <w:p w14:paraId="7215375D" w14:textId="77777777" w:rsidR="00AD23D3" w:rsidRPr="00AD23D3" w:rsidRDefault="00AD23D3" w:rsidP="00AD23D3">
            <w:pPr>
              <w:ind w:left="0"/>
              <w:jc w:val="center"/>
              <w:rPr>
                <w:caps/>
                <w:sz w:val="20"/>
                <w:szCs w:val="20"/>
              </w:rPr>
            </w:pPr>
            <w:r w:rsidRPr="00AD23D3">
              <w:rPr>
                <w:caps/>
                <w:sz w:val="20"/>
                <w:szCs w:val="20"/>
              </w:rPr>
              <w:t>16 (14)</w:t>
            </w:r>
          </w:p>
        </w:tc>
        <w:tc>
          <w:tcPr>
            <w:tcW w:w="3196" w:type="dxa"/>
          </w:tcPr>
          <w:p w14:paraId="32F9D93B" w14:textId="77777777" w:rsidR="00AD23D3" w:rsidRPr="00AD23D3" w:rsidRDefault="00AD23D3" w:rsidP="00AD23D3">
            <w:pPr>
              <w:ind w:left="0"/>
              <w:jc w:val="center"/>
              <w:rPr>
                <w:caps/>
                <w:sz w:val="20"/>
                <w:szCs w:val="20"/>
              </w:rPr>
            </w:pPr>
            <w:r w:rsidRPr="00AD23D3">
              <w:rPr>
                <w:caps/>
                <w:sz w:val="20"/>
                <w:szCs w:val="20"/>
              </w:rPr>
              <w:t>0</w:t>
            </w:r>
          </w:p>
        </w:tc>
      </w:tr>
      <w:tr w:rsidR="00AD23D3" w:rsidRPr="00AD23D3" w14:paraId="12D80B24" w14:textId="77777777" w:rsidTr="00AD23D3">
        <w:tc>
          <w:tcPr>
            <w:tcW w:w="3246" w:type="dxa"/>
          </w:tcPr>
          <w:p w14:paraId="0B238E2D" w14:textId="77777777" w:rsidR="00AD23D3" w:rsidRPr="00AD23D3" w:rsidRDefault="00AD23D3" w:rsidP="00AD23D3">
            <w:pPr>
              <w:ind w:left="0"/>
              <w:rPr>
                <w:caps/>
                <w:sz w:val="20"/>
                <w:szCs w:val="20"/>
              </w:rPr>
            </w:pPr>
          </w:p>
        </w:tc>
        <w:tc>
          <w:tcPr>
            <w:tcW w:w="3193" w:type="dxa"/>
          </w:tcPr>
          <w:p w14:paraId="6E120E44" w14:textId="77777777" w:rsidR="00AD23D3" w:rsidRPr="00AD23D3" w:rsidRDefault="00AD23D3" w:rsidP="00AD23D3">
            <w:pPr>
              <w:ind w:left="0"/>
              <w:jc w:val="center"/>
              <w:rPr>
                <w:caps/>
                <w:sz w:val="20"/>
                <w:szCs w:val="20"/>
              </w:rPr>
            </w:pPr>
          </w:p>
        </w:tc>
        <w:tc>
          <w:tcPr>
            <w:tcW w:w="3196" w:type="dxa"/>
          </w:tcPr>
          <w:p w14:paraId="45BA3034" w14:textId="77777777" w:rsidR="00AD23D3" w:rsidRPr="00AD23D3" w:rsidRDefault="00AD23D3" w:rsidP="00AD23D3">
            <w:pPr>
              <w:ind w:left="0"/>
              <w:jc w:val="center"/>
              <w:rPr>
                <w:caps/>
                <w:sz w:val="20"/>
                <w:szCs w:val="20"/>
              </w:rPr>
            </w:pPr>
          </w:p>
        </w:tc>
      </w:tr>
      <w:tr w:rsidR="00AD23D3" w:rsidRPr="00AD23D3" w14:paraId="1F88C923" w14:textId="77777777" w:rsidTr="00AD23D3">
        <w:tc>
          <w:tcPr>
            <w:tcW w:w="3246" w:type="dxa"/>
          </w:tcPr>
          <w:p w14:paraId="05302C2A" w14:textId="77777777" w:rsidR="00AD23D3" w:rsidRPr="00AD23D3" w:rsidRDefault="00AD23D3" w:rsidP="00AD23D3">
            <w:pPr>
              <w:ind w:left="0"/>
              <w:rPr>
                <w:caps/>
                <w:sz w:val="20"/>
                <w:szCs w:val="20"/>
              </w:rPr>
            </w:pPr>
            <w:r w:rsidRPr="00AD23D3">
              <w:rPr>
                <w:rFonts w:eastAsia="Times New Roman"/>
                <w:b/>
                <w:color w:val="auto"/>
                <w:sz w:val="18"/>
                <w:szCs w:val="22"/>
              </w:rPr>
              <w:t>Blood and lymphatic system disorders</w:t>
            </w:r>
          </w:p>
        </w:tc>
        <w:tc>
          <w:tcPr>
            <w:tcW w:w="3193" w:type="dxa"/>
          </w:tcPr>
          <w:p w14:paraId="241AF0B2" w14:textId="77777777" w:rsidR="00AD23D3" w:rsidRPr="00AD23D3" w:rsidRDefault="00AD23D3" w:rsidP="00AD23D3">
            <w:pPr>
              <w:ind w:left="0"/>
              <w:jc w:val="center"/>
              <w:rPr>
                <w:caps/>
                <w:sz w:val="20"/>
                <w:szCs w:val="20"/>
              </w:rPr>
            </w:pPr>
          </w:p>
        </w:tc>
        <w:tc>
          <w:tcPr>
            <w:tcW w:w="3196" w:type="dxa"/>
          </w:tcPr>
          <w:p w14:paraId="3890A14D" w14:textId="77777777" w:rsidR="00AD23D3" w:rsidRPr="00AD23D3" w:rsidRDefault="00AD23D3" w:rsidP="00AD23D3">
            <w:pPr>
              <w:ind w:left="0"/>
              <w:jc w:val="center"/>
              <w:rPr>
                <w:caps/>
                <w:sz w:val="20"/>
                <w:szCs w:val="20"/>
              </w:rPr>
            </w:pPr>
          </w:p>
        </w:tc>
      </w:tr>
      <w:tr w:rsidR="00AD23D3" w:rsidRPr="00AD23D3" w14:paraId="44FDAFE8" w14:textId="77777777" w:rsidTr="00AD23D3">
        <w:tc>
          <w:tcPr>
            <w:tcW w:w="3246" w:type="dxa"/>
          </w:tcPr>
          <w:p w14:paraId="5D99061A" w14:textId="77777777" w:rsidR="00AD23D3" w:rsidRPr="00AD23D3" w:rsidRDefault="00AD23D3" w:rsidP="00AD23D3">
            <w:pPr>
              <w:ind w:left="0"/>
              <w:jc w:val="both"/>
              <w:rPr>
                <w:caps/>
                <w:sz w:val="20"/>
                <w:szCs w:val="20"/>
              </w:rPr>
            </w:pPr>
            <w:r w:rsidRPr="00AD23D3">
              <w:rPr>
                <w:sz w:val="20"/>
                <w:szCs w:val="20"/>
              </w:rPr>
              <w:t>Thrombocytopenia</w:t>
            </w:r>
          </w:p>
        </w:tc>
        <w:tc>
          <w:tcPr>
            <w:tcW w:w="3193" w:type="dxa"/>
          </w:tcPr>
          <w:p w14:paraId="528BEABC" w14:textId="77777777" w:rsidR="00AD23D3" w:rsidRPr="00AD23D3" w:rsidRDefault="00AD23D3" w:rsidP="00AD23D3">
            <w:pPr>
              <w:ind w:left="0"/>
              <w:jc w:val="center"/>
              <w:rPr>
                <w:caps/>
                <w:sz w:val="20"/>
                <w:szCs w:val="20"/>
              </w:rPr>
            </w:pPr>
            <w:r w:rsidRPr="00AD23D3">
              <w:rPr>
                <w:caps/>
                <w:sz w:val="20"/>
                <w:szCs w:val="20"/>
              </w:rPr>
              <w:t>28 (25)</w:t>
            </w:r>
          </w:p>
        </w:tc>
        <w:tc>
          <w:tcPr>
            <w:tcW w:w="3196" w:type="dxa"/>
          </w:tcPr>
          <w:p w14:paraId="5CB91F96" w14:textId="77777777" w:rsidR="00AD23D3" w:rsidRPr="00AD23D3" w:rsidRDefault="00AD23D3" w:rsidP="00AD23D3">
            <w:pPr>
              <w:ind w:left="0"/>
              <w:jc w:val="center"/>
              <w:rPr>
                <w:caps/>
                <w:sz w:val="20"/>
                <w:szCs w:val="20"/>
              </w:rPr>
            </w:pPr>
            <w:r w:rsidRPr="00AD23D3">
              <w:rPr>
                <w:caps/>
                <w:sz w:val="20"/>
                <w:szCs w:val="20"/>
              </w:rPr>
              <w:t>11 (5)</w:t>
            </w:r>
          </w:p>
        </w:tc>
      </w:tr>
      <w:tr w:rsidR="00AD23D3" w:rsidRPr="00AD23D3" w14:paraId="0673FF20" w14:textId="77777777" w:rsidTr="00AD23D3">
        <w:tc>
          <w:tcPr>
            <w:tcW w:w="3246" w:type="dxa"/>
          </w:tcPr>
          <w:p w14:paraId="53523F22" w14:textId="77777777" w:rsidR="00AD23D3" w:rsidRPr="00AD23D3" w:rsidRDefault="00AD23D3" w:rsidP="00AD23D3">
            <w:pPr>
              <w:ind w:left="0"/>
              <w:jc w:val="both"/>
              <w:rPr>
                <w:caps/>
                <w:sz w:val="20"/>
                <w:szCs w:val="20"/>
              </w:rPr>
            </w:pPr>
            <w:proofErr w:type="spellStart"/>
            <w:r w:rsidRPr="00AD23D3">
              <w:rPr>
                <w:sz w:val="20"/>
                <w:szCs w:val="20"/>
              </w:rPr>
              <w:t>Anaemia</w:t>
            </w:r>
            <w:proofErr w:type="spellEnd"/>
          </w:p>
        </w:tc>
        <w:tc>
          <w:tcPr>
            <w:tcW w:w="3193" w:type="dxa"/>
          </w:tcPr>
          <w:p w14:paraId="154CCBC1" w14:textId="77777777" w:rsidR="00AD23D3" w:rsidRPr="00AD23D3" w:rsidRDefault="00AD23D3" w:rsidP="00AD23D3">
            <w:pPr>
              <w:ind w:left="0"/>
              <w:jc w:val="center"/>
              <w:rPr>
                <w:caps/>
                <w:sz w:val="20"/>
                <w:szCs w:val="20"/>
              </w:rPr>
            </w:pPr>
            <w:r w:rsidRPr="00AD23D3">
              <w:rPr>
                <w:caps/>
                <w:sz w:val="20"/>
                <w:szCs w:val="20"/>
              </w:rPr>
              <w:t xml:space="preserve">16 (14) </w:t>
            </w:r>
          </w:p>
        </w:tc>
        <w:tc>
          <w:tcPr>
            <w:tcW w:w="3196" w:type="dxa"/>
          </w:tcPr>
          <w:p w14:paraId="3E315AC5" w14:textId="77777777" w:rsidR="00AD23D3" w:rsidRPr="00AD23D3" w:rsidRDefault="00AD23D3" w:rsidP="00AD23D3">
            <w:pPr>
              <w:ind w:left="0"/>
              <w:jc w:val="center"/>
              <w:rPr>
                <w:caps/>
                <w:sz w:val="20"/>
                <w:szCs w:val="20"/>
              </w:rPr>
            </w:pPr>
            <w:r w:rsidRPr="00AD23D3">
              <w:rPr>
                <w:caps/>
                <w:sz w:val="20"/>
                <w:szCs w:val="20"/>
              </w:rPr>
              <w:t>6 (3)</w:t>
            </w:r>
          </w:p>
        </w:tc>
      </w:tr>
      <w:tr w:rsidR="00AD23D3" w:rsidRPr="00AD23D3" w14:paraId="67CA1691" w14:textId="77777777" w:rsidTr="00AD23D3">
        <w:tc>
          <w:tcPr>
            <w:tcW w:w="3246" w:type="dxa"/>
          </w:tcPr>
          <w:p w14:paraId="2B0F3403" w14:textId="77777777" w:rsidR="00AD23D3" w:rsidRPr="00AD23D3" w:rsidRDefault="00AD23D3" w:rsidP="00AD23D3">
            <w:pPr>
              <w:ind w:left="0"/>
              <w:jc w:val="both"/>
              <w:rPr>
                <w:caps/>
                <w:sz w:val="20"/>
                <w:szCs w:val="20"/>
              </w:rPr>
            </w:pPr>
            <w:r w:rsidRPr="00AD23D3">
              <w:rPr>
                <w:sz w:val="20"/>
                <w:szCs w:val="20"/>
              </w:rPr>
              <w:t>Lymphopenia</w:t>
            </w:r>
          </w:p>
        </w:tc>
        <w:tc>
          <w:tcPr>
            <w:tcW w:w="3193" w:type="dxa"/>
          </w:tcPr>
          <w:p w14:paraId="014B1236" w14:textId="77777777" w:rsidR="00AD23D3" w:rsidRPr="00AD23D3" w:rsidRDefault="00AD23D3" w:rsidP="00AD23D3">
            <w:pPr>
              <w:ind w:left="0"/>
              <w:jc w:val="center"/>
              <w:rPr>
                <w:caps/>
                <w:sz w:val="20"/>
                <w:szCs w:val="20"/>
              </w:rPr>
            </w:pPr>
            <w:r w:rsidRPr="00AD23D3">
              <w:rPr>
                <w:caps/>
                <w:sz w:val="20"/>
                <w:szCs w:val="20"/>
              </w:rPr>
              <w:t>20 (18)</w:t>
            </w:r>
          </w:p>
        </w:tc>
        <w:tc>
          <w:tcPr>
            <w:tcW w:w="3196" w:type="dxa"/>
          </w:tcPr>
          <w:p w14:paraId="38066128" w14:textId="77777777" w:rsidR="00AD23D3" w:rsidRPr="00AD23D3" w:rsidRDefault="00AD23D3" w:rsidP="00AD23D3">
            <w:pPr>
              <w:ind w:left="0"/>
              <w:jc w:val="center"/>
              <w:rPr>
                <w:caps/>
                <w:sz w:val="20"/>
                <w:szCs w:val="20"/>
              </w:rPr>
            </w:pPr>
          </w:p>
        </w:tc>
      </w:tr>
      <w:tr w:rsidR="00AD23D3" w:rsidRPr="00AD23D3" w14:paraId="50F25F2F" w14:textId="77777777" w:rsidTr="00AD23D3">
        <w:tc>
          <w:tcPr>
            <w:tcW w:w="3246" w:type="dxa"/>
          </w:tcPr>
          <w:p w14:paraId="4ED0B894" w14:textId="77777777" w:rsidR="00AD23D3" w:rsidRPr="00AD23D3" w:rsidRDefault="00AD23D3" w:rsidP="00AD23D3">
            <w:pPr>
              <w:ind w:left="0"/>
              <w:jc w:val="both"/>
              <w:rPr>
                <w:caps/>
                <w:sz w:val="20"/>
                <w:szCs w:val="20"/>
              </w:rPr>
            </w:pPr>
            <w:r w:rsidRPr="00AD23D3">
              <w:rPr>
                <w:sz w:val="20"/>
                <w:szCs w:val="20"/>
              </w:rPr>
              <w:t>Leukopenia</w:t>
            </w:r>
          </w:p>
        </w:tc>
        <w:tc>
          <w:tcPr>
            <w:tcW w:w="3193" w:type="dxa"/>
          </w:tcPr>
          <w:p w14:paraId="3845E1EE" w14:textId="77777777" w:rsidR="00AD23D3" w:rsidRPr="00AD23D3" w:rsidRDefault="00AD23D3" w:rsidP="00AD23D3">
            <w:pPr>
              <w:ind w:left="0"/>
              <w:jc w:val="center"/>
              <w:rPr>
                <w:caps/>
                <w:sz w:val="20"/>
                <w:szCs w:val="20"/>
              </w:rPr>
            </w:pPr>
            <w:r w:rsidRPr="00AD23D3">
              <w:rPr>
                <w:caps/>
                <w:sz w:val="20"/>
                <w:szCs w:val="20"/>
              </w:rPr>
              <w:t>11 (10)</w:t>
            </w:r>
          </w:p>
        </w:tc>
        <w:tc>
          <w:tcPr>
            <w:tcW w:w="3196" w:type="dxa"/>
          </w:tcPr>
          <w:p w14:paraId="6BF92AF8" w14:textId="77777777" w:rsidR="00AD23D3" w:rsidRPr="00AD23D3" w:rsidRDefault="00AD23D3" w:rsidP="00AD23D3">
            <w:pPr>
              <w:ind w:left="0"/>
              <w:jc w:val="center"/>
              <w:rPr>
                <w:caps/>
                <w:sz w:val="20"/>
                <w:szCs w:val="20"/>
              </w:rPr>
            </w:pPr>
            <w:r w:rsidRPr="00AD23D3">
              <w:rPr>
                <w:caps/>
                <w:sz w:val="20"/>
                <w:szCs w:val="20"/>
              </w:rPr>
              <w:t>20 (10)</w:t>
            </w:r>
          </w:p>
        </w:tc>
      </w:tr>
      <w:tr w:rsidR="00AD23D3" w:rsidRPr="00AD23D3" w14:paraId="0763D2EA" w14:textId="77777777" w:rsidTr="00AD23D3">
        <w:tc>
          <w:tcPr>
            <w:tcW w:w="3246" w:type="dxa"/>
          </w:tcPr>
          <w:p w14:paraId="7D3A67E9" w14:textId="77777777" w:rsidR="00AD23D3" w:rsidRPr="00AD23D3" w:rsidRDefault="00AD23D3" w:rsidP="00AD23D3">
            <w:pPr>
              <w:ind w:left="0"/>
              <w:jc w:val="both"/>
              <w:rPr>
                <w:caps/>
                <w:sz w:val="20"/>
                <w:szCs w:val="20"/>
              </w:rPr>
            </w:pPr>
            <w:r w:rsidRPr="00AD23D3">
              <w:rPr>
                <w:sz w:val="20"/>
                <w:szCs w:val="20"/>
              </w:rPr>
              <w:t>Neutropenia</w:t>
            </w:r>
          </w:p>
        </w:tc>
        <w:tc>
          <w:tcPr>
            <w:tcW w:w="3193" w:type="dxa"/>
          </w:tcPr>
          <w:p w14:paraId="44B14DAE" w14:textId="77777777" w:rsidR="00AD23D3" w:rsidRPr="00AD23D3" w:rsidRDefault="00AD23D3" w:rsidP="00AD23D3">
            <w:pPr>
              <w:ind w:left="0"/>
              <w:jc w:val="center"/>
              <w:rPr>
                <w:caps/>
                <w:sz w:val="20"/>
                <w:szCs w:val="20"/>
              </w:rPr>
            </w:pPr>
            <w:r w:rsidRPr="00AD23D3">
              <w:rPr>
                <w:caps/>
                <w:sz w:val="20"/>
                <w:szCs w:val="20"/>
              </w:rPr>
              <w:t xml:space="preserve">6 (5) </w:t>
            </w:r>
          </w:p>
        </w:tc>
        <w:tc>
          <w:tcPr>
            <w:tcW w:w="3196" w:type="dxa"/>
          </w:tcPr>
          <w:p w14:paraId="60FDE5C0" w14:textId="77777777" w:rsidR="00AD23D3" w:rsidRPr="00AD23D3" w:rsidRDefault="00AD23D3" w:rsidP="00AD23D3">
            <w:pPr>
              <w:ind w:left="0"/>
              <w:jc w:val="center"/>
              <w:rPr>
                <w:caps/>
                <w:sz w:val="20"/>
                <w:szCs w:val="20"/>
              </w:rPr>
            </w:pPr>
            <w:r w:rsidRPr="00AD23D3">
              <w:rPr>
                <w:caps/>
                <w:sz w:val="20"/>
                <w:szCs w:val="20"/>
              </w:rPr>
              <w:t>3 (1)</w:t>
            </w:r>
          </w:p>
        </w:tc>
      </w:tr>
      <w:tr w:rsidR="00AD23D3" w:rsidRPr="00AD23D3" w14:paraId="25986F6A" w14:textId="77777777" w:rsidTr="00AD23D3">
        <w:tc>
          <w:tcPr>
            <w:tcW w:w="3246" w:type="dxa"/>
          </w:tcPr>
          <w:p w14:paraId="1B9F1E85" w14:textId="77777777" w:rsidR="00AD23D3" w:rsidRPr="00AD23D3" w:rsidRDefault="00AD23D3" w:rsidP="00AD23D3">
            <w:pPr>
              <w:ind w:left="0"/>
              <w:jc w:val="both"/>
              <w:rPr>
                <w:caps/>
                <w:sz w:val="20"/>
                <w:szCs w:val="20"/>
              </w:rPr>
            </w:pPr>
          </w:p>
        </w:tc>
        <w:tc>
          <w:tcPr>
            <w:tcW w:w="3193" w:type="dxa"/>
          </w:tcPr>
          <w:p w14:paraId="4262A10B" w14:textId="77777777" w:rsidR="00AD23D3" w:rsidRPr="00AD23D3" w:rsidRDefault="00AD23D3" w:rsidP="00AD23D3">
            <w:pPr>
              <w:ind w:left="0"/>
              <w:jc w:val="center"/>
              <w:rPr>
                <w:caps/>
                <w:sz w:val="20"/>
                <w:szCs w:val="20"/>
              </w:rPr>
            </w:pPr>
          </w:p>
        </w:tc>
        <w:tc>
          <w:tcPr>
            <w:tcW w:w="3196" w:type="dxa"/>
          </w:tcPr>
          <w:p w14:paraId="5CC8FCD5" w14:textId="77777777" w:rsidR="00AD23D3" w:rsidRPr="00AD23D3" w:rsidRDefault="00AD23D3" w:rsidP="00AD23D3">
            <w:pPr>
              <w:ind w:left="0"/>
              <w:jc w:val="center"/>
              <w:rPr>
                <w:caps/>
                <w:sz w:val="20"/>
                <w:szCs w:val="20"/>
              </w:rPr>
            </w:pPr>
          </w:p>
        </w:tc>
      </w:tr>
      <w:tr w:rsidR="00AD23D3" w:rsidRPr="00AD23D3" w14:paraId="6C0F9924" w14:textId="77777777" w:rsidTr="00AD23D3">
        <w:tc>
          <w:tcPr>
            <w:tcW w:w="3246" w:type="dxa"/>
          </w:tcPr>
          <w:p w14:paraId="63F70EE5" w14:textId="77777777" w:rsidR="00AD23D3" w:rsidRPr="00AD23D3" w:rsidRDefault="00AD23D3" w:rsidP="00AD23D3">
            <w:pPr>
              <w:widowControl w:val="0"/>
              <w:autoSpaceDE w:val="0"/>
              <w:autoSpaceDN w:val="0"/>
              <w:spacing w:line="201" w:lineRule="exact"/>
              <w:ind w:left="0"/>
              <w:rPr>
                <w:rFonts w:eastAsia="Times New Roman"/>
                <w:b/>
                <w:color w:val="auto"/>
                <w:sz w:val="18"/>
                <w:szCs w:val="22"/>
              </w:rPr>
            </w:pPr>
            <w:r w:rsidRPr="00AD23D3">
              <w:rPr>
                <w:rFonts w:eastAsia="Times New Roman"/>
                <w:b/>
                <w:color w:val="auto"/>
                <w:sz w:val="18"/>
                <w:szCs w:val="22"/>
              </w:rPr>
              <w:t>Musculoskeletal and</w:t>
            </w:r>
          </w:p>
          <w:p w14:paraId="18035BC8" w14:textId="77777777" w:rsidR="00AD23D3" w:rsidRPr="00AD23D3" w:rsidRDefault="00AD23D3" w:rsidP="00AD23D3">
            <w:pPr>
              <w:ind w:left="0"/>
              <w:rPr>
                <w:caps/>
                <w:sz w:val="20"/>
                <w:szCs w:val="20"/>
              </w:rPr>
            </w:pPr>
            <w:r w:rsidRPr="00AD23D3">
              <w:rPr>
                <w:rFonts w:eastAsia="Times New Roman"/>
                <w:b/>
                <w:color w:val="auto"/>
                <w:sz w:val="18"/>
                <w:szCs w:val="22"/>
              </w:rPr>
              <w:t>connective tissue disorders</w:t>
            </w:r>
          </w:p>
        </w:tc>
        <w:tc>
          <w:tcPr>
            <w:tcW w:w="3193" w:type="dxa"/>
          </w:tcPr>
          <w:p w14:paraId="53E4D368" w14:textId="77777777" w:rsidR="00AD23D3" w:rsidRPr="00AD23D3" w:rsidRDefault="00AD23D3" w:rsidP="00AD23D3">
            <w:pPr>
              <w:ind w:left="0"/>
              <w:jc w:val="center"/>
              <w:rPr>
                <w:caps/>
                <w:sz w:val="20"/>
                <w:szCs w:val="20"/>
              </w:rPr>
            </w:pPr>
          </w:p>
        </w:tc>
        <w:tc>
          <w:tcPr>
            <w:tcW w:w="3196" w:type="dxa"/>
          </w:tcPr>
          <w:p w14:paraId="0C8F2F20" w14:textId="77777777" w:rsidR="00AD23D3" w:rsidRPr="00AD23D3" w:rsidRDefault="00AD23D3" w:rsidP="00AD23D3">
            <w:pPr>
              <w:ind w:left="0"/>
              <w:jc w:val="center"/>
              <w:rPr>
                <w:caps/>
                <w:sz w:val="20"/>
                <w:szCs w:val="20"/>
              </w:rPr>
            </w:pPr>
          </w:p>
        </w:tc>
      </w:tr>
      <w:tr w:rsidR="00AD23D3" w:rsidRPr="00AD23D3" w14:paraId="4C22209C" w14:textId="77777777" w:rsidTr="00AD23D3">
        <w:tc>
          <w:tcPr>
            <w:tcW w:w="3246" w:type="dxa"/>
          </w:tcPr>
          <w:p w14:paraId="2D72F4F6" w14:textId="77777777" w:rsidR="00AD23D3" w:rsidRPr="00AD23D3" w:rsidRDefault="00AD23D3" w:rsidP="00AD23D3">
            <w:pPr>
              <w:ind w:left="0"/>
              <w:rPr>
                <w:caps/>
                <w:sz w:val="20"/>
                <w:szCs w:val="20"/>
              </w:rPr>
            </w:pPr>
            <w:r w:rsidRPr="00AD23D3">
              <w:rPr>
                <w:sz w:val="20"/>
                <w:szCs w:val="20"/>
              </w:rPr>
              <w:t>Musculoskeletal pain</w:t>
            </w:r>
          </w:p>
        </w:tc>
        <w:tc>
          <w:tcPr>
            <w:tcW w:w="3193" w:type="dxa"/>
          </w:tcPr>
          <w:p w14:paraId="2E2C5703" w14:textId="77777777" w:rsidR="00AD23D3" w:rsidRPr="00AD23D3" w:rsidRDefault="00AD23D3" w:rsidP="00AD23D3">
            <w:pPr>
              <w:ind w:left="0"/>
              <w:jc w:val="center"/>
              <w:rPr>
                <w:caps/>
                <w:sz w:val="20"/>
                <w:szCs w:val="20"/>
              </w:rPr>
            </w:pPr>
            <w:r w:rsidRPr="00AD23D3">
              <w:rPr>
                <w:caps/>
                <w:sz w:val="20"/>
                <w:szCs w:val="20"/>
              </w:rPr>
              <w:t>32 (29)</w:t>
            </w:r>
          </w:p>
        </w:tc>
        <w:tc>
          <w:tcPr>
            <w:tcW w:w="3196" w:type="dxa"/>
          </w:tcPr>
          <w:p w14:paraId="7612D92A" w14:textId="77777777" w:rsidR="00AD23D3" w:rsidRPr="00AD23D3" w:rsidRDefault="00AD23D3" w:rsidP="00AD23D3">
            <w:pPr>
              <w:ind w:left="0"/>
              <w:jc w:val="center"/>
              <w:rPr>
                <w:caps/>
                <w:sz w:val="20"/>
                <w:szCs w:val="20"/>
              </w:rPr>
            </w:pPr>
            <w:r w:rsidRPr="00AD23D3">
              <w:rPr>
                <w:caps/>
                <w:sz w:val="20"/>
                <w:szCs w:val="20"/>
              </w:rPr>
              <w:t>2 (2)</w:t>
            </w:r>
          </w:p>
        </w:tc>
      </w:tr>
      <w:tr w:rsidR="00AD23D3" w:rsidRPr="00AD23D3" w14:paraId="6D8E47F9" w14:textId="77777777" w:rsidTr="00AD23D3">
        <w:tc>
          <w:tcPr>
            <w:tcW w:w="3246" w:type="dxa"/>
          </w:tcPr>
          <w:p w14:paraId="5449E05B" w14:textId="77777777" w:rsidR="00AD23D3" w:rsidRPr="00AD23D3" w:rsidRDefault="00AD23D3" w:rsidP="00AD23D3">
            <w:pPr>
              <w:ind w:left="0"/>
              <w:rPr>
                <w:sz w:val="20"/>
                <w:szCs w:val="20"/>
              </w:rPr>
            </w:pPr>
          </w:p>
        </w:tc>
        <w:tc>
          <w:tcPr>
            <w:tcW w:w="3193" w:type="dxa"/>
          </w:tcPr>
          <w:p w14:paraId="3130DB2D" w14:textId="77777777" w:rsidR="00AD23D3" w:rsidRPr="00AD23D3" w:rsidRDefault="00AD23D3" w:rsidP="00AD23D3">
            <w:pPr>
              <w:ind w:left="0"/>
              <w:jc w:val="center"/>
              <w:rPr>
                <w:caps/>
                <w:sz w:val="20"/>
                <w:szCs w:val="20"/>
              </w:rPr>
            </w:pPr>
          </w:p>
        </w:tc>
        <w:tc>
          <w:tcPr>
            <w:tcW w:w="3196" w:type="dxa"/>
          </w:tcPr>
          <w:p w14:paraId="3A551834" w14:textId="77777777" w:rsidR="00AD23D3" w:rsidRPr="00AD23D3" w:rsidRDefault="00AD23D3" w:rsidP="00AD23D3">
            <w:pPr>
              <w:ind w:left="0"/>
              <w:jc w:val="center"/>
              <w:rPr>
                <w:caps/>
                <w:sz w:val="20"/>
                <w:szCs w:val="20"/>
              </w:rPr>
            </w:pPr>
          </w:p>
        </w:tc>
      </w:tr>
      <w:tr w:rsidR="00AD23D3" w:rsidRPr="00AD23D3" w14:paraId="17FAA10C" w14:textId="77777777" w:rsidTr="00AD23D3">
        <w:tc>
          <w:tcPr>
            <w:tcW w:w="3246" w:type="dxa"/>
          </w:tcPr>
          <w:p w14:paraId="066C076F" w14:textId="77777777" w:rsidR="00AD23D3" w:rsidRPr="00AD23D3" w:rsidRDefault="00AD23D3" w:rsidP="00AD23D3">
            <w:pPr>
              <w:ind w:left="0"/>
              <w:rPr>
                <w:sz w:val="20"/>
                <w:szCs w:val="20"/>
              </w:rPr>
            </w:pPr>
            <w:r w:rsidRPr="00AD23D3">
              <w:rPr>
                <w:rFonts w:eastAsia="Times New Roman"/>
                <w:b/>
                <w:color w:val="auto"/>
                <w:sz w:val="18"/>
                <w:szCs w:val="22"/>
              </w:rPr>
              <w:t>Renal and urinary disorders</w:t>
            </w:r>
          </w:p>
        </w:tc>
        <w:tc>
          <w:tcPr>
            <w:tcW w:w="3193" w:type="dxa"/>
          </w:tcPr>
          <w:p w14:paraId="7965D70E" w14:textId="77777777" w:rsidR="00AD23D3" w:rsidRPr="00AD23D3" w:rsidRDefault="00AD23D3" w:rsidP="00AD23D3">
            <w:pPr>
              <w:ind w:left="0"/>
              <w:jc w:val="center"/>
              <w:rPr>
                <w:caps/>
                <w:sz w:val="20"/>
                <w:szCs w:val="20"/>
              </w:rPr>
            </w:pPr>
          </w:p>
        </w:tc>
        <w:tc>
          <w:tcPr>
            <w:tcW w:w="3196" w:type="dxa"/>
          </w:tcPr>
          <w:p w14:paraId="52F83AF5" w14:textId="77777777" w:rsidR="00AD23D3" w:rsidRPr="00AD23D3" w:rsidRDefault="00AD23D3" w:rsidP="00AD23D3">
            <w:pPr>
              <w:ind w:left="0"/>
              <w:jc w:val="center"/>
              <w:rPr>
                <w:caps/>
                <w:sz w:val="20"/>
                <w:szCs w:val="20"/>
              </w:rPr>
            </w:pPr>
          </w:p>
        </w:tc>
      </w:tr>
      <w:tr w:rsidR="00AD23D3" w:rsidRPr="00AD23D3" w14:paraId="7363F82F" w14:textId="77777777" w:rsidTr="00AD23D3">
        <w:tc>
          <w:tcPr>
            <w:tcW w:w="3246" w:type="dxa"/>
          </w:tcPr>
          <w:p w14:paraId="05010D40" w14:textId="77777777" w:rsidR="00AD23D3" w:rsidRPr="00AD23D3" w:rsidRDefault="00AD23D3" w:rsidP="00AD23D3">
            <w:pPr>
              <w:ind w:left="0"/>
              <w:rPr>
                <w:sz w:val="20"/>
                <w:szCs w:val="20"/>
              </w:rPr>
            </w:pPr>
            <w:r w:rsidRPr="00AD23D3">
              <w:rPr>
                <w:sz w:val="20"/>
                <w:szCs w:val="20"/>
              </w:rPr>
              <w:t>Increased creatinine</w:t>
            </w:r>
          </w:p>
        </w:tc>
        <w:tc>
          <w:tcPr>
            <w:tcW w:w="3193" w:type="dxa"/>
          </w:tcPr>
          <w:p w14:paraId="1465F318" w14:textId="77777777" w:rsidR="00AD23D3" w:rsidRPr="00AD23D3" w:rsidRDefault="00AD23D3" w:rsidP="00AD23D3">
            <w:pPr>
              <w:ind w:left="0"/>
              <w:jc w:val="center"/>
              <w:rPr>
                <w:caps/>
                <w:sz w:val="20"/>
                <w:szCs w:val="20"/>
              </w:rPr>
            </w:pPr>
            <w:r w:rsidRPr="00AD23D3">
              <w:rPr>
                <w:caps/>
                <w:sz w:val="20"/>
                <w:szCs w:val="20"/>
              </w:rPr>
              <w:t>17 (5)</w:t>
            </w:r>
          </w:p>
        </w:tc>
        <w:tc>
          <w:tcPr>
            <w:tcW w:w="3196" w:type="dxa"/>
          </w:tcPr>
          <w:p w14:paraId="262BA4F4" w14:textId="77777777" w:rsidR="00AD23D3" w:rsidRPr="00AD23D3" w:rsidRDefault="00AD23D3" w:rsidP="00AD23D3">
            <w:pPr>
              <w:ind w:left="0"/>
              <w:jc w:val="center"/>
              <w:rPr>
                <w:caps/>
                <w:sz w:val="20"/>
                <w:szCs w:val="20"/>
              </w:rPr>
            </w:pPr>
            <w:r w:rsidRPr="00AD23D3">
              <w:rPr>
                <w:caps/>
                <w:sz w:val="20"/>
                <w:szCs w:val="20"/>
              </w:rPr>
              <w:t>2 (0.3)</w:t>
            </w:r>
          </w:p>
        </w:tc>
      </w:tr>
      <w:tr w:rsidR="00AD23D3" w:rsidRPr="00AD23D3" w14:paraId="5500B6E7" w14:textId="77777777" w:rsidTr="00AD23D3">
        <w:tc>
          <w:tcPr>
            <w:tcW w:w="3246" w:type="dxa"/>
          </w:tcPr>
          <w:p w14:paraId="5D351138" w14:textId="77777777" w:rsidR="00AD23D3" w:rsidRPr="00AD23D3" w:rsidRDefault="00AD23D3" w:rsidP="00AD23D3">
            <w:pPr>
              <w:ind w:left="0"/>
              <w:rPr>
                <w:sz w:val="20"/>
                <w:szCs w:val="20"/>
              </w:rPr>
            </w:pPr>
            <w:r w:rsidRPr="00AD23D3">
              <w:rPr>
                <w:sz w:val="20"/>
                <w:szCs w:val="20"/>
              </w:rPr>
              <w:t>Nephrotoxicity</w:t>
            </w:r>
          </w:p>
        </w:tc>
        <w:tc>
          <w:tcPr>
            <w:tcW w:w="3193" w:type="dxa"/>
          </w:tcPr>
          <w:p w14:paraId="57E26BC8" w14:textId="77777777" w:rsidR="00AD23D3" w:rsidRPr="00AD23D3" w:rsidRDefault="00AD23D3" w:rsidP="00AD23D3">
            <w:pPr>
              <w:ind w:left="0"/>
              <w:jc w:val="center"/>
              <w:rPr>
                <w:caps/>
                <w:sz w:val="20"/>
                <w:szCs w:val="20"/>
              </w:rPr>
            </w:pPr>
          </w:p>
        </w:tc>
        <w:tc>
          <w:tcPr>
            <w:tcW w:w="3196" w:type="dxa"/>
          </w:tcPr>
          <w:p w14:paraId="244DBAB7" w14:textId="77777777" w:rsidR="00AD23D3" w:rsidRPr="00AD23D3" w:rsidRDefault="00AD23D3" w:rsidP="00AD23D3">
            <w:pPr>
              <w:ind w:left="0"/>
              <w:jc w:val="center"/>
              <w:rPr>
                <w:caps/>
                <w:sz w:val="20"/>
                <w:szCs w:val="20"/>
              </w:rPr>
            </w:pPr>
            <w:r w:rsidRPr="00AD23D3">
              <w:rPr>
                <w:caps/>
                <w:sz w:val="20"/>
                <w:szCs w:val="20"/>
              </w:rPr>
              <w:t>1 (1)</w:t>
            </w:r>
          </w:p>
        </w:tc>
      </w:tr>
      <w:tr w:rsidR="00AD23D3" w:rsidRPr="00AD23D3" w14:paraId="3416B112" w14:textId="77777777" w:rsidTr="00AD23D3">
        <w:tc>
          <w:tcPr>
            <w:tcW w:w="3246" w:type="dxa"/>
          </w:tcPr>
          <w:p w14:paraId="17758D25" w14:textId="77777777" w:rsidR="00AD23D3" w:rsidRPr="00AD23D3" w:rsidRDefault="00AD23D3" w:rsidP="00AD23D3">
            <w:pPr>
              <w:ind w:left="0"/>
              <w:rPr>
                <w:sz w:val="20"/>
                <w:szCs w:val="20"/>
              </w:rPr>
            </w:pPr>
          </w:p>
        </w:tc>
        <w:tc>
          <w:tcPr>
            <w:tcW w:w="3193" w:type="dxa"/>
          </w:tcPr>
          <w:p w14:paraId="13B47406" w14:textId="77777777" w:rsidR="00AD23D3" w:rsidRPr="00AD23D3" w:rsidRDefault="00AD23D3" w:rsidP="00AD23D3">
            <w:pPr>
              <w:ind w:left="0"/>
              <w:jc w:val="center"/>
              <w:rPr>
                <w:caps/>
                <w:sz w:val="20"/>
                <w:szCs w:val="20"/>
              </w:rPr>
            </w:pPr>
          </w:p>
        </w:tc>
        <w:tc>
          <w:tcPr>
            <w:tcW w:w="3196" w:type="dxa"/>
          </w:tcPr>
          <w:p w14:paraId="0CD3CAC5" w14:textId="77777777" w:rsidR="00AD23D3" w:rsidRPr="00AD23D3" w:rsidRDefault="00AD23D3" w:rsidP="00AD23D3">
            <w:pPr>
              <w:ind w:left="0"/>
              <w:jc w:val="center"/>
              <w:rPr>
                <w:caps/>
                <w:sz w:val="20"/>
                <w:szCs w:val="20"/>
              </w:rPr>
            </w:pPr>
          </w:p>
        </w:tc>
      </w:tr>
      <w:tr w:rsidR="00AD23D3" w:rsidRPr="00AD23D3" w14:paraId="4AC1A650" w14:textId="77777777" w:rsidTr="00AD23D3">
        <w:tc>
          <w:tcPr>
            <w:tcW w:w="3246" w:type="dxa"/>
          </w:tcPr>
          <w:p w14:paraId="6593E0A5" w14:textId="77777777" w:rsidR="00AD23D3" w:rsidRPr="00AD23D3" w:rsidRDefault="00AD23D3" w:rsidP="00AD23D3">
            <w:pPr>
              <w:ind w:left="0"/>
              <w:rPr>
                <w:caps/>
                <w:sz w:val="20"/>
                <w:szCs w:val="20"/>
              </w:rPr>
            </w:pPr>
            <w:r w:rsidRPr="00AD23D3">
              <w:rPr>
                <w:rFonts w:eastAsia="Times New Roman"/>
                <w:b/>
                <w:color w:val="auto"/>
                <w:sz w:val="18"/>
                <w:szCs w:val="22"/>
              </w:rPr>
              <w:t>Metabolism and nutrition disorders</w:t>
            </w:r>
          </w:p>
        </w:tc>
        <w:tc>
          <w:tcPr>
            <w:tcW w:w="3193" w:type="dxa"/>
          </w:tcPr>
          <w:p w14:paraId="751E035D" w14:textId="77777777" w:rsidR="00AD23D3" w:rsidRPr="00AD23D3" w:rsidRDefault="00AD23D3" w:rsidP="00AD23D3">
            <w:pPr>
              <w:ind w:left="0"/>
              <w:rPr>
                <w:caps/>
                <w:sz w:val="20"/>
                <w:szCs w:val="20"/>
              </w:rPr>
            </w:pPr>
          </w:p>
        </w:tc>
        <w:tc>
          <w:tcPr>
            <w:tcW w:w="3196" w:type="dxa"/>
          </w:tcPr>
          <w:p w14:paraId="1B73F66E" w14:textId="77777777" w:rsidR="00AD23D3" w:rsidRPr="00AD23D3" w:rsidRDefault="00AD23D3" w:rsidP="00AD23D3">
            <w:pPr>
              <w:ind w:left="0"/>
              <w:rPr>
                <w:caps/>
                <w:sz w:val="20"/>
                <w:szCs w:val="20"/>
              </w:rPr>
            </w:pPr>
          </w:p>
        </w:tc>
      </w:tr>
      <w:tr w:rsidR="00AD23D3" w:rsidRPr="00AD23D3" w14:paraId="06D83CA6" w14:textId="77777777" w:rsidTr="00AD23D3">
        <w:tc>
          <w:tcPr>
            <w:tcW w:w="3246" w:type="dxa"/>
          </w:tcPr>
          <w:p w14:paraId="0216286D" w14:textId="77777777" w:rsidR="00AD23D3" w:rsidRPr="00AD23D3" w:rsidRDefault="00AD23D3" w:rsidP="00AD23D3">
            <w:pPr>
              <w:ind w:left="0"/>
              <w:rPr>
                <w:caps/>
                <w:sz w:val="20"/>
                <w:szCs w:val="20"/>
              </w:rPr>
            </w:pPr>
            <w:r w:rsidRPr="00AD23D3">
              <w:rPr>
                <w:sz w:val="20"/>
                <w:szCs w:val="20"/>
              </w:rPr>
              <w:t>Decreased appetite</w:t>
            </w:r>
          </w:p>
        </w:tc>
        <w:tc>
          <w:tcPr>
            <w:tcW w:w="3193" w:type="dxa"/>
          </w:tcPr>
          <w:p w14:paraId="27199D83" w14:textId="77777777" w:rsidR="00AD23D3" w:rsidRPr="00AD23D3" w:rsidRDefault="00AD23D3" w:rsidP="00AD23D3">
            <w:pPr>
              <w:ind w:left="0"/>
              <w:jc w:val="center"/>
              <w:rPr>
                <w:caps/>
                <w:sz w:val="20"/>
                <w:szCs w:val="20"/>
              </w:rPr>
            </w:pPr>
            <w:r w:rsidRPr="00AD23D3">
              <w:rPr>
                <w:caps/>
                <w:sz w:val="20"/>
                <w:szCs w:val="20"/>
              </w:rPr>
              <w:t>20 (18)</w:t>
            </w:r>
          </w:p>
        </w:tc>
        <w:tc>
          <w:tcPr>
            <w:tcW w:w="3196" w:type="dxa"/>
          </w:tcPr>
          <w:p w14:paraId="1CBC821C" w14:textId="77777777" w:rsidR="00AD23D3" w:rsidRPr="00AD23D3" w:rsidRDefault="00AD23D3" w:rsidP="00AD23D3">
            <w:pPr>
              <w:ind w:left="0"/>
              <w:jc w:val="center"/>
              <w:rPr>
                <w:caps/>
                <w:sz w:val="20"/>
                <w:szCs w:val="20"/>
              </w:rPr>
            </w:pPr>
            <w:r w:rsidRPr="00AD23D3">
              <w:rPr>
                <w:caps/>
                <w:sz w:val="20"/>
                <w:szCs w:val="20"/>
              </w:rPr>
              <w:t>0</w:t>
            </w:r>
          </w:p>
        </w:tc>
      </w:tr>
      <w:tr w:rsidR="00AD23D3" w:rsidRPr="00AD23D3" w14:paraId="08678307" w14:textId="77777777" w:rsidTr="00AD23D3">
        <w:tc>
          <w:tcPr>
            <w:tcW w:w="3246" w:type="dxa"/>
          </w:tcPr>
          <w:p w14:paraId="309B62EE" w14:textId="77777777" w:rsidR="00AD23D3" w:rsidRPr="00AD23D3" w:rsidRDefault="00AD23D3" w:rsidP="00AD23D3">
            <w:pPr>
              <w:ind w:left="0"/>
              <w:rPr>
                <w:caps/>
                <w:sz w:val="20"/>
                <w:szCs w:val="20"/>
              </w:rPr>
            </w:pPr>
          </w:p>
        </w:tc>
        <w:tc>
          <w:tcPr>
            <w:tcW w:w="3193" w:type="dxa"/>
          </w:tcPr>
          <w:p w14:paraId="542F07E5" w14:textId="77777777" w:rsidR="00AD23D3" w:rsidRPr="00AD23D3" w:rsidRDefault="00AD23D3" w:rsidP="00AD23D3">
            <w:pPr>
              <w:ind w:left="0"/>
              <w:jc w:val="center"/>
              <w:rPr>
                <w:caps/>
                <w:sz w:val="20"/>
                <w:szCs w:val="20"/>
              </w:rPr>
            </w:pPr>
          </w:p>
        </w:tc>
        <w:tc>
          <w:tcPr>
            <w:tcW w:w="3196" w:type="dxa"/>
          </w:tcPr>
          <w:p w14:paraId="2B4EC851" w14:textId="77777777" w:rsidR="00AD23D3" w:rsidRPr="00AD23D3" w:rsidRDefault="00AD23D3" w:rsidP="00AD23D3">
            <w:pPr>
              <w:ind w:left="0"/>
              <w:jc w:val="center"/>
              <w:rPr>
                <w:caps/>
                <w:sz w:val="20"/>
                <w:szCs w:val="20"/>
              </w:rPr>
            </w:pPr>
          </w:p>
        </w:tc>
      </w:tr>
      <w:tr w:rsidR="00AD23D3" w:rsidRPr="00AD23D3" w14:paraId="05D01F96" w14:textId="77777777" w:rsidTr="00AD23D3">
        <w:tc>
          <w:tcPr>
            <w:tcW w:w="3246" w:type="dxa"/>
          </w:tcPr>
          <w:p w14:paraId="061A4E7B" w14:textId="77777777" w:rsidR="00AD23D3" w:rsidRPr="00AD23D3" w:rsidRDefault="00AD23D3" w:rsidP="00AD23D3">
            <w:pPr>
              <w:ind w:left="0"/>
              <w:rPr>
                <w:caps/>
                <w:sz w:val="20"/>
                <w:szCs w:val="20"/>
              </w:rPr>
            </w:pPr>
            <w:r w:rsidRPr="00AD23D3">
              <w:rPr>
                <w:rFonts w:eastAsia="Times New Roman"/>
                <w:b/>
                <w:color w:val="auto"/>
                <w:sz w:val="18"/>
                <w:szCs w:val="22"/>
              </w:rPr>
              <w:t>Nervous system disorders</w:t>
            </w:r>
          </w:p>
        </w:tc>
        <w:tc>
          <w:tcPr>
            <w:tcW w:w="3193" w:type="dxa"/>
          </w:tcPr>
          <w:p w14:paraId="3A417B3B" w14:textId="77777777" w:rsidR="00AD23D3" w:rsidRPr="00AD23D3" w:rsidRDefault="00AD23D3" w:rsidP="00AD23D3">
            <w:pPr>
              <w:ind w:left="0"/>
              <w:jc w:val="center"/>
              <w:rPr>
                <w:caps/>
                <w:sz w:val="20"/>
                <w:szCs w:val="20"/>
              </w:rPr>
            </w:pPr>
          </w:p>
        </w:tc>
        <w:tc>
          <w:tcPr>
            <w:tcW w:w="3196" w:type="dxa"/>
          </w:tcPr>
          <w:p w14:paraId="7D216943" w14:textId="77777777" w:rsidR="00AD23D3" w:rsidRPr="00AD23D3" w:rsidRDefault="00AD23D3" w:rsidP="00AD23D3">
            <w:pPr>
              <w:ind w:left="0"/>
              <w:jc w:val="center"/>
              <w:rPr>
                <w:caps/>
                <w:sz w:val="20"/>
                <w:szCs w:val="20"/>
              </w:rPr>
            </w:pPr>
          </w:p>
        </w:tc>
      </w:tr>
      <w:tr w:rsidR="00AD23D3" w:rsidRPr="00AD23D3" w14:paraId="64117AFC" w14:textId="77777777" w:rsidTr="00AD23D3">
        <w:tc>
          <w:tcPr>
            <w:tcW w:w="3246" w:type="dxa"/>
          </w:tcPr>
          <w:p w14:paraId="1C5874DE" w14:textId="77777777" w:rsidR="00AD23D3" w:rsidRPr="00AD23D3" w:rsidRDefault="00AD23D3" w:rsidP="00AD23D3">
            <w:pPr>
              <w:ind w:left="0"/>
              <w:rPr>
                <w:caps/>
                <w:sz w:val="20"/>
                <w:szCs w:val="20"/>
              </w:rPr>
            </w:pPr>
            <w:r w:rsidRPr="00AD23D3">
              <w:rPr>
                <w:sz w:val="20"/>
                <w:szCs w:val="20"/>
              </w:rPr>
              <w:t>Headache</w:t>
            </w:r>
          </w:p>
        </w:tc>
        <w:tc>
          <w:tcPr>
            <w:tcW w:w="3193" w:type="dxa"/>
          </w:tcPr>
          <w:p w14:paraId="0888250B" w14:textId="77777777" w:rsidR="00AD23D3" w:rsidRPr="00AD23D3" w:rsidRDefault="00AD23D3" w:rsidP="00AD23D3">
            <w:pPr>
              <w:ind w:left="0"/>
              <w:jc w:val="center"/>
              <w:rPr>
                <w:caps/>
                <w:sz w:val="20"/>
                <w:szCs w:val="20"/>
              </w:rPr>
            </w:pPr>
            <w:r w:rsidRPr="00AD23D3">
              <w:rPr>
                <w:caps/>
                <w:sz w:val="20"/>
                <w:szCs w:val="20"/>
              </w:rPr>
              <w:t>18 (16)</w:t>
            </w:r>
          </w:p>
        </w:tc>
        <w:tc>
          <w:tcPr>
            <w:tcW w:w="3196" w:type="dxa"/>
          </w:tcPr>
          <w:p w14:paraId="6A01D9E8" w14:textId="77777777" w:rsidR="00AD23D3" w:rsidRPr="00AD23D3" w:rsidRDefault="00AD23D3" w:rsidP="00AD23D3">
            <w:pPr>
              <w:ind w:left="0"/>
              <w:jc w:val="center"/>
              <w:rPr>
                <w:caps/>
                <w:sz w:val="20"/>
                <w:szCs w:val="20"/>
              </w:rPr>
            </w:pPr>
            <w:r w:rsidRPr="00AD23D3">
              <w:rPr>
                <w:caps/>
                <w:sz w:val="20"/>
                <w:szCs w:val="20"/>
              </w:rPr>
              <w:t>0</w:t>
            </w:r>
          </w:p>
        </w:tc>
      </w:tr>
      <w:tr w:rsidR="00AD23D3" w:rsidRPr="00AD23D3" w14:paraId="6B3D19C0" w14:textId="77777777" w:rsidTr="00AD23D3">
        <w:tc>
          <w:tcPr>
            <w:tcW w:w="3246" w:type="dxa"/>
          </w:tcPr>
          <w:p w14:paraId="0DA8105C" w14:textId="77777777" w:rsidR="00AD23D3" w:rsidRPr="00AD23D3" w:rsidRDefault="00AD23D3" w:rsidP="00AD23D3">
            <w:pPr>
              <w:ind w:left="0"/>
              <w:rPr>
                <w:caps/>
                <w:sz w:val="20"/>
                <w:szCs w:val="20"/>
              </w:rPr>
            </w:pPr>
            <w:r w:rsidRPr="00AD23D3">
              <w:rPr>
                <w:sz w:val="20"/>
                <w:szCs w:val="20"/>
              </w:rPr>
              <w:t>Dizziness</w:t>
            </w:r>
          </w:p>
        </w:tc>
        <w:tc>
          <w:tcPr>
            <w:tcW w:w="3193" w:type="dxa"/>
          </w:tcPr>
          <w:p w14:paraId="038841BD" w14:textId="77777777" w:rsidR="00AD23D3" w:rsidRPr="00AD23D3" w:rsidRDefault="00AD23D3" w:rsidP="00AD23D3">
            <w:pPr>
              <w:ind w:left="0"/>
              <w:jc w:val="center"/>
              <w:rPr>
                <w:caps/>
                <w:sz w:val="20"/>
                <w:szCs w:val="20"/>
              </w:rPr>
            </w:pPr>
            <w:r w:rsidRPr="00AD23D3">
              <w:rPr>
                <w:caps/>
                <w:sz w:val="20"/>
                <w:szCs w:val="20"/>
              </w:rPr>
              <w:t>12 (11)</w:t>
            </w:r>
          </w:p>
        </w:tc>
        <w:tc>
          <w:tcPr>
            <w:tcW w:w="3196" w:type="dxa"/>
          </w:tcPr>
          <w:p w14:paraId="1D4E9880" w14:textId="77777777" w:rsidR="00AD23D3" w:rsidRPr="00AD23D3" w:rsidRDefault="00AD23D3" w:rsidP="00AD23D3">
            <w:pPr>
              <w:ind w:left="0"/>
              <w:jc w:val="center"/>
              <w:rPr>
                <w:caps/>
                <w:sz w:val="20"/>
                <w:szCs w:val="20"/>
              </w:rPr>
            </w:pPr>
            <w:r w:rsidRPr="00AD23D3">
              <w:rPr>
                <w:caps/>
                <w:sz w:val="20"/>
                <w:szCs w:val="20"/>
              </w:rPr>
              <w:t>0</w:t>
            </w:r>
          </w:p>
        </w:tc>
      </w:tr>
      <w:tr w:rsidR="00AD23D3" w:rsidRPr="00AD23D3" w14:paraId="494DFD95" w14:textId="77777777" w:rsidTr="00AD23D3">
        <w:tc>
          <w:tcPr>
            <w:tcW w:w="3246" w:type="dxa"/>
          </w:tcPr>
          <w:p w14:paraId="2211BDE2" w14:textId="77777777" w:rsidR="00AD23D3" w:rsidRPr="00AD23D3" w:rsidRDefault="00AD23D3" w:rsidP="00AD23D3">
            <w:pPr>
              <w:ind w:left="0"/>
              <w:rPr>
                <w:caps/>
                <w:sz w:val="20"/>
                <w:szCs w:val="20"/>
              </w:rPr>
            </w:pPr>
          </w:p>
        </w:tc>
        <w:tc>
          <w:tcPr>
            <w:tcW w:w="3193" w:type="dxa"/>
          </w:tcPr>
          <w:p w14:paraId="1DAE4691" w14:textId="77777777" w:rsidR="00AD23D3" w:rsidRPr="00AD23D3" w:rsidRDefault="00AD23D3" w:rsidP="00AD23D3">
            <w:pPr>
              <w:ind w:left="0"/>
              <w:jc w:val="center"/>
              <w:rPr>
                <w:caps/>
                <w:sz w:val="20"/>
                <w:szCs w:val="20"/>
              </w:rPr>
            </w:pPr>
          </w:p>
        </w:tc>
        <w:tc>
          <w:tcPr>
            <w:tcW w:w="3196" w:type="dxa"/>
          </w:tcPr>
          <w:p w14:paraId="41D5FCBF" w14:textId="77777777" w:rsidR="00AD23D3" w:rsidRPr="00AD23D3" w:rsidRDefault="00AD23D3" w:rsidP="00AD23D3">
            <w:pPr>
              <w:ind w:left="0"/>
              <w:jc w:val="center"/>
              <w:rPr>
                <w:caps/>
                <w:sz w:val="20"/>
                <w:szCs w:val="20"/>
              </w:rPr>
            </w:pPr>
          </w:p>
        </w:tc>
      </w:tr>
      <w:tr w:rsidR="00AD23D3" w:rsidRPr="00AD23D3" w14:paraId="6D4B1969" w14:textId="77777777" w:rsidTr="00AD23D3">
        <w:tc>
          <w:tcPr>
            <w:tcW w:w="3246" w:type="dxa"/>
          </w:tcPr>
          <w:p w14:paraId="500620EF" w14:textId="77777777" w:rsidR="00AD23D3" w:rsidRPr="00AD23D3" w:rsidRDefault="00AD23D3" w:rsidP="00AD23D3">
            <w:pPr>
              <w:ind w:left="0"/>
              <w:rPr>
                <w:caps/>
                <w:sz w:val="20"/>
                <w:szCs w:val="20"/>
              </w:rPr>
            </w:pPr>
            <w:r w:rsidRPr="00AD23D3">
              <w:rPr>
                <w:rFonts w:eastAsia="Times New Roman"/>
                <w:b/>
                <w:color w:val="auto"/>
                <w:sz w:val="18"/>
                <w:szCs w:val="22"/>
              </w:rPr>
              <w:t>Vascular disorders</w:t>
            </w:r>
          </w:p>
        </w:tc>
        <w:tc>
          <w:tcPr>
            <w:tcW w:w="3193" w:type="dxa"/>
          </w:tcPr>
          <w:p w14:paraId="162A4891" w14:textId="77777777" w:rsidR="00AD23D3" w:rsidRPr="00AD23D3" w:rsidRDefault="00AD23D3" w:rsidP="00AD23D3">
            <w:pPr>
              <w:ind w:left="0"/>
              <w:jc w:val="center"/>
              <w:rPr>
                <w:caps/>
                <w:sz w:val="20"/>
                <w:szCs w:val="20"/>
              </w:rPr>
            </w:pPr>
          </w:p>
        </w:tc>
        <w:tc>
          <w:tcPr>
            <w:tcW w:w="3196" w:type="dxa"/>
          </w:tcPr>
          <w:p w14:paraId="6F2EB10C" w14:textId="77777777" w:rsidR="00AD23D3" w:rsidRPr="00AD23D3" w:rsidRDefault="00AD23D3" w:rsidP="00AD23D3">
            <w:pPr>
              <w:ind w:left="0"/>
              <w:jc w:val="center"/>
              <w:rPr>
                <w:caps/>
                <w:sz w:val="20"/>
                <w:szCs w:val="20"/>
              </w:rPr>
            </w:pPr>
          </w:p>
        </w:tc>
      </w:tr>
      <w:tr w:rsidR="00AD23D3" w:rsidRPr="00AD23D3" w14:paraId="7041087C" w14:textId="77777777" w:rsidTr="00AD23D3">
        <w:tc>
          <w:tcPr>
            <w:tcW w:w="3246" w:type="dxa"/>
          </w:tcPr>
          <w:p w14:paraId="751ABB51" w14:textId="77777777" w:rsidR="00AD23D3" w:rsidRPr="00AD23D3" w:rsidRDefault="00AD23D3" w:rsidP="00AD23D3">
            <w:pPr>
              <w:ind w:left="0"/>
              <w:rPr>
                <w:caps/>
                <w:sz w:val="20"/>
                <w:szCs w:val="20"/>
              </w:rPr>
            </w:pPr>
            <w:r w:rsidRPr="00AD23D3">
              <w:rPr>
                <w:sz w:val="20"/>
                <w:szCs w:val="20"/>
              </w:rPr>
              <w:t>Flushing</w:t>
            </w:r>
          </w:p>
        </w:tc>
        <w:tc>
          <w:tcPr>
            <w:tcW w:w="3193" w:type="dxa"/>
          </w:tcPr>
          <w:p w14:paraId="1D90FB1A" w14:textId="77777777" w:rsidR="00AD23D3" w:rsidRPr="00AD23D3" w:rsidRDefault="00AD23D3" w:rsidP="00AD23D3">
            <w:pPr>
              <w:ind w:left="0"/>
              <w:jc w:val="center"/>
              <w:rPr>
                <w:caps/>
                <w:sz w:val="20"/>
                <w:szCs w:val="20"/>
              </w:rPr>
            </w:pPr>
            <w:r w:rsidRPr="00AD23D3">
              <w:rPr>
                <w:caps/>
                <w:sz w:val="20"/>
                <w:szCs w:val="20"/>
              </w:rPr>
              <w:t>14 (13)</w:t>
            </w:r>
          </w:p>
        </w:tc>
        <w:tc>
          <w:tcPr>
            <w:tcW w:w="3196" w:type="dxa"/>
          </w:tcPr>
          <w:p w14:paraId="5DFDE4D8" w14:textId="77777777" w:rsidR="00AD23D3" w:rsidRPr="00AD23D3" w:rsidRDefault="00AD23D3" w:rsidP="00AD23D3">
            <w:pPr>
              <w:ind w:left="0"/>
              <w:jc w:val="center"/>
              <w:rPr>
                <w:caps/>
                <w:sz w:val="20"/>
                <w:szCs w:val="20"/>
              </w:rPr>
            </w:pPr>
            <w:r w:rsidRPr="00AD23D3">
              <w:rPr>
                <w:caps/>
                <w:sz w:val="20"/>
                <w:szCs w:val="20"/>
              </w:rPr>
              <w:t>1 (1)</w:t>
            </w:r>
          </w:p>
        </w:tc>
      </w:tr>
      <w:tr w:rsidR="00AD23D3" w:rsidRPr="00AD23D3" w14:paraId="26FEA645" w14:textId="77777777" w:rsidTr="00AD23D3">
        <w:tc>
          <w:tcPr>
            <w:tcW w:w="3246" w:type="dxa"/>
          </w:tcPr>
          <w:p w14:paraId="09EF6AF8" w14:textId="77777777" w:rsidR="00AD23D3" w:rsidRPr="00AD23D3" w:rsidRDefault="00AD23D3" w:rsidP="00AD23D3">
            <w:pPr>
              <w:ind w:left="0"/>
              <w:rPr>
                <w:caps/>
                <w:sz w:val="20"/>
                <w:szCs w:val="20"/>
              </w:rPr>
            </w:pPr>
          </w:p>
        </w:tc>
        <w:tc>
          <w:tcPr>
            <w:tcW w:w="3193" w:type="dxa"/>
          </w:tcPr>
          <w:p w14:paraId="40E7718D" w14:textId="77777777" w:rsidR="00AD23D3" w:rsidRPr="00AD23D3" w:rsidRDefault="00AD23D3" w:rsidP="00AD23D3">
            <w:pPr>
              <w:ind w:left="0"/>
              <w:jc w:val="center"/>
              <w:rPr>
                <w:caps/>
                <w:sz w:val="20"/>
                <w:szCs w:val="20"/>
              </w:rPr>
            </w:pPr>
          </w:p>
        </w:tc>
        <w:tc>
          <w:tcPr>
            <w:tcW w:w="3196" w:type="dxa"/>
          </w:tcPr>
          <w:p w14:paraId="09FC16AD" w14:textId="77777777" w:rsidR="00AD23D3" w:rsidRPr="00AD23D3" w:rsidRDefault="00AD23D3" w:rsidP="00AD23D3">
            <w:pPr>
              <w:ind w:left="0"/>
              <w:jc w:val="center"/>
              <w:rPr>
                <w:caps/>
                <w:sz w:val="20"/>
                <w:szCs w:val="20"/>
              </w:rPr>
            </w:pPr>
          </w:p>
        </w:tc>
      </w:tr>
      <w:tr w:rsidR="00AD23D3" w:rsidRPr="00AD23D3" w14:paraId="62602292" w14:textId="77777777" w:rsidTr="00AD23D3">
        <w:tc>
          <w:tcPr>
            <w:tcW w:w="3246" w:type="dxa"/>
          </w:tcPr>
          <w:p w14:paraId="123D5A1E" w14:textId="77777777" w:rsidR="00AD23D3" w:rsidRPr="00AD23D3" w:rsidRDefault="00AD23D3" w:rsidP="00AD23D3">
            <w:pPr>
              <w:ind w:left="0"/>
              <w:rPr>
                <w:caps/>
                <w:sz w:val="20"/>
                <w:szCs w:val="20"/>
              </w:rPr>
            </w:pPr>
            <w:r w:rsidRPr="00AD23D3">
              <w:rPr>
                <w:rFonts w:eastAsia="Times New Roman"/>
                <w:b/>
                <w:color w:val="auto"/>
                <w:sz w:val="18"/>
                <w:szCs w:val="22"/>
              </w:rPr>
              <w:t>Skin and subcutaneous tissue disorders</w:t>
            </w:r>
          </w:p>
        </w:tc>
        <w:tc>
          <w:tcPr>
            <w:tcW w:w="3193" w:type="dxa"/>
          </w:tcPr>
          <w:p w14:paraId="56B6FB73" w14:textId="77777777" w:rsidR="00AD23D3" w:rsidRPr="00AD23D3" w:rsidRDefault="00AD23D3" w:rsidP="00AD23D3">
            <w:pPr>
              <w:ind w:left="0"/>
              <w:jc w:val="center"/>
              <w:rPr>
                <w:caps/>
                <w:sz w:val="20"/>
                <w:szCs w:val="20"/>
              </w:rPr>
            </w:pPr>
          </w:p>
        </w:tc>
        <w:tc>
          <w:tcPr>
            <w:tcW w:w="3196" w:type="dxa"/>
          </w:tcPr>
          <w:p w14:paraId="44D960B7" w14:textId="77777777" w:rsidR="00AD23D3" w:rsidRPr="00AD23D3" w:rsidRDefault="00AD23D3" w:rsidP="00AD23D3">
            <w:pPr>
              <w:ind w:left="0"/>
              <w:jc w:val="center"/>
              <w:rPr>
                <w:caps/>
                <w:sz w:val="20"/>
                <w:szCs w:val="20"/>
              </w:rPr>
            </w:pPr>
          </w:p>
        </w:tc>
      </w:tr>
      <w:tr w:rsidR="00AD23D3" w:rsidRPr="00AD23D3" w14:paraId="78148531" w14:textId="77777777" w:rsidTr="00AD23D3">
        <w:tc>
          <w:tcPr>
            <w:tcW w:w="3246" w:type="dxa"/>
          </w:tcPr>
          <w:p w14:paraId="1D1B2FEE" w14:textId="77777777" w:rsidR="00AD23D3" w:rsidRPr="00AD23D3" w:rsidRDefault="00AD23D3" w:rsidP="00AD23D3">
            <w:pPr>
              <w:ind w:left="0"/>
              <w:rPr>
                <w:rFonts w:eastAsia="Times New Roman"/>
                <w:bCs/>
                <w:color w:val="auto"/>
                <w:sz w:val="18"/>
                <w:szCs w:val="22"/>
              </w:rPr>
            </w:pPr>
            <w:r w:rsidRPr="00AD23D3">
              <w:rPr>
                <w:rFonts w:eastAsia="Times New Roman"/>
                <w:bCs/>
                <w:color w:val="auto"/>
                <w:sz w:val="18"/>
                <w:szCs w:val="22"/>
              </w:rPr>
              <w:t>Alopecia</w:t>
            </w:r>
          </w:p>
        </w:tc>
        <w:tc>
          <w:tcPr>
            <w:tcW w:w="3193" w:type="dxa"/>
          </w:tcPr>
          <w:p w14:paraId="370A7EB9" w14:textId="77777777" w:rsidR="00AD23D3" w:rsidRPr="00AD23D3" w:rsidRDefault="00AD23D3" w:rsidP="00AD23D3">
            <w:pPr>
              <w:ind w:left="0"/>
              <w:jc w:val="center"/>
              <w:rPr>
                <w:caps/>
                <w:sz w:val="20"/>
                <w:szCs w:val="20"/>
              </w:rPr>
            </w:pPr>
            <w:r w:rsidRPr="00AD23D3">
              <w:rPr>
                <w:caps/>
                <w:sz w:val="20"/>
                <w:szCs w:val="20"/>
              </w:rPr>
              <w:t>12 (11)</w:t>
            </w:r>
          </w:p>
        </w:tc>
        <w:tc>
          <w:tcPr>
            <w:tcW w:w="3196" w:type="dxa"/>
          </w:tcPr>
          <w:p w14:paraId="28AC6111" w14:textId="77777777" w:rsidR="00AD23D3" w:rsidRPr="00AD23D3" w:rsidRDefault="00AD23D3" w:rsidP="00AD23D3">
            <w:pPr>
              <w:ind w:left="0"/>
              <w:jc w:val="center"/>
              <w:rPr>
                <w:caps/>
                <w:sz w:val="20"/>
                <w:szCs w:val="20"/>
              </w:rPr>
            </w:pPr>
            <w:r w:rsidRPr="00AD23D3">
              <w:rPr>
                <w:caps/>
                <w:sz w:val="20"/>
                <w:szCs w:val="20"/>
              </w:rPr>
              <w:t>2 (2)</w:t>
            </w:r>
          </w:p>
        </w:tc>
      </w:tr>
      <w:tr w:rsidR="00AD23D3" w:rsidRPr="00AD23D3" w14:paraId="6B352C1A" w14:textId="77777777" w:rsidTr="00AD23D3">
        <w:tc>
          <w:tcPr>
            <w:tcW w:w="3246" w:type="dxa"/>
          </w:tcPr>
          <w:p w14:paraId="46469599" w14:textId="77777777" w:rsidR="00AD23D3" w:rsidRPr="00AD23D3" w:rsidRDefault="00AD23D3" w:rsidP="00AD23D3">
            <w:pPr>
              <w:ind w:left="0"/>
              <w:rPr>
                <w:rFonts w:eastAsia="Times New Roman"/>
                <w:b/>
                <w:color w:val="auto"/>
                <w:sz w:val="18"/>
                <w:szCs w:val="22"/>
              </w:rPr>
            </w:pPr>
          </w:p>
        </w:tc>
        <w:tc>
          <w:tcPr>
            <w:tcW w:w="3193" w:type="dxa"/>
          </w:tcPr>
          <w:p w14:paraId="1CE5DE88" w14:textId="77777777" w:rsidR="00AD23D3" w:rsidRPr="00AD23D3" w:rsidRDefault="00AD23D3" w:rsidP="00AD23D3">
            <w:pPr>
              <w:ind w:left="0"/>
              <w:jc w:val="center"/>
              <w:rPr>
                <w:caps/>
                <w:sz w:val="20"/>
                <w:szCs w:val="20"/>
              </w:rPr>
            </w:pPr>
          </w:p>
        </w:tc>
        <w:tc>
          <w:tcPr>
            <w:tcW w:w="3196" w:type="dxa"/>
          </w:tcPr>
          <w:p w14:paraId="3996D9FA" w14:textId="77777777" w:rsidR="00AD23D3" w:rsidRPr="00AD23D3" w:rsidRDefault="00AD23D3" w:rsidP="00AD23D3">
            <w:pPr>
              <w:ind w:left="0"/>
              <w:jc w:val="center"/>
              <w:rPr>
                <w:caps/>
                <w:sz w:val="20"/>
                <w:szCs w:val="20"/>
              </w:rPr>
            </w:pPr>
          </w:p>
        </w:tc>
      </w:tr>
      <w:tr w:rsidR="00AD23D3" w:rsidRPr="00AD23D3" w14:paraId="248A4647" w14:textId="77777777" w:rsidTr="00AD23D3">
        <w:tc>
          <w:tcPr>
            <w:tcW w:w="3246" w:type="dxa"/>
          </w:tcPr>
          <w:p w14:paraId="71E9CAF1" w14:textId="77777777" w:rsidR="00AD23D3" w:rsidRPr="00AD23D3" w:rsidRDefault="00AD23D3" w:rsidP="00AD23D3">
            <w:pPr>
              <w:ind w:left="0"/>
              <w:rPr>
                <w:rFonts w:eastAsia="Times New Roman"/>
                <w:b/>
                <w:color w:val="auto"/>
                <w:sz w:val="18"/>
                <w:szCs w:val="22"/>
              </w:rPr>
            </w:pPr>
            <w:r w:rsidRPr="00AD23D3">
              <w:rPr>
                <w:rFonts w:eastAsia="Times New Roman"/>
                <w:b/>
                <w:color w:val="auto"/>
                <w:sz w:val="18"/>
                <w:szCs w:val="22"/>
              </w:rPr>
              <w:t xml:space="preserve">Respiratory, </w:t>
            </w:r>
            <w:proofErr w:type="gramStart"/>
            <w:r w:rsidRPr="00AD23D3">
              <w:rPr>
                <w:rFonts w:eastAsia="Times New Roman"/>
                <w:b/>
                <w:color w:val="auto"/>
                <w:sz w:val="18"/>
                <w:szCs w:val="22"/>
              </w:rPr>
              <w:t>thoracic</w:t>
            </w:r>
            <w:proofErr w:type="gramEnd"/>
            <w:r w:rsidRPr="00AD23D3">
              <w:rPr>
                <w:rFonts w:eastAsia="Times New Roman"/>
                <w:b/>
                <w:color w:val="auto"/>
                <w:sz w:val="18"/>
                <w:szCs w:val="22"/>
              </w:rPr>
              <w:t xml:space="preserve"> and mediastinal disorders</w:t>
            </w:r>
          </w:p>
        </w:tc>
        <w:tc>
          <w:tcPr>
            <w:tcW w:w="3193" w:type="dxa"/>
          </w:tcPr>
          <w:p w14:paraId="311B762A" w14:textId="77777777" w:rsidR="00AD23D3" w:rsidRPr="00AD23D3" w:rsidRDefault="00AD23D3" w:rsidP="00AD23D3">
            <w:pPr>
              <w:ind w:left="0"/>
              <w:jc w:val="center"/>
              <w:rPr>
                <w:caps/>
                <w:sz w:val="20"/>
                <w:szCs w:val="20"/>
              </w:rPr>
            </w:pPr>
          </w:p>
        </w:tc>
        <w:tc>
          <w:tcPr>
            <w:tcW w:w="3196" w:type="dxa"/>
          </w:tcPr>
          <w:p w14:paraId="0590F16B" w14:textId="77777777" w:rsidR="00AD23D3" w:rsidRPr="00AD23D3" w:rsidRDefault="00AD23D3" w:rsidP="00AD23D3">
            <w:pPr>
              <w:ind w:left="0"/>
              <w:jc w:val="center"/>
              <w:rPr>
                <w:caps/>
                <w:sz w:val="20"/>
                <w:szCs w:val="20"/>
              </w:rPr>
            </w:pPr>
          </w:p>
        </w:tc>
      </w:tr>
      <w:tr w:rsidR="00AD23D3" w:rsidRPr="00AD23D3" w14:paraId="389A814E" w14:textId="77777777" w:rsidTr="00AD23D3">
        <w:tc>
          <w:tcPr>
            <w:tcW w:w="3246" w:type="dxa"/>
          </w:tcPr>
          <w:p w14:paraId="67B6D24E" w14:textId="77777777" w:rsidR="00AD23D3" w:rsidRPr="00AD23D3" w:rsidRDefault="00AD23D3" w:rsidP="00AD23D3">
            <w:pPr>
              <w:ind w:left="0"/>
              <w:rPr>
                <w:caps/>
                <w:sz w:val="20"/>
                <w:szCs w:val="20"/>
              </w:rPr>
            </w:pPr>
            <w:r w:rsidRPr="00AD23D3">
              <w:rPr>
                <w:sz w:val="20"/>
                <w:szCs w:val="20"/>
              </w:rPr>
              <w:t>Cough</w:t>
            </w:r>
          </w:p>
        </w:tc>
        <w:tc>
          <w:tcPr>
            <w:tcW w:w="3193" w:type="dxa"/>
          </w:tcPr>
          <w:p w14:paraId="6BAEE33C" w14:textId="77777777" w:rsidR="00AD23D3" w:rsidRPr="00AD23D3" w:rsidRDefault="00AD23D3" w:rsidP="00AD23D3">
            <w:pPr>
              <w:ind w:left="0"/>
              <w:jc w:val="center"/>
              <w:rPr>
                <w:caps/>
                <w:sz w:val="20"/>
                <w:szCs w:val="20"/>
              </w:rPr>
            </w:pPr>
            <w:r w:rsidRPr="00AD23D3">
              <w:rPr>
                <w:caps/>
                <w:sz w:val="20"/>
                <w:szCs w:val="20"/>
              </w:rPr>
              <w:t>12 (11)</w:t>
            </w:r>
          </w:p>
        </w:tc>
        <w:tc>
          <w:tcPr>
            <w:tcW w:w="3196" w:type="dxa"/>
          </w:tcPr>
          <w:p w14:paraId="2F505A07" w14:textId="77777777" w:rsidR="00AD23D3" w:rsidRPr="00AD23D3" w:rsidRDefault="00AD23D3" w:rsidP="00AD23D3">
            <w:pPr>
              <w:ind w:left="0"/>
              <w:jc w:val="center"/>
              <w:rPr>
                <w:caps/>
                <w:sz w:val="20"/>
                <w:szCs w:val="20"/>
              </w:rPr>
            </w:pPr>
            <w:r w:rsidRPr="00AD23D3">
              <w:rPr>
                <w:caps/>
                <w:sz w:val="20"/>
                <w:szCs w:val="20"/>
              </w:rPr>
              <w:t>6 (5)</w:t>
            </w:r>
          </w:p>
        </w:tc>
      </w:tr>
      <w:tr w:rsidR="00AD23D3" w:rsidRPr="00AD23D3" w14:paraId="7D97070D" w14:textId="77777777" w:rsidTr="00AD23D3">
        <w:tc>
          <w:tcPr>
            <w:tcW w:w="3246" w:type="dxa"/>
          </w:tcPr>
          <w:p w14:paraId="1A5F611C" w14:textId="77777777" w:rsidR="00AD23D3" w:rsidRPr="00AD23D3" w:rsidRDefault="00AD23D3" w:rsidP="00AD23D3">
            <w:pPr>
              <w:ind w:left="0"/>
              <w:rPr>
                <w:sz w:val="20"/>
                <w:szCs w:val="20"/>
              </w:rPr>
            </w:pPr>
          </w:p>
        </w:tc>
        <w:tc>
          <w:tcPr>
            <w:tcW w:w="3193" w:type="dxa"/>
          </w:tcPr>
          <w:p w14:paraId="581D257E" w14:textId="77777777" w:rsidR="00AD23D3" w:rsidRPr="00AD23D3" w:rsidRDefault="00AD23D3" w:rsidP="00AD23D3">
            <w:pPr>
              <w:ind w:left="0"/>
              <w:jc w:val="center"/>
              <w:rPr>
                <w:caps/>
                <w:sz w:val="20"/>
                <w:szCs w:val="20"/>
              </w:rPr>
            </w:pPr>
          </w:p>
        </w:tc>
        <w:tc>
          <w:tcPr>
            <w:tcW w:w="3196" w:type="dxa"/>
          </w:tcPr>
          <w:p w14:paraId="7134470F" w14:textId="77777777" w:rsidR="00AD23D3" w:rsidRPr="00AD23D3" w:rsidRDefault="00AD23D3" w:rsidP="00AD23D3">
            <w:pPr>
              <w:ind w:left="0"/>
              <w:jc w:val="center"/>
              <w:rPr>
                <w:caps/>
                <w:sz w:val="20"/>
                <w:szCs w:val="20"/>
              </w:rPr>
            </w:pPr>
          </w:p>
        </w:tc>
      </w:tr>
      <w:tr w:rsidR="00AD23D3" w:rsidRPr="00AD23D3" w14:paraId="71B78A91" w14:textId="77777777" w:rsidTr="00AD23D3">
        <w:tc>
          <w:tcPr>
            <w:tcW w:w="3246" w:type="dxa"/>
          </w:tcPr>
          <w:p w14:paraId="25F680A0" w14:textId="77777777" w:rsidR="00AD23D3" w:rsidRPr="00AD23D3" w:rsidRDefault="00AD23D3" w:rsidP="00AD23D3">
            <w:pPr>
              <w:ind w:left="0"/>
              <w:rPr>
                <w:sz w:val="20"/>
                <w:szCs w:val="20"/>
              </w:rPr>
            </w:pPr>
            <w:r w:rsidRPr="00AD23D3">
              <w:rPr>
                <w:rFonts w:eastAsia="Times New Roman"/>
                <w:b/>
                <w:color w:val="auto"/>
                <w:sz w:val="18"/>
                <w:szCs w:val="22"/>
              </w:rPr>
              <w:t>Investigations</w:t>
            </w:r>
          </w:p>
        </w:tc>
        <w:tc>
          <w:tcPr>
            <w:tcW w:w="3193" w:type="dxa"/>
          </w:tcPr>
          <w:p w14:paraId="7CB13A2F" w14:textId="77777777" w:rsidR="00AD23D3" w:rsidRPr="00AD23D3" w:rsidRDefault="00AD23D3" w:rsidP="00AD23D3">
            <w:pPr>
              <w:ind w:left="0"/>
              <w:jc w:val="center"/>
              <w:rPr>
                <w:caps/>
                <w:sz w:val="20"/>
                <w:szCs w:val="20"/>
              </w:rPr>
            </w:pPr>
          </w:p>
        </w:tc>
        <w:tc>
          <w:tcPr>
            <w:tcW w:w="3196" w:type="dxa"/>
          </w:tcPr>
          <w:p w14:paraId="361228E4" w14:textId="77777777" w:rsidR="00AD23D3" w:rsidRPr="00AD23D3" w:rsidRDefault="00AD23D3" w:rsidP="00AD23D3">
            <w:pPr>
              <w:ind w:left="0"/>
              <w:jc w:val="center"/>
              <w:rPr>
                <w:caps/>
                <w:sz w:val="20"/>
                <w:szCs w:val="20"/>
              </w:rPr>
            </w:pPr>
          </w:p>
        </w:tc>
      </w:tr>
      <w:tr w:rsidR="00AD23D3" w:rsidRPr="00AD23D3" w14:paraId="669C38C0" w14:textId="77777777" w:rsidTr="00AD23D3">
        <w:tc>
          <w:tcPr>
            <w:tcW w:w="3246" w:type="dxa"/>
          </w:tcPr>
          <w:p w14:paraId="294BD16A" w14:textId="77777777" w:rsidR="00AD23D3" w:rsidRPr="00AD23D3" w:rsidRDefault="00AD23D3" w:rsidP="00AD23D3">
            <w:pPr>
              <w:ind w:left="0"/>
              <w:rPr>
                <w:sz w:val="20"/>
                <w:szCs w:val="20"/>
              </w:rPr>
            </w:pPr>
            <w:r w:rsidRPr="00AD23D3">
              <w:rPr>
                <w:sz w:val="20"/>
                <w:szCs w:val="20"/>
              </w:rPr>
              <w:t>Increased liver enzymes</w:t>
            </w:r>
          </w:p>
        </w:tc>
        <w:tc>
          <w:tcPr>
            <w:tcW w:w="3193" w:type="dxa"/>
          </w:tcPr>
          <w:p w14:paraId="5CADA958" w14:textId="77777777" w:rsidR="00AD23D3" w:rsidRPr="00AD23D3" w:rsidRDefault="00AD23D3" w:rsidP="00AD23D3">
            <w:pPr>
              <w:ind w:left="0"/>
              <w:jc w:val="center"/>
              <w:rPr>
                <w:caps/>
                <w:sz w:val="20"/>
                <w:szCs w:val="20"/>
              </w:rPr>
            </w:pPr>
          </w:p>
        </w:tc>
        <w:tc>
          <w:tcPr>
            <w:tcW w:w="3196" w:type="dxa"/>
          </w:tcPr>
          <w:p w14:paraId="0D468D02" w14:textId="77777777" w:rsidR="00AD23D3" w:rsidRPr="00AD23D3" w:rsidRDefault="00AD23D3" w:rsidP="00AD23D3">
            <w:pPr>
              <w:ind w:left="0"/>
              <w:jc w:val="center"/>
              <w:rPr>
                <w:caps/>
                <w:sz w:val="20"/>
                <w:szCs w:val="20"/>
              </w:rPr>
            </w:pPr>
            <w:r w:rsidRPr="00AD23D3">
              <w:rPr>
                <w:caps/>
                <w:sz w:val="20"/>
                <w:szCs w:val="20"/>
              </w:rPr>
              <w:t>20 (3)</w:t>
            </w:r>
          </w:p>
        </w:tc>
      </w:tr>
      <w:tr w:rsidR="00AD23D3" w:rsidRPr="00AD23D3" w14:paraId="399DE1F0" w14:textId="77777777" w:rsidTr="00AD23D3">
        <w:tc>
          <w:tcPr>
            <w:tcW w:w="3246" w:type="dxa"/>
          </w:tcPr>
          <w:p w14:paraId="123A1257" w14:textId="77777777" w:rsidR="00AD23D3" w:rsidRPr="00AD23D3" w:rsidRDefault="00AD23D3" w:rsidP="00AD23D3">
            <w:pPr>
              <w:ind w:left="0"/>
              <w:rPr>
                <w:sz w:val="20"/>
                <w:szCs w:val="20"/>
              </w:rPr>
            </w:pPr>
            <w:proofErr w:type="spellStart"/>
            <w:r w:rsidRPr="00AD23D3">
              <w:rPr>
                <w:sz w:val="20"/>
                <w:szCs w:val="20"/>
              </w:rPr>
              <w:t>Hypocalcaemia</w:t>
            </w:r>
            <w:proofErr w:type="spellEnd"/>
          </w:p>
        </w:tc>
        <w:tc>
          <w:tcPr>
            <w:tcW w:w="3193" w:type="dxa"/>
          </w:tcPr>
          <w:p w14:paraId="58DE5F5B" w14:textId="77777777" w:rsidR="00AD23D3" w:rsidRPr="00AD23D3" w:rsidRDefault="00AD23D3" w:rsidP="00AD23D3">
            <w:pPr>
              <w:ind w:left="0"/>
              <w:jc w:val="center"/>
              <w:rPr>
                <w:caps/>
                <w:sz w:val="20"/>
                <w:szCs w:val="20"/>
              </w:rPr>
            </w:pPr>
            <w:r w:rsidRPr="00AD23D3">
              <w:rPr>
                <w:caps/>
                <w:sz w:val="20"/>
                <w:szCs w:val="20"/>
              </w:rPr>
              <w:t>33 (22)</w:t>
            </w:r>
          </w:p>
        </w:tc>
        <w:tc>
          <w:tcPr>
            <w:tcW w:w="3196" w:type="dxa"/>
          </w:tcPr>
          <w:p w14:paraId="65FD1866" w14:textId="77777777" w:rsidR="00AD23D3" w:rsidRPr="00AD23D3" w:rsidRDefault="00AD23D3" w:rsidP="00AD23D3">
            <w:pPr>
              <w:ind w:left="0"/>
              <w:jc w:val="center"/>
              <w:rPr>
                <w:caps/>
                <w:sz w:val="20"/>
                <w:szCs w:val="20"/>
              </w:rPr>
            </w:pPr>
          </w:p>
        </w:tc>
      </w:tr>
      <w:tr w:rsidR="00AD23D3" w:rsidRPr="00AD23D3" w14:paraId="63781B36" w14:textId="77777777" w:rsidTr="00AD23D3">
        <w:tc>
          <w:tcPr>
            <w:tcW w:w="3246" w:type="dxa"/>
          </w:tcPr>
          <w:p w14:paraId="78F188B4" w14:textId="77777777" w:rsidR="00AD23D3" w:rsidRPr="00AD23D3" w:rsidRDefault="00AD23D3" w:rsidP="00AD23D3">
            <w:pPr>
              <w:ind w:left="0"/>
              <w:rPr>
                <w:sz w:val="20"/>
                <w:szCs w:val="20"/>
              </w:rPr>
            </w:pPr>
          </w:p>
        </w:tc>
        <w:tc>
          <w:tcPr>
            <w:tcW w:w="3193" w:type="dxa"/>
          </w:tcPr>
          <w:p w14:paraId="65165D65" w14:textId="77777777" w:rsidR="00AD23D3" w:rsidRPr="00AD23D3" w:rsidRDefault="00AD23D3" w:rsidP="00AD23D3">
            <w:pPr>
              <w:ind w:left="0"/>
              <w:jc w:val="center"/>
              <w:rPr>
                <w:caps/>
                <w:sz w:val="20"/>
                <w:szCs w:val="20"/>
              </w:rPr>
            </w:pPr>
          </w:p>
        </w:tc>
        <w:tc>
          <w:tcPr>
            <w:tcW w:w="3196" w:type="dxa"/>
          </w:tcPr>
          <w:p w14:paraId="2609DD36" w14:textId="77777777" w:rsidR="00AD23D3" w:rsidRPr="00AD23D3" w:rsidRDefault="00AD23D3" w:rsidP="00AD23D3">
            <w:pPr>
              <w:ind w:left="0"/>
              <w:jc w:val="center"/>
              <w:rPr>
                <w:caps/>
                <w:sz w:val="20"/>
                <w:szCs w:val="20"/>
              </w:rPr>
            </w:pPr>
          </w:p>
        </w:tc>
      </w:tr>
      <w:tr w:rsidR="00AD23D3" w:rsidRPr="00AD23D3" w14:paraId="408DE335" w14:textId="77777777" w:rsidTr="00AD23D3">
        <w:tc>
          <w:tcPr>
            <w:tcW w:w="3246" w:type="dxa"/>
          </w:tcPr>
          <w:p w14:paraId="11B8C21C" w14:textId="77777777" w:rsidR="00AD23D3" w:rsidRPr="00AD23D3" w:rsidRDefault="00AD23D3" w:rsidP="00AD23D3">
            <w:pPr>
              <w:widowControl w:val="0"/>
              <w:autoSpaceDE w:val="0"/>
              <w:autoSpaceDN w:val="0"/>
              <w:spacing w:line="201" w:lineRule="exact"/>
              <w:ind w:left="0"/>
              <w:rPr>
                <w:rFonts w:eastAsia="Times New Roman"/>
                <w:b/>
                <w:color w:val="auto"/>
                <w:sz w:val="18"/>
                <w:szCs w:val="22"/>
              </w:rPr>
            </w:pPr>
            <w:r w:rsidRPr="00AD23D3">
              <w:rPr>
                <w:rFonts w:eastAsia="Times New Roman"/>
                <w:b/>
                <w:color w:val="auto"/>
                <w:sz w:val="18"/>
                <w:szCs w:val="22"/>
              </w:rPr>
              <w:t>Injury, poisoning and</w:t>
            </w:r>
          </w:p>
          <w:p w14:paraId="77FB5754" w14:textId="77777777" w:rsidR="00AD23D3" w:rsidRPr="00AD23D3" w:rsidRDefault="00AD23D3" w:rsidP="00AD23D3">
            <w:pPr>
              <w:ind w:left="0"/>
              <w:rPr>
                <w:sz w:val="20"/>
                <w:szCs w:val="20"/>
              </w:rPr>
            </w:pPr>
            <w:r w:rsidRPr="00AD23D3">
              <w:rPr>
                <w:rFonts w:eastAsia="Times New Roman"/>
                <w:b/>
                <w:color w:val="auto"/>
                <w:sz w:val="18"/>
                <w:szCs w:val="22"/>
              </w:rPr>
              <w:t>procedural complications</w:t>
            </w:r>
          </w:p>
        </w:tc>
        <w:tc>
          <w:tcPr>
            <w:tcW w:w="3193" w:type="dxa"/>
          </w:tcPr>
          <w:p w14:paraId="00522356" w14:textId="77777777" w:rsidR="00AD23D3" w:rsidRPr="00AD23D3" w:rsidRDefault="00AD23D3" w:rsidP="00AD23D3">
            <w:pPr>
              <w:ind w:left="0"/>
              <w:jc w:val="center"/>
              <w:rPr>
                <w:caps/>
                <w:sz w:val="20"/>
                <w:szCs w:val="20"/>
              </w:rPr>
            </w:pPr>
          </w:p>
        </w:tc>
        <w:tc>
          <w:tcPr>
            <w:tcW w:w="3196" w:type="dxa"/>
          </w:tcPr>
          <w:p w14:paraId="6A224A6B" w14:textId="77777777" w:rsidR="00AD23D3" w:rsidRPr="00AD23D3" w:rsidRDefault="00AD23D3" w:rsidP="00AD23D3">
            <w:pPr>
              <w:ind w:left="0"/>
              <w:jc w:val="center"/>
              <w:rPr>
                <w:caps/>
                <w:sz w:val="20"/>
                <w:szCs w:val="20"/>
              </w:rPr>
            </w:pPr>
          </w:p>
        </w:tc>
      </w:tr>
      <w:tr w:rsidR="00AD23D3" w:rsidRPr="00AD23D3" w14:paraId="62E9AF65" w14:textId="77777777" w:rsidTr="00AD23D3">
        <w:tc>
          <w:tcPr>
            <w:tcW w:w="3246" w:type="dxa"/>
          </w:tcPr>
          <w:p w14:paraId="1E52458B" w14:textId="77777777" w:rsidR="00AD23D3" w:rsidRPr="00AD23D3" w:rsidRDefault="00AD23D3" w:rsidP="00AD23D3">
            <w:pPr>
              <w:ind w:left="0"/>
              <w:rPr>
                <w:sz w:val="20"/>
                <w:szCs w:val="20"/>
              </w:rPr>
            </w:pPr>
            <w:proofErr w:type="gramStart"/>
            <w:r w:rsidRPr="00AD23D3">
              <w:rPr>
                <w:sz w:val="20"/>
                <w:szCs w:val="20"/>
              </w:rPr>
              <w:lastRenderedPageBreak/>
              <w:t>Carcinoid  crisis</w:t>
            </w:r>
            <w:proofErr w:type="gramEnd"/>
          </w:p>
        </w:tc>
        <w:tc>
          <w:tcPr>
            <w:tcW w:w="3193" w:type="dxa"/>
          </w:tcPr>
          <w:p w14:paraId="55429E71" w14:textId="77777777" w:rsidR="00AD23D3" w:rsidRPr="00AD23D3" w:rsidRDefault="00AD23D3" w:rsidP="00AD23D3">
            <w:pPr>
              <w:ind w:left="0"/>
              <w:jc w:val="center"/>
              <w:rPr>
                <w:caps/>
                <w:sz w:val="20"/>
                <w:szCs w:val="20"/>
              </w:rPr>
            </w:pPr>
            <w:r w:rsidRPr="00AD23D3">
              <w:rPr>
                <w:caps/>
                <w:sz w:val="20"/>
                <w:szCs w:val="20"/>
              </w:rPr>
              <w:t>6 (3)</w:t>
            </w:r>
          </w:p>
        </w:tc>
        <w:tc>
          <w:tcPr>
            <w:tcW w:w="3196" w:type="dxa"/>
          </w:tcPr>
          <w:p w14:paraId="77C530AF" w14:textId="77777777" w:rsidR="00AD23D3" w:rsidRPr="00AD23D3" w:rsidRDefault="00AD23D3" w:rsidP="00AD23D3">
            <w:pPr>
              <w:ind w:left="0"/>
              <w:jc w:val="center"/>
              <w:rPr>
                <w:caps/>
                <w:sz w:val="20"/>
                <w:szCs w:val="20"/>
              </w:rPr>
            </w:pPr>
            <w:r w:rsidRPr="00AD23D3">
              <w:rPr>
                <w:caps/>
                <w:sz w:val="20"/>
                <w:szCs w:val="20"/>
              </w:rPr>
              <w:t>1 (1)</w:t>
            </w:r>
          </w:p>
        </w:tc>
      </w:tr>
    </w:tbl>
    <w:p w14:paraId="444869AA" w14:textId="391999DD" w:rsidR="00B93C1C" w:rsidRPr="00B07007" w:rsidRDefault="002B424E" w:rsidP="00B93C1C">
      <w:pPr>
        <w:pStyle w:val="Heading3"/>
        <w:rPr>
          <w:rFonts w:asciiTheme="minorHAnsi" w:hAnsiTheme="minorHAnsi" w:cstheme="minorHAnsi"/>
          <w:szCs w:val="22"/>
        </w:rPr>
      </w:pPr>
      <w:r w:rsidRPr="00B07007">
        <w:rPr>
          <w:rFonts w:asciiTheme="minorHAnsi" w:hAnsiTheme="minorHAnsi" w:cstheme="minorHAnsi"/>
          <w:szCs w:val="22"/>
        </w:rPr>
        <w:t>Reporting suspected adverse effects</w:t>
      </w:r>
    </w:p>
    <w:p w14:paraId="6E5D87A6" w14:textId="3BB9A627" w:rsidR="00497C85" w:rsidRPr="00B07007" w:rsidRDefault="00497C85" w:rsidP="00B2616E">
      <w:pPr>
        <w:rPr>
          <w:rFonts w:asciiTheme="minorHAnsi" w:hAnsiTheme="minorHAnsi" w:cstheme="minorHAnsi"/>
          <w:sz w:val="22"/>
          <w:szCs w:val="22"/>
        </w:rPr>
      </w:pPr>
      <w:r w:rsidRPr="00B07007">
        <w:rPr>
          <w:rFonts w:asciiTheme="minorHAnsi" w:hAnsiTheme="minorHAnsi" w:cstheme="minorHAnsi"/>
          <w:sz w:val="22"/>
          <w:szCs w:val="22"/>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B07007">
          <w:rPr>
            <w:rStyle w:val="Hyperlink"/>
            <w:rFonts w:asciiTheme="minorHAnsi" w:hAnsiTheme="minorHAnsi" w:cstheme="minorHAnsi"/>
            <w:sz w:val="22"/>
            <w:szCs w:val="22"/>
            <w:lang w:val="en"/>
          </w:rPr>
          <w:t>www.tga.gov.au/reporting-problems</w:t>
        </w:r>
      </w:hyperlink>
      <w:r w:rsidRPr="00B07007">
        <w:rPr>
          <w:rFonts w:asciiTheme="minorHAnsi" w:hAnsiTheme="minorHAnsi" w:cstheme="minorHAnsi"/>
          <w:sz w:val="22"/>
          <w:szCs w:val="22"/>
          <w:lang w:val="en"/>
        </w:rPr>
        <w:t>.</w:t>
      </w:r>
    </w:p>
    <w:p w14:paraId="336191CB" w14:textId="5936D927" w:rsidR="00595D54" w:rsidRPr="00B07007" w:rsidRDefault="001A3992" w:rsidP="00595D54">
      <w:pPr>
        <w:pStyle w:val="Heading2"/>
        <w:rPr>
          <w:rFonts w:asciiTheme="minorHAnsi" w:hAnsiTheme="minorHAnsi" w:cstheme="minorHAnsi"/>
          <w:szCs w:val="22"/>
        </w:rPr>
      </w:pPr>
      <w:r w:rsidRPr="00B07007">
        <w:rPr>
          <w:rFonts w:asciiTheme="minorHAnsi" w:hAnsiTheme="minorHAnsi" w:cstheme="minorHAnsi"/>
          <w:szCs w:val="22"/>
        </w:rPr>
        <w:t>Overdose</w:t>
      </w:r>
    </w:p>
    <w:p w14:paraId="1B580021" w14:textId="7A1A140A" w:rsidR="00BC6D12" w:rsidRPr="00BC6D12" w:rsidRDefault="00BC6D12" w:rsidP="00B2616E">
      <w:pPr>
        <w:rPr>
          <w:rFonts w:asciiTheme="minorHAnsi" w:hAnsiTheme="minorHAnsi" w:cstheme="minorHAnsi"/>
          <w:sz w:val="22"/>
          <w:szCs w:val="22"/>
        </w:rPr>
      </w:pPr>
      <w:r w:rsidRPr="00BC6D12">
        <w:rPr>
          <w:rFonts w:asciiTheme="minorHAnsi" w:eastAsia="AdvTT7c3c51d9" w:hAnsiTheme="minorHAnsi" w:cstheme="minorHAnsi"/>
          <w:sz w:val="22"/>
          <w:szCs w:val="22"/>
        </w:rPr>
        <w:t xml:space="preserve">No data are available regarding the effects of an overdose of </w:t>
      </w:r>
      <w:r w:rsidRPr="00BC6D12">
        <w:rPr>
          <w:rFonts w:asciiTheme="minorHAnsi" w:hAnsiTheme="minorHAnsi" w:cstheme="minorHAnsi"/>
          <w:sz w:val="22"/>
          <w:szCs w:val="22"/>
          <w:vertAlign w:val="superscript"/>
        </w:rPr>
        <w:t>177</w:t>
      </w:r>
      <w:r w:rsidRPr="00BC6D12">
        <w:rPr>
          <w:rFonts w:asciiTheme="minorHAnsi" w:hAnsiTheme="minorHAnsi" w:cstheme="minorHAnsi"/>
          <w:sz w:val="22"/>
          <w:szCs w:val="22"/>
        </w:rPr>
        <w:t>Lu-</w:t>
      </w:r>
      <w:r w:rsidRPr="00F65856">
        <w:rPr>
          <w:rFonts w:asciiTheme="minorHAnsi" w:eastAsia="AdvTT7c3c51d9" w:hAnsiTheme="minorHAnsi" w:cstheme="minorHAnsi"/>
          <w:sz w:val="22"/>
          <w:szCs w:val="22"/>
        </w:rPr>
        <w:t>DOTATATE</w:t>
      </w:r>
      <w:r w:rsidR="00F65856" w:rsidRPr="00F65856">
        <w:rPr>
          <w:rFonts w:asciiTheme="minorHAnsi" w:eastAsia="AdvTT7c3c51d9" w:hAnsiTheme="minorHAnsi" w:cstheme="minorHAnsi"/>
          <w:sz w:val="22"/>
          <w:szCs w:val="22"/>
        </w:rPr>
        <w:t xml:space="preserve"> (1,4,7,10-tetraazacyclododecane-1,4,7,10-tetraacetic acid (DOTA)-</w:t>
      </w:r>
      <w:proofErr w:type="spellStart"/>
      <w:r w:rsidR="00F65856" w:rsidRPr="00F65856">
        <w:rPr>
          <w:rFonts w:asciiTheme="minorHAnsi" w:eastAsia="AdvTT7c3c51d9" w:hAnsiTheme="minorHAnsi" w:cstheme="minorHAnsi"/>
          <w:sz w:val="22"/>
          <w:szCs w:val="22"/>
        </w:rPr>
        <w:t>octreotate</w:t>
      </w:r>
      <w:proofErr w:type="spellEnd"/>
      <w:r w:rsidR="00F65856" w:rsidRPr="00F65856">
        <w:rPr>
          <w:rFonts w:asciiTheme="minorHAnsi" w:eastAsia="AdvTT7c3c51d9" w:hAnsiTheme="minorHAnsi" w:cstheme="minorHAnsi"/>
          <w:sz w:val="22"/>
          <w:szCs w:val="22"/>
        </w:rPr>
        <w:t>)</w:t>
      </w:r>
      <w:r w:rsidRPr="00F65856">
        <w:rPr>
          <w:rFonts w:asciiTheme="minorHAnsi" w:eastAsia="AdvTT7c3c51d9" w:hAnsiTheme="minorHAnsi" w:cstheme="minorHAnsi"/>
          <w:sz w:val="22"/>
          <w:szCs w:val="22"/>
        </w:rPr>
        <w:t>.</w:t>
      </w:r>
      <w:r w:rsidRPr="00BC6D12">
        <w:rPr>
          <w:rFonts w:asciiTheme="minorHAnsi" w:eastAsia="AdvTT7c3c51d9" w:hAnsiTheme="minorHAnsi" w:cstheme="minorHAnsi"/>
          <w:sz w:val="22"/>
          <w:szCs w:val="22"/>
        </w:rPr>
        <w:t xml:space="preserve"> The usual dosage regimen for </w:t>
      </w:r>
      <w:r w:rsidRPr="00BC6D12">
        <w:rPr>
          <w:rFonts w:asciiTheme="minorHAnsi" w:hAnsiTheme="minorHAnsi" w:cstheme="minorHAnsi"/>
          <w:sz w:val="22"/>
          <w:szCs w:val="22"/>
          <w:vertAlign w:val="superscript"/>
        </w:rPr>
        <w:t>177</w:t>
      </w:r>
      <w:r w:rsidRPr="00BC6D12">
        <w:rPr>
          <w:rFonts w:asciiTheme="minorHAnsi" w:hAnsiTheme="minorHAnsi" w:cstheme="minorHAnsi"/>
          <w:sz w:val="22"/>
          <w:szCs w:val="22"/>
        </w:rPr>
        <w:t>Lu-DOTATATE</w:t>
      </w:r>
      <w:r w:rsidRPr="00BC6D12">
        <w:rPr>
          <w:rFonts w:asciiTheme="minorHAnsi" w:eastAsia="AdvTT7c3c51d9" w:hAnsiTheme="minorHAnsi" w:cstheme="minorHAnsi"/>
          <w:sz w:val="22"/>
          <w:szCs w:val="22"/>
        </w:rPr>
        <w:t xml:space="preserve"> PRRT is 7.4</w:t>
      </w:r>
      <w:r w:rsidR="00CC0047">
        <w:rPr>
          <w:rFonts w:asciiTheme="minorHAnsi" w:eastAsia="AdvTT7c3c51d9" w:hAnsiTheme="minorHAnsi" w:cstheme="minorHAnsi"/>
          <w:sz w:val="22"/>
          <w:szCs w:val="22"/>
        </w:rPr>
        <w:t xml:space="preserve"> </w:t>
      </w:r>
      <w:proofErr w:type="spellStart"/>
      <w:r w:rsidRPr="00BC6D12">
        <w:rPr>
          <w:rFonts w:asciiTheme="minorHAnsi" w:eastAsia="AdvTT7c3c51d9" w:hAnsiTheme="minorHAnsi" w:cstheme="minorHAnsi"/>
          <w:sz w:val="22"/>
          <w:szCs w:val="22"/>
        </w:rPr>
        <w:t>GBq</w:t>
      </w:r>
      <w:proofErr w:type="spellEnd"/>
      <w:r w:rsidRPr="00BC6D12">
        <w:rPr>
          <w:rFonts w:asciiTheme="minorHAnsi" w:eastAsia="AdvTT7c3c51d9" w:hAnsiTheme="minorHAnsi" w:cstheme="minorHAnsi"/>
          <w:sz w:val="22"/>
          <w:szCs w:val="22"/>
        </w:rPr>
        <w:t xml:space="preserve"> per cycle for 4 cycles.  The highest cumulative dose administered to patients in clinical studies was 78.6GBq and the highest number of cycles was 10.</w:t>
      </w:r>
    </w:p>
    <w:p w14:paraId="00BE8939" w14:textId="44E13B46" w:rsidR="00AF3173" w:rsidRPr="00B07007" w:rsidRDefault="00AF3173" w:rsidP="00B2616E">
      <w:pPr>
        <w:rPr>
          <w:rFonts w:asciiTheme="minorHAnsi" w:hAnsiTheme="minorHAnsi" w:cstheme="minorHAnsi"/>
          <w:sz w:val="22"/>
          <w:szCs w:val="22"/>
        </w:rPr>
      </w:pPr>
      <w:r w:rsidRPr="00B07007">
        <w:rPr>
          <w:rFonts w:asciiTheme="minorHAnsi" w:hAnsiTheme="minorHAnsi" w:cstheme="minorHAnsi"/>
          <w:sz w:val="22"/>
          <w:szCs w:val="22"/>
        </w:rPr>
        <w:t xml:space="preserve">The presence of free </w:t>
      </w:r>
      <w:r w:rsidR="003F2E60">
        <w:rPr>
          <w:rFonts w:asciiTheme="minorHAnsi" w:hAnsiTheme="minorHAnsi" w:cstheme="minorHAnsi"/>
          <w:sz w:val="22"/>
          <w:szCs w:val="22"/>
        </w:rPr>
        <w:t>l</w:t>
      </w:r>
      <w:r w:rsidR="003F2E60" w:rsidRPr="00B07007">
        <w:rPr>
          <w:rFonts w:asciiTheme="minorHAnsi" w:hAnsiTheme="minorHAnsi" w:cstheme="minorHAnsi"/>
          <w:sz w:val="22"/>
          <w:szCs w:val="22"/>
        </w:rPr>
        <w:t>utetium chloride</w:t>
      </w:r>
      <w:r w:rsidR="003F2E60" w:rsidRPr="003F2E60" w:rsidDel="003F2E60">
        <w:rPr>
          <w:rFonts w:asciiTheme="minorHAnsi" w:hAnsiTheme="minorHAnsi" w:cstheme="minorHAnsi"/>
          <w:sz w:val="22"/>
          <w:szCs w:val="22"/>
          <w:vertAlign w:val="superscript"/>
        </w:rPr>
        <w:t xml:space="preserve"> </w:t>
      </w:r>
      <w:r w:rsidRPr="00B07007">
        <w:rPr>
          <w:rFonts w:asciiTheme="minorHAnsi" w:hAnsiTheme="minorHAnsi" w:cstheme="minorHAnsi"/>
          <w:sz w:val="22"/>
          <w:szCs w:val="22"/>
        </w:rPr>
        <w:t xml:space="preserve">in the body after an inadvertent administration </w:t>
      </w:r>
      <w:r w:rsidR="00547314">
        <w:rPr>
          <w:rFonts w:asciiTheme="minorHAnsi" w:hAnsiTheme="minorHAnsi" w:cstheme="minorHAnsi"/>
          <w:sz w:val="22"/>
          <w:szCs w:val="22"/>
        </w:rPr>
        <w:t>is likely</w:t>
      </w:r>
      <w:r w:rsidR="00547314" w:rsidRPr="00B07007">
        <w:rPr>
          <w:rFonts w:asciiTheme="minorHAnsi" w:hAnsiTheme="minorHAnsi" w:cstheme="minorHAnsi"/>
          <w:sz w:val="22"/>
          <w:szCs w:val="22"/>
        </w:rPr>
        <w:t xml:space="preserve"> </w:t>
      </w:r>
      <w:r w:rsidR="002260AF">
        <w:rPr>
          <w:rFonts w:asciiTheme="minorHAnsi" w:hAnsiTheme="minorHAnsi" w:cstheme="minorHAnsi"/>
          <w:sz w:val="22"/>
          <w:szCs w:val="22"/>
        </w:rPr>
        <w:t xml:space="preserve">to </w:t>
      </w:r>
      <w:r w:rsidRPr="00B07007">
        <w:rPr>
          <w:rFonts w:asciiTheme="minorHAnsi" w:hAnsiTheme="minorHAnsi" w:cstheme="minorHAnsi"/>
          <w:sz w:val="22"/>
          <w:szCs w:val="22"/>
        </w:rPr>
        <w:t xml:space="preserve">lead to increased bone marrow toxicity and </w:t>
      </w:r>
      <w:proofErr w:type="spellStart"/>
      <w:r w:rsidRPr="00B07007">
        <w:rPr>
          <w:rFonts w:asciiTheme="minorHAnsi" w:hAnsiTheme="minorHAnsi" w:cstheme="minorHAnsi"/>
          <w:sz w:val="22"/>
          <w:szCs w:val="22"/>
        </w:rPr>
        <w:t>haematopoietic</w:t>
      </w:r>
      <w:proofErr w:type="spellEnd"/>
      <w:r w:rsidRPr="00B07007">
        <w:rPr>
          <w:rFonts w:asciiTheme="minorHAnsi" w:hAnsiTheme="minorHAnsi" w:cstheme="minorHAnsi"/>
          <w:sz w:val="22"/>
          <w:szCs w:val="22"/>
        </w:rPr>
        <w:t xml:space="preserve"> stem cell damage. Therefore, in case of an inadvertent administration of </w:t>
      </w:r>
      <w:r w:rsidR="003F2E60">
        <w:rPr>
          <w:rFonts w:asciiTheme="minorHAnsi" w:hAnsiTheme="minorHAnsi" w:cstheme="minorHAnsi"/>
          <w:sz w:val="22"/>
          <w:szCs w:val="22"/>
        </w:rPr>
        <w:t>l</w:t>
      </w:r>
      <w:r w:rsidR="003F2E60" w:rsidRPr="00B07007">
        <w:rPr>
          <w:rFonts w:asciiTheme="minorHAnsi" w:hAnsiTheme="minorHAnsi" w:cstheme="minorHAnsi"/>
          <w:sz w:val="22"/>
          <w:szCs w:val="22"/>
        </w:rPr>
        <w:t>utetium chloride</w:t>
      </w:r>
      <w:r w:rsidRPr="00B07007">
        <w:rPr>
          <w:rFonts w:asciiTheme="minorHAnsi" w:hAnsiTheme="minorHAnsi" w:cstheme="minorHAnsi"/>
          <w:sz w:val="22"/>
          <w:szCs w:val="22"/>
        </w:rPr>
        <w:t>, the radiotoxicity for the patient must be reduced by immediate (</w:t>
      </w:r>
      <w:proofErr w:type="spellStart"/>
      <w:r w:rsidRPr="00B07007">
        <w:rPr>
          <w:rFonts w:asciiTheme="minorHAnsi" w:hAnsiTheme="minorHAnsi" w:cstheme="minorHAnsi"/>
          <w:sz w:val="22"/>
          <w:szCs w:val="22"/>
        </w:rPr>
        <w:t>i</w:t>
      </w:r>
      <w:proofErr w:type="spellEnd"/>
      <w:r w:rsidRPr="00B07007">
        <w:rPr>
          <w:rFonts w:asciiTheme="minorHAnsi" w:hAnsiTheme="minorHAnsi" w:cstheme="minorHAnsi"/>
          <w:sz w:val="22"/>
          <w:szCs w:val="22"/>
        </w:rPr>
        <w:t xml:space="preserve"> e. within 1 hour) administration of preparations containing chelators like Ca-DTPA </w:t>
      </w:r>
      <w:r w:rsidR="003F2E60" w:rsidRPr="00B07007">
        <w:rPr>
          <w:rFonts w:asciiTheme="minorHAnsi" w:hAnsiTheme="minorHAnsi" w:cstheme="minorHAnsi"/>
          <w:sz w:val="22"/>
          <w:szCs w:val="22"/>
        </w:rPr>
        <w:t>(</w:t>
      </w:r>
      <w:r w:rsidR="003F2E60">
        <w:rPr>
          <w:rFonts w:asciiTheme="minorHAnsi" w:hAnsiTheme="minorHAnsi" w:cstheme="minorHAnsi"/>
          <w:sz w:val="22"/>
          <w:szCs w:val="22"/>
        </w:rPr>
        <w:t>t</w:t>
      </w:r>
      <w:r w:rsidR="003F2E60" w:rsidRPr="00B07007">
        <w:rPr>
          <w:rFonts w:asciiTheme="minorHAnsi" w:hAnsiTheme="minorHAnsi" w:cstheme="minorHAnsi"/>
          <w:sz w:val="22"/>
          <w:szCs w:val="22"/>
        </w:rPr>
        <w:t xml:space="preserve">risodium calcium </w:t>
      </w:r>
      <w:proofErr w:type="spellStart"/>
      <w:r w:rsidR="003F2E60" w:rsidRPr="00B07007">
        <w:rPr>
          <w:rFonts w:asciiTheme="minorHAnsi" w:hAnsiTheme="minorHAnsi" w:cstheme="minorHAnsi"/>
          <w:sz w:val="22"/>
          <w:szCs w:val="22"/>
        </w:rPr>
        <w:t>diethylenetriaminepentaacetate</w:t>
      </w:r>
      <w:proofErr w:type="spellEnd"/>
      <w:r w:rsidR="003F2E60" w:rsidRPr="00B07007">
        <w:rPr>
          <w:rFonts w:asciiTheme="minorHAnsi" w:hAnsiTheme="minorHAnsi" w:cstheme="minorHAnsi"/>
          <w:sz w:val="22"/>
          <w:szCs w:val="22"/>
        </w:rPr>
        <w:t>)</w:t>
      </w:r>
      <w:r w:rsidR="003F2E60" w:rsidRPr="00B07007">
        <w:rPr>
          <w:rFonts w:asciiTheme="minorHAnsi" w:hAnsiTheme="minorHAnsi" w:cstheme="minorHAnsi"/>
          <w:spacing w:val="-3"/>
          <w:sz w:val="22"/>
          <w:szCs w:val="22"/>
        </w:rPr>
        <w:t xml:space="preserve"> </w:t>
      </w:r>
      <w:r w:rsidRPr="00B07007">
        <w:rPr>
          <w:rFonts w:asciiTheme="minorHAnsi" w:hAnsiTheme="minorHAnsi" w:cstheme="minorHAnsi"/>
          <w:sz w:val="22"/>
          <w:szCs w:val="22"/>
        </w:rPr>
        <w:t xml:space="preserve">or Ca-EDTA </w:t>
      </w:r>
      <w:r w:rsidR="003F2E60" w:rsidRPr="00B07007">
        <w:rPr>
          <w:rFonts w:asciiTheme="minorHAnsi" w:hAnsiTheme="minorHAnsi" w:cstheme="minorHAnsi"/>
          <w:sz w:val="22"/>
          <w:szCs w:val="22"/>
        </w:rPr>
        <w:t>(</w:t>
      </w:r>
      <w:r w:rsidR="003F2E60">
        <w:rPr>
          <w:rFonts w:asciiTheme="minorHAnsi" w:hAnsiTheme="minorHAnsi" w:cstheme="minorHAnsi"/>
          <w:sz w:val="22"/>
          <w:szCs w:val="22"/>
        </w:rPr>
        <w:t>c</w:t>
      </w:r>
      <w:r w:rsidR="003F2E60" w:rsidRPr="00B07007">
        <w:rPr>
          <w:rFonts w:asciiTheme="minorHAnsi" w:hAnsiTheme="minorHAnsi" w:cstheme="minorHAnsi"/>
          <w:sz w:val="22"/>
          <w:szCs w:val="22"/>
        </w:rPr>
        <w:t>alcium disodium ethylenediaminetetraacetate)</w:t>
      </w:r>
      <w:r w:rsidR="002260AF">
        <w:rPr>
          <w:rFonts w:asciiTheme="minorHAnsi" w:hAnsiTheme="minorHAnsi" w:cstheme="minorHAnsi"/>
          <w:sz w:val="22"/>
          <w:szCs w:val="22"/>
        </w:rPr>
        <w:t xml:space="preserve"> </w:t>
      </w:r>
      <w:proofErr w:type="gramStart"/>
      <w:r w:rsidRPr="00B07007">
        <w:rPr>
          <w:rFonts w:asciiTheme="minorHAnsi" w:hAnsiTheme="minorHAnsi" w:cstheme="minorHAnsi"/>
          <w:sz w:val="22"/>
          <w:szCs w:val="22"/>
        </w:rPr>
        <w:t>in order to</w:t>
      </w:r>
      <w:proofErr w:type="gramEnd"/>
      <w:r w:rsidRPr="00B07007">
        <w:rPr>
          <w:rFonts w:asciiTheme="minorHAnsi" w:hAnsiTheme="minorHAnsi" w:cstheme="minorHAnsi"/>
          <w:sz w:val="22"/>
          <w:szCs w:val="22"/>
        </w:rPr>
        <w:t xml:space="preserve"> increase the elimination of the radionuclide from the body.</w:t>
      </w:r>
    </w:p>
    <w:p w14:paraId="098E5910" w14:textId="4DA8B49C" w:rsidR="00AF3173" w:rsidRPr="00B07007" w:rsidRDefault="00AF3173" w:rsidP="00B2616E">
      <w:pPr>
        <w:rPr>
          <w:rFonts w:asciiTheme="minorHAnsi" w:hAnsiTheme="minorHAnsi" w:cstheme="minorHAnsi"/>
          <w:sz w:val="22"/>
          <w:szCs w:val="22"/>
        </w:rPr>
      </w:pPr>
      <w:r w:rsidRPr="00B07007">
        <w:rPr>
          <w:rFonts w:asciiTheme="minorHAnsi" w:hAnsiTheme="minorHAnsi" w:cstheme="minorHAnsi"/>
          <w:sz w:val="22"/>
          <w:szCs w:val="22"/>
        </w:rPr>
        <w:t xml:space="preserve">These chelating agents help with the elimination of </w:t>
      </w:r>
      <w:r w:rsidR="003F2E60">
        <w:rPr>
          <w:rFonts w:asciiTheme="minorHAnsi" w:hAnsiTheme="minorHAnsi" w:cstheme="minorHAnsi"/>
          <w:sz w:val="22"/>
          <w:szCs w:val="22"/>
        </w:rPr>
        <w:t>l</w:t>
      </w:r>
      <w:r w:rsidR="003F2E60" w:rsidRPr="00B07007">
        <w:rPr>
          <w:rFonts w:asciiTheme="minorHAnsi" w:hAnsiTheme="minorHAnsi" w:cstheme="minorHAnsi"/>
          <w:sz w:val="22"/>
          <w:szCs w:val="22"/>
        </w:rPr>
        <w:t>utetium chloride</w:t>
      </w:r>
      <w:r w:rsidR="003F2E60" w:rsidRPr="003C27C9" w:rsidDel="003F2E60">
        <w:rPr>
          <w:rFonts w:asciiTheme="minorHAnsi" w:hAnsiTheme="minorHAnsi" w:cstheme="minorHAnsi"/>
          <w:sz w:val="22"/>
          <w:szCs w:val="22"/>
          <w:vertAlign w:val="superscript"/>
        </w:rPr>
        <w:t xml:space="preserve"> </w:t>
      </w:r>
      <w:r w:rsidRPr="00B07007">
        <w:rPr>
          <w:rFonts w:asciiTheme="minorHAnsi" w:hAnsiTheme="minorHAnsi" w:cstheme="minorHAnsi"/>
          <w:sz w:val="22"/>
          <w:szCs w:val="22"/>
        </w:rPr>
        <w:t xml:space="preserve">radiotoxicity by an exchange between the calcium ion in the complex and the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 xml:space="preserve">utetium </w:t>
      </w:r>
      <w:r w:rsidRPr="00B07007">
        <w:rPr>
          <w:rFonts w:asciiTheme="minorHAnsi" w:hAnsiTheme="minorHAnsi" w:cstheme="minorHAnsi"/>
          <w:sz w:val="22"/>
          <w:szCs w:val="22"/>
        </w:rPr>
        <w:t>(</w:t>
      </w:r>
      <w:r w:rsidRPr="00B07007">
        <w:rPr>
          <w:rFonts w:asciiTheme="minorHAnsi" w:hAnsiTheme="minorHAnsi" w:cstheme="minorHAnsi"/>
          <w:sz w:val="22"/>
          <w:szCs w:val="22"/>
          <w:vertAlign w:val="superscript"/>
        </w:rPr>
        <w:t>177</w:t>
      </w:r>
      <w:r w:rsidRPr="00B07007">
        <w:rPr>
          <w:rFonts w:asciiTheme="minorHAnsi" w:hAnsiTheme="minorHAnsi" w:cstheme="minorHAnsi"/>
          <w:sz w:val="22"/>
          <w:szCs w:val="22"/>
        </w:rPr>
        <w:t xml:space="preserve">Lu) ion. Due to the capacity of the chelating ligands (DTPA, EDTA) of forming water soluble complexes, the complexes and bound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 xml:space="preserve">utetium </w:t>
      </w:r>
      <w:r w:rsidRPr="00B07007">
        <w:rPr>
          <w:rFonts w:asciiTheme="minorHAnsi" w:hAnsiTheme="minorHAnsi" w:cstheme="minorHAnsi"/>
          <w:sz w:val="22"/>
          <w:szCs w:val="22"/>
        </w:rPr>
        <w:t>(</w:t>
      </w:r>
      <w:r w:rsidRPr="00B07007">
        <w:rPr>
          <w:rFonts w:asciiTheme="minorHAnsi" w:hAnsiTheme="minorHAnsi" w:cstheme="minorHAnsi"/>
          <w:sz w:val="22"/>
          <w:szCs w:val="22"/>
          <w:vertAlign w:val="superscript"/>
        </w:rPr>
        <w:t>177</w:t>
      </w:r>
      <w:r w:rsidRPr="00B07007">
        <w:rPr>
          <w:rFonts w:asciiTheme="minorHAnsi" w:hAnsiTheme="minorHAnsi" w:cstheme="minorHAnsi"/>
          <w:sz w:val="22"/>
          <w:szCs w:val="22"/>
        </w:rPr>
        <w:t>Lu) are rapidly eliminated by the kidneys.</w:t>
      </w:r>
    </w:p>
    <w:p w14:paraId="5F12D0EB" w14:textId="56F9E00C" w:rsidR="00AF3173" w:rsidRPr="00B07007" w:rsidRDefault="00AF3173" w:rsidP="00B2616E">
      <w:pPr>
        <w:rPr>
          <w:rFonts w:asciiTheme="minorHAnsi" w:hAnsiTheme="minorHAnsi" w:cstheme="minorHAnsi"/>
          <w:sz w:val="22"/>
          <w:szCs w:val="22"/>
        </w:rPr>
      </w:pPr>
      <w:r w:rsidRPr="00B07007">
        <w:rPr>
          <w:rFonts w:asciiTheme="minorHAnsi" w:hAnsiTheme="minorHAnsi" w:cstheme="minorHAnsi"/>
          <w:sz w:val="22"/>
          <w:szCs w:val="22"/>
        </w:rPr>
        <w:t>The chelating efficacy is greatest immediately or within one hour of exposure when the radionuclide is circulating in or available to tissue fluids and plasma. However, a post-exposure interval &gt; 1 hour does not preclude the administration and effective action of chelator with reduced efficiency.</w:t>
      </w:r>
      <w:r w:rsidR="0083543F" w:rsidRPr="00B07007">
        <w:rPr>
          <w:rFonts w:asciiTheme="minorHAnsi" w:hAnsiTheme="minorHAnsi" w:cstheme="minorHAnsi"/>
          <w:sz w:val="22"/>
          <w:szCs w:val="22"/>
        </w:rPr>
        <w:t xml:space="preserve"> </w:t>
      </w:r>
      <w:r w:rsidRPr="00B07007">
        <w:rPr>
          <w:rFonts w:asciiTheme="minorHAnsi" w:hAnsiTheme="minorHAnsi" w:cstheme="minorHAnsi"/>
          <w:sz w:val="22"/>
          <w:szCs w:val="22"/>
        </w:rPr>
        <w:t>Intravenous</w:t>
      </w:r>
      <w:r w:rsidR="0083543F" w:rsidRPr="00B07007">
        <w:rPr>
          <w:rFonts w:asciiTheme="minorHAnsi" w:hAnsiTheme="minorHAnsi" w:cstheme="minorHAnsi"/>
          <w:sz w:val="22"/>
          <w:szCs w:val="22"/>
        </w:rPr>
        <w:t xml:space="preserve"> </w:t>
      </w:r>
      <w:r w:rsidRPr="00B07007">
        <w:rPr>
          <w:rFonts w:asciiTheme="minorHAnsi" w:hAnsiTheme="minorHAnsi" w:cstheme="minorHAnsi"/>
          <w:sz w:val="22"/>
          <w:szCs w:val="22"/>
        </w:rPr>
        <w:t>administration should not be protracted over more than 2 hours.</w:t>
      </w:r>
    </w:p>
    <w:p w14:paraId="2AC68F65" w14:textId="77777777"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Pharmacological properties</w:t>
      </w:r>
    </w:p>
    <w:p w14:paraId="24654488" w14:textId="63F56218" w:rsidR="007E7AE4" w:rsidRPr="00B07007" w:rsidRDefault="001A3992" w:rsidP="007E7AE4">
      <w:pPr>
        <w:pStyle w:val="Heading2"/>
        <w:rPr>
          <w:rFonts w:asciiTheme="minorHAnsi" w:hAnsiTheme="minorHAnsi" w:cstheme="minorHAnsi"/>
          <w:szCs w:val="22"/>
        </w:rPr>
      </w:pPr>
      <w:r w:rsidRPr="00B07007">
        <w:rPr>
          <w:rFonts w:asciiTheme="minorHAnsi" w:hAnsiTheme="minorHAnsi" w:cstheme="minorHAnsi"/>
          <w:szCs w:val="22"/>
        </w:rPr>
        <w:t xml:space="preserve">Pharmacodynamic properties </w:t>
      </w:r>
    </w:p>
    <w:p w14:paraId="2D847C4C" w14:textId="57C12B04" w:rsidR="007E7AE4" w:rsidRPr="00B07007" w:rsidRDefault="007E7AE4" w:rsidP="00B2616E">
      <w:pPr>
        <w:rPr>
          <w:rFonts w:asciiTheme="minorHAnsi" w:hAnsiTheme="minorHAnsi" w:cstheme="minorHAnsi"/>
          <w:sz w:val="22"/>
          <w:szCs w:val="22"/>
        </w:rPr>
      </w:pPr>
      <w:r w:rsidRPr="00B07007">
        <w:rPr>
          <w:rFonts w:asciiTheme="minorHAnsi" w:hAnsiTheme="minorHAnsi" w:cstheme="minorHAnsi"/>
          <w:sz w:val="22"/>
          <w:szCs w:val="22"/>
        </w:rPr>
        <w:t>Pharmacotherapeutic group: Other therapeutic radiopharmaceuticals, ATC code: V10X</w:t>
      </w:r>
    </w:p>
    <w:p w14:paraId="52CEF18F" w14:textId="28984C46" w:rsidR="00DB1BC6" w:rsidRPr="00B07007" w:rsidRDefault="007E7AE4" w:rsidP="00B2616E">
      <w:pPr>
        <w:rPr>
          <w:rFonts w:asciiTheme="minorHAnsi" w:hAnsiTheme="minorHAnsi" w:cstheme="minorHAnsi"/>
          <w:sz w:val="22"/>
          <w:szCs w:val="22"/>
        </w:rPr>
      </w:pPr>
      <w:r w:rsidRPr="00B07007">
        <w:rPr>
          <w:rFonts w:asciiTheme="minorHAnsi" w:hAnsiTheme="minorHAnsi" w:cstheme="minorHAnsi"/>
          <w:sz w:val="22"/>
          <w:szCs w:val="22"/>
        </w:rPr>
        <w:lastRenderedPageBreak/>
        <w:t xml:space="preserve">The pharmacodynamic properties of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 xml:space="preserve">utetium </w:t>
      </w:r>
      <w:r w:rsidRPr="00B07007">
        <w:rPr>
          <w:rFonts w:asciiTheme="minorHAnsi" w:hAnsiTheme="minorHAnsi" w:cstheme="minorHAnsi"/>
          <w:sz w:val="22"/>
          <w:szCs w:val="22"/>
        </w:rPr>
        <w:t>(</w:t>
      </w:r>
      <w:r w:rsidRPr="00B07007">
        <w:rPr>
          <w:rFonts w:asciiTheme="minorHAnsi" w:hAnsiTheme="minorHAnsi" w:cstheme="minorHAnsi"/>
          <w:sz w:val="22"/>
          <w:szCs w:val="22"/>
          <w:vertAlign w:val="superscript"/>
        </w:rPr>
        <w:t>177</w:t>
      </w:r>
      <w:r w:rsidRPr="00B07007">
        <w:rPr>
          <w:rFonts w:asciiTheme="minorHAnsi" w:hAnsiTheme="minorHAnsi" w:cstheme="minorHAnsi"/>
          <w:sz w:val="22"/>
          <w:szCs w:val="22"/>
        </w:rPr>
        <w:t xml:space="preserve">Lu)-labelled medicinal products prepared by </w:t>
      </w:r>
      <w:proofErr w:type="spellStart"/>
      <w:r w:rsidRPr="00B07007">
        <w:rPr>
          <w:rFonts w:asciiTheme="minorHAnsi" w:hAnsiTheme="minorHAnsi" w:cstheme="minorHAnsi"/>
          <w:sz w:val="22"/>
          <w:szCs w:val="22"/>
        </w:rPr>
        <w:t>radiolabelling</w:t>
      </w:r>
      <w:proofErr w:type="spellEnd"/>
      <w:r w:rsidRPr="00B07007">
        <w:rPr>
          <w:rFonts w:asciiTheme="minorHAnsi" w:hAnsiTheme="minorHAnsi" w:cstheme="minorHAnsi"/>
          <w:sz w:val="22"/>
          <w:szCs w:val="22"/>
        </w:rPr>
        <w:t xml:space="preserve"> with </w:t>
      </w:r>
      <w:r w:rsidR="00A44ED7">
        <w:rPr>
          <w:rFonts w:asciiTheme="minorHAnsi" w:hAnsiTheme="minorHAnsi" w:cstheme="minorHAnsi"/>
          <w:sz w:val="22"/>
          <w:szCs w:val="22"/>
        </w:rPr>
        <w:t>l</w:t>
      </w:r>
      <w:r w:rsidR="00A44ED7" w:rsidRPr="00B07007">
        <w:rPr>
          <w:rFonts w:asciiTheme="minorHAnsi" w:hAnsiTheme="minorHAnsi" w:cstheme="minorHAnsi"/>
          <w:sz w:val="22"/>
          <w:szCs w:val="22"/>
        </w:rPr>
        <w:t xml:space="preserve">utetium </w:t>
      </w:r>
      <w:r w:rsidR="00BF470F" w:rsidRPr="00B07007">
        <w:rPr>
          <w:rFonts w:asciiTheme="minorHAnsi" w:hAnsiTheme="minorHAnsi" w:cstheme="minorHAnsi"/>
          <w:sz w:val="22"/>
          <w:szCs w:val="22"/>
        </w:rPr>
        <w:t>chloride</w:t>
      </w:r>
      <w:r w:rsidRPr="00B07007">
        <w:rPr>
          <w:rFonts w:asciiTheme="minorHAnsi" w:hAnsiTheme="minorHAnsi" w:cstheme="minorHAnsi"/>
          <w:sz w:val="22"/>
          <w:szCs w:val="22"/>
        </w:rPr>
        <w:t xml:space="preserve">, prior to administration, will be dependent on the nature of the medicinal product to be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 xml:space="preserve">. Refer to the </w:t>
      </w:r>
      <w:r w:rsidR="0083543F" w:rsidRPr="00B07007">
        <w:rPr>
          <w:rFonts w:asciiTheme="minorHAnsi" w:hAnsiTheme="minorHAnsi" w:cstheme="minorHAnsi"/>
          <w:sz w:val="22"/>
          <w:szCs w:val="22"/>
        </w:rPr>
        <w:t>Product Information</w:t>
      </w:r>
      <w:r w:rsidRPr="00B07007">
        <w:rPr>
          <w:rFonts w:asciiTheme="minorHAnsi" w:hAnsiTheme="minorHAnsi" w:cstheme="minorHAnsi"/>
          <w:sz w:val="22"/>
          <w:szCs w:val="22"/>
        </w:rPr>
        <w:t xml:space="preserve"> of the </w:t>
      </w:r>
      <w:proofErr w:type="gramStart"/>
      <w:r w:rsidRPr="00B07007">
        <w:rPr>
          <w:rFonts w:asciiTheme="minorHAnsi" w:hAnsiTheme="minorHAnsi" w:cstheme="minorHAnsi"/>
          <w:sz w:val="22"/>
          <w:szCs w:val="22"/>
        </w:rPr>
        <w:t>particular medicinal</w:t>
      </w:r>
      <w:proofErr w:type="gramEnd"/>
      <w:r w:rsidRPr="00B07007">
        <w:rPr>
          <w:rFonts w:asciiTheme="minorHAnsi" w:hAnsiTheme="minorHAnsi" w:cstheme="minorHAnsi"/>
          <w:sz w:val="22"/>
          <w:szCs w:val="22"/>
        </w:rPr>
        <w:t xml:space="preserve"> product to be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w:t>
      </w:r>
    </w:p>
    <w:p w14:paraId="20C37A12" w14:textId="072BB0C6" w:rsidR="00DB1BC6" w:rsidRPr="00B07007" w:rsidRDefault="001A3992" w:rsidP="00BA19C4">
      <w:pPr>
        <w:pStyle w:val="Heading3"/>
        <w:rPr>
          <w:rFonts w:asciiTheme="minorHAnsi" w:hAnsiTheme="minorHAnsi" w:cstheme="minorHAnsi"/>
          <w:szCs w:val="22"/>
        </w:rPr>
      </w:pPr>
      <w:r w:rsidRPr="00B07007">
        <w:rPr>
          <w:rFonts w:asciiTheme="minorHAnsi" w:hAnsiTheme="minorHAnsi" w:cstheme="minorHAnsi"/>
          <w:szCs w:val="22"/>
        </w:rPr>
        <w:t>Mechanism of action</w:t>
      </w:r>
    </w:p>
    <w:p w14:paraId="2D29E3B6" w14:textId="4B03ADC6" w:rsidR="007E7AE4" w:rsidRDefault="003F2E60" w:rsidP="00B2616E">
      <w:pPr>
        <w:rPr>
          <w:rFonts w:asciiTheme="minorHAnsi" w:hAnsiTheme="minorHAnsi" w:cstheme="minorHAnsi"/>
          <w:sz w:val="22"/>
          <w:szCs w:val="22"/>
        </w:rPr>
      </w:pPr>
      <w:r>
        <w:rPr>
          <w:rFonts w:asciiTheme="minorHAnsi" w:hAnsiTheme="minorHAnsi" w:cstheme="minorHAnsi"/>
          <w:sz w:val="22"/>
          <w:szCs w:val="22"/>
        </w:rPr>
        <w:t>L</w:t>
      </w:r>
      <w:r w:rsidRPr="00B07007">
        <w:rPr>
          <w:rFonts w:asciiTheme="minorHAnsi" w:hAnsiTheme="minorHAnsi" w:cstheme="minorHAnsi"/>
          <w:sz w:val="22"/>
          <w:szCs w:val="22"/>
        </w:rPr>
        <w:t>utetium chloride</w:t>
      </w:r>
      <w:r w:rsidRPr="003C27C9" w:rsidDel="003F2E60">
        <w:rPr>
          <w:rFonts w:asciiTheme="minorHAnsi" w:hAnsiTheme="minorHAnsi" w:cstheme="minorHAnsi"/>
          <w:sz w:val="22"/>
          <w:szCs w:val="22"/>
          <w:vertAlign w:val="superscript"/>
        </w:rPr>
        <w:t xml:space="preserve"> </w:t>
      </w:r>
      <w:r w:rsidR="007E7AE4" w:rsidRPr="00B07007">
        <w:rPr>
          <w:rFonts w:asciiTheme="minorHAnsi" w:hAnsiTheme="minorHAnsi" w:cstheme="minorHAnsi"/>
          <w:sz w:val="22"/>
          <w:szCs w:val="22"/>
        </w:rPr>
        <w:t>emits β-particles of moderate maximum energy (0.498 MeV) with a maximum tissue penetration of approximately 2 mm</w:t>
      </w:r>
      <w:r w:rsidR="00A82A5A">
        <w:rPr>
          <w:rFonts w:asciiTheme="minorHAnsi" w:hAnsiTheme="minorHAnsi" w:cstheme="minorHAnsi"/>
          <w:sz w:val="22"/>
          <w:szCs w:val="22"/>
        </w:rPr>
        <w:t xml:space="preserve"> </w:t>
      </w:r>
      <w:r w:rsidR="00A82A5A" w:rsidRPr="000270FC">
        <w:rPr>
          <w:rFonts w:asciiTheme="minorHAnsi" w:hAnsiTheme="minorHAnsi" w:cstheme="minorHAnsi"/>
          <w:sz w:val="22"/>
          <w:szCs w:val="22"/>
        </w:rPr>
        <w:t xml:space="preserve">(mean penetration range of 0.67 mm), which is sufficient to kill targeted </w:t>
      </w:r>
      <w:proofErr w:type="spellStart"/>
      <w:r w:rsidR="00A82A5A" w:rsidRPr="000270FC">
        <w:rPr>
          <w:rFonts w:asciiTheme="minorHAnsi" w:hAnsiTheme="minorHAnsi" w:cstheme="minorHAnsi"/>
          <w:sz w:val="22"/>
          <w:szCs w:val="22"/>
        </w:rPr>
        <w:t>tumour</w:t>
      </w:r>
      <w:proofErr w:type="spellEnd"/>
      <w:r w:rsidR="00A82A5A" w:rsidRPr="000270FC">
        <w:rPr>
          <w:rFonts w:asciiTheme="minorHAnsi" w:hAnsiTheme="minorHAnsi" w:cstheme="minorHAnsi"/>
          <w:sz w:val="22"/>
          <w:szCs w:val="22"/>
        </w:rPr>
        <w:t xml:space="preserve"> cells with a limited effect on </w:t>
      </w:r>
      <w:proofErr w:type="spellStart"/>
      <w:r w:rsidR="00A82A5A" w:rsidRPr="000270FC">
        <w:rPr>
          <w:rFonts w:asciiTheme="minorHAnsi" w:hAnsiTheme="minorHAnsi" w:cstheme="minorHAnsi"/>
          <w:sz w:val="22"/>
          <w:szCs w:val="22"/>
        </w:rPr>
        <w:t>neighbouring</w:t>
      </w:r>
      <w:proofErr w:type="spellEnd"/>
      <w:r w:rsidR="00A82A5A" w:rsidRPr="000270FC">
        <w:rPr>
          <w:rFonts w:asciiTheme="minorHAnsi" w:hAnsiTheme="minorHAnsi" w:cstheme="minorHAnsi"/>
          <w:sz w:val="22"/>
          <w:szCs w:val="22"/>
        </w:rPr>
        <w:t xml:space="preserve"> normal cells, thus </w:t>
      </w:r>
      <w:proofErr w:type="spellStart"/>
      <w:r w:rsidR="00A82A5A" w:rsidRPr="000270FC">
        <w:rPr>
          <w:rFonts w:asciiTheme="minorHAnsi" w:hAnsiTheme="minorHAnsi" w:cstheme="minorHAnsi"/>
          <w:sz w:val="22"/>
          <w:szCs w:val="22"/>
        </w:rPr>
        <w:t>minimi</w:t>
      </w:r>
      <w:r w:rsidR="00071338">
        <w:rPr>
          <w:rFonts w:asciiTheme="minorHAnsi" w:hAnsiTheme="minorHAnsi" w:cstheme="minorHAnsi"/>
          <w:sz w:val="22"/>
          <w:szCs w:val="22"/>
        </w:rPr>
        <w:t>s</w:t>
      </w:r>
      <w:r w:rsidR="00A82A5A" w:rsidRPr="000270FC">
        <w:rPr>
          <w:rFonts w:asciiTheme="minorHAnsi" w:hAnsiTheme="minorHAnsi" w:cstheme="minorHAnsi"/>
          <w:sz w:val="22"/>
          <w:szCs w:val="22"/>
        </w:rPr>
        <w:t>ing</w:t>
      </w:r>
      <w:proofErr w:type="spellEnd"/>
      <w:r w:rsidR="00A82A5A" w:rsidRPr="000270FC">
        <w:rPr>
          <w:rFonts w:asciiTheme="minorHAnsi" w:hAnsiTheme="minorHAnsi" w:cstheme="minorHAnsi"/>
          <w:sz w:val="22"/>
          <w:szCs w:val="22"/>
        </w:rPr>
        <w:t xml:space="preserve"> potential toxicity</w:t>
      </w:r>
      <w:r w:rsidR="007E7AE4" w:rsidRPr="00B07007">
        <w:rPr>
          <w:rFonts w:asciiTheme="minorHAnsi" w:hAnsiTheme="minorHAnsi" w:cstheme="minorHAnsi"/>
          <w:sz w:val="22"/>
          <w:szCs w:val="22"/>
        </w:rPr>
        <w:t xml:space="preserve">. </w:t>
      </w:r>
    </w:p>
    <w:p w14:paraId="672E7372" w14:textId="65EEA79F" w:rsidR="00FA36B8" w:rsidRDefault="00FA36B8" w:rsidP="00FA36B8">
      <w:pPr>
        <w:pStyle w:val="Heading3"/>
        <w:rPr>
          <w:rFonts w:asciiTheme="minorHAnsi" w:hAnsiTheme="minorHAnsi" w:cstheme="minorHAnsi"/>
          <w:szCs w:val="22"/>
        </w:rPr>
      </w:pPr>
      <w:r>
        <w:rPr>
          <w:rFonts w:asciiTheme="minorHAnsi" w:hAnsiTheme="minorHAnsi" w:cstheme="minorHAnsi"/>
          <w:szCs w:val="22"/>
        </w:rPr>
        <w:t>Clinical trials</w:t>
      </w:r>
    </w:p>
    <w:p w14:paraId="6B3E852D" w14:textId="2DB9E95B" w:rsidR="000C6C01" w:rsidRPr="00FB440B" w:rsidRDefault="00FA36B8" w:rsidP="008568A4">
      <w:pPr>
        <w:rPr>
          <w:rFonts w:asciiTheme="minorHAnsi" w:hAnsiTheme="minorHAnsi" w:cstheme="minorHAnsi"/>
          <w:sz w:val="22"/>
          <w:szCs w:val="22"/>
        </w:rPr>
      </w:pPr>
      <w:r w:rsidRPr="00FB440B">
        <w:rPr>
          <w:rFonts w:asciiTheme="minorHAnsi" w:hAnsiTheme="minorHAnsi" w:cstheme="minorHAnsi"/>
          <w:sz w:val="22"/>
          <w:szCs w:val="22"/>
        </w:rPr>
        <w:t xml:space="preserve">The efficacy of lutetium chloride in the treatment of NETs was assessed based on published literature reports. </w:t>
      </w:r>
      <w:r w:rsidR="00C23C99" w:rsidRPr="00FB440B">
        <w:rPr>
          <w:rFonts w:asciiTheme="minorHAnsi" w:hAnsiTheme="minorHAnsi" w:cstheme="minorHAnsi"/>
          <w:sz w:val="22"/>
          <w:szCs w:val="22"/>
        </w:rPr>
        <w:t xml:space="preserve">The published reports included </w:t>
      </w:r>
      <w:r w:rsidR="00771079" w:rsidRPr="00FB440B">
        <w:rPr>
          <w:rFonts w:asciiTheme="minorHAnsi" w:hAnsiTheme="minorHAnsi" w:cstheme="minorHAnsi"/>
          <w:sz w:val="22"/>
          <w:szCs w:val="22"/>
        </w:rPr>
        <w:t>three</w:t>
      </w:r>
      <w:r w:rsidR="00C23C99" w:rsidRPr="00FB440B">
        <w:rPr>
          <w:rFonts w:asciiTheme="minorHAnsi" w:hAnsiTheme="minorHAnsi" w:cstheme="minorHAnsi"/>
          <w:sz w:val="22"/>
          <w:szCs w:val="22"/>
        </w:rPr>
        <w:t xml:space="preserve"> systematic reviews/meta-analyses</w:t>
      </w:r>
      <w:r w:rsidR="008568A4" w:rsidRPr="00FB440B">
        <w:rPr>
          <w:rFonts w:asciiTheme="minorHAnsi" w:hAnsiTheme="minorHAnsi" w:cstheme="minorHAnsi"/>
          <w:sz w:val="22"/>
          <w:szCs w:val="22"/>
        </w:rPr>
        <w:t xml:space="preserve"> (Zhang 2020, Wang 2020</w:t>
      </w:r>
      <w:r w:rsidR="00771079" w:rsidRPr="00FB440B">
        <w:rPr>
          <w:rFonts w:asciiTheme="minorHAnsi" w:hAnsiTheme="minorHAnsi" w:cstheme="minorHAnsi"/>
          <w:sz w:val="22"/>
          <w:szCs w:val="22"/>
        </w:rPr>
        <w:t xml:space="preserve"> and </w:t>
      </w:r>
      <w:proofErr w:type="spellStart"/>
      <w:r w:rsidR="008568A4" w:rsidRPr="00FB440B">
        <w:rPr>
          <w:rFonts w:asciiTheme="minorHAnsi" w:hAnsiTheme="minorHAnsi" w:cstheme="minorHAnsi"/>
          <w:sz w:val="22"/>
          <w:szCs w:val="22"/>
        </w:rPr>
        <w:t>Satapathy</w:t>
      </w:r>
      <w:proofErr w:type="spellEnd"/>
      <w:r w:rsidR="008568A4" w:rsidRPr="00FB440B">
        <w:rPr>
          <w:rFonts w:asciiTheme="minorHAnsi" w:hAnsiTheme="minorHAnsi" w:cstheme="minorHAnsi"/>
          <w:sz w:val="22"/>
          <w:szCs w:val="22"/>
        </w:rPr>
        <w:t xml:space="preserve"> 2019)</w:t>
      </w:r>
      <w:r w:rsidR="003F155E" w:rsidRPr="00FB440B">
        <w:rPr>
          <w:rFonts w:asciiTheme="minorHAnsi" w:hAnsiTheme="minorHAnsi" w:cstheme="minorHAnsi"/>
          <w:sz w:val="22"/>
          <w:szCs w:val="22"/>
        </w:rPr>
        <w:t xml:space="preserve">; </w:t>
      </w:r>
      <w:r w:rsidR="00C23C99" w:rsidRPr="00FB440B">
        <w:rPr>
          <w:rFonts w:asciiTheme="minorHAnsi" w:hAnsiTheme="minorHAnsi" w:cstheme="minorHAnsi"/>
          <w:sz w:val="22"/>
          <w:szCs w:val="22"/>
        </w:rPr>
        <w:t xml:space="preserve">two </w:t>
      </w:r>
      <w:proofErr w:type="spellStart"/>
      <w:r w:rsidR="00C23C99" w:rsidRPr="00FB440B">
        <w:rPr>
          <w:rFonts w:asciiTheme="minorHAnsi" w:hAnsiTheme="minorHAnsi" w:cstheme="minorHAnsi"/>
          <w:sz w:val="22"/>
          <w:szCs w:val="22"/>
        </w:rPr>
        <w:t>random</w:t>
      </w:r>
      <w:r w:rsidR="000633F9">
        <w:rPr>
          <w:rFonts w:asciiTheme="minorHAnsi" w:hAnsiTheme="minorHAnsi" w:cstheme="minorHAnsi"/>
          <w:sz w:val="22"/>
          <w:szCs w:val="22"/>
        </w:rPr>
        <w:t>ised</w:t>
      </w:r>
      <w:proofErr w:type="spellEnd"/>
      <w:r w:rsidR="00C23C99" w:rsidRPr="00FB440B">
        <w:rPr>
          <w:rFonts w:asciiTheme="minorHAnsi" w:hAnsiTheme="minorHAnsi" w:cstheme="minorHAnsi"/>
          <w:sz w:val="22"/>
          <w:szCs w:val="22"/>
        </w:rPr>
        <w:t xml:space="preserve"> controlled trials (RCTs)</w:t>
      </w:r>
      <w:r w:rsidR="008568A4" w:rsidRPr="00FB440B">
        <w:rPr>
          <w:rFonts w:asciiTheme="minorHAnsi" w:hAnsiTheme="minorHAnsi" w:cstheme="minorHAnsi"/>
          <w:sz w:val="22"/>
          <w:szCs w:val="22"/>
        </w:rPr>
        <w:t xml:space="preserve"> (</w:t>
      </w:r>
      <w:r w:rsidR="00771079" w:rsidRPr="00FB440B">
        <w:rPr>
          <w:rFonts w:asciiTheme="minorHAnsi" w:hAnsiTheme="minorHAnsi" w:cstheme="minorHAnsi"/>
          <w:sz w:val="22"/>
          <w:szCs w:val="22"/>
        </w:rPr>
        <w:t xml:space="preserve">Australasian Gastrointestinal Trials Groups (AGITG) </w:t>
      </w:r>
      <w:r w:rsidR="00081334" w:rsidRPr="00FB440B">
        <w:rPr>
          <w:rFonts w:asciiTheme="minorHAnsi" w:hAnsiTheme="minorHAnsi" w:cstheme="minorHAnsi"/>
          <w:sz w:val="22"/>
          <w:szCs w:val="22"/>
        </w:rPr>
        <w:t>CONTROL-NETS study</w:t>
      </w:r>
      <w:r w:rsidR="00D41508">
        <w:rPr>
          <w:rFonts w:asciiTheme="minorHAnsi" w:hAnsiTheme="minorHAnsi" w:cstheme="minorHAnsi"/>
          <w:sz w:val="22"/>
          <w:szCs w:val="22"/>
        </w:rPr>
        <w:t>,</w:t>
      </w:r>
      <w:r w:rsidR="00081334" w:rsidRPr="00FB440B">
        <w:rPr>
          <w:rFonts w:asciiTheme="minorHAnsi" w:hAnsiTheme="minorHAnsi" w:cstheme="minorHAnsi"/>
          <w:sz w:val="22"/>
          <w:szCs w:val="22"/>
        </w:rPr>
        <w:t xml:space="preserve"> </w:t>
      </w:r>
      <w:proofErr w:type="spellStart"/>
      <w:r w:rsidR="008568A4" w:rsidRPr="00FB440B">
        <w:rPr>
          <w:rFonts w:asciiTheme="minorHAnsi" w:hAnsiTheme="minorHAnsi" w:cstheme="minorHAnsi"/>
          <w:sz w:val="22"/>
          <w:szCs w:val="22"/>
        </w:rPr>
        <w:t>Pavlakis</w:t>
      </w:r>
      <w:proofErr w:type="spellEnd"/>
      <w:r w:rsidR="008568A4" w:rsidRPr="00FB440B">
        <w:rPr>
          <w:rFonts w:asciiTheme="minorHAnsi" w:hAnsiTheme="minorHAnsi" w:cstheme="minorHAnsi"/>
          <w:sz w:val="22"/>
          <w:szCs w:val="22"/>
        </w:rPr>
        <w:t xml:space="preserve"> </w:t>
      </w:r>
      <w:proofErr w:type="gramStart"/>
      <w:r w:rsidR="008568A4" w:rsidRPr="00FB440B">
        <w:rPr>
          <w:rFonts w:asciiTheme="minorHAnsi" w:hAnsiTheme="minorHAnsi" w:cstheme="minorHAnsi"/>
          <w:sz w:val="22"/>
          <w:szCs w:val="22"/>
        </w:rPr>
        <w:t>2020</w:t>
      </w:r>
      <w:r w:rsidR="00D41508">
        <w:rPr>
          <w:rFonts w:asciiTheme="minorHAnsi" w:hAnsiTheme="minorHAnsi" w:cstheme="minorHAnsi"/>
          <w:sz w:val="22"/>
          <w:szCs w:val="22"/>
        </w:rPr>
        <w:t xml:space="preserve">; </w:t>
      </w:r>
      <w:r w:rsidR="008568A4" w:rsidRPr="00FB440B">
        <w:rPr>
          <w:rFonts w:asciiTheme="minorHAnsi" w:hAnsiTheme="minorHAnsi" w:cstheme="minorHAnsi"/>
          <w:sz w:val="22"/>
          <w:szCs w:val="22"/>
        </w:rPr>
        <w:t xml:space="preserve"> </w:t>
      </w:r>
      <w:r w:rsidR="00081334" w:rsidRPr="00FB440B">
        <w:rPr>
          <w:rFonts w:asciiTheme="minorHAnsi" w:hAnsiTheme="minorHAnsi" w:cstheme="minorHAnsi"/>
          <w:sz w:val="22"/>
          <w:szCs w:val="22"/>
        </w:rPr>
        <w:t>NETTER</w:t>
      </w:r>
      <w:proofErr w:type="gramEnd"/>
      <w:r w:rsidR="00081334" w:rsidRPr="00FB440B">
        <w:rPr>
          <w:rFonts w:asciiTheme="minorHAnsi" w:hAnsiTheme="minorHAnsi" w:cstheme="minorHAnsi"/>
          <w:sz w:val="22"/>
          <w:szCs w:val="22"/>
        </w:rPr>
        <w:t>-1 study</w:t>
      </w:r>
      <w:r w:rsidR="00D41508">
        <w:rPr>
          <w:rFonts w:asciiTheme="minorHAnsi" w:hAnsiTheme="minorHAnsi" w:cstheme="minorHAnsi"/>
          <w:sz w:val="22"/>
          <w:szCs w:val="22"/>
        </w:rPr>
        <w:t>,</w:t>
      </w:r>
      <w:r w:rsidR="00081334" w:rsidRPr="00FB440B">
        <w:rPr>
          <w:rFonts w:asciiTheme="minorHAnsi" w:hAnsiTheme="minorHAnsi" w:cstheme="minorHAnsi"/>
          <w:sz w:val="22"/>
          <w:szCs w:val="22"/>
        </w:rPr>
        <w:t xml:space="preserve"> </w:t>
      </w:r>
      <w:proofErr w:type="spellStart"/>
      <w:r w:rsidR="008568A4" w:rsidRPr="00FB440B">
        <w:rPr>
          <w:rFonts w:asciiTheme="minorHAnsi" w:hAnsiTheme="minorHAnsi" w:cstheme="minorHAnsi"/>
          <w:sz w:val="22"/>
          <w:szCs w:val="22"/>
        </w:rPr>
        <w:t>Strosberg</w:t>
      </w:r>
      <w:proofErr w:type="spellEnd"/>
      <w:r w:rsidR="008568A4" w:rsidRPr="00FB440B">
        <w:rPr>
          <w:rFonts w:asciiTheme="minorHAnsi" w:hAnsiTheme="minorHAnsi" w:cstheme="minorHAnsi"/>
          <w:sz w:val="22"/>
          <w:szCs w:val="22"/>
        </w:rPr>
        <w:t xml:space="preserve"> 2017</w:t>
      </w:r>
      <w:r w:rsidR="004A4E84" w:rsidRPr="004A4E84">
        <w:rPr>
          <w:rFonts w:asciiTheme="minorHAnsi" w:hAnsiTheme="minorHAnsi" w:cstheme="minorHAnsi"/>
          <w:sz w:val="22"/>
          <w:szCs w:val="22"/>
        </w:rPr>
        <w:t xml:space="preserve"> </w:t>
      </w:r>
      <w:r w:rsidR="004A4E84">
        <w:rPr>
          <w:rFonts w:asciiTheme="minorHAnsi" w:hAnsiTheme="minorHAnsi" w:cstheme="minorHAnsi"/>
          <w:sz w:val="22"/>
          <w:szCs w:val="22"/>
        </w:rPr>
        <w:t>with</w:t>
      </w:r>
      <w:r w:rsidR="004A4E84" w:rsidRPr="00FB440B">
        <w:rPr>
          <w:rFonts w:asciiTheme="minorHAnsi" w:hAnsiTheme="minorHAnsi" w:cstheme="minorHAnsi"/>
          <w:sz w:val="22"/>
          <w:szCs w:val="22"/>
        </w:rPr>
        <w:t xml:space="preserve"> two sub-analyses of the initial data or follow up data based on the original study cohort</w:t>
      </w:r>
      <w:r w:rsidR="00820456">
        <w:rPr>
          <w:rFonts w:asciiTheme="minorHAnsi" w:hAnsiTheme="minorHAnsi" w:cstheme="minorHAnsi"/>
          <w:sz w:val="22"/>
          <w:szCs w:val="22"/>
        </w:rPr>
        <w:t xml:space="preserve">, </w:t>
      </w:r>
      <w:proofErr w:type="spellStart"/>
      <w:r w:rsidR="00081334" w:rsidRPr="00FB440B">
        <w:rPr>
          <w:rFonts w:asciiTheme="minorHAnsi" w:hAnsiTheme="minorHAnsi" w:cstheme="minorHAnsi"/>
          <w:sz w:val="22"/>
          <w:szCs w:val="22"/>
        </w:rPr>
        <w:t>Strosberg</w:t>
      </w:r>
      <w:proofErr w:type="spellEnd"/>
      <w:r w:rsidR="00081334" w:rsidRPr="00FB440B">
        <w:rPr>
          <w:rFonts w:asciiTheme="minorHAnsi" w:hAnsiTheme="minorHAnsi" w:cstheme="minorHAnsi"/>
          <w:sz w:val="22"/>
          <w:szCs w:val="22"/>
        </w:rPr>
        <w:t xml:space="preserve"> 2018</w:t>
      </w:r>
      <w:r w:rsidR="00820456">
        <w:rPr>
          <w:rFonts w:asciiTheme="minorHAnsi" w:hAnsiTheme="minorHAnsi" w:cstheme="minorHAnsi"/>
          <w:sz w:val="22"/>
          <w:szCs w:val="22"/>
        </w:rPr>
        <w:t xml:space="preserve"> and </w:t>
      </w:r>
      <w:proofErr w:type="spellStart"/>
      <w:r w:rsidR="00820456">
        <w:rPr>
          <w:rFonts w:asciiTheme="minorHAnsi" w:hAnsiTheme="minorHAnsi" w:cstheme="minorHAnsi"/>
          <w:sz w:val="22"/>
          <w:szCs w:val="22"/>
        </w:rPr>
        <w:t>Strosberg</w:t>
      </w:r>
      <w:proofErr w:type="spellEnd"/>
      <w:r w:rsidR="00820456">
        <w:rPr>
          <w:rFonts w:asciiTheme="minorHAnsi" w:hAnsiTheme="minorHAnsi" w:cstheme="minorHAnsi"/>
          <w:sz w:val="22"/>
          <w:szCs w:val="22"/>
        </w:rPr>
        <w:t xml:space="preserve"> 2020</w:t>
      </w:r>
      <w:r w:rsidR="008568A4" w:rsidRPr="00FB440B">
        <w:rPr>
          <w:rFonts w:asciiTheme="minorHAnsi" w:hAnsiTheme="minorHAnsi" w:cstheme="minorHAnsi"/>
          <w:sz w:val="22"/>
          <w:szCs w:val="22"/>
        </w:rPr>
        <w:t xml:space="preserve">).  </w:t>
      </w:r>
    </w:p>
    <w:p w14:paraId="75C37D0E" w14:textId="29EB28E1" w:rsidR="009A781F" w:rsidRPr="00FB440B" w:rsidRDefault="002C04CA" w:rsidP="009A781F">
      <w:pPr>
        <w:autoSpaceDE w:val="0"/>
        <w:autoSpaceDN w:val="0"/>
        <w:adjustRightInd w:val="0"/>
        <w:rPr>
          <w:rFonts w:asciiTheme="minorHAnsi" w:hAnsiTheme="minorHAnsi" w:cstheme="minorHAnsi"/>
          <w:sz w:val="22"/>
          <w:szCs w:val="22"/>
        </w:rPr>
      </w:pPr>
      <w:r w:rsidRPr="00C04FE4">
        <w:rPr>
          <w:rFonts w:asciiTheme="minorHAnsi" w:hAnsiTheme="minorHAnsi" w:cstheme="minorHAnsi"/>
          <w:sz w:val="22"/>
          <w:szCs w:val="22"/>
        </w:rPr>
        <w:t>Zhang 2020</w:t>
      </w:r>
      <w:r w:rsidRPr="00FB440B">
        <w:rPr>
          <w:rFonts w:asciiTheme="minorHAnsi" w:hAnsiTheme="minorHAnsi" w:cstheme="minorHAnsi"/>
          <w:sz w:val="22"/>
          <w:szCs w:val="22"/>
        </w:rPr>
        <w:t xml:space="preserve"> reported the outcomes of patients with inoperable or metastatic NETs who were treated with </w:t>
      </w:r>
      <w:r w:rsidRPr="00FB440B">
        <w:rPr>
          <w:rFonts w:asciiTheme="minorHAnsi" w:hAnsiTheme="minorHAnsi" w:cstheme="minorHAnsi"/>
          <w:sz w:val="22"/>
          <w:szCs w:val="22"/>
          <w:vertAlign w:val="superscript"/>
        </w:rPr>
        <w:t>177</w:t>
      </w:r>
      <w:r w:rsidRPr="00FB440B">
        <w:rPr>
          <w:rFonts w:asciiTheme="minorHAnsi" w:hAnsiTheme="minorHAnsi" w:cstheme="minorHAnsi"/>
          <w:sz w:val="22"/>
          <w:szCs w:val="22"/>
        </w:rPr>
        <w:t xml:space="preserve">Lu-DOTATATE and evaluated the response according to the Response Evaluation Criteria in Solid </w:t>
      </w:r>
      <w:proofErr w:type="spellStart"/>
      <w:r w:rsidRPr="00FB440B">
        <w:rPr>
          <w:rFonts w:asciiTheme="minorHAnsi" w:hAnsiTheme="minorHAnsi" w:cstheme="minorHAnsi"/>
          <w:sz w:val="22"/>
          <w:szCs w:val="22"/>
        </w:rPr>
        <w:t>Tumours</w:t>
      </w:r>
      <w:proofErr w:type="spellEnd"/>
      <w:r w:rsidRPr="00FB440B">
        <w:rPr>
          <w:rFonts w:asciiTheme="minorHAnsi" w:hAnsiTheme="minorHAnsi" w:cstheme="minorHAnsi"/>
          <w:sz w:val="22"/>
          <w:szCs w:val="22"/>
        </w:rPr>
        <w:t xml:space="preserve"> (RECIST) or the Southwest Oncology Group (SWOG) criteria or both.  </w:t>
      </w:r>
      <w:r w:rsidR="009A781F" w:rsidRPr="00FB440B" w:rsidDel="003366BC">
        <w:rPr>
          <w:rFonts w:asciiTheme="minorHAnsi" w:hAnsiTheme="minorHAnsi" w:cstheme="minorHAnsi"/>
          <w:sz w:val="22"/>
          <w:szCs w:val="22"/>
        </w:rPr>
        <w:t xml:space="preserve">Treatment endpoints were the objective response rate (ORR), disease control rate (DCR) </w:t>
      </w:r>
      <w:r w:rsidR="009A781F" w:rsidRPr="00FB440B" w:rsidDel="003366BC">
        <w:rPr>
          <w:rFonts w:asciiTheme="minorHAnsi" w:eastAsia="AdvTT7c3c51d9" w:hAnsiTheme="minorHAnsi" w:cstheme="minorHAnsi"/>
          <w:sz w:val="22"/>
          <w:szCs w:val="22"/>
        </w:rPr>
        <w:t xml:space="preserve">and </w:t>
      </w:r>
      <w:r w:rsidR="009A781F" w:rsidRPr="00FB440B">
        <w:rPr>
          <w:rFonts w:asciiTheme="minorHAnsi" w:eastAsia="AdvTT7c3c51d9" w:hAnsiTheme="minorHAnsi" w:cstheme="minorHAnsi"/>
          <w:sz w:val="22"/>
          <w:szCs w:val="22"/>
        </w:rPr>
        <w:t>progression-free survival</w:t>
      </w:r>
      <w:r w:rsidR="009A781F" w:rsidRPr="00FB440B" w:rsidDel="003366BC">
        <w:rPr>
          <w:rFonts w:asciiTheme="minorHAnsi" w:hAnsiTheme="minorHAnsi" w:cstheme="minorHAnsi"/>
          <w:sz w:val="22"/>
          <w:szCs w:val="22"/>
        </w:rPr>
        <w:t xml:space="preserve"> </w:t>
      </w:r>
      <w:r w:rsidR="009A781F" w:rsidRPr="00FB440B">
        <w:rPr>
          <w:rFonts w:asciiTheme="minorHAnsi" w:hAnsiTheme="minorHAnsi" w:cstheme="minorHAnsi"/>
          <w:sz w:val="22"/>
          <w:szCs w:val="22"/>
        </w:rPr>
        <w:t>(</w:t>
      </w:r>
      <w:r w:rsidR="009A781F" w:rsidRPr="00FB440B" w:rsidDel="003366BC">
        <w:rPr>
          <w:rFonts w:asciiTheme="minorHAnsi" w:hAnsiTheme="minorHAnsi" w:cstheme="minorHAnsi"/>
          <w:sz w:val="22"/>
          <w:szCs w:val="22"/>
        </w:rPr>
        <w:t>PFS</w:t>
      </w:r>
      <w:r w:rsidR="009A781F" w:rsidRPr="00FB440B">
        <w:rPr>
          <w:rFonts w:asciiTheme="minorHAnsi" w:hAnsiTheme="minorHAnsi" w:cstheme="minorHAnsi"/>
          <w:sz w:val="22"/>
          <w:szCs w:val="22"/>
        </w:rPr>
        <w:t>)</w:t>
      </w:r>
      <w:r w:rsidR="009A781F" w:rsidRPr="00FB440B" w:rsidDel="003366BC">
        <w:rPr>
          <w:rFonts w:asciiTheme="minorHAnsi" w:hAnsiTheme="minorHAnsi" w:cstheme="minorHAnsi"/>
          <w:sz w:val="22"/>
          <w:szCs w:val="22"/>
        </w:rPr>
        <w:t xml:space="preserve">. </w:t>
      </w:r>
      <w:r w:rsidRPr="00FB440B">
        <w:rPr>
          <w:rFonts w:asciiTheme="minorHAnsi" w:hAnsiTheme="minorHAnsi" w:cstheme="minorHAnsi"/>
          <w:sz w:val="22"/>
          <w:szCs w:val="22"/>
        </w:rPr>
        <w:t>A total of 15 published articles which treated 872 inoperable or metastatic NETs patients were included</w:t>
      </w:r>
      <w:r w:rsidR="009A781F" w:rsidRPr="00FB440B">
        <w:rPr>
          <w:rFonts w:asciiTheme="minorHAnsi" w:hAnsiTheme="minorHAnsi" w:cstheme="minorHAnsi"/>
          <w:sz w:val="22"/>
          <w:szCs w:val="22"/>
        </w:rPr>
        <w:t xml:space="preserve"> in the study</w:t>
      </w:r>
      <w:r w:rsidRPr="00FB440B">
        <w:rPr>
          <w:rFonts w:asciiTheme="minorHAnsi" w:hAnsiTheme="minorHAnsi" w:cstheme="minorHAnsi"/>
          <w:sz w:val="22"/>
          <w:szCs w:val="22"/>
        </w:rPr>
        <w:t>.</w:t>
      </w:r>
      <w:r w:rsidRPr="00FB440B">
        <w:rPr>
          <w:rFonts w:asciiTheme="minorHAnsi" w:hAnsiTheme="minorHAnsi" w:cstheme="minorHAnsi"/>
          <w:i/>
          <w:iCs/>
          <w:sz w:val="22"/>
          <w:szCs w:val="22"/>
        </w:rPr>
        <w:t xml:space="preserve"> </w:t>
      </w:r>
      <w:r w:rsidR="009A781F" w:rsidRPr="00FB440B">
        <w:rPr>
          <w:rFonts w:asciiTheme="minorHAnsi" w:hAnsiTheme="minorHAnsi" w:cstheme="minorHAnsi"/>
          <w:sz w:val="22"/>
          <w:szCs w:val="22"/>
        </w:rPr>
        <w:t xml:space="preserve">The dose of </w:t>
      </w:r>
      <w:r w:rsidR="009A781F" w:rsidRPr="00FB440B">
        <w:rPr>
          <w:rFonts w:asciiTheme="minorHAnsi" w:hAnsiTheme="minorHAnsi" w:cstheme="minorHAnsi"/>
          <w:sz w:val="22"/>
          <w:szCs w:val="22"/>
          <w:vertAlign w:val="superscript"/>
        </w:rPr>
        <w:t>177</w:t>
      </w:r>
      <w:r w:rsidR="009A781F" w:rsidRPr="00FB440B">
        <w:rPr>
          <w:rFonts w:asciiTheme="minorHAnsi" w:hAnsiTheme="minorHAnsi" w:cstheme="minorHAnsi"/>
          <w:sz w:val="22"/>
          <w:szCs w:val="22"/>
        </w:rPr>
        <w:t xml:space="preserve">Lu </w:t>
      </w:r>
      <w:r w:rsidR="00FF1E61" w:rsidRPr="00FB440B">
        <w:rPr>
          <w:rFonts w:asciiTheme="minorHAnsi" w:hAnsiTheme="minorHAnsi" w:cstheme="minorHAnsi"/>
          <w:sz w:val="22"/>
          <w:szCs w:val="22"/>
        </w:rPr>
        <w:t xml:space="preserve">ranged </w:t>
      </w:r>
      <w:r w:rsidR="009A781F" w:rsidRPr="00FB440B">
        <w:rPr>
          <w:rFonts w:asciiTheme="minorHAnsi" w:hAnsiTheme="minorHAnsi" w:cstheme="minorHAnsi"/>
          <w:sz w:val="22"/>
          <w:szCs w:val="22"/>
        </w:rPr>
        <w:t xml:space="preserve">from 3.7 to 15.9 </w:t>
      </w:r>
      <w:proofErr w:type="spellStart"/>
      <w:r w:rsidR="009A781F" w:rsidRPr="00FB440B">
        <w:rPr>
          <w:rFonts w:asciiTheme="minorHAnsi" w:hAnsiTheme="minorHAnsi" w:cstheme="minorHAnsi"/>
          <w:sz w:val="22"/>
          <w:szCs w:val="22"/>
        </w:rPr>
        <w:t>GBq</w:t>
      </w:r>
      <w:proofErr w:type="spellEnd"/>
      <w:r w:rsidR="009A781F" w:rsidRPr="00FB440B">
        <w:rPr>
          <w:rFonts w:asciiTheme="minorHAnsi" w:hAnsiTheme="minorHAnsi" w:cstheme="minorHAnsi"/>
          <w:sz w:val="22"/>
          <w:szCs w:val="22"/>
        </w:rPr>
        <w:t xml:space="preserve">, administered in </w:t>
      </w:r>
      <w:r w:rsidR="00AB4273">
        <w:rPr>
          <w:rFonts w:asciiTheme="minorHAnsi" w:hAnsiTheme="minorHAnsi" w:cstheme="minorHAnsi"/>
          <w:sz w:val="22"/>
          <w:szCs w:val="22"/>
        </w:rPr>
        <w:t>1</w:t>
      </w:r>
      <w:r w:rsidR="009A781F" w:rsidRPr="00FB440B">
        <w:rPr>
          <w:rFonts w:asciiTheme="minorHAnsi" w:hAnsiTheme="minorHAnsi" w:cstheme="minorHAnsi"/>
          <w:sz w:val="22"/>
          <w:szCs w:val="22"/>
        </w:rPr>
        <w:t xml:space="preserve"> to </w:t>
      </w:r>
      <w:r w:rsidR="00AB4273">
        <w:rPr>
          <w:rFonts w:asciiTheme="minorHAnsi" w:hAnsiTheme="minorHAnsi" w:cstheme="minorHAnsi"/>
          <w:sz w:val="22"/>
          <w:szCs w:val="22"/>
        </w:rPr>
        <w:t>8</w:t>
      </w:r>
      <w:r w:rsidR="009A781F" w:rsidRPr="00FB440B">
        <w:rPr>
          <w:rFonts w:asciiTheme="minorHAnsi" w:hAnsiTheme="minorHAnsi" w:cstheme="minorHAnsi"/>
          <w:sz w:val="22"/>
          <w:szCs w:val="22"/>
        </w:rPr>
        <w:t xml:space="preserve"> cycles.</w:t>
      </w:r>
      <w:r w:rsidR="00944D55">
        <w:rPr>
          <w:rFonts w:asciiTheme="minorHAnsi" w:hAnsiTheme="minorHAnsi" w:cstheme="minorHAnsi"/>
          <w:sz w:val="22"/>
          <w:szCs w:val="22"/>
        </w:rPr>
        <w:t xml:space="preserve"> The results are presented in Table 4.</w:t>
      </w:r>
    </w:p>
    <w:p w14:paraId="0720D339" w14:textId="68956C74" w:rsidR="000668F1" w:rsidRPr="00C04FE4" w:rsidRDefault="002C04CA" w:rsidP="00C04FE4">
      <w:pPr>
        <w:autoSpaceDE w:val="0"/>
        <w:autoSpaceDN w:val="0"/>
        <w:adjustRightInd w:val="0"/>
        <w:rPr>
          <w:rFonts w:asciiTheme="minorHAnsi" w:hAnsiTheme="minorHAnsi" w:cstheme="minorHAnsi"/>
          <w:sz w:val="22"/>
          <w:szCs w:val="22"/>
        </w:rPr>
      </w:pPr>
      <w:r w:rsidRPr="00C04FE4">
        <w:rPr>
          <w:rFonts w:asciiTheme="minorHAnsi" w:hAnsiTheme="minorHAnsi" w:cstheme="minorHAnsi"/>
          <w:sz w:val="22"/>
          <w:szCs w:val="22"/>
        </w:rPr>
        <w:t>Wang 2020</w:t>
      </w:r>
      <w:r w:rsidRPr="00FB440B">
        <w:rPr>
          <w:rFonts w:asciiTheme="minorHAnsi" w:hAnsiTheme="minorHAnsi" w:cstheme="minorHAnsi"/>
          <w:sz w:val="22"/>
          <w:szCs w:val="22"/>
        </w:rPr>
        <w:t xml:space="preserve"> evaluated published clinical trials assessing the efficacy of </w:t>
      </w:r>
      <w:r w:rsidRPr="00FB440B">
        <w:rPr>
          <w:rFonts w:asciiTheme="minorHAnsi" w:hAnsiTheme="minorHAnsi" w:cstheme="minorHAnsi"/>
          <w:sz w:val="22"/>
          <w:szCs w:val="22"/>
          <w:vertAlign w:val="superscript"/>
        </w:rPr>
        <w:t>177</w:t>
      </w:r>
      <w:r w:rsidRPr="00FB440B">
        <w:rPr>
          <w:rFonts w:asciiTheme="minorHAnsi" w:hAnsiTheme="minorHAnsi" w:cstheme="minorHAnsi"/>
          <w:sz w:val="22"/>
          <w:szCs w:val="22"/>
        </w:rPr>
        <w:t>Lu-octreotate/octreotide PRRT in advanced or inoperable NETs patients</w:t>
      </w:r>
      <w:r w:rsidR="00C04FE4">
        <w:rPr>
          <w:rFonts w:asciiTheme="minorHAnsi" w:hAnsiTheme="minorHAnsi" w:cstheme="minorHAnsi"/>
          <w:sz w:val="22"/>
          <w:szCs w:val="22"/>
        </w:rPr>
        <w:t xml:space="preserve"> and evaluated the response according to the </w:t>
      </w:r>
      <w:r w:rsidR="00C04FE4" w:rsidRPr="00C04FE4">
        <w:rPr>
          <w:rFonts w:asciiTheme="minorHAnsi" w:hAnsiTheme="minorHAnsi" w:cstheme="minorHAnsi"/>
          <w:sz w:val="22"/>
          <w:szCs w:val="22"/>
        </w:rPr>
        <w:t xml:space="preserve">RECIST, SWOG or World Health </w:t>
      </w:r>
      <w:proofErr w:type="spellStart"/>
      <w:r w:rsidR="00C04FE4" w:rsidRPr="00C04FE4">
        <w:rPr>
          <w:rFonts w:asciiTheme="minorHAnsi" w:hAnsiTheme="minorHAnsi" w:cstheme="minorHAnsi"/>
          <w:sz w:val="22"/>
          <w:szCs w:val="22"/>
        </w:rPr>
        <w:t>Organi</w:t>
      </w:r>
      <w:r w:rsidR="00103E37">
        <w:rPr>
          <w:rFonts w:asciiTheme="minorHAnsi" w:hAnsiTheme="minorHAnsi" w:cstheme="minorHAnsi"/>
          <w:sz w:val="22"/>
          <w:szCs w:val="22"/>
        </w:rPr>
        <w:t>s</w:t>
      </w:r>
      <w:r w:rsidR="00C04FE4" w:rsidRPr="00C04FE4">
        <w:rPr>
          <w:rFonts w:asciiTheme="minorHAnsi" w:hAnsiTheme="minorHAnsi" w:cstheme="minorHAnsi"/>
          <w:sz w:val="22"/>
          <w:szCs w:val="22"/>
        </w:rPr>
        <w:t>ation</w:t>
      </w:r>
      <w:proofErr w:type="spellEnd"/>
      <w:r w:rsidR="00C04FE4" w:rsidRPr="00C04FE4">
        <w:rPr>
          <w:rFonts w:asciiTheme="minorHAnsi" w:hAnsiTheme="minorHAnsi" w:cstheme="minorHAnsi"/>
          <w:sz w:val="22"/>
          <w:szCs w:val="22"/>
        </w:rPr>
        <w:t xml:space="preserve"> (WHO) criteria. Disease response rates (DRRs) and disease control rates (DCRs)</w:t>
      </w:r>
      <w:r w:rsidR="00C04FE4">
        <w:rPr>
          <w:rFonts w:asciiTheme="minorHAnsi" w:hAnsiTheme="minorHAnsi" w:cstheme="minorHAnsi"/>
          <w:sz w:val="22"/>
          <w:szCs w:val="22"/>
        </w:rPr>
        <w:t xml:space="preserve"> </w:t>
      </w:r>
      <w:r w:rsidR="00C04FE4" w:rsidRPr="00C04FE4">
        <w:rPr>
          <w:rFonts w:asciiTheme="minorHAnsi" w:hAnsiTheme="minorHAnsi" w:cstheme="minorHAnsi"/>
          <w:sz w:val="22"/>
          <w:szCs w:val="22"/>
        </w:rPr>
        <w:t>were calculated according to each response criteria group.</w:t>
      </w:r>
      <w:r w:rsidRPr="00FB440B">
        <w:rPr>
          <w:rFonts w:asciiTheme="minorHAnsi" w:hAnsiTheme="minorHAnsi" w:cstheme="minorHAnsi"/>
          <w:sz w:val="22"/>
          <w:szCs w:val="22"/>
        </w:rPr>
        <w:t xml:space="preserve">  The meta-analysis included 22 high-quality published articles which treated 1758 inoperable or metastatic NETs patients.</w:t>
      </w:r>
      <w:r w:rsidR="000668F1" w:rsidRPr="00FB440B">
        <w:rPr>
          <w:rFonts w:asciiTheme="minorHAnsi" w:hAnsiTheme="minorHAnsi" w:cstheme="minorHAnsi"/>
          <w:sz w:val="22"/>
          <w:szCs w:val="22"/>
        </w:rPr>
        <w:t xml:space="preserve"> Of the 22 studies included in the analysis, 20 administered </w:t>
      </w:r>
      <w:r w:rsidR="000668F1" w:rsidRPr="00FB440B">
        <w:rPr>
          <w:rFonts w:asciiTheme="minorHAnsi" w:hAnsiTheme="minorHAnsi" w:cstheme="minorHAnsi"/>
          <w:sz w:val="22"/>
          <w:szCs w:val="22"/>
          <w:vertAlign w:val="superscript"/>
        </w:rPr>
        <w:t>177</w:t>
      </w:r>
      <w:r w:rsidR="000668F1" w:rsidRPr="00FB440B">
        <w:rPr>
          <w:rFonts w:asciiTheme="minorHAnsi" w:hAnsiTheme="minorHAnsi" w:cstheme="minorHAnsi"/>
          <w:sz w:val="22"/>
          <w:szCs w:val="22"/>
        </w:rPr>
        <w:t xml:space="preserve">Lu-DOTATATE and two </w:t>
      </w:r>
      <w:r w:rsidR="000668F1" w:rsidRPr="00FB440B">
        <w:rPr>
          <w:rFonts w:asciiTheme="minorHAnsi" w:hAnsiTheme="minorHAnsi" w:cstheme="minorHAnsi"/>
          <w:sz w:val="22"/>
          <w:szCs w:val="22"/>
          <w:vertAlign w:val="superscript"/>
        </w:rPr>
        <w:t>177</w:t>
      </w:r>
      <w:r w:rsidR="000668F1" w:rsidRPr="00FB440B">
        <w:rPr>
          <w:rFonts w:asciiTheme="minorHAnsi" w:hAnsiTheme="minorHAnsi" w:cstheme="minorHAnsi"/>
          <w:sz w:val="22"/>
          <w:szCs w:val="22"/>
        </w:rPr>
        <w:t xml:space="preserve">Lu-DOTATOC. The dose of </w:t>
      </w:r>
      <w:r w:rsidR="000668F1" w:rsidRPr="00FB440B">
        <w:rPr>
          <w:rFonts w:asciiTheme="minorHAnsi" w:hAnsiTheme="minorHAnsi" w:cstheme="minorHAnsi"/>
          <w:sz w:val="22"/>
          <w:szCs w:val="22"/>
          <w:vertAlign w:val="superscript"/>
        </w:rPr>
        <w:t>177</w:t>
      </w:r>
      <w:r w:rsidR="000668F1" w:rsidRPr="00FB440B">
        <w:rPr>
          <w:rFonts w:asciiTheme="minorHAnsi" w:hAnsiTheme="minorHAnsi" w:cstheme="minorHAnsi"/>
          <w:sz w:val="22"/>
          <w:szCs w:val="22"/>
        </w:rPr>
        <w:t xml:space="preserve">Lu </w:t>
      </w:r>
      <w:r w:rsidR="00494E18">
        <w:rPr>
          <w:rFonts w:asciiTheme="minorHAnsi" w:hAnsiTheme="minorHAnsi" w:cstheme="minorHAnsi"/>
          <w:sz w:val="22"/>
          <w:szCs w:val="22"/>
        </w:rPr>
        <w:t xml:space="preserve">ranged </w:t>
      </w:r>
      <w:r w:rsidR="000668F1" w:rsidRPr="00FB440B">
        <w:rPr>
          <w:rFonts w:asciiTheme="minorHAnsi" w:hAnsiTheme="minorHAnsi" w:cstheme="minorHAnsi"/>
          <w:sz w:val="22"/>
          <w:szCs w:val="22"/>
        </w:rPr>
        <w:t xml:space="preserve">from 3.7 to 8.1 </w:t>
      </w:r>
      <w:proofErr w:type="spellStart"/>
      <w:r w:rsidR="000668F1" w:rsidRPr="00FB440B">
        <w:rPr>
          <w:rFonts w:asciiTheme="minorHAnsi" w:hAnsiTheme="minorHAnsi" w:cstheme="minorHAnsi"/>
          <w:sz w:val="22"/>
          <w:szCs w:val="22"/>
        </w:rPr>
        <w:t>GBq</w:t>
      </w:r>
      <w:proofErr w:type="spellEnd"/>
      <w:r w:rsidR="000668F1" w:rsidRPr="00FB440B">
        <w:rPr>
          <w:rFonts w:asciiTheme="minorHAnsi" w:hAnsiTheme="minorHAnsi" w:cstheme="minorHAnsi"/>
          <w:sz w:val="22"/>
          <w:szCs w:val="22"/>
        </w:rPr>
        <w:t xml:space="preserve">, administered in 1 to </w:t>
      </w:r>
      <w:r w:rsidR="000668F1" w:rsidRPr="00C04FE4">
        <w:rPr>
          <w:rFonts w:asciiTheme="minorHAnsi" w:hAnsiTheme="minorHAnsi" w:cstheme="minorHAnsi"/>
          <w:sz w:val="22"/>
          <w:szCs w:val="22"/>
        </w:rPr>
        <w:t>10 cycles.</w:t>
      </w:r>
      <w:r w:rsidR="00944D55" w:rsidRPr="00C04FE4">
        <w:rPr>
          <w:rFonts w:asciiTheme="minorHAnsi" w:hAnsiTheme="minorHAnsi" w:cstheme="minorHAnsi"/>
          <w:sz w:val="22"/>
          <w:szCs w:val="22"/>
        </w:rPr>
        <w:t xml:space="preserve"> The results are presented in Table 4.</w:t>
      </w:r>
    </w:p>
    <w:p w14:paraId="038FFD33" w14:textId="4D3A3242" w:rsidR="002C04CA" w:rsidRPr="00FB440B" w:rsidDel="001D5DD8" w:rsidRDefault="002C04CA" w:rsidP="00944D55">
      <w:pPr>
        <w:autoSpaceDE w:val="0"/>
        <w:autoSpaceDN w:val="0"/>
        <w:adjustRightInd w:val="0"/>
        <w:rPr>
          <w:rFonts w:asciiTheme="minorHAnsi" w:hAnsiTheme="minorHAnsi" w:cstheme="minorHAnsi"/>
          <w:sz w:val="22"/>
          <w:szCs w:val="22"/>
        </w:rPr>
      </w:pPr>
      <w:proofErr w:type="spellStart"/>
      <w:r w:rsidRPr="00C04FE4" w:rsidDel="003366BC">
        <w:rPr>
          <w:rFonts w:asciiTheme="minorHAnsi" w:hAnsiTheme="minorHAnsi" w:cstheme="minorHAnsi"/>
          <w:sz w:val="22"/>
          <w:szCs w:val="22"/>
        </w:rPr>
        <w:t>Satapathy</w:t>
      </w:r>
      <w:proofErr w:type="spellEnd"/>
      <w:r w:rsidRPr="00C04FE4" w:rsidDel="003366BC">
        <w:rPr>
          <w:rFonts w:asciiTheme="minorHAnsi" w:hAnsiTheme="minorHAnsi" w:cstheme="minorHAnsi"/>
          <w:sz w:val="22"/>
          <w:szCs w:val="22"/>
        </w:rPr>
        <w:t xml:space="preserve"> 2019</w:t>
      </w:r>
      <w:r w:rsidRPr="00FB440B" w:rsidDel="003366BC">
        <w:rPr>
          <w:rFonts w:asciiTheme="minorHAnsi" w:hAnsiTheme="minorHAnsi" w:cstheme="minorHAnsi"/>
          <w:sz w:val="22"/>
          <w:szCs w:val="22"/>
        </w:rPr>
        <w:t xml:space="preserve"> evaluated published clinical trials assessing the efficacy of </w:t>
      </w:r>
      <w:r w:rsidRPr="00FB440B">
        <w:rPr>
          <w:rFonts w:asciiTheme="minorHAnsi" w:hAnsiTheme="minorHAnsi" w:cstheme="minorHAnsi"/>
          <w:sz w:val="22"/>
          <w:szCs w:val="22"/>
          <w:vertAlign w:val="superscript"/>
        </w:rPr>
        <w:t>177</w:t>
      </w:r>
      <w:r w:rsidRPr="00FB440B" w:rsidDel="003366BC">
        <w:rPr>
          <w:rFonts w:asciiTheme="minorHAnsi" w:hAnsiTheme="minorHAnsi" w:cstheme="minorHAnsi"/>
          <w:sz w:val="22"/>
          <w:szCs w:val="22"/>
        </w:rPr>
        <w:t xml:space="preserve">Lu-DOTATATE and </w:t>
      </w:r>
      <w:proofErr w:type="spellStart"/>
      <w:r w:rsidR="000668F1" w:rsidRPr="00FB440B">
        <w:rPr>
          <w:rFonts w:asciiTheme="minorHAnsi" w:hAnsiTheme="minorHAnsi" w:cstheme="minorHAnsi"/>
          <w:sz w:val="22"/>
          <w:szCs w:val="22"/>
        </w:rPr>
        <w:t>e</w:t>
      </w:r>
      <w:r w:rsidRPr="00FB440B" w:rsidDel="003366BC">
        <w:rPr>
          <w:rFonts w:asciiTheme="minorHAnsi" w:hAnsiTheme="minorHAnsi" w:cstheme="minorHAnsi"/>
          <w:sz w:val="22"/>
          <w:szCs w:val="22"/>
        </w:rPr>
        <w:t>verolimus</w:t>
      </w:r>
      <w:proofErr w:type="spellEnd"/>
      <w:r w:rsidRPr="00FB440B" w:rsidDel="003366BC">
        <w:rPr>
          <w:rFonts w:asciiTheme="minorHAnsi" w:hAnsiTheme="minorHAnsi" w:cstheme="minorHAnsi"/>
          <w:sz w:val="22"/>
          <w:szCs w:val="22"/>
        </w:rPr>
        <w:t xml:space="preserve"> in advanced pancreatic NETS (</w:t>
      </w:r>
      <w:proofErr w:type="spellStart"/>
      <w:r w:rsidRPr="00FB440B" w:rsidDel="003366BC">
        <w:rPr>
          <w:rFonts w:asciiTheme="minorHAnsi" w:hAnsiTheme="minorHAnsi" w:cstheme="minorHAnsi"/>
          <w:sz w:val="22"/>
          <w:szCs w:val="22"/>
        </w:rPr>
        <w:t>pNET</w:t>
      </w:r>
      <w:proofErr w:type="spellEnd"/>
      <w:r w:rsidRPr="00FB440B" w:rsidDel="003366BC">
        <w:rPr>
          <w:rFonts w:asciiTheme="minorHAnsi" w:hAnsiTheme="minorHAnsi" w:cstheme="minorHAnsi"/>
          <w:sz w:val="22"/>
          <w:szCs w:val="22"/>
        </w:rPr>
        <w:t xml:space="preserve">).  </w:t>
      </w:r>
      <w:r w:rsidRPr="00FB440B" w:rsidDel="001D5DD8">
        <w:rPr>
          <w:rFonts w:asciiTheme="minorHAnsi" w:hAnsiTheme="minorHAnsi" w:cstheme="minorHAnsi"/>
          <w:sz w:val="22"/>
          <w:szCs w:val="22"/>
        </w:rPr>
        <w:t xml:space="preserve">The meta-analysis included 15 published articles which treated 697 </w:t>
      </w:r>
      <w:proofErr w:type="spellStart"/>
      <w:r w:rsidRPr="00FB440B" w:rsidDel="001D5DD8">
        <w:rPr>
          <w:rFonts w:asciiTheme="minorHAnsi" w:hAnsiTheme="minorHAnsi" w:cstheme="minorHAnsi"/>
          <w:sz w:val="22"/>
          <w:szCs w:val="22"/>
        </w:rPr>
        <w:t>pNET</w:t>
      </w:r>
      <w:proofErr w:type="spellEnd"/>
      <w:r w:rsidRPr="00FB440B" w:rsidDel="001D5DD8">
        <w:rPr>
          <w:rFonts w:asciiTheme="minorHAnsi" w:hAnsiTheme="minorHAnsi" w:cstheme="minorHAnsi"/>
          <w:sz w:val="22"/>
          <w:szCs w:val="22"/>
        </w:rPr>
        <w:t xml:space="preserve"> patients with </w:t>
      </w:r>
      <w:r w:rsidRPr="00FB440B">
        <w:rPr>
          <w:rFonts w:asciiTheme="minorHAnsi" w:hAnsiTheme="minorHAnsi" w:cstheme="minorHAnsi"/>
          <w:sz w:val="22"/>
          <w:szCs w:val="22"/>
          <w:vertAlign w:val="superscript"/>
        </w:rPr>
        <w:t>177</w:t>
      </w:r>
      <w:r w:rsidRPr="00FB440B" w:rsidDel="001D5DD8">
        <w:rPr>
          <w:rFonts w:asciiTheme="minorHAnsi" w:hAnsiTheme="minorHAnsi" w:cstheme="minorHAnsi"/>
          <w:sz w:val="22"/>
          <w:szCs w:val="22"/>
        </w:rPr>
        <w:t xml:space="preserve">Lu-DOTATATE. Twelve studies </w:t>
      </w:r>
      <w:r w:rsidRPr="00FB440B" w:rsidDel="001D5DD8">
        <w:rPr>
          <w:rFonts w:asciiTheme="minorHAnsi" w:hAnsiTheme="minorHAnsi" w:cstheme="minorHAnsi"/>
          <w:sz w:val="22"/>
          <w:szCs w:val="22"/>
        </w:rPr>
        <w:lastRenderedPageBreak/>
        <w:t xml:space="preserve">treated 946 patients with </w:t>
      </w:r>
      <w:proofErr w:type="spellStart"/>
      <w:r w:rsidRPr="00FB440B" w:rsidDel="001D5DD8">
        <w:rPr>
          <w:rFonts w:asciiTheme="minorHAnsi" w:hAnsiTheme="minorHAnsi" w:cstheme="minorHAnsi"/>
          <w:sz w:val="22"/>
          <w:szCs w:val="22"/>
        </w:rPr>
        <w:t>everolimus</w:t>
      </w:r>
      <w:proofErr w:type="spellEnd"/>
      <w:r w:rsidRPr="00FB440B" w:rsidDel="001D5DD8">
        <w:rPr>
          <w:rFonts w:asciiTheme="minorHAnsi" w:hAnsiTheme="minorHAnsi" w:cstheme="minorHAnsi"/>
          <w:sz w:val="22"/>
          <w:szCs w:val="22"/>
        </w:rPr>
        <w:t>.</w:t>
      </w:r>
      <w:r w:rsidR="000668F1" w:rsidRPr="00FB440B">
        <w:rPr>
          <w:rFonts w:asciiTheme="minorHAnsi" w:hAnsiTheme="minorHAnsi" w:cstheme="minorHAnsi"/>
          <w:sz w:val="22"/>
          <w:szCs w:val="22"/>
        </w:rPr>
        <w:t xml:space="preserve"> </w:t>
      </w:r>
      <w:r w:rsidR="000668F1" w:rsidRPr="00FB440B" w:rsidDel="001D5DD8">
        <w:rPr>
          <w:rFonts w:asciiTheme="minorHAnsi" w:hAnsiTheme="minorHAnsi" w:cstheme="minorHAnsi"/>
          <w:sz w:val="22"/>
          <w:szCs w:val="22"/>
        </w:rPr>
        <w:t xml:space="preserve">Treatment endpoints were the ORR, DCR and PFS. ORR combined the proportions of patients with complete remission, partial response and/or minor response. </w:t>
      </w:r>
      <w:r w:rsidR="000668F1" w:rsidRPr="00FB440B">
        <w:rPr>
          <w:rFonts w:asciiTheme="minorHAnsi" w:hAnsiTheme="minorHAnsi" w:cstheme="minorHAnsi"/>
          <w:sz w:val="22"/>
          <w:szCs w:val="22"/>
        </w:rPr>
        <w:t>T</w:t>
      </w:r>
      <w:r w:rsidR="000668F1" w:rsidRPr="00FB440B" w:rsidDel="001D5DD8">
        <w:rPr>
          <w:rFonts w:asciiTheme="minorHAnsi" w:hAnsiTheme="minorHAnsi" w:cstheme="minorHAnsi"/>
          <w:sz w:val="22"/>
          <w:szCs w:val="22"/>
        </w:rPr>
        <w:t xml:space="preserve">he cumulative dose of </w:t>
      </w:r>
      <w:r w:rsidR="000668F1" w:rsidRPr="00FB440B">
        <w:rPr>
          <w:rFonts w:asciiTheme="minorHAnsi" w:hAnsiTheme="minorHAnsi" w:cstheme="minorHAnsi"/>
          <w:sz w:val="22"/>
          <w:szCs w:val="22"/>
          <w:vertAlign w:val="superscript"/>
        </w:rPr>
        <w:t>177</w:t>
      </w:r>
      <w:r w:rsidR="000668F1" w:rsidRPr="00FB440B" w:rsidDel="001D5DD8">
        <w:rPr>
          <w:rFonts w:asciiTheme="minorHAnsi" w:hAnsiTheme="minorHAnsi" w:cstheme="minorHAnsi"/>
          <w:sz w:val="22"/>
          <w:szCs w:val="22"/>
        </w:rPr>
        <w:t xml:space="preserve">Lu </w:t>
      </w:r>
      <w:r w:rsidR="000668F1" w:rsidRPr="00FB440B">
        <w:rPr>
          <w:rFonts w:asciiTheme="minorHAnsi" w:hAnsiTheme="minorHAnsi" w:cstheme="minorHAnsi"/>
          <w:sz w:val="22"/>
          <w:szCs w:val="22"/>
        </w:rPr>
        <w:t xml:space="preserve">ranged </w:t>
      </w:r>
      <w:r w:rsidR="000668F1" w:rsidRPr="00FB440B" w:rsidDel="001D5DD8">
        <w:rPr>
          <w:rFonts w:asciiTheme="minorHAnsi" w:hAnsiTheme="minorHAnsi" w:cstheme="minorHAnsi"/>
          <w:sz w:val="22"/>
          <w:szCs w:val="22"/>
        </w:rPr>
        <w:t xml:space="preserve">from 3.7 to 29.2 </w:t>
      </w:r>
      <w:proofErr w:type="spellStart"/>
      <w:r w:rsidR="000668F1" w:rsidRPr="00FB440B" w:rsidDel="001D5DD8">
        <w:rPr>
          <w:rFonts w:asciiTheme="minorHAnsi" w:hAnsiTheme="minorHAnsi" w:cstheme="minorHAnsi"/>
          <w:sz w:val="22"/>
          <w:szCs w:val="22"/>
        </w:rPr>
        <w:t>GBq</w:t>
      </w:r>
      <w:proofErr w:type="spellEnd"/>
      <w:r w:rsidR="000668F1" w:rsidRPr="00FB440B" w:rsidDel="001D5DD8">
        <w:rPr>
          <w:rFonts w:asciiTheme="minorHAnsi" w:hAnsiTheme="minorHAnsi" w:cstheme="minorHAnsi"/>
          <w:sz w:val="22"/>
          <w:szCs w:val="22"/>
        </w:rPr>
        <w:t>, administered in 1 to 10 cycles.</w:t>
      </w:r>
      <w:r w:rsidR="00944D55">
        <w:rPr>
          <w:rFonts w:asciiTheme="minorHAnsi" w:hAnsiTheme="minorHAnsi" w:cstheme="minorHAnsi"/>
          <w:sz w:val="22"/>
          <w:szCs w:val="22"/>
        </w:rPr>
        <w:t xml:space="preserve"> The results are presented in Table 4.</w:t>
      </w:r>
    </w:p>
    <w:p w14:paraId="5A5FE498" w14:textId="34C7342F" w:rsidR="000668F1" w:rsidRPr="00F55C7A" w:rsidRDefault="000668F1" w:rsidP="00F55C7A">
      <w:pPr>
        <w:pStyle w:val="Caption"/>
        <w:rPr>
          <w:rFonts w:cstheme="minorHAnsi"/>
          <w:color w:val="231F20"/>
          <w:sz w:val="22"/>
          <w:szCs w:val="22"/>
        </w:rPr>
      </w:pPr>
      <w:r w:rsidRPr="00F55C7A">
        <w:rPr>
          <w:rFonts w:asciiTheme="minorHAnsi" w:eastAsia="MS Mincho" w:hAnsiTheme="minorHAnsi" w:cstheme="minorHAnsi"/>
          <w:color w:val="000000"/>
          <w:sz w:val="22"/>
          <w:szCs w:val="22"/>
        </w:rPr>
        <w:t>Table </w:t>
      </w:r>
      <w:r w:rsidR="00F55C7A">
        <w:rPr>
          <w:rFonts w:asciiTheme="minorHAnsi" w:eastAsia="MS Mincho" w:hAnsiTheme="minorHAnsi" w:cstheme="minorHAnsi"/>
          <w:color w:val="000000"/>
          <w:sz w:val="22"/>
          <w:szCs w:val="22"/>
        </w:rPr>
        <w:t>4</w:t>
      </w:r>
      <w:r w:rsidRPr="00F55C7A">
        <w:rPr>
          <w:rFonts w:asciiTheme="minorHAnsi" w:eastAsia="MS Mincho" w:hAnsiTheme="minorHAnsi" w:cstheme="minorHAnsi"/>
          <w:color w:val="000000"/>
          <w:sz w:val="22"/>
          <w:szCs w:val="22"/>
        </w:rPr>
        <w:t xml:space="preserve"> ­ Comparison of the DRR and DCR estimated using the RECIST and SWOG</w:t>
      </w:r>
      <w:r w:rsidRPr="00F55C7A">
        <w:rPr>
          <w:rFonts w:ascii="Times New Roman" w:eastAsia="MS Mincho" w:hAnsi="Times New Roman" w:cstheme="minorHAnsi"/>
          <w:color w:val="231F20"/>
          <w:sz w:val="22"/>
          <w:szCs w:val="22"/>
        </w:rPr>
        <w:t xml:space="preserve"> criteria</w:t>
      </w:r>
    </w:p>
    <w:tbl>
      <w:tblPr>
        <w:tblStyle w:val="TableGrid"/>
        <w:tblW w:w="8926" w:type="dxa"/>
        <w:tblLayout w:type="fixed"/>
        <w:tblLook w:val="04A0" w:firstRow="1" w:lastRow="0" w:firstColumn="1" w:lastColumn="0" w:noHBand="0" w:noVBand="1"/>
      </w:tblPr>
      <w:tblGrid>
        <w:gridCol w:w="1980"/>
        <w:gridCol w:w="1736"/>
        <w:gridCol w:w="1737"/>
        <w:gridCol w:w="1736"/>
        <w:gridCol w:w="1737"/>
      </w:tblGrid>
      <w:tr w:rsidR="00F55C7A" w14:paraId="5AD4E67C" w14:textId="77777777" w:rsidTr="00F55C7A">
        <w:tc>
          <w:tcPr>
            <w:tcW w:w="1980" w:type="dxa"/>
          </w:tcPr>
          <w:p w14:paraId="2BD17536" w14:textId="77777777" w:rsidR="000668F1" w:rsidRPr="00F55C7A" w:rsidRDefault="000668F1" w:rsidP="00F55C7A">
            <w:pPr>
              <w:keepNext/>
              <w:autoSpaceDE w:val="0"/>
              <w:autoSpaceDN w:val="0"/>
              <w:adjustRightInd w:val="0"/>
              <w:spacing w:line="276" w:lineRule="auto"/>
              <w:ind w:left="29"/>
              <w:rPr>
                <w:b/>
                <w:bCs/>
                <w:color w:val="231F20"/>
                <w:sz w:val="20"/>
                <w:szCs w:val="20"/>
              </w:rPr>
            </w:pPr>
            <w:r w:rsidRPr="00F55C7A">
              <w:rPr>
                <w:b/>
                <w:bCs/>
                <w:color w:val="231F20"/>
                <w:sz w:val="20"/>
                <w:szCs w:val="20"/>
              </w:rPr>
              <w:t>STUDY</w:t>
            </w:r>
          </w:p>
        </w:tc>
        <w:tc>
          <w:tcPr>
            <w:tcW w:w="1736" w:type="dxa"/>
            <w:tcBorders>
              <w:right w:val="nil"/>
            </w:tcBorders>
          </w:tcPr>
          <w:p w14:paraId="1D8A51DD" w14:textId="77777777" w:rsidR="000668F1" w:rsidRPr="00F55C7A" w:rsidRDefault="000668F1" w:rsidP="00F55C7A">
            <w:pPr>
              <w:keepNext/>
              <w:autoSpaceDE w:val="0"/>
              <w:autoSpaceDN w:val="0"/>
              <w:adjustRightInd w:val="0"/>
              <w:spacing w:line="276" w:lineRule="auto"/>
              <w:ind w:left="37"/>
              <w:jc w:val="center"/>
              <w:rPr>
                <w:b/>
                <w:bCs/>
                <w:color w:val="231F20"/>
                <w:sz w:val="20"/>
                <w:szCs w:val="20"/>
              </w:rPr>
            </w:pPr>
            <w:r w:rsidRPr="00F55C7A">
              <w:rPr>
                <w:b/>
                <w:bCs/>
                <w:color w:val="231F20"/>
                <w:sz w:val="20"/>
                <w:szCs w:val="20"/>
              </w:rPr>
              <w:t>DRR</w:t>
            </w:r>
          </w:p>
        </w:tc>
        <w:tc>
          <w:tcPr>
            <w:tcW w:w="1737" w:type="dxa"/>
            <w:tcBorders>
              <w:left w:val="nil"/>
            </w:tcBorders>
          </w:tcPr>
          <w:p w14:paraId="5E735C6E" w14:textId="77777777" w:rsidR="000668F1" w:rsidRPr="00F55C7A" w:rsidRDefault="000668F1" w:rsidP="00F55C7A">
            <w:pPr>
              <w:keepNext/>
              <w:autoSpaceDE w:val="0"/>
              <w:autoSpaceDN w:val="0"/>
              <w:adjustRightInd w:val="0"/>
              <w:spacing w:line="276" w:lineRule="auto"/>
              <w:ind w:left="5"/>
              <w:jc w:val="center"/>
              <w:rPr>
                <w:b/>
                <w:bCs/>
                <w:color w:val="231F20"/>
                <w:sz w:val="20"/>
                <w:szCs w:val="20"/>
              </w:rPr>
            </w:pPr>
            <w:r w:rsidRPr="00F55C7A">
              <w:rPr>
                <w:b/>
                <w:bCs/>
                <w:color w:val="231F20"/>
                <w:sz w:val="20"/>
                <w:szCs w:val="20"/>
              </w:rPr>
              <w:t>(% &amp; 95%CI)</w:t>
            </w:r>
          </w:p>
        </w:tc>
        <w:tc>
          <w:tcPr>
            <w:tcW w:w="1736" w:type="dxa"/>
            <w:tcBorders>
              <w:right w:val="nil"/>
            </w:tcBorders>
          </w:tcPr>
          <w:p w14:paraId="0AADDD4D" w14:textId="77777777" w:rsidR="000668F1" w:rsidRPr="00F55C7A" w:rsidRDefault="000668F1" w:rsidP="00F55C7A">
            <w:pPr>
              <w:keepNext/>
              <w:autoSpaceDE w:val="0"/>
              <w:autoSpaceDN w:val="0"/>
              <w:adjustRightInd w:val="0"/>
              <w:spacing w:line="276" w:lineRule="auto"/>
              <w:ind w:left="57"/>
              <w:jc w:val="center"/>
              <w:rPr>
                <w:b/>
                <w:bCs/>
                <w:color w:val="231F20"/>
                <w:sz w:val="20"/>
                <w:szCs w:val="20"/>
              </w:rPr>
            </w:pPr>
            <w:r w:rsidRPr="00F55C7A">
              <w:rPr>
                <w:b/>
                <w:bCs/>
                <w:color w:val="231F20"/>
                <w:sz w:val="20"/>
                <w:szCs w:val="20"/>
              </w:rPr>
              <w:t>DCR</w:t>
            </w:r>
          </w:p>
        </w:tc>
        <w:tc>
          <w:tcPr>
            <w:tcW w:w="1737" w:type="dxa"/>
            <w:tcBorders>
              <w:left w:val="nil"/>
            </w:tcBorders>
          </w:tcPr>
          <w:p w14:paraId="4B0F97AE" w14:textId="77777777" w:rsidR="000668F1" w:rsidRPr="00F55C7A" w:rsidRDefault="000668F1" w:rsidP="00F55C7A">
            <w:pPr>
              <w:keepNext/>
              <w:autoSpaceDE w:val="0"/>
              <w:autoSpaceDN w:val="0"/>
              <w:adjustRightInd w:val="0"/>
              <w:spacing w:line="276" w:lineRule="auto"/>
              <w:ind w:left="57"/>
              <w:jc w:val="center"/>
              <w:rPr>
                <w:b/>
                <w:bCs/>
                <w:color w:val="231F20"/>
                <w:sz w:val="20"/>
                <w:szCs w:val="20"/>
              </w:rPr>
            </w:pPr>
            <w:r w:rsidRPr="00F55C7A">
              <w:rPr>
                <w:b/>
                <w:bCs/>
                <w:color w:val="231F20"/>
                <w:sz w:val="20"/>
                <w:szCs w:val="20"/>
              </w:rPr>
              <w:t>(% &amp; 95% CI)</w:t>
            </w:r>
          </w:p>
        </w:tc>
      </w:tr>
      <w:tr w:rsidR="00F55C7A" w14:paraId="1F462650" w14:textId="77777777" w:rsidTr="00F55C7A">
        <w:tc>
          <w:tcPr>
            <w:tcW w:w="1980" w:type="dxa"/>
          </w:tcPr>
          <w:p w14:paraId="5D582705" w14:textId="77777777" w:rsidR="000668F1" w:rsidRPr="00F55C7A" w:rsidRDefault="000668F1" w:rsidP="00F55C7A">
            <w:pPr>
              <w:keepNext/>
              <w:autoSpaceDE w:val="0"/>
              <w:autoSpaceDN w:val="0"/>
              <w:adjustRightInd w:val="0"/>
              <w:spacing w:line="276" w:lineRule="auto"/>
              <w:ind w:left="29"/>
              <w:rPr>
                <w:color w:val="231F20"/>
                <w:sz w:val="20"/>
                <w:szCs w:val="20"/>
              </w:rPr>
            </w:pPr>
          </w:p>
        </w:tc>
        <w:tc>
          <w:tcPr>
            <w:tcW w:w="1736" w:type="dxa"/>
          </w:tcPr>
          <w:p w14:paraId="19DDC27C" w14:textId="77777777" w:rsidR="000668F1" w:rsidRPr="00F55C7A" w:rsidRDefault="000668F1" w:rsidP="00F55C7A">
            <w:pPr>
              <w:keepNext/>
              <w:autoSpaceDE w:val="0"/>
              <w:autoSpaceDN w:val="0"/>
              <w:adjustRightInd w:val="0"/>
              <w:spacing w:line="276" w:lineRule="auto"/>
              <w:ind w:left="37"/>
              <w:jc w:val="center"/>
              <w:rPr>
                <w:b/>
                <w:bCs/>
                <w:color w:val="231F20"/>
                <w:sz w:val="20"/>
                <w:szCs w:val="20"/>
              </w:rPr>
            </w:pPr>
            <w:r w:rsidRPr="00F55C7A">
              <w:rPr>
                <w:b/>
                <w:bCs/>
                <w:color w:val="231F20"/>
                <w:sz w:val="20"/>
                <w:szCs w:val="20"/>
              </w:rPr>
              <w:t>RECIST</w:t>
            </w:r>
          </w:p>
        </w:tc>
        <w:tc>
          <w:tcPr>
            <w:tcW w:w="1737" w:type="dxa"/>
          </w:tcPr>
          <w:p w14:paraId="6B7AD674" w14:textId="77777777" w:rsidR="000668F1" w:rsidRPr="00F55C7A" w:rsidRDefault="000668F1" w:rsidP="00F55C7A">
            <w:pPr>
              <w:keepNext/>
              <w:autoSpaceDE w:val="0"/>
              <w:autoSpaceDN w:val="0"/>
              <w:adjustRightInd w:val="0"/>
              <w:spacing w:line="276" w:lineRule="auto"/>
              <w:ind w:left="5"/>
              <w:jc w:val="center"/>
              <w:rPr>
                <w:b/>
                <w:bCs/>
                <w:color w:val="231F20"/>
                <w:sz w:val="20"/>
                <w:szCs w:val="20"/>
              </w:rPr>
            </w:pPr>
            <w:r w:rsidRPr="00F55C7A">
              <w:rPr>
                <w:b/>
                <w:bCs/>
                <w:color w:val="231F20"/>
                <w:sz w:val="20"/>
                <w:szCs w:val="20"/>
              </w:rPr>
              <w:t>SWOG</w:t>
            </w:r>
          </w:p>
        </w:tc>
        <w:tc>
          <w:tcPr>
            <w:tcW w:w="1736" w:type="dxa"/>
          </w:tcPr>
          <w:p w14:paraId="6281FDF3" w14:textId="77777777" w:rsidR="000668F1" w:rsidRPr="00F55C7A" w:rsidRDefault="000668F1" w:rsidP="00F55C7A">
            <w:pPr>
              <w:keepNext/>
              <w:autoSpaceDE w:val="0"/>
              <w:autoSpaceDN w:val="0"/>
              <w:adjustRightInd w:val="0"/>
              <w:spacing w:line="276" w:lineRule="auto"/>
              <w:ind w:left="57"/>
              <w:jc w:val="center"/>
              <w:rPr>
                <w:b/>
                <w:bCs/>
                <w:color w:val="231F20"/>
                <w:sz w:val="20"/>
                <w:szCs w:val="20"/>
              </w:rPr>
            </w:pPr>
            <w:r w:rsidRPr="00F55C7A">
              <w:rPr>
                <w:b/>
                <w:bCs/>
                <w:color w:val="231F20"/>
                <w:sz w:val="20"/>
                <w:szCs w:val="20"/>
              </w:rPr>
              <w:t>RECIST</w:t>
            </w:r>
          </w:p>
        </w:tc>
        <w:tc>
          <w:tcPr>
            <w:tcW w:w="1737" w:type="dxa"/>
          </w:tcPr>
          <w:p w14:paraId="2FF83D01" w14:textId="77777777" w:rsidR="000668F1" w:rsidRPr="00F55C7A" w:rsidRDefault="000668F1" w:rsidP="00F55C7A">
            <w:pPr>
              <w:keepNext/>
              <w:autoSpaceDE w:val="0"/>
              <w:autoSpaceDN w:val="0"/>
              <w:adjustRightInd w:val="0"/>
              <w:spacing w:line="276" w:lineRule="auto"/>
              <w:ind w:left="57"/>
              <w:jc w:val="center"/>
              <w:rPr>
                <w:b/>
                <w:bCs/>
                <w:color w:val="231F20"/>
                <w:sz w:val="20"/>
                <w:szCs w:val="20"/>
              </w:rPr>
            </w:pPr>
            <w:r w:rsidRPr="00F55C7A">
              <w:rPr>
                <w:b/>
                <w:bCs/>
                <w:color w:val="231F20"/>
                <w:sz w:val="20"/>
                <w:szCs w:val="20"/>
              </w:rPr>
              <w:t>SWOG</w:t>
            </w:r>
          </w:p>
        </w:tc>
      </w:tr>
      <w:tr w:rsidR="00F55C7A" w14:paraId="4D617FCE" w14:textId="77777777" w:rsidTr="00F55C7A">
        <w:tc>
          <w:tcPr>
            <w:tcW w:w="1980" w:type="dxa"/>
          </w:tcPr>
          <w:p w14:paraId="4AB0D040" w14:textId="77777777" w:rsidR="000668F1" w:rsidRPr="001B0447" w:rsidRDefault="000668F1" w:rsidP="00F55C7A">
            <w:pPr>
              <w:keepNext/>
              <w:autoSpaceDE w:val="0"/>
              <w:autoSpaceDN w:val="0"/>
              <w:adjustRightInd w:val="0"/>
              <w:spacing w:line="276" w:lineRule="auto"/>
              <w:ind w:left="29"/>
              <w:rPr>
                <w:color w:val="auto"/>
                <w:sz w:val="20"/>
                <w:szCs w:val="20"/>
              </w:rPr>
            </w:pPr>
            <w:r w:rsidRPr="001B0447">
              <w:rPr>
                <w:color w:val="auto"/>
                <w:sz w:val="20"/>
                <w:szCs w:val="20"/>
              </w:rPr>
              <w:t>ZHANG 2020</w:t>
            </w:r>
          </w:p>
        </w:tc>
        <w:tc>
          <w:tcPr>
            <w:tcW w:w="1736" w:type="dxa"/>
          </w:tcPr>
          <w:p w14:paraId="3A614EA3" w14:textId="69B9156E" w:rsid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27.6</w:t>
            </w:r>
          </w:p>
          <w:p w14:paraId="7C31F82B" w14:textId="5A2AE35D" w:rsidR="000668F1" w:rsidRP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(21.0 to 35.5)</w:t>
            </w:r>
          </w:p>
        </w:tc>
        <w:tc>
          <w:tcPr>
            <w:tcW w:w="1737" w:type="dxa"/>
          </w:tcPr>
          <w:p w14:paraId="7A98FEC5" w14:textId="77777777" w:rsid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 xml:space="preserve">20.6 </w:t>
            </w:r>
          </w:p>
          <w:p w14:paraId="240A906B" w14:textId="79778E3F" w:rsidR="000668F1" w:rsidRP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(10.9 to 35.5)</w:t>
            </w:r>
          </w:p>
        </w:tc>
        <w:tc>
          <w:tcPr>
            <w:tcW w:w="1736" w:type="dxa"/>
          </w:tcPr>
          <w:p w14:paraId="74841D0D"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79.1 </w:t>
            </w:r>
          </w:p>
          <w:p w14:paraId="44532A05" w14:textId="3EAC56A0"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(75.8 to 82.1)</w:t>
            </w:r>
          </w:p>
        </w:tc>
        <w:tc>
          <w:tcPr>
            <w:tcW w:w="1737" w:type="dxa"/>
          </w:tcPr>
          <w:p w14:paraId="1A50E600"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78.3 </w:t>
            </w:r>
          </w:p>
          <w:p w14:paraId="457FD0CA" w14:textId="220AFB21"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(74.4 to 81.7)</w:t>
            </w:r>
          </w:p>
        </w:tc>
      </w:tr>
      <w:tr w:rsidR="00F55C7A" w14:paraId="2389A6B7" w14:textId="77777777" w:rsidTr="00F55C7A">
        <w:tc>
          <w:tcPr>
            <w:tcW w:w="1980" w:type="dxa"/>
          </w:tcPr>
          <w:p w14:paraId="00D911A3" w14:textId="77777777" w:rsidR="000668F1" w:rsidRPr="001B0447" w:rsidRDefault="000668F1" w:rsidP="00F55C7A">
            <w:pPr>
              <w:keepNext/>
              <w:autoSpaceDE w:val="0"/>
              <w:autoSpaceDN w:val="0"/>
              <w:adjustRightInd w:val="0"/>
              <w:spacing w:line="276" w:lineRule="auto"/>
              <w:ind w:left="29"/>
              <w:rPr>
                <w:color w:val="auto"/>
                <w:sz w:val="20"/>
                <w:szCs w:val="20"/>
              </w:rPr>
            </w:pPr>
            <w:r w:rsidRPr="001B0447">
              <w:rPr>
                <w:color w:val="auto"/>
                <w:sz w:val="20"/>
                <w:szCs w:val="20"/>
              </w:rPr>
              <w:t>WANG 2020</w:t>
            </w:r>
          </w:p>
        </w:tc>
        <w:tc>
          <w:tcPr>
            <w:tcW w:w="1736" w:type="dxa"/>
          </w:tcPr>
          <w:p w14:paraId="5D421A7A" w14:textId="77777777" w:rsid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 xml:space="preserve">33.0 </w:t>
            </w:r>
          </w:p>
          <w:p w14:paraId="2286587B" w14:textId="3A51554C" w:rsidR="000668F1" w:rsidRP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(25.0 to 42.0)</w:t>
            </w:r>
          </w:p>
        </w:tc>
        <w:tc>
          <w:tcPr>
            <w:tcW w:w="1737" w:type="dxa"/>
          </w:tcPr>
          <w:p w14:paraId="6F71E34B" w14:textId="77777777" w:rsid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 xml:space="preserve">25.0 </w:t>
            </w:r>
          </w:p>
          <w:p w14:paraId="16FD3E5B" w14:textId="51D83B90" w:rsidR="000668F1" w:rsidRP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(14.0 to 36.0)</w:t>
            </w:r>
          </w:p>
        </w:tc>
        <w:tc>
          <w:tcPr>
            <w:tcW w:w="1736" w:type="dxa"/>
          </w:tcPr>
          <w:p w14:paraId="635E588F"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79.0 </w:t>
            </w:r>
          </w:p>
          <w:p w14:paraId="0C4DD59B" w14:textId="4E6DBFA7"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(75.0 to 83.0)</w:t>
            </w:r>
          </w:p>
        </w:tc>
        <w:tc>
          <w:tcPr>
            <w:tcW w:w="1737" w:type="dxa"/>
          </w:tcPr>
          <w:p w14:paraId="249AAB13"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82.0 </w:t>
            </w:r>
          </w:p>
          <w:p w14:paraId="21086168" w14:textId="461EBF38"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(75.0 to 89.0)</w:t>
            </w:r>
          </w:p>
        </w:tc>
      </w:tr>
      <w:tr w:rsidR="00F55C7A" w14:paraId="1841E864" w14:textId="77777777" w:rsidTr="00F55C7A">
        <w:tc>
          <w:tcPr>
            <w:tcW w:w="1980" w:type="dxa"/>
          </w:tcPr>
          <w:p w14:paraId="27D59786" w14:textId="77777777" w:rsidR="000668F1" w:rsidRPr="001B0447" w:rsidRDefault="000668F1" w:rsidP="00F55C7A">
            <w:pPr>
              <w:keepNext/>
              <w:autoSpaceDE w:val="0"/>
              <w:autoSpaceDN w:val="0"/>
              <w:adjustRightInd w:val="0"/>
              <w:spacing w:line="276" w:lineRule="auto"/>
              <w:ind w:left="29"/>
              <w:rPr>
                <w:color w:val="auto"/>
                <w:sz w:val="20"/>
                <w:szCs w:val="20"/>
              </w:rPr>
            </w:pPr>
            <w:r w:rsidRPr="001B0447">
              <w:rPr>
                <w:color w:val="auto"/>
                <w:sz w:val="20"/>
                <w:szCs w:val="20"/>
              </w:rPr>
              <w:t>SATAPATHY 2019</w:t>
            </w:r>
          </w:p>
        </w:tc>
        <w:tc>
          <w:tcPr>
            <w:tcW w:w="1736" w:type="dxa"/>
          </w:tcPr>
          <w:p w14:paraId="26FE04E0" w14:textId="77777777" w:rsid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 xml:space="preserve">47.0 </w:t>
            </w:r>
          </w:p>
          <w:p w14:paraId="4822A7E0" w14:textId="25BB8C31" w:rsidR="000668F1" w:rsidRPr="00F55C7A" w:rsidRDefault="000668F1" w:rsidP="00F55C7A">
            <w:pPr>
              <w:keepNext/>
              <w:autoSpaceDE w:val="0"/>
              <w:autoSpaceDN w:val="0"/>
              <w:adjustRightInd w:val="0"/>
              <w:spacing w:line="276" w:lineRule="auto"/>
              <w:ind w:left="37"/>
              <w:jc w:val="center"/>
              <w:rPr>
                <w:color w:val="231F20"/>
                <w:sz w:val="20"/>
                <w:szCs w:val="20"/>
              </w:rPr>
            </w:pPr>
            <w:r w:rsidRPr="00F55C7A">
              <w:rPr>
                <w:color w:val="231F20"/>
                <w:sz w:val="20"/>
                <w:szCs w:val="20"/>
              </w:rPr>
              <w:t xml:space="preserve">(36.0 to </w:t>
            </w:r>
            <w:proofErr w:type="gramStart"/>
            <w:r w:rsidRPr="00F55C7A">
              <w:rPr>
                <w:color w:val="231F20"/>
                <w:sz w:val="20"/>
                <w:szCs w:val="20"/>
              </w:rPr>
              <w:t>58.0)*</w:t>
            </w:r>
            <w:proofErr w:type="gramEnd"/>
          </w:p>
        </w:tc>
        <w:tc>
          <w:tcPr>
            <w:tcW w:w="1737" w:type="dxa"/>
          </w:tcPr>
          <w:p w14:paraId="3ADB627D" w14:textId="77777777" w:rsid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 xml:space="preserve">59.9 </w:t>
            </w:r>
          </w:p>
          <w:p w14:paraId="748F1F0D" w14:textId="176FE61B" w:rsidR="000668F1" w:rsidRPr="00F55C7A" w:rsidRDefault="000668F1" w:rsidP="00F55C7A">
            <w:pPr>
              <w:keepNext/>
              <w:autoSpaceDE w:val="0"/>
              <w:autoSpaceDN w:val="0"/>
              <w:adjustRightInd w:val="0"/>
              <w:spacing w:line="276" w:lineRule="auto"/>
              <w:ind w:left="5"/>
              <w:jc w:val="center"/>
              <w:rPr>
                <w:color w:val="231F20"/>
                <w:sz w:val="20"/>
                <w:szCs w:val="20"/>
              </w:rPr>
            </w:pPr>
            <w:r w:rsidRPr="00F55C7A">
              <w:rPr>
                <w:color w:val="231F20"/>
                <w:sz w:val="20"/>
                <w:szCs w:val="20"/>
              </w:rPr>
              <w:t xml:space="preserve">(39.7 to </w:t>
            </w:r>
            <w:proofErr w:type="gramStart"/>
            <w:r w:rsidRPr="00F55C7A">
              <w:rPr>
                <w:color w:val="231F20"/>
                <w:sz w:val="20"/>
                <w:szCs w:val="20"/>
              </w:rPr>
              <w:t>76.8)*</w:t>
            </w:r>
            <w:proofErr w:type="gramEnd"/>
          </w:p>
        </w:tc>
        <w:tc>
          <w:tcPr>
            <w:tcW w:w="1736" w:type="dxa"/>
          </w:tcPr>
          <w:p w14:paraId="4E75ABE0"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81.0 </w:t>
            </w:r>
          </w:p>
          <w:p w14:paraId="31A73E65" w14:textId="7BB0F360"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(75.0 to 86.0)</w:t>
            </w:r>
          </w:p>
        </w:tc>
        <w:tc>
          <w:tcPr>
            <w:tcW w:w="1737" w:type="dxa"/>
          </w:tcPr>
          <w:p w14:paraId="3CB41D89" w14:textId="77777777" w:rsid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 xml:space="preserve">84.9 </w:t>
            </w:r>
          </w:p>
          <w:p w14:paraId="78116827" w14:textId="582FCC0E" w:rsidR="000668F1" w:rsidRPr="00F55C7A" w:rsidRDefault="000668F1" w:rsidP="00F55C7A">
            <w:pPr>
              <w:keepNext/>
              <w:autoSpaceDE w:val="0"/>
              <w:autoSpaceDN w:val="0"/>
              <w:adjustRightInd w:val="0"/>
              <w:spacing w:line="276" w:lineRule="auto"/>
              <w:ind w:left="57"/>
              <w:jc w:val="center"/>
              <w:rPr>
                <w:color w:val="231F20"/>
                <w:sz w:val="20"/>
                <w:szCs w:val="20"/>
              </w:rPr>
            </w:pPr>
            <w:r w:rsidRPr="00F55C7A">
              <w:rPr>
                <w:color w:val="231F20"/>
                <w:sz w:val="20"/>
                <w:szCs w:val="20"/>
              </w:rPr>
              <w:t>(80.2 to 99.9)</w:t>
            </w:r>
          </w:p>
        </w:tc>
      </w:tr>
    </w:tbl>
    <w:p w14:paraId="401661EA" w14:textId="55CBB19F" w:rsidR="00103E37" w:rsidRPr="001656DD" w:rsidRDefault="000668F1" w:rsidP="00103E37">
      <w:pPr>
        <w:autoSpaceDE w:val="0"/>
        <w:autoSpaceDN w:val="0"/>
        <w:adjustRightInd w:val="0"/>
        <w:rPr>
          <w:rFonts w:asciiTheme="minorHAnsi" w:hAnsiTheme="minorHAnsi" w:cstheme="minorHAnsi"/>
          <w:b/>
          <w:bCs/>
          <w:color w:val="231F20"/>
          <w:sz w:val="18"/>
          <w:szCs w:val="18"/>
        </w:rPr>
      </w:pPr>
      <w:r w:rsidRPr="001656DD">
        <w:rPr>
          <w:rFonts w:asciiTheme="minorHAnsi" w:hAnsiTheme="minorHAnsi" w:cstheme="minorHAnsi"/>
          <w:color w:val="231F20"/>
          <w:sz w:val="18"/>
          <w:szCs w:val="18"/>
        </w:rPr>
        <w:t xml:space="preserve">* </w:t>
      </w:r>
      <w:r w:rsidR="00103E37" w:rsidRPr="001656DD">
        <w:rPr>
          <w:rFonts w:asciiTheme="minorHAnsi" w:hAnsiTheme="minorHAnsi" w:cstheme="minorHAnsi"/>
          <w:color w:val="231F20"/>
          <w:sz w:val="18"/>
          <w:szCs w:val="18"/>
        </w:rPr>
        <w:t xml:space="preserve">Note that the response provided in the </w:t>
      </w:r>
      <w:proofErr w:type="spellStart"/>
      <w:r w:rsidR="00103E37" w:rsidRPr="001656DD">
        <w:rPr>
          <w:rFonts w:asciiTheme="minorHAnsi" w:hAnsiTheme="minorHAnsi" w:cstheme="minorHAnsi"/>
          <w:color w:val="231F20"/>
          <w:sz w:val="18"/>
          <w:szCs w:val="18"/>
        </w:rPr>
        <w:t>Satapathy</w:t>
      </w:r>
      <w:proofErr w:type="spellEnd"/>
      <w:r w:rsidR="00103E37" w:rsidRPr="001656DD">
        <w:rPr>
          <w:rFonts w:asciiTheme="minorHAnsi" w:hAnsiTheme="minorHAnsi" w:cstheme="minorHAnsi"/>
          <w:color w:val="231F20"/>
          <w:sz w:val="18"/>
          <w:szCs w:val="18"/>
        </w:rPr>
        <w:t xml:space="preserve"> analysis was the ORR rather than the DRR.  ORR includes patients with a minor response in addition to those recording </w:t>
      </w:r>
      <w:r w:rsidR="00372C34" w:rsidRPr="001656DD">
        <w:rPr>
          <w:rFonts w:asciiTheme="minorHAnsi" w:hAnsiTheme="minorHAnsi" w:cstheme="minorHAnsi"/>
          <w:color w:val="231F20"/>
          <w:sz w:val="18"/>
          <w:szCs w:val="18"/>
        </w:rPr>
        <w:t>complete response (</w:t>
      </w:r>
      <w:r w:rsidR="00103E37" w:rsidRPr="001656DD">
        <w:rPr>
          <w:rFonts w:asciiTheme="minorHAnsi" w:hAnsiTheme="minorHAnsi" w:cstheme="minorHAnsi"/>
          <w:color w:val="231F20"/>
          <w:sz w:val="18"/>
          <w:szCs w:val="18"/>
        </w:rPr>
        <w:t>CR</w:t>
      </w:r>
      <w:r w:rsidR="00372C34" w:rsidRPr="001656DD">
        <w:rPr>
          <w:rFonts w:asciiTheme="minorHAnsi" w:hAnsiTheme="minorHAnsi" w:cstheme="minorHAnsi"/>
          <w:color w:val="231F20"/>
          <w:sz w:val="18"/>
          <w:szCs w:val="18"/>
        </w:rPr>
        <w:t>)</w:t>
      </w:r>
      <w:r w:rsidR="00103E37" w:rsidRPr="001656DD">
        <w:rPr>
          <w:rFonts w:asciiTheme="minorHAnsi" w:hAnsiTheme="minorHAnsi" w:cstheme="minorHAnsi"/>
          <w:color w:val="231F20"/>
          <w:sz w:val="18"/>
          <w:szCs w:val="18"/>
        </w:rPr>
        <w:t xml:space="preserve"> and </w:t>
      </w:r>
      <w:r w:rsidR="00372C34" w:rsidRPr="001656DD">
        <w:rPr>
          <w:rFonts w:asciiTheme="minorHAnsi" w:hAnsiTheme="minorHAnsi" w:cstheme="minorHAnsi"/>
          <w:color w:val="231F20"/>
          <w:sz w:val="18"/>
          <w:szCs w:val="18"/>
        </w:rPr>
        <w:t>partial response (</w:t>
      </w:r>
      <w:r w:rsidR="00103E37" w:rsidRPr="001656DD">
        <w:rPr>
          <w:rFonts w:asciiTheme="minorHAnsi" w:hAnsiTheme="minorHAnsi" w:cstheme="minorHAnsi"/>
          <w:color w:val="231F20"/>
          <w:sz w:val="18"/>
          <w:szCs w:val="18"/>
        </w:rPr>
        <w:t>PR</w:t>
      </w:r>
      <w:r w:rsidR="00372C34" w:rsidRPr="001656DD">
        <w:rPr>
          <w:rFonts w:asciiTheme="minorHAnsi" w:hAnsiTheme="minorHAnsi" w:cstheme="minorHAnsi"/>
          <w:color w:val="231F20"/>
          <w:sz w:val="18"/>
          <w:szCs w:val="18"/>
        </w:rPr>
        <w:t>)</w:t>
      </w:r>
      <w:r w:rsidR="00103E37" w:rsidRPr="001656DD">
        <w:rPr>
          <w:rFonts w:asciiTheme="minorHAnsi" w:hAnsiTheme="minorHAnsi" w:cstheme="minorHAnsi"/>
          <w:color w:val="231F20"/>
          <w:sz w:val="18"/>
          <w:szCs w:val="18"/>
        </w:rPr>
        <w:t>, as is required in the definition of DRR.</w:t>
      </w:r>
    </w:p>
    <w:p w14:paraId="580E0533" w14:textId="04FB84E3" w:rsidR="00372C34" w:rsidRPr="00DC61D2" w:rsidRDefault="00FA36B8" w:rsidP="00372C34">
      <w:pPr>
        <w:rPr>
          <w:rFonts w:asciiTheme="minorHAnsi" w:hAnsiTheme="minorHAnsi" w:cstheme="minorHAnsi"/>
          <w:sz w:val="22"/>
          <w:szCs w:val="22"/>
        </w:rPr>
      </w:pPr>
      <w:proofErr w:type="spellStart"/>
      <w:r w:rsidRPr="00DC61D2">
        <w:rPr>
          <w:rFonts w:asciiTheme="minorHAnsi" w:hAnsiTheme="minorHAnsi" w:cstheme="minorHAnsi"/>
          <w:sz w:val="22"/>
          <w:szCs w:val="22"/>
        </w:rPr>
        <w:t>Pavlakis</w:t>
      </w:r>
      <w:proofErr w:type="spellEnd"/>
      <w:r w:rsidRPr="00DC61D2">
        <w:rPr>
          <w:rFonts w:asciiTheme="minorHAnsi" w:hAnsiTheme="minorHAnsi" w:cstheme="minorHAnsi"/>
          <w:sz w:val="22"/>
          <w:szCs w:val="22"/>
        </w:rPr>
        <w:t xml:space="preserve"> 2020</w:t>
      </w:r>
      <w:r w:rsidR="00771079" w:rsidRPr="00DC61D2">
        <w:rPr>
          <w:rFonts w:asciiTheme="minorHAnsi" w:hAnsiTheme="minorHAnsi" w:cstheme="minorHAnsi"/>
          <w:sz w:val="22"/>
          <w:szCs w:val="22"/>
        </w:rPr>
        <w:t xml:space="preserve"> </w:t>
      </w:r>
      <w:r w:rsidR="006B03CF" w:rsidRPr="00DC61D2">
        <w:rPr>
          <w:rFonts w:asciiTheme="minorHAnsi" w:hAnsiTheme="minorHAnsi" w:cstheme="minorHAnsi"/>
          <w:sz w:val="22"/>
          <w:szCs w:val="22"/>
        </w:rPr>
        <w:t xml:space="preserve">reported on </w:t>
      </w:r>
      <w:r w:rsidRPr="00DC61D2">
        <w:rPr>
          <w:rFonts w:asciiTheme="minorHAnsi" w:hAnsiTheme="minorHAnsi" w:cstheme="minorHAnsi"/>
          <w:sz w:val="22"/>
          <w:szCs w:val="22"/>
        </w:rPr>
        <w:t xml:space="preserve">a </w:t>
      </w:r>
      <w:r w:rsidR="00EC554E" w:rsidRPr="00DC61D2">
        <w:rPr>
          <w:rFonts w:asciiTheme="minorHAnsi" w:hAnsiTheme="minorHAnsi" w:cstheme="minorHAnsi"/>
          <w:sz w:val="22"/>
          <w:szCs w:val="22"/>
        </w:rPr>
        <w:t xml:space="preserve">non-comparative </w:t>
      </w:r>
      <w:proofErr w:type="spellStart"/>
      <w:r w:rsidR="00EC554E" w:rsidRPr="00DC61D2">
        <w:rPr>
          <w:rFonts w:asciiTheme="minorHAnsi" w:hAnsiTheme="minorHAnsi" w:cstheme="minorHAnsi"/>
          <w:sz w:val="22"/>
          <w:szCs w:val="22"/>
        </w:rPr>
        <w:t>randomi</w:t>
      </w:r>
      <w:r w:rsidR="00124E8F" w:rsidRPr="00DC61D2">
        <w:rPr>
          <w:rFonts w:asciiTheme="minorHAnsi" w:hAnsiTheme="minorHAnsi" w:cstheme="minorHAnsi"/>
          <w:sz w:val="22"/>
          <w:szCs w:val="22"/>
        </w:rPr>
        <w:t>s</w:t>
      </w:r>
      <w:r w:rsidR="00EC554E" w:rsidRPr="00DC61D2">
        <w:rPr>
          <w:rFonts w:asciiTheme="minorHAnsi" w:hAnsiTheme="minorHAnsi" w:cstheme="minorHAnsi"/>
          <w:sz w:val="22"/>
          <w:szCs w:val="22"/>
        </w:rPr>
        <w:t>ed</w:t>
      </w:r>
      <w:proofErr w:type="spellEnd"/>
      <w:r w:rsidR="00EC554E" w:rsidRPr="00DC61D2">
        <w:rPr>
          <w:rFonts w:asciiTheme="minorHAnsi" w:hAnsiTheme="minorHAnsi" w:cstheme="minorHAnsi"/>
          <w:sz w:val="22"/>
          <w:szCs w:val="22"/>
        </w:rPr>
        <w:t xml:space="preserve"> open label </w:t>
      </w:r>
      <w:r w:rsidRPr="00DC61D2">
        <w:rPr>
          <w:rFonts w:asciiTheme="minorHAnsi" w:hAnsiTheme="minorHAnsi" w:cstheme="minorHAnsi"/>
          <w:sz w:val="22"/>
          <w:szCs w:val="22"/>
        </w:rPr>
        <w:t xml:space="preserve">phase 2 study of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Lu-octreotate (</w:t>
      </w:r>
      <w:proofErr w:type="spellStart"/>
      <w:r w:rsidRPr="00DC61D2">
        <w:rPr>
          <w:rFonts w:asciiTheme="minorHAnsi" w:hAnsiTheme="minorHAnsi" w:cstheme="minorHAnsi"/>
          <w:sz w:val="22"/>
          <w:szCs w:val="22"/>
        </w:rPr>
        <w:t>LuTatePRRT</w:t>
      </w:r>
      <w:proofErr w:type="spellEnd"/>
      <w:r w:rsidRPr="00DC61D2">
        <w:rPr>
          <w:rFonts w:asciiTheme="minorHAnsi" w:hAnsiTheme="minorHAnsi" w:cstheme="minorHAnsi"/>
          <w:sz w:val="22"/>
          <w:szCs w:val="22"/>
        </w:rPr>
        <w:t xml:space="preserve">) + Capecitabine/ Temozolomide (CAPTEM) for midgut </w:t>
      </w:r>
      <w:r w:rsidR="00A52ABC" w:rsidRPr="00DC61D2">
        <w:rPr>
          <w:rFonts w:asciiTheme="minorHAnsi" w:hAnsiTheme="minorHAnsi" w:cstheme="minorHAnsi"/>
          <w:sz w:val="22"/>
          <w:szCs w:val="22"/>
        </w:rPr>
        <w:t>NETs</w:t>
      </w:r>
      <w:r w:rsidRPr="00DC61D2">
        <w:rPr>
          <w:rFonts w:asciiTheme="minorHAnsi" w:hAnsiTheme="minorHAnsi" w:cstheme="minorHAnsi"/>
          <w:sz w:val="22"/>
          <w:szCs w:val="22"/>
        </w:rPr>
        <w:t xml:space="preserve"> </w:t>
      </w:r>
      <w:r w:rsidR="006F1861" w:rsidRPr="00DC61D2">
        <w:rPr>
          <w:rFonts w:asciiTheme="minorHAnsi" w:hAnsiTheme="minorHAnsi" w:cstheme="minorHAnsi"/>
          <w:sz w:val="22"/>
          <w:szCs w:val="22"/>
        </w:rPr>
        <w:t>(CONTROL-NETS</w:t>
      </w:r>
      <w:r w:rsidR="00443B3F" w:rsidRPr="00DC61D2">
        <w:rPr>
          <w:rFonts w:asciiTheme="minorHAnsi" w:hAnsiTheme="minorHAnsi" w:cstheme="minorHAnsi"/>
          <w:sz w:val="22"/>
          <w:szCs w:val="22"/>
        </w:rPr>
        <w:t>)</w:t>
      </w:r>
      <w:r w:rsidRPr="00DC61D2">
        <w:rPr>
          <w:rFonts w:asciiTheme="minorHAnsi" w:hAnsiTheme="minorHAnsi" w:cstheme="minorHAnsi"/>
          <w:sz w:val="22"/>
          <w:szCs w:val="22"/>
        </w:rPr>
        <w:t>. The primary endpoint was PFS at 15 months</w:t>
      </w:r>
      <w:r w:rsidR="0007697F" w:rsidRPr="00DC61D2">
        <w:rPr>
          <w:rFonts w:asciiTheme="minorHAnsi" w:hAnsiTheme="minorHAnsi" w:cstheme="minorHAnsi"/>
          <w:sz w:val="22"/>
          <w:szCs w:val="22"/>
        </w:rPr>
        <w:t>,</w:t>
      </w:r>
      <w:r w:rsidRPr="00DC61D2">
        <w:rPr>
          <w:rFonts w:asciiTheme="minorHAnsi" w:hAnsiTheme="minorHAnsi" w:cstheme="minorHAnsi"/>
          <w:sz w:val="22"/>
          <w:szCs w:val="22"/>
        </w:rPr>
        <w:t xml:space="preserve"> assuming </w:t>
      </w:r>
      <w:proofErr w:type="gramStart"/>
      <w:r w:rsidRPr="00DC61D2">
        <w:rPr>
          <w:rFonts w:asciiTheme="minorHAnsi" w:hAnsiTheme="minorHAnsi" w:cstheme="minorHAnsi"/>
          <w:sz w:val="22"/>
          <w:szCs w:val="22"/>
        </w:rPr>
        <w:t>15 month</w:t>
      </w:r>
      <w:proofErr w:type="gramEnd"/>
      <w:r w:rsidRPr="00DC61D2">
        <w:rPr>
          <w:rFonts w:asciiTheme="minorHAnsi" w:hAnsiTheme="minorHAnsi" w:cstheme="minorHAnsi"/>
          <w:sz w:val="22"/>
          <w:szCs w:val="22"/>
        </w:rPr>
        <w:t xml:space="preserve"> PFS of 66.4% in the control arm, aiming for PFS rate &gt;80%. Secondary endpoints were objective </w:t>
      </w:r>
      <w:proofErr w:type="spellStart"/>
      <w:r w:rsidRPr="00DC61D2">
        <w:rPr>
          <w:rFonts w:asciiTheme="minorHAnsi" w:hAnsiTheme="minorHAnsi" w:cstheme="minorHAnsi"/>
          <w:sz w:val="22"/>
          <w:szCs w:val="22"/>
        </w:rPr>
        <w:t>tumour</w:t>
      </w:r>
      <w:proofErr w:type="spellEnd"/>
      <w:r w:rsidRPr="00DC61D2">
        <w:rPr>
          <w:rFonts w:asciiTheme="minorHAnsi" w:hAnsiTheme="minorHAnsi" w:cstheme="minorHAnsi"/>
          <w:sz w:val="22"/>
          <w:szCs w:val="22"/>
        </w:rPr>
        <w:t xml:space="preserve"> response (OTRR), being complete or partial, clinical benefit rate (CBR), being complete or partial, or stable disease and</w:t>
      </w:r>
      <w:r w:rsidR="00E36C41" w:rsidRPr="00DC61D2">
        <w:rPr>
          <w:rFonts w:asciiTheme="minorHAnsi" w:hAnsiTheme="minorHAnsi" w:cstheme="minorHAnsi"/>
          <w:sz w:val="22"/>
          <w:szCs w:val="22"/>
        </w:rPr>
        <w:t xml:space="preserve"> quality of life (</w:t>
      </w:r>
      <w:r w:rsidRPr="00DC61D2">
        <w:rPr>
          <w:rFonts w:asciiTheme="minorHAnsi" w:hAnsiTheme="minorHAnsi" w:cstheme="minorHAnsi"/>
          <w:sz w:val="22"/>
          <w:szCs w:val="22"/>
        </w:rPr>
        <w:t>QoL</w:t>
      </w:r>
      <w:r w:rsidR="00E36C41" w:rsidRPr="00DC61D2">
        <w:rPr>
          <w:rFonts w:asciiTheme="minorHAnsi" w:hAnsiTheme="minorHAnsi" w:cstheme="minorHAnsi"/>
          <w:sz w:val="22"/>
          <w:szCs w:val="22"/>
        </w:rPr>
        <w:t>)</w:t>
      </w:r>
      <w:r w:rsidRPr="00DC61D2">
        <w:rPr>
          <w:rFonts w:asciiTheme="minorHAnsi" w:hAnsiTheme="minorHAnsi" w:cstheme="minorHAnsi"/>
          <w:sz w:val="22"/>
          <w:szCs w:val="22"/>
        </w:rPr>
        <w:t xml:space="preserve">. A total of 47 patients were enrolled, 33 receiving PRRT/CAPTEM and 14 PRRT. After a median follow-up of 32 months, the </w:t>
      </w:r>
      <w:proofErr w:type="gramStart"/>
      <w:r w:rsidRPr="00DC61D2">
        <w:rPr>
          <w:rFonts w:asciiTheme="minorHAnsi" w:hAnsiTheme="minorHAnsi" w:cstheme="minorHAnsi"/>
          <w:sz w:val="22"/>
          <w:szCs w:val="22"/>
        </w:rPr>
        <w:t>15 month</w:t>
      </w:r>
      <w:proofErr w:type="gramEnd"/>
      <w:r w:rsidRPr="00DC61D2">
        <w:rPr>
          <w:rFonts w:asciiTheme="minorHAnsi" w:hAnsiTheme="minorHAnsi" w:cstheme="minorHAnsi"/>
          <w:sz w:val="22"/>
          <w:szCs w:val="22"/>
        </w:rPr>
        <w:t xml:space="preserve"> PFS was 90% (95% CI: 73-97%) </w:t>
      </w:r>
      <w:r w:rsidR="002815B1" w:rsidRPr="00DC61D2">
        <w:rPr>
          <w:rFonts w:asciiTheme="minorHAnsi" w:hAnsiTheme="minorHAnsi" w:cstheme="minorHAnsi"/>
          <w:sz w:val="22"/>
          <w:szCs w:val="22"/>
        </w:rPr>
        <w:t>compared to</w:t>
      </w:r>
      <w:r w:rsidRPr="00DC61D2">
        <w:rPr>
          <w:rFonts w:asciiTheme="minorHAnsi" w:hAnsiTheme="minorHAnsi" w:cstheme="minorHAnsi"/>
          <w:sz w:val="22"/>
          <w:szCs w:val="22"/>
        </w:rPr>
        <w:t xml:space="preserve"> 92% (95% CI: 57-99%); </w:t>
      </w:r>
      <w:r w:rsidR="00EB7D27" w:rsidRPr="00DC61D2">
        <w:rPr>
          <w:rFonts w:asciiTheme="minorHAnsi" w:hAnsiTheme="minorHAnsi" w:cstheme="minorHAnsi"/>
          <w:sz w:val="22"/>
          <w:szCs w:val="22"/>
        </w:rPr>
        <w:t xml:space="preserve">the </w:t>
      </w:r>
      <w:r w:rsidRPr="00DC61D2">
        <w:rPr>
          <w:rFonts w:asciiTheme="minorHAnsi" w:hAnsiTheme="minorHAnsi" w:cstheme="minorHAnsi"/>
          <w:sz w:val="22"/>
          <w:szCs w:val="22"/>
        </w:rPr>
        <w:t xml:space="preserve">OTRR </w:t>
      </w:r>
      <w:r w:rsidR="002815B1" w:rsidRPr="00DC61D2">
        <w:rPr>
          <w:rFonts w:asciiTheme="minorHAnsi" w:hAnsiTheme="minorHAnsi" w:cstheme="minorHAnsi"/>
          <w:sz w:val="22"/>
          <w:szCs w:val="22"/>
        </w:rPr>
        <w:t xml:space="preserve">was </w:t>
      </w:r>
      <w:r w:rsidRPr="00DC61D2">
        <w:rPr>
          <w:rFonts w:asciiTheme="minorHAnsi" w:hAnsiTheme="minorHAnsi" w:cstheme="minorHAnsi"/>
          <w:sz w:val="22"/>
          <w:szCs w:val="22"/>
        </w:rPr>
        <w:t xml:space="preserve">25% </w:t>
      </w:r>
      <w:r w:rsidR="002815B1" w:rsidRPr="00DC61D2">
        <w:rPr>
          <w:rFonts w:asciiTheme="minorHAnsi" w:hAnsiTheme="minorHAnsi" w:cstheme="minorHAnsi"/>
          <w:sz w:val="22"/>
          <w:szCs w:val="22"/>
        </w:rPr>
        <w:t xml:space="preserve">compared to </w:t>
      </w:r>
      <w:r w:rsidRPr="00DC61D2">
        <w:rPr>
          <w:rFonts w:asciiTheme="minorHAnsi" w:hAnsiTheme="minorHAnsi" w:cstheme="minorHAnsi"/>
          <w:sz w:val="22"/>
          <w:szCs w:val="22"/>
        </w:rPr>
        <w:t xml:space="preserve">15% and </w:t>
      </w:r>
      <w:r w:rsidR="002815B1" w:rsidRPr="00DC61D2">
        <w:rPr>
          <w:rFonts w:asciiTheme="minorHAnsi" w:hAnsiTheme="minorHAnsi" w:cstheme="minorHAnsi"/>
          <w:sz w:val="22"/>
          <w:szCs w:val="22"/>
        </w:rPr>
        <w:t xml:space="preserve">the </w:t>
      </w:r>
      <w:r w:rsidRPr="00DC61D2">
        <w:rPr>
          <w:rFonts w:asciiTheme="minorHAnsi" w:hAnsiTheme="minorHAnsi" w:cstheme="minorHAnsi"/>
          <w:sz w:val="22"/>
          <w:szCs w:val="22"/>
        </w:rPr>
        <w:t>CBR</w:t>
      </w:r>
      <w:r w:rsidR="002815B1" w:rsidRPr="00DC61D2">
        <w:rPr>
          <w:rFonts w:asciiTheme="minorHAnsi" w:hAnsiTheme="minorHAnsi" w:cstheme="minorHAnsi"/>
          <w:sz w:val="22"/>
          <w:szCs w:val="22"/>
        </w:rPr>
        <w:t xml:space="preserve"> was</w:t>
      </w:r>
      <w:r w:rsidRPr="00DC61D2">
        <w:rPr>
          <w:rFonts w:asciiTheme="minorHAnsi" w:hAnsiTheme="minorHAnsi" w:cstheme="minorHAnsi"/>
          <w:sz w:val="22"/>
          <w:szCs w:val="22"/>
        </w:rPr>
        <w:t xml:space="preserve"> 97% </w:t>
      </w:r>
      <w:r w:rsidR="00982BB8" w:rsidRPr="00DC61D2">
        <w:rPr>
          <w:rFonts w:asciiTheme="minorHAnsi" w:hAnsiTheme="minorHAnsi" w:cstheme="minorHAnsi"/>
          <w:sz w:val="22"/>
          <w:szCs w:val="22"/>
        </w:rPr>
        <w:t>compared to</w:t>
      </w:r>
      <w:r w:rsidRPr="00DC61D2">
        <w:rPr>
          <w:rFonts w:asciiTheme="minorHAnsi" w:hAnsiTheme="minorHAnsi" w:cstheme="minorHAnsi"/>
          <w:sz w:val="22"/>
          <w:szCs w:val="22"/>
        </w:rPr>
        <w:t xml:space="preserve"> 92%, for PRRT/CAPTEM</w:t>
      </w:r>
      <w:r w:rsidR="0005211B" w:rsidRPr="00DC61D2">
        <w:rPr>
          <w:rFonts w:asciiTheme="minorHAnsi" w:hAnsiTheme="minorHAnsi" w:cstheme="minorHAnsi"/>
          <w:sz w:val="22"/>
          <w:szCs w:val="22"/>
        </w:rPr>
        <w:t xml:space="preserve"> </w:t>
      </w:r>
      <w:r w:rsidR="00982BB8" w:rsidRPr="00DC61D2">
        <w:rPr>
          <w:rFonts w:asciiTheme="minorHAnsi" w:hAnsiTheme="minorHAnsi" w:cstheme="minorHAnsi"/>
          <w:sz w:val="22"/>
          <w:szCs w:val="22"/>
        </w:rPr>
        <w:t>compared to</w:t>
      </w:r>
      <w:r w:rsidRPr="00DC61D2">
        <w:rPr>
          <w:rFonts w:asciiTheme="minorHAnsi" w:hAnsiTheme="minorHAnsi" w:cstheme="minorHAnsi"/>
          <w:sz w:val="22"/>
          <w:szCs w:val="22"/>
        </w:rPr>
        <w:t xml:space="preserve"> PRRT alone, respectively. </w:t>
      </w:r>
      <w:r w:rsidR="00372C34" w:rsidRPr="00DC61D2">
        <w:rPr>
          <w:rFonts w:asciiTheme="minorHAnsi" w:hAnsiTheme="minorHAnsi" w:cstheme="minorHAnsi"/>
          <w:sz w:val="22"/>
          <w:szCs w:val="22"/>
        </w:rPr>
        <w:t xml:space="preserve">This analysis demonstrates similarly high </w:t>
      </w:r>
      <w:proofErr w:type="gramStart"/>
      <w:r w:rsidR="00372C34" w:rsidRPr="00DC61D2">
        <w:rPr>
          <w:rFonts w:asciiTheme="minorHAnsi" w:hAnsiTheme="minorHAnsi" w:cstheme="minorHAnsi"/>
          <w:sz w:val="22"/>
          <w:szCs w:val="22"/>
        </w:rPr>
        <w:t>15 month</w:t>
      </w:r>
      <w:proofErr w:type="gramEnd"/>
      <w:r w:rsidR="00372C34" w:rsidRPr="00DC61D2">
        <w:rPr>
          <w:rFonts w:asciiTheme="minorHAnsi" w:hAnsiTheme="minorHAnsi" w:cstheme="minorHAnsi"/>
          <w:sz w:val="22"/>
          <w:szCs w:val="22"/>
        </w:rPr>
        <w:t xml:space="preserve"> PFS for CAPTEM/PRRT relative to PRRT alone. OTRR is numerically higher</w:t>
      </w:r>
      <w:r w:rsidR="00E84243">
        <w:rPr>
          <w:rFonts w:asciiTheme="minorHAnsi" w:hAnsiTheme="minorHAnsi" w:cstheme="minorHAnsi"/>
          <w:sz w:val="22"/>
          <w:szCs w:val="22"/>
        </w:rPr>
        <w:t>.</w:t>
      </w:r>
    </w:p>
    <w:p w14:paraId="0EA69584" w14:textId="355145D0" w:rsidR="00583247" w:rsidRPr="00DC61D2" w:rsidRDefault="00FA36B8" w:rsidP="00372C34">
      <w:pPr>
        <w:rPr>
          <w:rFonts w:asciiTheme="minorHAnsi" w:eastAsia="OTNEJMQuadraat" w:hAnsiTheme="minorHAnsi" w:cstheme="minorHAnsi"/>
          <w:sz w:val="22"/>
          <w:szCs w:val="22"/>
        </w:rPr>
      </w:pPr>
      <w:proofErr w:type="spellStart"/>
      <w:r w:rsidRPr="00DC61D2">
        <w:rPr>
          <w:rFonts w:asciiTheme="minorHAnsi" w:hAnsiTheme="minorHAnsi" w:cstheme="minorHAnsi"/>
          <w:sz w:val="22"/>
          <w:szCs w:val="22"/>
        </w:rPr>
        <w:t>Strosberg</w:t>
      </w:r>
      <w:proofErr w:type="spellEnd"/>
      <w:r w:rsidRPr="00DC61D2">
        <w:rPr>
          <w:rFonts w:asciiTheme="minorHAnsi" w:hAnsiTheme="minorHAnsi" w:cstheme="minorHAnsi"/>
          <w:sz w:val="22"/>
          <w:szCs w:val="22"/>
        </w:rPr>
        <w:t xml:space="preserve"> </w:t>
      </w:r>
      <w:r w:rsidRPr="00DC61D2">
        <w:rPr>
          <w:rFonts w:asciiTheme="minorHAnsi" w:hAnsiTheme="minorHAnsi" w:cstheme="minorHAnsi"/>
          <w:i/>
          <w:iCs/>
          <w:sz w:val="22"/>
          <w:szCs w:val="22"/>
        </w:rPr>
        <w:t>et al.</w:t>
      </w:r>
      <w:r w:rsidRPr="00DC61D2">
        <w:rPr>
          <w:rFonts w:asciiTheme="minorHAnsi" w:hAnsiTheme="minorHAnsi" w:cstheme="minorHAnsi"/>
          <w:sz w:val="22"/>
          <w:szCs w:val="22"/>
        </w:rPr>
        <w:t xml:space="preserve"> 2017</w:t>
      </w:r>
      <w:r w:rsidR="00EC554E" w:rsidRPr="00DC61D2">
        <w:rPr>
          <w:rFonts w:asciiTheme="minorHAnsi" w:hAnsiTheme="minorHAnsi" w:cstheme="minorHAnsi"/>
          <w:sz w:val="22"/>
          <w:szCs w:val="22"/>
        </w:rPr>
        <w:t xml:space="preserve"> </w:t>
      </w:r>
      <w:r w:rsidR="006F1861" w:rsidRPr="00DC61D2">
        <w:rPr>
          <w:rFonts w:asciiTheme="minorHAnsi" w:hAnsiTheme="minorHAnsi" w:cstheme="minorHAnsi"/>
          <w:sz w:val="22"/>
          <w:szCs w:val="22"/>
        </w:rPr>
        <w:t xml:space="preserve">reported on the </w:t>
      </w:r>
      <w:r w:rsidR="00376720" w:rsidRPr="00DC61D2">
        <w:rPr>
          <w:rFonts w:asciiTheme="minorHAnsi" w:hAnsiTheme="minorHAnsi" w:cstheme="minorHAnsi"/>
          <w:sz w:val="22"/>
          <w:szCs w:val="22"/>
        </w:rPr>
        <w:t xml:space="preserve">Phase 3 </w:t>
      </w:r>
      <w:r w:rsidR="0060777D" w:rsidRPr="00DC61D2">
        <w:rPr>
          <w:rFonts w:asciiTheme="minorHAnsi" w:hAnsiTheme="minorHAnsi" w:cstheme="minorHAnsi"/>
          <w:sz w:val="22"/>
          <w:szCs w:val="22"/>
        </w:rPr>
        <w:t>NETTER-1 study</w:t>
      </w:r>
      <w:r w:rsidR="00376720" w:rsidRPr="00DC61D2">
        <w:rPr>
          <w:rFonts w:asciiTheme="minorHAnsi" w:hAnsiTheme="minorHAnsi" w:cstheme="minorHAnsi"/>
          <w:sz w:val="22"/>
          <w:szCs w:val="22"/>
        </w:rPr>
        <w:t xml:space="preserve"> which</w:t>
      </w:r>
      <w:r w:rsidR="0060777D" w:rsidRPr="00DC61D2">
        <w:rPr>
          <w:rFonts w:asciiTheme="minorHAnsi" w:hAnsiTheme="minorHAnsi" w:cstheme="minorHAnsi"/>
          <w:sz w:val="22"/>
          <w:szCs w:val="22"/>
        </w:rPr>
        <w:t xml:space="preserve"> </w:t>
      </w:r>
      <w:r w:rsidR="00C96337" w:rsidRPr="00DC61D2">
        <w:rPr>
          <w:rFonts w:asciiTheme="minorHAnsi" w:hAnsiTheme="minorHAnsi" w:cstheme="minorHAnsi"/>
          <w:sz w:val="22"/>
          <w:szCs w:val="22"/>
        </w:rPr>
        <w:t>was</w:t>
      </w:r>
      <w:r w:rsidR="00EC554E" w:rsidRPr="00DC61D2">
        <w:rPr>
          <w:rFonts w:asciiTheme="minorHAnsi" w:hAnsiTheme="minorHAnsi" w:cstheme="minorHAnsi"/>
          <w:sz w:val="22"/>
          <w:szCs w:val="22"/>
        </w:rPr>
        <w:t xml:space="preserve"> a </w:t>
      </w:r>
      <w:proofErr w:type="spellStart"/>
      <w:r w:rsidRPr="00DC61D2">
        <w:rPr>
          <w:rFonts w:asciiTheme="minorHAnsi" w:hAnsiTheme="minorHAnsi" w:cstheme="minorHAnsi"/>
          <w:sz w:val="22"/>
          <w:szCs w:val="22"/>
        </w:rPr>
        <w:t>randomised</w:t>
      </w:r>
      <w:proofErr w:type="spellEnd"/>
      <w:r w:rsidRPr="00DC61D2">
        <w:rPr>
          <w:rFonts w:asciiTheme="minorHAnsi" w:hAnsiTheme="minorHAnsi" w:cstheme="minorHAnsi"/>
          <w:sz w:val="22"/>
          <w:szCs w:val="22"/>
        </w:rPr>
        <w:t xml:space="preserve">, controlled trial evaluating the efficacy and safety of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Lu-DOTATATE in patients with advanced, progressive, somatostatin-receptor-positive midgut NETs</w:t>
      </w:r>
      <w:r w:rsidR="00583247" w:rsidRPr="00DC61D2">
        <w:rPr>
          <w:rFonts w:asciiTheme="minorHAnsi" w:hAnsiTheme="minorHAnsi" w:cstheme="minorHAnsi"/>
          <w:sz w:val="22"/>
          <w:szCs w:val="22"/>
        </w:rPr>
        <w:t xml:space="preserve"> and was followed by </w:t>
      </w:r>
      <w:proofErr w:type="spellStart"/>
      <w:r w:rsidR="00836D01" w:rsidRPr="00DC61D2">
        <w:rPr>
          <w:rFonts w:asciiTheme="minorHAnsi" w:hAnsiTheme="minorHAnsi" w:cstheme="minorHAnsi"/>
          <w:sz w:val="22"/>
          <w:szCs w:val="22"/>
        </w:rPr>
        <w:t>Strosberg</w:t>
      </w:r>
      <w:proofErr w:type="spellEnd"/>
      <w:r w:rsidR="00836D01" w:rsidRPr="00DC61D2">
        <w:rPr>
          <w:rFonts w:asciiTheme="minorHAnsi" w:hAnsiTheme="minorHAnsi" w:cstheme="minorHAnsi"/>
          <w:sz w:val="22"/>
          <w:szCs w:val="22"/>
        </w:rPr>
        <w:t xml:space="preserve"> 2018 and </w:t>
      </w:r>
      <w:proofErr w:type="spellStart"/>
      <w:r w:rsidR="00836D01" w:rsidRPr="00DC61D2">
        <w:rPr>
          <w:rFonts w:asciiTheme="minorHAnsi" w:hAnsiTheme="minorHAnsi" w:cstheme="minorHAnsi"/>
          <w:sz w:val="22"/>
          <w:szCs w:val="22"/>
        </w:rPr>
        <w:t>Strosberg</w:t>
      </w:r>
      <w:proofErr w:type="spellEnd"/>
      <w:r w:rsidR="00836D01" w:rsidRPr="00DC61D2">
        <w:rPr>
          <w:rFonts w:asciiTheme="minorHAnsi" w:hAnsiTheme="minorHAnsi" w:cstheme="minorHAnsi"/>
          <w:sz w:val="22"/>
          <w:szCs w:val="22"/>
        </w:rPr>
        <w:t xml:space="preserve"> 2020 </w:t>
      </w:r>
      <w:r w:rsidR="00820456" w:rsidRPr="00DC61D2">
        <w:rPr>
          <w:rFonts w:asciiTheme="minorHAnsi" w:hAnsiTheme="minorHAnsi" w:cstheme="minorHAnsi"/>
          <w:sz w:val="22"/>
          <w:szCs w:val="22"/>
        </w:rPr>
        <w:t>with</w:t>
      </w:r>
      <w:r w:rsidR="00583247" w:rsidRPr="00DC61D2">
        <w:rPr>
          <w:rFonts w:asciiTheme="minorHAnsi" w:hAnsiTheme="minorHAnsi" w:cstheme="minorHAnsi"/>
          <w:sz w:val="22"/>
          <w:szCs w:val="22"/>
        </w:rPr>
        <w:t xml:space="preserve"> sub analyses.  </w:t>
      </w:r>
      <w:r w:rsidR="0060777D" w:rsidRPr="00DC61D2">
        <w:rPr>
          <w:rFonts w:asciiTheme="minorHAnsi" w:hAnsiTheme="minorHAnsi" w:cstheme="minorHAnsi"/>
          <w:sz w:val="22"/>
          <w:szCs w:val="22"/>
        </w:rPr>
        <w:t xml:space="preserve"> </w:t>
      </w:r>
      <w:r w:rsidR="00583247" w:rsidRPr="00DC61D2">
        <w:rPr>
          <w:rFonts w:asciiTheme="minorHAnsi" w:hAnsiTheme="minorHAnsi" w:cstheme="minorHAnsi"/>
          <w:sz w:val="22"/>
          <w:szCs w:val="22"/>
        </w:rPr>
        <w:t xml:space="preserve">The NETTER-1 study </w:t>
      </w:r>
      <w:r w:rsidR="00583247" w:rsidRPr="00DC61D2">
        <w:rPr>
          <w:rFonts w:asciiTheme="minorHAnsi" w:eastAsia="OTNEJMQuadraat" w:hAnsiTheme="minorHAnsi" w:cstheme="minorHAnsi"/>
          <w:sz w:val="22"/>
          <w:szCs w:val="22"/>
        </w:rPr>
        <w:t xml:space="preserve">recruited </w:t>
      </w:r>
      <w:r w:rsidR="00124E8F" w:rsidRPr="00DC61D2">
        <w:rPr>
          <w:rFonts w:asciiTheme="minorHAnsi" w:eastAsia="OTNEJMQuadraat" w:hAnsiTheme="minorHAnsi" w:cstheme="minorHAnsi"/>
          <w:sz w:val="22"/>
          <w:szCs w:val="22"/>
        </w:rPr>
        <w:t xml:space="preserve">adult </w:t>
      </w:r>
      <w:r w:rsidR="00583247" w:rsidRPr="00DC61D2">
        <w:rPr>
          <w:rFonts w:asciiTheme="minorHAnsi" w:eastAsia="OTNEJMQuadraat" w:hAnsiTheme="minorHAnsi" w:cstheme="minorHAnsi"/>
          <w:sz w:val="22"/>
          <w:szCs w:val="22"/>
        </w:rPr>
        <w:t xml:space="preserve">patients who had midgut NETs that had </w:t>
      </w:r>
      <w:proofErr w:type="spellStart"/>
      <w:r w:rsidR="001656DD" w:rsidRPr="00DC61D2">
        <w:rPr>
          <w:rFonts w:asciiTheme="minorHAnsi" w:eastAsia="OTNEJMQuadraat" w:hAnsiTheme="minorHAnsi" w:cstheme="minorHAnsi"/>
          <w:sz w:val="22"/>
          <w:szCs w:val="22"/>
        </w:rPr>
        <w:t>metastasi</w:t>
      </w:r>
      <w:r w:rsidR="001656DD">
        <w:rPr>
          <w:rFonts w:asciiTheme="minorHAnsi" w:eastAsia="OTNEJMQuadraat" w:hAnsiTheme="minorHAnsi" w:cstheme="minorHAnsi"/>
          <w:sz w:val="22"/>
          <w:szCs w:val="22"/>
        </w:rPr>
        <w:t>s</w:t>
      </w:r>
      <w:r w:rsidR="001656DD" w:rsidRPr="00DC61D2">
        <w:rPr>
          <w:rFonts w:asciiTheme="minorHAnsi" w:eastAsia="OTNEJMQuadraat" w:hAnsiTheme="minorHAnsi" w:cstheme="minorHAnsi"/>
          <w:sz w:val="22"/>
          <w:szCs w:val="22"/>
        </w:rPr>
        <w:t>ed</w:t>
      </w:r>
      <w:proofErr w:type="spellEnd"/>
      <w:r w:rsidR="00583247" w:rsidRPr="00DC61D2">
        <w:rPr>
          <w:rFonts w:asciiTheme="minorHAnsi" w:eastAsia="OTNEJMQuadraat" w:hAnsiTheme="minorHAnsi" w:cstheme="minorHAnsi"/>
          <w:sz w:val="22"/>
          <w:szCs w:val="22"/>
        </w:rPr>
        <w:t xml:space="preserve"> or were locally advanced, that were inoperable, that were histologically confirmed and centrally verified, and that showed disease progression (according to RECIST version 1.11) on either computed tomography (CT) or magnetic resonance imaging (MRI) over the course of a maximum period of 3 years during treatment with octreotide LAR (20 to 30 mg every 3 to 4 weeks for at least 12 weeks before </w:t>
      </w:r>
      <w:proofErr w:type="spellStart"/>
      <w:r w:rsidR="00583247" w:rsidRPr="00DC61D2">
        <w:rPr>
          <w:rFonts w:asciiTheme="minorHAnsi" w:eastAsia="OTNEJMQuadraat" w:hAnsiTheme="minorHAnsi" w:cstheme="minorHAnsi"/>
          <w:sz w:val="22"/>
          <w:szCs w:val="22"/>
        </w:rPr>
        <w:t>randomi</w:t>
      </w:r>
      <w:r w:rsidR="00124E8F" w:rsidRPr="00DC61D2">
        <w:rPr>
          <w:rFonts w:asciiTheme="minorHAnsi" w:eastAsia="OTNEJMQuadraat" w:hAnsiTheme="minorHAnsi" w:cstheme="minorHAnsi"/>
          <w:sz w:val="22"/>
          <w:szCs w:val="22"/>
        </w:rPr>
        <w:t>s</w:t>
      </w:r>
      <w:r w:rsidR="00583247" w:rsidRPr="00DC61D2">
        <w:rPr>
          <w:rFonts w:asciiTheme="minorHAnsi" w:eastAsia="OTNEJMQuadraat" w:hAnsiTheme="minorHAnsi" w:cstheme="minorHAnsi"/>
          <w:sz w:val="22"/>
          <w:szCs w:val="22"/>
        </w:rPr>
        <w:t>ation</w:t>
      </w:r>
      <w:proofErr w:type="spellEnd"/>
      <w:r w:rsidR="00583247" w:rsidRPr="00DC61D2">
        <w:rPr>
          <w:rFonts w:asciiTheme="minorHAnsi" w:eastAsia="OTNEJMQuadraat" w:hAnsiTheme="minorHAnsi" w:cstheme="minorHAnsi"/>
          <w:sz w:val="22"/>
          <w:szCs w:val="22"/>
        </w:rPr>
        <w:t xml:space="preserve">). A total of 229 patients underwent </w:t>
      </w:r>
      <w:proofErr w:type="spellStart"/>
      <w:r w:rsidR="00583247" w:rsidRPr="00DC61D2">
        <w:rPr>
          <w:rFonts w:asciiTheme="minorHAnsi" w:eastAsia="OTNEJMQuadraat" w:hAnsiTheme="minorHAnsi" w:cstheme="minorHAnsi"/>
          <w:sz w:val="22"/>
          <w:szCs w:val="22"/>
        </w:rPr>
        <w:t>randomisation</w:t>
      </w:r>
      <w:proofErr w:type="spellEnd"/>
      <w:r w:rsidR="00583247" w:rsidRPr="00DC61D2">
        <w:rPr>
          <w:rFonts w:asciiTheme="minorHAnsi" w:eastAsia="OTNEJMQuadraat" w:hAnsiTheme="minorHAnsi" w:cstheme="minorHAnsi"/>
          <w:sz w:val="22"/>
          <w:szCs w:val="22"/>
        </w:rPr>
        <w:t xml:space="preserve">, of which 221 received at least one dose of trial treatment, including 111 patients in the </w:t>
      </w:r>
      <w:r w:rsidR="00583247" w:rsidRPr="00DC61D2">
        <w:rPr>
          <w:rFonts w:asciiTheme="minorHAnsi" w:eastAsia="OTNEJMQuadraat" w:hAnsiTheme="minorHAnsi" w:cstheme="minorHAnsi"/>
          <w:sz w:val="22"/>
          <w:szCs w:val="22"/>
          <w:vertAlign w:val="superscript"/>
        </w:rPr>
        <w:t>177</w:t>
      </w:r>
      <w:r w:rsidR="00583247" w:rsidRPr="00DC61D2">
        <w:rPr>
          <w:rFonts w:asciiTheme="minorHAnsi" w:eastAsia="OTNEJMQuadraat" w:hAnsiTheme="minorHAnsi" w:cstheme="minorHAnsi"/>
          <w:sz w:val="22"/>
          <w:szCs w:val="22"/>
        </w:rPr>
        <w:t xml:space="preserve">Lu-Dotatate group and 110 in the control group (safety population). </w:t>
      </w:r>
    </w:p>
    <w:p w14:paraId="0A925EFA" w14:textId="5669F5D3" w:rsidR="00583247" w:rsidRPr="00DC61D2" w:rsidRDefault="00583247" w:rsidP="00583247">
      <w:pPr>
        <w:autoSpaceDE w:val="0"/>
        <w:autoSpaceDN w:val="0"/>
        <w:adjustRightInd w:val="0"/>
        <w:rPr>
          <w:rFonts w:asciiTheme="minorHAnsi" w:eastAsia="OTNEJMQuadraat" w:hAnsiTheme="minorHAnsi" w:cstheme="minorHAnsi"/>
          <w:sz w:val="22"/>
          <w:szCs w:val="22"/>
        </w:rPr>
      </w:pPr>
      <w:r w:rsidRPr="00DC61D2">
        <w:rPr>
          <w:rFonts w:asciiTheme="minorHAnsi" w:hAnsiTheme="minorHAnsi" w:cstheme="minorHAnsi"/>
          <w:sz w:val="22"/>
          <w:szCs w:val="22"/>
        </w:rPr>
        <w:lastRenderedPageBreak/>
        <w:t xml:space="preserve">In the patients </w:t>
      </w:r>
      <w:proofErr w:type="spellStart"/>
      <w:r w:rsidRPr="00DC61D2">
        <w:rPr>
          <w:rFonts w:asciiTheme="minorHAnsi" w:hAnsiTheme="minorHAnsi" w:cstheme="minorHAnsi"/>
          <w:sz w:val="22"/>
          <w:szCs w:val="22"/>
        </w:rPr>
        <w:t>randomised</w:t>
      </w:r>
      <w:proofErr w:type="spellEnd"/>
      <w:r w:rsidRPr="00DC61D2">
        <w:rPr>
          <w:rFonts w:asciiTheme="minorHAnsi" w:hAnsiTheme="minorHAnsi" w:cstheme="minorHAnsi"/>
          <w:sz w:val="22"/>
          <w:szCs w:val="22"/>
        </w:rPr>
        <w:t xml:space="preserve"> to the PRRT arm, </w:t>
      </w:r>
      <w:r w:rsidRPr="00DC61D2">
        <w:rPr>
          <w:rFonts w:asciiTheme="minorHAnsi" w:eastAsia="OTNEJMQuadraat" w:hAnsiTheme="minorHAnsi" w:cstheme="minorHAnsi"/>
          <w:sz w:val="22"/>
          <w:szCs w:val="22"/>
        </w:rPr>
        <w:t xml:space="preserve">7.4 </w:t>
      </w:r>
      <w:proofErr w:type="spellStart"/>
      <w:r w:rsidRPr="00DC61D2">
        <w:rPr>
          <w:rFonts w:asciiTheme="minorHAnsi" w:eastAsia="OTNEJMQuadraat" w:hAnsiTheme="minorHAnsi" w:cstheme="minorHAnsi"/>
          <w:sz w:val="22"/>
          <w:szCs w:val="22"/>
        </w:rPr>
        <w:t>GBq</w:t>
      </w:r>
      <w:proofErr w:type="spellEnd"/>
      <w:r w:rsidRPr="00DC61D2">
        <w:rPr>
          <w:rFonts w:asciiTheme="minorHAnsi" w:eastAsia="OTNEJMQuadraat" w:hAnsiTheme="minorHAnsi" w:cstheme="minorHAnsi"/>
          <w:sz w:val="22"/>
          <w:szCs w:val="22"/>
        </w:rPr>
        <w:t xml:space="preserve"> (200 </w:t>
      </w:r>
      <w:proofErr w:type="spellStart"/>
      <w:r w:rsidRPr="00DC61D2">
        <w:rPr>
          <w:rFonts w:asciiTheme="minorHAnsi" w:eastAsia="OTNEJMQuadraat" w:hAnsiTheme="minorHAnsi" w:cstheme="minorHAnsi"/>
          <w:sz w:val="22"/>
          <w:szCs w:val="22"/>
        </w:rPr>
        <w:t>mCi</w:t>
      </w:r>
      <w:proofErr w:type="spellEnd"/>
      <w:r w:rsidRPr="00DC61D2">
        <w:rPr>
          <w:rFonts w:asciiTheme="minorHAnsi" w:eastAsia="OTNEJMQuadraat" w:hAnsiTheme="minorHAnsi" w:cstheme="minorHAnsi"/>
          <w:sz w:val="22"/>
          <w:szCs w:val="22"/>
        </w:rPr>
        <w:t xml:space="preserve">) of </w:t>
      </w:r>
      <w:r w:rsidRPr="00DC61D2">
        <w:rPr>
          <w:rFonts w:asciiTheme="minorHAnsi" w:eastAsia="OTNEJMQuadraat" w:hAnsiTheme="minorHAnsi" w:cstheme="minorHAnsi"/>
          <w:sz w:val="22"/>
          <w:szCs w:val="22"/>
          <w:vertAlign w:val="superscript"/>
        </w:rPr>
        <w:t>177</w:t>
      </w:r>
      <w:r w:rsidRPr="00DC61D2">
        <w:rPr>
          <w:rFonts w:asciiTheme="minorHAnsi" w:eastAsia="OTNEJMQuadraat" w:hAnsiTheme="minorHAnsi" w:cstheme="minorHAnsi"/>
          <w:sz w:val="22"/>
          <w:szCs w:val="22"/>
        </w:rPr>
        <w:t xml:space="preserve">Lu-DOTATATE was infused intravenously over a period of 30 minutes. Patients received four infusions every 8 weeks (cumulative radioactivity, 29.6 </w:t>
      </w:r>
      <w:proofErr w:type="spellStart"/>
      <w:r w:rsidRPr="00DC61D2">
        <w:rPr>
          <w:rFonts w:asciiTheme="minorHAnsi" w:eastAsia="OTNEJMQuadraat" w:hAnsiTheme="minorHAnsi" w:cstheme="minorHAnsi"/>
          <w:sz w:val="22"/>
          <w:szCs w:val="22"/>
        </w:rPr>
        <w:t>GBq</w:t>
      </w:r>
      <w:proofErr w:type="spellEnd"/>
      <w:r w:rsidRPr="00DC61D2">
        <w:rPr>
          <w:rFonts w:asciiTheme="minorHAnsi" w:eastAsia="OTNEJMQuadraat" w:hAnsiTheme="minorHAnsi" w:cstheme="minorHAnsi"/>
          <w:sz w:val="22"/>
          <w:szCs w:val="22"/>
        </w:rPr>
        <w:t xml:space="preserve"> [800 </w:t>
      </w:r>
      <w:proofErr w:type="spellStart"/>
      <w:r w:rsidRPr="00DC61D2">
        <w:rPr>
          <w:rFonts w:asciiTheme="minorHAnsi" w:eastAsia="OTNEJMQuadraat" w:hAnsiTheme="minorHAnsi" w:cstheme="minorHAnsi"/>
          <w:sz w:val="22"/>
          <w:szCs w:val="22"/>
        </w:rPr>
        <w:t>mCi</w:t>
      </w:r>
      <w:proofErr w:type="spellEnd"/>
      <w:r w:rsidRPr="00DC61D2">
        <w:rPr>
          <w:rFonts w:asciiTheme="minorHAnsi" w:eastAsia="OTNEJMQuadraat" w:hAnsiTheme="minorHAnsi" w:cstheme="minorHAnsi"/>
          <w:sz w:val="22"/>
          <w:szCs w:val="22"/>
        </w:rPr>
        <w:t xml:space="preserve">]) where possible.  </w:t>
      </w:r>
      <w:bookmarkStart w:id="10" w:name="_Hlk54262470"/>
      <w:r w:rsidRPr="00DC61D2">
        <w:rPr>
          <w:rFonts w:asciiTheme="minorHAnsi" w:eastAsia="OTNEJMQuadraat" w:hAnsiTheme="minorHAnsi" w:cstheme="minorHAnsi"/>
          <w:sz w:val="22"/>
          <w:szCs w:val="22"/>
        </w:rPr>
        <w:t xml:space="preserve">For renal protection, an intravenous amino acid solution was also administered starting 30 minutes before infusion of the radiopharmaceutical. Patients in the octreotide arm received octreotide LAR at a dose of 60 mg intramuscularly every 4 weeks. </w:t>
      </w:r>
    </w:p>
    <w:bookmarkEnd w:id="10"/>
    <w:p w14:paraId="1D24861D" w14:textId="77777777" w:rsidR="00C96337" w:rsidRPr="00DC61D2" w:rsidRDefault="00C96337" w:rsidP="00C96337">
      <w:pPr>
        <w:autoSpaceDE w:val="0"/>
        <w:autoSpaceDN w:val="0"/>
        <w:adjustRightInd w:val="0"/>
        <w:rPr>
          <w:rFonts w:asciiTheme="minorHAnsi" w:hAnsiTheme="minorHAnsi" w:cstheme="minorHAnsi"/>
          <w:sz w:val="22"/>
          <w:szCs w:val="22"/>
        </w:rPr>
      </w:pPr>
      <w:r w:rsidRPr="00DC61D2">
        <w:rPr>
          <w:rFonts w:asciiTheme="minorHAnsi" w:hAnsiTheme="minorHAnsi" w:cstheme="minorHAnsi"/>
          <w:sz w:val="22"/>
          <w:szCs w:val="22"/>
        </w:rPr>
        <w:t>Overall, the NETTER-1 series of study reports found:</w:t>
      </w:r>
    </w:p>
    <w:p w14:paraId="1D39CF38" w14:textId="65CA7B47" w:rsidR="00C96337" w:rsidRPr="00DC61D2" w:rsidRDefault="00C96337" w:rsidP="00C96337">
      <w:pPr>
        <w:pStyle w:val="ListParagraph"/>
        <w:numPr>
          <w:ilvl w:val="0"/>
          <w:numId w:val="43"/>
        </w:numPr>
        <w:autoSpaceDE w:val="0"/>
        <w:autoSpaceDN w:val="0"/>
        <w:adjustRightInd w:val="0"/>
        <w:spacing w:before="240" w:after="0"/>
        <w:rPr>
          <w:rFonts w:asciiTheme="minorHAnsi" w:hAnsiTheme="minorHAnsi" w:cstheme="minorHAnsi"/>
          <w:sz w:val="22"/>
          <w:szCs w:val="22"/>
        </w:rPr>
      </w:pPr>
      <w:r w:rsidRPr="00DC61D2">
        <w:rPr>
          <w:rFonts w:asciiTheme="minorHAnsi" w:hAnsiTheme="minorHAnsi" w:cstheme="minorHAnsi"/>
          <w:sz w:val="22"/>
          <w:szCs w:val="22"/>
        </w:rPr>
        <w:t xml:space="preserve">An estimated PFS at month 20 of 65.2% (95% CI], 50.0 to 76.8) in the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 xml:space="preserve">Lu-Dotatate group compared to 10.8% (95% CI, 3.5 to 23.0) in the </w:t>
      </w:r>
      <w:r w:rsidR="00DB102E" w:rsidRPr="00DC61D2">
        <w:rPr>
          <w:rFonts w:asciiTheme="minorHAnsi" w:hAnsiTheme="minorHAnsi" w:cstheme="minorHAnsi"/>
          <w:sz w:val="22"/>
          <w:szCs w:val="22"/>
        </w:rPr>
        <w:t>octreotide LAR</w:t>
      </w:r>
      <w:r w:rsidRPr="00DC61D2">
        <w:rPr>
          <w:rFonts w:asciiTheme="minorHAnsi" w:hAnsiTheme="minorHAnsi" w:cstheme="minorHAnsi"/>
          <w:sz w:val="22"/>
          <w:szCs w:val="22"/>
        </w:rPr>
        <w:t xml:space="preserve"> group.</w:t>
      </w:r>
    </w:p>
    <w:p w14:paraId="4DCF5229" w14:textId="66784AC0" w:rsidR="00C96337" w:rsidRPr="00DC61D2" w:rsidRDefault="00C96337" w:rsidP="00C96337">
      <w:pPr>
        <w:pStyle w:val="ListParagraph"/>
        <w:numPr>
          <w:ilvl w:val="0"/>
          <w:numId w:val="43"/>
        </w:numPr>
        <w:autoSpaceDE w:val="0"/>
        <w:autoSpaceDN w:val="0"/>
        <w:adjustRightInd w:val="0"/>
        <w:spacing w:before="240" w:after="0"/>
        <w:rPr>
          <w:rFonts w:asciiTheme="minorHAnsi" w:hAnsiTheme="minorHAnsi" w:cstheme="minorHAnsi"/>
          <w:sz w:val="22"/>
          <w:szCs w:val="22"/>
        </w:rPr>
      </w:pPr>
      <w:r w:rsidRPr="00DC61D2">
        <w:rPr>
          <w:rFonts w:asciiTheme="minorHAnsi" w:hAnsiTheme="minorHAnsi" w:cstheme="minorHAnsi"/>
          <w:sz w:val="22"/>
          <w:szCs w:val="22"/>
        </w:rPr>
        <w:t xml:space="preserve">An estimated risk of death 60% lower in the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 xml:space="preserve">Lu-Dotatate group compared to the control group (HR for death with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Lu-Dotatate group</w:t>
      </w:r>
      <w:r w:rsidR="00263724" w:rsidRPr="00DC61D2">
        <w:rPr>
          <w:rFonts w:asciiTheme="minorHAnsi" w:hAnsiTheme="minorHAnsi" w:cstheme="minorHAnsi"/>
          <w:sz w:val="22"/>
          <w:szCs w:val="22"/>
        </w:rPr>
        <w:t xml:space="preserve"> </w:t>
      </w:r>
      <w:r w:rsidR="00865DA3" w:rsidRPr="00DC61D2">
        <w:rPr>
          <w:rFonts w:asciiTheme="minorHAnsi" w:hAnsiTheme="minorHAnsi" w:cstheme="minorHAnsi"/>
          <w:sz w:val="22"/>
          <w:szCs w:val="22"/>
        </w:rPr>
        <w:t>compared to</w:t>
      </w:r>
      <w:r w:rsidRPr="00DC61D2">
        <w:rPr>
          <w:rFonts w:asciiTheme="minorHAnsi" w:hAnsiTheme="minorHAnsi" w:cstheme="minorHAnsi"/>
          <w:sz w:val="22"/>
          <w:szCs w:val="22"/>
        </w:rPr>
        <w:t xml:space="preserve"> control, 0.40; P = 0.004).</w:t>
      </w:r>
    </w:p>
    <w:p w14:paraId="258FDF4A" w14:textId="1D79395F" w:rsidR="00C96337" w:rsidRPr="00DC61D2" w:rsidRDefault="00C96337" w:rsidP="00C96337">
      <w:pPr>
        <w:pStyle w:val="ListParagraph"/>
        <w:numPr>
          <w:ilvl w:val="0"/>
          <w:numId w:val="43"/>
        </w:numPr>
        <w:autoSpaceDE w:val="0"/>
        <w:autoSpaceDN w:val="0"/>
        <w:adjustRightInd w:val="0"/>
        <w:spacing w:before="240" w:after="0"/>
        <w:rPr>
          <w:rFonts w:asciiTheme="minorHAnsi" w:hAnsiTheme="minorHAnsi" w:cstheme="minorHAnsi"/>
          <w:sz w:val="22"/>
          <w:szCs w:val="22"/>
        </w:rPr>
      </w:pPr>
      <w:r w:rsidRPr="00DC61D2">
        <w:rPr>
          <w:rFonts w:asciiTheme="minorHAnsi" w:hAnsiTheme="minorHAnsi" w:cstheme="minorHAnsi"/>
          <w:sz w:val="22"/>
          <w:szCs w:val="22"/>
        </w:rPr>
        <w:t xml:space="preserve">A significant improvement in health related QoL. The HR for global health </w:t>
      </w:r>
      <w:proofErr w:type="spellStart"/>
      <w:r w:rsidRPr="00DC61D2">
        <w:rPr>
          <w:rFonts w:asciiTheme="minorHAnsi" w:hAnsiTheme="minorHAnsi" w:cstheme="minorHAnsi"/>
          <w:sz w:val="22"/>
          <w:szCs w:val="22"/>
        </w:rPr>
        <w:t>favouring</w:t>
      </w:r>
      <w:proofErr w:type="spellEnd"/>
      <w:r w:rsidRPr="00DC61D2">
        <w:rPr>
          <w:rFonts w:asciiTheme="minorHAnsi" w:hAnsiTheme="minorHAnsi" w:cstheme="minorHAnsi"/>
          <w:sz w:val="22"/>
          <w:szCs w:val="22"/>
        </w:rPr>
        <w:t xml:space="preserve">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Lu-Dotatate was 0.41 (95% CI, 0.24 to 0.69; P =0.001), with a 22.7-month difference in median</w:t>
      </w:r>
      <w:r w:rsidR="0005211B" w:rsidRPr="00DC61D2">
        <w:rPr>
          <w:rFonts w:asciiTheme="minorHAnsi" w:hAnsiTheme="minorHAnsi" w:cstheme="minorHAnsi"/>
          <w:sz w:val="22"/>
          <w:szCs w:val="22"/>
        </w:rPr>
        <w:t xml:space="preserve"> time to treatment discontinuation (</w:t>
      </w:r>
      <w:r w:rsidRPr="00DC61D2">
        <w:rPr>
          <w:rFonts w:asciiTheme="minorHAnsi" w:hAnsiTheme="minorHAnsi" w:cstheme="minorHAnsi"/>
          <w:sz w:val="22"/>
          <w:szCs w:val="22"/>
        </w:rPr>
        <w:t>TTD</w:t>
      </w:r>
      <w:r w:rsidR="0005211B" w:rsidRPr="00DC61D2">
        <w:rPr>
          <w:rFonts w:asciiTheme="minorHAnsi" w:hAnsiTheme="minorHAnsi" w:cstheme="minorHAnsi"/>
          <w:sz w:val="22"/>
          <w:szCs w:val="22"/>
        </w:rPr>
        <w:t>)</w:t>
      </w:r>
      <w:r w:rsidRPr="00DC61D2">
        <w:rPr>
          <w:rFonts w:asciiTheme="minorHAnsi" w:hAnsiTheme="minorHAnsi" w:cstheme="minorHAnsi"/>
          <w:sz w:val="22"/>
          <w:szCs w:val="22"/>
        </w:rPr>
        <w:t xml:space="preserve"> between both arms.</w:t>
      </w:r>
    </w:p>
    <w:p w14:paraId="13FA7593" w14:textId="77777777" w:rsidR="00C96337" w:rsidRPr="00DC61D2" w:rsidRDefault="00C96337" w:rsidP="00C96337">
      <w:pPr>
        <w:pStyle w:val="ListParagraph"/>
        <w:numPr>
          <w:ilvl w:val="0"/>
          <w:numId w:val="43"/>
        </w:numPr>
        <w:autoSpaceDE w:val="0"/>
        <w:autoSpaceDN w:val="0"/>
        <w:adjustRightInd w:val="0"/>
        <w:spacing w:before="240" w:after="0"/>
        <w:rPr>
          <w:rFonts w:asciiTheme="minorHAnsi" w:hAnsiTheme="minorHAnsi" w:cstheme="minorHAnsi"/>
          <w:sz w:val="22"/>
          <w:szCs w:val="22"/>
        </w:rPr>
      </w:pPr>
      <w:r w:rsidRPr="00DC61D2">
        <w:rPr>
          <w:rFonts w:asciiTheme="minorHAnsi" w:hAnsiTheme="minorHAnsi" w:cstheme="minorHAnsi"/>
          <w:sz w:val="22"/>
          <w:szCs w:val="22"/>
        </w:rPr>
        <w:t xml:space="preserve">No evidence of nephrotoxicity associated with </w:t>
      </w:r>
      <w:r w:rsidRPr="00DC61D2">
        <w:rPr>
          <w:rFonts w:asciiTheme="minorHAnsi" w:hAnsiTheme="minorHAnsi" w:cstheme="minorHAnsi"/>
          <w:sz w:val="22"/>
          <w:szCs w:val="22"/>
          <w:vertAlign w:val="superscript"/>
        </w:rPr>
        <w:t>177</w:t>
      </w:r>
      <w:r w:rsidRPr="00DC61D2">
        <w:rPr>
          <w:rFonts w:asciiTheme="minorHAnsi" w:hAnsiTheme="minorHAnsi" w:cstheme="minorHAnsi"/>
          <w:sz w:val="22"/>
          <w:szCs w:val="22"/>
        </w:rPr>
        <w:t>Lu-DOTATATE treatment, even in patients with mild to moderate baseline impairment in renal function.</w:t>
      </w:r>
    </w:p>
    <w:p w14:paraId="60A3E424" w14:textId="564B347E" w:rsidR="00DB1BC6" w:rsidRPr="00B07007" w:rsidRDefault="001A3992" w:rsidP="00EA7A5C">
      <w:pPr>
        <w:pStyle w:val="Heading2"/>
        <w:rPr>
          <w:rFonts w:asciiTheme="minorHAnsi" w:hAnsiTheme="minorHAnsi" w:cstheme="minorHAnsi"/>
          <w:szCs w:val="22"/>
        </w:rPr>
      </w:pPr>
      <w:r w:rsidRPr="00B07007">
        <w:rPr>
          <w:rFonts w:asciiTheme="minorHAnsi" w:hAnsiTheme="minorHAnsi" w:cstheme="minorHAnsi"/>
          <w:szCs w:val="22"/>
        </w:rPr>
        <w:t xml:space="preserve">Pharmacokinetic properties </w:t>
      </w:r>
    </w:p>
    <w:p w14:paraId="6B047B46" w14:textId="562605CC" w:rsidR="007C5D26" w:rsidRPr="005A5449" w:rsidRDefault="00DB1BC6" w:rsidP="00B2616E">
      <w:pPr>
        <w:rPr>
          <w:rFonts w:asciiTheme="minorHAnsi" w:hAnsiTheme="minorHAnsi" w:cstheme="minorHAnsi"/>
          <w:sz w:val="22"/>
          <w:szCs w:val="22"/>
        </w:rPr>
      </w:pPr>
      <w:r w:rsidRPr="00B07007">
        <w:rPr>
          <w:rFonts w:asciiTheme="minorHAnsi" w:hAnsiTheme="minorHAnsi" w:cstheme="minorHAnsi"/>
          <w:sz w:val="22"/>
          <w:szCs w:val="22"/>
        </w:rPr>
        <w:t>The pharmacokinetic properties of Lutetium (</w:t>
      </w:r>
      <w:r w:rsidRPr="00B07007">
        <w:rPr>
          <w:rFonts w:asciiTheme="minorHAnsi" w:hAnsiTheme="minorHAnsi" w:cstheme="minorHAnsi"/>
          <w:sz w:val="22"/>
          <w:szCs w:val="22"/>
          <w:vertAlign w:val="superscript"/>
        </w:rPr>
        <w:t>177</w:t>
      </w:r>
      <w:r w:rsidRPr="00B07007">
        <w:rPr>
          <w:rFonts w:asciiTheme="minorHAnsi" w:hAnsiTheme="minorHAnsi" w:cstheme="minorHAnsi"/>
          <w:sz w:val="22"/>
          <w:szCs w:val="22"/>
        </w:rPr>
        <w:t xml:space="preserve">Lu)-labelled medicinal products prepared by </w:t>
      </w:r>
      <w:proofErr w:type="spellStart"/>
      <w:r w:rsidRPr="00B07007">
        <w:rPr>
          <w:rFonts w:asciiTheme="minorHAnsi" w:hAnsiTheme="minorHAnsi" w:cstheme="minorHAnsi"/>
          <w:sz w:val="22"/>
          <w:szCs w:val="22"/>
        </w:rPr>
        <w:t>radiolabelling</w:t>
      </w:r>
      <w:proofErr w:type="spellEnd"/>
      <w:r w:rsidRPr="00B07007">
        <w:rPr>
          <w:rFonts w:asciiTheme="minorHAnsi" w:hAnsiTheme="minorHAnsi" w:cstheme="minorHAnsi"/>
          <w:sz w:val="22"/>
          <w:szCs w:val="22"/>
        </w:rPr>
        <w:t xml:space="preserve"> with </w:t>
      </w:r>
      <w:r w:rsidR="00DD3C13">
        <w:rPr>
          <w:rFonts w:asciiTheme="minorHAnsi" w:hAnsiTheme="minorHAnsi" w:cstheme="minorHAnsi"/>
          <w:sz w:val="22"/>
          <w:szCs w:val="22"/>
        </w:rPr>
        <w:t>l</w:t>
      </w:r>
      <w:r w:rsidR="00BF470F" w:rsidRPr="00B07007">
        <w:rPr>
          <w:rFonts w:asciiTheme="minorHAnsi" w:hAnsiTheme="minorHAnsi" w:cstheme="minorHAnsi"/>
          <w:sz w:val="22"/>
          <w:szCs w:val="22"/>
        </w:rPr>
        <w:t>utetium chloride</w:t>
      </w:r>
      <w:r w:rsidRPr="00B07007">
        <w:rPr>
          <w:rFonts w:asciiTheme="minorHAnsi" w:hAnsiTheme="minorHAnsi" w:cstheme="minorHAnsi"/>
          <w:sz w:val="22"/>
          <w:szCs w:val="22"/>
        </w:rPr>
        <w:t xml:space="preserve">, prior to administration, will be dependent on the nature of the medicinal product to be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w:t>
      </w:r>
      <w:r w:rsidR="005A5449">
        <w:rPr>
          <w:rFonts w:asciiTheme="minorHAnsi" w:hAnsiTheme="minorHAnsi" w:cstheme="minorHAnsi"/>
          <w:sz w:val="22"/>
          <w:szCs w:val="22"/>
        </w:rPr>
        <w:t xml:space="preserve"> </w:t>
      </w:r>
      <w:r w:rsidR="005A5449" w:rsidRPr="005A5449">
        <w:rPr>
          <w:rFonts w:asciiTheme="minorHAnsi" w:hAnsiTheme="minorHAnsi" w:cstheme="minorHAnsi"/>
          <w:sz w:val="22"/>
          <w:szCs w:val="22"/>
        </w:rPr>
        <w:t>The following information on pharmacokinetics of Lutetium (</w:t>
      </w:r>
      <w:r w:rsidR="005A5449" w:rsidRPr="00B67F9F">
        <w:rPr>
          <w:rFonts w:asciiTheme="minorHAnsi" w:hAnsiTheme="minorHAnsi" w:cstheme="minorHAnsi"/>
          <w:sz w:val="22"/>
          <w:szCs w:val="22"/>
          <w:vertAlign w:val="superscript"/>
        </w:rPr>
        <w:t>177</w:t>
      </w:r>
      <w:r w:rsidR="005A5449" w:rsidRPr="005A5449">
        <w:rPr>
          <w:rFonts w:asciiTheme="minorHAnsi" w:hAnsiTheme="minorHAnsi" w:cstheme="minorHAnsi"/>
          <w:sz w:val="22"/>
          <w:szCs w:val="22"/>
        </w:rPr>
        <w:t>Lu) is relevant only to the case of inadvertent intravenous administration of the unconjugated radionuclide.</w:t>
      </w:r>
    </w:p>
    <w:p w14:paraId="551C421C" w14:textId="2B21A9EA" w:rsidR="001A3992" w:rsidRPr="00572358" w:rsidRDefault="001A3992" w:rsidP="0022452B">
      <w:pPr>
        <w:pStyle w:val="Heading4"/>
        <w:ind w:left="426"/>
      </w:pPr>
      <w:r w:rsidRPr="00572358">
        <w:t>Distribution</w:t>
      </w:r>
      <w:r w:rsidR="00677840" w:rsidRPr="00572358">
        <w:t xml:space="preserve"> </w:t>
      </w:r>
    </w:p>
    <w:p w14:paraId="4F3F260D" w14:textId="77777777" w:rsidR="00A82A5A" w:rsidRPr="000270FC" w:rsidRDefault="00A82A5A" w:rsidP="006A2B93">
      <w:pPr>
        <w:keepNext/>
        <w:rPr>
          <w:rFonts w:asciiTheme="minorHAnsi" w:hAnsiTheme="minorHAnsi" w:cstheme="minorHAnsi"/>
          <w:sz w:val="22"/>
          <w:szCs w:val="22"/>
        </w:rPr>
      </w:pPr>
      <w:r w:rsidRPr="000270FC">
        <w:rPr>
          <w:rFonts w:asciiTheme="minorHAnsi" w:hAnsiTheme="minorHAnsi" w:cstheme="minorHAnsi"/>
          <w:sz w:val="22"/>
          <w:szCs w:val="22"/>
        </w:rPr>
        <w:t>Pre-clinical studies indicate that lutetium is bound to plasma albumin and globulin.</w:t>
      </w:r>
    </w:p>
    <w:p w14:paraId="47E7EB03" w14:textId="622B2F90" w:rsidR="007D2D5D" w:rsidRPr="007D2D5D" w:rsidRDefault="005A5449" w:rsidP="007D2D5D">
      <w:r w:rsidRPr="005A5449">
        <w:rPr>
          <w:rFonts w:asciiTheme="minorHAnsi" w:hAnsiTheme="minorHAnsi" w:cstheme="minorHAnsi"/>
          <w:sz w:val="22"/>
          <w:szCs w:val="22"/>
        </w:rPr>
        <w:t xml:space="preserve">The distribution of </w:t>
      </w:r>
      <w:r w:rsidRPr="007D2D5D">
        <w:rPr>
          <w:rFonts w:asciiTheme="minorHAnsi" w:hAnsiTheme="minorHAnsi" w:cstheme="minorHAnsi"/>
          <w:sz w:val="22"/>
          <w:szCs w:val="22"/>
          <w:vertAlign w:val="superscript"/>
        </w:rPr>
        <w:t>177</w:t>
      </w:r>
      <w:r w:rsidRPr="005A5449">
        <w:rPr>
          <w:rFonts w:asciiTheme="minorHAnsi" w:hAnsiTheme="minorHAnsi" w:cstheme="minorHAnsi"/>
          <w:sz w:val="22"/>
          <w:szCs w:val="22"/>
        </w:rPr>
        <w:t>Lu following intravenous administration is time dependent. In the male and female rat, following intravenous administration, Lutetium (</w:t>
      </w:r>
      <w:r w:rsidRPr="007D2D5D">
        <w:rPr>
          <w:rFonts w:asciiTheme="minorHAnsi" w:hAnsiTheme="minorHAnsi" w:cstheme="minorHAnsi"/>
          <w:sz w:val="22"/>
          <w:szCs w:val="22"/>
          <w:vertAlign w:val="superscript"/>
        </w:rPr>
        <w:t>177</w:t>
      </w:r>
      <w:r w:rsidRPr="005A5449">
        <w:rPr>
          <w:rFonts w:asciiTheme="minorHAnsi" w:hAnsiTheme="minorHAnsi" w:cstheme="minorHAnsi"/>
          <w:sz w:val="22"/>
          <w:szCs w:val="22"/>
        </w:rPr>
        <w:t>Lu) chloride is rapidly cleared from the blood: at 5 min post injection, only 1.52 % of the injected activity (%ID) is found in blood (corresponding to 0.08 %ID/g) and no activity above background levels remains 1 h post dose. Lutetium (</w:t>
      </w:r>
      <w:r w:rsidRPr="007D2D5D">
        <w:rPr>
          <w:rFonts w:asciiTheme="minorHAnsi" w:hAnsiTheme="minorHAnsi" w:cstheme="minorHAnsi"/>
          <w:sz w:val="22"/>
          <w:szCs w:val="22"/>
          <w:vertAlign w:val="superscript"/>
        </w:rPr>
        <w:t>177</w:t>
      </w:r>
      <w:r w:rsidRPr="005A5449">
        <w:rPr>
          <w:rFonts w:asciiTheme="minorHAnsi" w:hAnsiTheme="minorHAnsi" w:cstheme="minorHAnsi"/>
          <w:sz w:val="22"/>
          <w:szCs w:val="22"/>
        </w:rPr>
        <w:t xml:space="preserve">Lu) chloride distributes mainly to the liver, </w:t>
      </w:r>
      <w:proofErr w:type="gramStart"/>
      <w:r w:rsidRPr="005A5449">
        <w:rPr>
          <w:rFonts w:asciiTheme="minorHAnsi" w:hAnsiTheme="minorHAnsi" w:cstheme="minorHAnsi"/>
          <w:sz w:val="22"/>
          <w:szCs w:val="22"/>
        </w:rPr>
        <w:t>spleen</w:t>
      </w:r>
      <w:proofErr w:type="gramEnd"/>
      <w:r w:rsidRPr="005A5449">
        <w:rPr>
          <w:rFonts w:asciiTheme="minorHAnsi" w:hAnsiTheme="minorHAnsi" w:cstheme="minorHAnsi"/>
          <w:sz w:val="22"/>
          <w:szCs w:val="22"/>
        </w:rPr>
        <w:t xml:space="preserve"> and bone. After one hour, the amount in the liver is 9.56 % of the injected activity per gram (%ID/g) and in the spleen 5.26 %ID/g. In bone, the content increases from 0.01 %ID/g at 5</w:t>
      </w:r>
      <w:r w:rsidR="007D2D5D">
        <w:rPr>
          <w:rFonts w:asciiTheme="minorHAnsi" w:hAnsiTheme="minorHAnsi" w:cstheme="minorHAnsi"/>
          <w:sz w:val="22"/>
          <w:szCs w:val="22"/>
        </w:rPr>
        <w:t> </w:t>
      </w:r>
      <w:r w:rsidRPr="005A5449">
        <w:rPr>
          <w:rFonts w:asciiTheme="minorHAnsi" w:hAnsiTheme="minorHAnsi" w:cstheme="minorHAnsi"/>
          <w:sz w:val="22"/>
          <w:szCs w:val="22"/>
        </w:rPr>
        <w:t>min to 0.23 %ID/g after 12 h. For the next 28 days, further uptake of Lutetium (</w:t>
      </w:r>
      <w:r w:rsidRPr="007D2D5D">
        <w:rPr>
          <w:rFonts w:asciiTheme="minorHAnsi" w:hAnsiTheme="minorHAnsi" w:cstheme="minorHAnsi"/>
          <w:sz w:val="22"/>
          <w:szCs w:val="22"/>
          <w:vertAlign w:val="superscript"/>
        </w:rPr>
        <w:t>177</w:t>
      </w:r>
      <w:r w:rsidRPr="005A5449">
        <w:rPr>
          <w:rFonts w:asciiTheme="minorHAnsi" w:hAnsiTheme="minorHAnsi" w:cstheme="minorHAnsi"/>
          <w:sz w:val="22"/>
          <w:szCs w:val="22"/>
        </w:rPr>
        <w:t xml:space="preserve">Lu) can be observed in the bone, which is compensated in part by radioactive decay. </w:t>
      </w:r>
      <w:proofErr w:type="gramStart"/>
      <w:r w:rsidRPr="005A5449">
        <w:rPr>
          <w:rFonts w:asciiTheme="minorHAnsi" w:hAnsiTheme="minorHAnsi" w:cstheme="minorHAnsi"/>
          <w:sz w:val="22"/>
          <w:szCs w:val="22"/>
        </w:rPr>
        <w:t>Taking into account</w:t>
      </w:r>
      <w:proofErr w:type="gramEnd"/>
      <w:r w:rsidRPr="005A5449">
        <w:rPr>
          <w:rFonts w:asciiTheme="minorHAnsi" w:hAnsiTheme="minorHAnsi" w:cstheme="minorHAnsi"/>
          <w:sz w:val="22"/>
          <w:szCs w:val="22"/>
        </w:rPr>
        <w:t xml:space="preserve"> the radioactive </w:t>
      </w:r>
      <w:proofErr w:type="spellStart"/>
      <w:r w:rsidRPr="005A5449">
        <w:rPr>
          <w:rFonts w:asciiTheme="minorHAnsi" w:hAnsiTheme="minorHAnsi" w:cstheme="minorHAnsi"/>
          <w:sz w:val="22"/>
          <w:szCs w:val="22"/>
        </w:rPr>
        <w:t>half life</w:t>
      </w:r>
      <w:proofErr w:type="spellEnd"/>
      <w:r w:rsidRPr="005A5449">
        <w:rPr>
          <w:rFonts w:asciiTheme="minorHAnsi" w:hAnsiTheme="minorHAnsi" w:cstheme="minorHAnsi"/>
          <w:sz w:val="22"/>
          <w:szCs w:val="22"/>
        </w:rPr>
        <w:t xml:space="preserve"> of Lutetium (</w:t>
      </w:r>
      <w:r w:rsidRPr="007D2D5D">
        <w:rPr>
          <w:rFonts w:asciiTheme="minorHAnsi" w:hAnsiTheme="minorHAnsi" w:cstheme="minorHAnsi"/>
          <w:sz w:val="22"/>
          <w:szCs w:val="22"/>
          <w:vertAlign w:val="superscript"/>
        </w:rPr>
        <w:t>177</w:t>
      </w:r>
      <w:r w:rsidRPr="005A5449">
        <w:rPr>
          <w:rFonts w:asciiTheme="minorHAnsi" w:hAnsiTheme="minorHAnsi" w:cstheme="minorHAnsi"/>
          <w:sz w:val="22"/>
          <w:szCs w:val="22"/>
        </w:rPr>
        <w:t>Lu) of 6.647 days, the radioactivity remaining in the bone after 28 days is only about 0.06 %ID/g.</w:t>
      </w:r>
    </w:p>
    <w:p w14:paraId="6A0C836D" w14:textId="7571182F" w:rsidR="001A3992" w:rsidRPr="00572358" w:rsidRDefault="001A3992" w:rsidP="0022452B">
      <w:pPr>
        <w:pStyle w:val="Heading4"/>
        <w:ind w:left="426"/>
      </w:pPr>
      <w:r w:rsidRPr="00572358">
        <w:lastRenderedPageBreak/>
        <w:t>Excretion</w:t>
      </w:r>
      <w:r w:rsidR="00677840" w:rsidRPr="00572358">
        <w:t xml:space="preserve"> </w:t>
      </w:r>
    </w:p>
    <w:p w14:paraId="3F64F523" w14:textId="704CA464" w:rsidR="00A548D9" w:rsidRDefault="005A5449" w:rsidP="0022452B">
      <w:pPr>
        <w:spacing w:after="0" w:line="240" w:lineRule="auto"/>
        <w:rPr>
          <w:rFonts w:asciiTheme="minorHAnsi" w:hAnsiTheme="minorHAnsi" w:cstheme="minorHAnsi"/>
          <w:sz w:val="22"/>
          <w:szCs w:val="22"/>
        </w:rPr>
      </w:pPr>
      <w:r w:rsidRPr="005A5449">
        <w:rPr>
          <w:rFonts w:asciiTheme="minorHAnsi" w:hAnsiTheme="minorHAnsi" w:cstheme="minorHAnsi"/>
          <w:color w:val="auto"/>
          <w:sz w:val="22"/>
          <w:szCs w:val="22"/>
        </w:rPr>
        <w:t xml:space="preserve">Excretion of lutetium occurs predominantly via the renal route, with clearance from the body being slow following IV administration in rats. After 28 days, approximately 30 % of the injected dose remained in the body (17.8 % in bone, 10.5 % in liver and 1.8 % in the spleen). The remaining radioactivity in the body at this time is about 1.8% of the administered dose, due to radioactive decay (&gt; 4 </w:t>
      </w:r>
      <w:proofErr w:type="spellStart"/>
      <w:r w:rsidRPr="005A5449">
        <w:rPr>
          <w:rFonts w:asciiTheme="minorHAnsi" w:hAnsiTheme="minorHAnsi" w:cstheme="minorHAnsi"/>
          <w:color w:val="auto"/>
          <w:sz w:val="22"/>
          <w:szCs w:val="22"/>
        </w:rPr>
        <w:t>half lives</w:t>
      </w:r>
      <w:proofErr w:type="spellEnd"/>
      <w:r w:rsidRPr="005A5449">
        <w:rPr>
          <w:rFonts w:asciiTheme="minorHAnsi" w:hAnsiTheme="minorHAnsi" w:cstheme="minorHAnsi"/>
          <w:color w:val="auto"/>
          <w:sz w:val="22"/>
          <w:szCs w:val="22"/>
        </w:rPr>
        <w:t xml:space="preserve"> passed).</w:t>
      </w:r>
    </w:p>
    <w:p w14:paraId="7D1AE035" w14:textId="37E36F5D" w:rsidR="001A3992" w:rsidRPr="00B07007" w:rsidRDefault="001A3992" w:rsidP="00B42B7D">
      <w:pPr>
        <w:pStyle w:val="Heading2"/>
        <w:ind w:right="983"/>
        <w:rPr>
          <w:rFonts w:asciiTheme="minorHAnsi" w:hAnsiTheme="minorHAnsi" w:cstheme="minorHAnsi"/>
          <w:szCs w:val="22"/>
        </w:rPr>
      </w:pPr>
      <w:r w:rsidRPr="00B07007">
        <w:rPr>
          <w:rFonts w:asciiTheme="minorHAnsi" w:hAnsiTheme="minorHAnsi" w:cstheme="minorHAnsi"/>
          <w:szCs w:val="22"/>
        </w:rPr>
        <w:t>Preclinical safety data</w:t>
      </w:r>
    </w:p>
    <w:p w14:paraId="0B185BE0" w14:textId="12FA4148" w:rsidR="001A3992" w:rsidRPr="00B07007" w:rsidRDefault="001A3992" w:rsidP="00CF3CA1">
      <w:pPr>
        <w:pStyle w:val="Heading3"/>
        <w:rPr>
          <w:rFonts w:asciiTheme="minorHAnsi" w:hAnsiTheme="minorHAnsi" w:cstheme="minorHAnsi"/>
          <w:szCs w:val="22"/>
        </w:rPr>
      </w:pPr>
      <w:r w:rsidRPr="00B07007">
        <w:rPr>
          <w:rFonts w:asciiTheme="minorHAnsi" w:hAnsiTheme="minorHAnsi" w:cstheme="minorHAnsi"/>
          <w:szCs w:val="22"/>
        </w:rPr>
        <w:t>Genotoxicity</w:t>
      </w:r>
    </w:p>
    <w:p w14:paraId="7A82109D" w14:textId="62E4284E" w:rsidR="00D74897" w:rsidRPr="00B07007" w:rsidRDefault="001D3C69" w:rsidP="00B2616E">
      <w:pPr>
        <w:rPr>
          <w:rFonts w:asciiTheme="minorHAnsi" w:hAnsiTheme="minorHAnsi" w:cstheme="minorHAnsi"/>
          <w:sz w:val="22"/>
          <w:szCs w:val="22"/>
        </w:rPr>
      </w:pPr>
      <w:r w:rsidRPr="00B07007">
        <w:rPr>
          <w:rFonts w:asciiTheme="minorHAnsi" w:hAnsiTheme="minorHAnsi" w:cstheme="minorHAnsi"/>
          <w:sz w:val="22"/>
          <w:szCs w:val="22"/>
        </w:rPr>
        <w:t>No data available.</w:t>
      </w:r>
    </w:p>
    <w:p w14:paraId="036FD02A" w14:textId="3B63A16E" w:rsidR="005F42A9" w:rsidRPr="00B07007" w:rsidRDefault="001A3992" w:rsidP="001925CB">
      <w:pPr>
        <w:pStyle w:val="Heading3"/>
        <w:rPr>
          <w:rFonts w:asciiTheme="minorHAnsi" w:hAnsiTheme="minorHAnsi" w:cstheme="minorHAnsi"/>
          <w:szCs w:val="22"/>
        </w:rPr>
      </w:pPr>
      <w:r w:rsidRPr="00B07007">
        <w:rPr>
          <w:rFonts w:asciiTheme="minorHAnsi" w:hAnsiTheme="minorHAnsi" w:cstheme="minorHAnsi"/>
          <w:szCs w:val="22"/>
        </w:rPr>
        <w:t>Carcinogenicity</w:t>
      </w:r>
    </w:p>
    <w:p w14:paraId="2F631EE5" w14:textId="0A6A66A6" w:rsidR="001925CB" w:rsidRPr="00B07007" w:rsidRDefault="00B67F9F" w:rsidP="00B2616E">
      <w:pPr>
        <w:rPr>
          <w:rFonts w:asciiTheme="minorHAnsi" w:hAnsiTheme="minorHAnsi" w:cstheme="minorHAnsi"/>
          <w:sz w:val="22"/>
          <w:szCs w:val="22"/>
        </w:rPr>
      </w:pPr>
      <w:r w:rsidRPr="00B67F9F">
        <w:rPr>
          <w:rFonts w:asciiTheme="minorHAnsi" w:hAnsiTheme="minorHAnsi" w:cstheme="minorHAnsi"/>
          <w:sz w:val="22"/>
          <w:szCs w:val="22"/>
          <w:vertAlign w:val="superscript"/>
        </w:rPr>
        <w:t>177</w:t>
      </w:r>
      <w:r w:rsidRPr="00B67F9F">
        <w:rPr>
          <w:rFonts w:asciiTheme="minorHAnsi" w:hAnsiTheme="minorHAnsi" w:cstheme="minorHAnsi"/>
          <w:sz w:val="22"/>
          <w:szCs w:val="22"/>
        </w:rPr>
        <w:t>LuCl</w:t>
      </w:r>
      <w:r w:rsidRPr="007D2D5D">
        <w:rPr>
          <w:rFonts w:asciiTheme="minorHAnsi" w:hAnsiTheme="minorHAnsi" w:cstheme="minorHAnsi"/>
          <w:sz w:val="22"/>
          <w:szCs w:val="22"/>
          <w:vertAlign w:val="subscript"/>
        </w:rPr>
        <w:t>3</w:t>
      </w:r>
      <w:r w:rsidRPr="00B67F9F">
        <w:rPr>
          <w:rFonts w:asciiTheme="minorHAnsi" w:hAnsiTheme="minorHAnsi" w:cstheme="minorHAnsi"/>
          <w:sz w:val="22"/>
          <w:szCs w:val="22"/>
        </w:rPr>
        <w:t xml:space="preserve"> accumulates in bone, and this has been shown to lead to formation of osteosarcomas in mice following IP administration at </w:t>
      </w:r>
      <w:r w:rsidRPr="00B67F9F">
        <w:rPr>
          <w:rFonts w:asciiTheme="minorHAnsi" w:hAnsiTheme="minorHAnsi" w:cstheme="minorHAnsi"/>
          <w:sz w:val="22"/>
          <w:szCs w:val="22"/>
          <w:vertAlign w:val="superscript"/>
        </w:rPr>
        <w:t>177</w:t>
      </w:r>
      <w:r w:rsidRPr="00B67F9F">
        <w:rPr>
          <w:rFonts w:asciiTheme="minorHAnsi" w:hAnsiTheme="minorHAnsi" w:cstheme="minorHAnsi"/>
          <w:sz w:val="22"/>
          <w:szCs w:val="22"/>
        </w:rPr>
        <w:t>Lu doses of 185</w:t>
      </w:r>
      <w:r w:rsidR="007D2D5D">
        <w:rPr>
          <w:rFonts w:asciiTheme="minorHAnsi" w:hAnsiTheme="minorHAnsi" w:cstheme="minorHAnsi"/>
          <w:sz w:val="22"/>
          <w:szCs w:val="22"/>
        </w:rPr>
        <w:t>-</w:t>
      </w:r>
      <w:r w:rsidRPr="00B67F9F">
        <w:rPr>
          <w:rFonts w:asciiTheme="minorHAnsi" w:hAnsiTheme="minorHAnsi" w:cstheme="minorHAnsi"/>
          <w:sz w:val="22"/>
          <w:szCs w:val="22"/>
        </w:rPr>
        <w:t>1480 MBq/kg (28</w:t>
      </w:r>
      <w:r w:rsidR="007D2D5D">
        <w:rPr>
          <w:rFonts w:asciiTheme="minorHAnsi" w:hAnsiTheme="minorHAnsi" w:cstheme="minorHAnsi"/>
          <w:sz w:val="22"/>
          <w:szCs w:val="22"/>
        </w:rPr>
        <w:t>-</w:t>
      </w:r>
      <w:r w:rsidRPr="00B67F9F">
        <w:rPr>
          <w:rFonts w:asciiTheme="minorHAnsi" w:hAnsiTheme="minorHAnsi" w:cstheme="minorHAnsi"/>
          <w:sz w:val="22"/>
          <w:szCs w:val="22"/>
        </w:rPr>
        <w:t xml:space="preserve">224 </w:t>
      </w:r>
      <w:proofErr w:type="spellStart"/>
      <w:r w:rsidRPr="00B67F9F">
        <w:rPr>
          <w:rFonts w:asciiTheme="minorHAnsi" w:hAnsiTheme="minorHAnsi" w:cstheme="minorHAnsi"/>
          <w:sz w:val="22"/>
          <w:szCs w:val="22"/>
        </w:rPr>
        <w:t>Gy</w:t>
      </w:r>
      <w:proofErr w:type="spellEnd"/>
      <w:r w:rsidRPr="00B67F9F">
        <w:rPr>
          <w:rFonts w:asciiTheme="minorHAnsi" w:hAnsiTheme="minorHAnsi" w:cstheme="minorHAnsi"/>
          <w:sz w:val="22"/>
          <w:szCs w:val="22"/>
        </w:rPr>
        <w:t xml:space="preserve">). Osteosarcoma formation was associated with single radiation doses ≥ 7.8 </w:t>
      </w:r>
      <w:proofErr w:type="spellStart"/>
      <w:r w:rsidRPr="00B67F9F">
        <w:rPr>
          <w:rFonts w:asciiTheme="minorHAnsi" w:hAnsiTheme="minorHAnsi" w:cstheme="minorHAnsi"/>
          <w:sz w:val="22"/>
          <w:szCs w:val="22"/>
        </w:rPr>
        <w:t>Gy</w:t>
      </w:r>
      <w:proofErr w:type="spellEnd"/>
      <w:r w:rsidRPr="00B67F9F">
        <w:rPr>
          <w:rFonts w:asciiTheme="minorHAnsi" w:hAnsiTheme="minorHAnsi" w:cstheme="minorHAnsi"/>
          <w:sz w:val="22"/>
          <w:szCs w:val="22"/>
        </w:rPr>
        <w:t>.</w:t>
      </w:r>
    </w:p>
    <w:p w14:paraId="6F9C2147" w14:textId="77777777"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Pharmaceutical particulars</w:t>
      </w:r>
    </w:p>
    <w:p w14:paraId="7BFA3762" w14:textId="5CD6F2B5" w:rsidR="00B017FA" w:rsidRPr="00B07007" w:rsidRDefault="001A3992" w:rsidP="00B017FA">
      <w:pPr>
        <w:pStyle w:val="Heading2"/>
        <w:rPr>
          <w:rFonts w:asciiTheme="minorHAnsi" w:hAnsiTheme="minorHAnsi" w:cstheme="minorHAnsi"/>
          <w:szCs w:val="22"/>
        </w:rPr>
      </w:pPr>
      <w:r w:rsidRPr="00B07007">
        <w:rPr>
          <w:rFonts w:asciiTheme="minorHAnsi" w:hAnsiTheme="minorHAnsi" w:cstheme="minorHAnsi"/>
          <w:szCs w:val="22"/>
        </w:rPr>
        <w:t xml:space="preserve">List of excipients </w:t>
      </w:r>
    </w:p>
    <w:p w14:paraId="5D16B8B7" w14:textId="60502944" w:rsidR="002637AE" w:rsidRDefault="0083543F" w:rsidP="009F343C">
      <w:pPr>
        <w:pStyle w:val="BodyText"/>
        <w:numPr>
          <w:ilvl w:val="0"/>
          <w:numId w:val="29"/>
        </w:numPr>
        <w:spacing w:before="1" w:after="0"/>
        <w:rPr>
          <w:rFonts w:asciiTheme="minorHAnsi" w:hAnsiTheme="minorHAnsi" w:cstheme="minorHAnsi"/>
          <w:sz w:val="22"/>
        </w:rPr>
      </w:pPr>
      <w:r w:rsidRPr="00B07007">
        <w:rPr>
          <w:rFonts w:asciiTheme="minorHAnsi" w:hAnsiTheme="minorHAnsi" w:cstheme="minorHAnsi"/>
          <w:sz w:val="22"/>
        </w:rPr>
        <w:t>Dilute hydrochloric acid</w:t>
      </w:r>
    </w:p>
    <w:p w14:paraId="1BE4EEA4" w14:textId="6CCF0599" w:rsidR="0083543F" w:rsidRPr="00B07007" w:rsidRDefault="009F343C" w:rsidP="009F343C">
      <w:pPr>
        <w:pStyle w:val="BodyText"/>
        <w:numPr>
          <w:ilvl w:val="0"/>
          <w:numId w:val="29"/>
        </w:numPr>
        <w:spacing w:before="1" w:after="0"/>
        <w:rPr>
          <w:rFonts w:asciiTheme="minorHAnsi" w:hAnsiTheme="minorHAnsi" w:cstheme="minorHAnsi"/>
          <w:sz w:val="22"/>
        </w:rPr>
      </w:pPr>
      <w:r>
        <w:rPr>
          <w:rFonts w:asciiTheme="minorHAnsi" w:hAnsiTheme="minorHAnsi" w:cstheme="minorHAnsi"/>
          <w:sz w:val="22"/>
        </w:rPr>
        <w:t>Water for injections</w:t>
      </w:r>
    </w:p>
    <w:p w14:paraId="1597CEBD" w14:textId="465B73FC" w:rsidR="00B017FA" w:rsidRPr="00B07007" w:rsidRDefault="001A3992" w:rsidP="00B017FA">
      <w:pPr>
        <w:pStyle w:val="Heading2"/>
        <w:rPr>
          <w:rFonts w:asciiTheme="minorHAnsi" w:hAnsiTheme="minorHAnsi" w:cstheme="minorHAnsi"/>
          <w:szCs w:val="22"/>
        </w:rPr>
      </w:pPr>
      <w:r w:rsidRPr="00B07007">
        <w:rPr>
          <w:rFonts w:asciiTheme="minorHAnsi" w:hAnsiTheme="minorHAnsi" w:cstheme="minorHAnsi"/>
          <w:szCs w:val="22"/>
        </w:rPr>
        <w:t xml:space="preserve">Incompatibilities </w:t>
      </w:r>
    </w:p>
    <w:p w14:paraId="658E0CA0" w14:textId="7E4C068B" w:rsidR="00B017FA" w:rsidRPr="00B07007" w:rsidRDefault="00B017FA" w:rsidP="00B2616E">
      <w:pPr>
        <w:rPr>
          <w:rFonts w:asciiTheme="minorHAnsi" w:hAnsiTheme="minorHAnsi" w:cstheme="minorHAnsi"/>
          <w:sz w:val="22"/>
          <w:szCs w:val="22"/>
        </w:rPr>
      </w:pPr>
      <w:proofErr w:type="spellStart"/>
      <w:r w:rsidRPr="00B07007">
        <w:rPr>
          <w:rFonts w:asciiTheme="minorHAnsi" w:hAnsiTheme="minorHAnsi" w:cstheme="minorHAnsi"/>
          <w:sz w:val="22"/>
          <w:szCs w:val="22"/>
        </w:rPr>
        <w:t>Radiolabelling</w:t>
      </w:r>
      <w:proofErr w:type="spellEnd"/>
      <w:r w:rsidRPr="00B07007">
        <w:rPr>
          <w:rFonts w:asciiTheme="minorHAnsi" w:hAnsiTheme="minorHAnsi" w:cstheme="minorHAnsi"/>
          <w:sz w:val="22"/>
          <w:szCs w:val="22"/>
        </w:rPr>
        <w:t xml:space="preserve"> of medicinal products, such as monoclonal antibodies, peptides, </w:t>
      </w:r>
      <w:proofErr w:type="gramStart"/>
      <w:r w:rsidRPr="00B07007">
        <w:rPr>
          <w:rFonts w:asciiTheme="minorHAnsi" w:hAnsiTheme="minorHAnsi" w:cstheme="minorHAnsi"/>
          <w:sz w:val="22"/>
          <w:szCs w:val="22"/>
        </w:rPr>
        <w:t>vitamins</w:t>
      </w:r>
      <w:proofErr w:type="gramEnd"/>
      <w:r w:rsidRPr="00B07007">
        <w:rPr>
          <w:rFonts w:asciiTheme="minorHAnsi" w:hAnsiTheme="minorHAnsi" w:cstheme="minorHAnsi"/>
          <w:sz w:val="22"/>
          <w:szCs w:val="22"/>
        </w:rPr>
        <w:t xml:space="preserve"> or other substrates, with </w:t>
      </w:r>
      <w:r w:rsidR="00A44ED7">
        <w:rPr>
          <w:rFonts w:asciiTheme="minorHAnsi" w:hAnsiTheme="minorHAnsi" w:cstheme="minorHAnsi"/>
          <w:sz w:val="22"/>
          <w:szCs w:val="22"/>
        </w:rPr>
        <w:t>l</w:t>
      </w:r>
      <w:r w:rsidRPr="00B07007">
        <w:rPr>
          <w:rFonts w:asciiTheme="minorHAnsi" w:hAnsiTheme="minorHAnsi" w:cstheme="minorHAnsi"/>
          <w:sz w:val="22"/>
          <w:szCs w:val="22"/>
        </w:rPr>
        <w:t>utetium chloride is very sensitive to the presence of trace metal impurities.</w:t>
      </w:r>
    </w:p>
    <w:p w14:paraId="5E23A5AA" w14:textId="25205F32" w:rsidR="00B017FA" w:rsidRPr="00B07007"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 xml:space="preserve">It is important that all glassware, syringe needles etc., used for the preparation of the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 xml:space="preserve"> medicinal product are thoroughly cleaned to ensure freedom from such trace metal impurities. Only syringe needles (for example, non-metallic) with proven resistance to dilute acid should be used to </w:t>
      </w:r>
      <w:proofErr w:type="spellStart"/>
      <w:r w:rsidRPr="00B07007">
        <w:rPr>
          <w:rFonts w:asciiTheme="minorHAnsi" w:hAnsiTheme="minorHAnsi" w:cstheme="minorHAnsi"/>
          <w:sz w:val="22"/>
          <w:szCs w:val="22"/>
        </w:rPr>
        <w:t>minimise</w:t>
      </w:r>
      <w:proofErr w:type="spellEnd"/>
      <w:r w:rsidRPr="00B07007">
        <w:rPr>
          <w:rFonts w:asciiTheme="minorHAnsi" w:hAnsiTheme="minorHAnsi" w:cstheme="minorHAnsi"/>
          <w:sz w:val="22"/>
          <w:szCs w:val="22"/>
        </w:rPr>
        <w:t xml:space="preserve"> trace metal impurity levels.</w:t>
      </w:r>
    </w:p>
    <w:p w14:paraId="6715F5B0" w14:textId="3D7D6104" w:rsidR="00B017FA" w:rsidRPr="00B07007"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 xml:space="preserve">In the absence of compatibility studies, this medicinal product must not be mixed with medicinal products other than the medicinal products to be </w:t>
      </w:r>
      <w:proofErr w:type="spellStart"/>
      <w:r w:rsidRPr="00B07007">
        <w:rPr>
          <w:rFonts w:asciiTheme="minorHAnsi" w:hAnsiTheme="minorHAnsi" w:cstheme="minorHAnsi"/>
          <w:sz w:val="22"/>
          <w:szCs w:val="22"/>
        </w:rPr>
        <w:t>radiolabelled</w:t>
      </w:r>
      <w:proofErr w:type="spellEnd"/>
      <w:r w:rsidRPr="00B07007">
        <w:rPr>
          <w:rFonts w:asciiTheme="minorHAnsi" w:hAnsiTheme="minorHAnsi" w:cstheme="minorHAnsi"/>
          <w:sz w:val="22"/>
          <w:szCs w:val="22"/>
        </w:rPr>
        <w:t>.</w:t>
      </w:r>
    </w:p>
    <w:p w14:paraId="1A9DBF9F" w14:textId="37F3F590" w:rsidR="00B017FA" w:rsidRPr="00B07007" w:rsidRDefault="001A3992" w:rsidP="00B017FA">
      <w:pPr>
        <w:pStyle w:val="Heading2"/>
        <w:rPr>
          <w:rFonts w:asciiTheme="minorHAnsi" w:hAnsiTheme="minorHAnsi" w:cstheme="minorHAnsi"/>
          <w:szCs w:val="22"/>
        </w:rPr>
      </w:pPr>
      <w:r w:rsidRPr="00B07007">
        <w:rPr>
          <w:rFonts w:asciiTheme="minorHAnsi" w:hAnsiTheme="minorHAnsi" w:cstheme="minorHAnsi"/>
          <w:szCs w:val="22"/>
        </w:rPr>
        <w:lastRenderedPageBreak/>
        <w:t xml:space="preserve">Shelf life </w:t>
      </w:r>
    </w:p>
    <w:p w14:paraId="056B6C78" w14:textId="543DBCFA" w:rsidR="00B017FA"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 xml:space="preserve">Up to </w:t>
      </w:r>
      <w:r w:rsidR="002260AF">
        <w:rPr>
          <w:rFonts w:asciiTheme="minorHAnsi" w:hAnsiTheme="minorHAnsi" w:cstheme="minorHAnsi"/>
          <w:sz w:val="22"/>
          <w:szCs w:val="22"/>
        </w:rPr>
        <w:t>14</w:t>
      </w:r>
      <w:r w:rsidRPr="00B07007">
        <w:rPr>
          <w:rFonts w:asciiTheme="minorHAnsi" w:hAnsiTheme="minorHAnsi" w:cstheme="minorHAnsi"/>
          <w:sz w:val="22"/>
          <w:szCs w:val="22"/>
        </w:rPr>
        <w:t xml:space="preserve"> days from the date of manufacture.</w:t>
      </w:r>
    </w:p>
    <w:p w14:paraId="5F879EC1" w14:textId="4EF7D394" w:rsidR="00DD3C13" w:rsidRPr="00B07007" w:rsidRDefault="00DD3C13" w:rsidP="00B2616E">
      <w:pPr>
        <w:rPr>
          <w:rFonts w:asciiTheme="minorHAnsi" w:hAnsiTheme="minorHAnsi" w:cstheme="minorHAnsi"/>
          <w:sz w:val="22"/>
          <w:szCs w:val="22"/>
        </w:rPr>
      </w:pPr>
      <w:r w:rsidRPr="00DD3C13">
        <w:rPr>
          <w:rFonts w:asciiTheme="minorHAnsi" w:hAnsiTheme="minorHAnsi" w:cstheme="minorHAnsi"/>
          <w:sz w:val="22"/>
          <w:szCs w:val="22"/>
        </w:rPr>
        <w:t xml:space="preserve">Shelf life of the reconstituted product should be as per instructions provided for the </w:t>
      </w:r>
      <w:r w:rsidRPr="00B07007">
        <w:rPr>
          <w:rFonts w:asciiTheme="minorHAnsi" w:hAnsiTheme="minorHAnsi" w:cstheme="minorHAnsi"/>
          <w:sz w:val="22"/>
          <w:szCs w:val="22"/>
        </w:rPr>
        <w:t xml:space="preserve">medicinal products to be </w:t>
      </w:r>
      <w:proofErr w:type="spellStart"/>
      <w:r w:rsidRPr="00B07007">
        <w:rPr>
          <w:rFonts w:asciiTheme="minorHAnsi" w:hAnsiTheme="minorHAnsi" w:cstheme="minorHAnsi"/>
          <w:sz w:val="22"/>
          <w:szCs w:val="22"/>
        </w:rPr>
        <w:t>radiolabelled</w:t>
      </w:r>
      <w:proofErr w:type="spellEnd"/>
      <w:r>
        <w:rPr>
          <w:rFonts w:asciiTheme="minorHAnsi" w:hAnsiTheme="minorHAnsi" w:cstheme="minorHAnsi"/>
          <w:sz w:val="22"/>
          <w:szCs w:val="22"/>
        </w:rPr>
        <w:t>.</w:t>
      </w:r>
    </w:p>
    <w:p w14:paraId="052CE9E9" w14:textId="3D733C85" w:rsidR="00B017FA" w:rsidRPr="00B07007" w:rsidRDefault="00B017FA" w:rsidP="00B2616E">
      <w:pPr>
        <w:rPr>
          <w:rFonts w:asciiTheme="minorHAnsi" w:hAnsiTheme="minorHAnsi" w:cstheme="minorHAnsi"/>
          <w:sz w:val="22"/>
          <w:szCs w:val="22"/>
        </w:rPr>
      </w:pPr>
      <w:bookmarkStart w:id="11" w:name="_Hlk79751209"/>
      <w:r w:rsidRPr="00B07007">
        <w:rPr>
          <w:rFonts w:asciiTheme="minorHAnsi" w:hAnsiTheme="minorHAnsi" w:cstheme="minorHAnsi"/>
          <w:sz w:val="22"/>
          <w:szCs w:val="22"/>
        </w:rPr>
        <w:t>From a microbiological point of view, the product should be used immediately.</w:t>
      </w:r>
      <w:r w:rsidR="0019559C">
        <w:rPr>
          <w:rFonts w:asciiTheme="minorHAnsi" w:hAnsiTheme="minorHAnsi" w:cstheme="minorHAnsi"/>
          <w:sz w:val="22"/>
          <w:szCs w:val="22"/>
        </w:rPr>
        <w:t xml:space="preserve">  The product is for single use only.</w:t>
      </w:r>
    </w:p>
    <w:bookmarkEnd w:id="11"/>
    <w:p w14:paraId="28821EEC" w14:textId="51BC7941" w:rsidR="00B017FA" w:rsidRPr="00B07007" w:rsidRDefault="00CC6208" w:rsidP="00B017FA">
      <w:pPr>
        <w:pStyle w:val="Heading2"/>
        <w:rPr>
          <w:rFonts w:asciiTheme="minorHAnsi" w:hAnsiTheme="minorHAnsi" w:cstheme="minorHAnsi"/>
          <w:szCs w:val="22"/>
        </w:rPr>
      </w:pPr>
      <w:r w:rsidRPr="00B07007">
        <w:rPr>
          <w:rFonts w:asciiTheme="minorHAnsi" w:hAnsiTheme="minorHAnsi" w:cstheme="minorHAnsi"/>
          <w:szCs w:val="22"/>
        </w:rPr>
        <w:t>Special Precautions for storage</w:t>
      </w:r>
    </w:p>
    <w:p w14:paraId="1111D88C" w14:textId="0DFFA176" w:rsidR="00B017FA" w:rsidRPr="00B07007"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 xml:space="preserve">Store in the original package </w:t>
      </w:r>
      <w:proofErr w:type="gramStart"/>
      <w:r w:rsidRPr="00B07007">
        <w:rPr>
          <w:rFonts w:asciiTheme="minorHAnsi" w:hAnsiTheme="minorHAnsi" w:cstheme="minorHAnsi"/>
          <w:sz w:val="22"/>
          <w:szCs w:val="22"/>
        </w:rPr>
        <w:t>in order to</w:t>
      </w:r>
      <w:proofErr w:type="gramEnd"/>
      <w:r w:rsidRPr="00B07007">
        <w:rPr>
          <w:rFonts w:asciiTheme="minorHAnsi" w:hAnsiTheme="minorHAnsi" w:cstheme="minorHAnsi"/>
          <w:sz w:val="22"/>
          <w:szCs w:val="22"/>
        </w:rPr>
        <w:t xml:space="preserve"> avoid unnecessary radiation exposure.</w:t>
      </w:r>
    </w:p>
    <w:p w14:paraId="3114C962" w14:textId="22E1D887" w:rsidR="00B017FA" w:rsidRPr="00B07007"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Storage of radiopharmaceuticals should be in accordance with national regulation on radioactive materials.</w:t>
      </w:r>
    </w:p>
    <w:p w14:paraId="0689DFDC" w14:textId="22E9164F" w:rsidR="00B017FA" w:rsidRPr="00B07007" w:rsidRDefault="00B017FA" w:rsidP="00B2616E">
      <w:pPr>
        <w:rPr>
          <w:rFonts w:asciiTheme="minorHAnsi" w:hAnsiTheme="minorHAnsi" w:cstheme="minorHAnsi"/>
          <w:sz w:val="22"/>
          <w:szCs w:val="22"/>
        </w:rPr>
      </w:pPr>
      <w:r w:rsidRPr="00B07007">
        <w:rPr>
          <w:rFonts w:asciiTheme="minorHAnsi" w:hAnsiTheme="minorHAnsi" w:cstheme="minorHAnsi"/>
          <w:sz w:val="22"/>
          <w:szCs w:val="22"/>
        </w:rPr>
        <w:t>This medicinal product does not require any special temperature storage conditions.</w:t>
      </w:r>
    </w:p>
    <w:p w14:paraId="59E2C841" w14:textId="426DA2F7" w:rsidR="00B017FA" w:rsidRPr="00B07007" w:rsidRDefault="001A3992" w:rsidP="00B017FA">
      <w:pPr>
        <w:pStyle w:val="Heading2"/>
        <w:rPr>
          <w:rFonts w:asciiTheme="minorHAnsi" w:hAnsiTheme="minorHAnsi" w:cstheme="minorHAnsi"/>
          <w:szCs w:val="22"/>
        </w:rPr>
      </w:pPr>
      <w:r w:rsidRPr="00B07007">
        <w:rPr>
          <w:rFonts w:asciiTheme="minorHAnsi" w:hAnsiTheme="minorHAnsi" w:cstheme="minorHAnsi"/>
          <w:szCs w:val="22"/>
        </w:rPr>
        <w:t xml:space="preserve">Nature and contents of container </w:t>
      </w:r>
    </w:p>
    <w:p w14:paraId="734C3978" w14:textId="2B2FE9FB" w:rsidR="000209BE" w:rsidRPr="000209BE" w:rsidRDefault="000209BE" w:rsidP="000209BE">
      <w:pPr>
        <w:rPr>
          <w:rFonts w:asciiTheme="minorHAnsi" w:hAnsiTheme="minorHAnsi" w:cstheme="minorHAnsi"/>
          <w:sz w:val="22"/>
          <w:szCs w:val="22"/>
        </w:rPr>
      </w:pPr>
      <w:proofErr w:type="spellStart"/>
      <w:r w:rsidRPr="000209BE">
        <w:rPr>
          <w:rFonts w:asciiTheme="minorHAnsi" w:hAnsiTheme="minorHAnsi" w:cstheme="minorHAnsi"/>
          <w:sz w:val="22"/>
          <w:szCs w:val="22"/>
        </w:rPr>
        <w:t>Colourless</w:t>
      </w:r>
      <w:proofErr w:type="spellEnd"/>
      <w:r w:rsidRPr="000209BE">
        <w:rPr>
          <w:rFonts w:asciiTheme="minorHAnsi" w:hAnsiTheme="minorHAnsi" w:cstheme="minorHAnsi"/>
          <w:sz w:val="22"/>
          <w:szCs w:val="22"/>
        </w:rPr>
        <w:t xml:space="preserve">, clear type I glass 2 mL V-vial with </w:t>
      </w:r>
      <w:r>
        <w:rPr>
          <w:rFonts w:asciiTheme="minorHAnsi" w:hAnsiTheme="minorHAnsi" w:cstheme="minorHAnsi"/>
          <w:sz w:val="22"/>
          <w:szCs w:val="22"/>
        </w:rPr>
        <w:t>a</w:t>
      </w:r>
      <w:r w:rsidRPr="000209BE">
        <w:rPr>
          <w:rFonts w:asciiTheme="minorHAnsi" w:hAnsiTheme="minorHAnsi" w:cstheme="minorHAnsi"/>
          <w:sz w:val="22"/>
          <w:szCs w:val="22"/>
        </w:rPr>
        <w:t xml:space="preserve"> flat bottom, closed, with a silicon stopper, and sealed with an </w:t>
      </w:r>
      <w:proofErr w:type="spellStart"/>
      <w:r w:rsidRPr="000209BE">
        <w:rPr>
          <w:rFonts w:asciiTheme="minorHAnsi" w:hAnsiTheme="minorHAnsi" w:cstheme="minorHAnsi"/>
          <w:sz w:val="22"/>
          <w:szCs w:val="22"/>
        </w:rPr>
        <w:t>aluminium</w:t>
      </w:r>
      <w:proofErr w:type="spellEnd"/>
      <w:r w:rsidRPr="000209BE">
        <w:rPr>
          <w:rFonts w:asciiTheme="minorHAnsi" w:hAnsiTheme="minorHAnsi" w:cstheme="minorHAnsi"/>
          <w:sz w:val="22"/>
          <w:szCs w:val="22"/>
        </w:rPr>
        <w:t xml:space="preserve"> crimp cap seal.</w:t>
      </w:r>
    </w:p>
    <w:p w14:paraId="4E459812" w14:textId="2627EB97" w:rsidR="000209BE" w:rsidRPr="000209BE" w:rsidRDefault="000209BE" w:rsidP="000209BE">
      <w:pPr>
        <w:rPr>
          <w:rFonts w:asciiTheme="minorHAnsi" w:hAnsiTheme="minorHAnsi" w:cstheme="minorHAnsi"/>
          <w:sz w:val="22"/>
          <w:szCs w:val="22"/>
        </w:rPr>
      </w:pPr>
      <w:r w:rsidRPr="000209BE">
        <w:rPr>
          <w:rFonts w:asciiTheme="minorHAnsi" w:hAnsiTheme="minorHAnsi" w:cstheme="minorHAnsi"/>
          <w:sz w:val="22"/>
          <w:szCs w:val="22"/>
        </w:rPr>
        <w:t>The vials are placed into a lead pot for protective shielding.</w:t>
      </w:r>
    </w:p>
    <w:p w14:paraId="5F0EFBAB" w14:textId="683005FE" w:rsidR="00B017FA" w:rsidRPr="00B07007" w:rsidRDefault="000209BE" w:rsidP="000209BE">
      <w:pPr>
        <w:rPr>
          <w:rFonts w:asciiTheme="minorHAnsi" w:hAnsiTheme="minorHAnsi" w:cstheme="minorHAnsi"/>
          <w:sz w:val="22"/>
          <w:szCs w:val="22"/>
        </w:rPr>
      </w:pPr>
      <w:r w:rsidRPr="000209BE">
        <w:rPr>
          <w:rFonts w:asciiTheme="minorHAnsi" w:hAnsiTheme="minorHAnsi" w:cstheme="minorHAnsi"/>
          <w:sz w:val="22"/>
          <w:szCs w:val="22"/>
        </w:rPr>
        <w:t>Pack size: 1 vial</w:t>
      </w:r>
    </w:p>
    <w:p w14:paraId="0D3EE973" w14:textId="32F9A9FC" w:rsidR="001A3992" w:rsidRPr="00B07007" w:rsidRDefault="001A3992" w:rsidP="00CF3CA1">
      <w:pPr>
        <w:pStyle w:val="Heading2"/>
        <w:rPr>
          <w:rFonts w:asciiTheme="minorHAnsi" w:hAnsiTheme="minorHAnsi" w:cstheme="minorHAnsi"/>
          <w:szCs w:val="22"/>
        </w:rPr>
      </w:pPr>
      <w:r w:rsidRPr="00B07007">
        <w:rPr>
          <w:rFonts w:asciiTheme="minorHAnsi" w:hAnsiTheme="minorHAnsi" w:cstheme="minorHAnsi"/>
          <w:szCs w:val="22"/>
        </w:rPr>
        <w:t xml:space="preserve">Special precautions for disposal </w:t>
      </w:r>
    </w:p>
    <w:p w14:paraId="4DB81E86" w14:textId="39410A24" w:rsidR="00B017FA" w:rsidRPr="00B07007" w:rsidRDefault="00DD3C13" w:rsidP="00B2616E">
      <w:pPr>
        <w:rPr>
          <w:rFonts w:asciiTheme="minorHAnsi" w:hAnsiTheme="minorHAnsi" w:cstheme="minorHAnsi"/>
          <w:sz w:val="22"/>
          <w:szCs w:val="22"/>
        </w:rPr>
      </w:pPr>
      <w:r w:rsidRPr="00DD3C13">
        <w:rPr>
          <w:rFonts w:asciiTheme="minorHAnsi" w:hAnsiTheme="minorHAnsi" w:cstheme="minorHAnsi"/>
          <w:sz w:val="22"/>
          <w:szCs w:val="22"/>
        </w:rPr>
        <w:t xml:space="preserve">In Australia, disposal of all radioactive wastes should be carried out in accordance with the current Australian Radiation Protection and Nuclear Safety Agency </w:t>
      </w:r>
      <w:r>
        <w:rPr>
          <w:rFonts w:asciiTheme="minorHAnsi" w:hAnsiTheme="minorHAnsi" w:cstheme="minorHAnsi"/>
          <w:sz w:val="22"/>
          <w:szCs w:val="22"/>
        </w:rPr>
        <w:t>(</w:t>
      </w:r>
      <w:r w:rsidRPr="00DD3C13">
        <w:rPr>
          <w:rFonts w:asciiTheme="minorHAnsi" w:hAnsiTheme="minorHAnsi" w:cstheme="minorHAnsi"/>
          <w:sz w:val="22"/>
          <w:szCs w:val="22"/>
        </w:rPr>
        <w:t>ARPANSA</w:t>
      </w:r>
      <w:r>
        <w:rPr>
          <w:rFonts w:asciiTheme="minorHAnsi" w:hAnsiTheme="minorHAnsi" w:cstheme="minorHAnsi"/>
          <w:sz w:val="22"/>
          <w:szCs w:val="22"/>
        </w:rPr>
        <w:t xml:space="preserve">) </w:t>
      </w:r>
      <w:r w:rsidR="00B017FA" w:rsidRPr="00B07007">
        <w:rPr>
          <w:rFonts w:asciiTheme="minorHAnsi" w:hAnsiTheme="minorHAnsi" w:cstheme="minorHAnsi"/>
          <w:sz w:val="22"/>
          <w:szCs w:val="22"/>
        </w:rPr>
        <w:t>requirements.</w:t>
      </w:r>
    </w:p>
    <w:p w14:paraId="090314F0" w14:textId="77777777" w:rsidR="001A3992" w:rsidRPr="00B07007" w:rsidRDefault="001A3992" w:rsidP="00CF3CA1">
      <w:pPr>
        <w:pStyle w:val="Heading2"/>
        <w:rPr>
          <w:rFonts w:asciiTheme="minorHAnsi" w:hAnsiTheme="minorHAnsi" w:cstheme="minorHAnsi"/>
          <w:szCs w:val="22"/>
        </w:rPr>
      </w:pPr>
      <w:r w:rsidRPr="00B07007">
        <w:rPr>
          <w:rFonts w:asciiTheme="minorHAnsi" w:hAnsiTheme="minorHAnsi" w:cstheme="minorHAnsi"/>
          <w:szCs w:val="22"/>
        </w:rPr>
        <w:t>Physicochemical properties</w:t>
      </w:r>
    </w:p>
    <w:p w14:paraId="5646E1A0" w14:textId="0A6855BA" w:rsidR="001A3992" w:rsidRDefault="001A3992" w:rsidP="00CF3CA1">
      <w:pPr>
        <w:pStyle w:val="Heading3"/>
        <w:rPr>
          <w:rFonts w:asciiTheme="minorHAnsi" w:hAnsiTheme="minorHAnsi" w:cstheme="minorHAnsi"/>
          <w:szCs w:val="22"/>
        </w:rPr>
      </w:pPr>
      <w:r w:rsidRPr="00B07007">
        <w:rPr>
          <w:rFonts w:asciiTheme="minorHAnsi" w:hAnsiTheme="minorHAnsi" w:cstheme="minorHAnsi"/>
          <w:szCs w:val="22"/>
        </w:rPr>
        <w:t>Chemical structure</w:t>
      </w:r>
    </w:p>
    <w:p w14:paraId="5FAD88CD" w14:textId="60C94C59" w:rsidR="00AA4040" w:rsidRPr="00AA4040" w:rsidRDefault="00AA4040" w:rsidP="00AA4040">
      <w:r>
        <w:rPr>
          <w:noProof/>
        </w:rPr>
        <w:lastRenderedPageBreak/>
        <w:drawing>
          <wp:inline distT="0" distB="0" distL="0" distR="0" wp14:anchorId="2582D1DE" wp14:editId="26B9FBD4">
            <wp:extent cx="1524000" cy="1200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24000" cy="1200150"/>
                    </a:xfrm>
                    <a:prstGeom prst="rect">
                      <a:avLst/>
                    </a:prstGeom>
                  </pic:spPr>
                </pic:pic>
              </a:graphicData>
            </a:graphic>
          </wp:inline>
        </w:drawing>
      </w:r>
    </w:p>
    <w:p w14:paraId="5D1E738B" w14:textId="24CA2E7A" w:rsidR="008C3F58" w:rsidRPr="00B07007" w:rsidRDefault="008C3F58" w:rsidP="008C3F58">
      <w:pPr>
        <w:ind w:right="-22"/>
        <w:jc w:val="both"/>
        <w:rPr>
          <w:rFonts w:asciiTheme="minorHAnsi" w:hAnsiTheme="minorHAnsi" w:cstheme="minorHAnsi"/>
          <w:color w:val="000000" w:themeColor="text1"/>
          <w:sz w:val="22"/>
          <w:szCs w:val="22"/>
        </w:rPr>
      </w:pPr>
      <w:r w:rsidRPr="00B07007">
        <w:rPr>
          <w:rFonts w:asciiTheme="minorHAnsi" w:hAnsiTheme="minorHAnsi" w:cstheme="minorHAnsi"/>
          <w:color w:val="000000" w:themeColor="text1"/>
          <w:sz w:val="22"/>
          <w:szCs w:val="22"/>
        </w:rPr>
        <w:t xml:space="preserve">Molecular Formula:  </w:t>
      </w:r>
      <w:r w:rsidRPr="00B07007">
        <w:rPr>
          <w:rFonts w:asciiTheme="minorHAnsi" w:hAnsiTheme="minorHAnsi" w:cstheme="minorHAnsi"/>
          <w:color w:val="000000" w:themeColor="text1"/>
          <w:sz w:val="22"/>
          <w:szCs w:val="22"/>
          <w:shd w:val="clear" w:color="auto" w:fill="FFFFFF"/>
          <w:vertAlign w:val="superscript"/>
        </w:rPr>
        <w:t>177</w:t>
      </w:r>
      <w:r w:rsidRPr="00B07007">
        <w:rPr>
          <w:rFonts w:asciiTheme="minorHAnsi" w:hAnsiTheme="minorHAnsi" w:cstheme="minorHAnsi"/>
          <w:color w:val="000000" w:themeColor="text1"/>
          <w:sz w:val="22"/>
          <w:szCs w:val="22"/>
          <w:shd w:val="clear" w:color="auto" w:fill="FFFFFF"/>
        </w:rPr>
        <w:t>LuCl</w:t>
      </w:r>
      <w:r w:rsidRPr="00B07007">
        <w:rPr>
          <w:rFonts w:asciiTheme="minorHAnsi" w:hAnsiTheme="minorHAnsi" w:cstheme="minorHAnsi"/>
          <w:color w:val="000000" w:themeColor="text1"/>
          <w:sz w:val="22"/>
          <w:szCs w:val="22"/>
          <w:shd w:val="clear" w:color="auto" w:fill="FFFFFF"/>
          <w:vertAlign w:val="subscript"/>
        </w:rPr>
        <w:t>3</w:t>
      </w:r>
    </w:p>
    <w:p w14:paraId="74439301" w14:textId="7B65C533" w:rsidR="008C3F58" w:rsidRPr="00B07007" w:rsidRDefault="008C3F58" w:rsidP="008C3F58">
      <w:pPr>
        <w:ind w:right="-22"/>
        <w:jc w:val="both"/>
        <w:rPr>
          <w:rFonts w:asciiTheme="minorHAnsi" w:hAnsiTheme="minorHAnsi" w:cstheme="minorHAnsi"/>
          <w:color w:val="000000" w:themeColor="text1"/>
          <w:sz w:val="22"/>
          <w:szCs w:val="22"/>
        </w:rPr>
      </w:pPr>
      <w:r w:rsidRPr="00B07007">
        <w:rPr>
          <w:rFonts w:asciiTheme="minorHAnsi" w:hAnsiTheme="minorHAnsi" w:cstheme="minorHAnsi"/>
          <w:color w:val="000000" w:themeColor="text1"/>
          <w:sz w:val="22"/>
          <w:szCs w:val="22"/>
        </w:rPr>
        <w:t>Molecular Mass:  283.3</w:t>
      </w:r>
    </w:p>
    <w:p w14:paraId="784A97EE" w14:textId="683D1F52" w:rsidR="001A3992" w:rsidRPr="00B07007" w:rsidRDefault="001A3992" w:rsidP="006A2B93">
      <w:pPr>
        <w:pStyle w:val="Heading3"/>
        <w:keepNext/>
        <w:rPr>
          <w:rFonts w:asciiTheme="minorHAnsi" w:hAnsiTheme="minorHAnsi" w:cstheme="minorHAnsi"/>
          <w:szCs w:val="22"/>
        </w:rPr>
      </w:pPr>
      <w:r w:rsidRPr="00B07007">
        <w:rPr>
          <w:rFonts w:asciiTheme="minorHAnsi" w:hAnsiTheme="minorHAnsi" w:cstheme="minorHAnsi"/>
          <w:szCs w:val="22"/>
        </w:rPr>
        <w:t>CAS number</w:t>
      </w:r>
    </w:p>
    <w:p w14:paraId="0BE76DE6" w14:textId="2F9BC15D" w:rsidR="00B2616E" w:rsidRPr="00B07007" w:rsidRDefault="00B2616E" w:rsidP="006A2B93">
      <w:pPr>
        <w:keepNext/>
        <w:rPr>
          <w:rFonts w:asciiTheme="minorHAnsi" w:hAnsiTheme="minorHAnsi" w:cstheme="minorHAnsi"/>
          <w:sz w:val="22"/>
          <w:szCs w:val="22"/>
        </w:rPr>
      </w:pPr>
      <w:r w:rsidRPr="00B07007">
        <w:rPr>
          <w:rFonts w:asciiTheme="minorHAnsi" w:hAnsiTheme="minorHAnsi" w:cstheme="minorHAnsi"/>
          <w:sz w:val="22"/>
          <w:szCs w:val="22"/>
        </w:rPr>
        <w:t>10099-66-8</w:t>
      </w:r>
    </w:p>
    <w:p w14:paraId="60B37960" w14:textId="77211DD1"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Medicine schedule (Poisons Standard)</w:t>
      </w:r>
    </w:p>
    <w:p w14:paraId="6F791D9B" w14:textId="5DAF9154" w:rsidR="00461E14" w:rsidRPr="00B07007" w:rsidRDefault="00465D3F" w:rsidP="00461E14">
      <w:pPr>
        <w:rPr>
          <w:rFonts w:asciiTheme="minorHAnsi" w:hAnsiTheme="minorHAnsi" w:cstheme="minorHAnsi"/>
          <w:sz w:val="22"/>
          <w:szCs w:val="22"/>
        </w:rPr>
      </w:pPr>
      <w:r>
        <w:rPr>
          <w:rFonts w:asciiTheme="minorHAnsi" w:hAnsiTheme="minorHAnsi" w:cstheme="minorHAnsi"/>
          <w:sz w:val="22"/>
          <w:szCs w:val="22"/>
        </w:rPr>
        <w:t>Unscheduled</w:t>
      </w:r>
    </w:p>
    <w:p w14:paraId="604431B6" w14:textId="5AC36A64"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Sponsor</w:t>
      </w:r>
    </w:p>
    <w:p w14:paraId="12D289C7" w14:textId="3DD4B825" w:rsidR="00DE6C9E" w:rsidRPr="00B07007" w:rsidRDefault="00DE6C9E" w:rsidP="00C47E0F">
      <w:pPr>
        <w:spacing w:after="0"/>
        <w:rPr>
          <w:rFonts w:asciiTheme="minorHAnsi" w:hAnsiTheme="minorHAnsi" w:cstheme="minorHAnsi"/>
          <w:sz w:val="22"/>
          <w:szCs w:val="22"/>
          <w:lang w:val="en-AU" w:eastAsia="en-AU"/>
        </w:rPr>
      </w:pPr>
      <w:r w:rsidRPr="00B07007">
        <w:rPr>
          <w:rFonts w:asciiTheme="minorHAnsi" w:hAnsiTheme="minorHAnsi" w:cstheme="minorHAnsi"/>
          <w:sz w:val="22"/>
          <w:szCs w:val="22"/>
          <w:lang w:val="en-AU" w:eastAsia="en-AU"/>
        </w:rPr>
        <w:t>Australian Nuclear Science and</w:t>
      </w:r>
      <w:r w:rsidR="00D95315" w:rsidRPr="00B07007">
        <w:rPr>
          <w:rFonts w:asciiTheme="minorHAnsi" w:hAnsiTheme="minorHAnsi" w:cstheme="minorHAnsi"/>
          <w:sz w:val="22"/>
          <w:szCs w:val="22"/>
          <w:lang w:val="en-AU" w:eastAsia="en-AU"/>
        </w:rPr>
        <w:t xml:space="preserve"> </w:t>
      </w:r>
      <w:r w:rsidRPr="00B07007">
        <w:rPr>
          <w:rFonts w:asciiTheme="minorHAnsi" w:hAnsiTheme="minorHAnsi" w:cstheme="minorHAnsi"/>
          <w:sz w:val="22"/>
          <w:szCs w:val="22"/>
          <w:lang w:val="en-AU" w:eastAsia="en-AU"/>
        </w:rPr>
        <w:t>Technology Organisation T/A ANSTO</w:t>
      </w:r>
    </w:p>
    <w:p w14:paraId="31FC4F91" w14:textId="77777777" w:rsidR="00DE6C9E" w:rsidRPr="00B07007" w:rsidRDefault="00DE6C9E" w:rsidP="00C47E0F">
      <w:pPr>
        <w:spacing w:after="0"/>
        <w:rPr>
          <w:rFonts w:asciiTheme="minorHAnsi" w:hAnsiTheme="minorHAnsi" w:cstheme="minorHAnsi"/>
          <w:sz w:val="22"/>
          <w:szCs w:val="22"/>
          <w:lang w:val="en-AU" w:eastAsia="en-AU"/>
        </w:rPr>
      </w:pPr>
      <w:r w:rsidRPr="00B07007">
        <w:rPr>
          <w:rFonts w:asciiTheme="minorHAnsi" w:hAnsiTheme="minorHAnsi" w:cstheme="minorHAnsi"/>
          <w:sz w:val="22"/>
          <w:szCs w:val="22"/>
          <w:lang w:val="en-AU" w:eastAsia="en-AU"/>
        </w:rPr>
        <w:t>Locked Bag 2001</w:t>
      </w:r>
    </w:p>
    <w:p w14:paraId="378530F6" w14:textId="77777777" w:rsidR="00DE6C9E" w:rsidRPr="00B07007" w:rsidRDefault="00DE6C9E" w:rsidP="00C47E0F">
      <w:pPr>
        <w:spacing w:after="0"/>
        <w:rPr>
          <w:rFonts w:asciiTheme="minorHAnsi" w:hAnsiTheme="minorHAnsi" w:cstheme="minorHAnsi"/>
          <w:sz w:val="22"/>
          <w:szCs w:val="22"/>
          <w:lang w:val="en-AU" w:eastAsia="en-AU"/>
        </w:rPr>
      </w:pPr>
      <w:r w:rsidRPr="00B07007">
        <w:rPr>
          <w:rFonts w:asciiTheme="minorHAnsi" w:hAnsiTheme="minorHAnsi" w:cstheme="minorHAnsi"/>
          <w:sz w:val="22"/>
          <w:szCs w:val="22"/>
          <w:lang w:val="en-AU" w:eastAsia="en-AU"/>
        </w:rPr>
        <w:t>Kirrawee DC</w:t>
      </w:r>
    </w:p>
    <w:p w14:paraId="0BB42B8E" w14:textId="77777777" w:rsidR="00DE6C9E" w:rsidRPr="00B07007" w:rsidRDefault="00DE6C9E" w:rsidP="00C47E0F">
      <w:pPr>
        <w:rPr>
          <w:rFonts w:asciiTheme="minorHAnsi" w:hAnsiTheme="minorHAnsi" w:cstheme="minorHAnsi"/>
          <w:sz w:val="22"/>
          <w:szCs w:val="22"/>
          <w:lang w:val="en-AU" w:eastAsia="en-AU"/>
        </w:rPr>
      </w:pPr>
      <w:r w:rsidRPr="00B07007">
        <w:rPr>
          <w:rFonts w:asciiTheme="minorHAnsi" w:hAnsiTheme="minorHAnsi" w:cstheme="minorHAnsi"/>
          <w:sz w:val="22"/>
          <w:szCs w:val="22"/>
          <w:lang w:val="en-AU" w:eastAsia="en-AU"/>
        </w:rPr>
        <w:t>NSW 2232</w:t>
      </w:r>
    </w:p>
    <w:p w14:paraId="19F7A66D" w14:textId="24A93D0F" w:rsidR="00DE6C9E" w:rsidRPr="00B07007" w:rsidRDefault="00DE6C9E" w:rsidP="00C47E0F">
      <w:pPr>
        <w:spacing w:after="0"/>
        <w:rPr>
          <w:rFonts w:asciiTheme="minorHAnsi" w:hAnsiTheme="minorHAnsi" w:cstheme="minorHAnsi"/>
          <w:sz w:val="22"/>
          <w:szCs w:val="22"/>
          <w:lang w:val="en-AU" w:eastAsia="en-AU"/>
        </w:rPr>
      </w:pPr>
      <w:r w:rsidRPr="00B07007">
        <w:rPr>
          <w:rFonts w:asciiTheme="minorHAnsi" w:hAnsiTheme="minorHAnsi" w:cstheme="minorHAnsi"/>
          <w:sz w:val="22"/>
          <w:szCs w:val="22"/>
          <w:lang w:val="en-AU" w:eastAsia="en-AU"/>
        </w:rPr>
        <w:t>Telephone: 1800 251 572</w:t>
      </w:r>
    </w:p>
    <w:p w14:paraId="33340B27" w14:textId="66D894BB"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 xml:space="preserve">Date of first approval  </w:t>
      </w:r>
    </w:p>
    <w:p w14:paraId="1DCEBD67" w14:textId="52A12B7C" w:rsidR="00D95315" w:rsidRPr="00B07007" w:rsidRDefault="009A4E62" w:rsidP="00D95315">
      <w:pPr>
        <w:rPr>
          <w:rFonts w:asciiTheme="minorHAnsi" w:hAnsiTheme="minorHAnsi" w:cstheme="minorHAnsi"/>
          <w:sz w:val="22"/>
          <w:szCs w:val="22"/>
        </w:rPr>
      </w:pPr>
      <w:r>
        <w:rPr>
          <w:rFonts w:asciiTheme="minorHAnsi" w:hAnsiTheme="minorHAnsi" w:cstheme="minorHAnsi"/>
          <w:sz w:val="22"/>
          <w:szCs w:val="22"/>
        </w:rPr>
        <w:t>11 January 2022</w:t>
      </w:r>
    </w:p>
    <w:p w14:paraId="6E9CB08E" w14:textId="608C658B" w:rsidR="001A3992" w:rsidRPr="00B07007" w:rsidRDefault="001A3992" w:rsidP="00CF3CA1">
      <w:pPr>
        <w:pStyle w:val="Heading1"/>
        <w:rPr>
          <w:rFonts w:asciiTheme="minorHAnsi" w:hAnsiTheme="minorHAnsi" w:cstheme="minorHAnsi"/>
          <w:sz w:val="22"/>
          <w:szCs w:val="22"/>
        </w:rPr>
      </w:pPr>
      <w:r w:rsidRPr="00B07007">
        <w:rPr>
          <w:rFonts w:asciiTheme="minorHAnsi" w:hAnsiTheme="minorHAnsi" w:cstheme="minorHAnsi"/>
          <w:sz w:val="22"/>
          <w:szCs w:val="22"/>
        </w:rPr>
        <w:t xml:space="preserve">Date of revision </w:t>
      </w:r>
    </w:p>
    <w:p w14:paraId="05205D51" w14:textId="7D1FD2CD" w:rsidR="00D95315" w:rsidRPr="00B07007" w:rsidRDefault="00D95315" w:rsidP="00D95315">
      <w:pPr>
        <w:rPr>
          <w:rFonts w:asciiTheme="minorHAnsi" w:hAnsiTheme="minorHAnsi" w:cstheme="minorHAnsi"/>
          <w:sz w:val="22"/>
          <w:szCs w:val="22"/>
        </w:rPr>
      </w:pPr>
      <w:r w:rsidRPr="00B07007">
        <w:rPr>
          <w:rFonts w:asciiTheme="minorHAnsi" w:hAnsiTheme="minorHAnsi" w:cstheme="minorHAnsi"/>
          <w:sz w:val="22"/>
          <w:szCs w:val="22"/>
        </w:rPr>
        <w:t>N/A</w:t>
      </w:r>
    </w:p>
    <w:p w14:paraId="0C2E2C2E" w14:textId="77777777" w:rsidR="001A3992" w:rsidRPr="00B07007" w:rsidRDefault="001A3992" w:rsidP="0092304A">
      <w:pPr>
        <w:pStyle w:val="Heading3"/>
        <w:spacing w:after="120"/>
        <w:rPr>
          <w:rFonts w:asciiTheme="minorHAnsi" w:hAnsiTheme="minorHAnsi" w:cstheme="minorHAnsi"/>
          <w:szCs w:val="22"/>
        </w:rPr>
      </w:pPr>
      <w:r w:rsidRPr="00B07007">
        <w:rPr>
          <w:rFonts w:asciiTheme="minorHAnsi" w:hAnsiTheme="minorHAnsi" w:cstheme="minorHAnsi"/>
          <w:szCs w:val="22"/>
        </w:rPr>
        <w:t>Summary table of changes</w:t>
      </w:r>
    </w:p>
    <w:tbl>
      <w:tblPr>
        <w:tblW w:w="9180" w:type="dxa"/>
        <w:tblInd w:w="10" w:type="dxa"/>
        <w:tblLayout w:type="fixed"/>
        <w:tblCellMar>
          <w:left w:w="0" w:type="dxa"/>
          <w:right w:w="0" w:type="dxa"/>
        </w:tblCellMar>
        <w:tblLook w:val="0000" w:firstRow="0" w:lastRow="0" w:firstColumn="0" w:lastColumn="0" w:noHBand="0" w:noVBand="0"/>
      </w:tblPr>
      <w:tblGrid>
        <w:gridCol w:w="2127"/>
        <w:gridCol w:w="7053"/>
      </w:tblGrid>
      <w:tr w:rsidR="0092304A" w:rsidRPr="00B07007" w14:paraId="22F3931E" w14:textId="77777777" w:rsidTr="0007027A">
        <w:trPr>
          <w:tblHeader/>
        </w:trPr>
        <w:tc>
          <w:tcPr>
            <w:tcW w:w="2127" w:type="dxa"/>
            <w:tcBorders>
              <w:top w:val="single" w:sz="8" w:space="0" w:color="002C47"/>
              <w:left w:val="single" w:sz="8" w:space="0" w:color="002C47"/>
              <w:bottom w:val="single" w:sz="4" w:space="0" w:color="auto"/>
              <w:right w:val="single" w:sz="8" w:space="0" w:color="auto"/>
            </w:tcBorders>
            <w:shd w:val="clear" w:color="auto" w:fill="F2F2F2"/>
            <w:vAlign w:val="center"/>
          </w:tcPr>
          <w:p w14:paraId="62618619" w14:textId="77777777" w:rsidR="0092304A" w:rsidRPr="00B07007" w:rsidRDefault="0092304A" w:rsidP="0007027A">
            <w:pPr>
              <w:spacing w:before="40" w:after="40" w:line="0" w:lineRule="atLeast"/>
              <w:ind w:left="120"/>
              <w:rPr>
                <w:rFonts w:asciiTheme="minorHAnsi" w:eastAsia="Cambria" w:hAnsiTheme="minorHAnsi" w:cstheme="minorHAnsi"/>
                <w:b/>
                <w:sz w:val="22"/>
                <w:szCs w:val="22"/>
              </w:rPr>
            </w:pPr>
            <w:r w:rsidRPr="00B07007">
              <w:rPr>
                <w:rFonts w:asciiTheme="minorHAnsi" w:eastAsia="Cambria" w:hAnsiTheme="minorHAnsi" w:cstheme="minorHAnsi"/>
                <w:b/>
                <w:sz w:val="22"/>
                <w:szCs w:val="22"/>
              </w:rPr>
              <w:t>Section changed</w:t>
            </w:r>
          </w:p>
        </w:tc>
        <w:tc>
          <w:tcPr>
            <w:tcW w:w="7053" w:type="dxa"/>
            <w:tcBorders>
              <w:top w:val="single" w:sz="8" w:space="0" w:color="002C47"/>
              <w:bottom w:val="single" w:sz="4" w:space="0" w:color="auto"/>
              <w:right w:val="single" w:sz="8" w:space="0" w:color="002C47"/>
            </w:tcBorders>
            <w:shd w:val="clear" w:color="auto" w:fill="F2F2F2"/>
            <w:vAlign w:val="center"/>
          </w:tcPr>
          <w:p w14:paraId="52625F6C" w14:textId="77777777" w:rsidR="0092304A" w:rsidRPr="00B07007" w:rsidRDefault="0092304A" w:rsidP="0007027A">
            <w:pPr>
              <w:spacing w:before="40" w:after="40" w:line="0" w:lineRule="atLeast"/>
              <w:ind w:left="100"/>
              <w:rPr>
                <w:rFonts w:asciiTheme="minorHAnsi" w:eastAsia="Cambria" w:hAnsiTheme="minorHAnsi" w:cstheme="minorHAnsi"/>
                <w:b/>
                <w:sz w:val="22"/>
                <w:szCs w:val="22"/>
              </w:rPr>
            </w:pPr>
            <w:r w:rsidRPr="00B07007">
              <w:rPr>
                <w:rFonts w:asciiTheme="minorHAnsi" w:eastAsia="Cambria" w:hAnsiTheme="minorHAnsi" w:cstheme="minorHAnsi"/>
                <w:b/>
                <w:sz w:val="22"/>
                <w:szCs w:val="22"/>
              </w:rPr>
              <w:t>Summary of new information</w:t>
            </w:r>
          </w:p>
        </w:tc>
      </w:tr>
      <w:tr w:rsidR="0092304A" w:rsidRPr="00B07007" w14:paraId="580C431B" w14:textId="77777777" w:rsidTr="0007027A">
        <w:tc>
          <w:tcPr>
            <w:tcW w:w="2127" w:type="dxa"/>
            <w:tcBorders>
              <w:top w:val="single" w:sz="4" w:space="0" w:color="auto"/>
              <w:left w:val="single" w:sz="8" w:space="0" w:color="002C47"/>
              <w:bottom w:val="single" w:sz="8" w:space="0" w:color="002C47"/>
              <w:right w:val="single" w:sz="8" w:space="0" w:color="002C47"/>
            </w:tcBorders>
            <w:shd w:val="clear" w:color="auto" w:fill="auto"/>
            <w:vAlign w:val="center"/>
          </w:tcPr>
          <w:p w14:paraId="755FBA6A" w14:textId="77777777" w:rsidR="0092304A" w:rsidRPr="00B07007" w:rsidRDefault="0092304A" w:rsidP="0007027A">
            <w:pPr>
              <w:spacing w:before="40" w:after="40" w:line="0" w:lineRule="atLeast"/>
              <w:ind w:left="120"/>
              <w:rPr>
                <w:rFonts w:asciiTheme="minorHAnsi" w:eastAsia="Cambria" w:hAnsiTheme="minorHAnsi" w:cstheme="minorHAnsi"/>
                <w:sz w:val="22"/>
                <w:szCs w:val="22"/>
              </w:rPr>
            </w:pPr>
          </w:p>
        </w:tc>
        <w:tc>
          <w:tcPr>
            <w:tcW w:w="7053" w:type="dxa"/>
            <w:tcBorders>
              <w:top w:val="single" w:sz="4" w:space="0" w:color="auto"/>
              <w:bottom w:val="single" w:sz="8" w:space="0" w:color="002C47"/>
              <w:right w:val="single" w:sz="8" w:space="0" w:color="002C47"/>
            </w:tcBorders>
            <w:shd w:val="clear" w:color="auto" w:fill="auto"/>
            <w:vAlign w:val="center"/>
          </w:tcPr>
          <w:p w14:paraId="747F7083" w14:textId="18788586" w:rsidR="0092304A" w:rsidRPr="00B07007" w:rsidRDefault="00D95315" w:rsidP="0007027A">
            <w:pPr>
              <w:spacing w:before="40" w:after="40" w:line="0" w:lineRule="atLeast"/>
              <w:ind w:left="120"/>
              <w:rPr>
                <w:rFonts w:asciiTheme="minorHAnsi" w:eastAsia="Cambria" w:hAnsiTheme="minorHAnsi" w:cstheme="minorHAnsi"/>
                <w:sz w:val="22"/>
                <w:szCs w:val="22"/>
              </w:rPr>
            </w:pPr>
            <w:r w:rsidRPr="00B07007">
              <w:rPr>
                <w:rFonts w:asciiTheme="minorHAnsi" w:eastAsia="Cambria" w:hAnsiTheme="minorHAnsi" w:cstheme="minorHAnsi"/>
                <w:sz w:val="22"/>
                <w:szCs w:val="22"/>
              </w:rPr>
              <w:t>New Product Information for a new product</w:t>
            </w:r>
          </w:p>
        </w:tc>
      </w:tr>
    </w:tbl>
    <w:p w14:paraId="43C89F10" w14:textId="66DAAD94" w:rsidR="001B0447" w:rsidRPr="00B07007" w:rsidRDefault="001B0447" w:rsidP="001B0447">
      <w:pPr>
        <w:rPr>
          <w:rFonts w:asciiTheme="minorHAnsi" w:hAnsiTheme="minorHAnsi" w:cstheme="minorHAnsi"/>
          <w:sz w:val="22"/>
          <w:szCs w:val="22"/>
        </w:rPr>
      </w:pPr>
    </w:p>
    <w:sectPr w:rsidR="001B0447" w:rsidRPr="00B07007" w:rsidSect="006A2B93">
      <w:headerReference w:type="default" r:id="rId12"/>
      <w:footerReference w:type="default" r:id="rId13"/>
      <w:pgSz w:w="11906" w:h="16838"/>
      <w:pgMar w:top="1440" w:right="1841"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CB8F" w14:textId="77777777" w:rsidR="00CC14E9" w:rsidRDefault="00CC14E9" w:rsidP="00CF3CA1">
      <w:r>
        <w:separator/>
      </w:r>
    </w:p>
  </w:endnote>
  <w:endnote w:type="continuationSeparator" w:id="0">
    <w:p w14:paraId="13BECCC3" w14:textId="77777777" w:rsidR="00CC14E9" w:rsidRDefault="00CC14E9" w:rsidP="00CF3CA1">
      <w:r>
        <w:continuationSeparator/>
      </w:r>
    </w:p>
  </w:endnote>
  <w:endnote w:type="continuationNotice" w:id="1">
    <w:p w14:paraId="4397DF2B" w14:textId="77777777" w:rsidR="00CC14E9" w:rsidRDefault="00CC14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dvTT7c3c51d9">
    <w:altName w:val="Malgun Gothic"/>
    <w:panose1 w:val="00000000000000000000"/>
    <w:charset w:val="81"/>
    <w:family w:val="auto"/>
    <w:notTrueType/>
    <w:pitch w:val="default"/>
    <w:sig w:usb0="00000001" w:usb1="09060000" w:usb2="00000010" w:usb3="00000000" w:csb0="00080000" w:csb1="00000000"/>
  </w:font>
  <w:font w:name="OTNEJMQuadraat">
    <w:altName w:val="Yu Gothic"/>
    <w:panose1 w:val="00000000000000000000"/>
    <w:charset w:val="80"/>
    <w:family w:val="roman"/>
    <w:notTrueType/>
    <w:pitch w:val="default"/>
    <w:sig w:usb0="00000001" w:usb1="08070000" w:usb2="00000010" w:usb3="00000000" w:csb0="00020000" w:csb1="00000000"/>
  </w:font>
  <w:font w:name="AdvTT3713a231+22">
    <w:altName w:val="Yu Gothic"/>
    <w:panose1 w:val="00000000000000000000"/>
    <w:charset w:val="80"/>
    <w:family w:val="auto"/>
    <w:notTrueType/>
    <w:pitch w:val="default"/>
    <w:sig w:usb0="00000003" w:usb1="08070000" w:usb2="00000010" w:usb3="00000000" w:csb0="00020001" w:csb1="00000000"/>
  </w:font>
  <w:font w:name="AdvTT3713a231+20">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18"/>
      </w:rPr>
    </w:sdtEndPr>
    <w:sdtContent>
      <w:p w14:paraId="5E2BE51F" w14:textId="4F248E4E" w:rsidR="00F414D0" w:rsidRPr="000270FC" w:rsidRDefault="00F414D0" w:rsidP="00311635">
        <w:pPr>
          <w:pStyle w:val="Footer"/>
          <w:pBdr>
            <w:top w:val="single" w:sz="4" w:space="1" w:color="auto"/>
          </w:pBdr>
          <w:rPr>
            <w:rFonts w:ascii="Arial" w:hAnsi="Arial" w:cs="Arial"/>
            <w:sz w:val="18"/>
          </w:rPr>
        </w:pPr>
        <w:r w:rsidRPr="000270FC">
          <w:rPr>
            <w:rFonts w:ascii="Arial" w:hAnsi="Arial" w:cs="Arial"/>
            <w:sz w:val="18"/>
          </w:rPr>
          <w:t>Lutetium Chloride Product Information</w:t>
        </w:r>
        <w:r w:rsidRPr="000270FC">
          <w:rPr>
            <w:rFonts w:ascii="Arial" w:hAnsi="Arial" w:cs="Arial"/>
            <w:sz w:val="18"/>
          </w:rPr>
          <w:tab/>
        </w:r>
        <w:r w:rsidRPr="000270FC">
          <w:rPr>
            <w:rFonts w:ascii="Arial" w:hAnsi="Arial" w:cs="Arial"/>
            <w:sz w:val="18"/>
          </w:rPr>
          <w:fldChar w:fldCharType="begin"/>
        </w:r>
        <w:r w:rsidRPr="000270FC">
          <w:rPr>
            <w:rFonts w:ascii="Arial" w:hAnsi="Arial" w:cs="Arial"/>
            <w:sz w:val="18"/>
          </w:rPr>
          <w:instrText xml:space="preserve"> PAGE   \* MERGEFORMAT </w:instrText>
        </w:r>
        <w:r w:rsidRPr="000270FC">
          <w:rPr>
            <w:rFonts w:ascii="Arial" w:hAnsi="Arial" w:cs="Arial"/>
            <w:sz w:val="18"/>
          </w:rPr>
          <w:fldChar w:fldCharType="separate"/>
        </w:r>
        <w:r w:rsidRPr="000270FC">
          <w:rPr>
            <w:rFonts w:ascii="Arial" w:hAnsi="Arial" w:cs="Arial"/>
            <w:noProof/>
            <w:sz w:val="18"/>
          </w:rPr>
          <w:t>2</w:t>
        </w:r>
        <w:r w:rsidRPr="000270FC">
          <w:rPr>
            <w:rFonts w:ascii="Arial" w:hAnsi="Arial" w:cs="Arial"/>
            <w:noProof/>
            <w:sz w:val="18"/>
          </w:rPr>
          <w:fldChar w:fldCharType="end"/>
        </w:r>
      </w:p>
    </w:sdtContent>
  </w:sdt>
  <w:p w14:paraId="2497C58F" w14:textId="77777777" w:rsidR="00F414D0" w:rsidRDefault="00F414D0"/>
  <w:p w14:paraId="258BF97D" w14:textId="77777777" w:rsidR="00F414D0" w:rsidRDefault="00F414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5AF35" w14:textId="77777777" w:rsidR="00CC14E9" w:rsidRDefault="00CC14E9" w:rsidP="00CF3CA1">
      <w:r>
        <w:separator/>
      </w:r>
    </w:p>
  </w:footnote>
  <w:footnote w:type="continuationSeparator" w:id="0">
    <w:p w14:paraId="3CF5B7C3" w14:textId="77777777" w:rsidR="00CC14E9" w:rsidRDefault="00CC14E9" w:rsidP="00CF3CA1">
      <w:r>
        <w:continuationSeparator/>
      </w:r>
    </w:p>
  </w:footnote>
  <w:footnote w:type="continuationNotice" w:id="1">
    <w:p w14:paraId="06C6F684" w14:textId="77777777" w:rsidR="00CC14E9" w:rsidRDefault="00CC14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8615"/>
    </w:tblGrid>
    <w:tr w:rsidR="009A3E59" w14:paraId="5B570617" w14:textId="77777777" w:rsidTr="00A82845">
      <w:tc>
        <w:tcPr>
          <w:tcW w:w="8720" w:type="dxa"/>
          <w:shd w:val="clear" w:color="auto" w:fill="E4F2E0"/>
        </w:tcPr>
        <w:p w14:paraId="06252DB4" w14:textId="77777777" w:rsidR="009A3E59" w:rsidRPr="00584815" w:rsidRDefault="009A3E59" w:rsidP="009A3E59">
          <w:pPr>
            <w:rPr>
              <w:sz w:val="18"/>
              <w:szCs w:val="18"/>
            </w:rPr>
          </w:pPr>
          <w:bookmarkStart w:id="12" w:name="_Hlk115871543"/>
          <w:r w:rsidRPr="00584815">
            <w:rPr>
              <w:b/>
              <w:sz w:val="18"/>
              <w:szCs w:val="18"/>
            </w:rPr>
            <w:t xml:space="preserve">Attachment 1: Product information for </w:t>
          </w:r>
          <w:proofErr w:type="spellStart"/>
          <w:r w:rsidRPr="00584815">
            <w:rPr>
              <w:b/>
              <w:sz w:val="18"/>
              <w:szCs w:val="18"/>
            </w:rPr>
            <w:t>AusPAR</w:t>
          </w:r>
          <w:proofErr w:type="spellEnd"/>
          <w:r w:rsidRPr="00584815">
            <w:rPr>
              <w:b/>
              <w:sz w:val="18"/>
              <w:szCs w:val="18"/>
            </w:rPr>
            <w:t xml:space="preserve"> - Lutetium (177Lu) chloride - lutetium (177Lu) chloride - Australian Nuclear Science and Technology </w:t>
          </w:r>
          <w:proofErr w:type="spellStart"/>
          <w:r w:rsidRPr="00584815">
            <w:rPr>
              <w:b/>
              <w:sz w:val="18"/>
              <w:szCs w:val="18"/>
            </w:rPr>
            <w:t>Organisation</w:t>
          </w:r>
          <w:proofErr w:type="spellEnd"/>
          <w:r w:rsidRPr="00584815">
            <w:rPr>
              <w:b/>
              <w:sz w:val="18"/>
              <w:szCs w:val="18"/>
            </w:rPr>
            <w:t xml:space="preserve"> (ANSTO) - PM-2020-06691-1-4 Final 16 September 2022. This is the Product Information that was approved with the submission described in this </w:t>
          </w:r>
          <w:proofErr w:type="spellStart"/>
          <w:r w:rsidRPr="00584815">
            <w:rPr>
              <w:b/>
              <w:sz w:val="18"/>
              <w:szCs w:val="18"/>
            </w:rPr>
            <w:t>AusPAR</w:t>
          </w:r>
          <w:proofErr w:type="spellEnd"/>
          <w:r w:rsidRPr="00584815">
            <w:rPr>
              <w:b/>
              <w:sz w:val="18"/>
              <w:szCs w:val="18"/>
            </w:rPr>
            <w:t>. It may have been superseded. For the most recent PI, please refer to the TGA website at &lt;</w:t>
          </w:r>
          <w:hyperlink r:id="rId1" w:history="1">
            <w:r w:rsidRPr="00584815">
              <w:rPr>
                <w:rStyle w:val="Hyperlink"/>
                <w:sz w:val="18"/>
                <w:szCs w:val="18"/>
              </w:rPr>
              <w:t>https://www.tga.gov.au/product-information-pi</w:t>
            </w:r>
          </w:hyperlink>
          <w:r w:rsidRPr="00584815">
            <w:rPr>
              <w:rStyle w:val="Hyperlink"/>
              <w:color w:val="auto"/>
              <w:sz w:val="18"/>
              <w:szCs w:val="18"/>
            </w:rPr>
            <w:t>&gt;</w:t>
          </w:r>
        </w:p>
      </w:tc>
    </w:tr>
    <w:bookmarkEnd w:id="12"/>
  </w:tbl>
  <w:p w14:paraId="2F090D9F" w14:textId="77777777" w:rsidR="009A3E59" w:rsidRDefault="009A3E59" w:rsidP="009A3E5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AE881C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6222F"/>
    <w:multiLevelType w:val="multilevel"/>
    <w:tmpl w:val="24AC5580"/>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850"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33" w:hanging="567"/>
      </w:pPr>
      <w:rPr>
        <w:rFonts w:hint="default"/>
      </w:rPr>
    </w:lvl>
    <w:lvl w:ilvl="4">
      <w:numFmt w:val="bullet"/>
      <w:lvlText w:val="•"/>
      <w:lvlJc w:val="left"/>
      <w:pPr>
        <w:ind w:left="4318" w:hanging="567"/>
      </w:pPr>
      <w:rPr>
        <w:rFonts w:hint="default"/>
      </w:rPr>
    </w:lvl>
    <w:lvl w:ilvl="5">
      <w:numFmt w:val="bullet"/>
      <w:lvlText w:val="•"/>
      <w:lvlJc w:val="left"/>
      <w:pPr>
        <w:ind w:left="5203" w:hanging="567"/>
      </w:pPr>
      <w:rPr>
        <w:rFonts w:hint="default"/>
      </w:rPr>
    </w:lvl>
    <w:lvl w:ilvl="6">
      <w:numFmt w:val="bullet"/>
      <w:lvlText w:val="•"/>
      <w:lvlJc w:val="left"/>
      <w:pPr>
        <w:ind w:left="6087" w:hanging="567"/>
      </w:pPr>
      <w:rPr>
        <w:rFonts w:hint="default"/>
      </w:rPr>
    </w:lvl>
    <w:lvl w:ilvl="7">
      <w:numFmt w:val="bullet"/>
      <w:lvlText w:val="•"/>
      <w:lvlJc w:val="left"/>
      <w:pPr>
        <w:ind w:left="6972" w:hanging="567"/>
      </w:pPr>
      <w:rPr>
        <w:rFonts w:hint="default"/>
      </w:rPr>
    </w:lvl>
    <w:lvl w:ilvl="8">
      <w:numFmt w:val="bullet"/>
      <w:lvlText w:val="•"/>
      <w:lvlJc w:val="left"/>
      <w:pPr>
        <w:ind w:left="7857" w:hanging="567"/>
      </w:pPr>
      <w:rPr>
        <w:rFonts w:hint="default"/>
      </w:rPr>
    </w:lvl>
  </w:abstractNum>
  <w:abstractNum w:abstractNumId="2" w15:restartNumberingAfterBreak="0">
    <w:nsid w:val="091476FF"/>
    <w:multiLevelType w:val="hybridMultilevel"/>
    <w:tmpl w:val="8A0C7A60"/>
    <w:lvl w:ilvl="0" w:tplc="5B240AD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55CD2"/>
    <w:multiLevelType w:val="hybridMultilevel"/>
    <w:tmpl w:val="756AC374"/>
    <w:lvl w:ilvl="0" w:tplc="B1F494B6">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tplc="91BC4CA6">
      <w:numFmt w:val="bullet"/>
      <w:lvlText w:val="•"/>
      <w:lvlJc w:val="left"/>
      <w:pPr>
        <w:ind w:left="1664" w:hanging="567"/>
      </w:pPr>
      <w:rPr>
        <w:rFonts w:hint="default"/>
      </w:rPr>
    </w:lvl>
    <w:lvl w:ilvl="2" w:tplc="DE806FAE">
      <w:numFmt w:val="bullet"/>
      <w:lvlText w:val="•"/>
      <w:lvlJc w:val="left"/>
      <w:pPr>
        <w:ind w:left="2549" w:hanging="567"/>
      </w:pPr>
      <w:rPr>
        <w:rFonts w:hint="default"/>
      </w:rPr>
    </w:lvl>
    <w:lvl w:ilvl="3" w:tplc="E4EA7F06">
      <w:numFmt w:val="bullet"/>
      <w:lvlText w:val="•"/>
      <w:lvlJc w:val="left"/>
      <w:pPr>
        <w:ind w:left="3433" w:hanging="567"/>
      </w:pPr>
      <w:rPr>
        <w:rFonts w:hint="default"/>
      </w:rPr>
    </w:lvl>
    <w:lvl w:ilvl="4" w:tplc="ADCE2748">
      <w:numFmt w:val="bullet"/>
      <w:lvlText w:val="•"/>
      <w:lvlJc w:val="left"/>
      <w:pPr>
        <w:ind w:left="4318" w:hanging="567"/>
      </w:pPr>
      <w:rPr>
        <w:rFonts w:hint="default"/>
      </w:rPr>
    </w:lvl>
    <w:lvl w:ilvl="5" w:tplc="3814BEC0">
      <w:numFmt w:val="bullet"/>
      <w:lvlText w:val="•"/>
      <w:lvlJc w:val="left"/>
      <w:pPr>
        <w:ind w:left="5203" w:hanging="567"/>
      </w:pPr>
      <w:rPr>
        <w:rFonts w:hint="default"/>
      </w:rPr>
    </w:lvl>
    <w:lvl w:ilvl="6" w:tplc="6CC2D664">
      <w:numFmt w:val="bullet"/>
      <w:lvlText w:val="•"/>
      <w:lvlJc w:val="left"/>
      <w:pPr>
        <w:ind w:left="6087" w:hanging="567"/>
      </w:pPr>
      <w:rPr>
        <w:rFonts w:hint="default"/>
      </w:rPr>
    </w:lvl>
    <w:lvl w:ilvl="7" w:tplc="508430D6">
      <w:numFmt w:val="bullet"/>
      <w:lvlText w:val="•"/>
      <w:lvlJc w:val="left"/>
      <w:pPr>
        <w:ind w:left="6972" w:hanging="567"/>
      </w:pPr>
      <w:rPr>
        <w:rFonts w:hint="default"/>
      </w:rPr>
    </w:lvl>
    <w:lvl w:ilvl="8" w:tplc="E320FF96">
      <w:numFmt w:val="bullet"/>
      <w:lvlText w:val="•"/>
      <w:lvlJc w:val="left"/>
      <w:pPr>
        <w:ind w:left="7857" w:hanging="567"/>
      </w:pPr>
      <w:rPr>
        <w:rFonts w:hint="default"/>
      </w:rPr>
    </w:lvl>
  </w:abstractNum>
  <w:abstractNum w:abstractNumId="5" w15:restartNumberingAfterBreak="0">
    <w:nsid w:val="16A741C3"/>
    <w:multiLevelType w:val="hybridMultilevel"/>
    <w:tmpl w:val="CB643FC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190D50A2"/>
    <w:multiLevelType w:val="hybridMultilevel"/>
    <w:tmpl w:val="80FA7B2E"/>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632B9F"/>
    <w:multiLevelType w:val="multilevel"/>
    <w:tmpl w:val="5BD8F4D4"/>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313B670D"/>
    <w:multiLevelType w:val="hybridMultilevel"/>
    <w:tmpl w:val="6B065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D91764"/>
    <w:multiLevelType w:val="hybridMultilevel"/>
    <w:tmpl w:val="0A6E793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1" w15:restartNumberingAfterBreak="0">
    <w:nsid w:val="360F0A87"/>
    <w:multiLevelType w:val="hybridMultilevel"/>
    <w:tmpl w:val="31A01DA2"/>
    <w:name w:val="LT_Heading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89A37F5"/>
    <w:multiLevelType w:val="multilevel"/>
    <w:tmpl w:val="C14E7EA0"/>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B697353"/>
    <w:multiLevelType w:val="hybridMultilevel"/>
    <w:tmpl w:val="2BE8ADC6"/>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4" w15:restartNumberingAfterBreak="0">
    <w:nsid w:val="3FF60A57"/>
    <w:multiLevelType w:val="hybridMultilevel"/>
    <w:tmpl w:val="B0F2E902"/>
    <w:lvl w:ilvl="0" w:tplc="12E8D1FE">
      <w:start w:val="1"/>
      <w:numFmt w:val="bullet"/>
      <w:lvlText w:val=""/>
      <w:lvlJc w:val="left"/>
      <w:pPr>
        <w:ind w:left="1702" w:hanging="360"/>
      </w:pPr>
      <w:rPr>
        <w:rFonts w:ascii="Symbol" w:hAnsi="Symbol" w:hint="default"/>
        <w:sz w:val="12"/>
      </w:rPr>
    </w:lvl>
    <w:lvl w:ilvl="1" w:tplc="0C090003">
      <w:start w:val="1"/>
      <w:numFmt w:val="bullet"/>
      <w:lvlText w:val="o"/>
      <w:lvlJc w:val="left"/>
      <w:pPr>
        <w:ind w:left="2422" w:hanging="360"/>
      </w:pPr>
      <w:rPr>
        <w:rFonts w:ascii="Courier New" w:hAnsi="Courier New" w:cs="Courier New" w:hint="default"/>
      </w:rPr>
    </w:lvl>
    <w:lvl w:ilvl="2" w:tplc="0C090005">
      <w:start w:val="1"/>
      <w:numFmt w:val="bullet"/>
      <w:lvlText w:val=""/>
      <w:lvlJc w:val="left"/>
      <w:pPr>
        <w:ind w:left="3142" w:hanging="360"/>
      </w:pPr>
      <w:rPr>
        <w:rFonts w:ascii="Wingdings" w:hAnsi="Wingdings" w:hint="default"/>
      </w:rPr>
    </w:lvl>
    <w:lvl w:ilvl="3" w:tplc="0C090001">
      <w:start w:val="1"/>
      <w:numFmt w:val="bullet"/>
      <w:lvlText w:val=""/>
      <w:lvlJc w:val="left"/>
      <w:pPr>
        <w:ind w:left="3862" w:hanging="360"/>
      </w:pPr>
      <w:rPr>
        <w:rFonts w:ascii="Symbol" w:hAnsi="Symbol" w:hint="default"/>
      </w:rPr>
    </w:lvl>
    <w:lvl w:ilvl="4" w:tplc="0C090003">
      <w:start w:val="1"/>
      <w:numFmt w:val="bullet"/>
      <w:lvlText w:val="o"/>
      <w:lvlJc w:val="left"/>
      <w:pPr>
        <w:ind w:left="4582" w:hanging="360"/>
      </w:pPr>
      <w:rPr>
        <w:rFonts w:ascii="Courier New" w:hAnsi="Courier New" w:cs="Courier New" w:hint="default"/>
      </w:rPr>
    </w:lvl>
    <w:lvl w:ilvl="5" w:tplc="0C090005">
      <w:start w:val="1"/>
      <w:numFmt w:val="bullet"/>
      <w:lvlText w:val=""/>
      <w:lvlJc w:val="left"/>
      <w:pPr>
        <w:ind w:left="5302" w:hanging="360"/>
      </w:pPr>
      <w:rPr>
        <w:rFonts w:ascii="Wingdings" w:hAnsi="Wingdings" w:hint="default"/>
      </w:rPr>
    </w:lvl>
    <w:lvl w:ilvl="6" w:tplc="0C090001">
      <w:start w:val="1"/>
      <w:numFmt w:val="bullet"/>
      <w:lvlText w:val=""/>
      <w:lvlJc w:val="left"/>
      <w:pPr>
        <w:ind w:left="6022" w:hanging="360"/>
      </w:pPr>
      <w:rPr>
        <w:rFonts w:ascii="Symbol" w:hAnsi="Symbol" w:hint="default"/>
      </w:rPr>
    </w:lvl>
    <w:lvl w:ilvl="7" w:tplc="0C090003">
      <w:start w:val="1"/>
      <w:numFmt w:val="bullet"/>
      <w:lvlText w:val="o"/>
      <w:lvlJc w:val="left"/>
      <w:pPr>
        <w:ind w:left="6742" w:hanging="360"/>
      </w:pPr>
      <w:rPr>
        <w:rFonts w:ascii="Courier New" w:hAnsi="Courier New" w:cs="Courier New" w:hint="default"/>
      </w:rPr>
    </w:lvl>
    <w:lvl w:ilvl="8" w:tplc="0C090005">
      <w:start w:val="1"/>
      <w:numFmt w:val="bullet"/>
      <w:lvlText w:val=""/>
      <w:lvlJc w:val="left"/>
      <w:pPr>
        <w:ind w:left="7462" w:hanging="360"/>
      </w:pPr>
      <w:rPr>
        <w:rFonts w:ascii="Wingdings" w:hAnsi="Wingdings" w:hint="default"/>
      </w:rPr>
    </w:lvl>
  </w:abstractNum>
  <w:abstractNum w:abstractNumId="15" w15:restartNumberingAfterBreak="0">
    <w:nsid w:val="46DC2810"/>
    <w:multiLevelType w:val="hybridMultilevel"/>
    <w:tmpl w:val="F62EF7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ABA0FAB"/>
    <w:multiLevelType w:val="multilevel"/>
    <w:tmpl w:val="6B1EFB7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0849A8"/>
    <w:multiLevelType w:val="hybridMultilevel"/>
    <w:tmpl w:val="FF24BD30"/>
    <w:lvl w:ilvl="0" w:tplc="8E721CF8">
      <w:numFmt w:val="bullet"/>
      <w:lvlText w:val=""/>
      <w:lvlJc w:val="left"/>
      <w:pPr>
        <w:ind w:left="844" w:hanging="567"/>
      </w:pPr>
      <w:rPr>
        <w:rFonts w:ascii="Symbol" w:eastAsia="Symbol" w:hAnsi="Symbol" w:cs="Symbol" w:hint="default"/>
        <w:w w:val="100"/>
        <w:sz w:val="22"/>
        <w:szCs w:val="22"/>
      </w:rPr>
    </w:lvl>
    <w:lvl w:ilvl="1" w:tplc="968ABCD0">
      <w:numFmt w:val="bullet"/>
      <w:lvlText w:val=""/>
      <w:lvlJc w:val="left"/>
      <w:pPr>
        <w:ind w:left="1269" w:hanging="298"/>
      </w:pPr>
      <w:rPr>
        <w:rFonts w:ascii="Symbol" w:eastAsia="Symbol" w:hAnsi="Symbol" w:cs="Symbol" w:hint="default"/>
        <w:w w:val="100"/>
        <w:sz w:val="22"/>
        <w:szCs w:val="22"/>
      </w:rPr>
    </w:lvl>
    <w:lvl w:ilvl="2" w:tplc="029EE18C">
      <w:numFmt w:val="bullet"/>
      <w:lvlText w:val="•"/>
      <w:lvlJc w:val="left"/>
      <w:pPr>
        <w:ind w:left="1000" w:hanging="298"/>
      </w:pPr>
      <w:rPr>
        <w:rFonts w:hint="default"/>
      </w:rPr>
    </w:lvl>
    <w:lvl w:ilvl="3" w:tplc="430A2BC8">
      <w:numFmt w:val="bullet"/>
      <w:lvlText w:val="•"/>
      <w:lvlJc w:val="left"/>
      <w:pPr>
        <w:ind w:left="1260" w:hanging="298"/>
      </w:pPr>
      <w:rPr>
        <w:rFonts w:hint="default"/>
      </w:rPr>
    </w:lvl>
    <w:lvl w:ilvl="4" w:tplc="23BC6BBC">
      <w:numFmt w:val="bullet"/>
      <w:lvlText w:val="•"/>
      <w:lvlJc w:val="left"/>
      <w:pPr>
        <w:ind w:left="2518" w:hanging="298"/>
      </w:pPr>
      <w:rPr>
        <w:rFonts w:hint="default"/>
      </w:rPr>
    </w:lvl>
    <w:lvl w:ilvl="5" w:tplc="A5AC5492">
      <w:numFmt w:val="bullet"/>
      <w:lvlText w:val="•"/>
      <w:lvlJc w:val="left"/>
      <w:pPr>
        <w:ind w:left="3776" w:hanging="298"/>
      </w:pPr>
      <w:rPr>
        <w:rFonts w:hint="default"/>
      </w:rPr>
    </w:lvl>
    <w:lvl w:ilvl="6" w:tplc="E97AABFE">
      <w:numFmt w:val="bullet"/>
      <w:lvlText w:val="•"/>
      <w:lvlJc w:val="left"/>
      <w:pPr>
        <w:ind w:left="5034" w:hanging="298"/>
      </w:pPr>
      <w:rPr>
        <w:rFonts w:hint="default"/>
      </w:rPr>
    </w:lvl>
    <w:lvl w:ilvl="7" w:tplc="E0EC63D2">
      <w:numFmt w:val="bullet"/>
      <w:lvlText w:val="•"/>
      <w:lvlJc w:val="left"/>
      <w:pPr>
        <w:ind w:left="6292" w:hanging="298"/>
      </w:pPr>
      <w:rPr>
        <w:rFonts w:hint="default"/>
      </w:rPr>
    </w:lvl>
    <w:lvl w:ilvl="8" w:tplc="C832BF12">
      <w:numFmt w:val="bullet"/>
      <w:lvlText w:val="•"/>
      <w:lvlJc w:val="left"/>
      <w:pPr>
        <w:ind w:left="7550" w:hanging="298"/>
      </w:pPr>
      <w:rPr>
        <w:rFonts w:hint="default"/>
      </w:rPr>
    </w:lvl>
  </w:abstractNum>
  <w:abstractNum w:abstractNumId="19" w15:restartNumberingAfterBreak="0">
    <w:nsid w:val="5E041C8F"/>
    <w:multiLevelType w:val="hybridMultilevel"/>
    <w:tmpl w:val="9F6A1B52"/>
    <w:lvl w:ilvl="0" w:tplc="5C4AE4AE">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tplc="641C0B2A">
      <w:numFmt w:val="bullet"/>
      <w:lvlText w:val="•"/>
      <w:lvlJc w:val="left"/>
      <w:pPr>
        <w:ind w:left="1664" w:hanging="567"/>
      </w:pPr>
      <w:rPr>
        <w:rFonts w:hint="default"/>
      </w:rPr>
    </w:lvl>
    <w:lvl w:ilvl="2" w:tplc="CC9E8954">
      <w:numFmt w:val="bullet"/>
      <w:lvlText w:val="•"/>
      <w:lvlJc w:val="left"/>
      <w:pPr>
        <w:ind w:left="2549" w:hanging="567"/>
      </w:pPr>
      <w:rPr>
        <w:rFonts w:hint="default"/>
      </w:rPr>
    </w:lvl>
    <w:lvl w:ilvl="3" w:tplc="C716255E">
      <w:numFmt w:val="bullet"/>
      <w:lvlText w:val="•"/>
      <w:lvlJc w:val="left"/>
      <w:pPr>
        <w:ind w:left="3433" w:hanging="567"/>
      </w:pPr>
      <w:rPr>
        <w:rFonts w:hint="default"/>
      </w:rPr>
    </w:lvl>
    <w:lvl w:ilvl="4" w:tplc="D38085AA">
      <w:numFmt w:val="bullet"/>
      <w:lvlText w:val="•"/>
      <w:lvlJc w:val="left"/>
      <w:pPr>
        <w:ind w:left="4318" w:hanging="567"/>
      </w:pPr>
      <w:rPr>
        <w:rFonts w:hint="default"/>
      </w:rPr>
    </w:lvl>
    <w:lvl w:ilvl="5" w:tplc="68FCED58">
      <w:numFmt w:val="bullet"/>
      <w:lvlText w:val="•"/>
      <w:lvlJc w:val="left"/>
      <w:pPr>
        <w:ind w:left="5203" w:hanging="567"/>
      </w:pPr>
      <w:rPr>
        <w:rFonts w:hint="default"/>
      </w:rPr>
    </w:lvl>
    <w:lvl w:ilvl="6" w:tplc="ED7A1508">
      <w:numFmt w:val="bullet"/>
      <w:lvlText w:val="•"/>
      <w:lvlJc w:val="left"/>
      <w:pPr>
        <w:ind w:left="6087" w:hanging="567"/>
      </w:pPr>
      <w:rPr>
        <w:rFonts w:hint="default"/>
      </w:rPr>
    </w:lvl>
    <w:lvl w:ilvl="7" w:tplc="3BA45ABC">
      <w:numFmt w:val="bullet"/>
      <w:lvlText w:val="•"/>
      <w:lvlJc w:val="left"/>
      <w:pPr>
        <w:ind w:left="6972" w:hanging="567"/>
      </w:pPr>
      <w:rPr>
        <w:rFonts w:hint="default"/>
      </w:rPr>
    </w:lvl>
    <w:lvl w:ilvl="8" w:tplc="42505A88">
      <w:numFmt w:val="bullet"/>
      <w:lvlText w:val="•"/>
      <w:lvlJc w:val="left"/>
      <w:pPr>
        <w:ind w:left="7857" w:hanging="567"/>
      </w:pPr>
      <w:rPr>
        <w:rFonts w:hint="default"/>
      </w:rPr>
    </w:lvl>
  </w:abstractNum>
  <w:abstractNum w:abstractNumId="20" w15:restartNumberingAfterBreak="0">
    <w:nsid w:val="5EE424C8"/>
    <w:multiLevelType w:val="hybridMultilevel"/>
    <w:tmpl w:val="719E3EB8"/>
    <w:lvl w:ilvl="0" w:tplc="8DE88280">
      <w:numFmt w:val="bullet"/>
      <w:lvlText w:val="-"/>
      <w:lvlJc w:val="left"/>
      <w:pPr>
        <w:ind w:left="784" w:hanging="567"/>
      </w:pPr>
      <w:rPr>
        <w:rFonts w:ascii="Times New Roman" w:eastAsia="Times New Roman" w:hAnsi="Times New Roman" w:cs="Times New Roman" w:hint="default"/>
        <w:w w:val="100"/>
        <w:sz w:val="22"/>
        <w:szCs w:val="22"/>
      </w:rPr>
    </w:lvl>
    <w:lvl w:ilvl="1" w:tplc="F7B806A2">
      <w:numFmt w:val="bullet"/>
      <w:lvlText w:val="•"/>
      <w:lvlJc w:val="left"/>
      <w:pPr>
        <w:ind w:left="1664" w:hanging="567"/>
      </w:pPr>
      <w:rPr>
        <w:rFonts w:hint="default"/>
      </w:rPr>
    </w:lvl>
    <w:lvl w:ilvl="2" w:tplc="B41C15BA">
      <w:numFmt w:val="bullet"/>
      <w:lvlText w:val="•"/>
      <w:lvlJc w:val="left"/>
      <w:pPr>
        <w:ind w:left="2549" w:hanging="567"/>
      </w:pPr>
      <w:rPr>
        <w:rFonts w:hint="default"/>
      </w:rPr>
    </w:lvl>
    <w:lvl w:ilvl="3" w:tplc="E43C5436">
      <w:numFmt w:val="bullet"/>
      <w:lvlText w:val="•"/>
      <w:lvlJc w:val="left"/>
      <w:pPr>
        <w:ind w:left="3433" w:hanging="567"/>
      </w:pPr>
      <w:rPr>
        <w:rFonts w:hint="default"/>
      </w:rPr>
    </w:lvl>
    <w:lvl w:ilvl="4" w:tplc="0C8494FC">
      <w:numFmt w:val="bullet"/>
      <w:lvlText w:val="•"/>
      <w:lvlJc w:val="left"/>
      <w:pPr>
        <w:ind w:left="4318" w:hanging="567"/>
      </w:pPr>
      <w:rPr>
        <w:rFonts w:hint="default"/>
      </w:rPr>
    </w:lvl>
    <w:lvl w:ilvl="5" w:tplc="06404214">
      <w:numFmt w:val="bullet"/>
      <w:lvlText w:val="•"/>
      <w:lvlJc w:val="left"/>
      <w:pPr>
        <w:ind w:left="5203" w:hanging="567"/>
      </w:pPr>
      <w:rPr>
        <w:rFonts w:hint="default"/>
      </w:rPr>
    </w:lvl>
    <w:lvl w:ilvl="6" w:tplc="5D307EE6">
      <w:numFmt w:val="bullet"/>
      <w:lvlText w:val="•"/>
      <w:lvlJc w:val="left"/>
      <w:pPr>
        <w:ind w:left="6087" w:hanging="567"/>
      </w:pPr>
      <w:rPr>
        <w:rFonts w:hint="default"/>
      </w:rPr>
    </w:lvl>
    <w:lvl w:ilvl="7" w:tplc="BEA2F1A8">
      <w:numFmt w:val="bullet"/>
      <w:lvlText w:val="•"/>
      <w:lvlJc w:val="left"/>
      <w:pPr>
        <w:ind w:left="6972" w:hanging="567"/>
      </w:pPr>
      <w:rPr>
        <w:rFonts w:hint="default"/>
      </w:rPr>
    </w:lvl>
    <w:lvl w:ilvl="8" w:tplc="6C72AB02">
      <w:numFmt w:val="bullet"/>
      <w:lvlText w:val="•"/>
      <w:lvlJc w:val="left"/>
      <w:pPr>
        <w:ind w:left="7857" w:hanging="567"/>
      </w:pPr>
      <w:rPr>
        <w:rFonts w:hint="default"/>
      </w:rPr>
    </w:lvl>
  </w:abstractNum>
  <w:abstractNum w:abstractNumId="21" w15:restartNumberingAfterBreak="0">
    <w:nsid w:val="6139197D"/>
    <w:multiLevelType w:val="hybridMultilevel"/>
    <w:tmpl w:val="FD8ECB84"/>
    <w:lvl w:ilvl="0" w:tplc="5DA4B316">
      <w:numFmt w:val="bullet"/>
      <w:lvlText w:val="-"/>
      <w:lvlJc w:val="left"/>
      <w:pPr>
        <w:ind w:left="785" w:hanging="360"/>
      </w:pPr>
      <w:rPr>
        <w:rFonts w:ascii="Cambria" w:eastAsia="MS Mincho" w:hAnsi="Cambria" w:cs="Times New Roman"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2"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857FE5"/>
    <w:multiLevelType w:val="multilevel"/>
    <w:tmpl w:val="B704BB3A"/>
    <w:lvl w:ilvl="0">
      <w:start w:val="1"/>
      <w:numFmt w:val="decimal"/>
      <w:lvlText w:val="%1."/>
      <w:lvlJc w:val="left"/>
      <w:pPr>
        <w:ind w:left="784" w:hanging="567"/>
      </w:pPr>
      <w:rPr>
        <w:rFonts w:ascii="Times New Roman" w:eastAsia="Times New Roman" w:hAnsi="Times New Roman" w:cs="Times New Roman" w:hint="default"/>
        <w:b/>
        <w:bCs/>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w w:val="100"/>
        <w:sz w:val="22"/>
        <w:szCs w:val="22"/>
      </w:rPr>
    </w:lvl>
    <w:lvl w:ilvl="2">
      <w:numFmt w:val="bullet"/>
      <w:lvlText w:val="•"/>
      <w:lvlJc w:val="left"/>
      <w:pPr>
        <w:ind w:left="2549" w:hanging="567"/>
      </w:pPr>
      <w:rPr>
        <w:rFonts w:hint="default"/>
      </w:rPr>
    </w:lvl>
    <w:lvl w:ilvl="3">
      <w:numFmt w:val="bullet"/>
      <w:lvlText w:val="•"/>
      <w:lvlJc w:val="left"/>
      <w:pPr>
        <w:ind w:left="3433" w:hanging="567"/>
      </w:pPr>
      <w:rPr>
        <w:rFonts w:hint="default"/>
      </w:rPr>
    </w:lvl>
    <w:lvl w:ilvl="4">
      <w:numFmt w:val="bullet"/>
      <w:lvlText w:val="•"/>
      <w:lvlJc w:val="left"/>
      <w:pPr>
        <w:ind w:left="4318" w:hanging="567"/>
      </w:pPr>
      <w:rPr>
        <w:rFonts w:hint="default"/>
      </w:rPr>
    </w:lvl>
    <w:lvl w:ilvl="5">
      <w:numFmt w:val="bullet"/>
      <w:lvlText w:val="•"/>
      <w:lvlJc w:val="left"/>
      <w:pPr>
        <w:ind w:left="5203" w:hanging="567"/>
      </w:pPr>
      <w:rPr>
        <w:rFonts w:hint="default"/>
      </w:rPr>
    </w:lvl>
    <w:lvl w:ilvl="6">
      <w:numFmt w:val="bullet"/>
      <w:lvlText w:val="•"/>
      <w:lvlJc w:val="left"/>
      <w:pPr>
        <w:ind w:left="6087" w:hanging="567"/>
      </w:pPr>
      <w:rPr>
        <w:rFonts w:hint="default"/>
      </w:rPr>
    </w:lvl>
    <w:lvl w:ilvl="7">
      <w:numFmt w:val="bullet"/>
      <w:lvlText w:val="•"/>
      <w:lvlJc w:val="left"/>
      <w:pPr>
        <w:ind w:left="6972" w:hanging="567"/>
      </w:pPr>
      <w:rPr>
        <w:rFonts w:hint="default"/>
      </w:rPr>
    </w:lvl>
    <w:lvl w:ilvl="8">
      <w:numFmt w:val="bullet"/>
      <w:lvlText w:val="•"/>
      <w:lvlJc w:val="left"/>
      <w:pPr>
        <w:ind w:left="7857" w:hanging="567"/>
      </w:pPr>
      <w:rPr>
        <w:rFonts w:hint="default"/>
      </w:rPr>
    </w:lvl>
  </w:abstractNum>
  <w:abstractNum w:abstractNumId="25"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1D71477"/>
    <w:multiLevelType w:val="multilevel"/>
    <w:tmpl w:val="BB96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A7024C"/>
    <w:multiLevelType w:val="hybridMultilevel"/>
    <w:tmpl w:val="8A5A396C"/>
    <w:lvl w:ilvl="0" w:tplc="0C090001">
      <w:start w:val="1"/>
      <w:numFmt w:val="bullet"/>
      <w:lvlText w:val=""/>
      <w:lvlJc w:val="left"/>
      <w:pPr>
        <w:ind w:left="1234" w:hanging="360"/>
      </w:pPr>
      <w:rPr>
        <w:rFonts w:ascii="Symbol" w:hAnsi="Symbol" w:hint="default"/>
      </w:rPr>
    </w:lvl>
    <w:lvl w:ilvl="1" w:tplc="0C090003" w:tentative="1">
      <w:start w:val="1"/>
      <w:numFmt w:val="bullet"/>
      <w:lvlText w:val="o"/>
      <w:lvlJc w:val="left"/>
      <w:pPr>
        <w:ind w:left="1954" w:hanging="360"/>
      </w:pPr>
      <w:rPr>
        <w:rFonts w:ascii="Courier New" w:hAnsi="Courier New" w:cs="Courier New" w:hint="default"/>
      </w:rPr>
    </w:lvl>
    <w:lvl w:ilvl="2" w:tplc="0C090005" w:tentative="1">
      <w:start w:val="1"/>
      <w:numFmt w:val="bullet"/>
      <w:lvlText w:val=""/>
      <w:lvlJc w:val="left"/>
      <w:pPr>
        <w:ind w:left="2674" w:hanging="360"/>
      </w:pPr>
      <w:rPr>
        <w:rFonts w:ascii="Wingdings" w:hAnsi="Wingdings" w:hint="default"/>
      </w:rPr>
    </w:lvl>
    <w:lvl w:ilvl="3" w:tplc="0C090001" w:tentative="1">
      <w:start w:val="1"/>
      <w:numFmt w:val="bullet"/>
      <w:lvlText w:val=""/>
      <w:lvlJc w:val="left"/>
      <w:pPr>
        <w:ind w:left="3394" w:hanging="360"/>
      </w:pPr>
      <w:rPr>
        <w:rFonts w:ascii="Symbol" w:hAnsi="Symbol" w:hint="default"/>
      </w:rPr>
    </w:lvl>
    <w:lvl w:ilvl="4" w:tplc="0C090003" w:tentative="1">
      <w:start w:val="1"/>
      <w:numFmt w:val="bullet"/>
      <w:lvlText w:val="o"/>
      <w:lvlJc w:val="left"/>
      <w:pPr>
        <w:ind w:left="4114" w:hanging="360"/>
      </w:pPr>
      <w:rPr>
        <w:rFonts w:ascii="Courier New" w:hAnsi="Courier New" w:cs="Courier New" w:hint="default"/>
      </w:rPr>
    </w:lvl>
    <w:lvl w:ilvl="5" w:tplc="0C090005" w:tentative="1">
      <w:start w:val="1"/>
      <w:numFmt w:val="bullet"/>
      <w:lvlText w:val=""/>
      <w:lvlJc w:val="left"/>
      <w:pPr>
        <w:ind w:left="4834" w:hanging="360"/>
      </w:pPr>
      <w:rPr>
        <w:rFonts w:ascii="Wingdings" w:hAnsi="Wingdings" w:hint="default"/>
      </w:rPr>
    </w:lvl>
    <w:lvl w:ilvl="6" w:tplc="0C090001" w:tentative="1">
      <w:start w:val="1"/>
      <w:numFmt w:val="bullet"/>
      <w:lvlText w:val=""/>
      <w:lvlJc w:val="left"/>
      <w:pPr>
        <w:ind w:left="5554" w:hanging="360"/>
      </w:pPr>
      <w:rPr>
        <w:rFonts w:ascii="Symbol" w:hAnsi="Symbol" w:hint="default"/>
      </w:rPr>
    </w:lvl>
    <w:lvl w:ilvl="7" w:tplc="0C090003" w:tentative="1">
      <w:start w:val="1"/>
      <w:numFmt w:val="bullet"/>
      <w:lvlText w:val="o"/>
      <w:lvlJc w:val="left"/>
      <w:pPr>
        <w:ind w:left="6274" w:hanging="360"/>
      </w:pPr>
      <w:rPr>
        <w:rFonts w:ascii="Courier New" w:hAnsi="Courier New" w:cs="Courier New" w:hint="default"/>
      </w:rPr>
    </w:lvl>
    <w:lvl w:ilvl="8" w:tplc="0C090005" w:tentative="1">
      <w:start w:val="1"/>
      <w:numFmt w:val="bullet"/>
      <w:lvlText w:val=""/>
      <w:lvlJc w:val="left"/>
      <w:pPr>
        <w:ind w:left="6994" w:hanging="360"/>
      </w:pPr>
      <w:rPr>
        <w:rFonts w:ascii="Wingdings" w:hAnsi="Wingdings" w:hint="default"/>
      </w:rPr>
    </w:lvl>
  </w:abstractNum>
  <w:abstractNum w:abstractNumId="30" w15:restartNumberingAfterBreak="0">
    <w:nsid w:val="750B6FCA"/>
    <w:multiLevelType w:val="multilevel"/>
    <w:tmpl w:val="C7E2D43A"/>
    <w:lvl w:ilvl="0">
      <w:start w:val="6"/>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84F3B5F"/>
    <w:multiLevelType w:val="hybridMultilevel"/>
    <w:tmpl w:val="79949B74"/>
    <w:name w:val="LT_Heading"/>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7AF43C06"/>
    <w:multiLevelType w:val="hybridMultilevel"/>
    <w:tmpl w:val="0588850A"/>
    <w:name w:val="LT_Heading2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0"/>
  </w:num>
  <w:num w:numId="4">
    <w:abstractNumId w:val="17"/>
  </w:num>
  <w:num w:numId="5">
    <w:abstractNumId w:val="33"/>
  </w:num>
  <w:num w:numId="6">
    <w:abstractNumId w:val="27"/>
  </w:num>
  <w:num w:numId="7">
    <w:abstractNumId w:val="23"/>
  </w:num>
  <w:num w:numId="8">
    <w:abstractNumId w:val="28"/>
  </w:num>
  <w:num w:numId="9">
    <w:abstractNumId w:val="7"/>
  </w:num>
  <w:num w:numId="10">
    <w:abstractNumId w:val="22"/>
  </w:num>
  <w:num w:numId="11">
    <w:abstractNumId w:val="4"/>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6"/>
  </w:num>
  <w:num w:numId="18">
    <w:abstractNumId w:val="20"/>
  </w:num>
  <w:num w:numId="19">
    <w:abstractNumId w:val="1"/>
  </w:num>
  <w:num w:numId="20">
    <w:abstractNumId w:val="8"/>
  </w:num>
  <w:num w:numId="21">
    <w:abstractNumId w:val="19"/>
  </w:num>
  <w:num w:numId="22">
    <w:abstractNumId w:val="12"/>
  </w:num>
  <w:num w:numId="23">
    <w:abstractNumId w:val="2"/>
  </w:num>
  <w:num w:numId="24">
    <w:abstractNumId w:val="30"/>
  </w:num>
  <w:num w:numId="25">
    <w:abstractNumId w:val="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13"/>
  </w:num>
  <w:num w:numId="30">
    <w:abstractNumId w:val="25"/>
  </w:num>
  <w:num w:numId="31">
    <w:abstractNumId w:val="18"/>
  </w:num>
  <w:num w:numId="32">
    <w:abstractNumId w:val="29"/>
  </w:num>
  <w:num w:numId="33">
    <w:abstractNumId w:val="5"/>
  </w:num>
  <w:num w:numId="34">
    <w:abstractNumId w:val="10"/>
  </w:num>
  <w:num w:numId="35">
    <w:abstractNumId w:val="25"/>
  </w:num>
  <w:num w:numId="36">
    <w:abstractNumId w:val="25"/>
  </w:num>
  <w:num w:numId="37">
    <w:abstractNumId w:val="25"/>
  </w:num>
  <w:num w:numId="38">
    <w:abstractNumId w:val="31"/>
  </w:num>
  <w:num w:numId="39">
    <w:abstractNumId w:val="11"/>
  </w:num>
  <w:num w:numId="40">
    <w:abstractNumId w:val="32"/>
  </w:num>
  <w:num w:numId="41">
    <w:abstractNumId w:val="25"/>
  </w:num>
  <w:num w:numId="42">
    <w:abstractNumId w:val="15"/>
  </w:num>
  <w:num w:numId="43">
    <w:abstractNumId w:val="9"/>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2F"/>
    <w:rsid w:val="00012CE7"/>
    <w:rsid w:val="0001771F"/>
    <w:rsid w:val="000209BE"/>
    <w:rsid w:val="00022EA7"/>
    <w:rsid w:val="000270FC"/>
    <w:rsid w:val="000274A9"/>
    <w:rsid w:val="000305AE"/>
    <w:rsid w:val="00037F09"/>
    <w:rsid w:val="00042D38"/>
    <w:rsid w:val="00043D68"/>
    <w:rsid w:val="0005211B"/>
    <w:rsid w:val="00054F39"/>
    <w:rsid w:val="000633F9"/>
    <w:rsid w:val="000668F1"/>
    <w:rsid w:val="00066F59"/>
    <w:rsid w:val="0007027A"/>
    <w:rsid w:val="00071150"/>
    <w:rsid w:val="00071338"/>
    <w:rsid w:val="0007697F"/>
    <w:rsid w:val="00081334"/>
    <w:rsid w:val="0008237E"/>
    <w:rsid w:val="00085398"/>
    <w:rsid w:val="00087C6D"/>
    <w:rsid w:val="000A6B6D"/>
    <w:rsid w:val="000B36A8"/>
    <w:rsid w:val="000B4CB1"/>
    <w:rsid w:val="000C6C01"/>
    <w:rsid w:val="000D0ACE"/>
    <w:rsid w:val="000E699C"/>
    <w:rsid w:val="000E7E33"/>
    <w:rsid w:val="000F0F6B"/>
    <w:rsid w:val="000F2561"/>
    <w:rsid w:val="000F394A"/>
    <w:rsid w:val="000F76E2"/>
    <w:rsid w:val="00103E37"/>
    <w:rsid w:val="00105C1D"/>
    <w:rsid w:val="001064E4"/>
    <w:rsid w:val="00106683"/>
    <w:rsid w:val="001120A1"/>
    <w:rsid w:val="001149F4"/>
    <w:rsid w:val="0011551C"/>
    <w:rsid w:val="00115A2E"/>
    <w:rsid w:val="001218E6"/>
    <w:rsid w:val="00123F3D"/>
    <w:rsid w:val="00124E8F"/>
    <w:rsid w:val="0012607D"/>
    <w:rsid w:val="001333B2"/>
    <w:rsid w:val="001416FC"/>
    <w:rsid w:val="00145324"/>
    <w:rsid w:val="00155598"/>
    <w:rsid w:val="00155A0C"/>
    <w:rsid w:val="00156FCA"/>
    <w:rsid w:val="001620DB"/>
    <w:rsid w:val="00163315"/>
    <w:rsid w:val="001656DD"/>
    <w:rsid w:val="00184897"/>
    <w:rsid w:val="001925CB"/>
    <w:rsid w:val="001943C0"/>
    <w:rsid w:val="0019559C"/>
    <w:rsid w:val="00195A99"/>
    <w:rsid w:val="001A01E8"/>
    <w:rsid w:val="001A3992"/>
    <w:rsid w:val="001A6900"/>
    <w:rsid w:val="001A6B0A"/>
    <w:rsid w:val="001B0447"/>
    <w:rsid w:val="001B2C9F"/>
    <w:rsid w:val="001B5C0D"/>
    <w:rsid w:val="001C46B4"/>
    <w:rsid w:val="001D154A"/>
    <w:rsid w:val="001D3C69"/>
    <w:rsid w:val="001D4FDF"/>
    <w:rsid w:val="001E18BB"/>
    <w:rsid w:val="001E55EA"/>
    <w:rsid w:val="001F7522"/>
    <w:rsid w:val="0020380F"/>
    <w:rsid w:val="002211A6"/>
    <w:rsid w:val="00221EC2"/>
    <w:rsid w:val="0022452B"/>
    <w:rsid w:val="002260AF"/>
    <w:rsid w:val="00237A98"/>
    <w:rsid w:val="00247CE2"/>
    <w:rsid w:val="0025190E"/>
    <w:rsid w:val="00256154"/>
    <w:rsid w:val="00257337"/>
    <w:rsid w:val="002576AD"/>
    <w:rsid w:val="00263724"/>
    <w:rsid w:val="002637AE"/>
    <w:rsid w:val="002650D0"/>
    <w:rsid w:val="002815B1"/>
    <w:rsid w:val="00294939"/>
    <w:rsid w:val="002A03B3"/>
    <w:rsid w:val="002A3A5E"/>
    <w:rsid w:val="002B086E"/>
    <w:rsid w:val="002B0C78"/>
    <w:rsid w:val="002B424E"/>
    <w:rsid w:val="002B4B59"/>
    <w:rsid w:val="002C04CA"/>
    <w:rsid w:val="002D5991"/>
    <w:rsid w:val="002E277D"/>
    <w:rsid w:val="002E4F15"/>
    <w:rsid w:val="002E5DC1"/>
    <w:rsid w:val="002F3947"/>
    <w:rsid w:val="002F7A14"/>
    <w:rsid w:val="0030222C"/>
    <w:rsid w:val="003033EB"/>
    <w:rsid w:val="00311635"/>
    <w:rsid w:val="00315041"/>
    <w:rsid w:val="0032186C"/>
    <w:rsid w:val="00340011"/>
    <w:rsid w:val="00344F7A"/>
    <w:rsid w:val="003520D2"/>
    <w:rsid w:val="00372C34"/>
    <w:rsid w:val="00376720"/>
    <w:rsid w:val="0038559A"/>
    <w:rsid w:val="00390705"/>
    <w:rsid w:val="0039678C"/>
    <w:rsid w:val="003978B3"/>
    <w:rsid w:val="003A2609"/>
    <w:rsid w:val="003B166D"/>
    <w:rsid w:val="003B644C"/>
    <w:rsid w:val="003B774E"/>
    <w:rsid w:val="003B7F24"/>
    <w:rsid w:val="003C21F2"/>
    <w:rsid w:val="003D1586"/>
    <w:rsid w:val="003D3530"/>
    <w:rsid w:val="003F09EA"/>
    <w:rsid w:val="003F155E"/>
    <w:rsid w:val="003F2E60"/>
    <w:rsid w:val="003F7550"/>
    <w:rsid w:val="003F7C93"/>
    <w:rsid w:val="004032BD"/>
    <w:rsid w:val="004127FE"/>
    <w:rsid w:val="00413F03"/>
    <w:rsid w:val="0042193F"/>
    <w:rsid w:val="00431ACD"/>
    <w:rsid w:val="00435F25"/>
    <w:rsid w:val="00440105"/>
    <w:rsid w:val="00443B3F"/>
    <w:rsid w:val="00444615"/>
    <w:rsid w:val="004521DF"/>
    <w:rsid w:val="0045536E"/>
    <w:rsid w:val="00461E14"/>
    <w:rsid w:val="0046346A"/>
    <w:rsid w:val="0046476A"/>
    <w:rsid w:val="004651AA"/>
    <w:rsid w:val="00465D3F"/>
    <w:rsid w:val="00465DF6"/>
    <w:rsid w:val="00467319"/>
    <w:rsid w:val="00471E23"/>
    <w:rsid w:val="0048552B"/>
    <w:rsid w:val="00487240"/>
    <w:rsid w:val="00494E18"/>
    <w:rsid w:val="00497C85"/>
    <w:rsid w:val="004A379D"/>
    <w:rsid w:val="004A4E84"/>
    <w:rsid w:val="004A5420"/>
    <w:rsid w:val="004B39D7"/>
    <w:rsid w:val="004C75C1"/>
    <w:rsid w:val="004D4164"/>
    <w:rsid w:val="004F3085"/>
    <w:rsid w:val="004F5BEE"/>
    <w:rsid w:val="005005A0"/>
    <w:rsid w:val="00501A8F"/>
    <w:rsid w:val="00502849"/>
    <w:rsid w:val="00510C8C"/>
    <w:rsid w:val="00512BA0"/>
    <w:rsid w:val="00512ECC"/>
    <w:rsid w:val="00520147"/>
    <w:rsid w:val="00520753"/>
    <w:rsid w:val="005216A0"/>
    <w:rsid w:val="00525957"/>
    <w:rsid w:val="00525D48"/>
    <w:rsid w:val="00526367"/>
    <w:rsid w:val="00544D48"/>
    <w:rsid w:val="00546E87"/>
    <w:rsid w:val="00547314"/>
    <w:rsid w:val="00572358"/>
    <w:rsid w:val="00575B7C"/>
    <w:rsid w:val="00577E89"/>
    <w:rsid w:val="00583247"/>
    <w:rsid w:val="00584375"/>
    <w:rsid w:val="00592BA3"/>
    <w:rsid w:val="00593F75"/>
    <w:rsid w:val="00595D54"/>
    <w:rsid w:val="005A3849"/>
    <w:rsid w:val="005A5449"/>
    <w:rsid w:val="005B3C0B"/>
    <w:rsid w:val="005C1B15"/>
    <w:rsid w:val="005D4138"/>
    <w:rsid w:val="005E2428"/>
    <w:rsid w:val="005E69F9"/>
    <w:rsid w:val="005F107B"/>
    <w:rsid w:val="005F42A9"/>
    <w:rsid w:val="005F6548"/>
    <w:rsid w:val="00604D3A"/>
    <w:rsid w:val="0060777D"/>
    <w:rsid w:val="006226CC"/>
    <w:rsid w:val="006302D0"/>
    <w:rsid w:val="00630DE2"/>
    <w:rsid w:val="006418F5"/>
    <w:rsid w:val="00644CFD"/>
    <w:rsid w:val="006519E9"/>
    <w:rsid w:val="006529B0"/>
    <w:rsid w:val="006540CC"/>
    <w:rsid w:val="006624EB"/>
    <w:rsid w:val="00671CE5"/>
    <w:rsid w:val="00677840"/>
    <w:rsid w:val="006905EE"/>
    <w:rsid w:val="00690C96"/>
    <w:rsid w:val="00691856"/>
    <w:rsid w:val="00695835"/>
    <w:rsid w:val="006A2B93"/>
    <w:rsid w:val="006A7A70"/>
    <w:rsid w:val="006B03CF"/>
    <w:rsid w:val="006B1556"/>
    <w:rsid w:val="006B16BC"/>
    <w:rsid w:val="006B46CC"/>
    <w:rsid w:val="006B4E80"/>
    <w:rsid w:val="006B7F13"/>
    <w:rsid w:val="006C1217"/>
    <w:rsid w:val="006D24F6"/>
    <w:rsid w:val="006D7684"/>
    <w:rsid w:val="006F0B35"/>
    <w:rsid w:val="006F178F"/>
    <w:rsid w:val="006F1861"/>
    <w:rsid w:val="006F25A9"/>
    <w:rsid w:val="00712722"/>
    <w:rsid w:val="007156F2"/>
    <w:rsid w:val="00725F08"/>
    <w:rsid w:val="007301DC"/>
    <w:rsid w:val="007549C1"/>
    <w:rsid w:val="00763E4A"/>
    <w:rsid w:val="00767EE1"/>
    <w:rsid w:val="00771079"/>
    <w:rsid w:val="007745F1"/>
    <w:rsid w:val="00781B7B"/>
    <w:rsid w:val="007959EE"/>
    <w:rsid w:val="007B04F4"/>
    <w:rsid w:val="007C3C30"/>
    <w:rsid w:val="007C5D26"/>
    <w:rsid w:val="007D2D5D"/>
    <w:rsid w:val="007D3372"/>
    <w:rsid w:val="007E4CAB"/>
    <w:rsid w:val="007E693C"/>
    <w:rsid w:val="007E7AE4"/>
    <w:rsid w:val="00802C9E"/>
    <w:rsid w:val="00805F3A"/>
    <w:rsid w:val="00806D05"/>
    <w:rsid w:val="00810ECD"/>
    <w:rsid w:val="00820456"/>
    <w:rsid w:val="00830C68"/>
    <w:rsid w:val="0083543F"/>
    <w:rsid w:val="008363D5"/>
    <w:rsid w:val="00836D01"/>
    <w:rsid w:val="0084227D"/>
    <w:rsid w:val="00843E45"/>
    <w:rsid w:val="008568A4"/>
    <w:rsid w:val="008572FE"/>
    <w:rsid w:val="0086152F"/>
    <w:rsid w:val="00863DA4"/>
    <w:rsid w:val="008647AC"/>
    <w:rsid w:val="00864B29"/>
    <w:rsid w:val="00865DA3"/>
    <w:rsid w:val="00873EF2"/>
    <w:rsid w:val="0088147F"/>
    <w:rsid w:val="00891FC5"/>
    <w:rsid w:val="008934DA"/>
    <w:rsid w:val="00893D98"/>
    <w:rsid w:val="008A1A14"/>
    <w:rsid w:val="008B217D"/>
    <w:rsid w:val="008B3FB8"/>
    <w:rsid w:val="008C3F58"/>
    <w:rsid w:val="008C4AA3"/>
    <w:rsid w:val="008C6D7E"/>
    <w:rsid w:val="008D0AE2"/>
    <w:rsid w:val="008D276C"/>
    <w:rsid w:val="008D60C4"/>
    <w:rsid w:val="008D64FE"/>
    <w:rsid w:val="008F436B"/>
    <w:rsid w:val="00914A75"/>
    <w:rsid w:val="00914BFC"/>
    <w:rsid w:val="0092304A"/>
    <w:rsid w:val="00944D55"/>
    <w:rsid w:val="00960CD5"/>
    <w:rsid w:val="00963E7F"/>
    <w:rsid w:val="00973FB2"/>
    <w:rsid w:val="00977C49"/>
    <w:rsid w:val="00980192"/>
    <w:rsid w:val="00982BB8"/>
    <w:rsid w:val="009841D2"/>
    <w:rsid w:val="00984816"/>
    <w:rsid w:val="00993E27"/>
    <w:rsid w:val="009A3E59"/>
    <w:rsid w:val="009A4E62"/>
    <w:rsid w:val="009A781F"/>
    <w:rsid w:val="009B10C8"/>
    <w:rsid w:val="009B4AED"/>
    <w:rsid w:val="009C5C30"/>
    <w:rsid w:val="009D3D34"/>
    <w:rsid w:val="009D627A"/>
    <w:rsid w:val="009E0CF6"/>
    <w:rsid w:val="009E2CD7"/>
    <w:rsid w:val="009F343C"/>
    <w:rsid w:val="00A00E34"/>
    <w:rsid w:val="00A055C2"/>
    <w:rsid w:val="00A14694"/>
    <w:rsid w:val="00A21AD9"/>
    <w:rsid w:val="00A24519"/>
    <w:rsid w:val="00A25656"/>
    <w:rsid w:val="00A26252"/>
    <w:rsid w:val="00A373E9"/>
    <w:rsid w:val="00A44ED7"/>
    <w:rsid w:val="00A504FB"/>
    <w:rsid w:val="00A50BD0"/>
    <w:rsid w:val="00A52ABC"/>
    <w:rsid w:val="00A548D9"/>
    <w:rsid w:val="00A57AE4"/>
    <w:rsid w:val="00A63158"/>
    <w:rsid w:val="00A64BF6"/>
    <w:rsid w:val="00A720C3"/>
    <w:rsid w:val="00A7663C"/>
    <w:rsid w:val="00A8135D"/>
    <w:rsid w:val="00A82A5A"/>
    <w:rsid w:val="00A87BF3"/>
    <w:rsid w:val="00A95AE0"/>
    <w:rsid w:val="00AA3E4F"/>
    <w:rsid w:val="00AA4040"/>
    <w:rsid w:val="00AA4FBC"/>
    <w:rsid w:val="00AB0A73"/>
    <w:rsid w:val="00AB4273"/>
    <w:rsid w:val="00AC4B34"/>
    <w:rsid w:val="00AC78CA"/>
    <w:rsid w:val="00AD0DA5"/>
    <w:rsid w:val="00AD23D3"/>
    <w:rsid w:val="00AF3173"/>
    <w:rsid w:val="00AF3C4D"/>
    <w:rsid w:val="00B017FA"/>
    <w:rsid w:val="00B024C5"/>
    <w:rsid w:val="00B057B7"/>
    <w:rsid w:val="00B07007"/>
    <w:rsid w:val="00B1352F"/>
    <w:rsid w:val="00B157B0"/>
    <w:rsid w:val="00B2616E"/>
    <w:rsid w:val="00B404D6"/>
    <w:rsid w:val="00B42B7D"/>
    <w:rsid w:val="00B51088"/>
    <w:rsid w:val="00B60FC7"/>
    <w:rsid w:val="00B61C14"/>
    <w:rsid w:val="00B62037"/>
    <w:rsid w:val="00B67F9F"/>
    <w:rsid w:val="00B70F62"/>
    <w:rsid w:val="00B817DE"/>
    <w:rsid w:val="00B848D1"/>
    <w:rsid w:val="00B93C1C"/>
    <w:rsid w:val="00B95514"/>
    <w:rsid w:val="00BA19C4"/>
    <w:rsid w:val="00BB3FAE"/>
    <w:rsid w:val="00BC6D12"/>
    <w:rsid w:val="00BD21C8"/>
    <w:rsid w:val="00BD541F"/>
    <w:rsid w:val="00BD5BD4"/>
    <w:rsid w:val="00BE0C0C"/>
    <w:rsid w:val="00BE19E3"/>
    <w:rsid w:val="00BE653D"/>
    <w:rsid w:val="00BF1592"/>
    <w:rsid w:val="00BF423D"/>
    <w:rsid w:val="00BF4350"/>
    <w:rsid w:val="00BF470F"/>
    <w:rsid w:val="00C00CA3"/>
    <w:rsid w:val="00C04FE4"/>
    <w:rsid w:val="00C05FF3"/>
    <w:rsid w:val="00C12ECD"/>
    <w:rsid w:val="00C23C99"/>
    <w:rsid w:val="00C279A5"/>
    <w:rsid w:val="00C47E0F"/>
    <w:rsid w:val="00C5010A"/>
    <w:rsid w:val="00C507F3"/>
    <w:rsid w:val="00C57F4B"/>
    <w:rsid w:val="00C600CF"/>
    <w:rsid w:val="00C6302F"/>
    <w:rsid w:val="00C643F2"/>
    <w:rsid w:val="00C65D6D"/>
    <w:rsid w:val="00C745F8"/>
    <w:rsid w:val="00C76E58"/>
    <w:rsid w:val="00C81E54"/>
    <w:rsid w:val="00C87DF7"/>
    <w:rsid w:val="00C92DEC"/>
    <w:rsid w:val="00C95076"/>
    <w:rsid w:val="00C96337"/>
    <w:rsid w:val="00C971F6"/>
    <w:rsid w:val="00CA6B2F"/>
    <w:rsid w:val="00CA6CCF"/>
    <w:rsid w:val="00CA7EE9"/>
    <w:rsid w:val="00CB45BB"/>
    <w:rsid w:val="00CC0047"/>
    <w:rsid w:val="00CC14E9"/>
    <w:rsid w:val="00CC6208"/>
    <w:rsid w:val="00CD3F83"/>
    <w:rsid w:val="00CE2A7C"/>
    <w:rsid w:val="00CE3BF0"/>
    <w:rsid w:val="00CE69BE"/>
    <w:rsid w:val="00CF3CA1"/>
    <w:rsid w:val="00CF672A"/>
    <w:rsid w:val="00D07223"/>
    <w:rsid w:val="00D10136"/>
    <w:rsid w:val="00D167E2"/>
    <w:rsid w:val="00D23365"/>
    <w:rsid w:val="00D31363"/>
    <w:rsid w:val="00D347C1"/>
    <w:rsid w:val="00D4048E"/>
    <w:rsid w:val="00D41508"/>
    <w:rsid w:val="00D44BA0"/>
    <w:rsid w:val="00D47124"/>
    <w:rsid w:val="00D51206"/>
    <w:rsid w:val="00D725EB"/>
    <w:rsid w:val="00D74897"/>
    <w:rsid w:val="00D758E8"/>
    <w:rsid w:val="00D760C8"/>
    <w:rsid w:val="00D91D78"/>
    <w:rsid w:val="00D95315"/>
    <w:rsid w:val="00DA4501"/>
    <w:rsid w:val="00DA5804"/>
    <w:rsid w:val="00DA7055"/>
    <w:rsid w:val="00DB102E"/>
    <w:rsid w:val="00DB1BC6"/>
    <w:rsid w:val="00DB3F89"/>
    <w:rsid w:val="00DC3D7A"/>
    <w:rsid w:val="00DC55A5"/>
    <w:rsid w:val="00DC6069"/>
    <w:rsid w:val="00DC61D2"/>
    <w:rsid w:val="00DD1D3E"/>
    <w:rsid w:val="00DD3C13"/>
    <w:rsid w:val="00DE6C9E"/>
    <w:rsid w:val="00DE7927"/>
    <w:rsid w:val="00DF5E99"/>
    <w:rsid w:val="00E05A75"/>
    <w:rsid w:val="00E11BCE"/>
    <w:rsid w:val="00E120A5"/>
    <w:rsid w:val="00E14ACD"/>
    <w:rsid w:val="00E1777C"/>
    <w:rsid w:val="00E26EAA"/>
    <w:rsid w:val="00E36C41"/>
    <w:rsid w:val="00E5317D"/>
    <w:rsid w:val="00E564CC"/>
    <w:rsid w:val="00E57CEC"/>
    <w:rsid w:val="00E66ABD"/>
    <w:rsid w:val="00E72701"/>
    <w:rsid w:val="00E72CA2"/>
    <w:rsid w:val="00E74A56"/>
    <w:rsid w:val="00E84243"/>
    <w:rsid w:val="00E85366"/>
    <w:rsid w:val="00E857D9"/>
    <w:rsid w:val="00E94DA8"/>
    <w:rsid w:val="00EA0201"/>
    <w:rsid w:val="00EA6ED6"/>
    <w:rsid w:val="00EA7A5C"/>
    <w:rsid w:val="00EB0747"/>
    <w:rsid w:val="00EB2B50"/>
    <w:rsid w:val="00EB636E"/>
    <w:rsid w:val="00EB66AD"/>
    <w:rsid w:val="00EB7D27"/>
    <w:rsid w:val="00EC554E"/>
    <w:rsid w:val="00ED0937"/>
    <w:rsid w:val="00ED3F40"/>
    <w:rsid w:val="00ED4AA3"/>
    <w:rsid w:val="00ED74A4"/>
    <w:rsid w:val="00F00FD9"/>
    <w:rsid w:val="00F1564F"/>
    <w:rsid w:val="00F20EFB"/>
    <w:rsid w:val="00F22109"/>
    <w:rsid w:val="00F24905"/>
    <w:rsid w:val="00F31BC1"/>
    <w:rsid w:val="00F35BF0"/>
    <w:rsid w:val="00F414D0"/>
    <w:rsid w:val="00F53C56"/>
    <w:rsid w:val="00F5545E"/>
    <w:rsid w:val="00F55C7A"/>
    <w:rsid w:val="00F65856"/>
    <w:rsid w:val="00F816D8"/>
    <w:rsid w:val="00F8194E"/>
    <w:rsid w:val="00F82758"/>
    <w:rsid w:val="00F83545"/>
    <w:rsid w:val="00F87F79"/>
    <w:rsid w:val="00F90541"/>
    <w:rsid w:val="00F9751C"/>
    <w:rsid w:val="00FA0C2E"/>
    <w:rsid w:val="00FA36B8"/>
    <w:rsid w:val="00FA4380"/>
    <w:rsid w:val="00FA6273"/>
    <w:rsid w:val="00FA645D"/>
    <w:rsid w:val="00FB440B"/>
    <w:rsid w:val="00FB5DDC"/>
    <w:rsid w:val="00FB7E1E"/>
    <w:rsid w:val="00FC6005"/>
    <w:rsid w:val="00FC7012"/>
    <w:rsid w:val="00FD31E9"/>
    <w:rsid w:val="00FD6494"/>
    <w:rsid w:val="00FE357F"/>
    <w:rsid w:val="00FE6D9D"/>
    <w:rsid w:val="00FF1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BA01F"/>
  <w15:docId w15:val="{DEA16C82-B373-4578-9714-2650CE37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AB"/>
    <w:pPr>
      <w:ind w:left="425"/>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qFormat/>
    <w:rsid w:val="00CF3CA1"/>
    <w:pPr>
      <w:keepNext/>
      <w:numPr>
        <w:numId w:val="1"/>
      </w:numPr>
      <w:spacing w:before="480"/>
      <w:outlineLvl w:val="0"/>
    </w:pPr>
    <w:rPr>
      <w:rFonts w:ascii="Arial" w:eastAsia="MS Gothic" w:hAnsi="Arial" w:cs="Arial"/>
      <w:b/>
      <w:bCs/>
      <w:caps/>
      <w:kern w:val="32"/>
      <w:sz w:val="28"/>
      <w:szCs w:val="32"/>
    </w:rPr>
  </w:style>
  <w:style w:type="paragraph" w:styleId="Heading2">
    <w:name w:val="heading 2"/>
    <w:basedOn w:val="Normal"/>
    <w:next w:val="Normal"/>
    <w:link w:val="Heading2Char"/>
    <w:unhideWhenUsed/>
    <w:qFormat/>
    <w:rsid w:val="00CF3CA1"/>
    <w:pPr>
      <w:keepNext/>
      <w:numPr>
        <w:ilvl w:val="1"/>
        <w:numId w:val="1"/>
      </w:numPr>
      <w:spacing w:before="4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nhideWhenUsed/>
    <w:qFormat/>
    <w:rsid w:val="00CF3CA1"/>
    <w:pPr>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iPriority w:val="9"/>
    <w:unhideWhenUsed/>
    <w:qFormat/>
    <w:rsid w:val="00A548D9"/>
    <w:pPr>
      <w:keepNext/>
      <w:keepLines/>
      <w:spacing w:before="200"/>
      <w:ind w:left="0"/>
      <w:outlineLvl w:val="3"/>
    </w:pPr>
    <w:rPr>
      <w:rFonts w:asciiTheme="minorHAnsi" w:eastAsiaTheme="majorEastAsia" w:hAnsiTheme="minorHAnsi" w:cstheme="majorBidi"/>
      <w:b/>
      <w:bCs/>
      <w:i/>
      <w:iCs/>
      <w:color w:val="auto"/>
    </w:rPr>
  </w:style>
  <w:style w:type="paragraph" w:styleId="Heading5">
    <w:name w:val="heading 5"/>
    <w:basedOn w:val="Normal"/>
    <w:next w:val="Normal"/>
    <w:link w:val="Heading5Char"/>
    <w:uiPriority w:val="9"/>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CA1"/>
    <w:rPr>
      <w:rFonts w:ascii="Arial" w:eastAsia="MS Gothic" w:hAnsi="Arial" w:cs="Arial"/>
      <w:b/>
      <w:bCs/>
      <w:caps/>
      <w:kern w:val="32"/>
      <w:sz w:val="28"/>
      <w:szCs w:val="32"/>
      <w:lang w:val="en-US"/>
    </w:rPr>
  </w:style>
  <w:style w:type="character" w:customStyle="1" w:styleId="Heading2Char">
    <w:name w:val="Heading 2 Char"/>
    <w:basedOn w:val="DefaultParagraphFont"/>
    <w:link w:val="Heading2"/>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rsid w:val="00CF3CA1"/>
    <w:rPr>
      <w:rFonts w:ascii="Arial" w:eastAsia="MS Gothic" w:hAnsi="Arial" w:cs="Arial"/>
      <w:b/>
      <w:kern w:val="32"/>
      <w:szCs w:val="26"/>
      <w:lang w:val="en-US"/>
    </w:rPr>
  </w:style>
  <w:style w:type="character" w:customStyle="1" w:styleId="Heading4Char">
    <w:name w:val="Heading 4 Char"/>
    <w:basedOn w:val="DefaultParagraphFont"/>
    <w:link w:val="Heading4"/>
    <w:uiPriority w:val="9"/>
    <w:rsid w:val="0045536E"/>
    <w:rPr>
      <w:rFonts w:eastAsiaTheme="majorEastAsia" w:cstheme="majorBidi"/>
      <w:b/>
      <w:bCs/>
      <w:i/>
      <w:iCs/>
      <w:sz w:val="24"/>
      <w:szCs w:val="24"/>
      <w:lang w:val="en-US"/>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BodyText">
    <w:name w:val="Body Text"/>
    <w:basedOn w:val="Normal"/>
    <w:link w:val="BodyTextChar"/>
    <w:uiPriority w:val="1"/>
    <w:qFormat/>
    <w:rsid w:val="00B2616E"/>
    <w:pPr>
      <w:widowControl w:val="0"/>
      <w:autoSpaceDE w:val="0"/>
      <w:autoSpaceDN w:val="0"/>
    </w:pPr>
    <w:rPr>
      <w:rFonts w:eastAsia="Times New Roman"/>
      <w:color w:val="auto"/>
      <w:szCs w:val="22"/>
    </w:rPr>
  </w:style>
  <w:style w:type="character" w:customStyle="1" w:styleId="BodyTextChar">
    <w:name w:val="Body Text Char"/>
    <w:basedOn w:val="DefaultParagraphFont"/>
    <w:link w:val="BodyText"/>
    <w:uiPriority w:val="1"/>
    <w:rsid w:val="00B2616E"/>
    <w:rPr>
      <w:rFonts w:ascii="Times New Roman" w:eastAsia="Times New Roman" w:hAnsi="Times New Roman" w:cs="Times New Roman"/>
      <w:sz w:val="24"/>
      <w:lang w:val="en-US"/>
    </w:rPr>
  </w:style>
  <w:style w:type="paragraph" w:customStyle="1" w:styleId="TableParagraph">
    <w:name w:val="Table Paragraph"/>
    <w:basedOn w:val="Normal"/>
    <w:uiPriority w:val="1"/>
    <w:qFormat/>
    <w:rsid w:val="00FD6494"/>
    <w:pPr>
      <w:widowControl w:val="0"/>
      <w:autoSpaceDE w:val="0"/>
      <w:autoSpaceDN w:val="0"/>
      <w:spacing w:line="251" w:lineRule="exact"/>
      <w:ind w:left="107"/>
    </w:pPr>
    <w:rPr>
      <w:rFonts w:eastAsia="Times New Roman"/>
      <w:color w:val="auto"/>
      <w:sz w:val="22"/>
      <w:szCs w:val="22"/>
    </w:rPr>
  </w:style>
  <w:style w:type="paragraph" w:styleId="CommentSubject">
    <w:name w:val="annotation subject"/>
    <w:basedOn w:val="CommentText"/>
    <w:next w:val="CommentText"/>
    <w:link w:val="CommentSubjectChar"/>
    <w:uiPriority w:val="99"/>
    <w:semiHidden/>
    <w:unhideWhenUsed/>
    <w:rsid w:val="00AC78CA"/>
    <w:rPr>
      <w:rFonts w:ascii="Times New Roman" w:hAnsi="Times New Roman"/>
      <w:b/>
      <w:bCs/>
    </w:rPr>
  </w:style>
  <w:style w:type="character" w:customStyle="1" w:styleId="CommentSubjectChar">
    <w:name w:val="Comment Subject Char"/>
    <w:basedOn w:val="CommentTextChar"/>
    <w:link w:val="CommentSubject"/>
    <w:uiPriority w:val="99"/>
    <w:semiHidden/>
    <w:rsid w:val="00AC78CA"/>
    <w:rPr>
      <w:rFonts w:ascii="Times New Roman" w:eastAsia="MS Mincho" w:hAnsi="Times New Roman" w:cs="Times New Roman"/>
      <w:b/>
      <w:bCs/>
      <w:color w:val="000000"/>
      <w:sz w:val="20"/>
      <w:szCs w:val="20"/>
      <w:lang w:val="en-US"/>
    </w:rPr>
  </w:style>
  <w:style w:type="paragraph" w:styleId="NormalWeb">
    <w:name w:val="Normal (Web)"/>
    <w:basedOn w:val="Normal"/>
    <w:uiPriority w:val="99"/>
    <w:unhideWhenUsed/>
    <w:rsid w:val="007301DC"/>
    <w:pPr>
      <w:spacing w:before="100" w:beforeAutospacing="1" w:after="100" w:afterAutospacing="1" w:line="240" w:lineRule="auto"/>
    </w:pPr>
    <w:rPr>
      <w:rFonts w:eastAsia="Times New Roman"/>
      <w:color w:val="auto"/>
      <w:lang w:val="en-AU" w:eastAsia="en-AU"/>
    </w:rPr>
  </w:style>
  <w:style w:type="paragraph" w:customStyle="1" w:styleId="Default">
    <w:name w:val="Default"/>
    <w:rsid w:val="0007027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9678C"/>
    <w:rPr>
      <w:color w:val="605E5C"/>
      <w:shd w:val="clear" w:color="auto" w:fill="E1DFDD"/>
    </w:rPr>
  </w:style>
  <w:style w:type="character" w:customStyle="1" w:styleId="ListParagraphChar">
    <w:name w:val="List Paragraph Char"/>
    <w:basedOn w:val="DefaultParagraphFont"/>
    <w:link w:val="ListParagraph"/>
    <w:uiPriority w:val="34"/>
    <w:rsid w:val="009D3D34"/>
    <w:rPr>
      <w:rFonts w:ascii="Cambria" w:eastAsia="MS Mincho" w:hAnsi="Cambria" w:cs="Times New Roman"/>
      <w:color w:val="000000"/>
      <w:sz w:val="24"/>
      <w:szCs w:val="24"/>
      <w:lang w:val="en-US"/>
    </w:rPr>
  </w:style>
  <w:style w:type="table" w:styleId="TableGrid">
    <w:name w:val="Table Grid"/>
    <w:basedOn w:val="TableNormal"/>
    <w:uiPriority w:val="59"/>
    <w:rsid w:val="00AD2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38559A"/>
    <w:pPr>
      <w:spacing w:before="240" w:after="0" w:line="240" w:lineRule="auto"/>
      <w:ind w:left="0"/>
    </w:pPr>
  </w:style>
  <w:style w:type="paragraph" w:styleId="Revision">
    <w:name w:val="Revision"/>
    <w:hidden/>
    <w:uiPriority w:val="99"/>
    <w:semiHidden/>
    <w:rsid w:val="000C6C01"/>
    <w:pPr>
      <w:spacing w:after="0" w:line="240" w:lineRule="auto"/>
    </w:pPr>
    <w:rPr>
      <w:rFonts w:ascii="Times New Roman" w:eastAsia="MS Mincho" w:hAnsi="Times New Roman" w:cs="Times New Roman"/>
      <w:color w:val="000000"/>
      <w:sz w:val="24"/>
      <w:szCs w:val="24"/>
      <w:lang w:val="en-US"/>
    </w:rPr>
  </w:style>
  <w:style w:type="paragraph" w:styleId="Caption">
    <w:name w:val="caption"/>
    <w:next w:val="Normal"/>
    <w:qFormat/>
    <w:rsid w:val="002C04CA"/>
    <w:pPr>
      <w:keepNext/>
      <w:spacing w:before="360" w:after="120" w:line="240" w:lineRule="auto"/>
      <w:jc w:val="center"/>
    </w:pPr>
    <w:rPr>
      <w:rFonts w:ascii="Arial" w:eastAsia="MS Gothic" w:hAnsi="Arial" w:cs="Arial"/>
      <w:b/>
      <w:bCs/>
      <w:sz w:val="20"/>
      <w:szCs w:val="20"/>
      <w:lang w:val="en-US"/>
    </w:rPr>
  </w:style>
  <w:style w:type="character" w:styleId="FollowedHyperlink">
    <w:name w:val="FollowedHyperlink"/>
    <w:basedOn w:val="DefaultParagraphFont"/>
    <w:uiPriority w:val="99"/>
    <w:semiHidden/>
    <w:unhideWhenUsed/>
    <w:rsid w:val="001F7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14441">
      <w:bodyDiv w:val="1"/>
      <w:marLeft w:val="0"/>
      <w:marRight w:val="0"/>
      <w:marTop w:val="0"/>
      <w:marBottom w:val="0"/>
      <w:divBdr>
        <w:top w:val="none" w:sz="0" w:space="0" w:color="auto"/>
        <w:left w:val="none" w:sz="0" w:space="0" w:color="auto"/>
        <w:bottom w:val="none" w:sz="0" w:space="0" w:color="auto"/>
        <w:right w:val="none" w:sz="0" w:space="0" w:color="auto"/>
      </w:divBdr>
    </w:div>
    <w:div w:id="642127743">
      <w:bodyDiv w:val="1"/>
      <w:marLeft w:val="0"/>
      <w:marRight w:val="0"/>
      <w:marTop w:val="0"/>
      <w:marBottom w:val="0"/>
      <w:divBdr>
        <w:top w:val="none" w:sz="0" w:space="0" w:color="auto"/>
        <w:left w:val="none" w:sz="0" w:space="0" w:color="auto"/>
        <w:bottom w:val="none" w:sz="0" w:space="0" w:color="auto"/>
        <w:right w:val="none" w:sz="0" w:space="0" w:color="auto"/>
      </w:divBdr>
    </w:div>
    <w:div w:id="714550077">
      <w:bodyDiv w:val="1"/>
      <w:marLeft w:val="0"/>
      <w:marRight w:val="0"/>
      <w:marTop w:val="0"/>
      <w:marBottom w:val="0"/>
      <w:divBdr>
        <w:top w:val="none" w:sz="0" w:space="0" w:color="auto"/>
        <w:left w:val="none" w:sz="0" w:space="0" w:color="auto"/>
        <w:bottom w:val="none" w:sz="0" w:space="0" w:color="auto"/>
        <w:right w:val="none" w:sz="0" w:space="0" w:color="auto"/>
      </w:divBdr>
    </w:div>
    <w:div w:id="770703944">
      <w:bodyDiv w:val="1"/>
      <w:marLeft w:val="0"/>
      <w:marRight w:val="0"/>
      <w:marTop w:val="0"/>
      <w:marBottom w:val="0"/>
      <w:divBdr>
        <w:top w:val="none" w:sz="0" w:space="0" w:color="auto"/>
        <w:left w:val="none" w:sz="0" w:space="0" w:color="auto"/>
        <w:bottom w:val="none" w:sz="0" w:space="0" w:color="auto"/>
        <w:right w:val="none" w:sz="0" w:space="0" w:color="auto"/>
      </w:divBdr>
    </w:div>
    <w:div w:id="1157041200">
      <w:bodyDiv w:val="1"/>
      <w:marLeft w:val="0"/>
      <w:marRight w:val="0"/>
      <w:marTop w:val="0"/>
      <w:marBottom w:val="0"/>
      <w:divBdr>
        <w:top w:val="none" w:sz="0" w:space="0" w:color="auto"/>
        <w:left w:val="none" w:sz="0" w:space="0" w:color="auto"/>
        <w:bottom w:val="none" w:sz="0" w:space="0" w:color="auto"/>
        <w:right w:val="none" w:sz="0" w:space="0" w:color="auto"/>
      </w:divBdr>
    </w:div>
    <w:div w:id="1409575010">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1580168839">
      <w:bodyDiv w:val="1"/>
      <w:marLeft w:val="0"/>
      <w:marRight w:val="0"/>
      <w:marTop w:val="0"/>
      <w:marBottom w:val="0"/>
      <w:divBdr>
        <w:top w:val="none" w:sz="0" w:space="0" w:color="auto"/>
        <w:left w:val="none" w:sz="0" w:space="0" w:color="auto"/>
        <w:bottom w:val="none" w:sz="0" w:space="0" w:color="auto"/>
        <w:right w:val="none" w:sz="0" w:space="0" w:color="auto"/>
      </w:divBdr>
    </w:div>
    <w:div w:id="1867866739">
      <w:bodyDiv w:val="1"/>
      <w:marLeft w:val="0"/>
      <w:marRight w:val="0"/>
      <w:marTop w:val="0"/>
      <w:marBottom w:val="0"/>
      <w:divBdr>
        <w:top w:val="none" w:sz="0" w:space="0" w:color="auto"/>
        <w:left w:val="none" w:sz="0" w:space="0" w:color="auto"/>
        <w:bottom w:val="none" w:sz="0" w:space="0" w:color="auto"/>
        <w:right w:val="none" w:sz="0" w:space="0" w:color="auto"/>
      </w:divBdr>
    </w:div>
    <w:div w:id="20908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styles" Target="styles.xml"/><Relationship Id="rId9" Type="http://schemas.openxmlformats.org/officeDocument/2006/relationships/hyperlink" Target="https://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CEPL%20docs\AU\Rx\1a.%20PI%20CMI%20&amp;%20Label\1031%20Product%20Information_no%20instructions%20template%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 P R O J E C T S ! 1 9 3 6 1 2 . 1 < / d o c u m e n t i d >  
     < s e n d e r i d > M E L I S S A . E L L I S @ C O M M E R C I A L E Y E S . C O M . A U < / s e n d e r i d >  
     < s e n d e r e m a i l > M E L I S S A . E L L I S @ C O M M E R C I A L E Y E S . C O M . A U < / s e n d e r e m a i l >  
     < l a s t m o d i f i e d > 2 0 2 2 - 0 1 - 1 8 T 1 0 : 2 4 : 0 0 . 0 0 0 0 0 0 0 + 1 1 : 0 0 < / l a s t m o d i f i e d >  
     < d a t a b a s e > P R O J E C T S < / d a t a b a s e >  
 < / p r o p e r t i e s > 
</file>

<file path=customXml/itemProps1.xml><?xml version="1.0" encoding="utf-8"?>
<ds:datastoreItem xmlns:ds="http://schemas.openxmlformats.org/officeDocument/2006/customXml" ds:itemID="{92EC0C61-05A2-49E4-A42D-8A9CAD1F1BA1}">
  <ds:schemaRefs>
    <ds:schemaRef ds:uri="http://schemas.openxmlformats.org/officeDocument/2006/bibliography"/>
  </ds:schemaRefs>
</ds:datastoreItem>
</file>

<file path=customXml/itemProps2.xml><?xml version="1.0" encoding="utf-8"?>
<ds:datastoreItem xmlns:ds="http://schemas.openxmlformats.org/officeDocument/2006/customXml" ds:itemID="{929E236E-F96E-4513-9A67-A7F481D6E20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1031 Product Information_no instructions template only.dotx</Template>
  <TotalTime>7</TotalTime>
  <Pages>19</Pages>
  <Words>5619</Words>
  <Characters>32875</Characters>
  <Application>Microsoft Office Word</Application>
  <DocSecurity>0</DocSecurity>
  <Lines>801</Lines>
  <Paragraphs>469</Paragraphs>
  <ScaleCrop>false</ScaleCrop>
  <HeadingPairs>
    <vt:vector size="2" baseType="variant">
      <vt:variant>
        <vt:lpstr>Title</vt:lpstr>
      </vt:variant>
      <vt:variant>
        <vt:i4>1</vt:i4>
      </vt:variant>
    </vt:vector>
  </HeadingPairs>
  <TitlesOfParts>
    <vt:vector size="1" baseType="lpstr">
      <vt:lpstr>AusPAR Attachment 1: Product Information for Lutetium (177Lu) chloride</vt:lpstr>
    </vt:vector>
  </TitlesOfParts>
  <Company/>
  <LinksUpToDate>false</LinksUpToDate>
  <CharactersWithSpaces>38025</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5570626</vt:i4>
      </vt:variant>
      <vt:variant>
        <vt:i4>0</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Lutetium (177Lu) chloride</dc:title>
  <dc:subject>Prescription medicines</dc:subject>
  <dc:creator>Rebecca Caffin</dc:creator>
  <cp:keywords>AusPARs</cp:keywords>
  <cp:lastModifiedBy>PITKIN, Brendan</cp:lastModifiedBy>
  <cp:revision>7</cp:revision>
  <cp:lastPrinted>2021-11-16T00:31:00Z</cp:lastPrinted>
  <dcterms:created xsi:type="dcterms:W3CDTF">2021-11-16T00:32:00Z</dcterms:created>
  <dcterms:modified xsi:type="dcterms:W3CDTF">2022-10-05T03:16:00Z</dcterms:modified>
</cp:coreProperties>
</file>