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8B51DF" w14:paraId="26B2300C" w14:textId="77777777" w:rsidTr="00BF1190">
        <w:trPr>
          <w:trHeight w:val="1863"/>
        </w:trPr>
        <w:tc>
          <w:tcPr>
            <w:tcW w:w="3652" w:type="dxa"/>
            <w:tcBorders>
              <w:top w:val="nil"/>
              <w:left w:val="nil"/>
              <w:bottom w:val="nil"/>
              <w:right w:val="nil"/>
            </w:tcBorders>
          </w:tcPr>
          <w:p w14:paraId="06DB50AA" w14:textId="60F1E6D6" w:rsidR="008E7846" w:rsidRPr="008B51DF" w:rsidRDefault="00856BAE" w:rsidP="00F931CE">
            <w:pPr>
              <w:pStyle w:val="Date"/>
              <w:framePr w:hSpace="0" w:wrap="auto" w:vAnchor="margin" w:hAnchor="text" w:yAlign="inline"/>
              <w:suppressOverlap w:val="0"/>
            </w:pPr>
            <w:r w:rsidRPr="008B51DF">
              <w:t>September</w:t>
            </w:r>
            <w:r w:rsidR="00EF39C2" w:rsidRPr="008B51DF">
              <w:t xml:space="preserve">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8B51DF" w14:paraId="5A57203A" w14:textId="77777777" w:rsidTr="0032583B">
        <w:trPr>
          <w:trHeight w:val="868"/>
        </w:trPr>
        <w:tc>
          <w:tcPr>
            <w:tcW w:w="9079" w:type="dxa"/>
          </w:tcPr>
          <w:p w14:paraId="1CEA0F3C" w14:textId="5EA24C5C" w:rsidR="0032583B" w:rsidRPr="008B51DF" w:rsidRDefault="0032583B" w:rsidP="00F931CE">
            <w:pPr>
              <w:pStyle w:val="Title"/>
              <w:framePr w:hSpace="0" w:wrap="auto" w:vAnchor="margin" w:yAlign="inline"/>
            </w:pPr>
            <w:r w:rsidRPr="008B51DF">
              <w:t>Australian Public Assessment Report for</w:t>
            </w:r>
            <w:r w:rsidR="00AF2313" w:rsidRPr="008B51DF">
              <w:t xml:space="preserve"> </w:t>
            </w:r>
            <w:r w:rsidR="00EF39C2" w:rsidRPr="008B51DF">
              <w:t>Lutetium (</w:t>
            </w:r>
            <w:r w:rsidR="00EF39C2" w:rsidRPr="008B51DF">
              <w:rPr>
                <w:vertAlign w:val="superscript"/>
              </w:rPr>
              <w:t>177</w:t>
            </w:r>
            <w:r w:rsidR="00EF39C2" w:rsidRPr="008B51DF">
              <w:t xml:space="preserve">Lu) </w:t>
            </w:r>
            <w:r w:rsidR="00E66CE3" w:rsidRPr="008B51DF">
              <w:t>c</w:t>
            </w:r>
            <w:r w:rsidR="00EF39C2" w:rsidRPr="008B51DF">
              <w:t>hloride</w:t>
            </w:r>
          </w:p>
        </w:tc>
      </w:tr>
      <w:tr w:rsidR="0032583B" w:rsidRPr="008B51DF" w14:paraId="45675FBD" w14:textId="77777777" w:rsidTr="0032583B">
        <w:tc>
          <w:tcPr>
            <w:tcW w:w="9079" w:type="dxa"/>
          </w:tcPr>
          <w:p w14:paraId="5B7C2A15" w14:textId="6F0166D7" w:rsidR="0032583B" w:rsidRPr="008B51DF" w:rsidRDefault="00BB75D6" w:rsidP="00F931CE">
            <w:pPr>
              <w:pStyle w:val="Subtitle"/>
              <w:framePr w:hSpace="0" w:wrap="auto" w:vAnchor="margin" w:yAlign="inline"/>
            </w:pPr>
            <w:r w:rsidRPr="008B51DF">
              <w:t>Active ingredients</w:t>
            </w:r>
            <w:r w:rsidR="0032583B" w:rsidRPr="008B51DF">
              <w:t xml:space="preserve">: </w:t>
            </w:r>
            <w:r w:rsidR="00EF39C2" w:rsidRPr="008B51DF">
              <w:t>Lutetium (</w:t>
            </w:r>
            <w:r w:rsidR="00EF39C2" w:rsidRPr="008B51DF">
              <w:rPr>
                <w:vertAlign w:val="superscript"/>
              </w:rPr>
              <w:t>177</w:t>
            </w:r>
            <w:r w:rsidR="00EF39C2" w:rsidRPr="008B51DF">
              <w:t>Lu) chloride</w:t>
            </w:r>
          </w:p>
        </w:tc>
      </w:tr>
      <w:tr w:rsidR="0032583B" w:rsidRPr="008B51DF" w14:paraId="46E3A7EC" w14:textId="77777777" w:rsidTr="0032583B">
        <w:trPr>
          <w:trHeight w:val="486"/>
        </w:trPr>
        <w:tc>
          <w:tcPr>
            <w:tcW w:w="9079" w:type="dxa"/>
          </w:tcPr>
          <w:p w14:paraId="29D0B605" w14:textId="637A61F2" w:rsidR="0032583B" w:rsidRPr="008B51DF" w:rsidRDefault="00460036" w:rsidP="009556D7">
            <w:pPr>
              <w:pStyle w:val="Subtitle"/>
              <w:framePr w:hSpace="0" w:wrap="auto" w:vAnchor="margin" w:yAlign="inline"/>
            </w:pPr>
            <w:r w:rsidRPr="008B51DF">
              <w:t xml:space="preserve">Sponsor: </w:t>
            </w:r>
            <w:r w:rsidR="00EF39C2" w:rsidRPr="008B51DF">
              <w:t>Australian Nuclear Science and Technology Organisation (ANSTO)</w:t>
            </w:r>
          </w:p>
        </w:tc>
      </w:tr>
    </w:tbl>
    <w:p w14:paraId="26ADD4DD" w14:textId="77777777" w:rsidR="008E7846" w:rsidRPr="008B51DF" w:rsidRDefault="008E7846" w:rsidP="0085156D">
      <w:r w:rsidRPr="008B51DF">
        <w:br w:type="page"/>
      </w:r>
    </w:p>
    <w:p w14:paraId="75CBEABD" w14:textId="77777777" w:rsidR="008E7846" w:rsidRPr="008B51DF" w:rsidRDefault="008E7846" w:rsidP="008E7846">
      <w:pPr>
        <w:pStyle w:val="NonTOCHeading2"/>
      </w:pPr>
      <w:r w:rsidRPr="008B51DF">
        <w:lastRenderedPageBreak/>
        <w:t>About the Therapeutic Goods Administration (TGA)</w:t>
      </w:r>
    </w:p>
    <w:p w14:paraId="2AF9474D" w14:textId="77777777" w:rsidR="00AF2313" w:rsidRPr="008B51DF" w:rsidRDefault="00AF2313" w:rsidP="00AF2313">
      <w:pPr>
        <w:pStyle w:val="ListBullet"/>
      </w:pPr>
      <w:r w:rsidRPr="008B51DF">
        <w:t>The Therapeutic Goods Administration (TGA) is part of the Australian Government Department of Health and is responsible for regulating therapeutic goods, including medicines, medical devices, and biologicals.</w:t>
      </w:r>
    </w:p>
    <w:p w14:paraId="38312B84" w14:textId="77777777" w:rsidR="00AF2313" w:rsidRPr="008B51DF" w:rsidRDefault="00AF2313" w:rsidP="00AF2313">
      <w:pPr>
        <w:pStyle w:val="ListBullet"/>
      </w:pPr>
      <w:r w:rsidRPr="008B51DF">
        <w:t xml:space="preserve">The TGA administers the </w:t>
      </w:r>
      <w:r w:rsidRPr="008B51DF">
        <w:rPr>
          <w:i/>
          <w:iCs/>
        </w:rPr>
        <w:t>Therapeutic Goods Act 1989</w:t>
      </w:r>
      <w:r w:rsidRPr="008B51DF">
        <w:t xml:space="preserve"> (the Act), applying a risk management approach designed to ensure therapeutic goods supplied in Australia meet acceptable standards of quality, </w:t>
      </w:r>
      <w:r w:rsidR="00CC5044" w:rsidRPr="008B51DF">
        <w:t>safety,</w:t>
      </w:r>
      <w:r w:rsidRPr="008B51DF">
        <w:t xml:space="preserve"> and efficacy.</w:t>
      </w:r>
    </w:p>
    <w:p w14:paraId="515F38ED" w14:textId="77777777" w:rsidR="00AF2313" w:rsidRPr="008B51DF" w:rsidRDefault="00AF2313" w:rsidP="00AF2313">
      <w:pPr>
        <w:pStyle w:val="ListBullet"/>
      </w:pPr>
      <w:r w:rsidRPr="008B51DF">
        <w:t>The work of the TGA is based on applying scientific and clinical expertise to decision-making, to ensure that the benefits to the Australian public outweigh any risks associated with the use of therapeutic goods.</w:t>
      </w:r>
    </w:p>
    <w:p w14:paraId="4D17AAFF" w14:textId="77777777" w:rsidR="00AF2313" w:rsidRPr="008B51DF" w:rsidRDefault="00AF2313" w:rsidP="00AF2313">
      <w:pPr>
        <w:pStyle w:val="ListBullet"/>
      </w:pPr>
      <w:r w:rsidRPr="008B51DF">
        <w:t>The TGA relies on the public, healthcare professionals and industry to report problems with therapeutic goods. The TGA investigates reports received to determine any necessary regulatory action.</w:t>
      </w:r>
    </w:p>
    <w:p w14:paraId="2007DCBE" w14:textId="5B74F994" w:rsidR="00AF2313" w:rsidRPr="008B51DF" w:rsidRDefault="00AF2313" w:rsidP="00AF2313">
      <w:pPr>
        <w:pStyle w:val="ListBullet"/>
      </w:pPr>
      <w:r w:rsidRPr="008B51DF">
        <w:t xml:space="preserve">To report a problem with a therapeutic good, please see the information on the </w:t>
      </w:r>
      <w:hyperlink r:id="rId8" w:history="1">
        <w:r w:rsidRPr="008B51DF">
          <w:rPr>
            <w:rStyle w:val="Hyperlink"/>
          </w:rPr>
          <w:t>TGA website</w:t>
        </w:r>
      </w:hyperlink>
      <w:r w:rsidRPr="008B51DF">
        <w:t>.</w:t>
      </w:r>
    </w:p>
    <w:p w14:paraId="68AC3246" w14:textId="77777777" w:rsidR="008E7846" w:rsidRPr="008B51DF" w:rsidRDefault="008E7846" w:rsidP="00875A6B">
      <w:pPr>
        <w:pStyle w:val="NonTOCHeading2"/>
      </w:pPr>
      <w:r w:rsidRPr="008B51DF">
        <w:t xml:space="preserve">About </w:t>
      </w:r>
      <w:proofErr w:type="spellStart"/>
      <w:r w:rsidRPr="008B51DF">
        <w:t>AusPARs</w:t>
      </w:r>
      <w:proofErr w:type="spellEnd"/>
    </w:p>
    <w:p w14:paraId="31118BAF" w14:textId="319782D3" w:rsidR="00AF2313" w:rsidRPr="008B51DF" w:rsidRDefault="00AF2313" w:rsidP="00AF2313">
      <w:pPr>
        <w:pStyle w:val="ListBullet"/>
      </w:pPr>
      <w:r w:rsidRPr="008B51DF">
        <w:t xml:space="preserve">The Australian Public Assessment Report (AusPAR) provides information about the evaluation of a prescription medicine and the considerations that led the TGA to approve or not approve a prescription medicine submission. Further information can be found in </w:t>
      </w:r>
      <w:hyperlink r:id="rId9" w:history="1">
        <w:r w:rsidRPr="008B51DF">
          <w:rPr>
            <w:rStyle w:val="Hyperlink"/>
          </w:rPr>
          <w:t>Australian Public Assessment Report (AusPAR) guidance</w:t>
        </w:r>
      </w:hyperlink>
      <w:r w:rsidRPr="008B51DF">
        <w:t>.</w:t>
      </w:r>
    </w:p>
    <w:p w14:paraId="092893C4" w14:textId="77777777" w:rsidR="00AF2313" w:rsidRPr="008B51DF" w:rsidRDefault="00AF2313" w:rsidP="00AF2313">
      <w:pPr>
        <w:pStyle w:val="ListBullet"/>
      </w:pPr>
      <w:proofErr w:type="spellStart"/>
      <w:r w:rsidRPr="008B51DF">
        <w:t>AusPARs</w:t>
      </w:r>
      <w:proofErr w:type="spellEnd"/>
      <w:r w:rsidRPr="008B51DF">
        <w:t xml:space="preserve"> are prepared and published by the TGA.</w:t>
      </w:r>
    </w:p>
    <w:p w14:paraId="74B97BD9" w14:textId="77777777" w:rsidR="00AF2313" w:rsidRPr="008B51DF" w:rsidRDefault="00AF2313" w:rsidP="00AF2313">
      <w:pPr>
        <w:pStyle w:val="ListBullet"/>
      </w:pPr>
      <w:proofErr w:type="spellStart"/>
      <w:r w:rsidRPr="008B51DF">
        <w:t>AusPARs</w:t>
      </w:r>
      <w:proofErr w:type="spellEnd"/>
      <w:r w:rsidRPr="008B51DF">
        <w:t xml:space="preserve"> are static documents that provide information that relates to a submission at a particular point in time.</w:t>
      </w:r>
      <w:r w:rsidR="008110BC" w:rsidRPr="008B51DF">
        <w:t xml:space="preserve"> The publication of an AusPAR is an important part of the transparency of the TGA’s decision-making process.</w:t>
      </w:r>
    </w:p>
    <w:p w14:paraId="0AD13623" w14:textId="77777777" w:rsidR="00AF2313" w:rsidRPr="008B51DF" w:rsidRDefault="00AF2313" w:rsidP="00AF2313">
      <w:pPr>
        <w:pStyle w:val="ListBullet"/>
      </w:pPr>
      <w:r w:rsidRPr="008B51DF">
        <w:t>A new AusPAR may be provided to reflect changes to indications or major variations to a prescription medicine subject to evaluation by the TGA.</w:t>
      </w:r>
    </w:p>
    <w:p w14:paraId="17168B66" w14:textId="77777777" w:rsidR="00924482" w:rsidRPr="008B51DF" w:rsidRDefault="00924482" w:rsidP="00F54B65">
      <w:pPr>
        <w:pStyle w:val="LegalSubheading"/>
        <w:spacing w:before="3120"/>
      </w:pPr>
      <w:r w:rsidRPr="008B51DF">
        <w:t>Copyright</w:t>
      </w:r>
    </w:p>
    <w:p w14:paraId="56EE81C0" w14:textId="1C82AD40" w:rsidR="00924482" w:rsidRPr="008B51DF" w:rsidRDefault="00924482" w:rsidP="00924482">
      <w:pPr>
        <w:pStyle w:val="LegalCopy"/>
      </w:pPr>
      <w:r w:rsidRPr="008B51DF">
        <w:rPr>
          <w:rFonts w:cs="Arial"/>
          <w:lang w:val="en-GB"/>
        </w:rPr>
        <w:t>© Commonwealth of Australia 20</w:t>
      </w:r>
      <w:r w:rsidR="00460036" w:rsidRPr="008B51DF">
        <w:rPr>
          <w:rFonts w:cs="Arial"/>
          <w:lang w:val="en-GB"/>
        </w:rPr>
        <w:t>2</w:t>
      </w:r>
      <w:r w:rsidR="00AF2313" w:rsidRPr="008B51DF">
        <w:rPr>
          <w:rFonts w:cs="Arial"/>
          <w:lang w:val="en-GB"/>
        </w:rPr>
        <w:t>2</w:t>
      </w:r>
      <w:r w:rsidRPr="008B51DF">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8B51DF">
        <w:rPr>
          <w:rFonts w:cs="Arial"/>
          <w:i/>
          <w:lang w:val="en-GB"/>
        </w:rPr>
        <w:t>Copyright Act 1968</w:t>
      </w:r>
      <w:r w:rsidRPr="008B51DF">
        <w:rPr>
          <w:rFonts w:cs="Arial"/>
          <w:lang w:val="en-GB"/>
        </w:rPr>
        <w:t xml:space="preserve"> or allowed by this copyright notice, all other rights are </w:t>
      </w:r>
      <w:r w:rsidR="00EB36D6" w:rsidRPr="008B51DF">
        <w:rPr>
          <w:rFonts w:cs="Arial"/>
          <w:lang w:val="en-GB"/>
        </w:rPr>
        <w:t>reserved,</w:t>
      </w:r>
      <w:r w:rsidRPr="008B51DF">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8B51DF">
        <w:rPr>
          <w:rFonts w:cs="Arial"/>
          <w:lang w:val="en-GB"/>
        </w:rPr>
        <w:t>Woden</w:t>
      </w:r>
      <w:proofErr w:type="spellEnd"/>
      <w:r w:rsidRPr="008B51DF">
        <w:rPr>
          <w:rFonts w:cs="Arial"/>
          <w:lang w:val="en-GB"/>
        </w:rPr>
        <w:t xml:space="preserve"> ACT 2606 or emailed to &lt;</w:t>
      </w:r>
      <w:hyperlink r:id="rId10" w:history="1">
        <w:r w:rsidRPr="008B51DF">
          <w:rPr>
            <w:rStyle w:val="Hyperlink"/>
            <w:rFonts w:cs="Arial"/>
            <w:lang w:val="en-GB"/>
          </w:rPr>
          <w:t>tga.copyright@tga.gov.au</w:t>
        </w:r>
      </w:hyperlink>
      <w:r w:rsidRPr="008B51DF">
        <w:rPr>
          <w:rFonts w:cs="Arial"/>
        </w:rPr>
        <w:t>&gt;.</w:t>
      </w:r>
    </w:p>
    <w:p w14:paraId="16F47759" w14:textId="77777777" w:rsidR="00924482" w:rsidRPr="008B51DF" w:rsidRDefault="00924482" w:rsidP="00924482">
      <w:pPr>
        <w:pStyle w:val="LegalCopy"/>
        <w:sectPr w:rsidR="00924482" w:rsidRPr="008B51DF"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3B934795" w14:textId="77777777" w:rsidR="0089635C" w:rsidRPr="008B51DF" w:rsidRDefault="0089635C" w:rsidP="0010788A">
          <w:pPr>
            <w:pStyle w:val="Contents"/>
          </w:pPr>
          <w:r w:rsidRPr="008B51DF">
            <w:t>Contents</w:t>
          </w:r>
        </w:p>
        <w:p w14:paraId="54B026EE" w14:textId="0708420B" w:rsidR="008B51DF" w:rsidRDefault="00C525A2">
          <w:pPr>
            <w:pStyle w:val="TOC1"/>
            <w:rPr>
              <w:rFonts w:asciiTheme="minorHAnsi" w:eastAsiaTheme="minorEastAsia" w:hAnsiTheme="minorHAnsi" w:cstheme="minorBidi"/>
              <w:b w:val="0"/>
              <w:noProof/>
              <w:sz w:val="22"/>
              <w:lang w:eastAsia="en-AU"/>
            </w:rPr>
          </w:pPr>
          <w:r w:rsidRPr="008B51DF">
            <w:fldChar w:fldCharType="begin"/>
          </w:r>
          <w:r w:rsidRPr="008B51DF">
            <w:instrText xml:space="preserve"> TOC \h \z \t "Heading 2,1,Heading 3,2" </w:instrText>
          </w:r>
          <w:r w:rsidRPr="008B51DF">
            <w:fldChar w:fldCharType="separate"/>
          </w:r>
          <w:hyperlink w:anchor="_Toc114238821" w:history="1">
            <w:r w:rsidR="008B51DF" w:rsidRPr="00723F9C">
              <w:rPr>
                <w:rStyle w:val="Hyperlink"/>
                <w:noProof/>
              </w:rPr>
              <w:t>List of abbreviations</w:t>
            </w:r>
            <w:r w:rsidR="008B51DF">
              <w:rPr>
                <w:noProof/>
                <w:webHidden/>
              </w:rPr>
              <w:tab/>
            </w:r>
            <w:r w:rsidR="008B51DF">
              <w:rPr>
                <w:noProof/>
                <w:webHidden/>
              </w:rPr>
              <w:fldChar w:fldCharType="begin"/>
            </w:r>
            <w:r w:rsidR="008B51DF">
              <w:rPr>
                <w:noProof/>
                <w:webHidden/>
              </w:rPr>
              <w:instrText xml:space="preserve"> PAGEREF _Toc114238821 \h </w:instrText>
            </w:r>
            <w:r w:rsidR="008B51DF">
              <w:rPr>
                <w:noProof/>
                <w:webHidden/>
              </w:rPr>
            </w:r>
            <w:r w:rsidR="008B51DF">
              <w:rPr>
                <w:noProof/>
                <w:webHidden/>
              </w:rPr>
              <w:fldChar w:fldCharType="separate"/>
            </w:r>
            <w:r w:rsidR="00F30734">
              <w:rPr>
                <w:noProof/>
                <w:webHidden/>
              </w:rPr>
              <w:t>4</w:t>
            </w:r>
            <w:r w:rsidR="008B51DF">
              <w:rPr>
                <w:noProof/>
                <w:webHidden/>
              </w:rPr>
              <w:fldChar w:fldCharType="end"/>
            </w:r>
          </w:hyperlink>
        </w:p>
        <w:p w14:paraId="04D26ABB" w14:textId="1FC75A6D" w:rsidR="008B51DF" w:rsidRDefault="00F30734">
          <w:pPr>
            <w:pStyle w:val="TOC1"/>
            <w:rPr>
              <w:rFonts w:asciiTheme="minorHAnsi" w:eastAsiaTheme="minorEastAsia" w:hAnsiTheme="minorHAnsi" w:cstheme="minorBidi"/>
              <w:b w:val="0"/>
              <w:noProof/>
              <w:sz w:val="22"/>
              <w:lang w:eastAsia="en-AU"/>
            </w:rPr>
          </w:pPr>
          <w:hyperlink w:anchor="_Toc114238822" w:history="1">
            <w:r w:rsidR="008B51DF" w:rsidRPr="00723F9C">
              <w:rPr>
                <w:rStyle w:val="Hyperlink"/>
                <w:noProof/>
              </w:rPr>
              <w:t>Product submission</w:t>
            </w:r>
            <w:r w:rsidR="008B51DF">
              <w:rPr>
                <w:noProof/>
                <w:webHidden/>
              </w:rPr>
              <w:tab/>
            </w:r>
            <w:r w:rsidR="008B51DF">
              <w:rPr>
                <w:noProof/>
                <w:webHidden/>
              </w:rPr>
              <w:fldChar w:fldCharType="begin"/>
            </w:r>
            <w:r w:rsidR="008B51DF">
              <w:rPr>
                <w:noProof/>
                <w:webHidden/>
              </w:rPr>
              <w:instrText xml:space="preserve"> PAGEREF _Toc114238822 \h </w:instrText>
            </w:r>
            <w:r w:rsidR="008B51DF">
              <w:rPr>
                <w:noProof/>
                <w:webHidden/>
              </w:rPr>
            </w:r>
            <w:r w:rsidR="008B51DF">
              <w:rPr>
                <w:noProof/>
                <w:webHidden/>
              </w:rPr>
              <w:fldChar w:fldCharType="separate"/>
            </w:r>
            <w:r>
              <w:rPr>
                <w:noProof/>
                <w:webHidden/>
              </w:rPr>
              <w:t>6</w:t>
            </w:r>
            <w:r w:rsidR="008B51DF">
              <w:rPr>
                <w:noProof/>
                <w:webHidden/>
              </w:rPr>
              <w:fldChar w:fldCharType="end"/>
            </w:r>
          </w:hyperlink>
        </w:p>
        <w:p w14:paraId="17553B7D" w14:textId="4206C97E" w:rsidR="008B51DF" w:rsidRDefault="00F30734">
          <w:pPr>
            <w:pStyle w:val="TOC2"/>
            <w:rPr>
              <w:rFonts w:asciiTheme="minorHAnsi" w:eastAsiaTheme="minorEastAsia" w:hAnsiTheme="minorHAnsi" w:cstheme="minorBidi"/>
              <w:b w:val="0"/>
              <w:noProof/>
              <w:sz w:val="22"/>
              <w:lang w:eastAsia="en-AU"/>
            </w:rPr>
          </w:pPr>
          <w:hyperlink w:anchor="_Toc114238823" w:history="1">
            <w:r w:rsidR="008B51DF" w:rsidRPr="00723F9C">
              <w:rPr>
                <w:rStyle w:val="Hyperlink"/>
                <w:noProof/>
                <w:lang w:eastAsia="en-AU"/>
              </w:rPr>
              <w:t>Submission details</w:t>
            </w:r>
            <w:r w:rsidR="008B51DF">
              <w:rPr>
                <w:noProof/>
                <w:webHidden/>
              </w:rPr>
              <w:tab/>
            </w:r>
            <w:r w:rsidR="008B51DF">
              <w:rPr>
                <w:noProof/>
                <w:webHidden/>
              </w:rPr>
              <w:fldChar w:fldCharType="begin"/>
            </w:r>
            <w:r w:rsidR="008B51DF">
              <w:rPr>
                <w:noProof/>
                <w:webHidden/>
              </w:rPr>
              <w:instrText xml:space="preserve"> PAGEREF _Toc114238823 \h </w:instrText>
            </w:r>
            <w:r w:rsidR="008B51DF">
              <w:rPr>
                <w:noProof/>
                <w:webHidden/>
              </w:rPr>
            </w:r>
            <w:r w:rsidR="008B51DF">
              <w:rPr>
                <w:noProof/>
                <w:webHidden/>
              </w:rPr>
              <w:fldChar w:fldCharType="separate"/>
            </w:r>
            <w:r>
              <w:rPr>
                <w:noProof/>
                <w:webHidden/>
              </w:rPr>
              <w:t>6</w:t>
            </w:r>
            <w:r w:rsidR="008B51DF">
              <w:rPr>
                <w:noProof/>
                <w:webHidden/>
              </w:rPr>
              <w:fldChar w:fldCharType="end"/>
            </w:r>
          </w:hyperlink>
        </w:p>
        <w:p w14:paraId="3BD7DCB0" w14:textId="0207DE89" w:rsidR="008B51DF" w:rsidRDefault="00F30734">
          <w:pPr>
            <w:pStyle w:val="TOC2"/>
            <w:rPr>
              <w:rFonts w:asciiTheme="minorHAnsi" w:eastAsiaTheme="minorEastAsia" w:hAnsiTheme="minorHAnsi" w:cstheme="minorBidi"/>
              <w:b w:val="0"/>
              <w:noProof/>
              <w:sz w:val="22"/>
              <w:lang w:eastAsia="en-AU"/>
            </w:rPr>
          </w:pPr>
          <w:hyperlink w:anchor="_Toc114238824" w:history="1">
            <w:r w:rsidR="008B51DF" w:rsidRPr="00723F9C">
              <w:rPr>
                <w:rStyle w:val="Hyperlink"/>
                <w:noProof/>
              </w:rPr>
              <w:t>Product background</w:t>
            </w:r>
            <w:r w:rsidR="008B51DF">
              <w:rPr>
                <w:noProof/>
                <w:webHidden/>
              </w:rPr>
              <w:tab/>
            </w:r>
            <w:r w:rsidR="008B51DF">
              <w:rPr>
                <w:noProof/>
                <w:webHidden/>
              </w:rPr>
              <w:fldChar w:fldCharType="begin"/>
            </w:r>
            <w:r w:rsidR="008B51DF">
              <w:rPr>
                <w:noProof/>
                <w:webHidden/>
              </w:rPr>
              <w:instrText xml:space="preserve"> PAGEREF _Toc114238824 \h </w:instrText>
            </w:r>
            <w:r w:rsidR="008B51DF">
              <w:rPr>
                <w:noProof/>
                <w:webHidden/>
              </w:rPr>
            </w:r>
            <w:r w:rsidR="008B51DF">
              <w:rPr>
                <w:noProof/>
                <w:webHidden/>
              </w:rPr>
              <w:fldChar w:fldCharType="separate"/>
            </w:r>
            <w:r>
              <w:rPr>
                <w:noProof/>
                <w:webHidden/>
              </w:rPr>
              <w:t>7</w:t>
            </w:r>
            <w:r w:rsidR="008B51DF">
              <w:rPr>
                <w:noProof/>
                <w:webHidden/>
              </w:rPr>
              <w:fldChar w:fldCharType="end"/>
            </w:r>
          </w:hyperlink>
        </w:p>
        <w:p w14:paraId="633A2134" w14:textId="245E6309" w:rsidR="008B51DF" w:rsidRDefault="00F30734">
          <w:pPr>
            <w:pStyle w:val="TOC2"/>
            <w:rPr>
              <w:rFonts w:asciiTheme="minorHAnsi" w:eastAsiaTheme="minorEastAsia" w:hAnsiTheme="minorHAnsi" w:cstheme="minorBidi"/>
              <w:b w:val="0"/>
              <w:noProof/>
              <w:sz w:val="22"/>
              <w:lang w:eastAsia="en-AU"/>
            </w:rPr>
          </w:pPr>
          <w:hyperlink w:anchor="_Toc114238825" w:history="1">
            <w:r w:rsidR="008B51DF" w:rsidRPr="00723F9C">
              <w:rPr>
                <w:rStyle w:val="Hyperlink"/>
                <w:noProof/>
              </w:rPr>
              <w:t>Regulatory status</w:t>
            </w:r>
            <w:r w:rsidR="008B51DF">
              <w:rPr>
                <w:noProof/>
                <w:webHidden/>
              </w:rPr>
              <w:tab/>
            </w:r>
            <w:r w:rsidR="008B51DF">
              <w:rPr>
                <w:noProof/>
                <w:webHidden/>
              </w:rPr>
              <w:fldChar w:fldCharType="begin"/>
            </w:r>
            <w:r w:rsidR="008B51DF">
              <w:rPr>
                <w:noProof/>
                <w:webHidden/>
              </w:rPr>
              <w:instrText xml:space="preserve"> PAGEREF _Toc114238825 \h </w:instrText>
            </w:r>
            <w:r w:rsidR="008B51DF">
              <w:rPr>
                <w:noProof/>
                <w:webHidden/>
              </w:rPr>
            </w:r>
            <w:r w:rsidR="008B51DF">
              <w:rPr>
                <w:noProof/>
                <w:webHidden/>
              </w:rPr>
              <w:fldChar w:fldCharType="separate"/>
            </w:r>
            <w:r>
              <w:rPr>
                <w:noProof/>
                <w:webHidden/>
              </w:rPr>
              <w:t>9</w:t>
            </w:r>
            <w:r w:rsidR="008B51DF">
              <w:rPr>
                <w:noProof/>
                <w:webHidden/>
              </w:rPr>
              <w:fldChar w:fldCharType="end"/>
            </w:r>
          </w:hyperlink>
        </w:p>
        <w:p w14:paraId="4818BCDB" w14:textId="19451A69" w:rsidR="008B51DF" w:rsidRDefault="00F30734">
          <w:pPr>
            <w:pStyle w:val="TOC2"/>
            <w:rPr>
              <w:rFonts w:asciiTheme="minorHAnsi" w:eastAsiaTheme="minorEastAsia" w:hAnsiTheme="minorHAnsi" w:cstheme="minorBidi"/>
              <w:b w:val="0"/>
              <w:noProof/>
              <w:sz w:val="22"/>
              <w:lang w:eastAsia="en-AU"/>
            </w:rPr>
          </w:pPr>
          <w:hyperlink w:anchor="_Toc114238826" w:history="1">
            <w:r w:rsidR="008B51DF" w:rsidRPr="00723F9C">
              <w:rPr>
                <w:rStyle w:val="Hyperlink"/>
                <w:noProof/>
              </w:rPr>
              <w:t>Product Information</w:t>
            </w:r>
            <w:r w:rsidR="008B51DF">
              <w:rPr>
                <w:noProof/>
                <w:webHidden/>
              </w:rPr>
              <w:tab/>
            </w:r>
            <w:r w:rsidR="008B51DF">
              <w:rPr>
                <w:noProof/>
                <w:webHidden/>
              </w:rPr>
              <w:fldChar w:fldCharType="begin"/>
            </w:r>
            <w:r w:rsidR="008B51DF">
              <w:rPr>
                <w:noProof/>
                <w:webHidden/>
              </w:rPr>
              <w:instrText xml:space="preserve"> PAGEREF _Toc114238826 \h </w:instrText>
            </w:r>
            <w:r w:rsidR="008B51DF">
              <w:rPr>
                <w:noProof/>
                <w:webHidden/>
              </w:rPr>
            </w:r>
            <w:r w:rsidR="008B51DF">
              <w:rPr>
                <w:noProof/>
                <w:webHidden/>
              </w:rPr>
              <w:fldChar w:fldCharType="separate"/>
            </w:r>
            <w:r>
              <w:rPr>
                <w:noProof/>
                <w:webHidden/>
              </w:rPr>
              <w:t>9</w:t>
            </w:r>
            <w:r w:rsidR="008B51DF">
              <w:rPr>
                <w:noProof/>
                <w:webHidden/>
              </w:rPr>
              <w:fldChar w:fldCharType="end"/>
            </w:r>
          </w:hyperlink>
        </w:p>
        <w:p w14:paraId="7811E5C9" w14:textId="64EE307A" w:rsidR="008B51DF" w:rsidRDefault="00F30734">
          <w:pPr>
            <w:pStyle w:val="TOC1"/>
            <w:rPr>
              <w:rFonts w:asciiTheme="minorHAnsi" w:eastAsiaTheme="minorEastAsia" w:hAnsiTheme="minorHAnsi" w:cstheme="minorBidi"/>
              <w:b w:val="0"/>
              <w:noProof/>
              <w:sz w:val="22"/>
              <w:lang w:eastAsia="en-AU"/>
            </w:rPr>
          </w:pPr>
          <w:hyperlink w:anchor="_Toc114238827" w:history="1">
            <w:r w:rsidR="008B51DF" w:rsidRPr="00723F9C">
              <w:rPr>
                <w:rStyle w:val="Hyperlink"/>
                <w:noProof/>
              </w:rPr>
              <w:t>Registration timeline</w:t>
            </w:r>
            <w:r w:rsidR="008B51DF">
              <w:rPr>
                <w:noProof/>
                <w:webHidden/>
              </w:rPr>
              <w:tab/>
            </w:r>
            <w:r w:rsidR="008B51DF">
              <w:rPr>
                <w:noProof/>
                <w:webHidden/>
              </w:rPr>
              <w:fldChar w:fldCharType="begin"/>
            </w:r>
            <w:r w:rsidR="008B51DF">
              <w:rPr>
                <w:noProof/>
                <w:webHidden/>
              </w:rPr>
              <w:instrText xml:space="preserve"> PAGEREF _Toc114238827 \h </w:instrText>
            </w:r>
            <w:r w:rsidR="008B51DF">
              <w:rPr>
                <w:noProof/>
                <w:webHidden/>
              </w:rPr>
            </w:r>
            <w:r w:rsidR="008B51DF">
              <w:rPr>
                <w:noProof/>
                <w:webHidden/>
              </w:rPr>
              <w:fldChar w:fldCharType="separate"/>
            </w:r>
            <w:r>
              <w:rPr>
                <w:noProof/>
                <w:webHidden/>
              </w:rPr>
              <w:t>9</w:t>
            </w:r>
            <w:r w:rsidR="008B51DF">
              <w:rPr>
                <w:noProof/>
                <w:webHidden/>
              </w:rPr>
              <w:fldChar w:fldCharType="end"/>
            </w:r>
          </w:hyperlink>
        </w:p>
        <w:p w14:paraId="61A9541E" w14:textId="165A98A5" w:rsidR="008B51DF" w:rsidRDefault="00F30734">
          <w:pPr>
            <w:pStyle w:val="TOC1"/>
            <w:rPr>
              <w:rFonts w:asciiTheme="minorHAnsi" w:eastAsiaTheme="minorEastAsia" w:hAnsiTheme="minorHAnsi" w:cstheme="minorBidi"/>
              <w:b w:val="0"/>
              <w:noProof/>
              <w:sz w:val="22"/>
              <w:lang w:eastAsia="en-AU"/>
            </w:rPr>
          </w:pPr>
          <w:hyperlink w:anchor="_Toc114238828" w:history="1">
            <w:r w:rsidR="008B51DF" w:rsidRPr="00723F9C">
              <w:rPr>
                <w:rStyle w:val="Hyperlink"/>
                <w:noProof/>
              </w:rPr>
              <w:t>Submission overview and risk/benefit assessment</w:t>
            </w:r>
            <w:r w:rsidR="008B51DF">
              <w:rPr>
                <w:noProof/>
                <w:webHidden/>
              </w:rPr>
              <w:tab/>
            </w:r>
            <w:r w:rsidR="008B51DF">
              <w:rPr>
                <w:noProof/>
                <w:webHidden/>
              </w:rPr>
              <w:fldChar w:fldCharType="begin"/>
            </w:r>
            <w:r w:rsidR="008B51DF">
              <w:rPr>
                <w:noProof/>
                <w:webHidden/>
              </w:rPr>
              <w:instrText xml:space="preserve"> PAGEREF _Toc114238828 \h </w:instrText>
            </w:r>
            <w:r w:rsidR="008B51DF">
              <w:rPr>
                <w:noProof/>
                <w:webHidden/>
              </w:rPr>
            </w:r>
            <w:r w:rsidR="008B51DF">
              <w:rPr>
                <w:noProof/>
                <w:webHidden/>
              </w:rPr>
              <w:fldChar w:fldCharType="separate"/>
            </w:r>
            <w:r>
              <w:rPr>
                <w:noProof/>
                <w:webHidden/>
              </w:rPr>
              <w:t>10</w:t>
            </w:r>
            <w:r w:rsidR="008B51DF">
              <w:rPr>
                <w:noProof/>
                <w:webHidden/>
              </w:rPr>
              <w:fldChar w:fldCharType="end"/>
            </w:r>
          </w:hyperlink>
        </w:p>
        <w:p w14:paraId="380CE5BB" w14:textId="6C8B4ACB" w:rsidR="008B51DF" w:rsidRDefault="00F30734">
          <w:pPr>
            <w:pStyle w:val="TOC2"/>
            <w:rPr>
              <w:rFonts w:asciiTheme="minorHAnsi" w:eastAsiaTheme="minorEastAsia" w:hAnsiTheme="minorHAnsi" w:cstheme="minorBidi"/>
              <w:b w:val="0"/>
              <w:noProof/>
              <w:sz w:val="22"/>
              <w:lang w:eastAsia="en-AU"/>
            </w:rPr>
          </w:pPr>
          <w:hyperlink w:anchor="_Toc114238829" w:history="1">
            <w:r w:rsidR="008B51DF" w:rsidRPr="00723F9C">
              <w:rPr>
                <w:rStyle w:val="Hyperlink"/>
                <w:noProof/>
              </w:rPr>
              <w:t>Quality</w:t>
            </w:r>
            <w:r w:rsidR="008B51DF">
              <w:rPr>
                <w:noProof/>
                <w:webHidden/>
              </w:rPr>
              <w:tab/>
            </w:r>
            <w:r w:rsidR="008B51DF">
              <w:rPr>
                <w:noProof/>
                <w:webHidden/>
              </w:rPr>
              <w:fldChar w:fldCharType="begin"/>
            </w:r>
            <w:r w:rsidR="008B51DF">
              <w:rPr>
                <w:noProof/>
                <w:webHidden/>
              </w:rPr>
              <w:instrText xml:space="preserve"> PAGEREF _Toc114238829 \h </w:instrText>
            </w:r>
            <w:r w:rsidR="008B51DF">
              <w:rPr>
                <w:noProof/>
                <w:webHidden/>
              </w:rPr>
            </w:r>
            <w:r w:rsidR="008B51DF">
              <w:rPr>
                <w:noProof/>
                <w:webHidden/>
              </w:rPr>
              <w:fldChar w:fldCharType="separate"/>
            </w:r>
            <w:r>
              <w:rPr>
                <w:noProof/>
                <w:webHidden/>
              </w:rPr>
              <w:t>10</w:t>
            </w:r>
            <w:r w:rsidR="008B51DF">
              <w:rPr>
                <w:noProof/>
                <w:webHidden/>
              </w:rPr>
              <w:fldChar w:fldCharType="end"/>
            </w:r>
          </w:hyperlink>
        </w:p>
        <w:p w14:paraId="61D600D0" w14:textId="7566CCA4" w:rsidR="008B51DF" w:rsidRDefault="00F30734">
          <w:pPr>
            <w:pStyle w:val="TOC2"/>
            <w:rPr>
              <w:rFonts w:asciiTheme="minorHAnsi" w:eastAsiaTheme="minorEastAsia" w:hAnsiTheme="minorHAnsi" w:cstheme="minorBidi"/>
              <w:b w:val="0"/>
              <w:noProof/>
              <w:sz w:val="22"/>
              <w:lang w:eastAsia="en-AU"/>
            </w:rPr>
          </w:pPr>
          <w:hyperlink w:anchor="_Toc114238830" w:history="1">
            <w:r w:rsidR="008B51DF" w:rsidRPr="00723F9C">
              <w:rPr>
                <w:rStyle w:val="Hyperlink"/>
                <w:noProof/>
              </w:rPr>
              <w:t>Nonclinical</w:t>
            </w:r>
            <w:r w:rsidR="008B51DF">
              <w:rPr>
                <w:noProof/>
                <w:webHidden/>
              </w:rPr>
              <w:tab/>
            </w:r>
            <w:r w:rsidR="008B51DF">
              <w:rPr>
                <w:noProof/>
                <w:webHidden/>
              </w:rPr>
              <w:fldChar w:fldCharType="begin"/>
            </w:r>
            <w:r w:rsidR="008B51DF">
              <w:rPr>
                <w:noProof/>
                <w:webHidden/>
              </w:rPr>
              <w:instrText xml:space="preserve"> PAGEREF _Toc114238830 \h </w:instrText>
            </w:r>
            <w:r w:rsidR="008B51DF">
              <w:rPr>
                <w:noProof/>
                <w:webHidden/>
              </w:rPr>
            </w:r>
            <w:r w:rsidR="008B51DF">
              <w:rPr>
                <w:noProof/>
                <w:webHidden/>
              </w:rPr>
              <w:fldChar w:fldCharType="separate"/>
            </w:r>
            <w:r>
              <w:rPr>
                <w:noProof/>
                <w:webHidden/>
              </w:rPr>
              <w:t>11</w:t>
            </w:r>
            <w:r w:rsidR="008B51DF">
              <w:rPr>
                <w:noProof/>
                <w:webHidden/>
              </w:rPr>
              <w:fldChar w:fldCharType="end"/>
            </w:r>
          </w:hyperlink>
        </w:p>
        <w:p w14:paraId="69EA0925" w14:textId="39C9F5ED" w:rsidR="008B51DF" w:rsidRDefault="00F30734">
          <w:pPr>
            <w:pStyle w:val="TOC2"/>
            <w:rPr>
              <w:rFonts w:asciiTheme="minorHAnsi" w:eastAsiaTheme="minorEastAsia" w:hAnsiTheme="minorHAnsi" w:cstheme="minorBidi"/>
              <w:b w:val="0"/>
              <w:noProof/>
              <w:sz w:val="22"/>
              <w:lang w:eastAsia="en-AU"/>
            </w:rPr>
          </w:pPr>
          <w:hyperlink w:anchor="_Toc114238831" w:history="1">
            <w:r w:rsidR="008B51DF" w:rsidRPr="00723F9C">
              <w:rPr>
                <w:rStyle w:val="Hyperlink"/>
                <w:noProof/>
              </w:rPr>
              <w:t>Clinical</w:t>
            </w:r>
            <w:r w:rsidR="008B51DF">
              <w:rPr>
                <w:noProof/>
                <w:webHidden/>
              </w:rPr>
              <w:tab/>
            </w:r>
            <w:r w:rsidR="008B51DF">
              <w:rPr>
                <w:noProof/>
                <w:webHidden/>
              </w:rPr>
              <w:fldChar w:fldCharType="begin"/>
            </w:r>
            <w:r w:rsidR="008B51DF">
              <w:rPr>
                <w:noProof/>
                <w:webHidden/>
              </w:rPr>
              <w:instrText xml:space="preserve"> PAGEREF _Toc114238831 \h </w:instrText>
            </w:r>
            <w:r w:rsidR="008B51DF">
              <w:rPr>
                <w:noProof/>
                <w:webHidden/>
              </w:rPr>
            </w:r>
            <w:r w:rsidR="008B51DF">
              <w:rPr>
                <w:noProof/>
                <w:webHidden/>
              </w:rPr>
              <w:fldChar w:fldCharType="separate"/>
            </w:r>
            <w:r>
              <w:rPr>
                <w:noProof/>
                <w:webHidden/>
              </w:rPr>
              <w:t>12</w:t>
            </w:r>
            <w:r w:rsidR="008B51DF">
              <w:rPr>
                <w:noProof/>
                <w:webHidden/>
              </w:rPr>
              <w:fldChar w:fldCharType="end"/>
            </w:r>
          </w:hyperlink>
        </w:p>
        <w:p w14:paraId="526DCB9F" w14:textId="45274C0C" w:rsidR="008B51DF" w:rsidRDefault="00F30734">
          <w:pPr>
            <w:pStyle w:val="TOC2"/>
            <w:rPr>
              <w:rFonts w:asciiTheme="minorHAnsi" w:eastAsiaTheme="minorEastAsia" w:hAnsiTheme="minorHAnsi" w:cstheme="minorBidi"/>
              <w:b w:val="0"/>
              <w:noProof/>
              <w:sz w:val="22"/>
              <w:lang w:eastAsia="en-AU"/>
            </w:rPr>
          </w:pPr>
          <w:hyperlink w:anchor="_Toc114238832" w:history="1">
            <w:r w:rsidR="008B51DF" w:rsidRPr="00723F9C">
              <w:rPr>
                <w:rStyle w:val="Hyperlink"/>
                <w:noProof/>
                <w:lang w:eastAsia="en-AU"/>
              </w:rPr>
              <w:t>Risk management plan</w:t>
            </w:r>
            <w:r w:rsidR="008B51DF">
              <w:rPr>
                <w:noProof/>
                <w:webHidden/>
              </w:rPr>
              <w:tab/>
            </w:r>
            <w:r w:rsidR="008B51DF">
              <w:rPr>
                <w:noProof/>
                <w:webHidden/>
              </w:rPr>
              <w:fldChar w:fldCharType="begin"/>
            </w:r>
            <w:r w:rsidR="008B51DF">
              <w:rPr>
                <w:noProof/>
                <w:webHidden/>
              </w:rPr>
              <w:instrText xml:space="preserve"> PAGEREF _Toc114238832 \h </w:instrText>
            </w:r>
            <w:r w:rsidR="008B51DF">
              <w:rPr>
                <w:noProof/>
                <w:webHidden/>
              </w:rPr>
            </w:r>
            <w:r w:rsidR="008B51DF">
              <w:rPr>
                <w:noProof/>
                <w:webHidden/>
              </w:rPr>
              <w:fldChar w:fldCharType="separate"/>
            </w:r>
            <w:r>
              <w:rPr>
                <w:noProof/>
                <w:webHidden/>
              </w:rPr>
              <w:t>16</w:t>
            </w:r>
            <w:r w:rsidR="008B51DF">
              <w:rPr>
                <w:noProof/>
                <w:webHidden/>
              </w:rPr>
              <w:fldChar w:fldCharType="end"/>
            </w:r>
          </w:hyperlink>
        </w:p>
        <w:p w14:paraId="59298447" w14:textId="55D048A1" w:rsidR="008B51DF" w:rsidRDefault="00F30734">
          <w:pPr>
            <w:pStyle w:val="TOC2"/>
            <w:rPr>
              <w:rFonts w:asciiTheme="minorHAnsi" w:eastAsiaTheme="minorEastAsia" w:hAnsiTheme="minorHAnsi" w:cstheme="minorBidi"/>
              <w:b w:val="0"/>
              <w:noProof/>
              <w:sz w:val="22"/>
              <w:lang w:eastAsia="en-AU"/>
            </w:rPr>
          </w:pPr>
          <w:hyperlink w:anchor="_Toc114238833" w:history="1">
            <w:r w:rsidR="008B51DF" w:rsidRPr="00723F9C">
              <w:rPr>
                <w:rStyle w:val="Hyperlink"/>
                <w:noProof/>
              </w:rPr>
              <w:t>Risk-benefit analysis</w:t>
            </w:r>
            <w:r w:rsidR="008B51DF">
              <w:rPr>
                <w:noProof/>
                <w:webHidden/>
              </w:rPr>
              <w:tab/>
            </w:r>
            <w:r w:rsidR="008B51DF">
              <w:rPr>
                <w:noProof/>
                <w:webHidden/>
              </w:rPr>
              <w:fldChar w:fldCharType="begin"/>
            </w:r>
            <w:r w:rsidR="008B51DF">
              <w:rPr>
                <w:noProof/>
                <w:webHidden/>
              </w:rPr>
              <w:instrText xml:space="preserve"> PAGEREF _Toc114238833 \h </w:instrText>
            </w:r>
            <w:r w:rsidR="008B51DF">
              <w:rPr>
                <w:noProof/>
                <w:webHidden/>
              </w:rPr>
            </w:r>
            <w:r w:rsidR="008B51DF">
              <w:rPr>
                <w:noProof/>
                <w:webHidden/>
              </w:rPr>
              <w:fldChar w:fldCharType="separate"/>
            </w:r>
            <w:r>
              <w:rPr>
                <w:noProof/>
                <w:webHidden/>
              </w:rPr>
              <w:t>17</w:t>
            </w:r>
            <w:r w:rsidR="008B51DF">
              <w:rPr>
                <w:noProof/>
                <w:webHidden/>
              </w:rPr>
              <w:fldChar w:fldCharType="end"/>
            </w:r>
          </w:hyperlink>
        </w:p>
        <w:p w14:paraId="28C478C0" w14:textId="7D4F5D4A" w:rsidR="008B51DF" w:rsidRDefault="00F30734">
          <w:pPr>
            <w:pStyle w:val="TOC1"/>
            <w:rPr>
              <w:rFonts w:asciiTheme="minorHAnsi" w:eastAsiaTheme="minorEastAsia" w:hAnsiTheme="minorHAnsi" w:cstheme="minorBidi"/>
              <w:b w:val="0"/>
              <w:noProof/>
              <w:sz w:val="22"/>
              <w:lang w:eastAsia="en-AU"/>
            </w:rPr>
          </w:pPr>
          <w:hyperlink w:anchor="_Toc114238834" w:history="1">
            <w:r w:rsidR="008B51DF" w:rsidRPr="00723F9C">
              <w:rPr>
                <w:rStyle w:val="Hyperlink"/>
                <w:noProof/>
              </w:rPr>
              <w:t>Outcome</w:t>
            </w:r>
            <w:r w:rsidR="008B51DF">
              <w:rPr>
                <w:noProof/>
                <w:webHidden/>
              </w:rPr>
              <w:tab/>
            </w:r>
            <w:r w:rsidR="008B51DF">
              <w:rPr>
                <w:noProof/>
                <w:webHidden/>
              </w:rPr>
              <w:fldChar w:fldCharType="begin"/>
            </w:r>
            <w:r w:rsidR="008B51DF">
              <w:rPr>
                <w:noProof/>
                <w:webHidden/>
              </w:rPr>
              <w:instrText xml:space="preserve"> PAGEREF _Toc114238834 \h </w:instrText>
            </w:r>
            <w:r w:rsidR="008B51DF">
              <w:rPr>
                <w:noProof/>
                <w:webHidden/>
              </w:rPr>
            </w:r>
            <w:r w:rsidR="008B51DF">
              <w:rPr>
                <w:noProof/>
                <w:webHidden/>
              </w:rPr>
              <w:fldChar w:fldCharType="separate"/>
            </w:r>
            <w:r>
              <w:rPr>
                <w:noProof/>
                <w:webHidden/>
              </w:rPr>
              <w:t>18</w:t>
            </w:r>
            <w:r w:rsidR="008B51DF">
              <w:rPr>
                <w:noProof/>
                <w:webHidden/>
              </w:rPr>
              <w:fldChar w:fldCharType="end"/>
            </w:r>
          </w:hyperlink>
        </w:p>
        <w:p w14:paraId="1459393E" w14:textId="65D8612D" w:rsidR="008B51DF" w:rsidRDefault="00F30734">
          <w:pPr>
            <w:pStyle w:val="TOC2"/>
            <w:rPr>
              <w:rFonts w:asciiTheme="minorHAnsi" w:eastAsiaTheme="minorEastAsia" w:hAnsiTheme="minorHAnsi" w:cstheme="minorBidi"/>
              <w:b w:val="0"/>
              <w:noProof/>
              <w:sz w:val="22"/>
              <w:lang w:eastAsia="en-AU"/>
            </w:rPr>
          </w:pPr>
          <w:hyperlink w:anchor="_Toc114238835" w:history="1">
            <w:r w:rsidR="008B51DF" w:rsidRPr="00723F9C">
              <w:rPr>
                <w:rStyle w:val="Hyperlink"/>
                <w:noProof/>
              </w:rPr>
              <w:t>Specific conditions of registration applying to these goods</w:t>
            </w:r>
            <w:r w:rsidR="008B51DF">
              <w:rPr>
                <w:noProof/>
                <w:webHidden/>
              </w:rPr>
              <w:tab/>
            </w:r>
            <w:r w:rsidR="008B51DF">
              <w:rPr>
                <w:noProof/>
                <w:webHidden/>
              </w:rPr>
              <w:fldChar w:fldCharType="begin"/>
            </w:r>
            <w:r w:rsidR="008B51DF">
              <w:rPr>
                <w:noProof/>
                <w:webHidden/>
              </w:rPr>
              <w:instrText xml:space="preserve"> PAGEREF _Toc114238835 \h </w:instrText>
            </w:r>
            <w:r w:rsidR="008B51DF">
              <w:rPr>
                <w:noProof/>
                <w:webHidden/>
              </w:rPr>
            </w:r>
            <w:r w:rsidR="008B51DF">
              <w:rPr>
                <w:noProof/>
                <w:webHidden/>
              </w:rPr>
              <w:fldChar w:fldCharType="separate"/>
            </w:r>
            <w:r>
              <w:rPr>
                <w:noProof/>
                <w:webHidden/>
              </w:rPr>
              <w:t>18</w:t>
            </w:r>
            <w:r w:rsidR="008B51DF">
              <w:rPr>
                <w:noProof/>
                <w:webHidden/>
              </w:rPr>
              <w:fldChar w:fldCharType="end"/>
            </w:r>
          </w:hyperlink>
        </w:p>
        <w:p w14:paraId="3DF5AAAF" w14:textId="440D950A" w:rsidR="008B51DF" w:rsidRDefault="00F30734">
          <w:pPr>
            <w:pStyle w:val="TOC1"/>
            <w:rPr>
              <w:rFonts w:asciiTheme="minorHAnsi" w:eastAsiaTheme="minorEastAsia" w:hAnsiTheme="minorHAnsi" w:cstheme="minorBidi"/>
              <w:b w:val="0"/>
              <w:noProof/>
              <w:sz w:val="22"/>
              <w:lang w:eastAsia="en-AU"/>
            </w:rPr>
          </w:pPr>
          <w:hyperlink w:anchor="_Toc114238836" w:history="1">
            <w:r w:rsidR="008B51DF" w:rsidRPr="00723F9C">
              <w:rPr>
                <w:rStyle w:val="Hyperlink"/>
                <w:noProof/>
              </w:rPr>
              <w:t>Attachment 1. Product Information</w:t>
            </w:r>
            <w:r w:rsidR="008B51DF">
              <w:rPr>
                <w:noProof/>
                <w:webHidden/>
              </w:rPr>
              <w:tab/>
            </w:r>
            <w:r w:rsidR="008B51DF">
              <w:rPr>
                <w:noProof/>
                <w:webHidden/>
              </w:rPr>
              <w:fldChar w:fldCharType="begin"/>
            </w:r>
            <w:r w:rsidR="008B51DF">
              <w:rPr>
                <w:noProof/>
                <w:webHidden/>
              </w:rPr>
              <w:instrText xml:space="preserve"> PAGEREF _Toc114238836 \h </w:instrText>
            </w:r>
            <w:r w:rsidR="008B51DF">
              <w:rPr>
                <w:noProof/>
                <w:webHidden/>
              </w:rPr>
            </w:r>
            <w:r w:rsidR="008B51DF">
              <w:rPr>
                <w:noProof/>
                <w:webHidden/>
              </w:rPr>
              <w:fldChar w:fldCharType="separate"/>
            </w:r>
            <w:r>
              <w:rPr>
                <w:noProof/>
                <w:webHidden/>
              </w:rPr>
              <w:t>19</w:t>
            </w:r>
            <w:r w:rsidR="008B51DF">
              <w:rPr>
                <w:noProof/>
                <w:webHidden/>
              </w:rPr>
              <w:fldChar w:fldCharType="end"/>
            </w:r>
          </w:hyperlink>
        </w:p>
        <w:p w14:paraId="39F37265" w14:textId="14A1C708" w:rsidR="003A7F6C" w:rsidRPr="008B51DF" w:rsidRDefault="00C525A2" w:rsidP="00EB36D6">
          <w:r w:rsidRPr="008B51DF">
            <w:fldChar w:fldCharType="end"/>
          </w:r>
        </w:p>
      </w:sdtContent>
    </w:sdt>
    <w:bookmarkStart w:id="2" w:name="_Toc314842482" w:displacedByCustomXml="prev"/>
    <w:p w14:paraId="4B787092" w14:textId="77777777" w:rsidR="00FD119B" w:rsidRPr="008B51DF" w:rsidRDefault="00FD119B">
      <w:pPr>
        <w:spacing w:before="0" w:after="200" w:line="0" w:lineRule="auto"/>
      </w:pPr>
      <w:r w:rsidRPr="008B51DF">
        <w:br w:type="page"/>
      </w:r>
    </w:p>
    <w:p w14:paraId="66836FBF" w14:textId="77777777" w:rsidR="00AF2313" w:rsidRPr="008B51DF" w:rsidRDefault="00AF2313" w:rsidP="00AF2313">
      <w:pPr>
        <w:pStyle w:val="Heading2"/>
      </w:pPr>
      <w:bookmarkStart w:id="3" w:name="_Toc98931917"/>
      <w:bookmarkStart w:id="4" w:name="_Toc114238821"/>
      <w:r w:rsidRPr="008B51DF">
        <w:lastRenderedPageBreak/>
        <w:t>List of abbreviations</w:t>
      </w:r>
      <w:bookmarkEnd w:id="3"/>
      <w:bookmarkEnd w:id="4"/>
    </w:p>
    <w:tbl>
      <w:tblPr>
        <w:tblStyle w:val="TableTGAblue"/>
        <w:tblW w:w="5000" w:type="pct"/>
        <w:tblLook w:val="04A0" w:firstRow="1" w:lastRow="0" w:firstColumn="1" w:lastColumn="0" w:noHBand="0" w:noVBand="1"/>
      </w:tblPr>
      <w:tblGrid>
        <w:gridCol w:w="2030"/>
        <w:gridCol w:w="1040"/>
        <w:gridCol w:w="5414"/>
      </w:tblGrid>
      <w:tr w:rsidR="00AF2313" w:rsidRPr="008B51DF" w14:paraId="07030197" w14:textId="77777777" w:rsidTr="00E74EED">
        <w:trPr>
          <w:cnfStyle w:val="100000000000" w:firstRow="1" w:lastRow="0" w:firstColumn="0" w:lastColumn="0" w:oddVBand="0" w:evenVBand="0" w:oddHBand="0" w:evenHBand="0" w:firstRowFirstColumn="0" w:firstRowLastColumn="0" w:lastRowFirstColumn="0" w:lastRowLastColumn="0"/>
          <w:cantSplit/>
        </w:trPr>
        <w:tc>
          <w:tcPr>
            <w:tcW w:w="1809" w:type="pct"/>
            <w:gridSpan w:val="2"/>
            <w:hideMark/>
          </w:tcPr>
          <w:p w14:paraId="4AC102F5" w14:textId="77777777" w:rsidR="00AF2313" w:rsidRPr="008B51DF" w:rsidRDefault="00AF2313">
            <w:pPr>
              <w:rPr>
                <w:color w:val="FFFFFF"/>
              </w:rPr>
            </w:pPr>
            <w:r w:rsidRPr="008B51DF">
              <w:t>Abbreviation</w:t>
            </w:r>
          </w:p>
        </w:tc>
        <w:tc>
          <w:tcPr>
            <w:tcW w:w="3191" w:type="pct"/>
            <w:hideMark/>
          </w:tcPr>
          <w:p w14:paraId="699B546E" w14:textId="77777777" w:rsidR="00AF2313" w:rsidRPr="008B51DF" w:rsidRDefault="00AF2313">
            <w:r w:rsidRPr="008B51DF">
              <w:t>Meaning</w:t>
            </w:r>
          </w:p>
        </w:tc>
      </w:tr>
      <w:tr w:rsidR="00AC1774" w:rsidRPr="008B51DF" w14:paraId="1A7C0EFD"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151F5D07" w14:textId="1ADCCD0A" w:rsidR="00AC1774" w:rsidRPr="008B51DF" w:rsidRDefault="00AC1774" w:rsidP="00AC1774">
            <w:r w:rsidRPr="008B51DF">
              <w:t>ACM</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6F408D5D" w14:textId="23B2B806" w:rsidR="00AC1774" w:rsidRPr="008B51DF" w:rsidRDefault="00AC1774" w:rsidP="00AC1774">
            <w:r w:rsidRPr="008B51DF">
              <w:t>Advisory Committee on Medicines</w:t>
            </w:r>
          </w:p>
        </w:tc>
      </w:tr>
      <w:tr w:rsidR="00AC1774" w:rsidRPr="008B51DF" w14:paraId="2BE16D18"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tcPr>
          <w:p w14:paraId="5E5D3C75" w14:textId="1A4A8B49" w:rsidR="00AC1774" w:rsidRPr="008B51DF" w:rsidRDefault="00AC1774" w:rsidP="00AC1774">
            <w:r w:rsidRPr="008B51DF">
              <w:t>ANSTO</w:t>
            </w:r>
          </w:p>
        </w:tc>
        <w:tc>
          <w:tcPr>
            <w:tcW w:w="3804" w:type="pct"/>
            <w:gridSpan w:val="2"/>
            <w:tcBorders>
              <w:top w:val="single" w:sz="8" w:space="0" w:color="002C47"/>
              <w:left w:val="single" w:sz="8" w:space="0" w:color="002C47"/>
              <w:bottom w:val="single" w:sz="8" w:space="0" w:color="002C47"/>
              <w:right w:val="single" w:sz="8" w:space="0" w:color="002C47"/>
            </w:tcBorders>
          </w:tcPr>
          <w:p w14:paraId="39E546FF" w14:textId="38CE1F79" w:rsidR="00AC1774" w:rsidRPr="008B51DF" w:rsidRDefault="00AC1774" w:rsidP="00AC1774">
            <w:r w:rsidRPr="008B51DF">
              <w:t>Australian Nuclear Science and Technology Organisation</w:t>
            </w:r>
          </w:p>
        </w:tc>
      </w:tr>
      <w:tr w:rsidR="00AC1774" w:rsidRPr="008B51DF" w14:paraId="3570B55C"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tcPr>
          <w:p w14:paraId="6FE55B4F" w14:textId="569A4863" w:rsidR="00AC1774" w:rsidRPr="008B51DF" w:rsidRDefault="00AC1774" w:rsidP="00AC1774">
            <w:r w:rsidRPr="008B51DF">
              <w:t>ARTG</w:t>
            </w:r>
          </w:p>
        </w:tc>
        <w:tc>
          <w:tcPr>
            <w:tcW w:w="3804" w:type="pct"/>
            <w:gridSpan w:val="2"/>
            <w:tcBorders>
              <w:top w:val="single" w:sz="8" w:space="0" w:color="002C47"/>
              <w:left w:val="single" w:sz="8" w:space="0" w:color="002C47"/>
              <w:bottom w:val="single" w:sz="8" w:space="0" w:color="002C47"/>
              <w:right w:val="single" w:sz="8" w:space="0" w:color="002C47"/>
            </w:tcBorders>
          </w:tcPr>
          <w:p w14:paraId="4CECD9EA" w14:textId="77D7D939" w:rsidR="00AC1774" w:rsidRPr="008B51DF" w:rsidRDefault="00AC1774" w:rsidP="00AC1774">
            <w:r w:rsidRPr="008B51DF">
              <w:t>Australian Register of Therapeutic Goods</w:t>
            </w:r>
          </w:p>
        </w:tc>
      </w:tr>
      <w:tr w:rsidR="00AC1774" w:rsidRPr="008B51DF" w14:paraId="7A8400B1"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1E6A688B" w14:textId="2EB5690D" w:rsidR="00AC1774" w:rsidRPr="008B51DF" w:rsidRDefault="00AC1774" w:rsidP="00AC1774">
            <w:r w:rsidRPr="008B51DF">
              <w:t>AU</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73395BCF" w14:textId="008BEF9E" w:rsidR="00AC1774" w:rsidRPr="008B51DF" w:rsidRDefault="00AC1774" w:rsidP="00AC1774">
            <w:r w:rsidRPr="008B51DF">
              <w:t>Australian</w:t>
            </w:r>
          </w:p>
        </w:tc>
      </w:tr>
      <w:tr w:rsidR="00AC1774" w:rsidRPr="008B51DF" w14:paraId="639667CD"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504A7659" w14:textId="1374365A" w:rsidR="00AC1774" w:rsidRPr="008B51DF" w:rsidRDefault="00AC1774" w:rsidP="00AC1774">
            <w:r w:rsidRPr="008B51DF">
              <w:t>CI</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53AB0973" w14:textId="6C55C5C7" w:rsidR="00AC1774" w:rsidRPr="008B51DF" w:rsidRDefault="00AC1774" w:rsidP="00AC1774">
            <w:r w:rsidRPr="008B51DF">
              <w:t>Confidence interval</w:t>
            </w:r>
          </w:p>
        </w:tc>
      </w:tr>
      <w:tr w:rsidR="00AC1774" w:rsidRPr="008B51DF" w14:paraId="4D53B762"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02D46947" w14:textId="319159A5" w:rsidR="00AC1774" w:rsidRPr="008B51DF" w:rsidRDefault="00AC1774" w:rsidP="00AC1774">
            <w:r w:rsidRPr="008B51DF">
              <w:t>CMI</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29D78D47" w14:textId="3028D1DB" w:rsidR="00AC1774" w:rsidRPr="008B51DF" w:rsidRDefault="00AC1774" w:rsidP="00AC1774">
            <w:r w:rsidRPr="008B51DF">
              <w:t>Consumer Medicines Information</w:t>
            </w:r>
          </w:p>
        </w:tc>
      </w:tr>
      <w:tr w:rsidR="00AC1774" w:rsidRPr="008B51DF" w14:paraId="6484C33E"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4BACAFCC" w14:textId="290779E7" w:rsidR="00AC1774" w:rsidRPr="008B51DF" w:rsidRDefault="00AC1774" w:rsidP="00AC1774">
            <w:r w:rsidRPr="008B51DF">
              <w:t>DLP</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3AE0FE33" w14:textId="1EDC675D" w:rsidR="00AC1774" w:rsidRPr="008B51DF" w:rsidRDefault="00AC1774" w:rsidP="00AC1774">
            <w:r w:rsidRPr="008B51DF">
              <w:t>Data lock point</w:t>
            </w:r>
          </w:p>
        </w:tc>
      </w:tr>
      <w:tr w:rsidR="00E9414E" w:rsidRPr="008B51DF" w14:paraId="4EDACA0C"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6F6B845E" w14:textId="52187A35" w:rsidR="00E9414E" w:rsidRPr="008B51DF" w:rsidRDefault="00E9414E" w:rsidP="00AC1774">
            <w:r w:rsidRPr="008B51DF">
              <w:t>DNA</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0AC1FB85" w14:textId="54135A07" w:rsidR="00E9414E" w:rsidRPr="008B51DF" w:rsidRDefault="00E9414E" w:rsidP="00AC1774">
            <w:r w:rsidRPr="008B51DF">
              <w:t>Deoxyribonucleic acid</w:t>
            </w:r>
          </w:p>
        </w:tc>
      </w:tr>
      <w:tr w:rsidR="00AC1774" w:rsidRPr="008B51DF" w14:paraId="11E3B050"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1BFB7EB6" w14:textId="08762977" w:rsidR="00AC1774" w:rsidRPr="008B51DF" w:rsidRDefault="00AC1774" w:rsidP="00AC1774">
            <w:r w:rsidRPr="008B51DF">
              <w:t>EMA</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1A38D8D9" w14:textId="38216311" w:rsidR="00AC1774" w:rsidRPr="008B51DF" w:rsidRDefault="00AC1774" w:rsidP="00AC1774">
            <w:r w:rsidRPr="008B51DF">
              <w:t>European Medicines Agency (European Union)</w:t>
            </w:r>
          </w:p>
        </w:tc>
      </w:tr>
      <w:tr w:rsidR="009303BF" w:rsidRPr="008B51DF" w14:paraId="65B3BDEC" w14:textId="77777777" w:rsidTr="00E74EED">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D4F4CEA" w14:textId="44D13A24" w:rsidR="009303BF" w:rsidRPr="008B51DF" w:rsidRDefault="009303BF" w:rsidP="00AC1774">
            <w:r w:rsidRPr="008B51DF">
              <w:rPr>
                <w:vertAlign w:val="superscript"/>
              </w:rPr>
              <w:t>68</w:t>
            </w:r>
            <w:r w:rsidRPr="008B51DF">
              <w:t>Ga</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56466594" w14:textId="70B614FE" w:rsidR="009303BF" w:rsidRPr="008B51DF" w:rsidRDefault="009303BF" w:rsidP="00AC1774">
            <w:r w:rsidRPr="008B51DF">
              <w:t>Gallium-68</w:t>
            </w:r>
          </w:p>
        </w:tc>
      </w:tr>
      <w:tr w:rsidR="00AC1774" w:rsidRPr="008B51DF" w14:paraId="03525474"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7B22E1AB" w14:textId="73E25CCA" w:rsidR="00AC1774" w:rsidRPr="008B51DF" w:rsidRDefault="00AC1774" w:rsidP="00AC1774">
            <w:proofErr w:type="spellStart"/>
            <w:r w:rsidRPr="008B51DF">
              <w:t>GBq</w:t>
            </w:r>
            <w:proofErr w:type="spellEnd"/>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04386A4A" w14:textId="4E0E9483" w:rsidR="00AC1774" w:rsidRPr="008B51DF" w:rsidRDefault="00AC1774" w:rsidP="00AC1774">
            <w:proofErr w:type="spellStart"/>
            <w:r w:rsidRPr="008B51DF">
              <w:t>Gigabecquerel</w:t>
            </w:r>
            <w:proofErr w:type="spellEnd"/>
          </w:p>
        </w:tc>
      </w:tr>
      <w:tr w:rsidR="00AC1774" w:rsidRPr="008B51DF" w14:paraId="68822945"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0460DC6F" w14:textId="20644B6B" w:rsidR="00AC1774" w:rsidRPr="008B51DF" w:rsidRDefault="00AC1774" w:rsidP="00AC1774">
            <w:r w:rsidRPr="008B51DF">
              <w:t>GVP</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12F5531D" w14:textId="42AE1BF1" w:rsidR="00AC1774" w:rsidRPr="008B51DF" w:rsidRDefault="00AC1774" w:rsidP="00AC1774">
            <w:r w:rsidRPr="008B51DF">
              <w:t>Good Pharmacovigilance Practices</w:t>
            </w:r>
          </w:p>
        </w:tc>
      </w:tr>
      <w:tr w:rsidR="00AC1774" w:rsidRPr="008B51DF" w14:paraId="5B13F940"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4C4D167C" w14:textId="2C72BEC0" w:rsidR="00AC1774" w:rsidRPr="008B51DF" w:rsidRDefault="00AC1774" w:rsidP="00AC1774">
            <w:proofErr w:type="spellStart"/>
            <w:r w:rsidRPr="008B51DF">
              <w:t>Gy</w:t>
            </w:r>
            <w:proofErr w:type="spellEnd"/>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446468C4" w14:textId="490C8931" w:rsidR="00AC1774" w:rsidRPr="008B51DF" w:rsidRDefault="00AC1774" w:rsidP="00AC1774">
            <w:r w:rsidRPr="008B51DF">
              <w:t>Gray</w:t>
            </w:r>
          </w:p>
        </w:tc>
      </w:tr>
      <w:tr w:rsidR="00AC1774" w:rsidRPr="008B51DF" w14:paraId="78E679A5"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667768F1" w14:textId="00F7F48C" w:rsidR="00AC1774" w:rsidRPr="008B51DF" w:rsidRDefault="00AC1774" w:rsidP="00AC1774">
            <w:r w:rsidRPr="008B51DF">
              <w:t>E</w:t>
            </w:r>
            <w:r w:rsidRPr="008B51DF">
              <w:rPr>
                <w:vertAlign w:val="subscript"/>
              </w:rPr>
              <w:t>max</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0E01DF76" w14:textId="436D46DF" w:rsidR="00AC1774" w:rsidRPr="008B51DF" w:rsidRDefault="00AC1774" w:rsidP="00AC1774">
            <w:r w:rsidRPr="008B51DF">
              <w:t>Maximum effect attributable to the drug</w:t>
            </w:r>
          </w:p>
        </w:tc>
      </w:tr>
      <w:tr w:rsidR="00AC1774" w:rsidRPr="008B51DF" w14:paraId="755C9511" w14:textId="77777777" w:rsidTr="00511BCF">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209CCC7" w14:textId="5244B2B4" w:rsidR="00AC1774" w:rsidRPr="008B51DF" w:rsidRDefault="00AC1774" w:rsidP="00AC1774">
            <w:r w:rsidRPr="008B51DF">
              <w:rPr>
                <w:vertAlign w:val="superscript"/>
              </w:rPr>
              <w:t>177</w:t>
            </w:r>
            <w:r w:rsidRPr="008B51DF">
              <w:t>Hf</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6D01B3D3" w14:textId="7D42CEA7" w:rsidR="00AC1774" w:rsidRPr="008B51DF" w:rsidRDefault="00AC1774" w:rsidP="00AC1774">
            <w:r w:rsidRPr="008B51DF">
              <w:t>Hafnium</w:t>
            </w:r>
            <w:r w:rsidR="009B05AC" w:rsidRPr="008B51DF">
              <w:t>-177</w:t>
            </w:r>
          </w:p>
        </w:tc>
      </w:tr>
      <w:tr w:rsidR="00AC1774" w:rsidRPr="008B51DF" w14:paraId="3B9AE8C8"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tcPr>
          <w:p w14:paraId="23B67B11" w14:textId="7DA0E477" w:rsidR="00AC1774" w:rsidRPr="008B51DF" w:rsidRDefault="00AC1774" w:rsidP="00AC1774">
            <w:r w:rsidRPr="008B51DF">
              <w:t>HR</w:t>
            </w:r>
          </w:p>
        </w:tc>
        <w:tc>
          <w:tcPr>
            <w:tcW w:w="3804" w:type="pct"/>
            <w:gridSpan w:val="2"/>
            <w:tcBorders>
              <w:top w:val="single" w:sz="8" w:space="0" w:color="002C47"/>
              <w:left w:val="single" w:sz="8" w:space="0" w:color="002C47"/>
              <w:bottom w:val="single" w:sz="8" w:space="0" w:color="002C47"/>
              <w:right w:val="single" w:sz="8" w:space="0" w:color="002C47"/>
            </w:tcBorders>
          </w:tcPr>
          <w:p w14:paraId="2A9BF1E0" w14:textId="2069B2BA" w:rsidR="00AC1774" w:rsidRPr="008B51DF" w:rsidRDefault="00AC1774" w:rsidP="00AC1774">
            <w:r w:rsidRPr="008B51DF">
              <w:t>Hazard ratio</w:t>
            </w:r>
          </w:p>
        </w:tc>
      </w:tr>
      <w:tr w:rsidR="00AC1774" w:rsidRPr="008B51DF" w14:paraId="73510DB3" w14:textId="77777777" w:rsidTr="00511BCF">
        <w:trPr>
          <w:cantSplit/>
        </w:trPr>
        <w:tc>
          <w:tcPr>
            <w:tcW w:w="1196" w:type="pct"/>
            <w:tcBorders>
              <w:top w:val="single" w:sz="8" w:space="0" w:color="002C47"/>
              <w:left w:val="single" w:sz="8" w:space="0" w:color="002C47"/>
              <w:bottom w:val="single" w:sz="8" w:space="0" w:color="002C47"/>
              <w:right w:val="single" w:sz="8" w:space="0" w:color="002C47"/>
            </w:tcBorders>
          </w:tcPr>
          <w:p w14:paraId="6931DEF7" w14:textId="11FA490A" w:rsidR="00AC1774" w:rsidRPr="008B51DF" w:rsidRDefault="00AC1774" w:rsidP="00AC1774">
            <w:r w:rsidRPr="008B51DF">
              <w:t>keV</w:t>
            </w:r>
          </w:p>
        </w:tc>
        <w:tc>
          <w:tcPr>
            <w:tcW w:w="3804" w:type="pct"/>
            <w:gridSpan w:val="2"/>
            <w:tcBorders>
              <w:top w:val="single" w:sz="8" w:space="0" w:color="002C47"/>
              <w:left w:val="single" w:sz="8" w:space="0" w:color="002C47"/>
              <w:bottom w:val="single" w:sz="8" w:space="0" w:color="002C47"/>
              <w:right w:val="single" w:sz="8" w:space="0" w:color="002C47"/>
            </w:tcBorders>
          </w:tcPr>
          <w:p w14:paraId="3943A656" w14:textId="2D6BEF23" w:rsidR="00AC1774" w:rsidRPr="008B51DF" w:rsidRDefault="00AC1774" w:rsidP="00AC1774">
            <w:r w:rsidRPr="008B51DF">
              <w:t>Kiloelectronvolt</w:t>
            </w:r>
          </w:p>
        </w:tc>
      </w:tr>
      <w:tr w:rsidR="00AC1774" w:rsidRPr="008B51DF" w14:paraId="20E55A48"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D322B8E" w14:textId="665685CD" w:rsidR="00AC1774" w:rsidRPr="008B51DF" w:rsidRDefault="00AC1774" w:rsidP="00AC1774">
            <w:r w:rsidRPr="008B51DF">
              <w:t>LAR</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78BDB568" w14:textId="2057ED48" w:rsidR="00AC1774" w:rsidRPr="008B51DF" w:rsidRDefault="00AC1774" w:rsidP="00AC1774">
            <w:r w:rsidRPr="008B51DF">
              <w:t>Long</w:t>
            </w:r>
            <w:r w:rsidRPr="008B51DF">
              <w:noBreakHyphen/>
              <w:t>acting repeatable</w:t>
            </w:r>
          </w:p>
        </w:tc>
      </w:tr>
      <w:tr w:rsidR="00AC1774" w:rsidRPr="008B51DF" w14:paraId="4F96BF91"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E7E2B4E" w14:textId="68369488" w:rsidR="00AC1774" w:rsidRPr="008B51DF" w:rsidRDefault="00AC1774" w:rsidP="00AC1774">
            <w:r w:rsidRPr="008B51DF">
              <w:rPr>
                <w:vertAlign w:val="superscript"/>
              </w:rPr>
              <w:t>177</w:t>
            </w:r>
            <w:r w:rsidRPr="008B51DF">
              <w:t>Lu</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39501086" w14:textId="30885F66" w:rsidR="00AC1774" w:rsidRPr="008B51DF" w:rsidRDefault="00AC1774" w:rsidP="00AC1774">
            <w:r w:rsidRPr="008B51DF">
              <w:t>Lutetium-177</w:t>
            </w:r>
          </w:p>
        </w:tc>
      </w:tr>
      <w:tr w:rsidR="00AC1774" w:rsidRPr="008B51DF" w14:paraId="62D0154D"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E39832F" w14:textId="7310D721" w:rsidR="00AC1774" w:rsidRPr="008B51DF" w:rsidRDefault="00AC1774" w:rsidP="00AC1774">
            <w:r w:rsidRPr="008B51DF">
              <w:t>Lu</w:t>
            </w:r>
            <w:r w:rsidRPr="008B51DF">
              <w:rPr>
                <w:vertAlign w:val="superscript"/>
              </w:rPr>
              <w:t>3+</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6F6A79D0" w14:textId="6819F716" w:rsidR="00AC1774" w:rsidRPr="008B51DF" w:rsidRDefault="00AC1774" w:rsidP="00AC1774">
            <w:r w:rsidRPr="008B51DF">
              <w:t>Lutetium III</w:t>
            </w:r>
          </w:p>
        </w:tc>
      </w:tr>
      <w:tr w:rsidR="00AC1774" w:rsidRPr="008B51DF" w14:paraId="1EA3D7A2"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628AF101" w14:textId="4728E8A0" w:rsidR="00AC1774" w:rsidRPr="008B51DF" w:rsidRDefault="00AC1774" w:rsidP="00AC1774">
            <w:proofErr w:type="spellStart"/>
            <w:r w:rsidRPr="008B51DF">
              <w:t>mCi</w:t>
            </w:r>
            <w:proofErr w:type="spellEnd"/>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074C8C02" w14:textId="07710F9B" w:rsidR="00AC1774" w:rsidRPr="008B51DF" w:rsidRDefault="00AC1774" w:rsidP="00AC1774">
            <w:bookmarkStart w:id="5" w:name="_Hlk114224683"/>
            <w:r w:rsidRPr="008B51DF">
              <w:t>Millicurie</w:t>
            </w:r>
            <w:bookmarkEnd w:id="5"/>
          </w:p>
        </w:tc>
      </w:tr>
      <w:tr w:rsidR="00AC1774" w:rsidRPr="008B51DF" w14:paraId="26F4FBD1" w14:textId="77777777" w:rsidTr="00511BCF">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1D5BA24E" w14:textId="177059BE" w:rsidR="00AC1774" w:rsidRPr="008B51DF" w:rsidRDefault="00AC1774" w:rsidP="00AC1774">
            <w:r w:rsidRPr="008B51DF">
              <w:t>MeV</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5F6E5663" w14:textId="02ECCB92" w:rsidR="00AC1774" w:rsidRPr="008B51DF" w:rsidRDefault="00AC1774" w:rsidP="00AC1774">
            <w:bookmarkStart w:id="6" w:name="_Hlk114215687"/>
            <w:proofErr w:type="spellStart"/>
            <w:r w:rsidRPr="008B51DF">
              <w:t>Megaelectronvolt</w:t>
            </w:r>
            <w:bookmarkEnd w:id="6"/>
            <w:proofErr w:type="spellEnd"/>
          </w:p>
        </w:tc>
      </w:tr>
      <w:tr w:rsidR="00AC1774" w:rsidRPr="008B51DF" w14:paraId="7CAE8F18"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0945A196" w14:textId="59A10DF7" w:rsidR="00AC1774" w:rsidRPr="008B51DF" w:rsidRDefault="00AC1774" w:rsidP="00AC1774">
            <w:r w:rsidRPr="008B51DF">
              <w:t>MSAC</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4F54A0ED" w14:textId="12A1B478" w:rsidR="00AC1774" w:rsidRPr="008B51DF" w:rsidRDefault="00AC1774" w:rsidP="00AC1774">
            <w:r w:rsidRPr="008B51DF">
              <w:t>Medical Services Advisory Committee</w:t>
            </w:r>
          </w:p>
        </w:tc>
      </w:tr>
      <w:tr w:rsidR="00AC1774" w:rsidRPr="008B51DF" w14:paraId="47F2BEBA"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tcPr>
          <w:p w14:paraId="104FF93B" w14:textId="60951D1C" w:rsidR="00AC1774" w:rsidRPr="008B51DF" w:rsidRDefault="00AC1774" w:rsidP="00AC1774">
            <w:r w:rsidRPr="008B51DF">
              <w:t>NET</w:t>
            </w:r>
          </w:p>
        </w:tc>
        <w:tc>
          <w:tcPr>
            <w:tcW w:w="3804" w:type="pct"/>
            <w:gridSpan w:val="2"/>
            <w:tcBorders>
              <w:top w:val="single" w:sz="8" w:space="0" w:color="002C47"/>
              <w:left w:val="single" w:sz="8" w:space="0" w:color="002C47"/>
              <w:bottom w:val="single" w:sz="8" w:space="0" w:color="002C47"/>
              <w:right w:val="single" w:sz="8" w:space="0" w:color="002C47"/>
            </w:tcBorders>
          </w:tcPr>
          <w:p w14:paraId="671912CA" w14:textId="538A99E1" w:rsidR="00AC1774" w:rsidRPr="008B51DF" w:rsidRDefault="00AC1774" w:rsidP="00AC1774">
            <w:r w:rsidRPr="008B51DF">
              <w:t>Neuroendocrine tumour</w:t>
            </w:r>
          </w:p>
        </w:tc>
      </w:tr>
      <w:tr w:rsidR="00AC1774" w:rsidRPr="008B51DF" w14:paraId="593095B0"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694CA0EF" w14:textId="073E3D5C" w:rsidR="00AC1774" w:rsidRPr="008B51DF" w:rsidRDefault="00AC1774" w:rsidP="00AC1774">
            <w:r w:rsidRPr="008B51DF">
              <w:t>ORR</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3BC6EAF5" w14:textId="79C4A61F" w:rsidR="00AC1774" w:rsidRPr="008B51DF" w:rsidRDefault="00AC1774" w:rsidP="00AC1774">
            <w:r w:rsidRPr="008B51DF">
              <w:t>Objective response rate</w:t>
            </w:r>
          </w:p>
        </w:tc>
      </w:tr>
      <w:tr w:rsidR="00AC1774" w:rsidRPr="008B51DF" w14:paraId="525EEDD4"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tcPr>
          <w:p w14:paraId="15016E11" w14:textId="0825D9D8" w:rsidR="00AC1774" w:rsidRPr="008B51DF" w:rsidRDefault="00AC1774" w:rsidP="00AC1774">
            <w:r w:rsidRPr="008B51DF">
              <w:lastRenderedPageBreak/>
              <w:t>OS</w:t>
            </w:r>
          </w:p>
        </w:tc>
        <w:tc>
          <w:tcPr>
            <w:tcW w:w="3804" w:type="pct"/>
            <w:gridSpan w:val="2"/>
            <w:tcBorders>
              <w:top w:val="single" w:sz="8" w:space="0" w:color="002C47"/>
              <w:left w:val="single" w:sz="8" w:space="0" w:color="002C47"/>
              <w:bottom w:val="single" w:sz="8" w:space="0" w:color="002C47"/>
              <w:right w:val="single" w:sz="8" w:space="0" w:color="002C47"/>
            </w:tcBorders>
          </w:tcPr>
          <w:p w14:paraId="72E83C51" w14:textId="2F22DA35" w:rsidR="00AC1774" w:rsidRPr="008B51DF" w:rsidRDefault="00AC1774" w:rsidP="00AC1774">
            <w:r w:rsidRPr="008B51DF">
              <w:t>Overall survival</w:t>
            </w:r>
          </w:p>
        </w:tc>
      </w:tr>
      <w:tr w:rsidR="00AC1774" w:rsidRPr="008B51DF" w14:paraId="77736E21" w14:textId="77777777" w:rsidTr="00511BCF">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F9FC1D6" w14:textId="6719F992" w:rsidR="00AC1774" w:rsidRPr="008B51DF" w:rsidRDefault="00AC1774" w:rsidP="00AC1774">
            <w:r w:rsidRPr="008B51DF">
              <w:t>PBAC</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1EDBF5DA" w14:textId="6A883977" w:rsidR="00AC1774" w:rsidRPr="008B51DF" w:rsidRDefault="00AC1774" w:rsidP="00AC1774">
            <w:r w:rsidRPr="008B51DF">
              <w:t>Pharmaceutical Benefits Advisory Committee</w:t>
            </w:r>
          </w:p>
        </w:tc>
      </w:tr>
      <w:tr w:rsidR="00AC1774" w:rsidRPr="008B51DF" w14:paraId="1FB472A0" w14:textId="77777777" w:rsidTr="00511BCF">
        <w:trPr>
          <w:cantSplit/>
        </w:trPr>
        <w:tc>
          <w:tcPr>
            <w:tcW w:w="1196" w:type="pct"/>
            <w:tcBorders>
              <w:top w:val="single" w:sz="8" w:space="0" w:color="002C47"/>
              <w:left w:val="single" w:sz="8" w:space="0" w:color="002C47"/>
              <w:bottom w:val="single" w:sz="8" w:space="0" w:color="002C47"/>
              <w:right w:val="single" w:sz="8" w:space="0" w:color="002C47"/>
            </w:tcBorders>
          </w:tcPr>
          <w:p w14:paraId="1D2149AD" w14:textId="07118BDC" w:rsidR="00AC1774" w:rsidRPr="008B51DF" w:rsidRDefault="00AC1774" w:rsidP="00AC1774">
            <w:bookmarkStart w:id="7" w:name="_Hlk114229292"/>
            <w:r w:rsidRPr="008B51DF">
              <w:t>PFS</w:t>
            </w:r>
            <w:bookmarkEnd w:id="7"/>
          </w:p>
        </w:tc>
        <w:tc>
          <w:tcPr>
            <w:tcW w:w="3804" w:type="pct"/>
            <w:gridSpan w:val="2"/>
            <w:tcBorders>
              <w:top w:val="single" w:sz="8" w:space="0" w:color="002C47"/>
              <w:left w:val="single" w:sz="8" w:space="0" w:color="002C47"/>
              <w:bottom w:val="single" w:sz="8" w:space="0" w:color="002C47"/>
              <w:right w:val="single" w:sz="8" w:space="0" w:color="002C47"/>
            </w:tcBorders>
          </w:tcPr>
          <w:p w14:paraId="211437FC" w14:textId="472F338A" w:rsidR="00AC1774" w:rsidRPr="008B51DF" w:rsidRDefault="00AC1774" w:rsidP="00AC1774">
            <w:r w:rsidRPr="008B51DF">
              <w:t>Progression-free survival</w:t>
            </w:r>
          </w:p>
        </w:tc>
      </w:tr>
      <w:tr w:rsidR="00AC1774" w:rsidRPr="008B51DF" w14:paraId="0A74F084"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tcPr>
          <w:p w14:paraId="4327F240" w14:textId="78D90CF2" w:rsidR="00AC1774" w:rsidRPr="008B51DF" w:rsidRDefault="00AC1774" w:rsidP="00AC1774">
            <w:r w:rsidRPr="008B51DF">
              <w:t>PI</w:t>
            </w:r>
          </w:p>
        </w:tc>
        <w:tc>
          <w:tcPr>
            <w:tcW w:w="3804" w:type="pct"/>
            <w:gridSpan w:val="2"/>
            <w:tcBorders>
              <w:top w:val="single" w:sz="8" w:space="0" w:color="002C47"/>
              <w:left w:val="single" w:sz="8" w:space="0" w:color="002C47"/>
              <w:bottom w:val="single" w:sz="8" w:space="0" w:color="002C47"/>
              <w:right w:val="single" w:sz="8" w:space="0" w:color="002C47"/>
            </w:tcBorders>
          </w:tcPr>
          <w:p w14:paraId="6E854A01" w14:textId="39D29B9F" w:rsidR="00AC1774" w:rsidRPr="008B51DF" w:rsidRDefault="00AC1774" w:rsidP="00AC1774">
            <w:r w:rsidRPr="008B51DF">
              <w:t>Product Information</w:t>
            </w:r>
          </w:p>
        </w:tc>
      </w:tr>
      <w:tr w:rsidR="00AC1774" w:rsidRPr="008B51DF" w14:paraId="0C00831B"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2EF56F2" w14:textId="5FA8F867" w:rsidR="00AC1774" w:rsidRPr="008B51DF" w:rsidRDefault="00AC1774" w:rsidP="00AC1774">
            <w:r w:rsidRPr="008B51DF">
              <w:t>PRRT</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52E73C48" w14:textId="704E78DB" w:rsidR="00AC1774" w:rsidRPr="008B51DF" w:rsidRDefault="00AC1774" w:rsidP="00AC1774">
            <w:r w:rsidRPr="008B51DF">
              <w:t>Peptide receptor radionuclide therapy</w:t>
            </w:r>
          </w:p>
        </w:tc>
      </w:tr>
      <w:tr w:rsidR="00AC1774" w:rsidRPr="008B51DF" w14:paraId="13DFD7D5"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tcPr>
          <w:p w14:paraId="68EF6E43" w14:textId="0D7F69EA" w:rsidR="00AC1774" w:rsidRPr="008B51DF" w:rsidRDefault="00AC1774" w:rsidP="00AC1774">
            <w:r w:rsidRPr="008B51DF">
              <w:t>PSMA</w:t>
            </w:r>
          </w:p>
        </w:tc>
        <w:tc>
          <w:tcPr>
            <w:tcW w:w="3804" w:type="pct"/>
            <w:gridSpan w:val="2"/>
            <w:tcBorders>
              <w:top w:val="single" w:sz="8" w:space="0" w:color="002C47"/>
              <w:left w:val="single" w:sz="8" w:space="0" w:color="002C47"/>
              <w:bottom w:val="single" w:sz="8" w:space="0" w:color="002C47"/>
              <w:right w:val="single" w:sz="8" w:space="0" w:color="002C47"/>
            </w:tcBorders>
          </w:tcPr>
          <w:p w14:paraId="4465E3C5" w14:textId="6C0EEF53" w:rsidR="00AC1774" w:rsidRPr="008B51DF" w:rsidRDefault="00AC1774" w:rsidP="00AC1774">
            <w:r w:rsidRPr="008B51DF">
              <w:t>Prostate-specific membrane antigen</w:t>
            </w:r>
          </w:p>
        </w:tc>
      </w:tr>
      <w:tr w:rsidR="00AC1774" w:rsidRPr="008B51DF" w14:paraId="6F8689A8" w14:textId="77777777" w:rsidTr="00511BCF">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3B65C5EE" w14:textId="140041A2" w:rsidR="00AC1774" w:rsidRPr="008B51DF" w:rsidRDefault="00AC1774" w:rsidP="00AC1774">
            <w:r w:rsidRPr="008B51DF">
              <w:t>PSUR</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4A671467" w14:textId="68E2AEB4" w:rsidR="00AC1774" w:rsidRPr="008B51DF" w:rsidRDefault="00AC1774" w:rsidP="00AC1774">
            <w:r w:rsidRPr="008B51DF">
              <w:t>Periodic safety update report</w:t>
            </w:r>
          </w:p>
        </w:tc>
      </w:tr>
      <w:tr w:rsidR="00AC1774" w:rsidRPr="008B51DF" w14:paraId="09D560CD"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tcPr>
          <w:p w14:paraId="5FAAD99E" w14:textId="5B551AD6" w:rsidR="00AC1774" w:rsidRPr="008B51DF" w:rsidRDefault="00AC1774" w:rsidP="00AC1774">
            <w:r w:rsidRPr="008B51DF">
              <w:t>RECIST</w:t>
            </w:r>
          </w:p>
        </w:tc>
        <w:tc>
          <w:tcPr>
            <w:tcW w:w="3804" w:type="pct"/>
            <w:gridSpan w:val="2"/>
            <w:tcBorders>
              <w:top w:val="single" w:sz="8" w:space="0" w:color="002C47"/>
              <w:left w:val="single" w:sz="8" w:space="0" w:color="002C47"/>
              <w:bottom w:val="single" w:sz="8" w:space="0" w:color="002C47"/>
              <w:right w:val="single" w:sz="8" w:space="0" w:color="002C47"/>
            </w:tcBorders>
          </w:tcPr>
          <w:p w14:paraId="386B5CD6" w14:textId="6AF36FB6" w:rsidR="00AC1774" w:rsidRPr="008B51DF" w:rsidRDefault="00AC1774" w:rsidP="00AC1774">
            <w:r w:rsidRPr="008B51DF">
              <w:t xml:space="preserve">Response Evaluation Criteria </w:t>
            </w:r>
            <w:proofErr w:type="gramStart"/>
            <w:r w:rsidRPr="008B51DF">
              <w:t>In</w:t>
            </w:r>
            <w:proofErr w:type="gramEnd"/>
            <w:r w:rsidRPr="008B51DF">
              <w:t xml:space="preserve"> Solid Tumours</w:t>
            </w:r>
          </w:p>
        </w:tc>
      </w:tr>
      <w:tr w:rsidR="00AC1774" w:rsidRPr="008B51DF" w14:paraId="6837D977" w14:textId="77777777" w:rsidTr="00511BCF">
        <w:trPr>
          <w:cantSplit/>
        </w:trPr>
        <w:tc>
          <w:tcPr>
            <w:tcW w:w="1196" w:type="pct"/>
            <w:tcBorders>
              <w:top w:val="single" w:sz="8" w:space="0" w:color="002C47"/>
              <w:left w:val="single" w:sz="8" w:space="0" w:color="002C47"/>
              <w:bottom w:val="single" w:sz="8" w:space="0" w:color="002C47"/>
              <w:right w:val="single" w:sz="8" w:space="0" w:color="002C47"/>
            </w:tcBorders>
          </w:tcPr>
          <w:p w14:paraId="65DFA7C2" w14:textId="18118F82" w:rsidR="00AC1774" w:rsidRPr="008B51DF" w:rsidRDefault="00AC1774" w:rsidP="00AC1774">
            <w:r w:rsidRPr="008B51DF">
              <w:t>RMP</w:t>
            </w:r>
          </w:p>
        </w:tc>
        <w:tc>
          <w:tcPr>
            <w:tcW w:w="3804" w:type="pct"/>
            <w:gridSpan w:val="2"/>
            <w:tcBorders>
              <w:top w:val="single" w:sz="8" w:space="0" w:color="002C47"/>
              <w:left w:val="single" w:sz="8" w:space="0" w:color="002C47"/>
              <w:bottom w:val="single" w:sz="8" w:space="0" w:color="002C47"/>
              <w:right w:val="single" w:sz="8" w:space="0" w:color="002C47"/>
            </w:tcBorders>
          </w:tcPr>
          <w:p w14:paraId="5033A46D" w14:textId="74BB2166" w:rsidR="00AC1774" w:rsidRPr="008B51DF" w:rsidRDefault="00AC1774" w:rsidP="00AC1774">
            <w:r w:rsidRPr="008B51DF">
              <w:t>Risk management plan</w:t>
            </w:r>
          </w:p>
        </w:tc>
      </w:tr>
      <w:tr w:rsidR="00AC1774" w:rsidRPr="008B51DF" w14:paraId="6C29F0B5" w14:textId="77777777" w:rsidTr="00511BCF">
        <w:trPr>
          <w:cantSplit/>
        </w:trPr>
        <w:tc>
          <w:tcPr>
            <w:tcW w:w="1196" w:type="pct"/>
            <w:tcBorders>
              <w:top w:val="single" w:sz="8" w:space="0" w:color="002C47"/>
              <w:left w:val="single" w:sz="8" w:space="0" w:color="002C47"/>
              <w:bottom w:val="single" w:sz="8" w:space="0" w:color="002C47"/>
              <w:right w:val="single" w:sz="8" w:space="0" w:color="002C47"/>
            </w:tcBorders>
          </w:tcPr>
          <w:p w14:paraId="4A051A24" w14:textId="49FD4894" w:rsidR="00AC1774" w:rsidRPr="008B51DF" w:rsidRDefault="00AC1774" w:rsidP="00AC1774">
            <w:r w:rsidRPr="008B51DF">
              <w:t>SAS</w:t>
            </w:r>
          </w:p>
        </w:tc>
        <w:tc>
          <w:tcPr>
            <w:tcW w:w="3804" w:type="pct"/>
            <w:gridSpan w:val="2"/>
            <w:tcBorders>
              <w:top w:val="single" w:sz="8" w:space="0" w:color="002C47"/>
              <w:left w:val="single" w:sz="8" w:space="0" w:color="002C47"/>
              <w:bottom w:val="single" w:sz="8" w:space="0" w:color="002C47"/>
              <w:right w:val="single" w:sz="8" w:space="0" w:color="002C47"/>
            </w:tcBorders>
          </w:tcPr>
          <w:p w14:paraId="40C8A335" w14:textId="14D63FCB" w:rsidR="00AC1774" w:rsidRPr="008B51DF" w:rsidRDefault="00AC1774" w:rsidP="00AC1774">
            <w:r w:rsidRPr="008B51DF">
              <w:t>Special Access Scheme</w:t>
            </w:r>
          </w:p>
        </w:tc>
      </w:tr>
      <w:tr w:rsidR="00AC1774" w:rsidRPr="008B51DF" w14:paraId="117A92E2"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5B9AC545" w14:textId="7A5A030B" w:rsidR="00AC1774" w:rsidRPr="008B51DF" w:rsidRDefault="00AC1774" w:rsidP="00AC1774">
            <w:r w:rsidRPr="008B51DF">
              <w:t>SSTR</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5B8ED47C" w14:textId="6A33B4F4" w:rsidR="00AC1774" w:rsidRPr="008B51DF" w:rsidRDefault="00AC1774" w:rsidP="00AC1774">
            <w:r w:rsidRPr="008B51DF">
              <w:t>Somatostatin receptor</w:t>
            </w:r>
          </w:p>
        </w:tc>
      </w:tr>
      <w:tr w:rsidR="00AC1774" w:rsidRPr="008B51DF" w14:paraId="253A1EC5"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C0B1BAD" w14:textId="5CB1ED80" w:rsidR="00AC1774" w:rsidRPr="008B51DF" w:rsidRDefault="00AC1774" w:rsidP="00AC1774">
            <w:r w:rsidRPr="008B51DF">
              <w:t>SSTR1</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41318EA5" w14:textId="30F120D1" w:rsidR="00AC1774" w:rsidRPr="008B51DF" w:rsidRDefault="00AC1774" w:rsidP="00AC1774">
            <w:r w:rsidRPr="008B51DF">
              <w:t>Somatostatin type 1 receptor</w:t>
            </w:r>
          </w:p>
        </w:tc>
      </w:tr>
      <w:tr w:rsidR="00AC1774" w:rsidRPr="008B51DF" w14:paraId="2F9A2D8A"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0E669612" w14:textId="2D84B92F" w:rsidR="00AC1774" w:rsidRPr="008B51DF" w:rsidRDefault="00AC1774" w:rsidP="00AC1774">
            <w:r w:rsidRPr="008B51DF">
              <w:t>SSTR2</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1097EE35" w14:textId="57C10FF2" w:rsidR="00AC1774" w:rsidRPr="008B51DF" w:rsidRDefault="00AC1774" w:rsidP="00AC1774">
            <w:r w:rsidRPr="008B51DF">
              <w:t>Somatostatin type 2 receptor</w:t>
            </w:r>
          </w:p>
        </w:tc>
      </w:tr>
      <w:tr w:rsidR="00AC1774" w:rsidRPr="008B51DF" w14:paraId="38B29F72" w14:textId="77777777" w:rsidTr="00FD67C1">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3D05A1A5" w14:textId="248DA8E2" w:rsidR="00AC1774" w:rsidRPr="008B51DF" w:rsidRDefault="00AC1774" w:rsidP="00AC1774">
            <w:r w:rsidRPr="008B51DF">
              <w:t>SSTR5</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1C16FB47" w14:textId="6994A424" w:rsidR="00AC1774" w:rsidRPr="008B51DF" w:rsidRDefault="00AC1774" w:rsidP="00AC1774">
            <w:r w:rsidRPr="008B51DF">
              <w:t>Somatostatin type 5 receptor</w:t>
            </w:r>
          </w:p>
        </w:tc>
      </w:tr>
      <w:tr w:rsidR="00AC1774" w:rsidRPr="008B51DF" w14:paraId="0C30CDC3"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035EA305" w14:textId="0669E235" w:rsidR="00AC1774" w:rsidRPr="008B51DF" w:rsidRDefault="00AC1774" w:rsidP="00AC1774">
            <w:r w:rsidRPr="008B51DF">
              <w:t>µ</w:t>
            </w:r>
            <w:proofErr w:type="spellStart"/>
            <w:r w:rsidRPr="008B51DF">
              <w:t>Sv</w:t>
            </w:r>
            <w:proofErr w:type="spellEnd"/>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60A09995" w14:textId="2717B8AA" w:rsidR="00AC1774" w:rsidRPr="008B51DF" w:rsidRDefault="00AC1774" w:rsidP="00AC1774">
            <w:bookmarkStart w:id="8" w:name="_Hlk114223323"/>
            <w:proofErr w:type="spellStart"/>
            <w:r w:rsidRPr="008B51DF">
              <w:t>Microsievert</w:t>
            </w:r>
            <w:bookmarkEnd w:id="8"/>
            <w:proofErr w:type="spellEnd"/>
          </w:p>
        </w:tc>
      </w:tr>
      <w:tr w:rsidR="00AC1774" w:rsidRPr="008B51DF" w14:paraId="3427B0B4"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13A1ACD5" w14:textId="71B2CBFE" w:rsidR="00AC1774" w:rsidRPr="008B51DF" w:rsidRDefault="00AC1774" w:rsidP="00AC1774">
            <w:r w:rsidRPr="008B51DF">
              <w:t>T3</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3C701D7A" w14:textId="7348D0F9" w:rsidR="00AC1774" w:rsidRPr="008B51DF" w:rsidRDefault="00AC1774" w:rsidP="00AC1774">
            <w:r w:rsidRPr="008B51DF">
              <w:t>Triiodothyronine</w:t>
            </w:r>
          </w:p>
        </w:tc>
      </w:tr>
      <w:tr w:rsidR="00AC1774" w:rsidRPr="008B51DF" w14:paraId="40F802A7"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627E26CC" w14:textId="058A8887" w:rsidR="00AC1774" w:rsidRPr="008B51DF" w:rsidRDefault="00AC1774" w:rsidP="00AC1774">
            <w:r w:rsidRPr="008B51DF">
              <w:t>T4</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1CA354C6" w14:textId="2EA45DF0" w:rsidR="00AC1774" w:rsidRPr="008B51DF" w:rsidRDefault="00AC1774" w:rsidP="00AC1774">
            <w:r w:rsidRPr="008B51DF">
              <w:t>Thyroxine</w:t>
            </w:r>
          </w:p>
        </w:tc>
      </w:tr>
      <w:tr w:rsidR="00AC1774" w:rsidRPr="008B51DF" w14:paraId="4DFB9A05"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751CD845" w14:textId="48509A57" w:rsidR="00AC1774" w:rsidRPr="008B51DF" w:rsidRDefault="00AC1774" w:rsidP="00AC1774">
            <w:r w:rsidRPr="008B51DF">
              <w:t>TGA</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6EA1BDCF" w14:textId="573DE45B" w:rsidR="00AC1774" w:rsidRPr="008B51DF" w:rsidRDefault="00AC1774" w:rsidP="00AC1774">
            <w:r w:rsidRPr="008B51DF">
              <w:t>Therapeutic Goods Administration</w:t>
            </w:r>
          </w:p>
        </w:tc>
      </w:tr>
      <w:tr w:rsidR="00AC1774" w:rsidRPr="008B51DF" w14:paraId="575449ED"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2E6BCF2E" w14:textId="57A4DF30" w:rsidR="00AC1774" w:rsidRPr="008B51DF" w:rsidRDefault="00AC1774" w:rsidP="00AC1774">
            <w:r w:rsidRPr="008B51DF">
              <w:t>WHO</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78F7D932" w14:textId="6B132953" w:rsidR="00AC1774" w:rsidRPr="008B51DF" w:rsidRDefault="00AC1774" w:rsidP="00AC1774">
            <w:r w:rsidRPr="008B51DF">
              <w:t>World Health Organization</w:t>
            </w:r>
          </w:p>
        </w:tc>
      </w:tr>
      <w:tr w:rsidR="00AC1774" w:rsidRPr="008B51DF" w14:paraId="533EFA2A"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0FD8F40F" w14:textId="320FEC4F" w:rsidR="00AC1774" w:rsidRPr="008B51DF" w:rsidRDefault="00AC1774" w:rsidP="00AC1774">
            <w:r w:rsidRPr="008B51DF">
              <w:rPr>
                <w:vertAlign w:val="superscript"/>
              </w:rPr>
              <w:t>176</w:t>
            </w:r>
            <w:r w:rsidRPr="008B51DF">
              <w:t>Yb</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1117A5C4" w14:textId="1F6DFE97" w:rsidR="00AC1774" w:rsidRPr="008B51DF" w:rsidRDefault="00AC1774" w:rsidP="00AC1774">
            <w:r w:rsidRPr="008B51DF">
              <w:t>Ytterbium</w:t>
            </w:r>
            <w:r w:rsidR="009B05AC" w:rsidRPr="008B51DF">
              <w:t>-176</w:t>
            </w:r>
          </w:p>
        </w:tc>
      </w:tr>
      <w:tr w:rsidR="009B05AC" w:rsidRPr="008B51DF" w14:paraId="749E34A2" w14:textId="77777777" w:rsidTr="00E77AEB">
        <w:trPr>
          <w:cantSplit/>
        </w:trPr>
        <w:tc>
          <w:tcPr>
            <w:tcW w:w="1196" w:type="pct"/>
            <w:tcBorders>
              <w:top w:val="single" w:sz="8" w:space="0" w:color="002C47"/>
              <w:left w:val="single" w:sz="8" w:space="0" w:color="002C47"/>
              <w:bottom w:val="single" w:sz="8" w:space="0" w:color="002C47"/>
              <w:right w:val="single" w:sz="8" w:space="0" w:color="002C47"/>
            </w:tcBorders>
            <w:vAlign w:val="center"/>
          </w:tcPr>
          <w:p w14:paraId="550D755E" w14:textId="5F2E598A" w:rsidR="009B05AC" w:rsidRPr="008B51DF" w:rsidRDefault="009B05AC" w:rsidP="009B05AC">
            <w:pPr>
              <w:rPr>
                <w:vertAlign w:val="superscript"/>
              </w:rPr>
            </w:pPr>
            <w:r w:rsidRPr="008B51DF">
              <w:rPr>
                <w:vertAlign w:val="superscript"/>
              </w:rPr>
              <w:t>177</w:t>
            </w:r>
            <w:r w:rsidRPr="008B51DF">
              <w:t>Yb</w:t>
            </w:r>
          </w:p>
        </w:tc>
        <w:tc>
          <w:tcPr>
            <w:tcW w:w="3804" w:type="pct"/>
            <w:gridSpan w:val="2"/>
            <w:tcBorders>
              <w:top w:val="single" w:sz="8" w:space="0" w:color="002C47"/>
              <w:left w:val="single" w:sz="8" w:space="0" w:color="002C47"/>
              <w:bottom w:val="single" w:sz="8" w:space="0" w:color="002C47"/>
              <w:right w:val="single" w:sz="8" w:space="0" w:color="002C47"/>
            </w:tcBorders>
            <w:vAlign w:val="center"/>
          </w:tcPr>
          <w:p w14:paraId="005C6BBF" w14:textId="4B3825FB" w:rsidR="009B05AC" w:rsidRPr="008B51DF" w:rsidRDefault="009B05AC" w:rsidP="009B05AC">
            <w:r w:rsidRPr="008B51DF">
              <w:t>Ytterbium-177</w:t>
            </w:r>
          </w:p>
        </w:tc>
      </w:tr>
    </w:tbl>
    <w:p w14:paraId="66482C78" w14:textId="77777777" w:rsidR="00FD119B" w:rsidRPr="008B51DF" w:rsidRDefault="00FD119B" w:rsidP="00FD119B">
      <w:pPr>
        <w:spacing w:before="0" w:after="200" w:line="0" w:lineRule="auto"/>
        <w:rPr>
          <w:b/>
          <w:i/>
          <w:sz w:val="24"/>
          <w:szCs w:val="24"/>
        </w:rPr>
      </w:pPr>
      <w:r w:rsidRPr="008B51DF">
        <w:rPr>
          <w:b/>
          <w:i/>
          <w:sz w:val="24"/>
          <w:szCs w:val="24"/>
        </w:rPr>
        <w:br w:type="page"/>
      </w:r>
    </w:p>
    <w:p w14:paraId="33EC27FF" w14:textId="77777777" w:rsidR="008E7846" w:rsidRPr="008B51DF" w:rsidRDefault="009F2673" w:rsidP="008E7846">
      <w:pPr>
        <w:pStyle w:val="Heading2"/>
      </w:pPr>
      <w:bookmarkStart w:id="9" w:name="_Toc114238822"/>
      <w:r w:rsidRPr="008B51DF">
        <w:lastRenderedPageBreak/>
        <w:t>Pr</w:t>
      </w:r>
      <w:r w:rsidR="008E7846" w:rsidRPr="008B51DF">
        <w:t>oduct submission</w:t>
      </w:r>
      <w:bookmarkEnd w:id="9"/>
      <w:bookmarkEnd w:id="2"/>
      <w:bookmarkEnd w:id="0"/>
    </w:p>
    <w:p w14:paraId="446D2995" w14:textId="77777777" w:rsidR="008E7846" w:rsidRPr="008B51DF" w:rsidRDefault="008E7846" w:rsidP="009E5A87">
      <w:pPr>
        <w:pStyle w:val="Heading3"/>
        <w:rPr>
          <w:lang w:eastAsia="en-AU"/>
        </w:rPr>
      </w:pPr>
      <w:bookmarkStart w:id="10" w:name="_Toc247691502"/>
      <w:bookmarkStart w:id="11" w:name="_Toc314842483"/>
      <w:bookmarkStart w:id="12" w:name="_Toc114238823"/>
      <w:r w:rsidRPr="008B51DF">
        <w:rPr>
          <w:lang w:eastAsia="en-AU"/>
        </w:rPr>
        <w:t>Submission details</w:t>
      </w:r>
      <w:bookmarkEnd w:id="10"/>
      <w:bookmarkEnd w:id="11"/>
      <w:bookmarkEnd w:id="12"/>
    </w:p>
    <w:tbl>
      <w:tblPr>
        <w:tblW w:w="5000" w:type="pct"/>
        <w:tblLook w:val="01E0" w:firstRow="1" w:lastRow="1" w:firstColumn="1" w:lastColumn="1" w:noHBand="0" w:noVBand="0"/>
      </w:tblPr>
      <w:tblGrid>
        <w:gridCol w:w="2682"/>
        <w:gridCol w:w="5822"/>
      </w:tblGrid>
      <w:tr w:rsidR="009F2673" w:rsidRPr="008B51DF" w14:paraId="16D5F251" w14:textId="77777777" w:rsidTr="00EF39C2">
        <w:tc>
          <w:tcPr>
            <w:tcW w:w="1577" w:type="pct"/>
          </w:tcPr>
          <w:p w14:paraId="2AE11538" w14:textId="77777777" w:rsidR="009F2673" w:rsidRPr="008B51DF" w:rsidRDefault="009F2673" w:rsidP="009E5A87">
            <w:pPr>
              <w:rPr>
                <w:i/>
              </w:rPr>
            </w:pPr>
            <w:r w:rsidRPr="008B51DF">
              <w:rPr>
                <w:i/>
              </w:rPr>
              <w:t>Type of submission:</w:t>
            </w:r>
          </w:p>
        </w:tc>
        <w:tc>
          <w:tcPr>
            <w:tcW w:w="3423" w:type="pct"/>
          </w:tcPr>
          <w:p w14:paraId="17F7C1E3" w14:textId="6A090EC5" w:rsidR="009F2673" w:rsidRPr="008B51DF" w:rsidRDefault="009F2673" w:rsidP="009E5A87">
            <w:r w:rsidRPr="008B51DF">
              <w:t>New chemical entity</w:t>
            </w:r>
          </w:p>
        </w:tc>
      </w:tr>
      <w:tr w:rsidR="009F2673" w:rsidRPr="008B51DF" w14:paraId="32347BCB" w14:textId="77777777" w:rsidTr="00EF39C2">
        <w:tc>
          <w:tcPr>
            <w:tcW w:w="1577" w:type="pct"/>
          </w:tcPr>
          <w:p w14:paraId="28BDC087" w14:textId="31FFE827" w:rsidR="009F2673" w:rsidRPr="008B51DF" w:rsidRDefault="009F2673" w:rsidP="009E5A87">
            <w:pPr>
              <w:rPr>
                <w:i/>
              </w:rPr>
            </w:pPr>
            <w:r w:rsidRPr="008B51DF">
              <w:rPr>
                <w:i/>
              </w:rPr>
              <w:t>Product name:</w:t>
            </w:r>
          </w:p>
        </w:tc>
        <w:tc>
          <w:tcPr>
            <w:tcW w:w="3423" w:type="pct"/>
          </w:tcPr>
          <w:p w14:paraId="128FD03D" w14:textId="71B785E0" w:rsidR="009F2673" w:rsidRPr="008B51DF" w:rsidRDefault="00EF39C2" w:rsidP="009E5A87">
            <w:r w:rsidRPr="008B51DF">
              <w:t>Lutetium (</w:t>
            </w:r>
            <w:r w:rsidRPr="008B51DF">
              <w:rPr>
                <w:vertAlign w:val="superscript"/>
              </w:rPr>
              <w:t>177</w:t>
            </w:r>
            <w:r w:rsidRPr="008B51DF">
              <w:t xml:space="preserve">Lu) </w:t>
            </w:r>
            <w:r w:rsidR="00547069" w:rsidRPr="008B51DF">
              <w:t>c</w:t>
            </w:r>
            <w:r w:rsidRPr="008B51DF">
              <w:t>hloride</w:t>
            </w:r>
          </w:p>
        </w:tc>
      </w:tr>
      <w:tr w:rsidR="009F2673" w:rsidRPr="008B51DF" w14:paraId="48B3E054" w14:textId="77777777" w:rsidTr="00EF39C2">
        <w:tc>
          <w:tcPr>
            <w:tcW w:w="1577" w:type="pct"/>
          </w:tcPr>
          <w:p w14:paraId="227DE71A" w14:textId="1E7FA75F" w:rsidR="009F2673" w:rsidRPr="008B51DF" w:rsidRDefault="009F2673" w:rsidP="009E5A87">
            <w:pPr>
              <w:rPr>
                <w:i/>
              </w:rPr>
            </w:pPr>
            <w:r w:rsidRPr="008B51DF">
              <w:rPr>
                <w:i/>
              </w:rPr>
              <w:t>Active ingredient:</w:t>
            </w:r>
          </w:p>
        </w:tc>
        <w:tc>
          <w:tcPr>
            <w:tcW w:w="3423" w:type="pct"/>
          </w:tcPr>
          <w:p w14:paraId="53178771" w14:textId="2897E0EE" w:rsidR="009F2673" w:rsidRPr="008B51DF" w:rsidRDefault="00EF39C2" w:rsidP="009E5A87">
            <w:r w:rsidRPr="008B51DF">
              <w:t>Lutetium (</w:t>
            </w:r>
            <w:r w:rsidRPr="008B51DF">
              <w:rPr>
                <w:vertAlign w:val="superscript"/>
              </w:rPr>
              <w:t>177</w:t>
            </w:r>
            <w:r w:rsidRPr="008B51DF">
              <w:t xml:space="preserve">Lu) </w:t>
            </w:r>
            <w:r w:rsidR="00992227" w:rsidRPr="008B51DF">
              <w:t>c</w:t>
            </w:r>
            <w:r w:rsidRPr="008B51DF">
              <w:t>hloride</w:t>
            </w:r>
          </w:p>
        </w:tc>
      </w:tr>
      <w:tr w:rsidR="009F2673" w:rsidRPr="008B51DF" w14:paraId="37A280B7" w14:textId="77777777" w:rsidTr="00EF39C2">
        <w:tc>
          <w:tcPr>
            <w:tcW w:w="1577" w:type="pct"/>
          </w:tcPr>
          <w:p w14:paraId="37B1CE08" w14:textId="77777777" w:rsidR="009F2673" w:rsidRPr="008B51DF" w:rsidRDefault="009F2673" w:rsidP="009E5A87">
            <w:pPr>
              <w:rPr>
                <w:i/>
              </w:rPr>
            </w:pPr>
            <w:r w:rsidRPr="008B51DF">
              <w:rPr>
                <w:i/>
              </w:rPr>
              <w:t>Decision:</w:t>
            </w:r>
          </w:p>
        </w:tc>
        <w:tc>
          <w:tcPr>
            <w:tcW w:w="3423" w:type="pct"/>
          </w:tcPr>
          <w:p w14:paraId="3B39E8BD" w14:textId="4EA271BC" w:rsidR="009F2673" w:rsidRPr="008B51DF" w:rsidRDefault="009F2673" w:rsidP="009E5A87">
            <w:r w:rsidRPr="008B51DF">
              <w:t>Approved</w:t>
            </w:r>
          </w:p>
        </w:tc>
      </w:tr>
      <w:tr w:rsidR="009F2673" w:rsidRPr="008B51DF" w14:paraId="76749326" w14:textId="77777777" w:rsidTr="00EF39C2">
        <w:tc>
          <w:tcPr>
            <w:tcW w:w="1577" w:type="pct"/>
          </w:tcPr>
          <w:p w14:paraId="7030AF17" w14:textId="77777777" w:rsidR="009F2673" w:rsidRPr="008B51DF" w:rsidRDefault="009F2673" w:rsidP="009E5A87">
            <w:pPr>
              <w:rPr>
                <w:i/>
              </w:rPr>
            </w:pPr>
            <w:r w:rsidRPr="008B51DF">
              <w:rPr>
                <w:i/>
              </w:rPr>
              <w:t>Date of decision:</w:t>
            </w:r>
          </w:p>
        </w:tc>
        <w:tc>
          <w:tcPr>
            <w:tcW w:w="3423" w:type="pct"/>
          </w:tcPr>
          <w:p w14:paraId="16B9F18E" w14:textId="0D1C4F9A" w:rsidR="009F2673" w:rsidRPr="008B51DF" w:rsidRDefault="00EF39C2" w:rsidP="009E5A87">
            <w:r w:rsidRPr="008B51DF">
              <w:t>8 December 2021</w:t>
            </w:r>
          </w:p>
        </w:tc>
      </w:tr>
      <w:tr w:rsidR="009F2673" w:rsidRPr="008B51DF" w14:paraId="7E1481BC" w14:textId="77777777" w:rsidTr="00EF39C2">
        <w:tc>
          <w:tcPr>
            <w:tcW w:w="1577" w:type="pct"/>
          </w:tcPr>
          <w:p w14:paraId="713E0C57" w14:textId="77777777" w:rsidR="009F2673" w:rsidRPr="008B51DF" w:rsidRDefault="009F2673" w:rsidP="009E5A87">
            <w:pPr>
              <w:rPr>
                <w:i/>
              </w:rPr>
            </w:pPr>
            <w:r w:rsidRPr="008B51DF">
              <w:rPr>
                <w:i/>
              </w:rPr>
              <w:t>Date of entry onto ARTG:</w:t>
            </w:r>
          </w:p>
        </w:tc>
        <w:tc>
          <w:tcPr>
            <w:tcW w:w="3423" w:type="pct"/>
          </w:tcPr>
          <w:p w14:paraId="746C6967" w14:textId="6D6F031B" w:rsidR="009F2673" w:rsidRPr="008B51DF" w:rsidRDefault="00EF39C2" w:rsidP="009E5A87">
            <w:r w:rsidRPr="008B51DF">
              <w:t>11 January 2022</w:t>
            </w:r>
          </w:p>
        </w:tc>
      </w:tr>
      <w:tr w:rsidR="009F2673" w:rsidRPr="008B51DF" w14:paraId="02E7B173" w14:textId="77777777" w:rsidTr="00EF39C2">
        <w:tc>
          <w:tcPr>
            <w:tcW w:w="1577" w:type="pct"/>
          </w:tcPr>
          <w:p w14:paraId="73C20A19" w14:textId="798D7942" w:rsidR="009F2673" w:rsidRPr="008B51DF" w:rsidRDefault="009F2673" w:rsidP="009E5A87">
            <w:pPr>
              <w:rPr>
                <w:i/>
              </w:rPr>
            </w:pPr>
            <w:r w:rsidRPr="008B51DF">
              <w:rPr>
                <w:i/>
              </w:rPr>
              <w:t>ARTG number:</w:t>
            </w:r>
          </w:p>
        </w:tc>
        <w:tc>
          <w:tcPr>
            <w:tcW w:w="3423" w:type="pct"/>
          </w:tcPr>
          <w:p w14:paraId="760A4436" w14:textId="1D8CE8F8" w:rsidR="009F2673" w:rsidRPr="008B51DF" w:rsidRDefault="00EF39C2" w:rsidP="009E5A87">
            <w:r w:rsidRPr="008B51DF">
              <w:t>352151</w:t>
            </w:r>
          </w:p>
        </w:tc>
      </w:tr>
      <w:tr w:rsidR="009F2673" w:rsidRPr="008B51DF" w14:paraId="068CCA8B" w14:textId="77777777" w:rsidTr="00EF39C2">
        <w:tc>
          <w:tcPr>
            <w:tcW w:w="1577" w:type="pct"/>
          </w:tcPr>
          <w:p w14:paraId="0D8F3690" w14:textId="61FB3A9B" w:rsidR="009F2673" w:rsidRPr="008B51DF" w:rsidRDefault="001B1DA4" w:rsidP="009E5A87">
            <w:pPr>
              <w:rPr>
                <w:i/>
              </w:rPr>
            </w:pPr>
            <w:r w:rsidRPr="008B51DF">
              <w:rPr>
                <w:rFonts w:ascii="Wingdings 3" w:hAnsi="Wingdings 3"/>
                <w:sz w:val="34"/>
                <w:szCs w:val="34"/>
                <w:lang w:eastAsia="en-AU"/>
              </w:rPr>
              <w:t></w:t>
            </w:r>
            <w:hyperlink r:id="rId14" w:history="1">
              <w:r w:rsidR="009F2673" w:rsidRPr="008B51DF">
                <w:rPr>
                  <w:rStyle w:val="Hyperlink"/>
                  <w:i/>
                </w:rPr>
                <w:t>Black Triangle Scheme</w:t>
              </w:r>
            </w:hyperlink>
            <w:r w:rsidR="009F2673" w:rsidRPr="008B51DF">
              <w:rPr>
                <w:i/>
              </w:rPr>
              <w:t>:</w:t>
            </w:r>
          </w:p>
        </w:tc>
        <w:tc>
          <w:tcPr>
            <w:tcW w:w="3423" w:type="pct"/>
          </w:tcPr>
          <w:p w14:paraId="4A2CE51E" w14:textId="30766712" w:rsidR="009F2673" w:rsidRPr="008B51DF" w:rsidRDefault="009F2673" w:rsidP="009E5A87">
            <w:r w:rsidRPr="008B51DF">
              <w:t>Yes</w:t>
            </w:r>
            <w:r w:rsidR="00EF39C2" w:rsidRPr="008B51DF">
              <w:t>.</w:t>
            </w:r>
          </w:p>
          <w:p w14:paraId="5AD3B327" w14:textId="5EE57859" w:rsidR="009F2673" w:rsidRPr="008B51DF" w:rsidRDefault="009F2673" w:rsidP="009E5A87">
            <w:r w:rsidRPr="008B51DF">
              <w:t>This product will remain in the scheme for 5 years, starting on the date the product is first supplied in Australia</w:t>
            </w:r>
            <w:r w:rsidR="00EF39C2" w:rsidRPr="008B51DF">
              <w:t>.</w:t>
            </w:r>
          </w:p>
        </w:tc>
      </w:tr>
      <w:tr w:rsidR="009F2673" w:rsidRPr="008B51DF" w14:paraId="7FDDB815" w14:textId="77777777" w:rsidTr="00EF39C2">
        <w:tc>
          <w:tcPr>
            <w:tcW w:w="1577" w:type="pct"/>
          </w:tcPr>
          <w:p w14:paraId="6242F522" w14:textId="77777777" w:rsidR="009F2673" w:rsidRPr="008B51DF" w:rsidRDefault="009F2673" w:rsidP="009E5A87">
            <w:pPr>
              <w:rPr>
                <w:i/>
              </w:rPr>
            </w:pPr>
            <w:r w:rsidRPr="008B51DF">
              <w:rPr>
                <w:i/>
              </w:rPr>
              <w:t>Sponsor’s name and address:</w:t>
            </w:r>
          </w:p>
        </w:tc>
        <w:tc>
          <w:tcPr>
            <w:tcW w:w="3423" w:type="pct"/>
          </w:tcPr>
          <w:p w14:paraId="40EA5278" w14:textId="77777777" w:rsidR="009F2673" w:rsidRPr="008B51DF" w:rsidRDefault="00EF39C2" w:rsidP="009E5A87">
            <w:r w:rsidRPr="008B51DF">
              <w:t>Australian Nuclear Science and Technology Organisation (ANSTO)</w:t>
            </w:r>
          </w:p>
          <w:p w14:paraId="22F70EEE" w14:textId="77777777" w:rsidR="00EF39C2" w:rsidRPr="008B51DF" w:rsidRDefault="00EF39C2" w:rsidP="00EF39C2">
            <w:r w:rsidRPr="008B51DF">
              <w:t>Locked Bag 2001</w:t>
            </w:r>
          </w:p>
          <w:p w14:paraId="3DC313DC" w14:textId="59D0CEE4" w:rsidR="00EF39C2" w:rsidRPr="008B51DF" w:rsidRDefault="00EF39C2" w:rsidP="00EF39C2">
            <w:r w:rsidRPr="008B51DF">
              <w:t>Kirrawee DC, NSW 2232</w:t>
            </w:r>
          </w:p>
        </w:tc>
      </w:tr>
      <w:tr w:rsidR="009F2673" w:rsidRPr="008B51DF" w14:paraId="5CE73D87" w14:textId="77777777" w:rsidTr="00EF39C2">
        <w:tc>
          <w:tcPr>
            <w:tcW w:w="1577" w:type="pct"/>
          </w:tcPr>
          <w:p w14:paraId="77EC03AC" w14:textId="0E24B7C1" w:rsidR="009F2673" w:rsidRPr="008B51DF" w:rsidRDefault="009F2673" w:rsidP="009E5A87">
            <w:pPr>
              <w:rPr>
                <w:i/>
              </w:rPr>
            </w:pPr>
            <w:r w:rsidRPr="008B51DF">
              <w:rPr>
                <w:i/>
              </w:rPr>
              <w:t>Dose form:</w:t>
            </w:r>
          </w:p>
        </w:tc>
        <w:tc>
          <w:tcPr>
            <w:tcW w:w="3423" w:type="pct"/>
          </w:tcPr>
          <w:p w14:paraId="3455DC0A" w14:textId="5566E9FF" w:rsidR="009F2673" w:rsidRPr="008B51DF" w:rsidRDefault="00EF39C2" w:rsidP="009E5A87">
            <w:r w:rsidRPr="008B51DF">
              <w:t>Radiochemical solution</w:t>
            </w:r>
          </w:p>
        </w:tc>
      </w:tr>
      <w:tr w:rsidR="009F2673" w:rsidRPr="008B51DF" w14:paraId="6619E978" w14:textId="77777777" w:rsidTr="00EF39C2">
        <w:tc>
          <w:tcPr>
            <w:tcW w:w="1577" w:type="pct"/>
          </w:tcPr>
          <w:p w14:paraId="2E305257" w14:textId="18C3DF69" w:rsidR="009F2673" w:rsidRPr="008B51DF" w:rsidRDefault="009F2673" w:rsidP="009E5A87">
            <w:pPr>
              <w:rPr>
                <w:i/>
              </w:rPr>
            </w:pPr>
            <w:r w:rsidRPr="008B51DF">
              <w:rPr>
                <w:i/>
              </w:rPr>
              <w:t>Strength</w:t>
            </w:r>
            <w:r w:rsidR="00EF39C2" w:rsidRPr="008B51DF">
              <w:rPr>
                <w:i/>
              </w:rPr>
              <w:t>s</w:t>
            </w:r>
            <w:r w:rsidRPr="008B51DF">
              <w:rPr>
                <w:i/>
              </w:rPr>
              <w:t>:</w:t>
            </w:r>
          </w:p>
        </w:tc>
        <w:tc>
          <w:tcPr>
            <w:tcW w:w="3423" w:type="pct"/>
          </w:tcPr>
          <w:p w14:paraId="0ED39579" w14:textId="0012C9EC" w:rsidR="009F2673" w:rsidRPr="008B51DF" w:rsidRDefault="00A36C34" w:rsidP="009E5A87">
            <w:r w:rsidRPr="008B51DF">
              <w:t xml:space="preserve">Between </w:t>
            </w:r>
            <w:r w:rsidR="00EF39C2" w:rsidRPr="008B51DF">
              <w:t xml:space="preserve">10 </w:t>
            </w:r>
            <w:r w:rsidRPr="008B51DF">
              <w:t>and</w:t>
            </w:r>
            <w:r w:rsidR="00EF39C2" w:rsidRPr="008B51DF">
              <w:t xml:space="preserve"> 200 </w:t>
            </w:r>
            <w:proofErr w:type="spellStart"/>
            <w:r w:rsidR="00002DA2" w:rsidRPr="008B51DF">
              <w:t>gigabecquerel</w:t>
            </w:r>
            <w:proofErr w:type="spellEnd"/>
            <w:r w:rsidR="00002DA2" w:rsidRPr="008B51DF">
              <w:t xml:space="preserve"> (</w:t>
            </w:r>
            <w:proofErr w:type="spellStart"/>
            <w:r w:rsidR="00EF39C2" w:rsidRPr="008B51DF">
              <w:t>GBq</w:t>
            </w:r>
            <w:proofErr w:type="spellEnd"/>
            <w:r w:rsidR="00002DA2" w:rsidRPr="008B51DF">
              <w:t>)</w:t>
            </w:r>
            <w:r w:rsidR="00EF39C2" w:rsidRPr="008B51DF">
              <w:t>/mL</w:t>
            </w:r>
            <w:r w:rsidRPr="008B51DF">
              <w:t xml:space="preserve"> at date and time of calibration</w:t>
            </w:r>
          </w:p>
        </w:tc>
      </w:tr>
      <w:tr w:rsidR="009F2673" w:rsidRPr="008B51DF" w14:paraId="342090B1" w14:textId="77777777" w:rsidTr="00EF39C2">
        <w:tc>
          <w:tcPr>
            <w:tcW w:w="1577" w:type="pct"/>
          </w:tcPr>
          <w:p w14:paraId="0B1E885F" w14:textId="41703DD7" w:rsidR="009F2673" w:rsidRPr="008B51DF" w:rsidRDefault="009F2673" w:rsidP="009E5A87">
            <w:pPr>
              <w:rPr>
                <w:i/>
              </w:rPr>
            </w:pPr>
            <w:r w:rsidRPr="008B51DF">
              <w:rPr>
                <w:i/>
              </w:rPr>
              <w:t>Container:</w:t>
            </w:r>
          </w:p>
        </w:tc>
        <w:tc>
          <w:tcPr>
            <w:tcW w:w="3423" w:type="pct"/>
          </w:tcPr>
          <w:p w14:paraId="2D626DF1" w14:textId="6E77536E" w:rsidR="009F2673" w:rsidRPr="008B51DF" w:rsidRDefault="00EF39C2" w:rsidP="009E5A87">
            <w:r w:rsidRPr="008B51DF">
              <w:t>Vial</w:t>
            </w:r>
          </w:p>
        </w:tc>
      </w:tr>
      <w:tr w:rsidR="009F2673" w:rsidRPr="008B51DF" w14:paraId="0B3B6E5E" w14:textId="77777777" w:rsidTr="00EF39C2">
        <w:tc>
          <w:tcPr>
            <w:tcW w:w="1577" w:type="pct"/>
          </w:tcPr>
          <w:p w14:paraId="605B9D7B" w14:textId="443CED75" w:rsidR="009F2673" w:rsidRPr="008B51DF" w:rsidRDefault="009F2673" w:rsidP="009E5A87">
            <w:pPr>
              <w:rPr>
                <w:i/>
              </w:rPr>
            </w:pPr>
            <w:r w:rsidRPr="008B51DF">
              <w:rPr>
                <w:i/>
              </w:rPr>
              <w:t>Pack size:</w:t>
            </w:r>
          </w:p>
        </w:tc>
        <w:tc>
          <w:tcPr>
            <w:tcW w:w="3423" w:type="pct"/>
          </w:tcPr>
          <w:p w14:paraId="35B566F4" w14:textId="2EB01E10" w:rsidR="009F2673" w:rsidRPr="008B51DF" w:rsidRDefault="00EF39C2" w:rsidP="009E5A87">
            <w:r w:rsidRPr="008B51DF">
              <w:t>One (2 mL)</w:t>
            </w:r>
          </w:p>
        </w:tc>
      </w:tr>
      <w:tr w:rsidR="009F2673" w:rsidRPr="008B51DF" w14:paraId="589962A1" w14:textId="77777777" w:rsidTr="00EF39C2">
        <w:tc>
          <w:tcPr>
            <w:tcW w:w="1577" w:type="pct"/>
          </w:tcPr>
          <w:p w14:paraId="0205C9D2" w14:textId="77777777" w:rsidR="009F2673" w:rsidRPr="008B51DF" w:rsidRDefault="009F2673" w:rsidP="009E5A87">
            <w:pPr>
              <w:rPr>
                <w:i/>
              </w:rPr>
            </w:pPr>
            <w:r w:rsidRPr="008B51DF">
              <w:rPr>
                <w:i/>
              </w:rPr>
              <w:t>Approved therapeutic use:</w:t>
            </w:r>
          </w:p>
        </w:tc>
        <w:tc>
          <w:tcPr>
            <w:tcW w:w="3423" w:type="pct"/>
          </w:tcPr>
          <w:p w14:paraId="331C1D36" w14:textId="1EB1F094" w:rsidR="009F2673" w:rsidRPr="008B51DF" w:rsidRDefault="00EF39C2" w:rsidP="009E5A87">
            <w:pPr>
              <w:rPr>
                <w:i/>
                <w:iCs/>
              </w:rPr>
            </w:pPr>
            <w:r w:rsidRPr="008B51DF">
              <w:rPr>
                <w:i/>
                <w:iCs/>
              </w:rPr>
              <w:t>Lutetium (</w:t>
            </w:r>
            <w:r w:rsidRPr="008B51DF">
              <w:rPr>
                <w:i/>
                <w:iCs/>
                <w:vertAlign w:val="superscript"/>
              </w:rPr>
              <w:t>177</w:t>
            </w:r>
            <w:r w:rsidRPr="008B51DF">
              <w:rPr>
                <w:i/>
                <w:iCs/>
              </w:rPr>
              <w:t xml:space="preserve">Lu) chloride is a radiopharmaceutical precursor, and it is not intended for direct use in patients. For the treatment of non </w:t>
            </w:r>
            <w:proofErr w:type="spellStart"/>
            <w:r w:rsidRPr="008B51DF">
              <w:rPr>
                <w:i/>
                <w:iCs/>
              </w:rPr>
              <w:t>resectable</w:t>
            </w:r>
            <w:proofErr w:type="spellEnd"/>
            <w:r w:rsidRPr="008B51DF">
              <w:rPr>
                <w:i/>
                <w:iCs/>
              </w:rPr>
              <w:t xml:space="preserve"> or metastatic neuroendocrine tumours (NETS) expressing somatostatin subtype 2 receptors when coupled with a suitable carrier molecule.</w:t>
            </w:r>
          </w:p>
        </w:tc>
      </w:tr>
      <w:tr w:rsidR="009F2673" w:rsidRPr="008B51DF" w14:paraId="08EC63D8" w14:textId="77777777" w:rsidTr="00EF39C2">
        <w:tc>
          <w:tcPr>
            <w:tcW w:w="1577" w:type="pct"/>
          </w:tcPr>
          <w:p w14:paraId="0F69AC4F" w14:textId="60E204BC" w:rsidR="009F2673" w:rsidRPr="008B51DF" w:rsidRDefault="009F2673" w:rsidP="009E5A87">
            <w:pPr>
              <w:rPr>
                <w:i/>
              </w:rPr>
            </w:pPr>
            <w:r w:rsidRPr="008B51DF">
              <w:rPr>
                <w:i/>
              </w:rPr>
              <w:t>Route of administration:</w:t>
            </w:r>
          </w:p>
        </w:tc>
        <w:tc>
          <w:tcPr>
            <w:tcW w:w="3423" w:type="pct"/>
          </w:tcPr>
          <w:p w14:paraId="640402CD" w14:textId="5A1D39CF" w:rsidR="009F2673" w:rsidRPr="008B51DF" w:rsidRDefault="00EF39C2" w:rsidP="009E5A87">
            <w:r w:rsidRPr="008B51DF">
              <w:t>Intravenous</w:t>
            </w:r>
          </w:p>
        </w:tc>
      </w:tr>
      <w:tr w:rsidR="009F2673" w:rsidRPr="008B51DF" w14:paraId="4F3DD5BF" w14:textId="77777777" w:rsidTr="00EF39C2">
        <w:tc>
          <w:tcPr>
            <w:tcW w:w="1577" w:type="pct"/>
          </w:tcPr>
          <w:p w14:paraId="6FBF0220" w14:textId="77777777" w:rsidR="009F2673" w:rsidRPr="008B51DF" w:rsidRDefault="009F2673" w:rsidP="009E5A87">
            <w:pPr>
              <w:rPr>
                <w:i/>
              </w:rPr>
            </w:pPr>
            <w:r w:rsidRPr="008B51DF">
              <w:rPr>
                <w:i/>
              </w:rPr>
              <w:t>Dosage:</w:t>
            </w:r>
          </w:p>
        </w:tc>
        <w:tc>
          <w:tcPr>
            <w:tcW w:w="3423" w:type="pct"/>
          </w:tcPr>
          <w:p w14:paraId="5AAA1A63" w14:textId="4FB26B4E" w:rsidR="00EF39C2" w:rsidRPr="008B51DF" w:rsidRDefault="00EF39C2" w:rsidP="00EF39C2">
            <w:r w:rsidRPr="008B51DF">
              <w:t xml:space="preserve">Lutetium </w:t>
            </w:r>
            <w:r w:rsidR="00F05926" w:rsidRPr="008B51DF">
              <w:t>(</w:t>
            </w:r>
            <w:r w:rsidR="00F05926" w:rsidRPr="008B51DF">
              <w:rPr>
                <w:vertAlign w:val="superscript"/>
              </w:rPr>
              <w:t>177</w:t>
            </w:r>
            <w:r w:rsidR="00F05926" w:rsidRPr="008B51DF">
              <w:t xml:space="preserve">Lu) </w:t>
            </w:r>
            <w:r w:rsidRPr="008B51DF">
              <w:t xml:space="preserve">chloride should not be administered directly to the patient. Lutetium is intended for </w:t>
            </w:r>
            <w:r w:rsidRPr="008B51DF">
              <w:rPr>
                <w:i/>
              </w:rPr>
              <w:t>in vitro</w:t>
            </w:r>
            <w:r w:rsidRPr="008B51DF">
              <w:t xml:space="preserve"> radiolabelling of medicinal products which are subsequently administered by the approved route.</w:t>
            </w:r>
          </w:p>
          <w:p w14:paraId="0E7491DE" w14:textId="5A35BD40" w:rsidR="00EF39C2" w:rsidRPr="008B51DF" w:rsidRDefault="00EF39C2" w:rsidP="00EF39C2">
            <w:r w:rsidRPr="008B51DF">
              <w:t>Lutetium chloride is only to be used by specialists experienced with peptide receptor radionuclide therapy (PRRT).</w:t>
            </w:r>
          </w:p>
          <w:p w14:paraId="290C9ED5" w14:textId="4AD9AB7D" w:rsidR="00EF39C2" w:rsidRPr="008B51DF" w:rsidRDefault="00EF39C2" w:rsidP="00EF39C2">
            <w:r w:rsidRPr="008B51DF">
              <w:lastRenderedPageBreak/>
              <w:t>The quantity of lutetium (</w:t>
            </w:r>
            <w:r w:rsidR="0058534B" w:rsidRPr="008B51DF">
              <w:rPr>
                <w:vertAlign w:val="superscript"/>
              </w:rPr>
              <w:t>177</w:t>
            </w:r>
            <w:r w:rsidR="0058534B" w:rsidRPr="008B51DF">
              <w:t>Lu</w:t>
            </w:r>
            <w:r w:rsidRPr="008B51DF">
              <w:t>)-labelled PRRT that is subsequently administered will depend on the carrier molecule to be radiolabelled and its intended use.</w:t>
            </w:r>
          </w:p>
          <w:p w14:paraId="64361929" w14:textId="6AD70C9F" w:rsidR="00EF39C2" w:rsidRPr="008B51DF" w:rsidRDefault="00EF39C2" w:rsidP="00EF39C2">
            <w:r w:rsidRPr="008B51DF">
              <w:t>The radiation dose received by various organs following intravenous administration of a lutetium (</w:t>
            </w:r>
            <w:r w:rsidR="0058534B" w:rsidRPr="008B51DF">
              <w:rPr>
                <w:vertAlign w:val="superscript"/>
              </w:rPr>
              <w:t>177</w:t>
            </w:r>
            <w:r w:rsidR="0058534B" w:rsidRPr="008B51DF">
              <w:t>Lu</w:t>
            </w:r>
            <w:r w:rsidRPr="008B51DF">
              <w:t>)-labelled PRRT is also dependent on the specific molecule being radiolabelled.</w:t>
            </w:r>
            <w:r w:rsidR="00547225" w:rsidRPr="008B51DF">
              <w:t xml:space="preserve"> See Table 2 of the Product Information for dosimetry information.</w:t>
            </w:r>
          </w:p>
          <w:p w14:paraId="075B079D" w14:textId="29DF1C31" w:rsidR="00547225" w:rsidRPr="008B51DF" w:rsidRDefault="00547225" w:rsidP="00547225">
            <w:r w:rsidRPr="008B51DF">
              <w:t xml:space="preserve">Before each administration and during the treatment, biological tests </w:t>
            </w:r>
            <w:r w:rsidR="004B7126" w:rsidRPr="008B51DF">
              <w:t xml:space="preserve">for liver, kidney and haematological function </w:t>
            </w:r>
            <w:r w:rsidRPr="008B51DF">
              <w:t>are required to re-assess the patient’s condition and adapt the therapeutic protocol if necessary (dose, infusion interval, number of infusions).</w:t>
            </w:r>
            <w:r w:rsidR="004B7126" w:rsidRPr="008B51DF">
              <w:t xml:space="preserve"> See Section 4.2 Method of Administration for further information.</w:t>
            </w:r>
          </w:p>
          <w:p w14:paraId="4FF398E8" w14:textId="77777777" w:rsidR="009F2673" w:rsidRPr="008B51DF" w:rsidRDefault="009F2673" w:rsidP="009E5A87">
            <w:r w:rsidRPr="008B51DF">
              <w:t>For further information regarding dosage, refer to the Product Information.</w:t>
            </w:r>
          </w:p>
        </w:tc>
      </w:tr>
      <w:tr w:rsidR="009F2673" w:rsidRPr="008B51DF" w14:paraId="7E47EE54" w14:textId="77777777" w:rsidTr="00EF39C2">
        <w:tc>
          <w:tcPr>
            <w:tcW w:w="1577" w:type="pct"/>
          </w:tcPr>
          <w:p w14:paraId="123DD595" w14:textId="77777777" w:rsidR="009F2673" w:rsidRPr="008B51DF" w:rsidRDefault="009F2673" w:rsidP="009E5A87">
            <w:pPr>
              <w:rPr>
                <w:i/>
              </w:rPr>
            </w:pPr>
            <w:r w:rsidRPr="008B51DF">
              <w:rPr>
                <w:i/>
              </w:rPr>
              <w:lastRenderedPageBreak/>
              <w:t>Pregnancy category:</w:t>
            </w:r>
          </w:p>
        </w:tc>
        <w:tc>
          <w:tcPr>
            <w:tcW w:w="3423" w:type="pct"/>
          </w:tcPr>
          <w:p w14:paraId="41865F7D" w14:textId="77777777" w:rsidR="00EF39C2" w:rsidRPr="008B51DF" w:rsidRDefault="00EF39C2" w:rsidP="00EF39C2">
            <w:r w:rsidRPr="008B51DF">
              <w:t>X</w:t>
            </w:r>
          </w:p>
          <w:p w14:paraId="5B0A1B65" w14:textId="77777777" w:rsidR="00EF39C2" w:rsidRPr="008B51DF" w:rsidRDefault="00EF39C2" w:rsidP="00EF39C2">
            <w:r w:rsidRPr="008B51DF">
              <w:t>Drugs which have such a high risk of causing permanent damage to the fetus that they should not be used in pregnancy or when there is a possibility of pregnancy.</w:t>
            </w:r>
          </w:p>
          <w:p w14:paraId="31896080" w14:textId="7D41B7E4" w:rsidR="009F2673" w:rsidRPr="008B51DF" w:rsidRDefault="009F2673" w:rsidP="009E5A87">
            <w:r w:rsidRPr="008B51DF">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88F18EF" w14:textId="77777777" w:rsidR="008E7846" w:rsidRPr="008B51DF" w:rsidRDefault="008E7846" w:rsidP="008E7846">
      <w:pPr>
        <w:pStyle w:val="Heading3"/>
      </w:pPr>
      <w:bookmarkStart w:id="13" w:name="_Toc247691503"/>
      <w:bookmarkStart w:id="14" w:name="_Toc314842484"/>
      <w:bookmarkStart w:id="15" w:name="_Toc114238824"/>
      <w:r w:rsidRPr="008B51DF">
        <w:t>Product background</w:t>
      </w:r>
      <w:bookmarkEnd w:id="13"/>
      <w:bookmarkEnd w:id="14"/>
      <w:bookmarkEnd w:id="15"/>
    </w:p>
    <w:p w14:paraId="14BC4B97" w14:textId="07E2B5D9" w:rsidR="009F2673" w:rsidRPr="008B51DF" w:rsidRDefault="009F2673" w:rsidP="009F2673">
      <w:r w:rsidRPr="008B51DF">
        <w:t xml:space="preserve">This AusPAR describes the </w:t>
      </w:r>
      <w:r w:rsidR="001E359E" w:rsidRPr="008B51DF">
        <w:t>submission</w:t>
      </w:r>
      <w:r w:rsidRPr="008B51DF">
        <w:t xml:space="preserve"> by </w:t>
      </w:r>
      <w:r w:rsidR="00EF39C2" w:rsidRPr="008B51DF">
        <w:t>Australian Nuclear Science and Technology Organisation (ANSTO</w:t>
      </w:r>
      <w:r w:rsidR="00992227" w:rsidRPr="008B51DF">
        <w:t xml:space="preserve">; </w:t>
      </w:r>
      <w:r w:rsidRPr="008B51DF">
        <w:t xml:space="preserve">the sponsor) to register </w:t>
      </w:r>
      <w:r w:rsidR="00992227" w:rsidRPr="008B51DF">
        <w:t>l</w:t>
      </w:r>
      <w:r w:rsidR="00EF39C2" w:rsidRPr="008B51DF">
        <w:t>utetium (</w:t>
      </w:r>
      <w:r w:rsidR="0058534B" w:rsidRPr="008B51DF">
        <w:rPr>
          <w:vertAlign w:val="superscript"/>
        </w:rPr>
        <w:t>177</w:t>
      </w:r>
      <w:r w:rsidR="0058534B" w:rsidRPr="008B51DF">
        <w:t>Lu</w:t>
      </w:r>
      <w:r w:rsidR="00EF39C2" w:rsidRPr="008B51DF">
        <w:t xml:space="preserve">) </w:t>
      </w:r>
      <w:r w:rsidR="00992227" w:rsidRPr="008B51DF">
        <w:t>c</w:t>
      </w:r>
      <w:r w:rsidR="00EF39C2" w:rsidRPr="008B51DF">
        <w:t>hloride</w:t>
      </w:r>
      <w:r w:rsidR="00C01C02" w:rsidRPr="008B51DF">
        <w:t xml:space="preserve"> as a</w:t>
      </w:r>
      <w:r w:rsidRPr="008B51DF">
        <w:t xml:space="preserve"> </w:t>
      </w:r>
      <w:r w:rsidR="0058534B" w:rsidRPr="008B51DF">
        <w:t>radiochemical solution</w:t>
      </w:r>
      <w:r w:rsidRPr="008B51DF">
        <w:t xml:space="preserve"> for the following proposed indication:</w:t>
      </w:r>
    </w:p>
    <w:p w14:paraId="45F2D469" w14:textId="4C8498D8" w:rsidR="003A766B" w:rsidRPr="008B51DF" w:rsidRDefault="003A766B" w:rsidP="003A766B">
      <w:pPr>
        <w:ind w:left="720"/>
        <w:rPr>
          <w:i/>
          <w:iCs/>
        </w:rPr>
      </w:pPr>
      <w:r w:rsidRPr="008B51DF">
        <w:rPr>
          <w:i/>
          <w:iCs/>
        </w:rPr>
        <w:t>Lutetium (</w:t>
      </w:r>
      <w:r w:rsidR="00654E6D" w:rsidRPr="008B51DF">
        <w:rPr>
          <w:i/>
          <w:iCs/>
          <w:vertAlign w:val="superscript"/>
        </w:rPr>
        <w:t>177</w:t>
      </w:r>
      <w:r w:rsidR="00654E6D" w:rsidRPr="008B51DF">
        <w:rPr>
          <w:i/>
          <w:iCs/>
        </w:rPr>
        <w:t>Lu</w:t>
      </w:r>
      <w:r w:rsidRPr="008B51DF">
        <w:rPr>
          <w:i/>
          <w:iCs/>
        </w:rPr>
        <w:t>) chloride is a radiopharmaceutical precursor, and it is not intended for direct use in patients.</w:t>
      </w:r>
      <w:r w:rsidR="00F05926" w:rsidRPr="008B51DF">
        <w:rPr>
          <w:i/>
          <w:iCs/>
        </w:rPr>
        <w:t xml:space="preserve"> </w:t>
      </w:r>
      <w:r w:rsidRPr="008B51DF">
        <w:rPr>
          <w:i/>
          <w:iCs/>
        </w:rPr>
        <w:t xml:space="preserve">For the treatment of non </w:t>
      </w:r>
      <w:proofErr w:type="spellStart"/>
      <w:r w:rsidRPr="008B51DF">
        <w:rPr>
          <w:i/>
          <w:iCs/>
        </w:rPr>
        <w:t>resectable</w:t>
      </w:r>
      <w:proofErr w:type="spellEnd"/>
      <w:r w:rsidRPr="008B51DF">
        <w:rPr>
          <w:i/>
          <w:iCs/>
        </w:rPr>
        <w:t xml:space="preserve"> or metastatic neuroendocrine tumours (NETS) expressing somatostatin subtype 2 receptors when coupled with a suitable carrier molecule.</w:t>
      </w:r>
    </w:p>
    <w:p w14:paraId="20476D7B" w14:textId="1FB4640F" w:rsidR="001525DA" w:rsidRPr="008B51DF" w:rsidRDefault="004626B9" w:rsidP="001525DA">
      <w:r w:rsidRPr="008B51DF">
        <w:t>This submission for is for lutetium (</w:t>
      </w:r>
      <w:r w:rsidRPr="008B51DF">
        <w:rPr>
          <w:vertAlign w:val="superscript"/>
        </w:rPr>
        <w:t>177</w:t>
      </w:r>
      <w:r w:rsidRPr="008B51DF">
        <w:t>Lu), a radioisotope of lutetium, supplied in the form of lutetium (</w:t>
      </w:r>
      <w:r w:rsidRPr="008B51DF">
        <w:rPr>
          <w:vertAlign w:val="superscript"/>
        </w:rPr>
        <w:t>177</w:t>
      </w:r>
      <w:r w:rsidRPr="008B51DF">
        <w:t>Lu) chloride.</w:t>
      </w:r>
      <w:r w:rsidR="001525DA" w:rsidRPr="008B51DF">
        <w:t xml:space="preserve"> Lutetium (</w:t>
      </w:r>
      <w:r w:rsidR="001525DA" w:rsidRPr="008B51DF">
        <w:rPr>
          <w:vertAlign w:val="superscript"/>
        </w:rPr>
        <w:t>177</w:t>
      </w:r>
      <w:r w:rsidR="001525DA" w:rsidRPr="008B51DF">
        <w:t xml:space="preserve">Lu) chloride is a radiopharmaceutical precursor. </w:t>
      </w:r>
      <w:proofErr w:type="gramStart"/>
      <w:r w:rsidR="001525DA" w:rsidRPr="008B51DF">
        <w:t>In itself, it</w:t>
      </w:r>
      <w:proofErr w:type="gramEnd"/>
      <w:r w:rsidR="001525DA" w:rsidRPr="008B51DF">
        <w:t xml:space="preserve"> has no therapeutic application in clinical medicine and is not intended for direct use in </w:t>
      </w:r>
      <w:r w:rsidR="007A4C6F" w:rsidRPr="008B51DF">
        <w:t>patients and</w:t>
      </w:r>
      <w:r w:rsidR="001525DA" w:rsidRPr="008B51DF">
        <w:t xml:space="preserve"> should not be administered directly.</w:t>
      </w:r>
    </w:p>
    <w:p w14:paraId="6F3FD4A2" w14:textId="02A6D801" w:rsidR="001525DA" w:rsidRPr="008B51DF" w:rsidRDefault="001525DA" w:rsidP="001525DA">
      <w:r w:rsidRPr="008B51DF">
        <w:t xml:space="preserve">When reacted with an appropriate medicinal product (a specific carrier molecule), it is intended for </w:t>
      </w:r>
      <w:r w:rsidRPr="008B51DF">
        <w:rPr>
          <w:i/>
        </w:rPr>
        <w:t xml:space="preserve">in vitro </w:t>
      </w:r>
      <w:r w:rsidRPr="008B51DF">
        <w:t>radiolabelling of that medicinal product which are subsequently administered by the approved route.</w:t>
      </w:r>
    </w:p>
    <w:p w14:paraId="67FEE178" w14:textId="669184B0" w:rsidR="00ED08F7" w:rsidRPr="008B51DF" w:rsidRDefault="00ED08F7" w:rsidP="00020A3F">
      <w:pPr>
        <w:spacing w:before="0" w:after="0" w:line="240" w:lineRule="auto"/>
        <w:rPr>
          <w:rFonts w:ascii="Times New Roman" w:eastAsiaTheme="minorHAnsi" w:hAnsi="Times New Roman"/>
          <w:sz w:val="24"/>
          <w:szCs w:val="24"/>
          <w:lang w:val="en-GB" w:eastAsia="en-GB"/>
        </w:rPr>
      </w:pPr>
      <w:r w:rsidRPr="008B51DF">
        <w:t xml:space="preserve">Each vial may contain between 10 </w:t>
      </w:r>
      <w:bookmarkStart w:id="16" w:name="_Hlk114219476"/>
      <w:proofErr w:type="spellStart"/>
      <w:r w:rsidR="00C01C02" w:rsidRPr="008B51DF">
        <w:t>gigabecquerel</w:t>
      </w:r>
      <w:proofErr w:type="spellEnd"/>
      <w:r w:rsidR="007A4C6F" w:rsidRPr="008B51DF">
        <w:t xml:space="preserve"> </w:t>
      </w:r>
      <w:bookmarkEnd w:id="16"/>
      <w:r w:rsidR="00C01C02" w:rsidRPr="008B51DF">
        <w:t>(</w:t>
      </w:r>
      <w:proofErr w:type="spellStart"/>
      <w:r w:rsidRPr="008B51DF">
        <w:t>GBq</w:t>
      </w:r>
      <w:proofErr w:type="spellEnd"/>
      <w:r w:rsidR="00C01C02" w:rsidRPr="008B51DF">
        <w:t>)</w:t>
      </w:r>
      <w:r w:rsidRPr="008B51DF">
        <w:t>/mL to 200 </w:t>
      </w:r>
      <w:proofErr w:type="spellStart"/>
      <w:r w:rsidRPr="008B51DF">
        <w:t>GBq</w:t>
      </w:r>
      <w:proofErr w:type="spellEnd"/>
      <w:r w:rsidRPr="008B51DF">
        <w:t>/mL of lutetium (</w:t>
      </w:r>
      <w:r w:rsidRPr="008B51DF">
        <w:rPr>
          <w:vertAlign w:val="superscript"/>
        </w:rPr>
        <w:t>177</w:t>
      </w:r>
      <w:r w:rsidRPr="008B51DF">
        <w:t xml:space="preserve">Lu) chloride at </w:t>
      </w:r>
      <w:r w:rsidR="0067743B" w:rsidRPr="008B51DF">
        <w:t xml:space="preserve">the date and time of </w:t>
      </w:r>
      <w:r w:rsidRPr="008B51DF">
        <w:t>calibration</w:t>
      </w:r>
      <w:r w:rsidR="001525DA" w:rsidRPr="008B51DF">
        <w:t xml:space="preserve"> depending on the requirement</w:t>
      </w:r>
      <w:r w:rsidRPr="008B51DF">
        <w:t>.</w:t>
      </w:r>
      <w:r w:rsidR="001525DA" w:rsidRPr="008B51DF">
        <w:t xml:space="preserve"> </w:t>
      </w:r>
      <w:r w:rsidRPr="008B51DF">
        <w:t xml:space="preserve">Each vial is dispensed individually; from the same batch, various finished product vials could </w:t>
      </w:r>
      <w:r w:rsidRPr="008B51DF">
        <w:lastRenderedPageBreak/>
        <w:t xml:space="preserve">have different activities, based on the customer requirement. Each vial is individually labelled with the radioactive content inside. For the finished product, the radioactivity concentration for the customer order varies between 5 to 100 </w:t>
      </w:r>
      <w:proofErr w:type="spellStart"/>
      <w:r w:rsidRPr="008B51DF">
        <w:t>GBq</w:t>
      </w:r>
      <w:proofErr w:type="spellEnd"/>
      <w:r w:rsidRPr="008B51DF">
        <w:t xml:space="preserve"> in 0.5 </w:t>
      </w:r>
      <w:proofErr w:type="spellStart"/>
      <w:r w:rsidRPr="008B51DF">
        <w:t>mL.</w:t>
      </w:r>
      <w:proofErr w:type="spellEnd"/>
    </w:p>
    <w:p w14:paraId="21141DFF" w14:textId="0A5BEE04" w:rsidR="00C01C02" w:rsidRPr="008B51DF" w:rsidRDefault="00C01C02" w:rsidP="00020A3F">
      <w:pPr>
        <w:pStyle w:val="Heading4"/>
      </w:pPr>
      <w:r w:rsidRPr="008B51DF">
        <w:t>Neuroendocrine tumours</w:t>
      </w:r>
    </w:p>
    <w:p w14:paraId="51770869" w14:textId="04A64A50" w:rsidR="003A766B" w:rsidRPr="008B51DF" w:rsidRDefault="001A24C6" w:rsidP="003A766B">
      <w:bookmarkStart w:id="17" w:name="_Toc314842485"/>
      <w:bookmarkStart w:id="18" w:name="_Toc247691504"/>
      <w:r w:rsidRPr="008B51DF">
        <w:t>Neuroendocrine tumours</w:t>
      </w:r>
      <w:r w:rsidR="003A766B" w:rsidRPr="008B51DF">
        <w:t xml:space="preserve"> are a heterogeneous group of malignancies that can arise from neuroendocrine cells through the body. Common sites include the lung, large bowel, small intestine, </w:t>
      </w:r>
      <w:proofErr w:type="gramStart"/>
      <w:r w:rsidR="003A766B" w:rsidRPr="008B51DF">
        <w:t>pancreas</w:t>
      </w:r>
      <w:proofErr w:type="gramEnd"/>
      <w:r w:rsidR="003A766B" w:rsidRPr="008B51DF">
        <w:t xml:space="preserve"> and stomach. The gastrointestinal and pancreatic sites of </w:t>
      </w:r>
      <w:r w:rsidRPr="008B51DF">
        <w:t>neuroendocrine tumours</w:t>
      </w:r>
      <w:r w:rsidR="003A766B" w:rsidRPr="008B51DF">
        <w:t xml:space="preserve"> represent around 60</w:t>
      </w:r>
      <w:r w:rsidRPr="008B51DF">
        <w:t xml:space="preserve"> to </w:t>
      </w:r>
      <w:r w:rsidR="003A766B" w:rsidRPr="008B51DF">
        <w:t>65% of these tumours.</w:t>
      </w:r>
    </w:p>
    <w:p w14:paraId="5E8A7CA3" w14:textId="2E0422BB" w:rsidR="003A766B" w:rsidRPr="008B51DF" w:rsidRDefault="001A24C6" w:rsidP="003A766B">
      <w:r w:rsidRPr="008B51DF">
        <w:t>Neuroendocrine tumours</w:t>
      </w:r>
      <w:r w:rsidR="003A766B" w:rsidRPr="008B51DF">
        <w:t xml:space="preserve"> are known for their ability to over-express somatostatin receptors (SSTR</w:t>
      </w:r>
      <w:r w:rsidR="007A4C6F" w:rsidRPr="008B51DF">
        <w:t>s</w:t>
      </w:r>
      <w:r w:rsidR="003A766B" w:rsidRPr="008B51DF">
        <w:t xml:space="preserve">). </w:t>
      </w:r>
      <w:r w:rsidRPr="008B51DF">
        <w:t>Neuroendocrine tumours</w:t>
      </w:r>
      <w:r w:rsidR="003A766B" w:rsidRPr="008B51DF">
        <w:t xml:space="preserve"> express SSTR</w:t>
      </w:r>
      <w:r w:rsidR="00E77AEB" w:rsidRPr="008B51DF">
        <w:t>s</w:t>
      </w:r>
      <w:r w:rsidR="003A766B" w:rsidRPr="008B51DF">
        <w:t xml:space="preserve"> in 70</w:t>
      </w:r>
      <w:r w:rsidRPr="008B51DF">
        <w:t xml:space="preserve"> to </w:t>
      </w:r>
      <w:r w:rsidR="003A766B" w:rsidRPr="008B51DF">
        <w:t>90% of tumours. Over</w:t>
      </w:r>
      <w:r w:rsidR="00A304FA" w:rsidRPr="008B51DF">
        <w:noBreakHyphen/>
      </w:r>
      <w:r w:rsidR="003A766B" w:rsidRPr="008B51DF">
        <w:t xml:space="preserve">expression of somatostatin type 2 </w:t>
      </w:r>
      <w:r w:rsidR="007A4C6F" w:rsidRPr="008B51DF">
        <w:t xml:space="preserve">receptor </w:t>
      </w:r>
      <w:r w:rsidR="003A766B" w:rsidRPr="008B51DF">
        <w:t>(SSTR2) is the most common followed by</w:t>
      </w:r>
      <w:r w:rsidR="00992227" w:rsidRPr="008B51DF">
        <w:t xml:space="preserve"> types 1 and 5</w:t>
      </w:r>
      <w:r w:rsidR="003A766B" w:rsidRPr="008B51DF">
        <w:t xml:space="preserve"> </w:t>
      </w:r>
      <w:r w:rsidR="00992227" w:rsidRPr="008B51DF">
        <w:t>(</w:t>
      </w:r>
      <w:r w:rsidR="003A766B" w:rsidRPr="008B51DF">
        <w:t>SSTR1 and SSTR5</w:t>
      </w:r>
      <w:r w:rsidR="00992227" w:rsidRPr="008B51DF">
        <w:t>)</w:t>
      </w:r>
      <w:r w:rsidR="003A766B" w:rsidRPr="008B51DF">
        <w:t>.</w:t>
      </w:r>
      <w:r w:rsidR="00A304FA" w:rsidRPr="008B51DF">
        <w:rPr>
          <w:rStyle w:val="FootnoteReference"/>
        </w:rPr>
        <w:footnoteReference w:id="1"/>
      </w:r>
    </w:p>
    <w:p w14:paraId="01DC578E" w14:textId="50BC9C90" w:rsidR="003A766B" w:rsidRPr="008B51DF" w:rsidRDefault="003A766B" w:rsidP="003A766B">
      <w:r w:rsidRPr="008B51DF">
        <w:t xml:space="preserve">According to the </w:t>
      </w:r>
      <w:r w:rsidR="00A304FA" w:rsidRPr="008B51DF">
        <w:t>World Health Organization (</w:t>
      </w:r>
      <w:r w:rsidRPr="008B51DF">
        <w:t>WHO</w:t>
      </w:r>
      <w:r w:rsidR="00A304FA" w:rsidRPr="008B51DF">
        <w:t>)</w:t>
      </w:r>
      <w:r w:rsidRPr="008B51DF">
        <w:t xml:space="preserve"> </w:t>
      </w:r>
      <w:r w:rsidR="00A304FA" w:rsidRPr="008B51DF">
        <w:t>c</w:t>
      </w:r>
      <w:r w:rsidRPr="008B51DF">
        <w:t xml:space="preserve">lassification, tumours are classified into one of </w:t>
      </w:r>
      <w:r w:rsidR="00992227" w:rsidRPr="008B51DF">
        <w:t>four</w:t>
      </w:r>
      <w:r w:rsidRPr="008B51DF">
        <w:t xml:space="preserve"> types based on their size, proliferation, localisation, </w:t>
      </w:r>
      <w:r w:rsidR="00A304FA" w:rsidRPr="008B51DF">
        <w:t>differentiation,</w:t>
      </w:r>
      <w:r w:rsidRPr="008B51DF">
        <w:t xml:space="preserve"> and hormone production.</w:t>
      </w:r>
      <w:r w:rsidR="00A304FA" w:rsidRPr="008B51DF">
        <w:rPr>
          <w:rStyle w:val="FootnoteReference"/>
        </w:rPr>
        <w:footnoteReference w:id="2"/>
      </w:r>
      <w:r w:rsidRPr="008B51DF">
        <w:t xml:space="preserve"> This classification is as follows:</w:t>
      </w:r>
    </w:p>
    <w:p w14:paraId="672CF2C0" w14:textId="52506B40" w:rsidR="003A766B" w:rsidRPr="008B51DF" w:rsidRDefault="008E14EB" w:rsidP="003A766B">
      <w:pPr>
        <w:pStyle w:val="ListBullet"/>
      </w:pPr>
      <w:r w:rsidRPr="008B51DF">
        <w:t xml:space="preserve">Type </w:t>
      </w:r>
      <w:r w:rsidR="003A766B" w:rsidRPr="008B51DF">
        <w:t>1: well</w:t>
      </w:r>
      <w:r w:rsidR="00A304FA" w:rsidRPr="008B51DF">
        <w:t>-</w:t>
      </w:r>
      <w:r w:rsidR="003A766B" w:rsidRPr="008B51DF">
        <w:t xml:space="preserve">differentiated </w:t>
      </w:r>
      <w:r w:rsidR="00A304FA" w:rsidRPr="008B51DF">
        <w:t>neuroendocrine tumour</w:t>
      </w:r>
      <w:r w:rsidR="003A766B" w:rsidRPr="008B51DF">
        <w:t xml:space="preserve"> (benign behaviour</w:t>
      </w:r>
      <w:proofErr w:type="gramStart"/>
      <w:r w:rsidR="003A766B" w:rsidRPr="008B51DF">
        <w:t>);</w:t>
      </w:r>
      <w:proofErr w:type="gramEnd"/>
    </w:p>
    <w:p w14:paraId="797FB499" w14:textId="1ADB82A5" w:rsidR="003A766B" w:rsidRPr="008B51DF" w:rsidRDefault="008E14EB" w:rsidP="003A766B">
      <w:pPr>
        <w:pStyle w:val="ListBullet"/>
      </w:pPr>
      <w:r w:rsidRPr="008B51DF">
        <w:t xml:space="preserve">Type </w:t>
      </w:r>
      <w:r w:rsidR="003A766B" w:rsidRPr="008B51DF">
        <w:t>2: well</w:t>
      </w:r>
      <w:r w:rsidR="00A304FA" w:rsidRPr="008B51DF">
        <w:t>-</w:t>
      </w:r>
      <w:r w:rsidR="003A766B" w:rsidRPr="008B51DF">
        <w:t xml:space="preserve">differentiated </w:t>
      </w:r>
      <w:r w:rsidR="00A304FA" w:rsidRPr="008B51DF">
        <w:t>neuroendocrine tumour</w:t>
      </w:r>
      <w:r w:rsidR="003A766B" w:rsidRPr="008B51DF">
        <w:t xml:space="preserve"> (uncertain behaviour</w:t>
      </w:r>
      <w:proofErr w:type="gramStart"/>
      <w:r w:rsidR="003A766B" w:rsidRPr="008B51DF">
        <w:t>);</w:t>
      </w:r>
      <w:proofErr w:type="gramEnd"/>
    </w:p>
    <w:p w14:paraId="7668AD27" w14:textId="0E4E534D" w:rsidR="003A766B" w:rsidRPr="008B51DF" w:rsidRDefault="008E14EB" w:rsidP="003A766B">
      <w:pPr>
        <w:pStyle w:val="ListBullet"/>
      </w:pPr>
      <w:r w:rsidRPr="008B51DF">
        <w:t xml:space="preserve">Type </w:t>
      </w:r>
      <w:r w:rsidR="003A766B" w:rsidRPr="008B51DF">
        <w:t>3: well</w:t>
      </w:r>
      <w:r w:rsidR="00A304FA" w:rsidRPr="008B51DF">
        <w:t>-</w:t>
      </w:r>
      <w:r w:rsidR="003A766B" w:rsidRPr="008B51DF">
        <w:t>differentiated neuroendocrine carcinoma (low</w:t>
      </w:r>
      <w:r w:rsidR="00A304FA" w:rsidRPr="008B51DF">
        <w:t xml:space="preserve"> </w:t>
      </w:r>
      <w:r w:rsidR="003A766B" w:rsidRPr="008B51DF">
        <w:t>grade malignancy);</w:t>
      </w:r>
      <w:r w:rsidRPr="008B51DF">
        <w:t xml:space="preserve"> and</w:t>
      </w:r>
    </w:p>
    <w:p w14:paraId="7D1789FF" w14:textId="3283C6E4" w:rsidR="003A766B" w:rsidRPr="008B51DF" w:rsidRDefault="008E14EB" w:rsidP="003A766B">
      <w:pPr>
        <w:pStyle w:val="ListBullet"/>
      </w:pPr>
      <w:r w:rsidRPr="008B51DF">
        <w:t xml:space="preserve">Type </w:t>
      </w:r>
      <w:r w:rsidR="003A766B" w:rsidRPr="008B51DF">
        <w:t xml:space="preserve">4: poorly differentiated </w:t>
      </w:r>
      <w:r w:rsidR="00A304FA" w:rsidRPr="008B51DF">
        <w:t xml:space="preserve">neuroendocrine carcinoma </w:t>
      </w:r>
      <w:r w:rsidR="003A766B" w:rsidRPr="008B51DF">
        <w:t>(high</w:t>
      </w:r>
      <w:r w:rsidR="00A304FA" w:rsidRPr="008B51DF">
        <w:t xml:space="preserve"> </w:t>
      </w:r>
      <w:r w:rsidR="003A766B" w:rsidRPr="008B51DF">
        <w:t>grade malignancy).</w:t>
      </w:r>
    </w:p>
    <w:p w14:paraId="038216C1" w14:textId="72A4D9B3" w:rsidR="00A20F5F" w:rsidRPr="008B51DF" w:rsidRDefault="003A766B" w:rsidP="003A766B">
      <w:r w:rsidRPr="008B51DF">
        <w:t>A further pathological grading system has been applied</w:t>
      </w:r>
      <w:r w:rsidR="00A20F5F" w:rsidRPr="008B51DF">
        <w:t xml:space="preserve"> using antigen Ki-67 as a cellular marker of cell proliferation:</w:t>
      </w:r>
    </w:p>
    <w:p w14:paraId="07E1064D" w14:textId="076DFEEF" w:rsidR="00A304FA" w:rsidRPr="008B51DF" w:rsidRDefault="003A766B" w:rsidP="00A304FA">
      <w:pPr>
        <w:pStyle w:val="ListBullet"/>
      </w:pPr>
      <w:r w:rsidRPr="008B51DF">
        <w:t>Grade 1</w:t>
      </w:r>
      <w:r w:rsidR="00992227" w:rsidRPr="008B51DF">
        <w:t>:</w:t>
      </w:r>
      <w:r w:rsidRPr="008B51DF">
        <w:t xml:space="preserve"> </w:t>
      </w:r>
      <w:r w:rsidR="001A24C6" w:rsidRPr="008B51DF">
        <w:t>neuroendocrine tumours</w:t>
      </w:r>
      <w:r w:rsidRPr="008B51DF">
        <w:t xml:space="preserve"> with a proliferative </w:t>
      </w:r>
      <w:r w:rsidR="001E58D5" w:rsidRPr="008B51DF">
        <w:t xml:space="preserve">antigen </w:t>
      </w:r>
      <w:r w:rsidRPr="008B51DF">
        <w:t>Ki-67 of &lt;</w:t>
      </w:r>
      <w:r w:rsidR="00A304FA" w:rsidRPr="008B51DF">
        <w:t xml:space="preserve"> </w:t>
      </w:r>
      <w:r w:rsidRPr="008B51DF">
        <w:t xml:space="preserve">2%: </w:t>
      </w:r>
      <w:proofErr w:type="gramStart"/>
      <w:r w:rsidRPr="008B51DF">
        <w:t>well</w:t>
      </w:r>
      <w:proofErr w:type="gramEnd"/>
      <w:r w:rsidR="00A304FA" w:rsidRPr="008B51DF">
        <w:noBreakHyphen/>
      </w:r>
      <w:r w:rsidRPr="008B51DF">
        <w:t>differentiated, slow-growing and exhibit a poor response to chemotherapy;</w:t>
      </w:r>
    </w:p>
    <w:p w14:paraId="10B74A2C" w14:textId="656AE2C7" w:rsidR="00A304FA" w:rsidRPr="008B51DF" w:rsidRDefault="003A766B" w:rsidP="00A304FA">
      <w:pPr>
        <w:pStyle w:val="ListBullet"/>
      </w:pPr>
      <w:r w:rsidRPr="008B51DF">
        <w:t>Grade 2</w:t>
      </w:r>
      <w:r w:rsidR="00992227" w:rsidRPr="008B51DF">
        <w:t>:</w:t>
      </w:r>
      <w:r w:rsidRPr="008B51DF">
        <w:t xml:space="preserve"> </w:t>
      </w:r>
      <w:r w:rsidR="001A24C6" w:rsidRPr="008B51DF">
        <w:t>neuroendocrine tumours</w:t>
      </w:r>
      <w:r w:rsidRPr="008B51DF">
        <w:t xml:space="preserve"> with a Ki-67 of 3</w:t>
      </w:r>
      <w:r w:rsidR="00A304FA" w:rsidRPr="008B51DF">
        <w:t xml:space="preserve"> to </w:t>
      </w:r>
      <w:r w:rsidRPr="008B51DF">
        <w:t>20%: have an intermediate and unpredictable rate of progression and unclear optimal treatment options; and</w:t>
      </w:r>
    </w:p>
    <w:p w14:paraId="62CAAE0A" w14:textId="11FD1DCC" w:rsidR="003A766B" w:rsidRPr="008B51DF" w:rsidRDefault="003A766B" w:rsidP="00A304FA">
      <w:pPr>
        <w:pStyle w:val="ListBullet"/>
      </w:pPr>
      <w:r w:rsidRPr="008B51DF">
        <w:t>Grade 3</w:t>
      </w:r>
      <w:r w:rsidR="00992227" w:rsidRPr="008B51DF">
        <w:t>:</w:t>
      </w:r>
      <w:r w:rsidRPr="008B51DF">
        <w:t xml:space="preserve"> </w:t>
      </w:r>
      <w:r w:rsidR="001A24C6" w:rsidRPr="008B51DF">
        <w:t>neuroendocrine tumours</w:t>
      </w:r>
      <w:r w:rsidRPr="008B51DF">
        <w:t xml:space="preserve"> with a Ki-67 &gt;</w:t>
      </w:r>
      <w:r w:rsidR="00A304FA" w:rsidRPr="008B51DF">
        <w:t xml:space="preserve"> </w:t>
      </w:r>
      <w:r w:rsidRPr="008B51DF">
        <w:t>20%: progress rapidly, progressively lose differentiation and have a higher but transient response to chemotherapy.</w:t>
      </w:r>
    </w:p>
    <w:p w14:paraId="1B3FCBCA" w14:textId="4CFFA234" w:rsidR="003A766B" w:rsidRPr="008B51DF" w:rsidRDefault="003A766B" w:rsidP="003A766B">
      <w:r w:rsidRPr="008B51DF">
        <w:t xml:space="preserve">Management of </w:t>
      </w:r>
      <w:proofErr w:type="spellStart"/>
      <w:r w:rsidRPr="008B51DF">
        <w:t>gastroenteropancreatic</w:t>
      </w:r>
      <w:proofErr w:type="spellEnd"/>
      <w:r w:rsidRPr="008B51DF">
        <w:t xml:space="preserve"> </w:t>
      </w:r>
      <w:r w:rsidR="001A24C6" w:rsidRPr="008B51DF">
        <w:t>neuroendocrine tumours</w:t>
      </w:r>
      <w:r w:rsidRPr="008B51DF">
        <w:t xml:space="preserve"> depends on operability, symptoms, tumour type, stage and grade and the overall medical condition. These treatment options include:</w:t>
      </w:r>
    </w:p>
    <w:p w14:paraId="14F23B25" w14:textId="7714418C" w:rsidR="003A766B" w:rsidRPr="008B51DF" w:rsidRDefault="008E14EB" w:rsidP="003A766B">
      <w:pPr>
        <w:pStyle w:val="ListBullet"/>
        <w:rPr>
          <w:lang w:eastAsia="ja-JP"/>
        </w:rPr>
      </w:pPr>
      <w:r w:rsidRPr="008B51DF">
        <w:rPr>
          <w:lang w:eastAsia="ja-JP"/>
        </w:rPr>
        <w:t xml:space="preserve">surgical </w:t>
      </w:r>
      <w:r w:rsidR="003A766B" w:rsidRPr="008B51DF">
        <w:rPr>
          <w:lang w:eastAsia="ja-JP"/>
        </w:rPr>
        <w:t xml:space="preserve">resection and ablative </w:t>
      </w:r>
      <w:proofErr w:type="gramStart"/>
      <w:r w:rsidR="003A766B" w:rsidRPr="008B51DF">
        <w:rPr>
          <w:lang w:eastAsia="ja-JP"/>
        </w:rPr>
        <w:t>therapy;</w:t>
      </w:r>
      <w:proofErr w:type="gramEnd"/>
    </w:p>
    <w:p w14:paraId="25408D43" w14:textId="327ACDFF" w:rsidR="003A766B" w:rsidRPr="008B51DF" w:rsidRDefault="00D468CA" w:rsidP="003A766B">
      <w:pPr>
        <w:pStyle w:val="ListBullet"/>
        <w:rPr>
          <w:lang w:eastAsia="ja-JP"/>
        </w:rPr>
      </w:pPr>
      <w:r w:rsidRPr="008B51DF">
        <w:rPr>
          <w:lang w:eastAsia="ja-JP"/>
        </w:rPr>
        <w:t>somatostatin</w:t>
      </w:r>
      <w:r w:rsidR="008E14EB" w:rsidRPr="008B51DF">
        <w:rPr>
          <w:lang w:eastAsia="ja-JP"/>
        </w:rPr>
        <w:t xml:space="preserve"> </w:t>
      </w:r>
      <w:r w:rsidR="003A766B" w:rsidRPr="008B51DF">
        <w:rPr>
          <w:lang w:eastAsia="ja-JP"/>
        </w:rPr>
        <w:t xml:space="preserve">analogues such as </w:t>
      </w:r>
      <w:proofErr w:type="gramStart"/>
      <w:r w:rsidR="003A766B" w:rsidRPr="008B51DF">
        <w:rPr>
          <w:lang w:eastAsia="ja-JP"/>
        </w:rPr>
        <w:t>octreotide;</w:t>
      </w:r>
      <w:proofErr w:type="gramEnd"/>
    </w:p>
    <w:p w14:paraId="62E5D463" w14:textId="67434D41" w:rsidR="003A766B" w:rsidRPr="008B51DF" w:rsidRDefault="008E14EB" w:rsidP="003A766B">
      <w:pPr>
        <w:pStyle w:val="ListBullet"/>
        <w:rPr>
          <w:lang w:eastAsia="ja-JP"/>
        </w:rPr>
      </w:pPr>
      <w:r w:rsidRPr="008B51DF">
        <w:rPr>
          <w:lang w:eastAsia="ja-JP"/>
        </w:rPr>
        <w:t xml:space="preserve">interferons </w:t>
      </w:r>
      <w:r w:rsidR="003A766B" w:rsidRPr="008B51DF">
        <w:rPr>
          <w:lang w:eastAsia="ja-JP"/>
        </w:rPr>
        <w:t xml:space="preserve">and molecular-targeted </w:t>
      </w:r>
      <w:proofErr w:type="gramStart"/>
      <w:r w:rsidR="003A766B" w:rsidRPr="008B51DF">
        <w:rPr>
          <w:lang w:eastAsia="ja-JP"/>
        </w:rPr>
        <w:t>therapy;</w:t>
      </w:r>
      <w:proofErr w:type="gramEnd"/>
    </w:p>
    <w:p w14:paraId="1CD1E728" w14:textId="076FB5A6" w:rsidR="003A766B" w:rsidRPr="008B51DF" w:rsidRDefault="008E14EB" w:rsidP="003A766B">
      <w:pPr>
        <w:pStyle w:val="ListBullet"/>
        <w:rPr>
          <w:lang w:eastAsia="ja-JP"/>
        </w:rPr>
      </w:pPr>
      <w:r w:rsidRPr="008B51DF">
        <w:rPr>
          <w:lang w:eastAsia="ja-JP"/>
        </w:rPr>
        <w:t xml:space="preserve">cytotoxic </w:t>
      </w:r>
      <w:r w:rsidR="003A766B" w:rsidRPr="008B51DF">
        <w:rPr>
          <w:lang w:eastAsia="ja-JP"/>
        </w:rPr>
        <w:t>chemotherapy; and</w:t>
      </w:r>
    </w:p>
    <w:p w14:paraId="7979BC20" w14:textId="63E58640" w:rsidR="003A766B" w:rsidRPr="008B51DF" w:rsidRDefault="008E14EB" w:rsidP="003A766B">
      <w:pPr>
        <w:pStyle w:val="ListBullet"/>
        <w:rPr>
          <w:lang w:eastAsia="ja-JP"/>
        </w:rPr>
      </w:pPr>
      <w:r w:rsidRPr="008B51DF">
        <w:rPr>
          <w:lang w:eastAsia="ja-JP"/>
        </w:rPr>
        <w:t xml:space="preserve">peptide </w:t>
      </w:r>
      <w:r w:rsidR="00A304FA" w:rsidRPr="008B51DF">
        <w:rPr>
          <w:lang w:eastAsia="ja-JP"/>
        </w:rPr>
        <w:t>receptor radionuclide therapy (</w:t>
      </w:r>
      <w:r w:rsidR="003A766B" w:rsidRPr="008B51DF">
        <w:rPr>
          <w:lang w:eastAsia="ja-JP"/>
        </w:rPr>
        <w:t>PRRT</w:t>
      </w:r>
      <w:r w:rsidR="00A304FA" w:rsidRPr="008B51DF">
        <w:rPr>
          <w:lang w:eastAsia="ja-JP"/>
        </w:rPr>
        <w:t>)</w:t>
      </w:r>
      <w:r w:rsidR="003A766B" w:rsidRPr="008B51DF">
        <w:rPr>
          <w:lang w:eastAsia="ja-JP"/>
        </w:rPr>
        <w:t>.</w:t>
      </w:r>
    </w:p>
    <w:p w14:paraId="66765F29" w14:textId="4D225E1B" w:rsidR="00C01C02" w:rsidRPr="008B51DF" w:rsidRDefault="00C01C02" w:rsidP="00FD67C1">
      <w:pPr>
        <w:pStyle w:val="Heading4"/>
        <w:rPr>
          <w:lang w:eastAsia="ja-JP"/>
        </w:rPr>
      </w:pPr>
      <w:r w:rsidRPr="008B51DF">
        <w:rPr>
          <w:lang w:eastAsia="ja-JP"/>
        </w:rPr>
        <w:t>Peptide receptor radionuclide therapy</w:t>
      </w:r>
    </w:p>
    <w:p w14:paraId="4E331D39" w14:textId="62751D02" w:rsidR="003A766B" w:rsidRPr="008B51DF" w:rsidRDefault="00A304FA" w:rsidP="003A766B">
      <w:r w:rsidRPr="008B51DF">
        <w:t>Peptide receptor radionuclide therapy (</w:t>
      </w:r>
      <w:r w:rsidR="003A766B" w:rsidRPr="008B51DF">
        <w:t>PRRT</w:t>
      </w:r>
      <w:r w:rsidRPr="008B51DF">
        <w:t>)</w:t>
      </w:r>
      <w:r w:rsidR="003A766B" w:rsidRPr="008B51DF">
        <w:t xml:space="preserve"> involves linking a radiopharmaceutical precursor such as</w:t>
      </w:r>
      <w:r w:rsidR="001A24C6" w:rsidRPr="008B51DF">
        <w:t xml:space="preserve"> </w:t>
      </w:r>
      <w:r w:rsidR="00A20F5F" w:rsidRPr="008B51DF">
        <w:t>l</w:t>
      </w:r>
      <w:r w:rsidR="001A24C6" w:rsidRPr="008B51DF">
        <w:t>utetium (</w:t>
      </w:r>
      <w:r w:rsidR="001A24C6" w:rsidRPr="008B51DF">
        <w:rPr>
          <w:vertAlign w:val="superscript"/>
        </w:rPr>
        <w:t>177</w:t>
      </w:r>
      <w:r w:rsidR="001A24C6" w:rsidRPr="008B51DF">
        <w:t xml:space="preserve">Lu) </w:t>
      </w:r>
      <w:r w:rsidR="003A766B" w:rsidRPr="008B51DF">
        <w:t xml:space="preserve">to a </w:t>
      </w:r>
      <w:r w:rsidR="00D468CA" w:rsidRPr="008B51DF">
        <w:t>somatostatin</w:t>
      </w:r>
      <w:r w:rsidRPr="008B51DF">
        <w:t xml:space="preserve"> analogue</w:t>
      </w:r>
      <w:r w:rsidR="003A766B" w:rsidRPr="008B51DF">
        <w:t xml:space="preserve"> to target </w:t>
      </w:r>
      <w:r w:rsidR="001A24C6" w:rsidRPr="008B51DF">
        <w:t>neuroendocrine tumour</w:t>
      </w:r>
      <w:r w:rsidR="003A766B" w:rsidRPr="008B51DF">
        <w:t xml:space="preserve"> cells with a high density of SSTR. PRRT facilitates delivering </w:t>
      </w:r>
      <w:proofErr w:type="spellStart"/>
      <w:r w:rsidR="003A766B" w:rsidRPr="008B51DF">
        <w:t>tumouricidal</w:t>
      </w:r>
      <w:proofErr w:type="spellEnd"/>
      <w:r w:rsidR="003A766B" w:rsidRPr="008B51DF">
        <w:t xml:space="preserve"> doses of </w:t>
      </w:r>
      <w:r w:rsidR="003A766B" w:rsidRPr="008B51DF">
        <w:lastRenderedPageBreak/>
        <w:t xml:space="preserve">radiation to </w:t>
      </w:r>
      <w:r w:rsidR="001A24C6" w:rsidRPr="008B51DF">
        <w:t>neuroendocrine tumours</w:t>
      </w:r>
      <w:r w:rsidR="003A766B" w:rsidRPr="008B51DF">
        <w:t xml:space="preserve">. Ligands used to treat </w:t>
      </w:r>
      <w:r w:rsidR="001A24C6" w:rsidRPr="008B51DF">
        <w:t>neuroendocrine tumours</w:t>
      </w:r>
      <w:r w:rsidR="003A766B" w:rsidRPr="008B51DF">
        <w:t xml:space="preserve"> in this context include </w:t>
      </w:r>
      <w:r w:rsidR="001E58D5" w:rsidRPr="008B51DF">
        <w:t>DOTATATE</w:t>
      </w:r>
      <w:r w:rsidR="003A766B" w:rsidRPr="008B51DF">
        <w:t xml:space="preserve">, DOTATOC and </w:t>
      </w:r>
      <w:r w:rsidR="001E58D5" w:rsidRPr="008B51DF">
        <w:t>DOTANOC</w:t>
      </w:r>
      <w:r w:rsidR="003A766B" w:rsidRPr="008B51DF">
        <w:t xml:space="preserve">. After </w:t>
      </w:r>
      <w:r w:rsidR="00654E6D" w:rsidRPr="008B51DF">
        <w:rPr>
          <w:vertAlign w:val="superscript"/>
        </w:rPr>
        <w:t>177</w:t>
      </w:r>
      <w:r w:rsidR="00654E6D" w:rsidRPr="008B51DF">
        <w:t>Lu</w:t>
      </w:r>
      <w:r w:rsidR="003A766B" w:rsidRPr="008B51DF">
        <w:t>-</w:t>
      </w:r>
      <w:r w:rsidR="00D468CA" w:rsidRPr="008B51DF">
        <w:t>somatostatin</w:t>
      </w:r>
      <w:r w:rsidRPr="008B51DF">
        <w:t xml:space="preserve"> analogue</w:t>
      </w:r>
      <w:r w:rsidR="003A766B" w:rsidRPr="008B51DF">
        <w:t xml:space="preserve"> binds to SSTRs, the </w:t>
      </w:r>
      <w:r w:rsidR="00654E6D" w:rsidRPr="008B51DF">
        <w:rPr>
          <w:vertAlign w:val="superscript"/>
        </w:rPr>
        <w:t>177</w:t>
      </w:r>
      <w:r w:rsidR="00654E6D" w:rsidRPr="008B51DF">
        <w:t>Lu</w:t>
      </w:r>
      <w:r w:rsidR="003A766B" w:rsidRPr="008B51DF">
        <w:t>-</w:t>
      </w:r>
      <w:r w:rsidR="00D468CA" w:rsidRPr="008B51DF">
        <w:t>somatostatin</w:t>
      </w:r>
      <w:r w:rsidRPr="008B51DF">
        <w:t xml:space="preserve"> analogue</w:t>
      </w:r>
      <w:r w:rsidR="003A766B" w:rsidRPr="008B51DF">
        <w:t xml:space="preserve">-receptor complex is internalised by tumour cells and the beta particles emitted from the </w:t>
      </w:r>
      <w:r w:rsidR="00654E6D" w:rsidRPr="008B51DF">
        <w:rPr>
          <w:vertAlign w:val="superscript"/>
        </w:rPr>
        <w:t>177</w:t>
      </w:r>
      <w:r w:rsidR="00654E6D" w:rsidRPr="008B51DF">
        <w:t>Lu</w:t>
      </w:r>
      <w:r w:rsidR="003A766B" w:rsidRPr="008B51DF">
        <w:t xml:space="preserve"> atom produce a </w:t>
      </w:r>
      <w:proofErr w:type="spellStart"/>
      <w:r w:rsidR="003A766B" w:rsidRPr="008B51DF">
        <w:t>tumouricidal</w:t>
      </w:r>
      <w:proofErr w:type="spellEnd"/>
      <w:r w:rsidR="003A766B" w:rsidRPr="008B51DF">
        <w:t xml:space="preserve"> effect.</w:t>
      </w:r>
    </w:p>
    <w:p w14:paraId="70EF681F" w14:textId="1AA158D8" w:rsidR="00C01C02" w:rsidRPr="008B51DF" w:rsidRDefault="00C01C02" w:rsidP="00FD67C1">
      <w:pPr>
        <w:pStyle w:val="Heading4"/>
      </w:pPr>
      <w:r w:rsidRPr="008B51DF">
        <w:t>Lutetium</w:t>
      </w:r>
    </w:p>
    <w:p w14:paraId="63866E53" w14:textId="75B31350" w:rsidR="003A766B" w:rsidRPr="008B51DF" w:rsidRDefault="00162759" w:rsidP="003A766B">
      <w:r w:rsidRPr="008B51DF">
        <w:t>Lutetium (</w:t>
      </w:r>
      <w:r w:rsidR="00654E6D" w:rsidRPr="008B51DF">
        <w:rPr>
          <w:vertAlign w:val="superscript"/>
        </w:rPr>
        <w:t>177</w:t>
      </w:r>
      <w:r w:rsidR="00654E6D" w:rsidRPr="008B51DF">
        <w:t>Lu</w:t>
      </w:r>
      <w:r w:rsidRPr="008B51DF">
        <w:t>)</w:t>
      </w:r>
      <w:r w:rsidR="003A766B" w:rsidRPr="008B51DF">
        <w:t xml:space="preserve"> is said to be a radioisotope of choice due to the following properties:</w:t>
      </w:r>
      <w:r w:rsidRPr="008B51DF">
        <w:rPr>
          <w:rStyle w:val="FootnoteReference"/>
        </w:rPr>
        <w:footnoteReference w:id="3"/>
      </w:r>
      <w:r w:rsidR="00351A95" w:rsidRPr="008B51DF">
        <w:rPr>
          <w:vertAlign w:val="superscript"/>
        </w:rPr>
        <w:t>,</w:t>
      </w:r>
      <w:r w:rsidR="00351A95" w:rsidRPr="008B51DF">
        <w:rPr>
          <w:rStyle w:val="FootnoteReference"/>
        </w:rPr>
        <w:footnoteReference w:id="4"/>
      </w:r>
    </w:p>
    <w:p w14:paraId="37434B3B" w14:textId="570EFE1C" w:rsidR="003A766B" w:rsidRPr="008B51DF" w:rsidRDefault="003A766B" w:rsidP="00162759">
      <w:pPr>
        <w:pStyle w:val="ListBullet"/>
      </w:pPr>
      <w:r w:rsidRPr="008B51DF">
        <w:t>Low energy beta-emitter (</w:t>
      </w:r>
      <w:r w:rsidR="001E58D5" w:rsidRPr="008B51DF">
        <w:t>maximum effect attributable to the drug (</w:t>
      </w:r>
      <w:r w:rsidRPr="008B51DF">
        <w:t>E</w:t>
      </w:r>
      <w:r w:rsidRPr="008B51DF">
        <w:rPr>
          <w:vertAlign w:val="subscript"/>
        </w:rPr>
        <w:t>max</w:t>
      </w:r>
      <w:r w:rsidR="001E58D5" w:rsidRPr="008B51DF">
        <w:t>)</w:t>
      </w:r>
      <w:r w:rsidR="00162759" w:rsidRPr="008B51DF">
        <w:t xml:space="preserve"> </w:t>
      </w:r>
      <w:r w:rsidRPr="008B51DF">
        <w:t>=</w:t>
      </w:r>
      <w:r w:rsidR="00162759" w:rsidRPr="008B51DF">
        <w:t xml:space="preserve"> </w:t>
      </w:r>
      <w:r w:rsidRPr="008B51DF">
        <w:t>0.498</w:t>
      </w:r>
      <w:r w:rsidR="00162759" w:rsidRPr="008B51DF">
        <w:t xml:space="preserve"> </w:t>
      </w:r>
      <w:proofErr w:type="spellStart"/>
      <w:r w:rsidR="00894D35" w:rsidRPr="008B51DF">
        <w:t>megaelectronvolt</w:t>
      </w:r>
      <w:r w:rsidR="00E27C5E" w:rsidRPr="008B51DF">
        <w:t>s</w:t>
      </w:r>
      <w:proofErr w:type="spellEnd"/>
      <w:r w:rsidR="00894D35" w:rsidRPr="008B51DF">
        <w:t xml:space="preserve"> (</w:t>
      </w:r>
      <w:r w:rsidRPr="008B51DF">
        <w:t>MeV</w:t>
      </w:r>
      <w:r w:rsidR="00894D35" w:rsidRPr="008B51DF">
        <w:t>)</w:t>
      </w:r>
      <w:r w:rsidRPr="008B51DF">
        <w:t>) allowing specific energy deposition in tumour lesions and low dose delivery to the surrounding healthy tissue</w:t>
      </w:r>
      <w:r w:rsidR="00162759" w:rsidRPr="008B51DF">
        <w:t>.</w:t>
      </w:r>
    </w:p>
    <w:p w14:paraId="2BA9F18C" w14:textId="230E2C80" w:rsidR="003A766B" w:rsidRPr="008B51DF" w:rsidRDefault="003A766B" w:rsidP="00162759">
      <w:pPr>
        <w:pStyle w:val="ListBullet"/>
      </w:pPr>
      <w:r w:rsidRPr="008B51DF">
        <w:t>Maximum penetration range in tissues of 2.2</w:t>
      </w:r>
      <w:r w:rsidR="00162759" w:rsidRPr="008B51DF">
        <w:t xml:space="preserve"> </w:t>
      </w:r>
      <w:r w:rsidRPr="008B51DF">
        <w:t>mm (mean 0.67</w:t>
      </w:r>
      <w:r w:rsidR="00162759" w:rsidRPr="008B51DF">
        <w:t xml:space="preserve"> </w:t>
      </w:r>
      <w:r w:rsidRPr="008B51DF">
        <w:t>mm) facilitating precise dose localisation during therapy</w:t>
      </w:r>
      <w:r w:rsidR="00162759" w:rsidRPr="008B51DF">
        <w:t>.</w:t>
      </w:r>
    </w:p>
    <w:p w14:paraId="31A45CE7" w14:textId="729B0FDD" w:rsidR="003A766B" w:rsidRPr="008B51DF" w:rsidRDefault="003A766B" w:rsidP="00162759">
      <w:pPr>
        <w:pStyle w:val="ListBullet"/>
      </w:pPr>
      <w:r w:rsidRPr="008B51DF">
        <w:t>Half-life of 6.64 days</w:t>
      </w:r>
      <w:r w:rsidR="00162759" w:rsidRPr="008B51DF">
        <w:t>.</w:t>
      </w:r>
    </w:p>
    <w:p w14:paraId="098CE9FB" w14:textId="160C5810" w:rsidR="003A766B" w:rsidRPr="008B51DF" w:rsidRDefault="003A766B" w:rsidP="00162759">
      <w:pPr>
        <w:pStyle w:val="ListBullet"/>
      </w:pPr>
      <w:r w:rsidRPr="008B51DF">
        <w:t>Low kidney toxicity</w:t>
      </w:r>
      <w:r w:rsidR="00162759" w:rsidRPr="008B51DF">
        <w:t>.</w:t>
      </w:r>
    </w:p>
    <w:p w14:paraId="6535ED45" w14:textId="77777777" w:rsidR="008E7846" w:rsidRPr="008B51DF" w:rsidRDefault="00386150" w:rsidP="008E7846">
      <w:pPr>
        <w:pStyle w:val="Heading3"/>
      </w:pPr>
      <w:bookmarkStart w:id="19" w:name="_Toc114238825"/>
      <w:r w:rsidRPr="008B51DF">
        <w:t>Regulatory s</w:t>
      </w:r>
      <w:r w:rsidR="008E7846" w:rsidRPr="008B51DF">
        <w:t>tatus</w:t>
      </w:r>
      <w:bookmarkEnd w:id="17"/>
      <w:bookmarkEnd w:id="18"/>
      <w:bookmarkEnd w:id="19"/>
    </w:p>
    <w:p w14:paraId="60DC4EED" w14:textId="4796245F" w:rsidR="00332715" w:rsidRPr="008B51DF" w:rsidRDefault="00332715" w:rsidP="00332715">
      <w:bookmarkStart w:id="20" w:name="_Toc247691505"/>
      <w:bookmarkStart w:id="21" w:name="_Toc314842486"/>
      <w:r w:rsidRPr="008B51DF">
        <w:t>This product is considered a new chemical entity for Australian regulatory purposes.</w:t>
      </w:r>
    </w:p>
    <w:p w14:paraId="0DE092B5" w14:textId="7E042672" w:rsidR="00332715" w:rsidRPr="008B51DF" w:rsidRDefault="00332715" w:rsidP="00332715">
      <w:r w:rsidRPr="008B51DF">
        <w:t xml:space="preserve">This product received </w:t>
      </w:r>
      <w:hyperlink r:id="rId15" w:history="1">
        <w:r w:rsidRPr="008B51DF">
          <w:rPr>
            <w:rStyle w:val="Hyperlink"/>
          </w:rPr>
          <w:t>orphan drug designation</w:t>
        </w:r>
      </w:hyperlink>
      <w:r w:rsidRPr="008B51DF">
        <w:t xml:space="preserve"> on </w:t>
      </w:r>
      <w:r w:rsidR="003A766B" w:rsidRPr="008B51DF">
        <w:t xml:space="preserve">22 January 2020 </w:t>
      </w:r>
      <w:r w:rsidRPr="008B51DF">
        <w:t>for the following indication:</w:t>
      </w:r>
    </w:p>
    <w:p w14:paraId="3B92DD51" w14:textId="416455B9" w:rsidR="003A766B" w:rsidRPr="008B51DF" w:rsidRDefault="003A766B" w:rsidP="003A766B">
      <w:pPr>
        <w:ind w:left="720"/>
        <w:rPr>
          <w:i/>
          <w:iCs/>
        </w:rPr>
      </w:pPr>
      <w:r w:rsidRPr="008B51DF">
        <w:rPr>
          <w:i/>
          <w:iCs/>
        </w:rPr>
        <w:t>For the treatment of non-</w:t>
      </w:r>
      <w:proofErr w:type="spellStart"/>
      <w:r w:rsidRPr="008B51DF">
        <w:rPr>
          <w:i/>
          <w:iCs/>
        </w:rPr>
        <w:t>resectable</w:t>
      </w:r>
      <w:proofErr w:type="spellEnd"/>
      <w:r w:rsidRPr="008B51DF">
        <w:rPr>
          <w:i/>
          <w:iCs/>
        </w:rPr>
        <w:t xml:space="preserve"> or metastatic neuroendocrine rumours (NETS) expressing somatostatin subtype 2 receptors when coupled with a suitable carrier molecule.</w:t>
      </w:r>
    </w:p>
    <w:p w14:paraId="195EC9FF" w14:textId="1579F1D5" w:rsidR="00332715" w:rsidRPr="008B51DF" w:rsidRDefault="00332715" w:rsidP="00854553">
      <w:r w:rsidRPr="008B51DF">
        <w:t xml:space="preserve">At the time the TGA considered this </w:t>
      </w:r>
      <w:r w:rsidR="00BB0B78" w:rsidRPr="008B51DF">
        <w:t>submission</w:t>
      </w:r>
      <w:r w:rsidRPr="008B51DF">
        <w:t xml:space="preserve">, </w:t>
      </w:r>
      <w:r w:rsidR="00854553" w:rsidRPr="008B51DF">
        <w:t xml:space="preserve">the sponsor has not </w:t>
      </w:r>
      <w:proofErr w:type="gramStart"/>
      <w:r w:rsidR="00854553" w:rsidRPr="008B51DF">
        <w:t>submitted an application</w:t>
      </w:r>
      <w:proofErr w:type="gramEnd"/>
      <w:r w:rsidR="00854553" w:rsidRPr="008B51DF">
        <w:t xml:space="preserve"> to register </w:t>
      </w:r>
      <w:r w:rsidR="00800DA9" w:rsidRPr="008B51DF">
        <w:t>l</w:t>
      </w:r>
      <w:r w:rsidR="00854553" w:rsidRPr="008B51DF">
        <w:t>utetium (</w:t>
      </w:r>
      <w:r w:rsidR="00654E6D" w:rsidRPr="008B51DF">
        <w:rPr>
          <w:vertAlign w:val="superscript"/>
        </w:rPr>
        <w:t>177</w:t>
      </w:r>
      <w:r w:rsidR="00654E6D" w:rsidRPr="008B51DF">
        <w:t>Lu</w:t>
      </w:r>
      <w:r w:rsidR="00854553" w:rsidRPr="008B51DF">
        <w:t xml:space="preserve">) </w:t>
      </w:r>
      <w:r w:rsidR="00800DA9" w:rsidRPr="008B51DF">
        <w:t>c</w:t>
      </w:r>
      <w:r w:rsidR="00854553" w:rsidRPr="008B51DF">
        <w:t>hloride in any other countries.</w:t>
      </w:r>
    </w:p>
    <w:p w14:paraId="48BE89A8" w14:textId="77777777" w:rsidR="008E7846" w:rsidRPr="008B51DF" w:rsidRDefault="008E7846" w:rsidP="00940A89">
      <w:pPr>
        <w:pStyle w:val="Heading3"/>
      </w:pPr>
      <w:bookmarkStart w:id="22" w:name="_Toc114238826"/>
      <w:r w:rsidRPr="008B51DF">
        <w:t>Product Information</w:t>
      </w:r>
      <w:bookmarkEnd w:id="20"/>
      <w:bookmarkEnd w:id="21"/>
      <w:bookmarkEnd w:id="22"/>
    </w:p>
    <w:p w14:paraId="50B3CCD8" w14:textId="0043D0F7" w:rsidR="00332715" w:rsidRPr="008B51DF" w:rsidRDefault="00332715" w:rsidP="00332715">
      <w:bookmarkStart w:id="23" w:name="_Toc504480011"/>
      <w:bookmarkStart w:id="24" w:name="_Toc247691506"/>
      <w:bookmarkStart w:id="25" w:name="_Toc314842487"/>
      <w:r w:rsidRPr="008B51DF">
        <w:t xml:space="preserve">The Product Information (PI) approved with the submission which is described in this AusPAR can be found as Attachment 1. For the most recent PI, please refer to the TGA </w:t>
      </w:r>
      <w:hyperlink r:id="rId16" w:history="1">
        <w:r w:rsidRPr="008B51DF">
          <w:rPr>
            <w:rStyle w:val="Hyperlink"/>
          </w:rPr>
          <w:t>PI/CMI search facility</w:t>
        </w:r>
        <w:r w:rsidRPr="008B51DF">
          <w:rPr>
            <w:rStyle w:val="Hyperlink"/>
            <w:color w:val="auto"/>
            <w:u w:val="none"/>
          </w:rPr>
          <w:t>.</w:t>
        </w:r>
      </w:hyperlink>
    </w:p>
    <w:p w14:paraId="0077A28C" w14:textId="77777777" w:rsidR="00500337" w:rsidRPr="008B51DF" w:rsidRDefault="00500337" w:rsidP="00500337">
      <w:pPr>
        <w:pStyle w:val="Heading2"/>
      </w:pPr>
      <w:bookmarkStart w:id="26" w:name="_Toc114238827"/>
      <w:r w:rsidRPr="008B51DF">
        <w:t>Registration timeline</w:t>
      </w:r>
      <w:bookmarkEnd w:id="23"/>
      <w:bookmarkEnd w:id="26"/>
    </w:p>
    <w:p w14:paraId="08A38198" w14:textId="77777777" w:rsidR="0074163C" w:rsidRPr="008B51DF" w:rsidRDefault="0074163C" w:rsidP="0074163C">
      <w:r w:rsidRPr="008B51DF">
        <w:t xml:space="preserve">The following table captures the key steps and dates for this </w:t>
      </w:r>
      <w:r w:rsidR="00804D99" w:rsidRPr="008B51DF">
        <w:t>submission</w:t>
      </w:r>
      <w:r w:rsidRPr="008B51DF">
        <w:t>.</w:t>
      </w:r>
    </w:p>
    <w:p w14:paraId="0A1DFDF5" w14:textId="5164C162" w:rsidR="0074163C" w:rsidRPr="008B51DF" w:rsidRDefault="0074163C" w:rsidP="009B05AC">
      <w:pPr>
        <w:pStyle w:val="TableTitle"/>
      </w:pPr>
      <w:r w:rsidRPr="008B51DF">
        <w:t xml:space="preserve">Table </w:t>
      </w:r>
      <w:r w:rsidR="00F30734">
        <w:fldChar w:fldCharType="begin"/>
      </w:r>
      <w:r w:rsidR="00F30734">
        <w:instrText xml:space="preserve"> SEQ Table \* ARABIC </w:instrText>
      </w:r>
      <w:r w:rsidR="00F30734">
        <w:fldChar w:fldCharType="separate"/>
      </w:r>
      <w:r w:rsidR="008B51DF">
        <w:rPr>
          <w:noProof/>
        </w:rPr>
        <w:t>1</w:t>
      </w:r>
      <w:r w:rsidR="00F30734">
        <w:rPr>
          <w:noProof/>
        </w:rPr>
        <w:fldChar w:fldCharType="end"/>
      </w:r>
      <w:r w:rsidRPr="008B51DF">
        <w:t xml:space="preserve">: Timeline for Submission </w:t>
      </w:r>
      <w:r w:rsidR="00EF39C2" w:rsidRPr="008B51DF">
        <w:t>PM-2020-06691-1-4</w:t>
      </w:r>
    </w:p>
    <w:tbl>
      <w:tblPr>
        <w:tblStyle w:val="TableTGAblue"/>
        <w:tblW w:w="0" w:type="auto"/>
        <w:tblLook w:val="04A0" w:firstRow="1" w:lastRow="0" w:firstColumn="1" w:lastColumn="0" w:noHBand="0" w:noVBand="1"/>
      </w:tblPr>
      <w:tblGrid>
        <w:gridCol w:w="4265"/>
        <w:gridCol w:w="4229"/>
      </w:tblGrid>
      <w:tr w:rsidR="0074163C" w:rsidRPr="008B51DF" w14:paraId="748943F5" w14:textId="77777777" w:rsidTr="0058534B">
        <w:trPr>
          <w:cnfStyle w:val="100000000000" w:firstRow="1" w:lastRow="0" w:firstColumn="0" w:lastColumn="0" w:oddVBand="0" w:evenVBand="0" w:oddHBand="0" w:evenHBand="0" w:firstRowFirstColumn="0" w:firstRowLastColumn="0" w:lastRowFirstColumn="0" w:lastRowLastColumn="0"/>
        </w:trPr>
        <w:tc>
          <w:tcPr>
            <w:tcW w:w="4265" w:type="dxa"/>
            <w:tcBorders>
              <w:top w:val="single" w:sz="4" w:space="0" w:color="auto"/>
              <w:left w:val="single" w:sz="4" w:space="0" w:color="auto"/>
              <w:bottom w:val="single" w:sz="4" w:space="0" w:color="auto"/>
              <w:right w:val="single" w:sz="4" w:space="0" w:color="auto"/>
            </w:tcBorders>
          </w:tcPr>
          <w:p w14:paraId="5BB585AC" w14:textId="77777777" w:rsidR="0074163C" w:rsidRPr="008B51DF" w:rsidRDefault="0074163C" w:rsidP="009E5A87">
            <w:r w:rsidRPr="008B51DF">
              <w:t>Description</w:t>
            </w:r>
          </w:p>
        </w:tc>
        <w:tc>
          <w:tcPr>
            <w:tcW w:w="4229" w:type="dxa"/>
            <w:tcBorders>
              <w:top w:val="single" w:sz="4" w:space="0" w:color="auto"/>
              <w:left w:val="single" w:sz="4" w:space="0" w:color="auto"/>
              <w:bottom w:val="single" w:sz="4" w:space="0" w:color="auto"/>
              <w:right w:val="single" w:sz="4" w:space="0" w:color="auto"/>
            </w:tcBorders>
          </w:tcPr>
          <w:p w14:paraId="5DD5F79E" w14:textId="77777777" w:rsidR="0074163C" w:rsidRPr="008B51DF" w:rsidRDefault="0074163C" w:rsidP="009E5A87">
            <w:r w:rsidRPr="008B51DF">
              <w:t>Date</w:t>
            </w:r>
          </w:p>
        </w:tc>
      </w:tr>
      <w:tr w:rsidR="0074163C" w:rsidRPr="008B51DF" w14:paraId="18C04354" w14:textId="77777777" w:rsidTr="0058534B">
        <w:tc>
          <w:tcPr>
            <w:tcW w:w="4265" w:type="dxa"/>
            <w:tcBorders>
              <w:top w:val="single" w:sz="4" w:space="0" w:color="auto"/>
            </w:tcBorders>
          </w:tcPr>
          <w:p w14:paraId="18058BE7" w14:textId="1C88F20F" w:rsidR="0074163C" w:rsidRPr="008B51DF" w:rsidRDefault="0074163C" w:rsidP="009E5A87">
            <w:pPr>
              <w:pStyle w:val="Instructions"/>
              <w:rPr>
                <w:i w:val="0"/>
                <w:iCs/>
                <w:color w:val="000000" w:themeColor="text1"/>
              </w:rPr>
            </w:pPr>
            <w:r w:rsidRPr="008B51DF">
              <w:rPr>
                <w:i w:val="0"/>
                <w:iCs/>
                <w:color w:val="000000" w:themeColor="text1"/>
              </w:rPr>
              <w:t>Designation (Orphan)</w:t>
            </w:r>
            <w:r w:rsidR="00B357EB" w:rsidRPr="008B51DF">
              <w:rPr>
                <w:rStyle w:val="FootnoteReference"/>
                <w:i w:val="0"/>
                <w:iCs/>
                <w:color w:val="000000" w:themeColor="text1"/>
              </w:rPr>
              <w:footnoteReference w:id="5"/>
            </w:r>
          </w:p>
          <w:p w14:paraId="51010CDB" w14:textId="34427067" w:rsidR="0058534B" w:rsidRPr="008B51DF" w:rsidRDefault="0058534B" w:rsidP="0058534B">
            <w:r w:rsidRPr="008B51DF">
              <w:lastRenderedPageBreak/>
              <w:t>Orphan extension</w:t>
            </w:r>
          </w:p>
        </w:tc>
        <w:tc>
          <w:tcPr>
            <w:tcW w:w="4229" w:type="dxa"/>
            <w:tcBorders>
              <w:top w:val="single" w:sz="4" w:space="0" w:color="auto"/>
            </w:tcBorders>
          </w:tcPr>
          <w:p w14:paraId="7D6091EE" w14:textId="77777777" w:rsidR="0074163C" w:rsidRPr="008B51DF" w:rsidRDefault="0058534B" w:rsidP="009E5A87">
            <w:r w:rsidRPr="008B51DF">
              <w:lastRenderedPageBreak/>
              <w:t>22 January 2020</w:t>
            </w:r>
          </w:p>
          <w:p w14:paraId="30571B54" w14:textId="40507F41" w:rsidR="0058534B" w:rsidRPr="008B51DF" w:rsidRDefault="0058534B" w:rsidP="009E5A87">
            <w:r w:rsidRPr="008B51DF">
              <w:lastRenderedPageBreak/>
              <w:t>26 August 2020</w:t>
            </w:r>
          </w:p>
        </w:tc>
      </w:tr>
      <w:tr w:rsidR="0058534B" w:rsidRPr="008B51DF" w14:paraId="33A5F052" w14:textId="77777777" w:rsidTr="0058534B">
        <w:tc>
          <w:tcPr>
            <w:tcW w:w="4265" w:type="dxa"/>
          </w:tcPr>
          <w:p w14:paraId="2EF23B8D" w14:textId="77777777" w:rsidR="0058534B" w:rsidRPr="008B51DF" w:rsidRDefault="0058534B" w:rsidP="0058534B">
            <w:r w:rsidRPr="008B51DF">
              <w:lastRenderedPageBreak/>
              <w:t>Submission dossier accepted and first round evaluation commenced</w:t>
            </w:r>
          </w:p>
        </w:tc>
        <w:tc>
          <w:tcPr>
            <w:tcW w:w="4229" w:type="dxa"/>
          </w:tcPr>
          <w:p w14:paraId="1DE34A4B" w14:textId="4DF34AB6" w:rsidR="0058534B" w:rsidRPr="008B51DF" w:rsidRDefault="0058534B" w:rsidP="0058534B">
            <w:r w:rsidRPr="008B51DF">
              <w:t>20 January 2021</w:t>
            </w:r>
          </w:p>
        </w:tc>
      </w:tr>
      <w:tr w:rsidR="0058534B" w:rsidRPr="008B51DF" w14:paraId="5645A14E" w14:textId="77777777" w:rsidTr="0058534B">
        <w:tc>
          <w:tcPr>
            <w:tcW w:w="4265" w:type="dxa"/>
          </w:tcPr>
          <w:p w14:paraId="000141CD" w14:textId="77777777" w:rsidR="0058534B" w:rsidRPr="008B51DF" w:rsidRDefault="0058534B" w:rsidP="0058534B">
            <w:r w:rsidRPr="008B51DF">
              <w:t>First round evaluation completed</w:t>
            </w:r>
          </w:p>
        </w:tc>
        <w:tc>
          <w:tcPr>
            <w:tcW w:w="4229" w:type="dxa"/>
          </w:tcPr>
          <w:p w14:paraId="4B45F7F0" w14:textId="0985F9CB" w:rsidR="0058534B" w:rsidRPr="008B51DF" w:rsidRDefault="0058534B" w:rsidP="0058534B">
            <w:r w:rsidRPr="008B51DF">
              <w:t>16 July 2021</w:t>
            </w:r>
          </w:p>
        </w:tc>
      </w:tr>
      <w:tr w:rsidR="0058534B" w:rsidRPr="008B51DF" w14:paraId="723EEF18" w14:textId="77777777" w:rsidTr="0058534B">
        <w:tc>
          <w:tcPr>
            <w:tcW w:w="4265" w:type="dxa"/>
          </w:tcPr>
          <w:p w14:paraId="484A2359" w14:textId="77777777" w:rsidR="0058534B" w:rsidRPr="008B51DF" w:rsidRDefault="0058534B" w:rsidP="0058534B">
            <w:r w:rsidRPr="008B51DF">
              <w:t>Sponsor provides responses on questions raised in first round evaluation</w:t>
            </w:r>
          </w:p>
        </w:tc>
        <w:tc>
          <w:tcPr>
            <w:tcW w:w="4229" w:type="dxa"/>
          </w:tcPr>
          <w:p w14:paraId="5F3AEA64" w14:textId="73CC93C5" w:rsidR="0058534B" w:rsidRPr="008B51DF" w:rsidRDefault="0058534B" w:rsidP="0058534B">
            <w:r w:rsidRPr="008B51DF">
              <w:t>1 September 2021</w:t>
            </w:r>
          </w:p>
        </w:tc>
      </w:tr>
      <w:tr w:rsidR="0058534B" w:rsidRPr="008B51DF" w14:paraId="4AF1EA90" w14:textId="77777777" w:rsidTr="0058534B">
        <w:tc>
          <w:tcPr>
            <w:tcW w:w="4265" w:type="dxa"/>
          </w:tcPr>
          <w:p w14:paraId="736753B7" w14:textId="77777777" w:rsidR="0058534B" w:rsidRPr="008B51DF" w:rsidRDefault="0058534B" w:rsidP="0058534B">
            <w:r w:rsidRPr="008B51DF">
              <w:t>Second round evaluation completed</w:t>
            </w:r>
          </w:p>
        </w:tc>
        <w:tc>
          <w:tcPr>
            <w:tcW w:w="4229" w:type="dxa"/>
          </w:tcPr>
          <w:p w14:paraId="5E03982D" w14:textId="0A4DE129" w:rsidR="0058534B" w:rsidRPr="008B51DF" w:rsidRDefault="0058534B" w:rsidP="0058534B">
            <w:r w:rsidRPr="008B51DF">
              <w:t>7 October 2021</w:t>
            </w:r>
          </w:p>
        </w:tc>
      </w:tr>
      <w:tr w:rsidR="0058534B" w:rsidRPr="008B51DF" w14:paraId="180A13EA" w14:textId="77777777" w:rsidTr="0058534B">
        <w:tc>
          <w:tcPr>
            <w:tcW w:w="4265" w:type="dxa"/>
          </w:tcPr>
          <w:p w14:paraId="3DC06596" w14:textId="724AF136" w:rsidR="0058534B" w:rsidRPr="008B51DF" w:rsidRDefault="0058534B" w:rsidP="0058534B">
            <w:r w:rsidRPr="008B51DF">
              <w:t>Delegate’s Overall benefit-risk assessment</w:t>
            </w:r>
          </w:p>
        </w:tc>
        <w:tc>
          <w:tcPr>
            <w:tcW w:w="4229" w:type="dxa"/>
          </w:tcPr>
          <w:p w14:paraId="19060C14" w14:textId="68C38748" w:rsidR="0058534B" w:rsidRPr="008B51DF" w:rsidRDefault="0058534B" w:rsidP="0058534B">
            <w:r w:rsidRPr="008B51DF">
              <w:rPr>
                <w:color w:val="auto"/>
              </w:rPr>
              <w:t>1 December 2021</w:t>
            </w:r>
          </w:p>
        </w:tc>
      </w:tr>
      <w:tr w:rsidR="0058534B" w:rsidRPr="008B51DF" w14:paraId="1C0F934E" w14:textId="77777777" w:rsidTr="0058534B">
        <w:tc>
          <w:tcPr>
            <w:tcW w:w="4265" w:type="dxa"/>
          </w:tcPr>
          <w:p w14:paraId="55AAB7C5" w14:textId="77777777" w:rsidR="0058534B" w:rsidRPr="008B51DF" w:rsidRDefault="0058534B" w:rsidP="0058534B">
            <w:r w:rsidRPr="008B51DF">
              <w:t>Sponsor’s pre-Advisory Committee response</w:t>
            </w:r>
          </w:p>
        </w:tc>
        <w:tc>
          <w:tcPr>
            <w:tcW w:w="4229" w:type="dxa"/>
          </w:tcPr>
          <w:p w14:paraId="1158F083" w14:textId="3029C780" w:rsidR="0058534B" w:rsidRPr="008B51DF" w:rsidRDefault="0058534B" w:rsidP="0058534B">
            <w:r w:rsidRPr="008B51DF">
              <w:t>Not applicable</w:t>
            </w:r>
          </w:p>
        </w:tc>
      </w:tr>
      <w:tr w:rsidR="0058534B" w:rsidRPr="008B51DF" w14:paraId="6E16A375" w14:textId="77777777" w:rsidTr="0058534B">
        <w:tc>
          <w:tcPr>
            <w:tcW w:w="4265" w:type="dxa"/>
          </w:tcPr>
          <w:p w14:paraId="1C92D647" w14:textId="77777777" w:rsidR="0058534B" w:rsidRPr="008B51DF" w:rsidRDefault="0058534B" w:rsidP="0058534B">
            <w:r w:rsidRPr="008B51DF">
              <w:t>Advisory Committee meeting</w:t>
            </w:r>
          </w:p>
        </w:tc>
        <w:tc>
          <w:tcPr>
            <w:tcW w:w="4229" w:type="dxa"/>
          </w:tcPr>
          <w:p w14:paraId="48332B73" w14:textId="4DD73405" w:rsidR="0058534B" w:rsidRPr="008B51DF" w:rsidRDefault="0058534B" w:rsidP="0058534B">
            <w:r w:rsidRPr="008B51DF">
              <w:t>Not applicable</w:t>
            </w:r>
          </w:p>
        </w:tc>
      </w:tr>
      <w:tr w:rsidR="0058534B" w:rsidRPr="008B51DF" w14:paraId="0CB35434" w14:textId="77777777" w:rsidTr="0058534B">
        <w:tc>
          <w:tcPr>
            <w:tcW w:w="4265" w:type="dxa"/>
          </w:tcPr>
          <w:p w14:paraId="7589A0AF" w14:textId="77777777" w:rsidR="0058534B" w:rsidRPr="008B51DF" w:rsidRDefault="0058534B" w:rsidP="0058534B">
            <w:r w:rsidRPr="008B51DF">
              <w:t>Registration decision (Outcome)</w:t>
            </w:r>
          </w:p>
        </w:tc>
        <w:tc>
          <w:tcPr>
            <w:tcW w:w="4229" w:type="dxa"/>
          </w:tcPr>
          <w:p w14:paraId="3BE64A0B" w14:textId="53F37856" w:rsidR="0058534B" w:rsidRPr="008B51DF" w:rsidRDefault="0058534B" w:rsidP="0058534B">
            <w:r w:rsidRPr="008B51DF">
              <w:t>8 December 2021</w:t>
            </w:r>
          </w:p>
        </w:tc>
      </w:tr>
      <w:tr w:rsidR="0058534B" w:rsidRPr="008B51DF" w14:paraId="0D3E4FE1" w14:textId="77777777" w:rsidTr="0058534B">
        <w:tc>
          <w:tcPr>
            <w:tcW w:w="4265" w:type="dxa"/>
          </w:tcPr>
          <w:p w14:paraId="56B1F7F3" w14:textId="77777777" w:rsidR="0058534B" w:rsidRPr="008B51DF" w:rsidRDefault="0058534B" w:rsidP="0058534B">
            <w:r w:rsidRPr="008B51DF">
              <w:t>Completion of administrative activities and registration on the ARTG</w:t>
            </w:r>
          </w:p>
        </w:tc>
        <w:tc>
          <w:tcPr>
            <w:tcW w:w="4229" w:type="dxa"/>
          </w:tcPr>
          <w:p w14:paraId="048213CD" w14:textId="3E5C50E3" w:rsidR="0058534B" w:rsidRPr="008B51DF" w:rsidRDefault="0058534B" w:rsidP="0058534B">
            <w:r w:rsidRPr="008B51DF">
              <w:rPr>
                <w:color w:val="auto"/>
              </w:rPr>
              <w:t>11 January 2022</w:t>
            </w:r>
          </w:p>
        </w:tc>
      </w:tr>
      <w:tr w:rsidR="0058534B" w:rsidRPr="008B51DF" w14:paraId="0442DA09" w14:textId="77777777" w:rsidTr="0058534B">
        <w:tc>
          <w:tcPr>
            <w:tcW w:w="4265" w:type="dxa"/>
          </w:tcPr>
          <w:p w14:paraId="2A8B2B41" w14:textId="77777777" w:rsidR="0058534B" w:rsidRPr="008B51DF" w:rsidRDefault="0058534B" w:rsidP="0058534B">
            <w:r w:rsidRPr="008B51DF">
              <w:t>Number of working days from submission dossier acceptance to registration decision*</w:t>
            </w:r>
          </w:p>
        </w:tc>
        <w:tc>
          <w:tcPr>
            <w:tcW w:w="4229" w:type="dxa"/>
          </w:tcPr>
          <w:p w14:paraId="38071F27" w14:textId="7697DF8A" w:rsidR="0058534B" w:rsidRPr="008B51DF" w:rsidRDefault="0058534B" w:rsidP="0058534B">
            <w:r w:rsidRPr="008B51DF">
              <w:t>189</w:t>
            </w:r>
          </w:p>
        </w:tc>
      </w:tr>
    </w:tbl>
    <w:p w14:paraId="6F702962" w14:textId="4EA3AED9" w:rsidR="0074163C" w:rsidRPr="008B51DF" w:rsidRDefault="0074163C" w:rsidP="0074163C">
      <w:pPr>
        <w:pStyle w:val="TableDescription"/>
      </w:pPr>
      <w:r w:rsidRPr="008B51DF">
        <w:t xml:space="preserve">*Statutory timeframe for standard </w:t>
      </w:r>
      <w:r w:rsidR="00BB0B78" w:rsidRPr="008B51DF">
        <w:t>submission</w:t>
      </w:r>
      <w:r w:rsidRPr="008B51DF">
        <w:t>s is 255 working days</w:t>
      </w:r>
    </w:p>
    <w:p w14:paraId="3CF0800D" w14:textId="77777777" w:rsidR="008E7846" w:rsidRPr="008B51DF" w:rsidRDefault="00006FAB" w:rsidP="008E7846">
      <w:pPr>
        <w:pStyle w:val="Heading2"/>
      </w:pPr>
      <w:bookmarkStart w:id="27" w:name="_Toc196046504"/>
      <w:bookmarkStart w:id="28" w:name="_Toc247691527"/>
      <w:bookmarkStart w:id="29" w:name="_Toc314842510"/>
      <w:bookmarkStart w:id="30" w:name="_Toc114238828"/>
      <w:bookmarkStart w:id="31" w:name="_Toc163441390"/>
      <w:bookmarkEnd w:id="24"/>
      <w:bookmarkEnd w:id="25"/>
      <w:bookmarkEnd w:id="1"/>
      <w:r w:rsidRPr="008B51DF">
        <w:t xml:space="preserve">Submission overview </w:t>
      </w:r>
      <w:r w:rsidR="008E7846" w:rsidRPr="008B51DF">
        <w:t>and risk/benefit assessment</w:t>
      </w:r>
      <w:bookmarkEnd w:id="27"/>
      <w:bookmarkEnd w:id="28"/>
      <w:bookmarkEnd w:id="29"/>
      <w:bookmarkEnd w:id="30"/>
    </w:p>
    <w:p w14:paraId="716D387A" w14:textId="77777777" w:rsidR="005A79F5" w:rsidRPr="008B51DF" w:rsidRDefault="005A79F5" w:rsidP="0074163C">
      <w:pPr>
        <w:pStyle w:val="Instructions"/>
        <w:rPr>
          <w:i w:val="0"/>
          <w:color w:val="auto"/>
        </w:rPr>
      </w:pPr>
      <w:bookmarkStart w:id="32" w:name="_Toc247691528"/>
      <w:bookmarkStart w:id="33" w:name="_Toc314842511"/>
      <w:r w:rsidRPr="008B51DF">
        <w:rPr>
          <w:i w:val="0"/>
          <w:color w:val="auto"/>
        </w:rPr>
        <w:t>A summary of the TGA’s assessment for this submission is provided below.</w:t>
      </w:r>
    </w:p>
    <w:p w14:paraId="36EB63B7" w14:textId="77777777" w:rsidR="008E7846" w:rsidRPr="008B51DF" w:rsidRDefault="008E7846" w:rsidP="008E7846">
      <w:pPr>
        <w:pStyle w:val="Heading3"/>
      </w:pPr>
      <w:bookmarkStart w:id="34" w:name="_Toc114238829"/>
      <w:r w:rsidRPr="008B51DF">
        <w:t>Quality</w:t>
      </w:r>
      <w:bookmarkEnd w:id="32"/>
      <w:bookmarkEnd w:id="33"/>
      <w:bookmarkEnd w:id="34"/>
    </w:p>
    <w:p w14:paraId="6968785C" w14:textId="11346D14" w:rsidR="00854553" w:rsidRPr="008B51DF" w:rsidRDefault="00854553" w:rsidP="00854553">
      <w:r w:rsidRPr="008B51DF">
        <w:t>Lutetium (</w:t>
      </w:r>
      <w:r w:rsidR="00654E6D" w:rsidRPr="008B51DF">
        <w:rPr>
          <w:vertAlign w:val="superscript"/>
        </w:rPr>
        <w:t>177</w:t>
      </w:r>
      <w:r w:rsidR="00654E6D" w:rsidRPr="008B51DF">
        <w:t>Lu</w:t>
      </w:r>
      <w:r w:rsidRPr="008B51DF">
        <w:t xml:space="preserve">) is a radioisotope of lutetium. Non-carrier added lutetium </w:t>
      </w:r>
      <w:r w:rsidR="004B7126" w:rsidRPr="008B51DF">
        <w:t>(</w:t>
      </w:r>
      <w:r w:rsidR="004B7126" w:rsidRPr="008B51DF">
        <w:rPr>
          <w:vertAlign w:val="superscript"/>
        </w:rPr>
        <w:t>177</w:t>
      </w:r>
      <w:r w:rsidR="004B7126" w:rsidRPr="008B51DF">
        <w:t xml:space="preserve">Lu) </w:t>
      </w:r>
      <w:r w:rsidRPr="008B51DF">
        <w:t>chloride is produced by the irradiation of highly enriched ytterbium (</w:t>
      </w:r>
      <w:r w:rsidRPr="008B51DF">
        <w:rPr>
          <w:vertAlign w:val="superscript"/>
        </w:rPr>
        <w:t>176</w:t>
      </w:r>
      <w:r w:rsidRPr="008B51DF">
        <w:t xml:space="preserve">Yb) in neutron sources with a thermal neutron flux. The produced </w:t>
      </w:r>
      <w:r w:rsidR="008D29C8" w:rsidRPr="008B51DF">
        <w:t>isotope ytterbium (</w:t>
      </w:r>
      <w:r w:rsidRPr="008B51DF">
        <w:rPr>
          <w:vertAlign w:val="superscript"/>
        </w:rPr>
        <w:t>177</w:t>
      </w:r>
      <w:r w:rsidRPr="008B51DF">
        <w:t>Yb</w:t>
      </w:r>
      <w:r w:rsidR="008D29C8" w:rsidRPr="008B51DF">
        <w:t>)</w:t>
      </w:r>
      <w:r w:rsidRPr="008B51DF">
        <w:t xml:space="preserve"> with a half-life of 1.9</w:t>
      </w:r>
      <w:r w:rsidR="00F11757" w:rsidRPr="008B51DF">
        <w:t> </w:t>
      </w:r>
      <w:r w:rsidRPr="008B51DF">
        <w:t>hours decays to</w:t>
      </w:r>
      <w:r w:rsidR="008D29C8" w:rsidRPr="008B51DF">
        <w:t xml:space="preserve"> lutetium</w:t>
      </w:r>
      <w:r w:rsidRPr="008B51DF">
        <w:t xml:space="preserve"> </w:t>
      </w:r>
      <w:r w:rsidR="008D29C8" w:rsidRPr="008B51DF">
        <w:t>(</w:t>
      </w:r>
      <w:r w:rsidR="00654E6D" w:rsidRPr="008B51DF">
        <w:rPr>
          <w:vertAlign w:val="superscript"/>
        </w:rPr>
        <w:t>177</w:t>
      </w:r>
      <w:r w:rsidR="00654E6D" w:rsidRPr="008B51DF">
        <w:t>L</w:t>
      </w:r>
      <w:r w:rsidR="00162759" w:rsidRPr="008B51DF">
        <w:t>u</w:t>
      </w:r>
      <w:r w:rsidR="008D29C8" w:rsidRPr="008B51DF">
        <w:t>)</w:t>
      </w:r>
      <w:r w:rsidRPr="008B51DF">
        <w:t xml:space="preserve">. The accumulated </w:t>
      </w:r>
      <w:r w:rsidR="008D29C8" w:rsidRPr="008B51DF">
        <w:t>lutetium (</w:t>
      </w:r>
      <w:r w:rsidR="00654E6D" w:rsidRPr="008B51DF">
        <w:rPr>
          <w:vertAlign w:val="superscript"/>
        </w:rPr>
        <w:t>177</w:t>
      </w:r>
      <w:r w:rsidR="00654E6D" w:rsidRPr="008B51DF">
        <w:t>Lu</w:t>
      </w:r>
      <w:r w:rsidR="008D29C8" w:rsidRPr="008B51DF">
        <w:t>)</w:t>
      </w:r>
      <w:r w:rsidRPr="008B51DF">
        <w:t xml:space="preserve"> is then separated chemically from the original target material chromatographically.</w:t>
      </w:r>
    </w:p>
    <w:p w14:paraId="67DE3DE2" w14:textId="55A55CAB" w:rsidR="00854553" w:rsidRPr="008B51DF" w:rsidRDefault="00854553" w:rsidP="00854553">
      <w:r w:rsidRPr="008B51DF">
        <w:lastRenderedPageBreak/>
        <w:t>The finished product is in 0.04</w:t>
      </w:r>
      <w:r w:rsidR="00162759" w:rsidRPr="008B51DF">
        <w:t xml:space="preserve"> </w:t>
      </w:r>
      <w:r w:rsidRPr="008B51DF">
        <w:t>M hydrochloric acid solution, each vial containing, according to the sponsor, 10</w:t>
      </w:r>
      <w:r w:rsidR="00162759" w:rsidRPr="008B51DF">
        <w:t xml:space="preserve"> to </w:t>
      </w:r>
      <w:r w:rsidRPr="008B51DF">
        <w:t xml:space="preserve">200 </w:t>
      </w:r>
      <w:proofErr w:type="spellStart"/>
      <w:r w:rsidR="008D29C8" w:rsidRPr="008B51DF">
        <w:t>gigabecquerel</w:t>
      </w:r>
      <w:proofErr w:type="spellEnd"/>
      <w:r w:rsidR="008D29C8" w:rsidRPr="008B51DF">
        <w:t xml:space="preserve"> (</w:t>
      </w:r>
      <w:proofErr w:type="spellStart"/>
      <w:r w:rsidRPr="008B51DF">
        <w:t>GBq</w:t>
      </w:r>
      <w:proofErr w:type="spellEnd"/>
      <w:r w:rsidR="008D29C8" w:rsidRPr="008B51DF">
        <w:t>)</w:t>
      </w:r>
      <w:r w:rsidRPr="008B51DF">
        <w:t>/</w:t>
      </w:r>
      <w:proofErr w:type="spellStart"/>
      <w:r w:rsidRPr="008B51DF">
        <w:t>mL.</w:t>
      </w:r>
      <w:proofErr w:type="spellEnd"/>
      <w:r w:rsidRPr="008B51DF">
        <w:t xml:space="preserve"> The sponsors rational for including a range in </w:t>
      </w:r>
      <w:r w:rsidR="00162759" w:rsidRPr="008B51DF">
        <w:t>l</w:t>
      </w:r>
      <w:r w:rsidRPr="008B51DF">
        <w:t>utetium (</w:t>
      </w:r>
      <w:r w:rsidR="00654E6D" w:rsidRPr="008B51DF">
        <w:rPr>
          <w:vertAlign w:val="superscript"/>
        </w:rPr>
        <w:t>177</w:t>
      </w:r>
      <w:r w:rsidR="00654E6D" w:rsidRPr="008B51DF">
        <w:t>Lu</w:t>
      </w:r>
      <w:r w:rsidRPr="008B51DF">
        <w:t>) chloride activity is provided below:</w:t>
      </w:r>
    </w:p>
    <w:p w14:paraId="53F8E67C" w14:textId="716A1DA5" w:rsidR="00854553" w:rsidRPr="008B51DF" w:rsidRDefault="00854553" w:rsidP="00162759">
      <w:pPr>
        <w:pStyle w:val="ListBullet"/>
      </w:pPr>
      <w:r w:rsidRPr="008B51DF">
        <w:t>The stock solution has a target activity concentration of approximately 225</w:t>
      </w:r>
      <w:r w:rsidR="00162759" w:rsidRPr="008B51DF">
        <w:t> </w:t>
      </w:r>
      <w:proofErr w:type="spellStart"/>
      <w:r w:rsidRPr="008B51DF">
        <w:t>GBq</w:t>
      </w:r>
      <w:proofErr w:type="spellEnd"/>
      <w:r w:rsidRPr="008B51DF">
        <w:t xml:space="preserve">/mL </w:t>
      </w:r>
      <w:r w:rsidR="00800DA9" w:rsidRPr="008B51DF">
        <w:t>lutetium (</w:t>
      </w:r>
      <w:r w:rsidR="00162759" w:rsidRPr="008B51DF">
        <w:rPr>
          <w:vertAlign w:val="superscript"/>
        </w:rPr>
        <w:t>177</w:t>
      </w:r>
      <w:r w:rsidR="00162759" w:rsidRPr="008B51DF">
        <w:t>Lu</w:t>
      </w:r>
      <w:r w:rsidR="00800DA9" w:rsidRPr="008B51DF">
        <w:t>)</w:t>
      </w:r>
      <w:r w:rsidRPr="008B51DF">
        <w:t xml:space="preserve"> </w:t>
      </w:r>
      <w:r w:rsidR="00162759" w:rsidRPr="008B51DF">
        <w:t>c</w:t>
      </w:r>
      <w:r w:rsidRPr="008B51DF">
        <w:t>hloride.</w:t>
      </w:r>
    </w:p>
    <w:p w14:paraId="0EAF05A8" w14:textId="53491991" w:rsidR="00854553" w:rsidRPr="008B51DF" w:rsidRDefault="00854553" w:rsidP="00162759">
      <w:pPr>
        <w:pStyle w:val="ListBullet"/>
      </w:pPr>
      <w:r w:rsidRPr="008B51DF">
        <w:t>For the finished product, the radioactivity concentration for the customer order varies between 5</w:t>
      </w:r>
      <w:r w:rsidR="00DE0798" w:rsidRPr="008B51DF">
        <w:t xml:space="preserve"> to </w:t>
      </w:r>
      <w:r w:rsidRPr="008B51DF">
        <w:t>100</w:t>
      </w:r>
      <w:r w:rsidR="00DE0798" w:rsidRPr="008B51DF">
        <w:t xml:space="preserve"> </w:t>
      </w:r>
      <w:proofErr w:type="spellStart"/>
      <w:r w:rsidRPr="008B51DF">
        <w:t>GBq</w:t>
      </w:r>
      <w:proofErr w:type="spellEnd"/>
      <w:r w:rsidRPr="008B51DF">
        <w:t xml:space="preserve"> in 0.5</w:t>
      </w:r>
      <w:r w:rsidR="00DE0798" w:rsidRPr="008B51DF">
        <w:t xml:space="preserve"> </w:t>
      </w:r>
      <w:proofErr w:type="spellStart"/>
      <w:r w:rsidRPr="008B51DF">
        <w:t>mL.</w:t>
      </w:r>
      <w:proofErr w:type="spellEnd"/>
    </w:p>
    <w:p w14:paraId="6B78B301" w14:textId="1276F2D1" w:rsidR="00854553" w:rsidRPr="008B51DF" w:rsidRDefault="00854553" w:rsidP="00854553">
      <w:r w:rsidRPr="008B51DF">
        <w:t xml:space="preserve">The radioactivity concentration range supplied by </w:t>
      </w:r>
      <w:r w:rsidR="001A24C6" w:rsidRPr="008B51DF">
        <w:t>the sponsor</w:t>
      </w:r>
      <w:r w:rsidRPr="008B51DF">
        <w:t xml:space="preserve"> is to meet customer requirements. </w:t>
      </w:r>
      <w:r w:rsidR="001A24C6" w:rsidRPr="008B51DF">
        <w:t>The sponsor</w:t>
      </w:r>
      <w:r w:rsidRPr="008B51DF">
        <w:t xml:space="preserve"> </w:t>
      </w:r>
      <w:proofErr w:type="gramStart"/>
      <w:r w:rsidRPr="008B51DF">
        <w:t>is able to</w:t>
      </w:r>
      <w:proofErr w:type="gramEnd"/>
      <w:r w:rsidRPr="008B51DF">
        <w:t xml:space="preserve"> reliably and reproducibly manufacture </w:t>
      </w:r>
      <w:r w:rsidR="00DE0798" w:rsidRPr="008B51DF">
        <w:t>l</w:t>
      </w:r>
      <w:r w:rsidRPr="008B51DF">
        <w:t>utetium (</w:t>
      </w:r>
      <w:r w:rsidR="00654E6D" w:rsidRPr="008B51DF">
        <w:rPr>
          <w:vertAlign w:val="superscript"/>
        </w:rPr>
        <w:t>177</w:t>
      </w:r>
      <w:r w:rsidR="00654E6D" w:rsidRPr="008B51DF">
        <w:t>Lu</w:t>
      </w:r>
      <w:r w:rsidRPr="008B51DF">
        <w:t xml:space="preserve">) </w:t>
      </w:r>
      <w:r w:rsidR="00DE0798" w:rsidRPr="008B51DF">
        <w:t>c</w:t>
      </w:r>
      <w:r w:rsidRPr="008B51DF">
        <w:t>hloride stock (in 0.04</w:t>
      </w:r>
      <w:r w:rsidR="00DE0798" w:rsidRPr="008B51DF">
        <w:t xml:space="preserve"> </w:t>
      </w:r>
      <w:r w:rsidRPr="008B51DF">
        <w:t xml:space="preserve">M </w:t>
      </w:r>
      <w:r w:rsidR="007B3F25" w:rsidRPr="008B51DF">
        <w:t>hydrochloric acid</w:t>
      </w:r>
      <w:r w:rsidRPr="008B51DF">
        <w:t>), which is then dispensed as per activity required by the customer.</w:t>
      </w:r>
    </w:p>
    <w:p w14:paraId="10781751" w14:textId="63823E63" w:rsidR="00854553" w:rsidRPr="008B51DF" w:rsidRDefault="00854553" w:rsidP="00854553">
      <w:r w:rsidRPr="008B51DF">
        <w:t>Each vial is dispensed individually; from the same batch</w:t>
      </w:r>
      <w:r w:rsidR="00ED08F7" w:rsidRPr="008B51DF">
        <w:t>,</w:t>
      </w:r>
      <w:r w:rsidRPr="008B51DF">
        <w:t xml:space="preserve"> various finished product vials could have different activities, based on the customer requirement. Each vial is individually labelled with the radioactive content inside.</w:t>
      </w:r>
    </w:p>
    <w:p w14:paraId="6A232BE8" w14:textId="1E17D37B" w:rsidR="00854553" w:rsidRPr="008B51DF" w:rsidRDefault="00854553" w:rsidP="00854553">
      <w:r w:rsidRPr="008B51DF">
        <w:t xml:space="preserve">The </w:t>
      </w:r>
      <w:r w:rsidR="007B3F25" w:rsidRPr="008B51DF">
        <w:t>European Medicines Agency (</w:t>
      </w:r>
      <w:r w:rsidRPr="008B51DF">
        <w:t>EMA</w:t>
      </w:r>
      <w:r w:rsidR="007B3F25" w:rsidRPr="008B51DF">
        <w:t>)</w:t>
      </w:r>
      <w:r w:rsidRPr="008B51DF">
        <w:t xml:space="preserve"> have likewise registered a </w:t>
      </w:r>
      <w:r w:rsidR="00800DA9" w:rsidRPr="008B51DF">
        <w:t>lutetium (</w:t>
      </w:r>
      <w:r w:rsidR="00DE0798" w:rsidRPr="008B51DF">
        <w:rPr>
          <w:vertAlign w:val="superscript"/>
        </w:rPr>
        <w:t>177</w:t>
      </w:r>
      <w:r w:rsidR="00DE0798" w:rsidRPr="008B51DF">
        <w:t>Lu</w:t>
      </w:r>
      <w:r w:rsidR="00800DA9" w:rsidRPr="008B51DF">
        <w:t xml:space="preserve">) </w:t>
      </w:r>
      <w:r w:rsidR="009A293C" w:rsidRPr="008B51DF">
        <w:t>chloride</w:t>
      </w:r>
      <w:r w:rsidR="00DE0798" w:rsidRPr="008B51DF">
        <w:t xml:space="preserve"> </w:t>
      </w:r>
      <w:r w:rsidRPr="008B51DF">
        <w:t xml:space="preserve">solution for radiolabelling under </w:t>
      </w:r>
      <w:proofErr w:type="spellStart"/>
      <w:r w:rsidR="007B3F25" w:rsidRPr="008B51DF">
        <w:t>EndolucinBeta</w:t>
      </w:r>
      <w:proofErr w:type="spellEnd"/>
      <w:r w:rsidRPr="008B51DF">
        <w:t xml:space="preserve">, available as a solution </w:t>
      </w:r>
      <w:r w:rsidR="00800DA9" w:rsidRPr="008B51DF">
        <w:t>corresponding to</w:t>
      </w:r>
      <w:r w:rsidRPr="008B51DF">
        <w:t xml:space="preserve"> 3 </w:t>
      </w:r>
      <w:r w:rsidR="00DE0798" w:rsidRPr="008B51DF">
        <w:t>to</w:t>
      </w:r>
      <w:r w:rsidRPr="008B51DF">
        <w:t xml:space="preserve"> 150 </w:t>
      </w:r>
      <w:proofErr w:type="spellStart"/>
      <w:r w:rsidRPr="008B51DF">
        <w:t>GBq</w:t>
      </w:r>
      <w:proofErr w:type="spellEnd"/>
      <w:r w:rsidRPr="008B51DF">
        <w:t xml:space="preserve"> </w:t>
      </w:r>
      <w:r w:rsidR="00654E6D" w:rsidRPr="008B51DF">
        <w:rPr>
          <w:vertAlign w:val="superscript"/>
        </w:rPr>
        <w:t>177</w:t>
      </w:r>
      <w:r w:rsidR="00654E6D" w:rsidRPr="008B51DF">
        <w:t>Lu</w:t>
      </w:r>
      <w:r w:rsidR="00800DA9" w:rsidRPr="008B51DF">
        <w:t xml:space="preserve"> (at activity reference time)</w:t>
      </w:r>
      <w:r w:rsidRPr="008B51DF">
        <w:t xml:space="preserve">. This approach </w:t>
      </w:r>
      <w:proofErr w:type="gramStart"/>
      <w:r w:rsidRPr="008B51DF">
        <w:t>is considered to be</w:t>
      </w:r>
      <w:proofErr w:type="gramEnd"/>
      <w:r w:rsidRPr="008B51DF">
        <w:t xml:space="preserve"> acceptable.</w:t>
      </w:r>
    </w:p>
    <w:p w14:paraId="625846EF" w14:textId="77777777" w:rsidR="00854553" w:rsidRPr="008B51DF" w:rsidRDefault="00854553" w:rsidP="00854553">
      <w:r w:rsidRPr="008B51DF">
        <w:t>The lutetium is bound to a suitable carrier peptide in a nuclear medicine facility prior to being administered to the patient.</w:t>
      </w:r>
    </w:p>
    <w:p w14:paraId="6FA62EFD" w14:textId="2C0A7A53" w:rsidR="00854553" w:rsidRPr="008B51DF" w:rsidRDefault="00854553" w:rsidP="00854553">
      <w:r w:rsidRPr="008B51DF">
        <w:t>The product is packaged into a glass vial and placed into a lead pot for protective shielding</w:t>
      </w:r>
      <w:r w:rsidR="00002DA2" w:rsidRPr="008B51DF">
        <w:t>.</w:t>
      </w:r>
    </w:p>
    <w:p w14:paraId="3640AFC5" w14:textId="188F450E" w:rsidR="00854553" w:rsidRPr="008B51DF" w:rsidRDefault="00854553" w:rsidP="00854553">
      <w:r w:rsidRPr="008B51DF">
        <w:t xml:space="preserve">The application and the supporting data relating to the composition, development, manufacture, quality control, stability and bioavailability of the product have been assessed and checked for compliance, as applicable, with Australian legislation and requirements for new medicines and in accordance with pharmacopoeial standards and the technical guidelines adopted by the </w:t>
      </w:r>
      <w:r w:rsidR="007B3F25" w:rsidRPr="008B51DF">
        <w:t>Therapeutic Goods Administration (</w:t>
      </w:r>
      <w:r w:rsidRPr="008B51DF">
        <w:t>TGA</w:t>
      </w:r>
      <w:r w:rsidR="007B3F25" w:rsidRPr="008B51DF">
        <w:t>)</w:t>
      </w:r>
      <w:r w:rsidRPr="008B51DF">
        <w:t>. After several round</w:t>
      </w:r>
      <w:r w:rsidR="00DE0798" w:rsidRPr="008B51DF">
        <w:t>s</w:t>
      </w:r>
      <w:r w:rsidRPr="008B51DF">
        <w:t xml:space="preserve"> of evaluation</w:t>
      </w:r>
      <w:r w:rsidR="00DE0798" w:rsidRPr="008B51DF">
        <w:t>s</w:t>
      </w:r>
      <w:r w:rsidRPr="008B51DF">
        <w:t xml:space="preserve">, the </w:t>
      </w:r>
      <w:r w:rsidR="00DE0798" w:rsidRPr="008B51DF">
        <w:t xml:space="preserve">quality </w:t>
      </w:r>
      <w:r w:rsidRPr="008B51DF">
        <w:t>evaluator was satisfied that this product met acceptable standards.</w:t>
      </w:r>
    </w:p>
    <w:p w14:paraId="5EB3C353" w14:textId="77777777" w:rsidR="008E7846" w:rsidRPr="008B51DF" w:rsidRDefault="008E7846" w:rsidP="008E7846">
      <w:pPr>
        <w:pStyle w:val="Heading3"/>
      </w:pPr>
      <w:bookmarkStart w:id="35" w:name="_Toc314842512"/>
      <w:bookmarkStart w:id="36" w:name="_Toc114238830"/>
      <w:r w:rsidRPr="008B51DF">
        <w:t>Nonclinical</w:t>
      </w:r>
      <w:bookmarkEnd w:id="35"/>
      <w:bookmarkEnd w:id="36"/>
    </w:p>
    <w:p w14:paraId="3BCAEC99" w14:textId="0137DC67" w:rsidR="00854553" w:rsidRPr="008B51DF" w:rsidRDefault="00DE0798" w:rsidP="00854553">
      <w:r w:rsidRPr="008B51DF">
        <w:t>The nonclinical m</w:t>
      </w:r>
      <w:r w:rsidR="00854553" w:rsidRPr="008B51DF">
        <w:t xml:space="preserve">odule was a literature-based submission. The literature search strategy was developed and approved in consultation with the TGA. The data provide limited information relevant to the proposed use of </w:t>
      </w:r>
      <w:r w:rsidR="00E27C5E" w:rsidRPr="008B51DF">
        <w:t>lutetium (</w:t>
      </w:r>
      <w:r w:rsidR="00654E6D" w:rsidRPr="008B51DF">
        <w:rPr>
          <w:vertAlign w:val="superscript"/>
        </w:rPr>
        <w:t>177</w:t>
      </w:r>
      <w:r w:rsidR="00654E6D" w:rsidRPr="008B51DF">
        <w:t>Lu</w:t>
      </w:r>
      <w:r w:rsidR="00E27C5E" w:rsidRPr="008B51DF">
        <w:t>)</w:t>
      </w:r>
      <w:r w:rsidR="00654E6D" w:rsidRPr="008B51DF">
        <w:t xml:space="preserve"> </w:t>
      </w:r>
      <w:r w:rsidR="007B3F25" w:rsidRPr="008B51DF">
        <w:t>chloride</w:t>
      </w:r>
      <w:r w:rsidR="00854553" w:rsidRPr="008B51DF">
        <w:t xml:space="preserve"> in PRRT.</w:t>
      </w:r>
    </w:p>
    <w:p w14:paraId="72E38059" w14:textId="0D67462A" w:rsidR="00854553" w:rsidRPr="008B51DF" w:rsidRDefault="00CA528F" w:rsidP="00854553">
      <w:r w:rsidRPr="008B51DF">
        <w:t>Lutetium (</w:t>
      </w:r>
      <w:r w:rsidR="00654E6D" w:rsidRPr="008B51DF">
        <w:rPr>
          <w:vertAlign w:val="superscript"/>
        </w:rPr>
        <w:t>177</w:t>
      </w:r>
      <w:r w:rsidR="00654E6D" w:rsidRPr="008B51DF">
        <w:t>Lu</w:t>
      </w:r>
      <w:r w:rsidRPr="008B51DF">
        <w:t>)</w:t>
      </w:r>
      <w:r w:rsidR="00854553" w:rsidRPr="008B51DF">
        <w:t xml:space="preserve"> is a medium</w:t>
      </w:r>
      <w:r w:rsidRPr="008B51DF">
        <w:t xml:space="preserve"> </w:t>
      </w:r>
      <w:r w:rsidR="00854553" w:rsidRPr="008B51DF">
        <w:t xml:space="preserve">energy </w:t>
      </w:r>
      <w:r w:rsidR="00800DA9" w:rsidRPr="008B51DF">
        <w:t>beta-</w:t>
      </w:r>
      <w:r w:rsidR="00854553" w:rsidRPr="008B51DF">
        <w:t>emitter with a maximum energy of 0.5</w:t>
      </w:r>
      <w:r w:rsidR="00D504DC" w:rsidRPr="008B51DF">
        <w:t> </w:t>
      </w:r>
      <w:proofErr w:type="spellStart"/>
      <w:r w:rsidR="00D504DC" w:rsidRPr="008B51DF">
        <w:t>megaelectronvolts</w:t>
      </w:r>
      <w:proofErr w:type="spellEnd"/>
      <w:r w:rsidR="00D504DC" w:rsidRPr="008B51DF">
        <w:t xml:space="preserve"> (</w:t>
      </w:r>
      <w:r w:rsidR="00854553" w:rsidRPr="008B51DF">
        <w:t>MeV</w:t>
      </w:r>
      <w:r w:rsidR="00D504DC" w:rsidRPr="008B51DF">
        <w:t>)</w:t>
      </w:r>
      <w:r w:rsidR="00854553" w:rsidRPr="008B51DF">
        <w:t>, a maximal tissue penetration of 2 mm and a half-life of 6.7</w:t>
      </w:r>
      <w:r w:rsidR="00D504DC" w:rsidRPr="008B51DF">
        <w:t> </w:t>
      </w:r>
      <w:r w:rsidR="00854553" w:rsidRPr="008B51DF">
        <w:t>days, making it suitable for small tumours</w:t>
      </w:r>
      <w:r w:rsidR="00800DA9" w:rsidRPr="008B51DF">
        <w:t>. Lutetium</w:t>
      </w:r>
      <w:r w:rsidR="00854553" w:rsidRPr="008B51DF">
        <w:t xml:space="preserve"> </w:t>
      </w:r>
      <w:r w:rsidR="00800DA9" w:rsidRPr="008B51DF">
        <w:t>(</w:t>
      </w:r>
      <w:r w:rsidR="00654E6D" w:rsidRPr="008B51DF">
        <w:rPr>
          <w:vertAlign w:val="superscript"/>
        </w:rPr>
        <w:t>177</w:t>
      </w:r>
      <w:r w:rsidR="00654E6D" w:rsidRPr="008B51DF">
        <w:t>Lu</w:t>
      </w:r>
      <w:r w:rsidR="00800DA9" w:rsidRPr="008B51DF">
        <w:t>)</w:t>
      </w:r>
      <w:r w:rsidR="00854553" w:rsidRPr="008B51DF">
        <w:t xml:space="preserve"> also emits low</w:t>
      </w:r>
      <w:r w:rsidRPr="008B51DF">
        <w:t xml:space="preserve"> </w:t>
      </w:r>
      <w:r w:rsidR="00854553" w:rsidRPr="008B51DF">
        <w:t xml:space="preserve">energy </w:t>
      </w:r>
      <w:r w:rsidR="00800DA9" w:rsidRPr="008B51DF">
        <w:t>gamma</w:t>
      </w:r>
      <w:r w:rsidR="00E27C5E" w:rsidRPr="008B51DF">
        <w:noBreakHyphen/>
      </w:r>
      <w:r w:rsidR="00854553" w:rsidRPr="008B51DF">
        <w:t>rays (113</w:t>
      </w:r>
      <w:r w:rsidRPr="008B51DF">
        <w:t xml:space="preserve"> to </w:t>
      </w:r>
      <w:r w:rsidR="00854553" w:rsidRPr="008B51DF">
        <w:t>208 </w:t>
      </w:r>
      <w:proofErr w:type="spellStart"/>
      <w:r w:rsidR="00D504DC" w:rsidRPr="008B51DF">
        <w:t>kiloelectronvoluts</w:t>
      </w:r>
      <w:proofErr w:type="spellEnd"/>
      <w:r w:rsidR="00D504DC" w:rsidRPr="008B51DF">
        <w:t xml:space="preserve"> (</w:t>
      </w:r>
      <w:r w:rsidR="00854553" w:rsidRPr="008B51DF">
        <w:t>keV</w:t>
      </w:r>
      <w:r w:rsidR="00D504DC" w:rsidRPr="008B51DF">
        <w:t>)</w:t>
      </w:r>
      <w:r w:rsidR="00854553" w:rsidRPr="008B51DF">
        <w:t xml:space="preserve">), which allows scintigraphy and subsequent dosimetry with the same therapeutic compound. </w:t>
      </w:r>
      <w:r w:rsidR="00800DA9" w:rsidRPr="008B51DF">
        <w:t>Lutetium (</w:t>
      </w:r>
      <w:r w:rsidR="00654E6D" w:rsidRPr="008B51DF">
        <w:rPr>
          <w:vertAlign w:val="superscript"/>
        </w:rPr>
        <w:t>177</w:t>
      </w:r>
      <w:r w:rsidR="00654E6D" w:rsidRPr="008B51DF">
        <w:t>Lu</w:t>
      </w:r>
      <w:r w:rsidR="00800DA9" w:rsidRPr="008B51DF">
        <w:t>)</w:t>
      </w:r>
      <w:r w:rsidR="00854553" w:rsidRPr="008B51DF">
        <w:t xml:space="preserve"> decays to the stable isotope </w:t>
      </w:r>
      <w:r w:rsidR="00800DA9" w:rsidRPr="008B51DF">
        <w:t>hafnium-177 (</w:t>
      </w:r>
      <w:r w:rsidR="00854553" w:rsidRPr="008B51DF">
        <w:rPr>
          <w:vertAlign w:val="superscript"/>
        </w:rPr>
        <w:t>177</w:t>
      </w:r>
      <w:r w:rsidR="00854553" w:rsidRPr="008B51DF">
        <w:t>Hf</w:t>
      </w:r>
      <w:r w:rsidR="00800DA9" w:rsidRPr="008B51DF">
        <w:t>)</w:t>
      </w:r>
      <w:r w:rsidR="00854553" w:rsidRPr="008B51DF">
        <w:t xml:space="preserve"> with a half</w:t>
      </w:r>
      <w:r w:rsidR="00800DA9" w:rsidRPr="008B51DF">
        <w:noBreakHyphen/>
      </w:r>
      <w:r w:rsidR="00854553" w:rsidRPr="008B51DF">
        <w:t>life of 6.647</w:t>
      </w:r>
      <w:r w:rsidR="008D29C8" w:rsidRPr="008B51DF">
        <w:t> </w:t>
      </w:r>
      <w:r w:rsidR="00854553" w:rsidRPr="008B51DF">
        <w:t>days.</w:t>
      </w:r>
    </w:p>
    <w:p w14:paraId="1CBFBD36" w14:textId="47BDAF69" w:rsidR="00854553" w:rsidRPr="008B51DF" w:rsidRDefault="00854553" w:rsidP="00854553">
      <w:bookmarkStart w:id="37" w:name="_Hlk109044135"/>
      <w:r w:rsidRPr="008B51DF">
        <w:t xml:space="preserve">Lutetium </w:t>
      </w:r>
      <w:bookmarkEnd w:id="37"/>
      <w:r w:rsidRPr="008B51DF">
        <w:t xml:space="preserve">(and other rare earth metal ions) bind or displace calcium or other divalent metal cations from a variety of binding sites. </w:t>
      </w:r>
      <w:r w:rsidR="00B357EB" w:rsidRPr="008B51DF">
        <w:t>Lutetium</w:t>
      </w:r>
      <w:r w:rsidR="007E2323" w:rsidRPr="008B51DF">
        <w:t xml:space="preserve"> III </w:t>
      </w:r>
      <w:r w:rsidR="00B357EB" w:rsidRPr="008B51DF">
        <w:t>(</w:t>
      </w:r>
      <w:r w:rsidRPr="008B51DF">
        <w:t>Lu</w:t>
      </w:r>
      <w:r w:rsidRPr="008B51DF">
        <w:rPr>
          <w:vertAlign w:val="superscript"/>
        </w:rPr>
        <w:t>3+</w:t>
      </w:r>
      <w:r w:rsidR="00B357EB" w:rsidRPr="008B51DF">
        <w:t>)</w:t>
      </w:r>
      <w:r w:rsidRPr="008B51DF">
        <w:t xml:space="preserve"> relaxed smooth muscle and inhibited agonist or potassium-induced contractions. Interactions with binding sites on actin isolated from rabbit muscle, canine osteocalcin, </w:t>
      </w:r>
      <w:proofErr w:type="gramStart"/>
      <w:r w:rsidRPr="008B51DF">
        <w:t>trypsinogen</w:t>
      </w:r>
      <w:proofErr w:type="gramEnd"/>
      <w:r w:rsidRPr="008B51DF">
        <w:t xml:space="preserve"> and human mitochondrial </w:t>
      </w:r>
      <w:r w:rsidR="007B3F25" w:rsidRPr="008B51DF">
        <w:t>nicotinamide adenine dinucleotide</w:t>
      </w:r>
      <w:r w:rsidRPr="008B51DF">
        <w:t xml:space="preserve">-dependent malic enzyme have been reported. Lutetium enhanced neuronal </w:t>
      </w:r>
      <w:r w:rsidR="007E2323" w:rsidRPr="008B51DF">
        <w:t>gamma</w:t>
      </w:r>
      <w:r w:rsidR="00151A52" w:rsidRPr="008B51DF">
        <w:t>-aminobutyric acid</w:t>
      </w:r>
      <w:r w:rsidR="007E2323" w:rsidRPr="008B51DF">
        <w:t xml:space="preserve"> </w:t>
      </w:r>
      <w:r w:rsidRPr="008B51DF">
        <w:t xml:space="preserve">currents. The concentrations required for these secondary pharmacological activities were well above the concentration likely to be reached during use of </w:t>
      </w:r>
      <w:r w:rsidR="007E2323" w:rsidRPr="008B51DF">
        <w:t>lutetium (</w:t>
      </w:r>
      <w:r w:rsidR="00654E6D" w:rsidRPr="008B51DF">
        <w:rPr>
          <w:vertAlign w:val="superscript"/>
        </w:rPr>
        <w:t>177</w:t>
      </w:r>
      <w:r w:rsidR="00654E6D" w:rsidRPr="008B51DF">
        <w:t>Lu</w:t>
      </w:r>
      <w:r w:rsidR="007E2323" w:rsidRPr="008B51DF">
        <w:t>)</w:t>
      </w:r>
      <w:r w:rsidRPr="008B51DF">
        <w:t xml:space="preserve"> for PRRT.</w:t>
      </w:r>
    </w:p>
    <w:p w14:paraId="02CA833C" w14:textId="0608FE8C" w:rsidR="00854553" w:rsidRPr="008B51DF" w:rsidRDefault="00854553" w:rsidP="00854553">
      <w:r w:rsidRPr="008B51DF">
        <w:lastRenderedPageBreak/>
        <w:t xml:space="preserve">The pharmacokinetics of </w:t>
      </w:r>
      <w:r w:rsidR="00156704" w:rsidRPr="008B51DF">
        <w:t>lutetium (</w:t>
      </w:r>
      <w:r w:rsidR="00654E6D" w:rsidRPr="008B51DF">
        <w:rPr>
          <w:vertAlign w:val="superscript"/>
        </w:rPr>
        <w:t>177</w:t>
      </w:r>
      <w:r w:rsidR="00654E6D" w:rsidRPr="008B51DF">
        <w:t>Lu</w:t>
      </w:r>
      <w:r w:rsidR="00156704" w:rsidRPr="008B51DF">
        <w:t>)</w:t>
      </w:r>
      <w:r w:rsidRPr="008B51DF">
        <w:t xml:space="preserve"> during PRRT will be dependent on the carrier molecule that is to be radiolabelled with the isotope. The pharmacokinetics of </w:t>
      </w:r>
      <w:proofErr w:type="spellStart"/>
      <w:r w:rsidRPr="008B51DF">
        <w:t>uncomplexed</w:t>
      </w:r>
      <w:proofErr w:type="spellEnd"/>
      <w:r w:rsidRPr="008B51DF">
        <w:t xml:space="preserve"> </w:t>
      </w:r>
      <w:r w:rsidR="00156704" w:rsidRPr="008B51DF">
        <w:t>lutetium (</w:t>
      </w:r>
      <w:r w:rsidR="00654E6D" w:rsidRPr="008B51DF">
        <w:rPr>
          <w:vertAlign w:val="superscript"/>
        </w:rPr>
        <w:t>177</w:t>
      </w:r>
      <w:r w:rsidR="00654E6D" w:rsidRPr="008B51DF">
        <w:t>Lu</w:t>
      </w:r>
      <w:r w:rsidR="00156704" w:rsidRPr="008B51DF">
        <w:t>)</w:t>
      </w:r>
      <w:r w:rsidR="00654E6D" w:rsidRPr="008B51DF">
        <w:t xml:space="preserve"> </w:t>
      </w:r>
      <w:r w:rsidR="007B3F25" w:rsidRPr="008B51DF">
        <w:t>chloride</w:t>
      </w:r>
      <w:r w:rsidRPr="008B51DF">
        <w:t xml:space="preserve"> are only of interest in case of accidental </w:t>
      </w:r>
      <w:r w:rsidR="007256B4" w:rsidRPr="008B51DF">
        <w:t xml:space="preserve">intravenous </w:t>
      </w:r>
      <w:r w:rsidRPr="008B51DF">
        <w:t>administration.</w:t>
      </w:r>
    </w:p>
    <w:p w14:paraId="2E193445" w14:textId="256AD308" w:rsidR="00854553" w:rsidRPr="008B51DF" w:rsidRDefault="00854553" w:rsidP="00854553">
      <w:r w:rsidRPr="008B51DF">
        <w:t xml:space="preserve">The toxicity of the peptide receptor radionuclide therapy will be dominated by that of the carrier molecule to be labelled with </w:t>
      </w:r>
      <w:r w:rsidR="00156704" w:rsidRPr="008B51DF">
        <w:t>lutetium (</w:t>
      </w:r>
      <w:r w:rsidR="00654E6D" w:rsidRPr="008B51DF">
        <w:rPr>
          <w:vertAlign w:val="superscript"/>
        </w:rPr>
        <w:t>177</w:t>
      </w:r>
      <w:r w:rsidR="00654E6D" w:rsidRPr="008B51DF">
        <w:t>Lu</w:t>
      </w:r>
      <w:r w:rsidR="00156704" w:rsidRPr="008B51DF">
        <w:t>)</w:t>
      </w:r>
      <w:r w:rsidRPr="008B51DF">
        <w:t xml:space="preserve">. Lutetium </w:t>
      </w:r>
      <w:r w:rsidR="00156704" w:rsidRPr="008B51DF">
        <w:t>(</w:t>
      </w:r>
      <w:r w:rsidR="00156704" w:rsidRPr="008B51DF">
        <w:rPr>
          <w:vertAlign w:val="superscript"/>
        </w:rPr>
        <w:t>177</w:t>
      </w:r>
      <w:r w:rsidR="00156704" w:rsidRPr="008B51DF">
        <w:t xml:space="preserve">Lu) </w:t>
      </w:r>
      <w:r w:rsidRPr="008B51DF">
        <w:t>chloride is of low acute toxicity</w:t>
      </w:r>
      <w:r w:rsidR="007256B4" w:rsidRPr="008B51DF">
        <w:t>.</w:t>
      </w:r>
      <w:r w:rsidRPr="008B51DF">
        <w:t xml:space="preserve"> No pharmacological effects on respiration and cardiovascular function were observed in cats following cumulative </w:t>
      </w:r>
      <w:r w:rsidR="007256B4" w:rsidRPr="008B51DF">
        <w:t>intravenous</w:t>
      </w:r>
      <w:r w:rsidRPr="008B51DF">
        <w:t xml:space="preserve"> doses up to 10 mg/kg, approximately 5</w:t>
      </w:r>
      <w:r w:rsidR="00156704" w:rsidRPr="008B51DF">
        <w:t> </w:t>
      </w:r>
      <w:r w:rsidRPr="008B51DF">
        <w:t>orders of magnitude higher than the anticipated intake of lutetium during PRRT. There were no adverse effects observed in a 90</w:t>
      </w:r>
      <w:r w:rsidR="007256B4" w:rsidRPr="008B51DF">
        <w:t>-</w:t>
      </w:r>
      <w:r w:rsidRPr="008B51DF">
        <w:t>day dietary administration study with lutetium chloride in rats at dietary doses of up to 1.0%. It is concluded that there are no concerns over the toxicity of the lutetium ion, and the only concerns relate to the radioactivity of the isotope.</w:t>
      </w:r>
    </w:p>
    <w:p w14:paraId="17F6F9A3" w14:textId="3C8BF6F5" w:rsidR="00854553" w:rsidRPr="008B51DF" w:rsidRDefault="00854553" w:rsidP="00854553">
      <w:r w:rsidRPr="008B51DF">
        <w:t xml:space="preserve">Target organs for </w:t>
      </w:r>
      <w:r w:rsidR="00156704" w:rsidRPr="008B51DF">
        <w:t>lutetium (</w:t>
      </w:r>
      <w:r w:rsidR="00654E6D" w:rsidRPr="008B51DF">
        <w:rPr>
          <w:vertAlign w:val="superscript"/>
        </w:rPr>
        <w:t>177</w:t>
      </w:r>
      <w:r w:rsidR="00654E6D" w:rsidRPr="008B51DF">
        <w:t>Lu</w:t>
      </w:r>
      <w:r w:rsidR="00156704" w:rsidRPr="008B51DF">
        <w:t>)</w:t>
      </w:r>
      <w:r w:rsidRPr="008B51DF">
        <w:t xml:space="preserve">-mediated toxicity in animal studies were bone (accumulation of the radionuclide, resulting in osteosarcoma formation), kidney (radiation damage following tubular reabsorption of the radiopeptide) and bone marrow (myelosuppression). Potential strategies to mitigate these toxicities include infusing chelators like trisodium calcium </w:t>
      </w:r>
      <w:proofErr w:type="spellStart"/>
      <w:r w:rsidRPr="008B51DF">
        <w:t>diethylenetriaminepentaacetate</w:t>
      </w:r>
      <w:proofErr w:type="spellEnd"/>
      <w:r w:rsidRPr="008B51DF">
        <w:t xml:space="preserve"> or calcium disodium ethylenediaminetetraacetate. Amino acid infusions have often been used to protect the kidneys during clinical use. Potential strategies to mitigate the myelotoxicity include extracorporeal affinity adsorption treatment.</w:t>
      </w:r>
    </w:p>
    <w:p w14:paraId="78D3A007" w14:textId="7A87A54E" w:rsidR="00854553" w:rsidRPr="008B51DF" w:rsidRDefault="00854553" w:rsidP="00854553">
      <w:r w:rsidRPr="008B51DF">
        <w:t xml:space="preserve">Genotoxicity studies have not been conducted. Radiation emission from radionuclides such as </w:t>
      </w:r>
      <w:r w:rsidR="00156704" w:rsidRPr="008B51DF">
        <w:t>lutetium (</w:t>
      </w:r>
      <w:r w:rsidR="00654E6D" w:rsidRPr="008B51DF">
        <w:rPr>
          <w:vertAlign w:val="superscript"/>
        </w:rPr>
        <w:t>177</w:t>
      </w:r>
      <w:r w:rsidR="00654E6D" w:rsidRPr="008B51DF">
        <w:t>Lu</w:t>
      </w:r>
      <w:r w:rsidR="00156704" w:rsidRPr="008B51DF">
        <w:t>)</w:t>
      </w:r>
      <w:r w:rsidRPr="008B51DF">
        <w:t xml:space="preserve"> is expected to cause </w:t>
      </w:r>
      <w:r w:rsidR="009B05AC" w:rsidRPr="008B51DF">
        <w:t>deoxyribonucleic acid (</w:t>
      </w:r>
      <w:r w:rsidR="00156704" w:rsidRPr="008B51DF">
        <w:t>DNA</w:t>
      </w:r>
      <w:r w:rsidR="009B05AC" w:rsidRPr="008B51DF">
        <w:t>)</w:t>
      </w:r>
      <w:r w:rsidR="007B3F25" w:rsidRPr="008B51DF">
        <w:t xml:space="preserve"> </w:t>
      </w:r>
      <w:r w:rsidRPr="008B51DF">
        <w:t xml:space="preserve">damage. Osteosarcomas were observed in mice following </w:t>
      </w:r>
      <w:r w:rsidR="00B357EB" w:rsidRPr="008B51DF">
        <w:t>intraperitoneal</w:t>
      </w:r>
      <w:r w:rsidRPr="008B51DF">
        <w:t xml:space="preserve"> administration at</w:t>
      </w:r>
      <w:r w:rsidR="00156704" w:rsidRPr="008B51DF">
        <w:t xml:space="preserve"> lutetium</w:t>
      </w:r>
      <w:r w:rsidRPr="008B51DF">
        <w:t xml:space="preserve"> </w:t>
      </w:r>
      <w:r w:rsidR="00156704" w:rsidRPr="008B51DF">
        <w:t>(</w:t>
      </w:r>
      <w:r w:rsidR="00654E6D" w:rsidRPr="008B51DF">
        <w:rPr>
          <w:vertAlign w:val="superscript"/>
        </w:rPr>
        <w:t>177</w:t>
      </w:r>
      <w:r w:rsidR="00654E6D" w:rsidRPr="008B51DF">
        <w:t>Lu</w:t>
      </w:r>
      <w:r w:rsidR="00156704" w:rsidRPr="008B51DF">
        <w:t>)</w:t>
      </w:r>
      <w:r w:rsidRPr="008B51DF">
        <w:t xml:space="preserve"> doses of 185</w:t>
      </w:r>
      <w:r w:rsidR="00E26E8A" w:rsidRPr="008B51DF">
        <w:t xml:space="preserve"> to </w:t>
      </w:r>
      <w:r w:rsidRPr="008B51DF">
        <w:t>1480</w:t>
      </w:r>
      <w:r w:rsidR="00156704" w:rsidRPr="008B51DF">
        <w:t> </w:t>
      </w:r>
      <w:proofErr w:type="spellStart"/>
      <w:r w:rsidR="008D29C8" w:rsidRPr="008B51DF">
        <w:t>megabequerel</w:t>
      </w:r>
      <w:proofErr w:type="spellEnd"/>
      <w:r w:rsidR="008D29C8" w:rsidRPr="008B51DF">
        <w:t xml:space="preserve"> (</w:t>
      </w:r>
      <w:r w:rsidRPr="008B51DF">
        <w:t>MBq</w:t>
      </w:r>
      <w:r w:rsidR="008D29C8" w:rsidRPr="008B51DF">
        <w:t>)</w:t>
      </w:r>
      <w:r w:rsidRPr="008B51DF">
        <w:t>/kg (28</w:t>
      </w:r>
      <w:r w:rsidR="00E26E8A" w:rsidRPr="008B51DF">
        <w:t xml:space="preserve"> to </w:t>
      </w:r>
      <w:r w:rsidRPr="008B51DF">
        <w:t>224</w:t>
      </w:r>
      <w:r w:rsidR="007B3F25" w:rsidRPr="008B51DF">
        <w:t xml:space="preserve"> </w:t>
      </w:r>
      <w:proofErr w:type="spellStart"/>
      <w:r w:rsidR="008D29C8" w:rsidRPr="008B51DF">
        <w:t>gray</w:t>
      </w:r>
      <w:proofErr w:type="spellEnd"/>
      <w:r w:rsidR="008D29C8" w:rsidRPr="008B51DF">
        <w:t xml:space="preserve"> (</w:t>
      </w:r>
      <w:proofErr w:type="spellStart"/>
      <w:r w:rsidRPr="008B51DF">
        <w:t>Gy</w:t>
      </w:r>
      <w:proofErr w:type="spellEnd"/>
      <w:r w:rsidR="008D29C8" w:rsidRPr="008B51DF">
        <w:t>)</w:t>
      </w:r>
      <w:r w:rsidRPr="008B51DF">
        <w:t xml:space="preserve">). Osteosarcoma formation was associated with single doses </w:t>
      </w:r>
      <w:r w:rsidR="00156704" w:rsidRPr="008B51DF">
        <w:t>of lutetium (</w:t>
      </w:r>
      <w:r w:rsidR="00654E6D" w:rsidRPr="008B51DF">
        <w:rPr>
          <w:vertAlign w:val="superscript"/>
        </w:rPr>
        <w:t>177</w:t>
      </w:r>
      <w:r w:rsidR="00654E6D" w:rsidRPr="008B51DF">
        <w:t>Lu</w:t>
      </w:r>
      <w:r w:rsidR="00156704" w:rsidRPr="008B51DF">
        <w:t>)</w:t>
      </w:r>
      <w:r w:rsidRPr="008B51DF">
        <w:t xml:space="preserve"> ≥ 7.8 </w:t>
      </w:r>
      <w:proofErr w:type="spellStart"/>
      <w:r w:rsidRPr="008B51DF">
        <w:t>Gy</w:t>
      </w:r>
      <w:proofErr w:type="spellEnd"/>
      <w:r w:rsidRPr="008B51DF">
        <w:t xml:space="preserve"> and is of potential clinical relevance in the case of inadvertent </w:t>
      </w:r>
      <w:r w:rsidR="007256B4" w:rsidRPr="008B51DF">
        <w:t>intravenous</w:t>
      </w:r>
      <w:r w:rsidRPr="008B51DF">
        <w:t xml:space="preserve"> administration of non-carrier added</w:t>
      </w:r>
      <w:r w:rsidR="00156704" w:rsidRPr="008B51DF">
        <w:t xml:space="preserve"> lutetium (</w:t>
      </w:r>
      <w:r w:rsidR="00654E6D" w:rsidRPr="008B51DF">
        <w:rPr>
          <w:vertAlign w:val="superscript"/>
        </w:rPr>
        <w:t>177</w:t>
      </w:r>
      <w:r w:rsidR="00654E6D" w:rsidRPr="008B51DF">
        <w:t>Lu</w:t>
      </w:r>
      <w:r w:rsidR="00156704" w:rsidRPr="008B51DF">
        <w:t>)</w:t>
      </w:r>
      <w:r w:rsidR="00654E6D" w:rsidRPr="008B51DF">
        <w:t xml:space="preserve"> </w:t>
      </w:r>
      <w:r w:rsidR="007B3F25" w:rsidRPr="008B51DF">
        <w:t>chloride</w:t>
      </w:r>
      <w:r w:rsidRPr="008B51DF">
        <w:t>.</w:t>
      </w:r>
    </w:p>
    <w:p w14:paraId="69AF2720" w14:textId="540E6EDB" w:rsidR="00854553" w:rsidRPr="008B51DF" w:rsidRDefault="00854553" w:rsidP="00854553">
      <w:r w:rsidRPr="008B51DF">
        <w:t xml:space="preserve">No data on reproductive and developmental toxicity are available. The sponsor has proposed </w:t>
      </w:r>
      <w:r w:rsidR="00E26E8A" w:rsidRPr="008B51DF">
        <w:t xml:space="preserve">Pregnancy Category </w:t>
      </w:r>
      <w:r w:rsidRPr="008B51DF">
        <w:t>X,</w:t>
      </w:r>
      <w:bookmarkStart w:id="38" w:name="_Ref111114757"/>
      <w:r w:rsidR="00B357EB" w:rsidRPr="008B51DF">
        <w:rPr>
          <w:rStyle w:val="FootnoteReference"/>
        </w:rPr>
        <w:footnoteReference w:id="6"/>
      </w:r>
      <w:bookmarkEnd w:id="38"/>
      <w:r w:rsidRPr="008B51DF">
        <w:t xml:space="preserve"> which is appropriate as radiation emission from radionuclides such as </w:t>
      </w:r>
      <w:r w:rsidR="00156704" w:rsidRPr="008B51DF">
        <w:t>lutetium (</w:t>
      </w:r>
      <w:r w:rsidR="00654E6D" w:rsidRPr="008B51DF">
        <w:rPr>
          <w:vertAlign w:val="superscript"/>
        </w:rPr>
        <w:t>177</w:t>
      </w:r>
      <w:r w:rsidR="00654E6D" w:rsidRPr="008B51DF">
        <w:t>Lu</w:t>
      </w:r>
      <w:r w:rsidR="00156704" w:rsidRPr="008B51DF">
        <w:t>)</w:t>
      </w:r>
      <w:r w:rsidRPr="008B51DF">
        <w:t xml:space="preserve"> is a known hazard to individuals of reproductive potential.</w:t>
      </w:r>
    </w:p>
    <w:p w14:paraId="1BA9F91E" w14:textId="77777777" w:rsidR="008E7846" w:rsidRPr="008B51DF" w:rsidRDefault="008E7846" w:rsidP="008E7846">
      <w:pPr>
        <w:pStyle w:val="Heading3"/>
      </w:pPr>
      <w:bookmarkStart w:id="39" w:name="_Toc247691530"/>
      <w:bookmarkStart w:id="40" w:name="_Toc314842513"/>
      <w:bookmarkStart w:id="41" w:name="_Toc114238831"/>
      <w:r w:rsidRPr="008B51DF">
        <w:t>Clinical</w:t>
      </w:r>
      <w:bookmarkEnd w:id="39"/>
      <w:bookmarkEnd w:id="40"/>
      <w:bookmarkEnd w:id="41"/>
    </w:p>
    <w:p w14:paraId="0284BB31" w14:textId="4222BD44" w:rsidR="00854553" w:rsidRPr="008B51DF" w:rsidRDefault="00854553" w:rsidP="00854553">
      <w:r w:rsidRPr="008B51DF">
        <w:t>This was a literature</w:t>
      </w:r>
      <w:r w:rsidR="00E26E8A" w:rsidRPr="008B51DF">
        <w:t>-</w:t>
      </w:r>
      <w:r w:rsidRPr="008B51DF">
        <w:t>based submission</w:t>
      </w:r>
      <w:r w:rsidR="00E26E8A" w:rsidRPr="008B51DF">
        <w:t>.</w:t>
      </w:r>
    </w:p>
    <w:p w14:paraId="390DFFE6" w14:textId="0627A856" w:rsidR="00854553" w:rsidRPr="008B51DF" w:rsidRDefault="00854553" w:rsidP="00854553">
      <w:pPr>
        <w:pStyle w:val="Heading4"/>
      </w:pPr>
      <w:r w:rsidRPr="008B51DF">
        <w:t>Pharmacology</w:t>
      </w:r>
    </w:p>
    <w:p w14:paraId="691EDDC4" w14:textId="45DB7E5B" w:rsidR="00854553" w:rsidRPr="008B51DF" w:rsidRDefault="00854553" w:rsidP="00854553">
      <w:r w:rsidRPr="008B51DF">
        <w:t>Lutetium chloride is a clear, colourless solution, free of impurities supplied as a radiopharmaceutical precursor. Lutetium (</w:t>
      </w:r>
      <w:r w:rsidR="00654E6D" w:rsidRPr="008B51DF">
        <w:rPr>
          <w:vertAlign w:val="superscript"/>
        </w:rPr>
        <w:t>177</w:t>
      </w:r>
      <w:r w:rsidR="00654E6D" w:rsidRPr="008B51DF">
        <w:t>Lu</w:t>
      </w:r>
      <w:r w:rsidRPr="008B51DF">
        <w:t xml:space="preserve">) is a radioisotope of lutetium, which has no intrinsic pharmacodynamic properties and it should never be administered as a </w:t>
      </w:r>
      <w:r w:rsidR="00E26E8A" w:rsidRPr="008B51DF">
        <w:t>standalone</w:t>
      </w:r>
      <w:r w:rsidRPr="008B51DF">
        <w:t xml:space="preserve"> therapy.</w:t>
      </w:r>
    </w:p>
    <w:p w14:paraId="45B9A13C" w14:textId="77777777" w:rsidR="007B3F25" w:rsidRPr="008B51DF" w:rsidRDefault="00854553" w:rsidP="007B3F25">
      <w:pPr>
        <w:pStyle w:val="Heading5"/>
      </w:pPr>
      <w:r w:rsidRPr="008B51DF">
        <w:t>Radioactive properties</w:t>
      </w:r>
    </w:p>
    <w:p w14:paraId="602E966C" w14:textId="38039825" w:rsidR="00854553" w:rsidRPr="008B51DF" w:rsidRDefault="00F124FD" w:rsidP="00854553">
      <w:r w:rsidRPr="008B51DF">
        <w:t>Lutetium (</w:t>
      </w:r>
      <w:r w:rsidR="00654E6D" w:rsidRPr="008B51DF">
        <w:rPr>
          <w:vertAlign w:val="superscript"/>
        </w:rPr>
        <w:t>177</w:t>
      </w:r>
      <w:r w:rsidR="00654E6D" w:rsidRPr="008B51DF">
        <w:t>Lu</w:t>
      </w:r>
      <w:r w:rsidRPr="008B51DF">
        <w:t>)</w:t>
      </w:r>
      <w:r w:rsidR="00854553" w:rsidRPr="008B51DF">
        <w:t xml:space="preserve"> decays to stable hafnium (</w:t>
      </w:r>
      <w:r w:rsidR="00854553" w:rsidRPr="008B51DF">
        <w:rPr>
          <w:vertAlign w:val="superscript"/>
        </w:rPr>
        <w:t>177</w:t>
      </w:r>
      <w:r w:rsidR="00854553" w:rsidRPr="008B51DF">
        <w:t>Hf), with a half-life of 6.647</w:t>
      </w:r>
      <w:r w:rsidR="00E26E8A" w:rsidRPr="008B51DF">
        <w:t> </w:t>
      </w:r>
      <w:r w:rsidR="00854553" w:rsidRPr="008B51DF">
        <w:t>days. The decay is via low energy beta and gamma emissions.</w:t>
      </w:r>
    </w:p>
    <w:p w14:paraId="764D8E7D" w14:textId="78878EA8" w:rsidR="00854553" w:rsidRPr="008B51DF" w:rsidRDefault="00854553" w:rsidP="00854553">
      <w:pPr>
        <w:pStyle w:val="Heading5"/>
      </w:pPr>
      <w:r w:rsidRPr="008B51DF">
        <w:lastRenderedPageBreak/>
        <w:t>Pharmacokinetics</w:t>
      </w:r>
    </w:p>
    <w:p w14:paraId="186048C6" w14:textId="298986A0" w:rsidR="00854553" w:rsidRPr="008B51DF" w:rsidRDefault="00854553" w:rsidP="00854553">
      <w:r w:rsidRPr="008B51DF">
        <w:t xml:space="preserve">The sponsor included </w:t>
      </w:r>
      <w:proofErr w:type="gramStart"/>
      <w:r w:rsidRPr="008B51DF">
        <w:t>a number of</w:t>
      </w:r>
      <w:proofErr w:type="gramEnd"/>
      <w:r w:rsidRPr="008B51DF">
        <w:t xml:space="preserve"> dosimetry studies, most of these were using </w:t>
      </w:r>
      <w:r w:rsidR="00F124FD" w:rsidRPr="008B51DF">
        <w:t>lutetium (</w:t>
      </w:r>
      <w:r w:rsidR="00F124FD" w:rsidRPr="008B51DF">
        <w:rPr>
          <w:vertAlign w:val="superscript"/>
        </w:rPr>
        <w:t>177</w:t>
      </w:r>
      <w:r w:rsidR="00F124FD" w:rsidRPr="008B51DF">
        <w:t xml:space="preserve">Lu) reacted with the ligand </w:t>
      </w:r>
      <w:r w:rsidRPr="008B51DF">
        <w:t>DOTATATE</w:t>
      </w:r>
      <w:r w:rsidR="00F124FD" w:rsidRPr="008B51DF">
        <w:t>, also known as DOTA-octreotate</w:t>
      </w:r>
      <w:r w:rsidRPr="008B51DF">
        <w:t>.</w:t>
      </w:r>
    </w:p>
    <w:p w14:paraId="40D4950B" w14:textId="5E2DA82E" w:rsidR="001976C5" w:rsidRPr="008B51DF" w:rsidRDefault="00854553" w:rsidP="00854553">
      <w:proofErr w:type="spellStart"/>
      <w:r w:rsidRPr="008B51DF">
        <w:t>Abuqbeitah</w:t>
      </w:r>
      <w:proofErr w:type="spellEnd"/>
      <w:r w:rsidRPr="008B51DF">
        <w:t xml:space="preserve"> et al.</w:t>
      </w:r>
      <w:r w:rsidR="001976C5" w:rsidRPr="008B51DF">
        <w:t xml:space="preserve"> (2018)</w:t>
      </w:r>
      <w:bookmarkStart w:id="42" w:name="_Ref114065803"/>
      <w:r w:rsidR="001976C5" w:rsidRPr="008B51DF">
        <w:rPr>
          <w:rStyle w:val="FootnoteReference"/>
        </w:rPr>
        <w:footnoteReference w:id="7"/>
      </w:r>
      <w:bookmarkEnd w:id="42"/>
      <w:r w:rsidRPr="008B51DF">
        <w:t xml:space="preserve"> examined the blood clearance and occupational exposure following </w:t>
      </w:r>
      <w:r w:rsidR="00654E6D" w:rsidRPr="008B51DF">
        <w:rPr>
          <w:vertAlign w:val="superscript"/>
        </w:rPr>
        <w:t>177</w:t>
      </w:r>
      <w:r w:rsidR="00654E6D" w:rsidRPr="008B51DF">
        <w:t>Lu</w:t>
      </w:r>
      <w:r w:rsidRPr="008B51DF">
        <w:t xml:space="preserve">-DOTATATE compared to </w:t>
      </w:r>
      <w:r w:rsidR="00654E6D" w:rsidRPr="008B51DF">
        <w:rPr>
          <w:vertAlign w:val="superscript"/>
        </w:rPr>
        <w:t>177</w:t>
      </w:r>
      <w:r w:rsidR="00654E6D" w:rsidRPr="008B51DF">
        <w:t>Lu</w:t>
      </w:r>
      <w:r w:rsidRPr="008B51DF">
        <w:t>-</w:t>
      </w:r>
      <w:r w:rsidR="00151A52" w:rsidRPr="008B51DF">
        <w:t xml:space="preserve">prostate-specific membrane antigen </w:t>
      </w:r>
      <w:r w:rsidRPr="008B51DF">
        <w:t>radionuclide therapy. Four and 6 h</w:t>
      </w:r>
      <w:r w:rsidR="00E26E8A" w:rsidRPr="008B51DF">
        <w:t>ours</w:t>
      </w:r>
      <w:r w:rsidRPr="008B51DF">
        <w:t xml:space="preserve"> following an infusion of 7.4 </w:t>
      </w:r>
      <w:proofErr w:type="spellStart"/>
      <w:r w:rsidR="00D504DC" w:rsidRPr="008B51DF">
        <w:t>gigabecquerel</w:t>
      </w:r>
      <w:proofErr w:type="spellEnd"/>
      <w:r w:rsidR="00D504DC" w:rsidRPr="008B51DF">
        <w:t xml:space="preserve"> (</w:t>
      </w:r>
      <w:proofErr w:type="spellStart"/>
      <w:r w:rsidRPr="008B51DF">
        <w:t>GBq</w:t>
      </w:r>
      <w:proofErr w:type="spellEnd"/>
      <w:r w:rsidR="00D504DC" w:rsidRPr="008B51DF">
        <w:t>)</w:t>
      </w:r>
      <w:r w:rsidRPr="008B51DF">
        <w:t xml:space="preserve"> </w:t>
      </w:r>
      <w:r w:rsidR="00654E6D" w:rsidRPr="008B51DF">
        <w:rPr>
          <w:vertAlign w:val="superscript"/>
        </w:rPr>
        <w:t>177</w:t>
      </w:r>
      <w:r w:rsidR="00654E6D" w:rsidRPr="008B51DF">
        <w:t>Lu</w:t>
      </w:r>
      <w:r w:rsidR="00647F06" w:rsidRPr="008B51DF">
        <w:noBreakHyphen/>
      </w:r>
      <w:r w:rsidRPr="008B51DF">
        <w:t>DOTATATE, the dose rates were 3.0 ± 2.8 and 2</w:t>
      </w:r>
      <w:r w:rsidR="00E26E8A" w:rsidRPr="008B51DF">
        <w:t> </w:t>
      </w:r>
      <w:r w:rsidRPr="008B51DF">
        <w:t>±</w:t>
      </w:r>
      <w:r w:rsidR="00E26E8A" w:rsidRPr="008B51DF">
        <w:t> </w:t>
      </w:r>
      <w:r w:rsidRPr="008B51DF">
        <w:t xml:space="preserve">1.9 </w:t>
      </w:r>
      <w:proofErr w:type="spellStart"/>
      <w:r w:rsidR="00647F06" w:rsidRPr="008B51DF">
        <w:t>microsieverts</w:t>
      </w:r>
      <w:proofErr w:type="spellEnd"/>
      <w:r w:rsidR="00647F06" w:rsidRPr="008B51DF">
        <w:t xml:space="preserve"> (</w:t>
      </w:r>
      <w:proofErr w:type="spellStart"/>
      <w:r w:rsidRPr="008B51DF">
        <w:t>μSv</w:t>
      </w:r>
      <w:proofErr w:type="spellEnd"/>
      <w:r w:rsidR="00647F06" w:rsidRPr="008B51DF">
        <w:t>)</w:t>
      </w:r>
      <w:proofErr w:type="gramStart"/>
      <w:r w:rsidRPr="008B51DF">
        <w:t>/(</w:t>
      </w:r>
      <w:proofErr w:type="gramEnd"/>
      <w:r w:rsidRPr="008B51DF">
        <w:t xml:space="preserve">h </w:t>
      </w:r>
      <w:proofErr w:type="spellStart"/>
      <w:r w:rsidRPr="008B51DF">
        <w:t>GBq</w:t>
      </w:r>
      <w:proofErr w:type="spellEnd"/>
      <w:r w:rsidRPr="008B51DF">
        <w:t xml:space="preserve">), respectively, at a distance of </w:t>
      </w:r>
      <w:r w:rsidR="00AF6F8B" w:rsidRPr="008B51DF">
        <w:t>1 </w:t>
      </w:r>
      <w:r w:rsidRPr="008B51DF">
        <w:t>m</w:t>
      </w:r>
      <w:r w:rsidR="00F74A0A" w:rsidRPr="008B51DF">
        <w:t>etre</w:t>
      </w:r>
      <w:r w:rsidRPr="008B51DF">
        <w:t>. The total effective dose of 17 caregivers was 100</w:t>
      </w:r>
      <w:r w:rsidR="00E26E8A" w:rsidRPr="008B51DF">
        <w:t xml:space="preserve"> to </w:t>
      </w:r>
      <w:r w:rsidRPr="008B51DF">
        <w:t xml:space="preserve">200 </w:t>
      </w:r>
      <w:proofErr w:type="spellStart"/>
      <w:r w:rsidRPr="008B51DF">
        <w:t>μSv</w:t>
      </w:r>
      <w:proofErr w:type="spellEnd"/>
      <w:r w:rsidRPr="008B51DF">
        <w:t>; and for nurses 5 µ</w:t>
      </w:r>
      <w:proofErr w:type="spellStart"/>
      <w:r w:rsidRPr="008B51DF">
        <w:t>S</w:t>
      </w:r>
      <w:r w:rsidR="00AF6F8B" w:rsidRPr="008B51DF">
        <w:t>v</w:t>
      </w:r>
      <w:proofErr w:type="spellEnd"/>
      <w:r w:rsidRPr="008B51DF">
        <w:t xml:space="preserve">, </w:t>
      </w:r>
      <w:proofErr w:type="spellStart"/>
      <w:r w:rsidRPr="008B51DF">
        <w:t>radiopharmacists</w:t>
      </w:r>
      <w:proofErr w:type="spellEnd"/>
      <w:r w:rsidRPr="008B51DF">
        <w:t xml:space="preserve"> 4 </w:t>
      </w:r>
      <w:proofErr w:type="spellStart"/>
      <w:r w:rsidRPr="008B51DF">
        <w:t>μSv</w:t>
      </w:r>
      <w:proofErr w:type="spellEnd"/>
      <w:r w:rsidRPr="008B51DF">
        <w:t>, physicists and physicians were 2</w:t>
      </w:r>
      <w:r w:rsidR="00AF6F8B" w:rsidRPr="008B51DF">
        <w:t> </w:t>
      </w:r>
      <w:proofErr w:type="spellStart"/>
      <w:r w:rsidRPr="008B51DF">
        <w:t>μSv</w:t>
      </w:r>
      <w:proofErr w:type="spellEnd"/>
      <w:r w:rsidRPr="008B51DF">
        <w:t xml:space="preserve"> per patient (</w:t>
      </w:r>
      <w:r w:rsidR="00F74A0A" w:rsidRPr="008B51DF">
        <w:t xml:space="preserve">see </w:t>
      </w:r>
      <w:r w:rsidR="001976C5" w:rsidRPr="008B51DF">
        <w:fldChar w:fldCharType="begin"/>
      </w:r>
      <w:r w:rsidR="001976C5" w:rsidRPr="008B51DF">
        <w:instrText xml:space="preserve"> REF _Ref109045899 \h </w:instrText>
      </w:r>
      <w:r w:rsidR="00AC1774" w:rsidRPr="008B51DF">
        <w:instrText xml:space="preserve"> \* MERGEFORMAT </w:instrText>
      </w:r>
      <w:r w:rsidR="001976C5" w:rsidRPr="008B51DF">
        <w:fldChar w:fldCharType="separate"/>
      </w:r>
      <w:r w:rsidR="008B51DF" w:rsidRPr="008B51DF">
        <w:t xml:space="preserve">Table </w:t>
      </w:r>
      <w:r w:rsidR="008B51DF">
        <w:rPr>
          <w:noProof/>
        </w:rPr>
        <w:t>2</w:t>
      </w:r>
      <w:r w:rsidR="001976C5" w:rsidRPr="008B51DF">
        <w:fldChar w:fldCharType="end"/>
      </w:r>
      <w:r w:rsidR="00F74A0A" w:rsidRPr="008B51DF">
        <w:t>, below</w:t>
      </w:r>
      <w:r w:rsidRPr="008B51DF">
        <w:t xml:space="preserve">). For </w:t>
      </w:r>
      <w:r w:rsidR="00654E6D" w:rsidRPr="008B51DF">
        <w:rPr>
          <w:vertAlign w:val="superscript"/>
        </w:rPr>
        <w:t>177</w:t>
      </w:r>
      <w:r w:rsidR="00654E6D" w:rsidRPr="008B51DF">
        <w:t>Lu</w:t>
      </w:r>
      <w:r w:rsidRPr="008B51DF">
        <w:t>-DOTATATE, the effective half-life in blood and early elimination phase were 0.31 ±</w:t>
      </w:r>
      <w:r w:rsidR="00F124FD" w:rsidRPr="008B51DF">
        <w:t> </w:t>
      </w:r>
      <w:r w:rsidRPr="008B51DF">
        <w:t>0.13 and 4.5 ± 1 h</w:t>
      </w:r>
      <w:r w:rsidR="004505DB" w:rsidRPr="008B51DF">
        <w:t>ours</w:t>
      </w:r>
      <w:r w:rsidRPr="008B51DF">
        <w:t xml:space="preserve">. Overall, it was concluded that blood clearance and radiation exposure for </w:t>
      </w:r>
      <w:r w:rsidR="00654E6D" w:rsidRPr="008B51DF">
        <w:rPr>
          <w:vertAlign w:val="superscript"/>
        </w:rPr>
        <w:t>177</w:t>
      </w:r>
      <w:r w:rsidR="00654E6D" w:rsidRPr="008B51DF">
        <w:t>Lu</w:t>
      </w:r>
      <w:r w:rsidR="004505DB" w:rsidRPr="008B51DF">
        <w:noBreakHyphen/>
      </w:r>
      <w:r w:rsidRPr="008B51DF">
        <w:t xml:space="preserve">DOTATATE and </w:t>
      </w:r>
      <w:r w:rsidR="00654E6D" w:rsidRPr="008B51DF">
        <w:rPr>
          <w:vertAlign w:val="superscript"/>
        </w:rPr>
        <w:t>177</w:t>
      </w:r>
      <w:r w:rsidR="00654E6D" w:rsidRPr="008B51DF">
        <w:t>Lu</w:t>
      </w:r>
      <w:r w:rsidRPr="008B51DF">
        <w:t>-PSMA</w:t>
      </w:r>
      <w:r w:rsidR="00F124FD" w:rsidRPr="008B51DF">
        <w:t xml:space="preserve"> (prostate-specific membrane antigen)</w:t>
      </w:r>
      <w:r w:rsidRPr="008B51DF">
        <w:t xml:space="preserve"> are similar and both treatment modalities are reasonably reliable for outpatient treatment, since the mean dose rate </w:t>
      </w:r>
      <w:r w:rsidR="00A304FA" w:rsidRPr="008B51DF">
        <w:t>(</w:t>
      </w:r>
      <w:r w:rsidRPr="008B51DF">
        <w:t>2.1</w:t>
      </w:r>
      <w:r w:rsidR="00441643" w:rsidRPr="008B51DF">
        <w:t> </w:t>
      </w:r>
      <w:proofErr w:type="spellStart"/>
      <w:r w:rsidRPr="008B51DF">
        <w:t>μSv</w:t>
      </w:r>
      <w:proofErr w:type="spellEnd"/>
      <w:proofErr w:type="gramStart"/>
      <w:r w:rsidRPr="008B51DF">
        <w:t>/(</w:t>
      </w:r>
      <w:proofErr w:type="gramEnd"/>
      <w:r w:rsidRPr="008B51DF">
        <w:t>h</w:t>
      </w:r>
      <w:r w:rsidR="00441643" w:rsidRPr="008B51DF">
        <w:t> </w:t>
      </w:r>
      <w:proofErr w:type="spellStart"/>
      <w:r w:rsidRPr="008B51DF">
        <w:t>GBq</w:t>
      </w:r>
      <w:proofErr w:type="spellEnd"/>
      <w:r w:rsidRPr="008B51DF">
        <w:t>) decreased below the dose rate that allows release of the patient from the hospital (20</w:t>
      </w:r>
      <w:r w:rsidR="004505DB" w:rsidRPr="008B51DF">
        <w:t> </w:t>
      </w:r>
      <w:proofErr w:type="spellStart"/>
      <w:r w:rsidRPr="008B51DF">
        <w:t>μSv</w:t>
      </w:r>
      <w:proofErr w:type="spellEnd"/>
      <w:r w:rsidRPr="008B51DF">
        <w:t>/h) after 6 h</w:t>
      </w:r>
      <w:r w:rsidR="00151A52" w:rsidRPr="008B51DF">
        <w:t>ours</w:t>
      </w:r>
      <w:r w:rsidRPr="008B51DF">
        <w:t xml:space="preserve"> at a distance of 1</w:t>
      </w:r>
      <w:r w:rsidR="00F74A0A" w:rsidRPr="008B51DF">
        <w:t> </w:t>
      </w:r>
      <w:r w:rsidRPr="008B51DF">
        <w:t>m</w:t>
      </w:r>
      <w:r w:rsidR="00F74A0A" w:rsidRPr="008B51DF">
        <w:t>etre</w:t>
      </w:r>
      <w:r w:rsidRPr="008B51DF">
        <w:t xml:space="preserve">. Moreover, given that the Australian radiation protection framework </w:t>
      </w:r>
      <w:r w:rsidR="00B12F06" w:rsidRPr="008B51DF">
        <w:t>from the</w:t>
      </w:r>
      <w:r w:rsidRPr="008B51DF">
        <w:t xml:space="preserve"> </w:t>
      </w:r>
      <w:r w:rsidR="00151A52" w:rsidRPr="008B51DF">
        <w:t>Australian Radiation Protection and Nuclear Safety Agency</w:t>
      </w:r>
      <w:r w:rsidR="00B12F06" w:rsidRPr="008B51DF">
        <w:t>;</w:t>
      </w:r>
      <w:r w:rsidR="00B12F06" w:rsidRPr="008B51DF">
        <w:rPr>
          <w:rStyle w:val="FootnoteReference"/>
        </w:rPr>
        <w:footnoteReference w:id="8"/>
      </w:r>
      <w:r w:rsidRPr="008B51DF">
        <w:t xml:space="preserve"> indicates that the effective radiation dose limit for the </w:t>
      </w:r>
      <w:proofErr w:type="gramStart"/>
      <w:r w:rsidRPr="008B51DF">
        <w:t>general public</w:t>
      </w:r>
      <w:proofErr w:type="gramEnd"/>
      <w:r w:rsidRPr="008B51DF">
        <w:t xml:space="preserve"> is 1</w:t>
      </w:r>
      <w:r w:rsidR="00252139" w:rsidRPr="008B51DF">
        <w:t> </w:t>
      </w:r>
      <w:proofErr w:type="spellStart"/>
      <w:r w:rsidRPr="008B51DF">
        <w:t>mSV</w:t>
      </w:r>
      <w:proofErr w:type="spellEnd"/>
      <w:r w:rsidRPr="008B51DF">
        <w:t xml:space="preserve">/year or that following acute </w:t>
      </w:r>
      <w:r w:rsidR="004505DB" w:rsidRPr="008B51DF">
        <w:t xml:space="preserve">exposure </w:t>
      </w:r>
      <w:r w:rsidRPr="008B51DF">
        <w:t>3 at up to 50 mSv, no radiation related injury or symptoms were detected, exposure levels received by caregivers are well within the acceptable limits.</w:t>
      </w:r>
    </w:p>
    <w:p w14:paraId="1665871A" w14:textId="552E3F04" w:rsidR="001976C5" w:rsidRPr="008B51DF" w:rsidRDefault="001976C5" w:rsidP="009B05AC">
      <w:pPr>
        <w:pStyle w:val="TableTitle"/>
      </w:pPr>
      <w:bookmarkStart w:id="43" w:name="_Ref109045899"/>
      <w:r w:rsidRPr="008B51DF">
        <w:t xml:space="preserve">Table </w:t>
      </w:r>
      <w:r w:rsidR="00F30734">
        <w:fldChar w:fldCharType="begin"/>
      </w:r>
      <w:r w:rsidR="00F30734">
        <w:instrText xml:space="preserve"> SEQ Table \* ARABIC </w:instrText>
      </w:r>
      <w:r w:rsidR="00F30734">
        <w:fldChar w:fldCharType="separate"/>
      </w:r>
      <w:r w:rsidR="008B51DF">
        <w:rPr>
          <w:noProof/>
        </w:rPr>
        <w:t>2</w:t>
      </w:r>
      <w:r w:rsidR="00F30734">
        <w:rPr>
          <w:noProof/>
        </w:rPr>
        <w:fldChar w:fldCharType="end"/>
      </w:r>
      <w:bookmarkEnd w:id="43"/>
      <w:r w:rsidRPr="008B51DF">
        <w:t xml:space="preserve">: </w:t>
      </w:r>
      <w:proofErr w:type="spellStart"/>
      <w:r w:rsidR="00B12F06" w:rsidRPr="008B51DF">
        <w:t>Abuqbeitah</w:t>
      </w:r>
      <w:proofErr w:type="spellEnd"/>
      <w:r w:rsidR="00B12F06" w:rsidRPr="008B51DF">
        <w:t xml:space="preserve"> et al. (2018) </w:t>
      </w:r>
      <w:r w:rsidRPr="008B51DF">
        <w:t>Study effective dose and finger dose (mean and standard deviation) to the medical staff (</w:t>
      </w:r>
      <w:proofErr w:type="spellStart"/>
      <w:r w:rsidRPr="008B51DF">
        <w:t>μSv</w:t>
      </w:r>
      <w:proofErr w:type="spellEnd"/>
      <w:r w:rsidRPr="008B51DF">
        <w:t xml:space="preserve">); </w:t>
      </w:r>
      <w:r w:rsidRPr="008B51DF">
        <w:rPr>
          <w:vertAlign w:val="superscript"/>
        </w:rPr>
        <w:t>177</w:t>
      </w:r>
      <w:r w:rsidRPr="008B51DF">
        <w:t>Lu-DOTATATE</w:t>
      </w:r>
      <w:r w:rsidR="00C833C2" w:rsidRPr="008B51DF">
        <w:t xml:space="preserve">, </w:t>
      </w:r>
      <w:r w:rsidR="00B12F06" w:rsidRPr="008B51DF">
        <w:t>17</w:t>
      </w:r>
      <w:r w:rsidRPr="008B51DF">
        <w:t xml:space="preserve"> patients</w:t>
      </w:r>
      <w:r w:rsidR="00C833C2" w:rsidRPr="008B51DF">
        <w:t xml:space="preserve">; </w:t>
      </w:r>
      <w:r w:rsidRPr="008B51DF">
        <w:t xml:space="preserve">and </w:t>
      </w:r>
      <w:r w:rsidRPr="008B51DF">
        <w:rPr>
          <w:vertAlign w:val="superscript"/>
        </w:rPr>
        <w:t>177</w:t>
      </w:r>
      <w:r w:rsidRPr="008B51DF">
        <w:t>Lu-PSMA therapy</w:t>
      </w:r>
      <w:r w:rsidR="00C833C2" w:rsidRPr="008B51DF">
        <w:t>, 23 patients</w:t>
      </w:r>
    </w:p>
    <w:p w14:paraId="4257D1E3" w14:textId="46444E29" w:rsidR="001976C5" w:rsidRPr="008B51DF" w:rsidRDefault="001976C5" w:rsidP="009B05AC">
      <w:r w:rsidRPr="008B51DF">
        <w:rPr>
          <w:noProof/>
          <w:lang w:val="en-GB" w:eastAsia="en-GB"/>
        </w:rPr>
        <w:drawing>
          <wp:inline distT="0" distB="0" distL="0" distR="0" wp14:anchorId="509306DA" wp14:editId="1BA34726">
            <wp:extent cx="5257800" cy="1874581"/>
            <wp:effectExtent l="0" t="0" r="0" b="0"/>
            <wp:docPr id="72" name="Picture 72" descr="Table 2: Abuqbeitah et al. (2018) Study effective dose and finger dose (mean and standard deviation) to the medical staff (μSv); 177Lu-DOTATATE, 17 patients; and 177Lu-PSMA therapy, 23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Table 2: Abuqbeitah et al. (2018) Study effective dose and finger dose (mean and standard deviation) to the medical staff (μSv); 177Lu-DOTATATE, 17 patients; and 177Lu-PSMA therapy, 23 patien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24015" cy="1898189"/>
                    </a:xfrm>
                    <a:prstGeom prst="rect">
                      <a:avLst/>
                    </a:prstGeom>
                    <a:noFill/>
                    <a:ln>
                      <a:noFill/>
                    </a:ln>
                  </pic:spPr>
                </pic:pic>
              </a:graphicData>
            </a:graphic>
          </wp:inline>
        </w:drawing>
      </w:r>
    </w:p>
    <w:p w14:paraId="45775BED" w14:textId="118D10EF" w:rsidR="00441643" w:rsidRPr="008B51DF" w:rsidRDefault="00C833C2" w:rsidP="009303BF">
      <w:pPr>
        <w:pStyle w:val="TableDescription"/>
      </w:pPr>
      <w:r w:rsidRPr="008B51DF">
        <w:t>Abbreviations:</w:t>
      </w:r>
      <w:r w:rsidR="00441643" w:rsidRPr="008B51DF">
        <w:t xml:space="preserve"> </w:t>
      </w:r>
      <w:proofErr w:type="spellStart"/>
      <w:r w:rsidR="009303BF" w:rsidRPr="008B51DF">
        <w:t>μGy</w:t>
      </w:r>
      <w:proofErr w:type="spellEnd"/>
      <w:r w:rsidR="009303BF" w:rsidRPr="008B51DF">
        <w:t xml:space="preserve"> = </w:t>
      </w:r>
      <w:proofErr w:type="spellStart"/>
      <w:r w:rsidR="009303BF" w:rsidRPr="008B51DF">
        <w:t>microgray</w:t>
      </w:r>
      <w:proofErr w:type="spellEnd"/>
      <w:r w:rsidR="009303BF" w:rsidRPr="008B51DF">
        <w:t xml:space="preserve">; </w:t>
      </w:r>
      <w:r w:rsidR="00C458AF" w:rsidRPr="008B51DF">
        <w:rPr>
          <w:vertAlign w:val="superscript"/>
        </w:rPr>
        <w:t>177</w:t>
      </w:r>
      <w:r w:rsidR="00C458AF" w:rsidRPr="008B51DF">
        <w:t xml:space="preserve">Lu = lutetium; </w:t>
      </w:r>
      <w:r w:rsidR="00441643" w:rsidRPr="008B51DF">
        <w:t>PSMA</w:t>
      </w:r>
      <w:r w:rsidR="00C458AF" w:rsidRPr="008B51DF">
        <w:t xml:space="preserve"> =</w:t>
      </w:r>
      <w:r w:rsidR="00441643" w:rsidRPr="008B51DF">
        <w:t xml:space="preserve"> </w:t>
      </w:r>
      <w:r w:rsidR="00C458AF" w:rsidRPr="008B51DF">
        <w:t>prostate-specific membrane antigen</w:t>
      </w:r>
      <w:r w:rsidR="009303BF" w:rsidRPr="008B51DF">
        <w:t xml:space="preserve">; </w:t>
      </w:r>
      <w:proofErr w:type="spellStart"/>
      <w:r w:rsidR="009303BF" w:rsidRPr="008B51DF">
        <w:t>μSv</w:t>
      </w:r>
      <w:proofErr w:type="spellEnd"/>
      <w:r w:rsidR="009303BF" w:rsidRPr="008B51DF">
        <w:t xml:space="preserve"> = </w:t>
      </w:r>
      <w:proofErr w:type="spellStart"/>
      <w:r w:rsidR="009303BF" w:rsidRPr="008B51DF">
        <w:t>microsieverts</w:t>
      </w:r>
      <w:proofErr w:type="spellEnd"/>
      <w:r w:rsidR="00C458AF" w:rsidRPr="008B51DF">
        <w:t>.</w:t>
      </w:r>
    </w:p>
    <w:p w14:paraId="28B12CB7" w14:textId="5F4E964A" w:rsidR="00C833C2" w:rsidRPr="008B51DF" w:rsidRDefault="00C833C2" w:rsidP="009303BF">
      <w:pPr>
        <w:pStyle w:val="TableDescription"/>
      </w:pPr>
      <w:r w:rsidRPr="008B51DF">
        <w:t xml:space="preserve">Table sourced from: </w:t>
      </w:r>
      <w:proofErr w:type="spellStart"/>
      <w:r w:rsidRPr="008B51DF">
        <w:t>Abuqbeitah</w:t>
      </w:r>
      <w:proofErr w:type="spellEnd"/>
      <w:r w:rsidRPr="008B51DF">
        <w:t xml:space="preserve"> et al. </w:t>
      </w:r>
      <w:r w:rsidR="0075463A" w:rsidRPr="008B51DF">
        <w:t>(2018)</w:t>
      </w:r>
      <w:r w:rsidRPr="008B51DF">
        <w:t>.</w:t>
      </w:r>
      <w:r w:rsidR="0075463A" w:rsidRPr="008B51DF">
        <w:rPr>
          <w:vertAlign w:val="superscript"/>
        </w:rPr>
        <w:fldChar w:fldCharType="begin"/>
      </w:r>
      <w:r w:rsidR="0075463A" w:rsidRPr="008B51DF">
        <w:rPr>
          <w:vertAlign w:val="superscript"/>
        </w:rPr>
        <w:instrText xml:space="preserve"> NOTEREF _Ref114065803 \h  \* MERGEFORMAT </w:instrText>
      </w:r>
      <w:r w:rsidR="0075463A" w:rsidRPr="008B51DF">
        <w:rPr>
          <w:vertAlign w:val="superscript"/>
        </w:rPr>
      </w:r>
      <w:r w:rsidR="0075463A" w:rsidRPr="008B51DF">
        <w:rPr>
          <w:vertAlign w:val="superscript"/>
        </w:rPr>
        <w:fldChar w:fldCharType="separate"/>
      </w:r>
      <w:r w:rsidR="008B51DF">
        <w:rPr>
          <w:vertAlign w:val="superscript"/>
        </w:rPr>
        <w:t>7</w:t>
      </w:r>
      <w:r w:rsidR="0075463A" w:rsidRPr="008B51DF">
        <w:rPr>
          <w:vertAlign w:val="superscript"/>
        </w:rPr>
        <w:fldChar w:fldCharType="end"/>
      </w:r>
    </w:p>
    <w:p w14:paraId="36669AEB" w14:textId="38237F34" w:rsidR="00854553" w:rsidRPr="008B51DF" w:rsidRDefault="00854553" w:rsidP="00854553">
      <w:pPr>
        <w:pStyle w:val="Heading5"/>
      </w:pPr>
      <w:r w:rsidRPr="008B51DF">
        <w:t>Pharmacodynamics</w:t>
      </w:r>
    </w:p>
    <w:p w14:paraId="1951EDA2" w14:textId="731914A4" w:rsidR="00854553" w:rsidRPr="008B51DF" w:rsidRDefault="00854553" w:rsidP="00854553">
      <w:r w:rsidRPr="008B51DF">
        <w:t>It is a low energy beta</w:t>
      </w:r>
      <w:r w:rsidR="00C833C2" w:rsidRPr="008B51DF">
        <w:t>-</w:t>
      </w:r>
      <w:r w:rsidRPr="008B51DF">
        <w:t>emitter (E</w:t>
      </w:r>
      <w:r w:rsidRPr="008B51DF">
        <w:rPr>
          <w:vertAlign w:val="subscript"/>
        </w:rPr>
        <w:t>max</w:t>
      </w:r>
      <w:r w:rsidRPr="008B51DF">
        <w:t xml:space="preserve"> = 0.498</w:t>
      </w:r>
      <w:r w:rsidR="00CA12FB" w:rsidRPr="008B51DF">
        <w:t xml:space="preserve"> </w:t>
      </w:r>
      <w:proofErr w:type="spellStart"/>
      <w:r w:rsidR="00D504DC" w:rsidRPr="008B51DF">
        <w:t>megaelectronvolts</w:t>
      </w:r>
      <w:proofErr w:type="spellEnd"/>
      <w:r w:rsidR="00D504DC" w:rsidRPr="008B51DF">
        <w:t xml:space="preserve"> (</w:t>
      </w:r>
      <w:r w:rsidRPr="008B51DF">
        <w:t>MeV</w:t>
      </w:r>
      <w:r w:rsidR="00D504DC" w:rsidRPr="008B51DF">
        <w:t>)</w:t>
      </w:r>
      <w:r w:rsidRPr="008B51DF">
        <w:t>) allowing specific energy deposition in tumour lesions and low dose delivery to surrounding healthy tissue. The maximum penetration range in tissues in 2</w:t>
      </w:r>
      <w:r w:rsidR="004505DB" w:rsidRPr="008B51DF">
        <w:t>.</w:t>
      </w:r>
      <w:r w:rsidRPr="008B51DF">
        <w:t>2</w:t>
      </w:r>
      <w:r w:rsidR="004505DB" w:rsidRPr="008B51DF">
        <w:t xml:space="preserve"> </w:t>
      </w:r>
      <w:r w:rsidRPr="008B51DF">
        <w:t>mm, mean 0.67</w:t>
      </w:r>
      <w:r w:rsidR="004505DB" w:rsidRPr="008B51DF">
        <w:t xml:space="preserve"> </w:t>
      </w:r>
      <w:r w:rsidRPr="008B51DF">
        <w:t>mm, facilitating precise dose localisation.</w:t>
      </w:r>
    </w:p>
    <w:p w14:paraId="77162588" w14:textId="77777777" w:rsidR="00854553" w:rsidRPr="008B51DF" w:rsidRDefault="00854553" w:rsidP="00854553">
      <w:pPr>
        <w:pStyle w:val="Heading4"/>
      </w:pPr>
      <w:r w:rsidRPr="008B51DF">
        <w:lastRenderedPageBreak/>
        <w:t>Efficacy</w:t>
      </w:r>
    </w:p>
    <w:p w14:paraId="27AACFC3" w14:textId="77777777" w:rsidR="00854553" w:rsidRPr="008B51DF" w:rsidRDefault="00854553" w:rsidP="00854553">
      <w:r w:rsidRPr="008B51DF">
        <w:t xml:space="preserve">The use in neuroendocrine tumours was supported by </w:t>
      </w:r>
      <w:proofErr w:type="gramStart"/>
      <w:r w:rsidRPr="008B51DF">
        <w:t>a number of</w:t>
      </w:r>
      <w:proofErr w:type="gramEnd"/>
      <w:r w:rsidRPr="008B51DF">
        <w:t xml:space="preserve"> studies, most of these used DOTATATE as the carrier molecule.</w:t>
      </w:r>
    </w:p>
    <w:p w14:paraId="5EF14155" w14:textId="1D71AD48" w:rsidR="00854553" w:rsidRPr="008B51DF" w:rsidRDefault="00854553" w:rsidP="00854553">
      <w:pPr>
        <w:pStyle w:val="Heading5"/>
      </w:pPr>
      <w:bookmarkStart w:id="44" w:name="_Ref111114409"/>
      <w:proofErr w:type="spellStart"/>
      <w:r w:rsidRPr="008B51DF">
        <w:t>Strosberg</w:t>
      </w:r>
      <w:proofErr w:type="spellEnd"/>
      <w:r w:rsidRPr="008B51DF">
        <w:t xml:space="preserve"> et al</w:t>
      </w:r>
      <w:r w:rsidR="00CA12FB" w:rsidRPr="008B51DF">
        <w:t>.</w:t>
      </w:r>
      <w:r w:rsidRPr="008B51DF">
        <w:t xml:space="preserve"> </w:t>
      </w:r>
      <w:r w:rsidR="00274314" w:rsidRPr="008B51DF">
        <w:t>(</w:t>
      </w:r>
      <w:r w:rsidRPr="008B51DF">
        <w:t>2017</w:t>
      </w:r>
      <w:r w:rsidR="00274314" w:rsidRPr="008B51DF">
        <w:t>)</w:t>
      </w:r>
      <w:bookmarkStart w:id="45" w:name="_Ref111115187"/>
      <w:r w:rsidR="00A66B2C" w:rsidRPr="008B51DF">
        <w:rPr>
          <w:rStyle w:val="FootnoteReference"/>
        </w:rPr>
        <w:footnoteReference w:id="9"/>
      </w:r>
      <w:bookmarkEnd w:id="44"/>
      <w:bookmarkEnd w:id="45"/>
    </w:p>
    <w:p w14:paraId="68643D62" w14:textId="49CB73FD" w:rsidR="00854553" w:rsidRPr="008B51DF" w:rsidRDefault="00854553" w:rsidP="00854553">
      <w:r w:rsidRPr="008B51DF">
        <w:t xml:space="preserve">This was a randomised, controlled trial evaluating the efficacy and safety of </w:t>
      </w:r>
      <w:r w:rsidR="00654E6D" w:rsidRPr="008B51DF">
        <w:rPr>
          <w:vertAlign w:val="superscript"/>
        </w:rPr>
        <w:t>177</w:t>
      </w:r>
      <w:r w:rsidR="00654E6D" w:rsidRPr="008B51DF">
        <w:t>Lu</w:t>
      </w:r>
      <w:r w:rsidR="004505DB" w:rsidRPr="008B51DF">
        <w:noBreakHyphen/>
      </w:r>
      <w:r w:rsidRPr="008B51DF">
        <w:t>DOTATATE in patients with advanced, progressive, somatostatin-receptor</w:t>
      </w:r>
      <w:r w:rsidR="004505DB" w:rsidRPr="008B51DF">
        <w:t xml:space="preserve"> </w:t>
      </w:r>
      <w:r w:rsidRPr="008B51DF">
        <w:t xml:space="preserve">positive midgut </w:t>
      </w:r>
      <w:r w:rsidR="001A24C6" w:rsidRPr="008B51DF">
        <w:t>neuroendocrine tumours</w:t>
      </w:r>
      <w:r w:rsidRPr="008B51DF">
        <w:t xml:space="preserve">. This </w:t>
      </w:r>
      <w:r w:rsidR="004505DB" w:rsidRPr="008B51DF">
        <w:t>P</w:t>
      </w:r>
      <w:r w:rsidRPr="008B51DF">
        <w:t xml:space="preserve">hase </w:t>
      </w:r>
      <w:r w:rsidR="004505DB" w:rsidRPr="008B51DF">
        <w:t>III</w:t>
      </w:r>
      <w:r w:rsidRPr="008B51DF">
        <w:t xml:space="preserve"> neuroendocrine tumour therapy trial (</w:t>
      </w:r>
      <w:r w:rsidR="00C833C2" w:rsidRPr="008B51DF">
        <w:t xml:space="preserve">known as the </w:t>
      </w:r>
      <w:r w:rsidRPr="008B51DF">
        <w:t>NETTER-1</w:t>
      </w:r>
      <w:r w:rsidR="004505DB" w:rsidRPr="008B51DF">
        <w:t xml:space="preserve"> trial</w:t>
      </w:r>
      <w:r w:rsidRPr="008B51DF">
        <w:t xml:space="preserve">) compared </w:t>
      </w:r>
      <w:r w:rsidR="00654E6D" w:rsidRPr="008B51DF">
        <w:rPr>
          <w:vertAlign w:val="superscript"/>
        </w:rPr>
        <w:t>177</w:t>
      </w:r>
      <w:r w:rsidR="00654E6D" w:rsidRPr="008B51DF">
        <w:t>Lu</w:t>
      </w:r>
      <w:r w:rsidRPr="008B51DF">
        <w:t xml:space="preserve">-DOTATATE with best supportive care (octreotide </w:t>
      </w:r>
      <w:r w:rsidR="00151A52" w:rsidRPr="008B51DF">
        <w:t>long</w:t>
      </w:r>
      <w:r w:rsidR="00151A52" w:rsidRPr="008B51DF">
        <w:noBreakHyphen/>
        <w:t>acting repeatable (</w:t>
      </w:r>
      <w:r w:rsidRPr="008B51DF">
        <w:t>LAR</w:t>
      </w:r>
      <w:r w:rsidR="00151A52" w:rsidRPr="008B51DF">
        <w:t>)</w:t>
      </w:r>
      <w:r w:rsidRPr="008B51DF">
        <w:t xml:space="preserve"> 30</w:t>
      </w:r>
      <w:r w:rsidR="004505DB" w:rsidRPr="008B51DF">
        <w:t> </w:t>
      </w:r>
      <w:r w:rsidRPr="008B51DF">
        <w:t>mg every month) to octreotide LAR 60</w:t>
      </w:r>
      <w:r w:rsidR="00630D6A" w:rsidRPr="008B51DF">
        <w:t> </w:t>
      </w:r>
      <w:r w:rsidRPr="008B51DF">
        <w:t>mg every month. This trial was conducted in 41</w:t>
      </w:r>
      <w:r w:rsidR="004505DB" w:rsidRPr="008B51DF">
        <w:t> </w:t>
      </w:r>
      <w:r w:rsidRPr="008B51DF">
        <w:t xml:space="preserve">centres in 8 countries worldwide. Patients who had disease progression according to </w:t>
      </w:r>
      <w:r w:rsidR="004505DB" w:rsidRPr="008B51DF">
        <w:t xml:space="preserve">Response Evaluation Criteria </w:t>
      </w:r>
      <w:proofErr w:type="gramStart"/>
      <w:r w:rsidR="00B357EB" w:rsidRPr="008B51DF">
        <w:t>I</w:t>
      </w:r>
      <w:r w:rsidR="004505DB" w:rsidRPr="008B51DF">
        <w:t>n</w:t>
      </w:r>
      <w:proofErr w:type="gramEnd"/>
      <w:r w:rsidR="004505DB" w:rsidRPr="008B51DF">
        <w:t xml:space="preserve"> Solid Tumours (</w:t>
      </w:r>
      <w:r w:rsidRPr="008B51DF">
        <w:t>RECIST</w:t>
      </w:r>
      <w:r w:rsidR="004505DB" w:rsidRPr="008B51DF">
        <w:t>)</w:t>
      </w:r>
      <w:r w:rsidR="00B357EB" w:rsidRPr="008B51DF">
        <w:rPr>
          <w:rStyle w:val="FootnoteReference"/>
        </w:rPr>
        <w:footnoteReference w:id="10"/>
      </w:r>
      <w:r w:rsidRPr="008B51DF">
        <w:t xml:space="preserve"> </w:t>
      </w:r>
      <w:r w:rsidR="00C833C2" w:rsidRPr="008B51DF">
        <w:t xml:space="preserve">version </w:t>
      </w:r>
      <w:r w:rsidRPr="008B51DF">
        <w:t>1.1 on either</w:t>
      </w:r>
      <w:r w:rsidR="004505DB" w:rsidRPr="008B51DF">
        <w:t xml:space="preserve"> computed tomography</w:t>
      </w:r>
      <w:r w:rsidRPr="008B51DF">
        <w:t xml:space="preserve"> or </w:t>
      </w:r>
      <w:r w:rsidR="004505DB" w:rsidRPr="008B51DF">
        <w:t>magnetic resonance imaging</w:t>
      </w:r>
      <w:r w:rsidRPr="008B51DF">
        <w:t xml:space="preserve"> over the course of a maximum 3 years during treatment with octreotide LAR (20</w:t>
      </w:r>
      <w:r w:rsidR="004505DB" w:rsidRPr="008B51DF">
        <w:t xml:space="preserve"> to </w:t>
      </w:r>
      <w:r w:rsidRPr="008B51DF">
        <w:t>30</w:t>
      </w:r>
      <w:r w:rsidR="004505DB" w:rsidRPr="008B51DF">
        <w:t> </w:t>
      </w:r>
      <w:r w:rsidRPr="008B51DF">
        <w:t>mg every 3</w:t>
      </w:r>
      <w:r w:rsidR="004505DB" w:rsidRPr="008B51DF">
        <w:t xml:space="preserve"> to </w:t>
      </w:r>
      <w:r w:rsidRPr="008B51DF">
        <w:t>4 weeks for at least 12 weeks before randomisation) were eligible. Tumours had to have well differentiated histological features and somatostatin receptors present on all target lesions.</w:t>
      </w:r>
    </w:p>
    <w:p w14:paraId="6893BAD5" w14:textId="21417003" w:rsidR="00854553" w:rsidRPr="008B51DF" w:rsidRDefault="00854553" w:rsidP="00854553">
      <w:r w:rsidRPr="008B51DF">
        <w:t xml:space="preserve">In the </w:t>
      </w:r>
      <w:r w:rsidR="00654E6D" w:rsidRPr="008B51DF">
        <w:rPr>
          <w:vertAlign w:val="superscript"/>
        </w:rPr>
        <w:t>177</w:t>
      </w:r>
      <w:r w:rsidR="00654E6D" w:rsidRPr="008B51DF">
        <w:t>Lu</w:t>
      </w:r>
      <w:r w:rsidRPr="008B51DF">
        <w:t>-DOTATATE group, 7.4</w:t>
      </w:r>
      <w:r w:rsidR="004505DB" w:rsidRPr="008B51DF">
        <w:t xml:space="preserve"> </w:t>
      </w:r>
      <w:proofErr w:type="spellStart"/>
      <w:r w:rsidRPr="008B51DF">
        <w:t>GBq</w:t>
      </w:r>
      <w:proofErr w:type="spellEnd"/>
      <w:r w:rsidRPr="008B51DF">
        <w:t xml:space="preserve"> (200</w:t>
      </w:r>
      <w:r w:rsidR="004505DB" w:rsidRPr="008B51DF">
        <w:t xml:space="preserve"> </w:t>
      </w:r>
      <w:r w:rsidR="00630D6A" w:rsidRPr="008B51DF">
        <w:t>millicurie (</w:t>
      </w:r>
      <w:proofErr w:type="spellStart"/>
      <w:r w:rsidRPr="008B51DF">
        <w:t>mCi</w:t>
      </w:r>
      <w:proofErr w:type="spellEnd"/>
      <w:r w:rsidR="00630D6A" w:rsidRPr="008B51DF">
        <w:t>)</w:t>
      </w:r>
      <w:r w:rsidRPr="008B51DF">
        <w:t xml:space="preserve">) of </w:t>
      </w:r>
      <w:r w:rsidR="00654E6D" w:rsidRPr="008B51DF">
        <w:rPr>
          <w:vertAlign w:val="superscript"/>
        </w:rPr>
        <w:t>177</w:t>
      </w:r>
      <w:r w:rsidR="00654E6D" w:rsidRPr="008B51DF">
        <w:t>Lu</w:t>
      </w:r>
      <w:r w:rsidRPr="008B51DF">
        <w:t>-DOTATATE was infused intravenously over a period of 30 minutes. Infusions were received every 8</w:t>
      </w:r>
      <w:r w:rsidR="00630D6A" w:rsidRPr="008B51DF">
        <w:t> </w:t>
      </w:r>
      <w:r w:rsidRPr="008B51DF">
        <w:t xml:space="preserve">weeks (cumulative radiotherapy 29.6 </w:t>
      </w:r>
      <w:proofErr w:type="spellStart"/>
      <w:r w:rsidRPr="008B51DF">
        <w:t>GBq</w:t>
      </w:r>
      <w:proofErr w:type="spellEnd"/>
      <w:r w:rsidRPr="008B51DF">
        <w:t xml:space="preserve"> </w:t>
      </w:r>
      <w:r w:rsidR="00162759" w:rsidRPr="008B51DF">
        <w:t>(</w:t>
      </w:r>
      <w:r w:rsidRPr="008B51DF">
        <w:t>800</w:t>
      </w:r>
      <w:r w:rsidR="004505DB" w:rsidRPr="008B51DF">
        <w:t xml:space="preserve"> </w:t>
      </w:r>
      <w:proofErr w:type="spellStart"/>
      <w:r w:rsidRPr="008B51DF">
        <w:t>mCi</w:t>
      </w:r>
      <w:proofErr w:type="spellEnd"/>
      <w:r w:rsidR="00162759" w:rsidRPr="008B51DF">
        <w:t>)</w:t>
      </w:r>
      <w:r w:rsidRPr="008B51DF">
        <w:t xml:space="preserve">) unless there was unacceptable toxicity, centrally confirmed disease progression according to RECIST, the patient was unwilling or unable to continue in trial procedures, the patient withdrew </w:t>
      </w:r>
      <w:r w:rsidR="004505DB" w:rsidRPr="008B51DF">
        <w:t>consent,</w:t>
      </w:r>
      <w:r w:rsidRPr="008B51DF">
        <w:t xml:space="preserve"> or the patient died.</w:t>
      </w:r>
    </w:p>
    <w:p w14:paraId="06735C3E" w14:textId="3755653B" w:rsidR="00854553" w:rsidRPr="008B51DF" w:rsidRDefault="00C833C2" w:rsidP="00854553">
      <w:r w:rsidRPr="008B51DF">
        <w:t>Of the</w:t>
      </w:r>
      <w:r w:rsidR="00854553" w:rsidRPr="008B51DF">
        <w:t xml:space="preserve"> 229 patients undergoing randomisation</w:t>
      </w:r>
      <w:r w:rsidRPr="008B51DF">
        <w:t>, 221 patients</w:t>
      </w:r>
      <w:r w:rsidR="00854553" w:rsidRPr="008B51DF">
        <w:t xml:space="preserve"> received at least </w:t>
      </w:r>
      <w:r w:rsidR="004505DB" w:rsidRPr="008B51DF">
        <w:t>one</w:t>
      </w:r>
      <w:r w:rsidR="00854553" w:rsidRPr="008B51DF">
        <w:t xml:space="preserve"> dose of trial treatment (111 in the </w:t>
      </w:r>
      <w:r w:rsidR="00654E6D" w:rsidRPr="008B51DF">
        <w:rPr>
          <w:vertAlign w:val="superscript"/>
        </w:rPr>
        <w:t>177</w:t>
      </w:r>
      <w:r w:rsidR="00654E6D" w:rsidRPr="008B51DF">
        <w:t>Lu</w:t>
      </w:r>
      <w:r w:rsidR="00854553" w:rsidRPr="008B51DF">
        <w:t xml:space="preserve">-DOTATATE group and 110 in the control group). The ileum being the primary tumour site in </w:t>
      </w:r>
      <w:proofErr w:type="gramStart"/>
      <w:r w:rsidR="00854553" w:rsidRPr="008B51DF">
        <w:t>the majority of</w:t>
      </w:r>
      <w:proofErr w:type="gramEnd"/>
      <w:r w:rsidR="00854553" w:rsidRPr="008B51DF">
        <w:t xml:space="preserve"> patients (73%) and most patients (83%) had hepatic metastases, lymph node metastases (62%) or both</w:t>
      </w:r>
      <w:r w:rsidR="004505DB" w:rsidRPr="008B51DF">
        <w:t>.</w:t>
      </w:r>
    </w:p>
    <w:p w14:paraId="12A6685B" w14:textId="14BFF77B" w:rsidR="00854553" w:rsidRPr="008B51DF" w:rsidRDefault="00854553" w:rsidP="00854553">
      <w:r w:rsidRPr="008B51DF">
        <w:t xml:space="preserve">At the time of data cut-off for the primary analysis, 23 events of disease progression or death occurred in the </w:t>
      </w:r>
      <w:r w:rsidR="00654E6D" w:rsidRPr="008B51DF">
        <w:rPr>
          <w:vertAlign w:val="superscript"/>
        </w:rPr>
        <w:t>177</w:t>
      </w:r>
      <w:r w:rsidR="00654E6D" w:rsidRPr="008B51DF">
        <w:t>Lu</w:t>
      </w:r>
      <w:r w:rsidRPr="008B51DF">
        <w:t xml:space="preserve">-DOTATATE group and 68 such events occurred in the control octreotide only groups. The estimated rate of </w:t>
      </w:r>
      <w:r w:rsidR="004505DB" w:rsidRPr="008B51DF">
        <w:t>progression</w:t>
      </w:r>
      <w:r w:rsidR="00622AF2" w:rsidRPr="008B51DF">
        <w:t>-</w:t>
      </w:r>
      <w:r w:rsidR="004505DB" w:rsidRPr="008B51DF">
        <w:t>free survival</w:t>
      </w:r>
      <w:r w:rsidR="006427E1" w:rsidRPr="008B51DF">
        <w:t xml:space="preserve"> (PFS)</w:t>
      </w:r>
      <w:r w:rsidRPr="008B51DF">
        <w:t xml:space="preserve"> at </w:t>
      </w:r>
      <w:r w:rsidR="004505DB" w:rsidRPr="008B51DF">
        <w:t>M</w:t>
      </w:r>
      <w:r w:rsidRPr="008B51DF">
        <w:t xml:space="preserve">onth 20 was 65.2% (95% </w:t>
      </w:r>
      <w:r w:rsidR="00151A52" w:rsidRPr="008B51DF">
        <w:t>confidence interval (</w:t>
      </w:r>
      <w:r w:rsidRPr="008B51DF">
        <w:t>CI</w:t>
      </w:r>
      <w:r w:rsidR="00151A52" w:rsidRPr="008B51DF">
        <w:t>)</w:t>
      </w:r>
      <w:r w:rsidRPr="008B51DF">
        <w:t>: 50.0</w:t>
      </w:r>
      <w:r w:rsidR="004505DB" w:rsidRPr="008B51DF">
        <w:t xml:space="preserve">%, </w:t>
      </w:r>
      <w:r w:rsidRPr="008B51DF">
        <w:t xml:space="preserve">76.8%) in the </w:t>
      </w:r>
      <w:r w:rsidR="00654E6D" w:rsidRPr="008B51DF">
        <w:rPr>
          <w:vertAlign w:val="superscript"/>
        </w:rPr>
        <w:t>177</w:t>
      </w:r>
      <w:r w:rsidR="00654E6D" w:rsidRPr="008B51DF">
        <w:t>Lu</w:t>
      </w:r>
      <w:r w:rsidRPr="008B51DF">
        <w:t>-DOTATATE group and 10.8% (95% CI: 3.5</w:t>
      </w:r>
      <w:r w:rsidR="004505DB" w:rsidRPr="008B51DF">
        <w:t xml:space="preserve">%, </w:t>
      </w:r>
      <w:r w:rsidRPr="008B51DF">
        <w:t xml:space="preserve">23.0%) in the control group. There was a 79% lower risk of disease progression or death in the </w:t>
      </w:r>
      <w:r w:rsidR="00654E6D" w:rsidRPr="008B51DF">
        <w:rPr>
          <w:vertAlign w:val="superscript"/>
        </w:rPr>
        <w:t>177</w:t>
      </w:r>
      <w:r w:rsidR="00654E6D" w:rsidRPr="008B51DF">
        <w:t>Lu</w:t>
      </w:r>
      <w:r w:rsidRPr="008B51DF">
        <w:t xml:space="preserve">-DOTATATE group </w:t>
      </w:r>
      <w:r w:rsidR="004505DB" w:rsidRPr="008B51DF">
        <w:t>versus</w:t>
      </w:r>
      <w:r w:rsidRPr="008B51DF">
        <w:t xml:space="preserve"> control group</w:t>
      </w:r>
      <w:r w:rsidR="004505DB" w:rsidRPr="008B51DF">
        <w:t>.</w:t>
      </w:r>
    </w:p>
    <w:p w14:paraId="14FE1685" w14:textId="42EA2D84" w:rsidR="00854553" w:rsidRPr="008B51DF" w:rsidRDefault="00854553" w:rsidP="00854553">
      <w:pPr>
        <w:pStyle w:val="Heading5"/>
        <w:rPr>
          <w:rFonts w:eastAsiaTheme="minorHAnsi"/>
        </w:rPr>
      </w:pPr>
      <w:proofErr w:type="spellStart"/>
      <w:r w:rsidRPr="008B51DF">
        <w:rPr>
          <w:rFonts w:eastAsiaTheme="minorHAnsi"/>
        </w:rPr>
        <w:t>Strosberg</w:t>
      </w:r>
      <w:proofErr w:type="spellEnd"/>
      <w:r w:rsidR="00274314" w:rsidRPr="008B51DF">
        <w:rPr>
          <w:rFonts w:eastAsiaTheme="minorHAnsi"/>
        </w:rPr>
        <w:t xml:space="preserve"> et al</w:t>
      </w:r>
      <w:r w:rsidR="00C833C2" w:rsidRPr="008B51DF">
        <w:rPr>
          <w:rFonts w:eastAsiaTheme="minorHAnsi"/>
        </w:rPr>
        <w:t>.</w:t>
      </w:r>
      <w:r w:rsidRPr="008B51DF">
        <w:rPr>
          <w:rFonts w:eastAsiaTheme="minorHAnsi"/>
        </w:rPr>
        <w:t xml:space="preserve"> </w:t>
      </w:r>
      <w:r w:rsidR="00274314" w:rsidRPr="008B51DF">
        <w:rPr>
          <w:rFonts w:eastAsiaTheme="minorHAnsi"/>
        </w:rPr>
        <w:t>(</w:t>
      </w:r>
      <w:r w:rsidRPr="008B51DF">
        <w:rPr>
          <w:rFonts w:eastAsiaTheme="minorHAnsi"/>
        </w:rPr>
        <w:t>2018</w:t>
      </w:r>
      <w:r w:rsidR="00274314" w:rsidRPr="008B51DF">
        <w:rPr>
          <w:rFonts w:eastAsiaTheme="minorHAnsi"/>
        </w:rPr>
        <w:t>)</w:t>
      </w:r>
      <w:r w:rsidR="0027481A" w:rsidRPr="008B51DF">
        <w:rPr>
          <w:rStyle w:val="FootnoteReference"/>
          <w:rFonts w:eastAsiaTheme="minorHAnsi"/>
        </w:rPr>
        <w:footnoteReference w:id="11"/>
      </w:r>
    </w:p>
    <w:p w14:paraId="72B2AD47" w14:textId="57EBAF26" w:rsidR="00854553" w:rsidRPr="008B51DF" w:rsidRDefault="00854553" w:rsidP="00854553">
      <w:r w:rsidRPr="008B51DF">
        <w:t>This was a follow up study describing the quality of life in subjects from the NETTER</w:t>
      </w:r>
      <w:r w:rsidR="004505DB" w:rsidRPr="008B51DF">
        <w:noBreakHyphen/>
      </w:r>
      <w:r w:rsidRPr="008B51DF">
        <w:t>1 trial</w:t>
      </w:r>
      <w:r w:rsidR="00C833C2" w:rsidRPr="008B51DF">
        <w:t xml:space="preserve"> (see </w:t>
      </w:r>
      <w:r w:rsidR="00F24638" w:rsidRPr="008B51DF">
        <w:t>S</w:t>
      </w:r>
      <w:r w:rsidR="00C833C2" w:rsidRPr="008B51DF">
        <w:t xml:space="preserve">ection: </w:t>
      </w:r>
      <w:r w:rsidR="00C833C2" w:rsidRPr="008B51DF">
        <w:fldChar w:fldCharType="begin"/>
      </w:r>
      <w:r w:rsidR="00C833C2" w:rsidRPr="008B51DF">
        <w:instrText xml:space="preserve"> REF _Ref111114409 \h </w:instrText>
      </w:r>
      <w:r w:rsidR="00AC1774" w:rsidRPr="008B51DF">
        <w:instrText xml:space="preserve"> \* MERGEFORMAT </w:instrText>
      </w:r>
      <w:r w:rsidR="00C833C2" w:rsidRPr="008B51DF">
        <w:fldChar w:fldCharType="separate"/>
      </w:r>
      <w:proofErr w:type="spellStart"/>
      <w:r w:rsidR="008B51DF" w:rsidRPr="008B51DF">
        <w:t>Strosberg</w:t>
      </w:r>
      <w:proofErr w:type="spellEnd"/>
      <w:r w:rsidR="008B51DF" w:rsidRPr="008B51DF">
        <w:t xml:space="preserve"> et al. (2017)</w:t>
      </w:r>
      <w:r w:rsidR="00C833C2" w:rsidRPr="008B51DF">
        <w:fldChar w:fldCharType="end"/>
      </w:r>
      <w:r w:rsidR="00C833C2" w:rsidRPr="008B51DF">
        <w:t>, above)</w:t>
      </w:r>
      <w:r w:rsidRPr="008B51DF">
        <w:t xml:space="preserve">. Time to deterioration was significantly longer in the </w:t>
      </w:r>
      <w:r w:rsidR="00654E6D" w:rsidRPr="008B51DF">
        <w:rPr>
          <w:vertAlign w:val="superscript"/>
        </w:rPr>
        <w:t>177</w:t>
      </w:r>
      <w:r w:rsidR="00654E6D" w:rsidRPr="008B51DF">
        <w:t>Lu</w:t>
      </w:r>
      <w:r w:rsidRPr="008B51DF">
        <w:t xml:space="preserve">-DOTATATE arm compared to the octreotide alone arm for global health, physical functioning, role functioning, diarrhoea, pain, body image, disease-related </w:t>
      </w:r>
      <w:proofErr w:type="gramStart"/>
      <w:r w:rsidRPr="008B51DF">
        <w:t>worries</w:t>
      </w:r>
      <w:proofErr w:type="gramEnd"/>
      <w:r w:rsidRPr="008B51DF">
        <w:t xml:space="preserve"> and fatigue. The hazard ratio (HR) for global health favouring </w:t>
      </w:r>
      <w:r w:rsidR="00654E6D" w:rsidRPr="008B51DF">
        <w:rPr>
          <w:vertAlign w:val="superscript"/>
        </w:rPr>
        <w:t>177</w:t>
      </w:r>
      <w:r w:rsidR="00654E6D" w:rsidRPr="008B51DF">
        <w:t>Lu</w:t>
      </w:r>
      <w:r w:rsidR="006C0B3E" w:rsidRPr="008B51DF">
        <w:noBreakHyphen/>
      </w:r>
      <w:r w:rsidRPr="008B51DF">
        <w:t>DOTATATE was 0.41 (95% CI: 0.24</w:t>
      </w:r>
      <w:r w:rsidR="004505DB" w:rsidRPr="008B51DF">
        <w:t xml:space="preserve">, </w:t>
      </w:r>
      <w:r w:rsidRPr="008B51DF">
        <w:t>0.69; p</w:t>
      </w:r>
      <w:r w:rsidR="004505DB" w:rsidRPr="008B51DF">
        <w:t> </w:t>
      </w:r>
      <w:r w:rsidRPr="008B51DF">
        <w:t>&lt;</w:t>
      </w:r>
      <w:r w:rsidR="004505DB" w:rsidRPr="008B51DF">
        <w:t> </w:t>
      </w:r>
      <w:r w:rsidRPr="008B51DF">
        <w:t xml:space="preserve">0.001), with a </w:t>
      </w:r>
      <w:r w:rsidR="006C0B3E" w:rsidRPr="008B51DF">
        <w:t>22.7-month</w:t>
      </w:r>
      <w:r w:rsidRPr="008B51DF">
        <w:t xml:space="preserve"> difference in median </w:t>
      </w:r>
      <w:r w:rsidR="00151A52" w:rsidRPr="008B51DF">
        <w:t xml:space="preserve">time to deterioration </w:t>
      </w:r>
      <w:r w:rsidRPr="008B51DF">
        <w:t>between both arms. The HR for physical functioning was 0.52 (95% CI: 0.30</w:t>
      </w:r>
      <w:r w:rsidR="004505DB" w:rsidRPr="008B51DF">
        <w:t xml:space="preserve">, </w:t>
      </w:r>
      <w:r w:rsidRPr="008B51DF">
        <w:lastRenderedPageBreak/>
        <w:t>0.89; p</w:t>
      </w:r>
      <w:r w:rsidR="004505DB" w:rsidRPr="008B51DF">
        <w:t xml:space="preserve"> </w:t>
      </w:r>
      <w:r w:rsidRPr="008B51DF">
        <w:t>=</w:t>
      </w:r>
      <w:r w:rsidR="004505DB" w:rsidRPr="008B51DF">
        <w:t xml:space="preserve"> </w:t>
      </w:r>
      <w:r w:rsidRPr="008B51DF">
        <w:t xml:space="preserve">0.015) with a </w:t>
      </w:r>
      <w:r w:rsidR="006C0B3E" w:rsidRPr="008B51DF">
        <w:t>13.7-month</w:t>
      </w:r>
      <w:r w:rsidRPr="008B51DF">
        <w:t xml:space="preserve"> difference. The HR for all functioning was 0.58 (95% CI: 0.35</w:t>
      </w:r>
      <w:r w:rsidR="004505DB" w:rsidRPr="008B51DF">
        <w:t xml:space="preserve">, </w:t>
      </w:r>
      <w:r w:rsidRPr="008B51DF">
        <w:t>0.96; p</w:t>
      </w:r>
      <w:r w:rsidR="004505DB" w:rsidRPr="008B51DF">
        <w:t xml:space="preserve"> </w:t>
      </w:r>
      <w:r w:rsidRPr="008B51DF">
        <w:t>=</w:t>
      </w:r>
      <w:r w:rsidR="004505DB" w:rsidRPr="008B51DF">
        <w:t xml:space="preserve"> </w:t>
      </w:r>
      <w:r w:rsidRPr="008B51DF">
        <w:t>0.030), the HR for diarrhoea was 0.47 (95% CI: 0.26</w:t>
      </w:r>
      <w:r w:rsidR="00EE0338" w:rsidRPr="008B51DF">
        <w:t xml:space="preserve">, </w:t>
      </w:r>
      <w:r w:rsidRPr="008B51DF">
        <w:t>0.85; p</w:t>
      </w:r>
      <w:r w:rsidR="00EE0338" w:rsidRPr="008B51DF">
        <w:t xml:space="preserve"> </w:t>
      </w:r>
      <w:r w:rsidRPr="008B51DF">
        <w:t>=</w:t>
      </w:r>
      <w:r w:rsidR="00EE0338" w:rsidRPr="008B51DF">
        <w:t xml:space="preserve"> </w:t>
      </w:r>
      <w:r w:rsidRPr="008B51DF">
        <w:t>0.011), the HR for pain was 0.57 (95% CI: 0.34</w:t>
      </w:r>
      <w:r w:rsidR="00EE0338" w:rsidRPr="008B51DF">
        <w:t xml:space="preserve">, </w:t>
      </w:r>
      <w:r w:rsidRPr="008B51DF">
        <w:t>0.94; p</w:t>
      </w:r>
      <w:r w:rsidR="00EE0338" w:rsidRPr="008B51DF">
        <w:t> </w:t>
      </w:r>
      <w:r w:rsidRPr="008B51DF">
        <w:t>=</w:t>
      </w:r>
      <w:r w:rsidR="00EE0338" w:rsidRPr="008B51DF">
        <w:t> </w:t>
      </w:r>
      <w:r w:rsidRPr="008B51DF">
        <w:t>0.025).</w:t>
      </w:r>
    </w:p>
    <w:p w14:paraId="4BAE6924" w14:textId="6E336262" w:rsidR="00854553" w:rsidRPr="008B51DF" w:rsidRDefault="00854553" w:rsidP="00854553">
      <w:r w:rsidRPr="008B51DF">
        <w:t xml:space="preserve">This author published </w:t>
      </w:r>
      <w:proofErr w:type="gramStart"/>
      <w:r w:rsidRPr="008B51DF">
        <w:t>a number of</w:t>
      </w:r>
      <w:proofErr w:type="gramEnd"/>
      <w:r w:rsidRPr="008B51DF">
        <w:t xml:space="preserve"> other studies reporting the outcome in relation to renal </w:t>
      </w:r>
      <w:r w:rsidR="006C0B3E" w:rsidRPr="008B51DF">
        <w:t>insufficiency,</w:t>
      </w:r>
      <w:r w:rsidRPr="008B51DF">
        <w:t xml:space="preserve"> impact on liver tumour burden and </w:t>
      </w:r>
      <w:r w:rsidR="00EE0338" w:rsidRPr="008B51DF">
        <w:t>alkaline phosphatase</w:t>
      </w:r>
      <w:r w:rsidRPr="008B51DF">
        <w:t xml:space="preserve"> and target lesion size on outcome</w:t>
      </w:r>
      <w:r w:rsidR="00EE0338" w:rsidRPr="008B51DF">
        <w:t>.</w:t>
      </w:r>
    </w:p>
    <w:p w14:paraId="7D0456BA" w14:textId="4615F6F9" w:rsidR="00854553" w:rsidRPr="008B51DF" w:rsidRDefault="00854553" w:rsidP="00854553">
      <w:proofErr w:type="spellStart"/>
      <w:r w:rsidRPr="008B51DF">
        <w:t>Paganelli</w:t>
      </w:r>
      <w:proofErr w:type="spellEnd"/>
      <w:r w:rsidRPr="008B51DF">
        <w:t xml:space="preserve"> et al</w:t>
      </w:r>
      <w:r w:rsidR="00CA12FB" w:rsidRPr="008B51DF">
        <w:t>.</w:t>
      </w:r>
      <w:r w:rsidRPr="008B51DF">
        <w:t xml:space="preserve"> </w:t>
      </w:r>
      <w:r w:rsidR="00CA12FB" w:rsidRPr="008B51DF">
        <w:t>(</w:t>
      </w:r>
      <w:r w:rsidRPr="008B51DF">
        <w:t>2020</w:t>
      </w:r>
      <w:r w:rsidR="00CA12FB" w:rsidRPr="008B51DF">
        <w:t>)</w:t>
      </w:r>
      <w:r w:rsidR="00CA12FB" w:rsidRPr="008B51DF">
        <w:rPr>
          <w:rStyle w:val="FootnoteReference"/>
        </w:rPr>
        <w:footnoteReference w:id="12"/>
      </w:r>
      <w:r w:rsidRPr="008B51DF">
        <w:t xml:space="preserve"> studied late </w:t>
      </w:r>
      <w:r w:rsidR="006427E1" w:rsidRPr="008B51DF">
        <w:t>PFS</w:t>
      </w:r>
      <w:r w:rsidRPr="008B51DF">
        <w:t xml:space="preserve"> and overall survival</w:t>
      </w:r>
      <w:r w:rsidR="00BC6C7B" w:rsidRPr="008B51DF">
        <w:t xml:space="preserve"> (</w:t>
      </w:r>
      <w:bookmarkStart w:id="46" w:name="_Hlk114229504"/>
      <w:r w:rsidR="00BC6C7B" w:rsidRPr="008B51DF">
        <w:t>OS</w:t>
      </w:r>
      <w:bookmarkEnd w:id="46"/>
      <w:r w:rsidR="00BC6C7B" w:rsidRPr="008B51DF">
        <w:t>)</w:t>
      </w:r>
      <w:r w:rsidR="00EE0338" w:rsidRPr="008B51DF">
        <w:t xml:space="preserve"> </w:t>
      </w:r>
      <w:r w:rsidRPr="008B51DF">
        <w:t xml:space="preserve">in a cohort of 43 </w:t>
      </w:r>
      <w:r w:rsidR="00C833C2" w:rsidRPr="008B51DF">
        <w:t xml:space="preserve">patients </w:t>
      </w:r>
      <w:r w:rsidRPr="008B51DF">
        <w:t>with progressive metastatic neuroendocrine tumours. This was an uncontrolled study, patients received 5 cycles of therapy at intervals of 6</w:t>
      </w:r>
      <w:r w:rsidR="00EE0338" w:rsidRPr="008B51DF">
        <w:t xml:space="preserve"> to </w:t>
      </w:r>
      <w:r w:rsidRPr="008B51DF">
        <w:t>8 weeks with either a dose of 18.5</w:t>
      </w:r>
      <w:r w:rsidR="00EE0338" w:rsidRPr="008B51DF">
        <w:t xml:space="preserve"> </w:t>
      </w:r>
      <w:proofErr w:type="spellStart"/>
      <w:r w:rsidRPr="008B51DF">
        <w:t>GBq</w:t>
      </w:r>
      <w:proofErr w:type="spellEnd"/>
      <w:r w:rsidRPr="008B51DF">
        <w:t xml:space="preserve"> or 27.5 </w:t>
      </w:r>
      <w:proofErr w:type="spellStart"/>
      <w:r w:rsidRPr="008B51DF">
        <w:t>GBq</w:t>
      </w:r>
      <w:proofErr w:type="spellEnd"/>
      <w:r w:rsidRPr="008B51DF">
        <w:t>. The median follow</w:t>
      </w:r>
      <w:r w:rsidR="00EE0338" w:rsidRPr="008B51DF">
        <w:t>-</w:t>
      </w:r>
      <w:r w:rsidRPr="008B51DF">
        <w:t>up time was 118 months (range 12.6</w:t>
      </w:r>
      <w:r w:rsidR="00EE0338" w:rsidRPr="008B51DF">
        <w:t xml:space="preserve"> to </w:t>
      </w:r>
      <w:r w:rsidRPr="008B51DF">
        <w:t xml:space="preserve">139.6), the overall median </w:t>
      </w:r>
      <w:r w:rsidR="006427E1" w:rsidRPr="008B51DF">
        <w:t>PFS</w:t>
      </w:r>
      <w:r w:rsidR="00C833C2" w:rsidRPr="008B51DF">
        <w:t xml:space="preserve"> </w:t>
      </w:r>
      <w:r w:rsidRPr="008B51DF">
        <w:t>was 59.8 months (95% CI</w:t>
      </w:r>
      <w:r w:rsidR="00EE0338" w:rsidRPr="008B51DF">
        <w:t>:</w:t>
      </w:r>
      <w:r w:rsidRPr="008B51DF">
        <w:t xml:space="preserve"> 29.8</w:t>
      </w:r>
      <w:r w:rsidR="00EE0338" w:rsidRPr="008B51DF">
        <w:t xml:space="preserve">, </w:t>
      </w:r>
      <w:r w:rsidRPr="008B51DF">
        <w:t xml:space="preserve">76.4) and median </w:t>
      </w:r>
      <w:r w:rsidR="00BC6C7B" w:rsidRPr="008B51DF">
        <w:t>OS</w:t>
      </w:r>
      <w:r w:rsidR="00C833C2" w:rsidRPr="008B51DF">
        <w:t xml:space="preserve"> </w:t>
      </w:r>
      <w:r w:rsidRPr="008B51DF">
        <w:t>was 82 months (95% CI</w:t>
      </w:r>
      <w:r w:rsidR="006427E1" w:rsidRPr="008B51DF">
        <w:t>:</w:t>
      </w:r>
      <w:r w:rsidRPr="008B51DF">
        <w:t xml:space="preserve"> 64</w:t>
      </w:r>
      <w:r w:rsidR="00EE0338" w:rsidRPr="008B51DF">
        <w:t xml:space="preserve">, </w:t>
      </w:r>
      <w:r w:rsidRPr="008B51DF">
        <w:t xml:space="preserve">125.6). There was very little difference in outcome between the two different doses. </w:t>
      </w:r>
      <w:r w:rsidR="00BC6C7B" w:rsidRPr="008B51DF">
        <w:t>OS</w:t>
      </w:r>
      <w:r w:rsidRPr="008B51DF">
        <w:t xml:space="preserve"> decreased with greater tumour burden.</w:t>
      </w:r>
    </w:p>
    <w:p w14:paraId="2A8016CE" w14:textId="27809774" w:rsidR="00854553" w:rsidRPr="008B51DF" w:rsidRDefault="00854553" w:rsidP="00854553">
      <w:proofErr w:type="spellStart"/>
      <w:r w:rsidRPr="008B51DF">
        <w:t>Brabander</w:t>
      </w:r>
      <w:proofErr w:type="spellEnd"/>
      <w:r w:rsidRPr="008B51DF">
        <w:t xml:space="preserve"> et al</w:t>
      </w:r>
      <w:r w:rsidR="00CA12FB" w:rsidRPr="008B51DF">
        <w:t>.</w:t>
      </w:r>
      <w:r w:rsidRPr="008B51DF">
        <w:t xml:space="preserve"> </w:t>
      </w:r>
      <w:r w:rsidR="00CA12FB" w:rsidRPr="008B51DF">
        <w:t>(</w:t>
      </w:r>
      <w:r w:rsidRPr="008B51DF">
        <w:t>2017</w:t>
      </w:r>
      <w:r w:rsidR="00CA12FB" w:rsidRPr="008B51DF">
        <w:t>)</w:t>
      </w:r>
      <w:r w:rsidR="00CA12FB" w:rsidRPr="008B51DF">
        <w:rPr>
          <w:rStyle w:val="FootnoteReference"/>
        </w:rPr>
        <w:footnoteReference w:id="13"/>
      </w:r>
      <w:r w:rsidRPr="008B51DF">
        <w:t xml:space="preserve"> reported the efficacy and safety of </w:t>
      </w:r>
      <w:r w:rsidR="00654E6D" w:rsidRPr="008B51DF">
        <w:rPr>
          <w:vertAlign w:val="superscript"/>
        </w:rPr>
        <w:t>177</w:t>
      </w:r>
      <w:r w:rsidR="00654E6D" w:rsidRPr="008B51DF">
        <w:t>Lu</w:t>
      </w:r>
      <w:r w:rsidRPr="008B51DF">
        <w:t>-</w:t>
      </w:r>
      <w:r w:rsidR="00EE0338" w:rsidRPr="008B51DF">
        <w:t>DOTATATE</w:t>
      </w:r>
      <w:r w:rsidRPr="008B51DF">
        <w:t xml:space="preserve"> in 1214</w:t>
      </w:r>
      <w:r w:rsidR="00C833C2" w:rsidRPr="008B51DF">
        <w:t> </w:t>
      </w:r>
      <w:r w:rsidRPr="008B51DF">
        <w:t xml:space="preserve">patients treated at the Erasmus </w:t>
      </w:r>
      <w:r w:rsidR="00EE0338" w:rsidRPr="008B51DF">
        <w:t xml:space="preserve">Medical Centre </w:t>
      </w:r>
      <w:r w:rsidRPr="008B51DF">
        <w:t>in Rotterdam</w:t>
      </w:r>
      <w:r w:rsidR="00C833C2" w:rsidRPr="008B51DF">
        <w:t>, Netherlands</w:t>
      </w:r>
      <w:r w:rsidRPr="008B51DF">
        <w:t xml:space="preserve">. Patients had </w:t>
      </w:r>
      <w:r w:rsidR="00A304FA" w:rsidRPr="008B51DF">
        <w:t>neuroendocrine tumour</w:t>
      </w:r>
      <w:r w:rsidRPr="008B51DF">
        <w:t xml:space="preserve"> of the primary tumours of the midgut, foregut, hind </w:t>
      </w:r>
      <w:proofErr w:type="gramStart"/>
      <w:r w:rsidRPr="008B51DF">
        <w:t>gut</w:t>
      </w:r>
      <w:proofErr w:type="gramEnd"/>
      <w:r w:rsidRPr="008B51DF">
        <w:t xml:space="preserve"> and other sources. </w:t>
      </w:r>
      <w:r w:rsidR="00C833C2" w:rsidRPr="008B51DF">
        <w:t xml:space="preserve">An </w:t>
      </w:r>
      <w:r w:rsidRPr="008B51DF">
        <w:t xml:space="preserve">efficacy and survival analysis </w:t>
      </w:r>
      <w:r w:rsidR="00C833C2" w:rsidRPr="008B51DF">
        <w:t xml:space="preserve">of 443 patients </w:t>
      </w:r>
      <w:r w:rsidRPr="008B51DF">
        <w:t>was provided. The dose was at least 600</w:t>
      </w:r>
      <w:r w:rsidR="00EE0338" w:rsidRPr="008B51DF">
        <w:t> </w:t>
      </w:r>
      <w:proofErr w:type="spellStart"/>
      <w:r w:rsidRPr="008B51DF">
        <w:t>mCi</w:t>
      </w:r>
      <w:proofErr w:type="spellEnd"/>
      <w:r w:rsidRPr="008B51DF">
        <w:t xml:space="preserve"> (22.2</w:t>
      </w:r>
      <w:r w:rsidR="00EE0338" w:rsidRPr="008B51DF">
        <w:t> </w:t>
      </w:r>
      <w:proofErr w:type="spellStart"/>
      <w:r w:rsidRPr="008B51DF">
        <w:t>Gbq</w:t>
      </w:r>
      <w:proofErr w:type="spellEnd"/>
      <w:r w:rsidRPr="008B51DF">
        <w:t xml:space="preserve">). The median follow-up was 78 months from the first day of treatment and most patients were treated with somatostatin analogues. The best objective response rate (ORR) defined as complete response plus partial response according the RECIST 1.1 criteria. The ORR in this patient cohort was 39%, </w:t>
      </w:r>
      <w:r w:rsidR="00EE0338" w:rsidRPr="008B51DF">
        <w:t>standard deviation</w:t>
      </w:r>
      <w:r w:rsidRPr="008B51DF">
        <w:t xml:space="preserve"> was found in 43% of patients and </w:t>
      </w:r>
      <w:r w:rsidR="00EE0338" w:rsidRPr="008B51DF">
        <w:t xml:space="preserve">pharmacodynamics </w:t>
      </w:r>
      <w:r w:rsidRPr="008B51DF">
        <w:t xml:space="preserve">was seen in 12% of patients. In patients with midgut </w:t>
      </w:r>
      <w:r w:rsidR="001A24C6" w:rsidRPr="008B51DF">
        <w:t>neuroendocrine tumours</w:t>
      </w:r>
      <w:r w:rsidRPr="008B51DF">
        <w:t xml:space="preserve"> and pancreatic </w:t>
      </w:r>
      <w:r w:rsidR="001A24C6" w:rsidRPr="008B51DF">
        <w:t>neuroendocrine tumours</w:t>
      </w:r>
      <w:r w:rsidRPr="008B51DF">
        <w:t xml:space="preserve"> with </w:t>
      </w:r>
      <w:r w:rsidR="00A6750A" w:rsidRPr="008B51DF">
        <w:t xml:space="preserve">pharmacodynamics </w:t>
      </w:r>
      <w:r w:rsidRPr="008B51DF">
        <w:t xml:space="preserve">at </w:t>
      </w:r>
      <w:r w:rsidR="001A24C6" w:rsidRPr="008B51DF">
        <w:t>Baseline</w:t>
      </w:r>
      <w:r w:rsidRPr="008B51DF">
        <w:t xml:space="preserve">, radiologic disease control was seen in 84% and 81% respectively. For the total group of 443 </w:t>
      </w:r>
      <w:r w:rsidR="00A304FA" w:rsidRPr="008B51DF">
        <w:t>neuroendocrine tumour</w:t>
      </w:r>
      <w:r w:rsidRPr="008B51DF">
        <w:t xml:space="preserve"> patients, the median </w:t>
      </w:r>
      <w:r w:rsidR="00BC6C7B" w:rsidRPr="008B51DF">
        <w:t>OS</w:t>
      </w:r>
      <w:r w:rsidRPr="008B51DF">
        <w:t xml:space="preserve"> was 63 months (95% CI: 55</w:t>
      </w:r>
      <w:r w:rsidR="00EE0338" w:rsidRPr="008B51DF">
        <w:t xml:space="preserve">, </w:t>
      </w:r>
      <w:r w:rsidRPr="008B51DF">
        <w:t xml:space="preserve">72), the median </w:t>
      </w:r>
      <w:r w:rsidR="006427E1" w:rsidRPr="008B51DF">
        <w:t>PFS</w:t>
      </w:r>
      <w:r w:rsidR="00C833C2" w:rsidRPr="008B51DF">
        <w:t xml:space="preserve"> </w:t>
      </w:r>
      <w:r w:rsidRPr="008B51DF">
        <w:t>was 29</w:t>
      </w:r>
      <w:r w:rsidR="00BC6C7B" w:rsidRPr="008B51DF">
        <w:t> </w:t>
      </w:r>
      <w:r w:rsidRPr="008B51DF">
        <w:t>months (95% CI: 26</w:t>
      </w:r>
      <w:r w:rsidR="00EE0338" w:rsidRPr="008B51DF">
        <w:t xml:space="preserve">, </w:t>
      </w:r>
      <w:r w:rsidRPr="008B51DF">
        <w:t xml:space="preserve">33) and the median </w:t>
      </w:r>
      <w:r w:rsidR="00A6750A" w:rsidRPr="008B51DF">
        <w:t xml:space="preserve">time to progression </w:t>
      </w:r>
      <w:r w:rsidRPr="008B51DF">
        <w:t>was 36 months (95% CI: 32</w:t>
      </w:r>
      <w:r w:rsidR="00EE0338" w:rsidRPr="008B51DF">
        <w:t xml:space="preserve">, </w:t>
      </w:r>
      <w:r w:rsidRPr="008B51DF">
        <w:t>40).</w:t>
      </w:r>
    </w:p>
    <w:p w14:paraId="0EF7B2C8" w14:textId="39B78305" w:rsidR="00854553" w:rsidRPr="008B51DF" w:rsidRDefault="00854553" w:rsidP="00854553">
      <w:r w:rsidRPr="008B51DF">
        <w:t xml:space="preserve">Two publications were provided to confirm efficacy of </w:t>
      </w:r>
      <w:r w:rsidR="00654E6D" w:rsidRPr="008B51DF">
        <w:rPr>
          <w:vertAlign w:val="superscript"/>
        </w:rPr>
        <w:t>177</w:t>
      </w:r>
      <w:r w:rsidR="00654E6D" w:rsidRPr="008B51DF">
        <w:t>Lu</w:t>
      </w:r>
      <w:r w:rsidR="00C833C2" w:rsidRPr="008B51DF">
        <w:t>-</w:t>
      </w:r>
      <w:r w:rsidR="00EE0338" w:rsidRPr="008B51DF">
        <w:t>DOTATATE</w:t>
      </w:r>
      <w:r w:rsidRPr="008B51DF">
        <w:t xml:space="preserve"> when used to retreat patients who relapsed after an initial course.</w:t>
      </w:r>
    </w:p>
    <w:p w14:paraId="4F92633E" w14:textId="77777777" w:rsidR="00854553" w:rsidRPr="008B51DF" w:rsidRDefault="00854553" w:rsidP="00854553">
      <w:pPr>
        <w:pStyle w:val="Heading4"/>
      </w:pPr>
      <w:r w:rsidRPr="008B51DF">
        <w:t>Safety</w:t>
      </w:r>
    </w:p>
    <w:p w14:paraId="3DF63164" w14:textId="7AE1CDFF" w:rsidR="00854553" w:rsidRPr="008B51DF" w:rsidRDefault="00854553" w:rsidP="00854553">
      <w:r w:rsidRPr="008B51DF">
        <w:t xml:space="preserve">An integrated analysis of treatment emergent adverse events from 11 published studies which evaluated safety of </w:t>
      </w:r>
      <w:r w:rsidR="00654E6D" w:rsidRPr="008B51DF">
        <w:rPr>
          <w:vertAlign w:val="superscript"/>
        </w:rPr>
        <w:t>177</w:t>
      </w:r>
      <w:r w:rsidR="00654E6D" w:rsidRPr="008B51DF">
        <w:t>Lu</w:t>
      </w:r>
      <w:r w:rsidRPr="008B51DF">
        <w:t xml:space="preserve">-DOTATATE given to patients with </w:t>
      </w:r>
      <w:r w:rsidR="001A24C6" w:rsidRPr="008B51DF">
        <w:t>neuroendocrine tumours</w:t>
      </w:r>
      <w:r w:rsidRPr="008B51DF">
        <w:t xml:space="preserve"> was provided in the submission. The most common </w:t>
      </w:r>
      <w:r w:rsidR="00C833C2" w:rsidRPr="008B51DF">
        <w:t xml:space="preserve">adverse events </w:t>
      </w:r>
      <w:r w:rsidRPr="008B51DF">
        <w:t xml:space="preserve">amongst patients in the </w:t>
      </w:r>
      <w:r w:rsidR="00654E6D" w:rsidRPr="008B51DF">
        <w:rPr>
          <w:vertAlign w:val="superscript"/>
        </w:rPr>
        <w:t>177</w:t>
      </w:r>
      <w:r w:rsidR="00654E6D" w:rsidRPr="008B51DF">
        <w:t>Lu</w:t>
      </w:r>
      <w:r w:rsidRPr="008B51DF">
        <w:t xml:space="preserve">-DOTATATE group were nausea (65 patients </w:t>
      </w:r>
      <w:r w:rsidR="00162759" w:rsidRPr="008B51DF">
        <w:t>(</w:t>
      </w:r>
      <w:r w:rsidRPr="008B51DF">
        <w:t>59%</w:t>
      </w:r>
      <w:r w:rsidR="00162759" w:rsidRPr="008B51DF">
        <w:t>)</w:t>
      </w:r>
      <w:r w:rsidRPr="008B51DF">
        <w:t>) and vomiting (52</w:t>
      </w:r>
      <w:r w:rsidR="00C833C2" w:rsidRPr="008B51DF">
        <w:t> </w:t>
      </w:r>
      <w:r w:rsidRPr="008B51DF">
        <w:t xml:space="preserve">patients </w:t>
      </w:r>
      <w:r w:rsidR="00162759" w:rsidRPr="008B51DF">
        <w:t>(</w:t>
      </w:r>
      <w:r w:rsidRPr="008B51DF">
        <w:t>47%</w:t>
      </w:r>
      <w:r w:rsidR="00162759" w:rsidRPr="008B51DF">
        <w:t>)</w:t>
      </w:r>
      <w:r w:rsidRPr="008B51DF">
        <w:t xml:space="preserve">). Other common events were fatigue/asthenia, abdominal </w:t>
      </w:r>
      <w:proofErr w:type="gramStart"/>
      <w:r w:rsidRPr="008B51DF">
        <w:t>pain</w:t>
      </w:r>
      <w:proofErr w:type="gramEnd"/>
      <w:r w:rsidRPr="008B51DF">
        <w:t xml:space="preserve"> and diarrhoea.</w:t>
      </w:r>
    </w:p>
    <w:p w14:paraId="0E844DC0" w14:textId="7605BBC6" w:rsidR="00854553" w:rsidRPr="008B51DF" w:rsidRDefault="00854553" w:rsidP="00854553">
      <w:r w:rsidRPr="008B51DF">
        <w:t>Adverse effects of special interest include</w:t>
      </w:r>
      <w:r w:rsidR="00EE0338" w:rsidRPr="008B51DF">
        <w:t>:</w:t>
      </w:r>
    </w:p>
    <w:p w14:paraId="04A78809" w14:textId="7124059B" w:rsidR="00854553" w:rsidRPr="008B51DF" w:rsidRDefault="00EE0338" w:rsidP="00854553">
      <w:pPr>
        <w:pStyle w:val="ListBullet"/>
      </w:pPr>
      <w:r w:rsidRPr="008B51DF">
        <w:t xml:space="preserve">myelosuppression </w:t>
      </w:r>
      <w:r w:rsidR="00854553" w:rsidRPr="008B51DF">
        <w:t>5</w:t>
      </w:r>
      <w:r w:rsidRPr="008B51DF">
        <w:t xml:space="preserve"> to </w:t>
      </w:r>
      <w:r w:rsidR="00854553" w:rsidRPr="008B51DF">
        <w:t xml:space="preserve">10% with doses up to 29 </w:t>
      </w:r>
      <w:proofErr w:type="spellStart"/>
      <w:r w:rsidR="00854553" w:rsidRPr="008B51DF">
        <w:t>GBq</w:t>
      </w:r>
      <w:proofErr w:type="spellEnd"/>
      <w:r w:rsidR="00854553" w:rsidRPr="008B51DF">
        <w:t xml:space="preserve">, generally short </w:t>
      </w:r>
      <w:proofErr w:type="gramStart"/>
      <w:r w:rsidR="00854553" w:rsidRPr="008B51DF">
        <w:t>lived</w:t>
      </w:r>
      <w:r w:rsidRPr="008B51DF">
        <w:t>;</w:t>
      </w:r>
      <w:proofErr w:type="gramEnd"/>
    </w:p>
    <w:p w14:paraId="2A1A671C" w14:textId="215254A4" w:rsidR="00854553" w:rsidRPr="008B51DF" w:rsidRDefault="00EE0338" w:rsidP="00854553">
      <w:pPr>
        <w:pStyle w:val="ListBullet"/>
      </w:pPr>
      <w:r w:rsidRPr="008B51DF">
        <w:t xml:space="preserve">myelodysplastic </w:t>
      </w:r>
      <w:r w:rsidR="00854553" w:rsidRPr="008B51DF">
        <w:t>syndrome and acute leuk</w:t>
      </w:r>
      <w:r w:rsidR="002C036A" w:rsidRPr="008B51DF">
        <w:t>a</w:t>
      </w:r>
      <w:r w:rsidR="00854553" w:rsidRPr="008B51DF">
        <w:t xml:space="preserve">emia in about </w:t>
      </w:r>
      <w:proofErr w:type="gramStart"/>
      <w:r w:rsidR="00854553" w:rsidRPr="008B51DF">
        <w:t>1%</w:t>
      </w:r>
      <w:r w:rsidRPr="008B51DF">
        <w:t>;</w:t>
      </w:r>
      <w:proofErr w:type="gramEnd"/>
    </w:p>
    <w:p w14:paraId="51F26C98" w14:textId="1E1197D2" w:rsidR="00854553" w:rsidRPr="008B51DF" w:rsidRDefault="00EE0338" w:rsidP="00854553">
      <w:pPr>
        <w:pStyle w:val="ListBullet"/>
      </w:pPr>
      <w:r w:rsidRPr="008B51DF">
        <w:t xml:space="preserve">decrease </w:t>
      </w:r>
      <w:r w:rsidR="00854553" w:rsidRPr="008B51DF">
        <w:t xml:space="preserve">in </w:t>
      </w:r>
      <w:r w:rsidR="00A6750A" w:rsidRPr="008B51DF">
        <w:t xml:space="preserve">Insulin-like growth factor </w:t>
      </w:r>
      <w:proofErr w:type="gramStart"/>
      <w:r w:rsidR="00A6750A" w:rsidRPr="008B51DF">
        <w:t>1</w:t>
      </w:r>
      <w:r w:rsidRPr="008B51DF">
        <w:t>;</w:t>
      </w:r>
      <w:proofErr w:type="gramEnd"/>
    </w:p>
    <w:p w14:paraId="5C3CF1BD" w14:textId="5583B64D" w:rsidR="00854553" w:rsidRPr="008B51DF" w:rsidRDefault="00EE0338" w:rsidP="00854553">
      <w:pPr>
        <w:pStyle w:val="ListBullet"/>
      </w:pPr>
      <w:r w:rsidRPr="008B51DF">
        <w:t xml:space="preserve">there </w:t>
      </w:r>
      <w:r w:rsidR="00854553" w:rsidRPr="008B51DF">
        <w:t xml:space="preserve">may be a transient decrease in </w:t>
      </w:r>
      <w:r w:rsidR="00A6750A" w:rsidRPr="008B51DF">
        <w:t>thyroxine (</w:t>
      </w:r>
      <w:r w:rsidR="00854553" w:rsidRPr="008B51DF">
        <w:t>T4</w:t>
      </w:r>
      <w:r w:rsidR="00A6750A" w:rsidRPr="008B51DF">
        <w:t>)</w:t>
      </w:r>
      <w:r w:rsidR="00854553" w:rsidRPr="008B51DF">
        <w:t xml:space="preserve">, </w:t>
      </w:r>
      <w:r w:rsidR="00A6750A" w:rsidRPr="008B51DF">
        <w:t>triiodothyronine (</w:t>
      </w:r>
      <w:r w:rsidR="00854553" w:rsidRPr="008B51DF">
        <w:t>T3</w:t>
      </w:r>
      <w:r w:rsidR="00A6750A" w:rsidRPr="008B51DF">
        <w:t>)</w:t>
      </w:r>
      <w:r w:rsidR="00854553" w:rsidRPr="008B51DF">
        <w:t xml:space="preserve"> and ovarian function, however these effects were not consistently </w:t>
      </w:r>
      <w:proofErr w:type="gramStart"/>
      <w:r w:rsidR="00854553" w:rsidRPr="008B51DF">
        <w:t>seen</w:t>
      </w:r>
      <w:r w:rsidRPr="008B51DF">
        <w:t>;</w:t>
      </w:r>
      <w:proofErr w:type="gramEnd"/>
    </w:p>
    <w:p w14:paraId="2912B66E" w14:textId="46420D06" w:rsidR="00854553" w:rsidRPr="008B51DF" w:rsidRDefault="00EE0338" w:rsidP="00854553">
      <w:pPr>
        <w:pStyle w:val="ListBullet"/>
      </w:pPr>
      <w:r w:rsidRPr="008B51DF">
        <w:lastRenderedPageBreak/>
        <w:t xml:space="preserve">high </w:t>
      </w:r>
      <w:r w:rsidR="00854553" w:rsidRPr="008B51DF">
        <w:t xml:space="preserve">or low serum </w:t>
      </w:r>
      <w:proofErr w:type="gramStart"/>
      <w:r w:rsidR="00854553" w:rsidRPr="008B51DF">
        <w:t>calcium</w:t>
      </w:r>
      <w:r w:rsidRPr="008B51DF">
        <w:t>;</w:t>
      </w:r>
      <w:proofErr w:type="gramEnd"/>
    </w:p>
    <w:p w14:paraId="4DED5A79" w14:textId="6EFA7CEA" w:rsidR="00854553" w:rsidRPr="008B51DF" w:rsidRDefault="00EE0338" w:rsidP="00854553">
      <w:pPr>
        <w:pStyle w:val="ListBullet"/>
      </w:pPr>
      <w:r w:rsidRPr="008B51DF">
        <w:t xml:space="preserve">exacerbation </w:t>
      </w:r>
      <w:r w:rsidR="00854553" w:rsidRPr="008B51DF">
        <w:t xml:space="preserve">of carcinoid symptoms. In particular in those with high tumour </w:t>
      </w:r>
      <w:proofErr w:type="gramStart"/>
      <w:r w:rsidR="00854553" w:rsidRPr="008B51DF">
        <w:t>burden</w:t>
      </w:r>
      <w:r w:rsidRPr="008B51DF">
        <w:t>;</w:t>
      </w:r>
      <w:proofErr w:type="gramEnd"/>
    </w:p>
    <w:p w14:paraId="25B4BCDC" w14:textId="34A5561E" w:rsidR="00854553" w:rsidRPr="008B51DF" w:rsidRDefault="00EE0338" w:rsidP="00854553">
      <w:pPr>
        <w:pStyle w:val="ListBullet"/>
      </w:pPr>
      <w:r w:rsidRPr="008B51DF">
        <w:t xml:space="preserve">intestinal </w:t>
      </w:r>
      <w:r w:rsidR="00854553" w:rsidRPr="008B51DF">
        <w:t>obstruction in those with baseline mesenteric or peritoneal disease.</w:t>
      </w:r>
    </w:p>
    <w:p w14:paraId="21BE02CA" w14:textId="154151FA" w:rsidR="00854553" w:rsidRPr="008B51DF" w:rsidRDefault="00854553" w:rsidP="00854553">
      <w:pPr>
        <w:pStyle w:val="Heading4"/>
      </w:pPr>
      <w:r w:rsidRPr="008B51DF">
        <w:t xml:space="preserve">Additional </w:t>
      </w:r>
      <w:r w:rsidR="00ED47EB" w:rsidRPr="008B51DF">
        <w:t>in</w:t>
      </w:r>
      <w:r w:rsidRPr="008B51DF">
        <w:t>formation</w:t>
      </w:r>
    </w:p>
    <w:p w14:paraId="117DC212" w14:textId="1D3B84BB" w:rsidR="00854553" w:rsidRPr="008B51DF" w:rsidRDefault="00854553" w:rsidP="00854553">
      <w:r w:rsidRPr="008B51DF">
        <w:t>The sponsor included a letter of support from</w:t>
      </w:r>
      <w:r w:rsidR="00EE0338" w:rsidRPr="008B51DF">
        <w:t xml:space="preserve"> </w:t>
      </w:r>
      <w:r w:rsidR="009623D3" w:rsidRPr="008B51DF">
        <w:t xml:space="preserve">a nuclear medicine expert </w:t>
      </w:r>
      <w:r w:rsidR="00EE0338" w:rsidRPr="008B51DF">
        <w:t>[information redacted]</w:t>
      </w:r>
      <w:r w:rsidRPr="008B51DF">
        <w:t xml:space="preserve">. In this letter he states that the Peter MacCallum Cancer Centre has been using </w:t>
      </w:r>
      <w:r w:rsidR="002C036A" w:rsidRPr="008B51DF">
        <w:t>l</w:t>
      </w:r>
      <w:r w:rsidRPr="008B51DF">
        <w:t xml:space="preserve">utetium obtained through </w:t>
      </w:r>
      <w:r w:rsidR="00B357EB" w:rsidRPr="008B51DF">
        <w:t>Special Access Scheme (</w:t>
      </w:r>
      <w:r w:rsidRPr="008B51DF">
        <w:t>SAS</w:t>
      </w:r>
      <w:r w:rsidR="00B357EB" w:rsidRPr="008B51DF">
        <w:t>);</w:t>
      </w:r>
      <w:r w:rsidR="00B357EB" w:rsidRPr="008B51DF">
        <w:rPr>
          <w:rStyle w:val="FootnoteReference"/>
        </w:rPr>
        <w:footnoteReference w:id="14"/>
      </w:r>
      <w:r w:rsidRPr="008B51DF">
        <w:t xml:space="preserve"> since 2014. In clinical practice it is combined with DOTATATE or PSMA</w:t>
      </w:r>
      <w:r w:rsidR="00441643" w:rsidRPr="008B51DF">
        <w:noBreakHyphen/>
      </w:r>
      <w:r w:rsidRPr="008B51DF">
        <w:t>617 to treat disseminated gastro</w:t>
      </w:r>
      <w:r w:rsidR="00110935" w:rsidRPr="008B51DF">
        <w:noBreakHyphen/>
      </w:r>
      <w:proofErr w:type="spellStart"/>
      <w:r w:rsidRPr="008B51DF">
        <w:t>enteropancreatic</w:t>
      </w:r>
      <w:proofErr w:type="spellEnd"/>
      <w:r w:rsidRPr="008B51DF">
        <w:t xml:space="preserve"> neuroendocrine tumours, and other tumours with neuroendocrine differentiation including neuroblastoma in children and bronchial carcinoid tumours.</w:t>
      </w:r>
    </w:p>
    <w:p w14:paraId="040D604C" w14:textId="77777777" w:rsidR="008E7846" w:rsidRPr="008B51DF" w:rsidRDefault="00386150" w:rsidP="007B6132">
      <w:pPr>
        <w:pStyle w:val="Heading3"/>
        <w:rPr>
          <w:lang w:eastAsia="en-AU"/>
        </w:rPr>
      </w:pPr>
      <w:bookmarkStart w:id="47" w:name="_Toc314842514"/>
      <w:bookmarkStart w:id="48" w:name="_Toc114238832"/>
      <w:r w:rsidRPr="008B51DF">
        <w:rPr>
          <w:lang w:eastAsia="en-AU"/>
        </w:rPr>
        <w:t>Risk m</w:t>
      </w:r>
      <w:r w:rsidR="008E7846" w:rsidRPr="008B51DF">
        <w:rPr>
          <w:lang w:eastAsia="en-AU"/>
        </w:rPr>
        <w:t xml:space="preserve">anagement </w:t>
      </w:r>
      <w:r w:rsidRPr="008B51DF">
        <w:rPr>
          <w:lang w:eastAsia="en-AU"/>
        </w:rPr>
        <w:t>p</w:t>
      </w:r>
      <w:r w:rsidR="008E7846" w:rsidRPr="008B51DF">
        <w:rPr>
          <w:lang w:eastAsia="en-AU"/>
        </w:rPr>
        <w:t>lan</w:t>
      </w:r>
      <w:bookmarkEnd w:id="47"/>
      <w:bookmarkEnd w:id="48"/>
    </w:p>
    <w:p w14:paraId="73A806B0" w14:textId="1D3AEB95" w:rsidR="00854553" w:rsidRPr="008B51DF" w:rsidRDefault="001A24C6" w:rsidP="00854553">
      <w:bookmarkStart w:id="49" w:name="_Toc247691531"/>
      <w:bookmarkStart w:id="50" w:name="_Toc314842515"/>
      <w:bookmarkStart w:id="51" w:name="_Toc196046505"/>
      <w:bookmarkStart w:id="52" w:name="_Toc196046949"/>
      <w:r w:rsidRPr="008B51DF">
        <w:t>The sponsor</w:t>
      </w:r>
      <w:r w:rsidR="00854553" w:rsidRPr="008B51DF">
        <w:t xml:space="preserve"> has submitted </w:t>
      </w:r>
      <w:r w:rsidR="00A6750A" w:rsidRPr="008B51DF">
        <w:t>Australian (</w:t>
      </w:r>
      <w:r w:rsidR="00854553" w:rsidRPr="008B51DF">
        <w:t>AU</w:t>
      </w:r>
      <w:r w:rsidR="00A6750A" w:rsidRPr="008B51DF">
        <w:t>)</w:t>
      </w:r>
      <w:r w:rsidR="00854553" w:rsidRPr="008B51DF">
        <w:t>-</w:t>
      </w:r>
      <w:r w:rsidR="00A6750A" w:rsidRPr="008B51DF">
        <w:t>risk management plan (</w:t>
      </w:r>
      <w:r w:rsidR="00854553" w:rsidRPr="008B51DF">
        <w:t>RMP</w:t>
      </w:r>
      <w:r w:rsidR="00A6750A" w:rsidRPr="008B51DF">
        <w:t>)</w:t>
      </w:r>
      <w:r w:rsidR="00854553" w:rsidRPr="008B51DF">
        <w:t xml:space="preserve"> version</w:t>
      </w:r>
      <w:r w:rsidR="00BC6C7B" w:rsidRPr="008B51DF">
        <w:t> </w:t>
      </w:r>
      <w:r w:rsidR="00854553" w:rsidRPr="008B51DF">
        <w:t xml:space="preserve">0.1 (dated 18 December 2020; </w:t>
      </w:r>
      <w:r w:rsidR="00A6750A" w:rsidRPr="008B51DF">
        <w:t>data lock point (</w:t>
      </w:r>
      <w:r w:rsidR="00854553" w:rsidRPr="008B51DF">
        <w:t>DLP</w:t>
      </w:r>
      <w:r w:rsidR="00A6750A" w:rsidRPr="008B51DF">
        <w:t>)</w:t>
      </w:r>
      <w:r w:rsidR="00854553" w:rsidRPr="008B51DF">
        <w:t xml:space="preserve"> 15</w:t>
      </w:r>
      <w:r w:rsidR="00110935" w:rsidRPr="008B51DF">
        <w:t> </w:t>
      </w:r>
      <w:r w:rsidR="00854553" w:rsidRPr="008B51DF">
        <w:t xml:space="preserve">December 2020) in support of this application. In </w:t>
      </w:r>
      <w:r w:rsidR="00A66B2C" w:rsidRPr="008B51DF">
        <w:t>response to a TGA request for information</w:t>
      </w:r>
      <w:r w:rsidR="00A66B2C" w:rsidRPr="008B51DF">
        <w:rPr>
          <w:rStyle w:val="CommentReference"/>
        </w:rPr>
        <w:t>,</w:t>
      </w:r>
      <w:r w:rsidR="00854553" w:rsidRPr="008B51DF">
        <w:t xml:space="preserve"> the sponsor has submitted AU</w:t>
      </w:r>
      <w:r w:rsidR="00A66B2C" w:rsidRPr="008B51DF">
        <w:noBreakHyphen/>
      </w:r>
      <w:r w:rsidR="00854553" w:rsidRPr="008B51DF">
        <w:t xml:space="preserve">RMP version 0.1 (dated 3 August 2021; DLP 15 December 2020) in support of its application. At </w:t>
      </w:r>
      <w:r w:rsidR="00A66B2C" w:rsidRPr="008B51DF">
        <w:t>the second round of evaluation</w:t>
      </w:r>
      <w:r w:rsidR="00854553" w:rsidRPr="008B51DF">
        <w:t>, the sponsor has submitted AU</w:t>
      </w:r>
      <w:r w:rsidR="00BC6C7B" w:rsidRPr="008B51DF">
        <w:noBreakHyphen/>
      </w:r>
      <w:r w:rsidR="00854553" w:rsidRPr="008B51DF">
        <w:t>RMP version</w:t>
      </w:r>
      <w:r w:rsidR="00110935" w:rsidRPr="008B51DF">
        <w:t> </w:t>
      </w:r>
      <w:r w:rsidR="00854553" w:rsidRPr="008B51DF">
        <w:t>0.2 (dated 6 October 2021; DLP 15 December 2020) in support of its application.</w:t>
      </w:r>
    </w:p>
    <w:p w14:paraId="357B0E94" w14:textId="2B9D073A" w:rsidR="0074163C" w:rsidRPr="008B51DF" w:rsidRDefault="0074163C" w:rsidP="0074163C">
      <w:r w:rsidRPr="008B51DF">
        <w:t xml:space="preserve">The summary of safety concerns and their associated risk monitoring and mitigation strategies are summarised in </w:t>
      </w:r>
      <w:r w:rsidR="00110935" w:rsidRPr="008B51DF">
        <w:fldChar w:fldCharType="begin"/>
      </w:r>
      <w:r w:rsidR="00110935" w:rsidRPr="008B51DF">
        <w:instrText xml:space="preserve"> REF _Ref97629131 \h </w:instrText>
      </w:r>
      <w:r w:rsidR="003B707C" w:rsidRPr="008B51DF">
        <w:instrText xml:space="preserve"> \* MERGEFORMAT </w:instrText>
      </w:r>
      <w:r w:rsidR="00110935" w:rsidRPr="008B51DF">
        <w:fldChar w:fldCharType="separate"/>
      </w:r>
      <w:r w:rsidR="008B51DF" w:rsidRPr="008B51DF">
        <w:t xml:space="preserve">Table </w:t>
      </w:r>
      <w:r w:rsidR="008B51DF">
        <w:rPr>
          <w:noProof/>
        </w:rPr>
        <w:t>3</w:t>
      </w:r>
      <w:r w:rsidR="00110935" w:rsidRPr="008B51DF">
        <w:fldChar w:fldCharType="end"/>
      </w:r>
      <w:r w:rsidRPr="008B51DF">
        <w:t xml:space="preserve">. Further information regarding </w:t>
      </w:r>
      <w:r w:rsidR="00CC5044" w:rsidRPr="008B51DF">
        <w:t>the TGA</w:t>
      </w:r>
      <w:r w:rsidR="00BF7063" w:rsidRPr="008B51DF">
        <w:t>’</w:t>
      </w:r>
      <w:r w:rsidR="00CC5044" w:rsidRPr="008B51DF">
        <w:t>s r</w:t>
      </w:r>
      <w:r w:rsidRPr="008B51DF">
        <w:t xml:space="preserve">isk management approach can be found in </w:t>
      </w:r>
      <w:hyperlink r:id="rId18" w:history="1">
        <w:r w:rsidRPr="008B51DF">
          <w:rPr>
            <w:rStyle w:val="Hyperlink"/>
          </w:rPr>
          <w:t>risk management plans for medicines and biologicals</w:t>
        </w:r>
      </w:hyperlink>
      <w:r w:rsidRPr="008B51DF">
        <w:t xml:space="preserve"> and </w:t>
      </w:r>
      <w:hyperlink r:id="rId19" w:history="1">
        <w:r w:rsidRPr="008B51DF">
          <w:rPr>
            <w:rStyle w:val="Hyperlink"/>
          </w:rPr>
          <w:t>the TGA's risk management approach</w:t>
        </w:r>
      </w:hyperlink>
      <w:r w:rsidRPr="008B51DF">
        <w:t>.</w:t>
      </w:r>
    </w:p>
    <w:p w14:paraId="4CEB0E9E" w14:textId="2B14F4BB" w:rsidR="0074163C" w:rsidRPr="008B51DF" w:rsidRDefault="0074163C" w:rsidP="009B05AC">
      <w:pPr>
        <w:pStyle w:val="TableTitle"/>
      </w:pPr>
      <w:bookmarkStart w:id="53" w:name="_Ref97629131"/>
      <w:r w:rsidRPr="008B51DF">
        <w:t xml:space="preserve">Table </w:t>
      </w:r>
      <w:r w:rsidR="00F30734">
        <w:fldChar w:fldCharType="begin"/>
      </w:r>
      <w:r w:rsidR="00F30734">
        <w:instrText xml:space="preserve"> SEQ Table \* ARABIC </w:instrText>
      </w:r>
      <w:r w:rsidR="00F30734">
        <w:fldChar w:fldCharType="separate"/>
      </w:r>
      <w:r w:rsidR="008B51DF">
        <w:rPr>
          <w:noProof/>
        </w:rPr>
        <w:t>3</w:t>
      </w:r>
      <w:r w:rsidR="00F30734">
        <w:rPr>
          <w:noProof/>
        </w:rPr>
        <w:fldChar w:fldCharType="end"/>
      </w:r>
      <w:bookmarkEnd w:id="53"/>
      <w:r w:rsidRPr="008B51DF">
        <w:t>: Summary of safety concerns</w:t>
      </w:r>
    </w:p>
    <w:tbl>
      <w:tblPr>
        <w:tblStyle w:val="TableTGAblue"/>
        <w:tblW w:w="8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2"/>
        <w:gridCol w:w="2691"/>
        <w:gridCol w:w="992"/>
        <w:gridCol w:w="1134"/>
        <w:gridCol w:w="993"/>
        <w:gridCol w:w="1134"/>
      </w:tblGrid>
      <w:tr w:rsidR="00A0395E" w:rsidRPr="008B51DF" w14:paraId="29F48A00" w14:textId="77777777" w:rsidTr="00A0395E">
        <w:trPr>
          <w:cnfStyle w:val="100000000000" w:firstRow="1" w:lastRow="0" w:firstColumn="0" w:lastColumn="0" w:oddVBand="0" w:evenVBand="0" w:oddHBand="0" w:evenHBand="0" w:firstRowFirstColumn="0" w:firstRowLastColumn="0" w:lastRowFirstColumn="0" w:lastRowLastColumn="0"/>
          <w:trHeight w:val="131"/>
        </w:trPr>
        <w:tc>
          <w:tcPr>
            <w:tcW w:w="4103" w:type="dxa"/>
            <w:gridSpan w:val="2"/>
            <w:vMerge w:val="restart"/>
            <w:tcBorders>
              <w:top w:val="single" w:sz="6" w:space="0" w:color="auto"/>
              <w:left w:val="single" w:sz="6" w:space="0" w:color="auto"/>
              <w:bottom w:val="single" w:sz="6" w:space="0" w:color="auto"/>
              <w:right w:val="single" w:sz="6" w:space="0" w:color="auto"/>
            </w:tcBorders>
          </w:tcPr>
          <w:p w14:paraId="6CB71E8F" w14:textId="77777777" w:rsidR="00854553" w:rsidRPr="008B51DF" w:rsidRDefault="00854553" w:rsidP="00854553">
            <w:pPr>
              <w:pStyle w:val="Tabletext"/>
              <w:ind w:left="0" w:right="0"/>
              <w:rPr>
                <w:b w:val="0"/>
              </w:rPr>
            </w:pPr>
            <w:r w:rsidRPr="008B51DF">
              <w:t>Summary of safety concerns</w:t>
            </w:r>
          </w:p>
        </w:tc>
        <w:tc>
          <w:tcPr>
            <w:tcW w:w="2126" w:type="dxa"/>
            <w:gridSpan w:val="2"/>
            <w:tcBorders>
              <w:top w:val="single" w:sz="6" w:space="0" w:color="auto"/>
              <w:left w:val="single" w:sz="6" w:space="0" w:color="auto"/>
              <w:bottom w:val="single" w:sz="6" w:space="0" w:color="auto"/>
              <w:right w:val="single" w:sz="6" w:space="0" w:color="auto"/>
            </w:tcBorders>
          </w:tcPr>
          <w:p w14:paraId="481C3A73" w14:textId="77777777" w:rsidR="00854553" w:rsidRPr="008B51DF" w:rsidRDefault="00854553" w:rsidP="00854553">
            <w:pPr>
              <w:pStyle w:val="Tabletext"/>
              <w:ind w:left="0" w:right="0"/>
              <w:rPr>
                <w:b w:val="0"/>
                <w:sz w:val="18"/>
              </w:rPr>
            </w:pPr>
            <w:r w:rsidRPr="008B51DF">
              <w:rPr>
                <w:sz w:val="18"/>
              </w:rPr>
              <w:t>Pharmacovigilance</w:t>
            </w:r>
          </w:p>
        </w:tc>
        <w:tc>
          <w:tcPr>
            <w:tcW w:w="2127" w:type="dxa"/>
            <w:gridSpan w:val="2"/>
            <w:tcBorders>
              <w:top w:val="single" w:sz="6" w:space="0" w:color="auto"/>
              <w:left w:val="single" w:sz="6" w:space="0" w:color="auto"/>
              <w:bottom w:val="single" w:sz="6" w:space="0" w:color="auto"/>
              <w:right w:val="single" w:sz="6" w:space="0" w:color="auto"/>
            </w:tcBorders>
          </w:tcPr>
          <w:p w14:paraId="7DFB3A32" w14:textId="5A385AB2" w:rsidR="00854553" w:rsidRPr="008B51DF" w:rsidRDefault="00854553" w:rsidP="00854553">
            <w:pPr>
              <w:pStyle w:val="Tabletext"/>
              <w:ind w:left="0" w:right="0"/>
              <w:rPr>
                <w:b w:val="0"/>
                <w:sz w:val="18"/>
              </w:rPr>
            </w:pPr>
            <w:r w:rsidRPr="008B51DF">
              <w:rPr>
                <w:sz w:val="18"/>
              </w:rPr>
              <w:t xml:space="preserve">Risk </w:t>
            </w:r>
            <w:r w:rsidR="00110935" w:rsidRPr="008B51DF">
              <w:rPr>
                <w:sz w:val="18"/>
              </w:rPr>
              <w:t>m</w:t>
            </w:r>
            <w:r w:rsidRPr="008B51DF">
              <w:rPr>
                <w:sz w:val="18"/>
              </w:rPr>
              <w:t>inimisation</w:t>
            </w:r>
          </w:p>
        </w:tc>
      </w:tr>
      <w:tr w:rsidR="00A0395E" w:rsidRPr="008B51DF" w14:paraId="15C03A1D" w14:textId="77777777" w:rsidTr="00A0395E">
        <w:trPr>
          <w:trHeight w:val="150"/>
        </w:trPr>
        <w:tc>
          <w:tcPr>
            <w:tcW w:w="4103" w:type="dxa"/>
            <w:gridSpan w:val="2"/>
            <w:vMerge/>
          </w:tcPr>
          <w:p w14:paraId="255EE2F7" w14:textId="77777777" w:rsidR="00854553" w:rsidRPr="008B51DF" w:rsidRDefault="00854553" w:rsidP="00854553">
            <w:pPr>
              <w:pStyle w:val="Tabletext"/>
              <w:ind w:left="0" w:right="0"/>
              <w:rPr>
                <w:b/>
                <w:color w:val="FFFFFF" w:themeColor="background1"/>
              </w:rPr>
            </w:pPr>
          </w:p>
        </w:tc>
        <w:tc>
          <w:tcPr>
            <w:tcW w:w="992" w:type="dxa"/>
            <w:shd w:val="clear" w:color="auto" w:fill="006DA7"/>
          </w:tcPr>
          <w:p w14:paraId="4435E3B7" w14:textId="77777777" w:rsidR="00854553" w:rsidRPr="008B51DF" w:rsidRDefault="00854553" w:rsidP="00854553">
            <w:pPr>
              <w:pStyle w:val="Tabletext"/>
              <w:ind w:left="0" w:right="0"/>
              <w:rPr>
                <w:b/>
                <w:bCs/>
                <w:color w:val="FFFFFF" w:themeColor="background1"/>
                <w:sz w:val="18"/>
              </w:rPr>
            </w:pPr>
            <w:r w:rsidRPr="008B51DF">
              <w:rPr>
                <w:b/>
                <w:bCs/>
                <w:color w:val="FFFFFF" w:themeColor="background1"/>
                <w:sz w:val="18"/>
              </w:rPr>
              <w:t>Routine</w:t>
            </w:r>
          </w:p>
        </w:tc>
        <w:tc>
          <w:tcPr>
            <w:tcW w:w="1134" w:type="dxa"/>
            <w:shd w:val="clear" w:color="auto" w:fill="006DA7"/>
          </w:tcPr>
          <w:p w14:paraId="626DAFFB" w14:textId="77777777" w:rsidR="00854553" w:rsidRPr="008B51DF" w:rsidRDefault="00854553" w:rsidP="00854553">
            <w:pPr>
              <w:pStyle w:val="Tabletext"/>
              <w:ind w:left="0" w:right="0"/>
              <w:rPr>
                <w:b/>
                <w:bCs/>
                <w:color w:val="FFFFFF" w:themeColor="background1"/>
                <w:sz w:val="18"/>
              </w:rPr>
            </w:pPr>
            <w:r w:rsidRPr="008B51DF">
              <w:rPr>
                <w:b/>
                <w:bCs/>
                <w:color w:val="FFFFFF" w:themeColor="background1"/>
                <w:sz w:val="18"/>
              </w:rPr>
              <w:t>Additional</w:t>
            </w:r>
          </w:p>
        </w:tc>
        <w:tc>
          <w:tcPr>
            <w:tcW w:w="993" w:type="dxa"/>
            <w:shd w:val="clear" w:color="auto" w:fill="006DA7"/>
          </w:tcPr>
          <w:p w14:paraId="25051B7C" w14:textId="77777777" w:rsidR="00854553" w:rsidRPr="008B51DF" w:rsidRDefault="00854553" w:rsidP="00854553">
            <w:pPr>
              <w:pStyle w:val="Tabletext"/>
              <w:ind w:left="0" w:right="0"/>
              <w:rPr>
                <w:b/>
                <w:bCs/>
                <w:color w:val="FFFFFF" w:themeColor="background1"/>
                <w:sz w:val="18"/>
              </w:rPr>
            </w:pPr>
            <w:r w:rsidRPr="008B51DF">
              <w:rPr>
                <w:b/>
                <w:bCs/>
                <w:color w:val="FFFFFF" w:themeColor="background1"/>
                <w:sz w:val="18"/>
              </w:rPr>
              <w:t>Routine</w:t>
            </w:r>
          </w:p>
        </w:tc>
        <w:tc>
          <w:tcPr>
            <w:tcW w:w="1134" w:type="dxa"/>
            <w:shd w:val="clear" w:color="auto" w:fill="006DA7"/>
          </w:tcPr>
          <w:p w14:paraId="4FFC1BB8" w14:textId="77777777" w:rsidR="00854553" w:rsidRPr="008B51DF" w:rsidRDefault="00854553" w:rsidP="00854553">
            <w:pPr>
              <w:pStyle w:val="Tabletext"/>
              <w:ind w:left="0" w:right="0"/>
              <w:rPr>
                <w:b/>
                <w:bCs/>
                <w:color w:val="FFFFFF" w:themeColor="background1"/>
                <w:sz w:val="18"/>
              </w:rPr>
            </w:pPr>
            <w:r w:rsidRPr="008B51DF">
              <w:rPr>
                <w:b/>
                <w:bCs/>
                <w:color w:val="FFFFFF" w:themeColor="background1"/>
                <w:sz w:val="18"/>
              </w:rPr>
              <w:t>Additional</w:t>
            </w:r>
          </w:p>
        </w:tc>
      </w:tr>
      <w:tr w:rsidR="00A0395E" w:rsidRPr="008B51DF" w14:paraId="2B56E461" w14:textId="77777777" w:rsidTr="00110935">
        <w:trPr>
          <w:trHeight w:val="137"/>
        </w:trPr>
        <w:tc>
          <w:tcPr>
            <w:tcW w:w="1412" w:type="dxa"/>
            <w:vMerge w:val="restart"/>
          </w:tcPr>
          <w:p w14:paraId="0A821CF7" w14:textId="77777777" w:rsidR="00854553" w:rsidRPr="008B51DF" w:rsidRDefault="00854553" w:rsidP="00854553">
            <w:pPr>
              <w:pStyle w:val="Tabletext"/>
              <w:ind w:left="0" w:right="0"/>
              <w:rPr>
                <w:b/>
              </w:rPr>
            </w:pPr>
            <w:r w:rsidRPr="008B51DF">
              <w:rPr>
                <w:b/>
              </w:rPr>
              <w:t>Important identified risks</w:t>
            </w:r>
          </w:p>
        </w:tc>
        <w:tc>
          <w:tcPr>
            <w:tcW w:w="2691" w:type="dxa"/>
          </w:tcPr>
          <w:p w14:paraId="3C9DEC93" w14:textId="77777777" w:rsidR="00854553" w:rsidRPr="008B51DF" w:rsidRDefault="00854553" w:rsidP="00854553">
            <w:pPr>
              <w:pStyle w:val="Tabletext"/>
              <w:ind w:left="0" w:right="0"/>
            </w:pPr>
            <w:r w:rsidRPr="008B51DF">
              <w:t>Use in pregnancy</w:t>
            </w:r>
          </w:p>
        </w:tc>
        <w:tc>
          <w:tcPr>
            <w:tcW w:w="992" w:type="dxa"/>
          </w:tcPr>
          <w:p w14:paraId="118989C3" w14:textId="77777777" w:rsidR="00854553" w:rsidRPr="008B51DF" w:rsidRDefault="00854553" w:rsidP="00854553">
            <w:pPr>
              <w:pStyle w:val="Tabletext"/>
              <w:ind w:left="0" w:right="0"/>
              <w:jc w:val="center"/>
            </w:pPr>
            <w:r w:rsidRPr="008B51DF">
              <w:sym w:font="Wingdings" w:char="F0FC"/>
            </w:r>
          </w:p>
        </w:tc>
        <w:tc>
          <w:tcPr>
            <w:tcW w:w="1134" w:type="dxa"/>
          </w:tcPr>
          <w:p w14:paraId="6476C6D1" w14:textId="77777777" w:rsidR="00854553" w:rsidRPr="008B51DF" w:rsidRDefault="00854553" w:rsidP="00854553">
            <w:pPr>
              <w:pStyle w:val="Tabletext"/>
              <w:ind w:left="0" w:right="0"/>
              <w:jc w:val="center"/>
            </w:pPr>
            <w:r w:rsidRPr="008B51DF">
              <w:t>–</w:t>
            </w:r>
          </w:p>
        </w:tc>
        <w:tc>
          <w:tcPr>
            <w:tcW w:w="993" w:type="dxa"/>
          </w:tcPr>
          <w:p w14:paraId="3BB63CFB" w14:textId="77777777" w:rsidR="00854553" w:rsidRPr="008B51DF" w:rsidRDefault="00854553" w:rsidP="00854553">
            <w:pPr>
              <w:pStyle w:val="Tabletext"/>
              <w:ind w:left="0" w:right="0"/>
              <w:jc w:val="center"/>
            </w:pPr>
            <w:r w:rsidRPr="008B51DF">
              <w:sym w:font="Wingdings" w:char="F0FC"/>
            </w:r>
          </w:p>
        </w:tc>
        <w:tc>
          <w:tcPr>
            <w:tcW w:w="1134" w:type="dxa"/>
          </w:tcPr>
          <w:p w14:paraId="594E4917" w14:textId="77777777" w:rsidR="00854553" w:rsidRPr="008B51DF" w:rsidRDefault="00854553" w:rsidP="00854553">
            <w:pPr>
              <w:pStyle w:val="Tabletext"/>
              <w:ind w:left="0" w:right="0"/>
              <w:jc w:val="center"/>
            </w:pPr>
            <w:r w:rsidRPr="008B51DF">
              <w:t>–</w:t>
            </w:r>
          </w:p>
        </w:tc>
      </w:tr>
      <w:tr w:rsidR="00A0395E" w:rsidRPr="008B51DF" w14:paraId="5D4ABC51" w14:textId="77777777" w:rsidTr="00110935">
        <w:trPr>
          <w:trHeight w:val="137"/>
        </w:trPr>
        <w:tc>
          <w:tcPr>
            <w:tcW w:w="1412" w:type="dxa"/>
            <w:vMerge/>
          </w:tcPr>
          <w:p w14:paraId="3F841BBB" w14:textId="77777777" w:rsidR="00854553" w:rsidRPr="008B51DF" w:rsidRDefault="00854553" w:rsidP="00854553">
            <w:pPr>
              <w:pStyle w:val="Tabletext"/>
              <w:ind w:left="0" w:right="0"/>
              <w:rPr>
                <w:b/>
              </w:rPr>
            </w:pPr>
          </w:p>
        </w:tc>
        <w:tc>
          <w:tcPr>
            <w:tcW w:w="2691" w:type="dxa"/>
          </w:tcPr>
          <w:p w14:paraId="4A289B24" w14:textId="77777777" w:rsidR="00854553" w:rsidRPr="008B51DF" w:rsidRDefault="00854553" w:rsidP="00854553">
            <w:pPr>
              <w:pStyle w:val="Tabletext"/>
              <w:ind w:left="0" w:right="0"/>
            </w:pPr>
            <w:r w:rsidRPr="008B51DF">
              <w:t>Myelosuppression</w:t>
            </w:r>
          </w:p>
        </w:tc>
        <w:tc>
          <w:tcPr>
            <w:tcW w:w="992" w:type="dxa"/>
          </w:tcPr>
          <w:p w14:paraId="12D4957D" w14:textId="77777777" w:rsidR="00854553" w:rsidRPr="008B51DF" w:rsidRDefault="00854553" w:rsidP="00854553">
            <w:pPr>
              <w:pStyle w:val="Tabletext"/>
              <w:ind w:left="0" w:right="0"/>
              <w:jc w:val="center"/>
            </w:pPr>
            <w:r w:rsidRPr="008B51DF">
              <w:sym w:font="Wingdings" w:char="F0FC"/>
            </w:r>
          </w:p>
        </w:tc>
        <w:tc>
          <w:tcPr>
            <w:tcW w:w="1134" w:type="dxa"/>
          </w:tcPr>
          <w:p w14:paraId="007794FC" w14:textId="77777777" w:rsidR="00854553" w:rsidRPr="008B51DF" w:rsidRDefault="00854553" w:rsidP="00854553">
            <w:pPr>
              <w:pStyle w:val="Tabletext"/>
              <w:ind w:left="0" w:right="0"/>
              <w:jc w:val="center"/>
            </w:pPr>
            <w:r w:rsidRPr="008B51DF">
              <w:t>–</w:t>
            </w:r>
          </w:p>
        </w:tc>
        <w:tc>
          <w:tcPr>
            <w:tcW w:w="993" w:type="dxa"/>
          </w:tcPr>
          <w:p w14:paraId="069B4059" w14:textId="77777777" w:rsidR="00854553" w:rsidRPr="008B51DF" w:rsidRDefault="00854553" w:rsidP="00854553">
            <w:pPr>
              <w:pStyle w:val="Tabletext"/>
              <w:ind w:left="0" w:right="0"/>
              <w:jc w:val="center"/>
            </w:pPr>
            <w:r w:rsidRPr="008B51DF">
              <w:sym w:font="Wingdings" w:char="F0FC"/>
            </w:r>
          </w:p>
        </w:tc>
        <w:tc>
          <w:tcPr>
            <w:tcW w:w="1134" w:type="dxa"/>
          </w:tcPr>
          <w:p w14:paraId="0D003DAD" w14:textId="77777777" w:rsidR="00854553" w:rsidRPr="008B51DF" w:rsidRDefault="00854553" w:rsidP="00854553">
            <w:pPr>
              <w:pStyle w:val="Tabletext"/>
              <w:ind w:left="0" w:right="0"/>
              <w:jc w:val="center"/>
            </w:pPr>
            <w:r w:rsidRPr="008B51DF">
              <w:t>–</w:t>
            </w:r>
          </w:p>
        </w:tc>
      </w:tr>
      <w:tr w:rsidR="00A0395E" w:rsidRPr="008B51DF" w14:paraId="27AD7E10" w14:textId="77777777" w:rsidTr="00110935">
        <w:trPr>
          <w:trHeight w:val="94"/>
        </w:trPr>
        <w:tc>
          <w:tcPr>
            <w:tcW w:w="1412" w:type="dxa"/>
            <w:vMerge/>
          </w:tcPr>
          <w:p w14:paraId="17275F47" w14:textId="77777777" w:rsidR="00854553" w:rsidRPr="008B51DF" w:rsidRDefault="00854553" w:rsidP="00854553">
            <w:pPr>
              <w:pStyle w:val="Tabletext"/>
              <w:ind w:left="0" w:right="0"/>
              <w:rPr>
                <w:b/>
              </w:rPr>
            </w:pPr>
          </w:p>
        </w:tc>
        <w:tc>
          <w:tcPr>
            <w:tcW w:w="2691" w:type="dxa"/>
          </w:tcPr>
          <w:p w14:paraId="5C7EE967" w14:textId="77777777" w:rsidR="00854553" w:rsidRPr="008B51DF" w:rsidRDefault="00854553" w:rsidP="00854553">
            <w:pPr>
              <w:pStyle w:val="Tabletext"/>
              <w:ind w:left="0" w:right="0"/>
            </w:pPr>
            <w:r w:rsidRPr="008B51DF">
              <w:t>Myelodysplastic syndrome &amp; acute myeloid leukaemia</w:t>
            </w:r>
          </w:p>
        </w:tc>
        <w:tc>
          <w:tcPr>
            <w:tcW w:w="992" w:type="dxa"/>
          </w:tcPr>
          <w:p w14:paraId="0BCD009E" w14:textId="77777777" w:rsidR="00854553" w:rsidRPr="008B51DF" w:rsidRDefault="00854553" w:rsidP="00854553">
            <w:pPr>
              <w:pStyle w:val="Tabletext"/>
              <w:ind w:left="0" w:right="0"/>
              <w:jc w:val="center"/>
            </w:pPr>
            <w:r w:rsidRPr="008B51DF">
              <w:sym w:font="Wingdings" w:char="F0FC"/>
            </w:r>
          </w:p>
        </w:tc>
        <w:tc>
          <w:tcPr>
            <w:tcW w:w="1134" w:type="dxa"/>
          </w:tcPr>
          <w:p w14:paraId="529D6BF6" w14:textId="77777777" w:rsidR="00854553" w:rsidRPr="008B51DF" w:rsidRDefault="00854553" w:rsidP="00854553">
            <w:pPr>
              <w:pStyle w:val="Tabletext"/>
              <w:ind w:left="0" w:right="0"/>
              <w:jc w:val="center"/>
            </w:pPr>
            <w:r w:rsidRPr="008B51DF">
              <w:t>–</w:t>
            </w:r>
          </w:p>
        </w:tc>
        <w:tc>
          <w:tcPr>
            <w:tcW w:w="993" w:type="dxa"/>
          </w:tcPr>
          <w:p w14:paraId="7C43AFE7" w14:textId="77777777" w:rsidR="00854553" w:rsidRPr="008B51DF" w:rsidRDefault="00854553" w:rsidP="00854553">
            <w:pPr>
              <w:pStyle w:val="Tabletext"/>
              <w:ind w:left="0" w:right="0"/>
              <w:jc w:val="center"/>
            </w:pPr>
            <w:r w:rsidRPr="008B51DF">
              <w:sym w:font="Wingdings" w:char="F0FC"/>
            </w:r>
          </w:p>
        </w:tc>
        <w:tc>
          <w:tcPr>
            <w:tcW w:w="1134" w:type="dxa"/>
          </w:tcPr>
          <w:p w14:paraId="4BC03491" w14:textId="77777777" w:rsidR="00854553" w:rsidRPr="008B51DF" w:rsidRDefault="00854553" w:rsidP="00854553">
            <w:pPr>
              <w:pStyle w:val="Tabletext"/>
              <w:ind w:left="0" w:right="0"/>
              <w:jc w:val="center"/>
            </w:pPr>
            <w:r w:rsidRPr="008B51DF">
              <w:t>–</w:t>
            </w:r>
          </w:p>
        </w:tc>
      </w:tr>
      <w:tr w:rsidR="00A0395E" w:rsidRPr="008B51DF" w14:paraId="428228B1" w14:textId="77777777" w:rsidTr="00110935">
        <w:trPr>
          <w:trHeight w:val="94"/>
        </w:trPr>
        <w:tc>
          <w:tcPr>
            <w:tcW w:w="1412" w:type="dxa"/>
            <w:vMerge/>
          </w:tcPr>
          <w:p w14:paraId="45C9E80E" w14:textId="77777777" w:rsidR="00854553" w:rsidRPr="008B51DF" w:rsidRDefault="00854553" w:rsidP="00854553">
            <w:pPr>
              <w:pStyle w:val="Tabletext"/>
              <w:ind w:left="0" w:right="0"/>
              <w:rPr>
                <w:b/>
              </w:rPr>
            </w:pPr>
          </w:p>
        </w:tc>
        <w:tc>
          <w:tcPr>
            <w:tcW w:w="2691" w:type="dxa"/>
          </w:tcPr>
          <w:p w14:paraId="6DD83C6C" w14:textId="77777777" w:rsidR="00854553" w:rsidRPr="008B51DF" w:rsidRDefault="00854553" w:rsidP="00854553">
            <w:pPr>
              <w:pStyle w:val="Tabletext"/>
              <w:ind w:left="0" w:right="0"/>
            </w:pPr>
            <w:r w:rsidRPr="008B51DF">
              <w:t>Renal dysfunction</w:t>
            </w:r>
          </w:p>
        </w:tc>
        <w:tc>
          <w:tcPr>
            <w:tcW w:w="992" w:type="dxa"/>
          </w:tcPr>
          <w:p w14:paraId="1B92E52F" w14:textId="77777777" w:rsidR="00854553" w:rsidRPr="008B51DF" w:rsidRDefault="00854553" w:rsidP="00854553">
            <w:pPr>
              <w:pStyle w:val="Tabletext"/>
              <w:ind w:left="0" w:right="0"/>
              <w:jc w:val="center"/>
            </w:pPr>
            <w:r w:rsidRPr="008B51DF">
              <w:sym w:font="Wingdings" w:char="F0FC"/>
            </w:r>
          </w:p>
        </w:tc>
        <w:tc>
          <w:tcPr>
            <w:tcW w:w="1134" w:type="dxa"/>
          </w:tcPr>
          <w:p w14:paraId="6D6F0FEB" w14:textId="77777777" w:rsidR="00854553" w:rsidRPr="008B51DF" w:rsidRDefault="00854553" w:rsidP="00854553">
            <w:pPr>
              <w:pStyle w:val="Tabletext"/>
              <w:ind w:left="0" w:right="0"/>
              <w:jc w:val="center"/>
            </w:pPr>
            <w:r w:rsidRPr="008B51DF">
              <w:t>–</w:t>
            </w:r>
          </w:p>
        </w:tc>
        <w:tc>
          <w:tcPr>
            <w:tcW w:w="993" w:type="dxa"/>
          </w:tcPr>
          <w:p w14:paraId="58C28E06" w14:textId="77777777" w:rsidR="00854553" w:rsidRPr="008B51DF" w:rsidRDefault="00854553" w:rsidP="00854553">
            <w:pPr>
              <w:pStyle w:val="Tabletext"/>
              <w:ind w:left="0" w:right="0"/>
              <w:jc w:val="center"/>
            </w:pPr>
            <w:r w:rsidRPr="008B51DF">
              <w:sym w:font="Wingdings" w:char="F0FC"/>
            </w:r>
          </w:p>
        </w:tc>
        <w:tc>
          <w:tcPr>
            <w:tcW w:w="1134" w:type="dxa"/>
          </w:tcPr>
          <w:p w14:paraId="3ACF6C7F" w14:textId="77777777" w:rsidR="00854553" w:rsidRPr="008B51DF" w:rsidRDefault="00854553" w:rsidP="00854553">
            <w:pPr>
              <w:pStyle w:val="Tabletext"/>
              <w:ind w:left="0" w:right="0"/>
              <w:jc w:val="center"/>
            </w:pPr>
            <w:r w:rsidRPr="008B51DF">
              <w:t>–</w:t>
            </w:r>
          </w:p>
        </w:tc>
      </w:tr>
      <w:tr w:rsidR="00A0395E" w:rsidRPr="008B51DF" w14:paraId="6DEAB11E" w14:textId="77777777" w:rsidTr="00110935">
        <w:trPr>
          <w:trHeight w:val="94"/>
        </w:trPr>
        <w:tc>
          <w:tcPr>
            <w:tcW w:w="1412" w:type="dxa"/>
            <w:vMerge/>
          </w:tcPr>
          <w:p w14:paraId="165FDF00" w14:textId="77777777" w:rsidR="00854553" w:rsidRPr="008B51DF" w:rsidRDefault="00854553" w:rsidP="00854553">
            <w:pPr>
              <w:pStyle w:val="Tabletext"/>
              <w:ind w:left="0" w:right="0"/>
              <w:rPr>
                <w:b/>
              </w:rPr>
            </w:pPr>
          </w:p>
        </w:tc>
        <w:tc>
          <w:tcPr>
            <w:tcW w:w="2691" w:type="dxa"/>
          </w:tcPr>
          <w:p w14:paraId="76FACE86" w14:textId="77777777" w:rsidR="00854553" w:rsidRPr="008B51DF" w:rsidRDefault="00854553" w:rsidP="00854553">
            <w:pPr>
              <w:pStyle w:val="Tabletext"/>
              <w:ind w:left="0" w:right="0"/>
            </w:pPr>
            <w:r w:rsidRPr="008B51DF">
              <w:t>Renal irradiation</w:t>
            </w:r>
          </w:p>
        </w:tc>
        <w:tc>
          <w:tcPr>
            <w:tcW w:w="992" w:type="dxa"/>
          </w:tcPr>
          <w:p w14:paraId="0ED1EE7B" w14:textId="77777777" w:rsidR="00854553" w:rsidRPr="008B51DF" w:rsidRDefault="00854553" w:rsidP="00854553">
            <w:pPr>
              <w:pStyle w:val="Tabletext"/>
              <w:ind w:left="0" w:right="0"/>
              <w:jc w:val="center"/>
            </w:pPr>
            <w:r w:rsidRPr="008B51DF">
              <w:sym w:font="Wingdings" w:char="F0FC"/>
            </w:r>
          </w:p>
        </w:tc>
        <w:tc>
          <w:tcPr>
            <w:tcW w:w="1134" w:type="dxa"/>
          </w:tcPr>
          <w:p w14:paraId="26B6ABA4" w14:textId="77777777" w:rsidR="00854553" w:rsidRPr="008B51DF" w:rsidRDefault="00854553" w:rsidP="00854553">
            <w:pPr>
              <w:pStyle w:val="Tabletext"/>
              <w:ind w:left="0" w:right="0"/>
              <w:jc w:val="center"/>
            </w:pPr>
            <w:r w:rsidRPr="008B51DF">
              <w:t>–</w:t>
            </w:r>
          </w:p>
        </w:tc>
        <w:tc>
          <w:tcPr>
            <w:tcW w:w="993" w:type="dxa"/>
          </w:tcPr>
          <w:p w14:paraId="48E38CF1" w14:textId="77777777" w:rsidR="00854553" w:rsidRPr="008B51DF" w:rsidRDefault="00854553" w:rsidP="00854553">
            <w:pPr>
              <w:pStyle w:val="Tabletext"/>
              <w:ind w:left="0" w:right="0"/>
              <w:jc w:val="center"/>
            </w:pPr>
            <w:r w:rsidRPr="008B51DF">
              <w:sym w:font="Wingdings" w:char="F0FC"/>
            </w:r>
          </w:p>
        </w:tc>
        <w:tc>
          <w:tcPr>
            <w:tcW w:w="1134" w:type="dxa"/>
          </w:tcPr>
          <w:p w14:paraId="5CA2D5A3" w14:textId="77777777" w:rsidR="00854553" w:rsidRPr="008B51DF" w:rsidRDefault="00854553" w:rsidP="00854553">
            <w:pPr>
              <w:pStyle w:val="Tabletext"/>
              <w:ind w:left="0" w:right="0"/>
              <w:jc w:val="center"/>
            </w:pPr>
            <w:r w:rsidRPr="008B51DF">
              <w:t>–</w:t>
            </w:r>
          </w:p>
        </w:tc>
      </w:tr>
      <w:tr w:rsidR="00A0395E" w:rsidRPr="008B51DF" w14:paraId="4FDB473B" w14:textId="77777777" w:rsidTr="00110935">
        <w:trPr>
          <w:trHeight w:val="187"/>
        </w:trPr>
        <w:tc>
          <w:tcPr>
            <w:tcW w:w="1412" w:type="dxa"/>
            <w:vMerge/>
          </w:tcPr>
          <w:p w14:paraId="5F99C31C" w14:textId="77777777" w:rsidR="00854553" w:rsidRPr="008B51DF" w:rsidRDefault="00854553" w:rsidP="00854553">
            <w:pPr>
              <w:pStyle w:val="Tabletext"/>
              <w:ind w:left="0" w:right="0"/>
              <w:rPr>
                <w:b/>
              </w:rPr>
            </w:pPr>
          </w:p>
        </w:tc>
        <w:tc>
          <w:tcPr>
            <w:tcW w:w="2691" w:type="dxa"/>
          </w:tcPr>
          <w:p w14:paraId="28DEE2B7" w14:textId="77777777" w:rsidR="00854553" w:rsidRPr="008B51DF" w:rsidRDefault="00854553" w:rsidP="00854553">
            <w:pPr>
              <w:pStyle w:val="Tabletext"/>
              <w:ind w:left="0" w:right="0"/>
            </w:pPr>
            <w:r w:rsidRPr="008B51DF">
              <w:t>Hormone release syndromes</w:t>
            </w:r>
          </w:p>
        </w:tc>
        <w:tc>
          <w:tcPr>
            <w:tcW w:w="992" w:type="dxa"/>
          </w:tcPr>
          <w:p w14:paraId="09AC3C48" w14:textId="77777777" w:rsidR="00854553" w:rsidRPr="008B51DF" w:rsidRDefault="00854553" w:rsidP="00854553">
            <w:pPr>
              <w:pStyle w:val="Tabletext"/>
              <w:ind w:left="0" w:right="0"/>
              <w:jc w:val="center"/>
            </w:pPr>
            <w:r w:rsidRPr="008B51DF">
              <w:sym w:font="Wingdings" w:char="F0FC"/>
            </w:r>
          </w:p>
        </w:tc>
        <w:tc>
          <w:tcPr>
            <w:tcW w:w="1134" w:type="dxa"/>
          </w:tcPr>
          <w:p w14:paraId="2F9159AB" w14:textId="77777777" w:rsidR="00854553" w:rsidRPr="008B51DF" w:rsidRDefault="00854553" w:rsidP="00854553">
            <w:pPr>
              <w:pStyle w:val="Tabletext"/>
              <w:ind w:left="0" w:right="0"/>
              <w:jc w:val="center"/>
            </w:pPr>
            <w:r w:rsidRPr="008B51DF">
              <w:t>–</w:t>
            </w:r>
          </w:p>
        </w:tc>
        <w:tc>
          <w:tcPr>
            <w:tcW w:w="993" w:type="dxa"/>
          </w:tcPr>
          <w:p w14:paraId="7629C1D8" w14:textId="77777777" w:rsidR="00854553" w:rsidRPr="008B51DF" w:rsidRDefault="00854553" w:rsidP="00854553">
            <w:pPr>
              <w:pStyle w:val="Tabletext"/>
              <w:ind w:left="0" w:right="0"/>
              <w:jc w:val="center"/>
            </w:pPr>
            <w:r w:rsidRPr="008B51DF">
              <w:sym w:font="Wingdings" w:char="F0FC"/>
            </w:r>
          </w:p>
        </w:tc>
        <w:tc>
          <w:tcPr>
            <w:tcW w:w="1134" w:type="dxa"/>
          </w:tcPr>
          <w:p w14:paraId="3AFE7BAC" w14:textId="77777777" w:rsidR="00854553" w:rsidRPr="008B51DF" w:rsidRDefault="00854553" w:rsidP="00854553">
            <w:pPr>
              <w:pStyle w:val="Tabletext"/>
              <w:ind w:left="0" w:right="0"/>
              <w:jc w:val="center"/>
            </w:pPr>
            <w:r w:rsidRPr="008B51DF">
              <w:t>–</w:t>
            </w:r>
          </w:p>
        </w:tc>
      </w:tr>
      <w:tr w:rsidR="00A0395E" w:rsidRPr="008B51DF" w14:paraId="5E4B5885" w14:textId="77777777" w:rsidTr="00110935">
        <w:trPr>
          <w:trHeight w:val="159"/>
        </w:trPr>
        <w:tc>
          <w:tcPr>
            <w:tcW w:w="1412" w:type="dxa"/>
            <w:vMerge w:val="restart"/>
          </w:tcPr>
          <w:p w14:paraId="2A4882CB" w14:textId="77777777" w:rsidR="00854553" w:rsidRPr="008B51DF" w:rsidRDefault="00854553" w:rsidP="00854553">
            <w:pPr>
              <w:pStyle w:val="Tabletext"/>
              <w:ind w:left="0" w:right="0"/>
              <w:rPr>
                <w:b/>
              </w:rPr>
            </w:pPr>
            <w:r w:rsidRPr="008B51DF">
              <w:rPr>
                <w:b/>
              </w:rPr>
              <w:t>Important potential risks</w:t>
            </w:r>
          </w:p>
        </w:tc>
        <w:tc>
          <w:tcPr>
            <w:tcW w:w="2691" w:type="dxa"/>
          </w:tcPr>
          <w:p w14:paraId="3ACE6FDA" w14:textId="77777777" w:rsidR="00854553" w:rsidRPr="008B51DF" w:rsidRDefault="00854553" w:rsidP="00854553">
            <w:pPr>
              <w:pStyle w:val="Tabletext"/>
              <w:ind w:left="0" w:right="0"/>
            </w:pPr>
            <w:r w:rsidRPr="008B51DF">
              <w:t>Tumour lysis syndrome</w:t>
            </w:r>
          </w:p>
        </w:tc>
        <w:tc>
          <w:tcPr>
            <w:tcW w:w="992" w:type="dxa"/>
          </w:tcPr>
          <w:p w14:paraId="1CA5CA53" w14:textId="77777777" w:rsidR="00854553" w:rsidRPr="008B51DF" w:rsidRDefault="00854553" w:rsidP="00854553">
            <w:pPr>
              <w:pStyle w:val="Tabletext"/>
              <w:ind w:left="0" w:right="0"/>
              <w:jc w:val="center"/>
            </w:pPr>
            <w:r w:rsidRPr="008B51DF">
              <w:sym w:font="Wingdings" w:char="F0FC"/>
            </w:r>
          </w:p>
        </w:tc>
        <w:tc>
          <w:tcPr>
            <w:tcW w:w="1134" w:type="dxa"/>
          </w:tcPr>
          <w:p w14:paraId="1F4F9A9C" w14:textId="77777777" w:rsidR="00854553" w:rsidRPr="008B51DF" w:rsidRDefault="00854553" w:rsidP="00854553">
            <w:pPr>
              <w:pStyle w:val="Tabletext"/>
              <w:ind w:left="0" w:right="0"/>
              <w:jc w:val="center"/>
            </w:pPr>
            <w:r w:rsidRPr="008B51DF">
              <w:t>–</w:t>
            </w:r>
          </w:p>
        </w:tc>
        <w:tc>
          <w:tcPr>
            <w:tcW w:w="993" w:type="dxa"/>
          </w:tcPr>
          <w:p w14:paraId="4BEB1EF3" w14:textId="77777777" w:rsidR="00854553" w:rsidRPr="008B51DF" w:rsidRDefault="00854553" w:rsidP="00854553">
            <w:pPr>
              <w:pStyle w:val="Tabletext"/>
              <w:ind w:left="0" w:right="0"/>
              <w:jc w:val="center"/>
            </w:pPr>
            <w:r w:rsidRPr="008B51DF">
              <w:sym w:font="Wingdings" w:char="F0FC"/>
            </w:r>
          </w:p>
        </w:tc>
        <w:tc>
          <w:tcPr>
            <w:tcW w:w="1134" w:type="dxa"/>
          </w:tcPr>
          <w:p w14:paraId="160F26AC" w14:textId="77777777" w:rsidR="00854553" w:rsidRPr="008B51DF" w:rsidRDefault="00854553" w:rsidP="00854553">
            <w:pPr>
              <w:pStyle w:val="Tabletext"/>
              <w:ind w:left="0" w:right="0"/>
              <w:jc w:val="center"/>
            </w:pPr>
            <w:r w:rsidRPr="008B51DF">
              <w:t>–</w:t>
            </w:r>
          </w:p>
        </w:tc>
      </w:tr>
      <w:tr w:rsidR="00A0395E" w:rsidRPr="008B51DF" w14:paraId="7EDA4696" w14:textId="77777777" w:rsidTr="00110935">
        <w:trPr>
          <w:trHeight w:val="122"/>
        </w:trPr>
        <w:tc>
          <w:tcPr>
            <w:tcW w:w="1412" w:type="dxa"/>
            <w:vMerge/>
          </w:tcPr>
          <w:p w14:paraId="0B8FBD76" w14:textId="77777777" w:rsidR="00854553" w:rsidRPr="008B51DF" w:rsidRDefault="00854553" w:rsidP="00854553">
            <w:pPr>
              <w:pStyle w:val="Tabletext"/>
              <w:ind w:left="0" w:right="0"/>
              <w:rPr>
                <w:b/>
              </w:rPr>
            </w:pPr>
          </w:p>
        </w:tc>
        <w:tc>
          <w:tcPr>
            <w:tcW w:w="2691" w:type="dxa"/>
          </w:tcPr>
          <w:p w14:paraId="246414DC" w14:textId="77777777" w:rsidR="00854553" w:rsidRPr="008B51DF" w:rsidRDefault="00854553" w:rsidP="00854553">
            <w:pPr>
              <w:pStyle w:val="Tabletext"/>
              <w:ind w:left="0" w:right="0"/>
            </w:pPr>
            <w:r w:rsidRPr="008B51DF">
              <w:t>Hepatotoxicity</w:t>
            </w:r>
          </w:p>
        </w:tc>
        <w:tc>
          <w:tcPr>
            <w:tcW w:w="992" w:type="dxa"/>
          </w:tcPr>
          <w:p w14:paraId="2E811038" w14:textId="77777777" w:rsidR="00854553" w:rsidRPr="008B51DF" w:rsidRDefault="00854553" w:rsidP="00854553">
            <w:pPr>
              <w:pStyle w:val="Tabletext"/>
              <w:ind w:left="0" w:right="0"/>
              <w:jc w:val="center"/>
            </w:pPr>
            <w:r w:rsidRPr="008B51DF">
              <w:sym w:font="Wingdings" w:char="F0FC"/>
            </w:r>
          </w:p>
        </w:tc>
        <w:tc>
          <w:tcPr>
            <w:tcW w:w="1134" w:type="dxa"/>
          </w:tcPr>
          <w:p w14:paraId="2857F515" w14:textId="77777777" w:rsidR="00854553" w:rsidRPr="008B51DF" w:rsidRDefault="00854553" w:rsidP="00854553">
            <w:pPr>
              <w:pStyle w:val="Tabletext"/>
              <w:ind w:left="0" w:right="0"/>
              <w:jc w:val="center"/>
            </w:pPr>
            <w:r w:rsidRPr="008B51DF">
              <w:t>–</w:t>
            </w:r>
          </w:p>
        </w:tc>
        <w:tc>
          <w:tcPr>
            <w:tcW w:w="993" w:type="dxa"/>
          </w:tcPr>
          <w:p w14:paraId="5161FE12" w14:textId="77777777" w:rsidR="00854553" w:rsidRPr="008B51DF" w:rsidRDefault="00854553" w:rsidP="00854553">
            <w:pPr>
              <w:pStyle w:val="Tabletext"/>
              <w:ind w:left="0" w:right="0"/>
              <w:jc w:val="center"/>
            </w:pPr>
            <w:r w:rsidRPr="008B51DF">
              <w:sym w:font="Wingdings" w:char="F0FC"/>
            </w:r>
          </w:p>
        </w:tc>
        <w:tc>
          <w:tcPr>
            <w:tcW w:w="1134" w:type="dxa"/>
          </w:tcPr>
          <w:p w14:paraId="375CD168" w14:textId="77777777" w:rsidR="00854553" w:rsidRPr="008B51DF" w:rsidRDefault="00854553" w:rsidP="00854553">
            <w:pPr>
              <w:pStyle w:val="Tabletext"/>
              <w:ind w:left="0" w:right="0"/>
              <w:jc w:val="center"/>
            </w:pPr>
            <w:r w:rsidRPr="008B51DF">
              <w:t>–</w:t>
            </w:r>
          </w:p>
        </w:tc>
      </w:tr>
      <w:tr w:rsidR="00A0395E" w:rsidRPr="008B51DF" w14:paraId="36EE400F" w14:textId="77777777" w:rsidTr="00110935">
        <w:trPr>
          <w:trHeight w:val="122"/>
        </w:trPr>
        <w:tc>
          <w:tcPr>
            <w:tcW w:w="1412" w:type="dxa"/>
            <w:vMerge/>
          </w:tcPr>
          <w:p w14:paraId="16D2F775" w14:textId="77777777" w:rsidR="00854553" w:rsidRPr="008B51DF" w:rsidRDefault="00854553" w:rsidP="00854553">
            <w:pPr>
              <w:pStyle w:val="Tabletext"/>
              <w:ind w:left="0" w:right="0"/>
              <w:rPr>
                <w:b/>
              </w:rPr>
            </w:pPr>
          </w:p>
        </w:tc>
        <w:tc>
          <w:tcPr>
            <w:tcW w:w="2691" w:type="dxa"/>
          </w:tcPr>
          <w:p w14:paraId="366C0CDC" w14:textId="77777777" w:rsidR="00854553" w:rsidRPr="008B51DF" w:rsidRDefault="00854553" w:rsidP="00854553">
            <w:pPr>
              <w:pStyle w:val="Tabletext"/>
              <w:ind w:left="0" w:right="0"/>
            </w:pPr>
            <w:r w:rsidRPr="008B51DF">
              <w:t>Pituitary and related endocrine effects</w:t>
            </w:r>
          </w:p>
        </w:tc>
        <w:tc>
          <w:tcPr>
            <w:tcW w:w="992" w:type="dxa"/>
          </w:tcPr>
          <w:p w14:paraId="6A362717" w14:textId="77777777" w:rsidR="00854553" w:rsidRPr="008B51DF" w:rsidRDefault="00854553" w:rsidP="00854553">
            <w:pPr>
              <w:pStyle w:val="Tabletext"/>
              <w:ind w:left="0" w:right="0"/>
              <w:jc w:val="center"/>
            </w:pPr>
            <w:r w:rsidRPr="008B51DF">
              <w:sym w:font="Wingdings" w:char="F0FC"/>
            </w:r>
          </w:p>
        </w:tc>
        <w:tc>
          <w:tcPr>
            <w:tcW w:w="1134" w:type="dxa"/>
          </w:tcPr>
          <w:p w14:paraId="3A868F06" w14:textId="77777777" w:rsidR="00854553" w:rsidRPr="008B51DF" w:rsidRDefault="00854553" w:rsidP="00854553">
            <w:pPr>
              <w:pStyle w:val="Tabletext"/>
              <w:ind w:left="0" w:right="0"/>
              <w:jc w:val="center"/>
            </w:pPr>
            <w:r w:rsidRPr="008B51DF">
              <w:t>–</w:t>
            </w:r>
          </w:p>
        </w:tc>
        <w:tc>
          <w:tcPr>
            <w:tcW w:w="993" w:type="dxa"/>
          </w:tcPr>
          <w:p w14:paraId="5729A1B6" w14:textId="77777777" w:rsidR="00854553" w:rsidRPr="008B51DF" w:rsidRDefault="00854553" w:rsidP="00854553">
            <w:pPr>
              <w:pStyle w:val="Tabletext"/>
              <w:ind w:left="0" w:right="0"/>
              <w:jc w:val="center"/>
            </w:pPr>
            <w:r w:rsidRPr="008B51DF">
              <w:sym w:font="Wingdings" w:char="F0FC"/>
            </w:r>
          </w:p>
        </w:tc>
        <w:tc>
          <w:tcPr>
            <w:tcW w:w="1134" w:type="dxa"/>
          </w:tcPr>
          <w:p w14:paraId="732D965C" w14:textId="77777777" w:rsidR="00854553" w:rsidRPr="008B51DF" w:rsidRDefault="00854553" w:rsidP="00854553">
            <w:pPr>
              <w:pStyle w:val="Tabletext"/>
              <w:ind w:left="0" w:right="0"/>
              <w:jc w:val="center"/>
            </w:pPr>
            <w:r w:rsidRPr="008B51DF">
              <w:t>–</w:t>
            </w:r>
          </w:p>
        </w:tc>
      </w:tr>
      <w:tr w:rsidR="00A0395E" w:rsidRPr="008B51DF" w14:paraId="3D1EB38C" w14:textId="77777777" w:rsidTr="00110935">
        <w:trPr>
          <w:trHeight w:val="122"/>
        </w:trPr>
        <w:tc>
          <w:tcPr>
            <w:tcW w:w="1412" w:type="dxa"/>
            <w:vMerge/>
          </w:tcPr>
          <w:p w14:paraId="6D1C4402" w14:textId="77777777" w:rsidR="00854553" w:rsidRPr="008B51DF" w:rsidRDefault="00854553" w:rsidP="00854553">
            <w:pPr>
              <w:pStyle w:val="Tabletext"/>
              <w:ind w:left="0" w:right="0"/>
              <w:rPr>
                <w:b/>
              </w:rPr>
            </w:pPr>
          </w:p>
        </w:tc>
        <w:tc>
          <w:tcPr>
            <w:tcW w:w="2691" w:type="dxa"/>
          </w:tcPr>
          <w:p w14:paraId="7069E248" w14:textId="77777777" w:rsidR="00854553" w:rsidRPr="008B51DF" w:rsidRDefault="00854553" w:rsidP="00854553">
            <w:pPr>
              <w:pStyle w:val="Tabletext"/>
              <w:ind w:left="0" w:right="0"/>
            </w:pPr>
            <w:r w:rsidRPr="008B51DF">
              <w:t>Use in elderly</w:t>
            </w:r>
          </w:p>
        </w:tc>
        <w:tc>
          <w:tcPr>
            <w:tcW w:w="992" w:type="dxa"/>
          </w:tcPr>
          <w:p w14:paraId="291AD12E" w14:textId="77777777" w:rsidR="00854553" w:rsidRPr="008B51DF" w:rsidRDefault="00854553" w:rsidP="00854553">
            <w:pPr>
              <w:pStyle w:val="Tabletext"/>
              <w:ind w:left="0" w:right="0"/>
              <w:jc w:val="center"/>
            </w:pPr>
            <w:r w:rsidRPr="008B51DF">
              <w:sym w:font="Wingdings" w:char="F0FC"/>
            </w:r>
          </w:p>
        </w:tc>
        <w:tc>
          <w:tcPr>
            <w:tcW w:w="1134" w:type="dxa"/>
          </w:tcPr>
          <w:p w14:paraId="04D79048" w14:textId="77777777" w:rsidR="00854553" w:rsidRPr="008B51DF" w:rsidRDefault="00854553" w:rsidP="00854553">
            <w:pPr>
              <w:pStyle w:val="Tabletext"/>
              <w:ind w:left="0" w:right="0"/>
              <w:jc w:val="center"/>
            </w:pPr>
            <w:r w:rsidRPr="008B51DF">
              <w:t>–</w:t>
            </w:r>
          </w:p>
        </w:tc>
        <w:tc>
          <w:tcPr>
            <w:tcW w:w="993" w:type="dxa"/>
          </w:tcPr>
          <w:p w14:paraId="5CC6C0F8" w14:textId="77777777" w:rsidR="00854553" w:rsidRPr="008B51DF" w:rsidRDefault="00854553" w:rsidP="00854553">
            <w:pPr>
              <w:pStyle w:val="Tabletext"/>
              <w:ind w:left="0" w:right="0"/>
              <w:jc w:val="center"/>
            </w:pPr>
            <w:r w:rsidRPr="008B51DF">
              <w:sym w:font="Wingdings" w:char="F0FC"/>
            </w:r>
          </w:p>
        </w:tc>
        <w:tc>
          <w:tcPr>
            <w:tcW w:w="1134" w:type="dxa"/>
          </w:tcPr>
          <w:p w14:paraId="4FE5C761" w14:textId="77777777" w:rsidR="00854553" w:rsidRPr="008B51DF" w:rsidRDefault="00854553" w:rsidP="00854553">
            <w:pPr>
              <w:pStyle w:val="Tabletext"/>
              <w:ind w:left="0" w:right="0"/>
              <w:jc w:val="center"/>
            </w:pPr>
            <w:r w:rsidRPr="008B51DF">
              <w:t>–</w:t>
            </w:r>
          </w:p>
        </w:tc>
      </w:tr>
      <w:tr w:rsidR="00A0395E" w:rsidRPr="008B51DF" w14:paraId="7AA7D04D" w14:textId="77777777" w:rsidTr="00110935">
        <w:trPr>
          <w:trHeight w:val="112"/>
        </w:trPr>
        <w:tc>
          <w:tcPr>
            <w:tcW w:w="1412" w:type="dxa"/>
            <w:vMerge/>
          </w:tcPr>
          <w:p w14:paraId="5DDADD7F" w14:textId="77777777" w:rsidR="00854553" w:rsidRPr="008B51DF" w:rsidRDefault="00854553" w:rsidP="00854553">
            <w:pPr>
              <w:pStyle w:val="Tabletext"/>
              <w:ind w:left="0" w:right="0"/>
              <w:rPr>
                <w:b/>
              </w:rPr>
            </w:pPr>
          </w:p>
        </w:tc>
        <w:tc>
          <w:tcPr>
            <w:tcW w:w="2691" w:type="dxa"/>
          </w:tcPr>
          <w:p w14:paraId="30703099" w14:textId="77777777" w:rsidR="00854553" w:rsidRPr="008B51DF" w:rsidRDefault="00854553" w:rsidP="00854553">
            <w:pPr>
              <w:pStyle w:val="Tabletext"/>
              <w:ind w:left="0" w:right="0"/>
            </w:pPr>
            <w:r w:rsidRPr="008B51DF">
              <w:t>Hypocalcaemia</w:t>
            </w:r>
          </w:p>
        </w:tc>
        <w:tc>
          <w:tcPr>
            <w:tcW w:w="992" w:type="dxa"/>
          </w:tcPr>
          <w:p w14:paraId="5B0520CB" w14:textId="77777777" w:rsidR="00854553" w:rsidRPr="008B51DF" w:rsidRDefault="00854553" w:rsidP="00854553">
            <w:pPr>
              <w:pStyle w:val="Tabletext"/>
              <w:ind w:left="0" w:right="0"/>
              <w:jc w:val="center"/>
            </w:pPr>
            <w:r w:rsidRPr="008B51DF">
              <w:sym w:font="Wingdings" w:char="F0FC"/>
            </w:r>
          </w:p>
        </w:tc>
        <w:tc>
          <w:tcPr>
            <w:tcW w:w="1134" w:type="dxa"/>
          </w:tcPr>
          <w:p w14:paraId="6EC7E2F6" w14:textId="77777777" w:rsidR="00854553" w:rsidRPr="008B51DF" w:rsidRDefault="00854553" w:rsidP="00854553">
            <w:pPr>
              <w:pStyle w:val="Tabletext"/>
              <w:ind w:left="0" w:right="0"/>
              <w:jc w:val="center"/>
            </w:pPr>
            <w:r w:rsidRPr="008B51DF">
              <w:t>–</w:t>
            </w:r>
          </w:p>
        </w:tc>
        <w:tc>
          <w:tcPr>
            <w:tcW w:w="993" w:type="dxa"/>
          </w:tcPr>
          <w:p w14:paraId="055AE1B2" w14:textId="77777777" w:rsidR="00854553" w:rsidRPr="008B51DF" w:rsidRDefault="00854553" w:rsidP="00854553">
            <w:pPr>
              <w:pStyle w:val="Tabletext"/>
              <w:ind w:left="0" w:right="0"/>
              <w:jc w:val="center"/>
            </w:pPr>
            <w:r w:rsidRPr="008B51DF">
              <w:sym w:font="Wingdings" w:char="F0FC"/>
            </w:r>
          </w:p>
        </w:tc>
        <w:tc>
          <w:tcPr>
            <w:tcW w:w="1134" w:type="dxa"/>
          </w:tcPr>
          <w:p w14:paraId="0A91138D" w14:textId="77777777" w:rsidR="00854553" w:rsidRPr="008B51DF" w:rsidRDefault="00854553" w:rsidP="00854553">
            <w:pPr>
              <w:pStyle w:val="Tabletext"/>
              <w:ind w:left="0" w:right="0"/>
              <w:jc w:val="center"/>
            </w:pPr>
            <w:r w:rsidRPr="008B51DF">
              <w:t>–</w:t>
            </w:r>
          </w:p>
        </w:tc>
      </w:tr>
      <w:tr w:rsidR="00A0395E" w:rsidRPr="008B51DF" w14:paraId="1B5BD4DA" w14:textId="77777777" w:rsidTr="00110935">
        <w:trPr>
          <w:trHeight w:val="178"/>
        </w:trPr>
        <w:tc>
          <w:tcPr>
            <w:tcW w:w="1412" w:type="dxa"/>
            <w:vMerge w:val="restart"/>
          </w:tcPr>
          <w:p w14:paraId="12EF1023" w14:textId="77777777" w:rsidR="00854553" w:rsidRPr="008B51DF" w:rsidRDefault="00854553" w:rsidP="00854553">
            <w:pPr>
              <w:pStyle w:val="Tabletext"/>
              <w:ind w:left="0" w:right="0"/>
              <w:rPr>
                <w:b/>
              </w:rPr>
            </w:pPr>
            <w:r w:rsidRPr="008B51DF">
              <w:rPr>
                <w:b/>
              </w:rPr>
              <w:t>Missing information</w:t>
            </w:r>
          </w:p>
        </w:tc>
        <w:tc>
          <w:tcPr>
            <w:tcW w:w="2691" w:type="dxa"/>
          </w:tcPr>
          <w:p w14:paraId="784AD36C" w14:textId="77777777" w:rsidR="00854553" w:rsidRPr="008B51DF" w:rsidRDefault="00854553" w:rsidP="00854553">
            <w:pPr>
              <w:pStyle w:val="Tabletext"/>
              <w:ind w:left="0" w:right="0"/>
            </w:pPr>
            <w:r w:rsidRPr="008B51DF">
              <w:t>Use in lactation</w:t>
            </w:r>
          </w:p>
        </w:tc>
        <w:tc>
          <w:tcPr>
            <w:tcW w:w="992" w:type="dxa"/>
          </w:tcPr>
          <w:p w14:paraId="699DC5BA" w14:textId="77777777" w:rsidR="00854553" w:rsidRPr="008B51DF" w:rsidRDefault="00854553" w:rsidP="00854553">
            <w:pPr>
              <w:pStyle w:val="Tabletext"/>
              <w:ind w:left="0" w:right="0"/>
              <w:jc w:val="center"/>
            </w:pPr>
            <w:r w:rsidRPr="008B51DF">
              <w:sym w:font="Wingdings" w:char="F0FC"/>
            </w:r>
          </w:p>
        </w:tc>
        <w:tc>
          <w:tcPr>
            <w:tcW w:w="1134" w:type="dxa"/>
          </w:tcPr>
          <w:p w14:paraId="64B75532" w14:textId="77777777" w:rsidR="00854553" w:rsidRPr="008B51DF" w:rsidRDefault="00854553" w:rsidP="00854553">
            <w:pPr>
              <w:pStyle w:val="Tabletext"/>
              <w:ind w:left="0" w:right="0"/>
              <w:jc w:val="center"/>
            </w:pPr>
            <w:r w:rsidRPr="008B51DF">
              <w:t>–</w:t>
            </w:r>
          </w:p>
        </w:tc>
        <w:tc>
          <w:tcPr>
            <w:tcW w:w="993" w:type="dxa"/>
          </w:tcPr>
          <w:p w14:paraId="684C5D31" w14:textId="77777777" w:rsidR="00854553" w:rsidRPr="008B51DF" w:rsidRDefault="00854553" w:rsidP="00854553">
            <w:pPr>
              <w:pStyle w:val="Tabletext"/>
              <w:ind w:left="0" w:right="0"/>
              <w:jc w:val="center"/>
            </w:pPr>
            <w:r w:rsidRPr="008B51DF">
              <w:sym w:font="Wingdings" w:char="F0FC"/>
            </w:r>
          </w:p>
        </w:tc>
        <w:tc>
          <w:tcPr>
            <w:tcW w:w="1134" w:type="dxa"/>
          </w:tcPr>
          <w:p w14:paraId="54A00E92" w14:textId="77777777" w:rsidR="00854553" w:rsidRPr="008B51DF" w:rsidRDefault="00854553" w:rsidP="00854553">
            <w:pPr>
              <w:pStyle w:val="Tabletext"/>
              <w:ind w:left="0" w:right="0"/>
              <w:jc w:val="center"/>
            </w:pPr>
            <w:r w:rsidRPr="008B51DF">
              <w:t>–</w:t>
            </w:r>
          </w:p>
        </w:tc>
      </w:tr>
      <w:tr w:rsidR="00A0395E" w:rsidRPr="008B51DF" w14:paraId="71AF6BA8" w14:textId="77777777" w:rsidTr="00110935">
        <w:trPr>
          <w:trHeight w:val="103"/>
        </w:trPr>
        <w:tc>
          <w:tcPr>
            <w:tcW w:w="1412" w:type="dxa"/>
            <w:vMerge/>
          </w:tcPr>
          <w:p w14:paraId="2D01728F" w14:textId="77777777" w:rsidR="00854553" w:rsidRPr="008B51DF" w:rsidRDefault="00854553" w:rsidP="00854553">
            <w:pPr>
              <w:pStyle w:val="Tabletext"/>
              <w:ind w:left="0" w:right="0"/>
            </w:pPr>
          </w:p>
        </w:tc>
        <w:tc>
          <w:tcPr>
            <w:tcW w:w="2691" w:type="dxa"/>
          </w:tcPr>
          <w:p w14:paraId="2B9496BE" w14:textId="77777777" w:rsidR="00854553" w:rsidRPr="008B51DF" w:rsidRDefault="00854553" w:rsidP="00854553">
            <w:pPr>
              <w:pStyle w:val="Tabletext"/>
              <w:ind w:left="0" w:right="0"/>
            </w:pPr>
            <w:r w:rsidRPr="008B51DF">
              <w:t>Use in children</w:t>
            </w:r>
          </w:p>
        </w:tc>
        <w:tc>
          <w:tcPr>
            <w:tcW w:w="992" w:type="dxa"/>
          </w:tcPr>
          <w:p w14:paraId="7E67B2BD" w14:textId="77777777" w:rsidR="00854553" w:rsidRPr="008B51DF" w:rsidRDefault="00854553" w:rsidP="00854553">
            <w:pPr>
              <w:pStyle w:val="Tabletext"/>
              <w:ind w:left="0" w:right="0"/>
              <w:jc w:val="center"/>
            </w:pPr>
            <w:r w:rsidRPr="008B51DF">
              <w:sym w:font="Wingdings" w:char="F0FC"/>
            </w:r>
          </w:p>
        </w:tc>
        <w:tc>
          <w:tcPr>
            <w:tcW w:w="1134" w:type="dxa"/>
          </w:tcPr>
          <w:p w14:paraId="6B40F3F2" w14:textId="77777777" w:rsidR="00854553" w:rsidRPr="008B51DF" w:rsidRDefault="00854553" w:rsidP="00854553">
            <w:pPr>
              <w:pStyle w:val="Tabletext"/>
              <w:ind w:left="0" w:right="0"/>
              <w:jc w:val="center"/>
            </w:pPr>
            <w:r w:rsidRPr="008B51DF">
              <w:t>–</w:t>
            </w:r>
          </w:p>
        </w:tc>
        <w:tc>
          <w:tcPr>
            <w:tcW w:w="993" w:type="dxa"/>
          </w:tcPr>
          <w:p w14:paraId="35DB6B59" w14:textId="77777777" w:rsidR="00854553" w:rsidRPr="008B51DF" w:rsidRDefault="00854553" w:rsidP="00854553">
            <w:pPr>
              <w:pStyle w:val="Tabletext"/>
              <w:ind w:left="0" w:right="0"/>
              <w:jc w:val="center"/>
            </w:pPr>
            <w:r w:rsidRPr="008B51DF">
              <w:sym w:font="Wingdings" w:char="F0FC"/>
            </w:r>
          </w:p>
        </w:tc>
        <w:tc>
          <w:tcPr>
            <w:tcW w:w="1134" w:type="dxa"/>
          </w:tcPr>
          <w:p w14:paraId="3DB2067B" w14:textId="77777777" w:rsidR="00854553" w:rsidRPr="008B51DF" w:rsidRDefault="00854553" w:rsidP="00854553">
            <w:pPr>
              <w:pStyle w:val="Tabletext"/>
              <w:ind w:left="0" w:right="0"/>
              <w:jc w:val="center"/>
            </w:pPr>
            <w:r w:rsidRPr="008B51DF">
              <w:t>–</w:t>
            </w:r>
          </w:p>
        </w:tc>
      </w:tr>
    </w:tbl>
    <w:p w14:paraId="39319004" w14:textId="05E3CC23" w:rsidR="00854553" w:rsidRPr="008B51DF" w:rsidRDefault="00854553" w:rsidP="00A0395E">
      <w:pPr>
        <w:pStyle w:val="ListBullet"/>
      </w:pPr>
      <w:r w:rsidRPr="008B51DF">
        <w:t xml:space="preserve">The summary of safety concerns includes </w:t>
      </w:r>
      <w:r w:rsidR="00110935" w:rsidRPr="008B51DF">
        <w:t>‘u</w:t>
      </w:r>
      <w:r w:rsidRPr="008B51DF">
        <w:t>se in pregnancy</w:t>
      </w:r>
      <w:r w:rsidR="00110935" w:rsidRPr="008B51DF">
        <w:t>’</w:t>
      </w:r>
      <w:r w:rsidRPr="008B51DF">
        <w:t xml:space="preserve"> as an </w:t>
      </w:r>
      <w:r w:rsidR="00110935" w:rsidRPr="008B51DF">
        <w:t xml:space="preserve">important identified risk due to </w:t>
      </w:r>
      <w:r w:rsidRPr="008B51DF">
        <w:t xml:space="preserve">its </w:t>
      </w:r>
      <w:r w:rsidR="00110935" w:rsidRPr="008B51DF">
        <w:t xml:space="preserve">Pregnancy Category </w:t>
      </w:r>
      <w:r w:rsidRPr="008B51DF">
        <w:t>X classification.</w:t>
      </w:r>
      <w:r w:rsidR="002C036A" w:rsidRPr="008B51DF">
        <w:rPr>
          <w:vertAlign w:val="superscript"/>
        </w:rPr>
        <w:fldChar w:fldCharType="begin"/>
      </w:r>
      <w:r w:rsidR="002C036A" w:rsidRPr="008B51DF">
        <w:rPr>
          <w:vertAlign w:val="superscript"/>
        </w:rPr>
        <w:instrText xml:space="preserve"> NOTEREF _Ref111114757 \h  \* MERGEFORMAT </w:instrText>
      </w:r>
      <w:r w:rsidR="002C036A" w:rsidRPr="008B51DF">
        <w:rPr>
          <w:vertAlign w:val="superscript"/>
        </w:rPr>
      </w:r>
      <w:r w:rsidR="002C036A" w:rsidRPr="008B51DF">
        <w:rPr>
          <w:vertAlign w:val="superscript"/>
        </w:rPr>
        <w:fldChar w:fldCharType="separate"/>
      </w:r>
      <w:r w:rsidR="008B51DF">
        <w:rPr>
          <w:vertAlign w:val="superscript"/>
        </w:rPr>
        <w:t>6</w:t>
      </w:r>
      <w:r w:rsidR="002C036A" w:rsidRPr="008B51DF">
        <w:rPr>
          <w:vertAlign w:val="superscript"/>
        </w:rPr>
        <w:fldChar w:fldCharType="end"/>
      </w:r>
      <w:r w:rsidRPr="008B51DF">
        <w:t xml:space="preserve"> The safety concerns are acceptable.</w:t>
      </w:r>
    </w:p>
    <w:p w14:paraId="3D6EAEC3" w14:textId="74C83606" w:rsidR="00854553" w:rsidRPr="008B51DF" w:rsidRDefault="00854553" w:rsidP="00A0395E">
      <w:pPr>
        <w:pStyle w:val="ListBullet"/>
      </w:pPr>
      <w:r w:rsidRPr="008B51DF">
        <w:t>Routine pharmacovigilance activities only are proposed which is acceptable given that the submission is literature</w:t>
      </w:r>
      <w:r w:rsidR="00BC6C7B" w:rsidRPr="008B51DF">
        <w:t>-</w:t>
      </w:r>
      <w:r w:rsidRPr="008B51DF">
        <w:t>based.</w:t>
      </w:r>
    </w:p>
    <w:p w14:paraId="37F5B03F" w14:textId="40D56FB9" w:rsidR="00854553" w:rsidRPr="008B51DF" w:rsidRDefault="00854553" w:rsidP="00A0395E">
      <w:pPr>
        <w:pStyle w:val="ListBullet"/>
      </w:pPr>
      <w:r w:rsidRPr="008B51DF">
        <w:t>Routine risk minimisation activities only have been proposed which is acceptable as the medicine will only be administered by specialists in nuclear medicine.</w:t>
      </w:r>
    </w:p>
    <w:p w14:paraId="606B7550" w14:textId="77777777" w:rsidR="008E7846" w:rsidRPr="008B51DF" w:rsidRDefault="00AA0ED0" w:rsidP="008E7846">
      <w:pPr>
        <w:pStyle w:val="Heading3"/>
      </w:pPr>
      <w:bookmarkStart w:id="54" w:name="_Toc114238833"/>
      <w:r w:rsidRPr="008B51DF">
        <w:t>Risk-benefit a</w:t>
      </w:r>
      <w:r w:rsidR="008E7846" w:rsidRPr="008B51DF">
        <w:t>nalysis</w:t>
      </w:r>
      <w:bookmarkEnd w:id="49"/>
      <w:bookmarkEnd w:id="50"/>
      <w:bookmarkEnd w:id="54"/>
    </w:p>
    <w:p w14:paraId="1580561B" w14:textId="77777777" w:rsidR="0074163C" w:rsidRPr="008B51DF" w:rsidRDefault="0074163C" w:rsidP="0074163C">
      <w:pPr>
        <w:pStyle w:val="Heading4"/>
      </w:pPr>
      <w:bookmarkStart w:id="55" w:name="_Toc98931932"/>
      <w:r w:rsidRPr="008B51DF">
        <w:t>Delegate’s considerations</w:t>
      </w:r>
      <w:bookmarkEnd w:id="55"/>
    </w:p>
    <w:p w14:paraId="10796BEA" w14:textId="4B146D12" w:rsidR="00A0395E" w:rsidRPr="008B51DF" w:rsidRDefault="002C036A" w:rsidP="00A0395E">
      <w:r w:rsidRPr="008B51DF">
        <w:t xml:space="preserve">Lutetium </w:t>
      </w:r>
      <w:r w:rsidR="00BC6C7B" w:rsidRPr="008B51DF">
        <w:t>(</w:t>
      </w:r>
      <w:r w:rsidRPr="008B51DF">
        <w:rPr>
          <w:vertAlign w:val="superscript"/>
        </w:rPr>
        <w:t>177</w:t>
      </w:r>
      <w:r w:rsidRPr="008B51DF">
        <w:t>Lu</w:t>
      </w:r>
      <w:r w:rsidR="00BC6C7B" w:rsidRPr="008B51DF">
        <w:t>)</w:t>
      </w:r>
      <w:r w:rsidRPr="008B51DF">
        <w:t>-DOTATATE (that is, l</w:t>
      </w:r>
      <w:r w:rsidR="00A0395E" w:rsidRPr="008B51DF">
        <w:t>utetium (</w:t>
      </w:r>
      <w:r w:rsidR="00654E6D" w:rsidRPr="008B51DF">
        <w:rPr>
          <w:vertAlign w:val="superscript"/>
        </w:rPr>
        <w:t>177</w:t>
      </w:r>
      <w:r w:rsidR="00654E6D" w:rsidRPr="008B51DF">
        <w:t>Lu</w:t>
      </w:r>
      <w:r w:rsidR="00A0395E" w:rsidRPr="008B51DF">
        <w:t>) combined with octreotate</w:t>
      </w:r>
      <w:r w:rsidRPr="008B51DF">
        <w:t>)</w:t>
      </w:r>
      <w:r w:rsidR="00A0395E" w:rsidRPr="008B51DF">
        <w:t xml:space="preserve"> is currently widely used by major public hospitals for the treatment of neuroendocrine cancers.</w:t>
      </w:r>
    </w:p>
    <w:p w14:paraId="1D2DBADD" w14:textId="77777777" w:rsidR="00A0395E" w:rsidRPr="008B51DF" w:rsidRDefault="00A0395E" w:rsidP="00A0395E">
      <w:r w:rsidRPr="008B51DF">
        <w:t>The use of lutetium for this purpose is well supported by the literature.</w:t>
      </w:r>
    </w:p>
    <w:p w14:paraId="7E66755E" w14:textId="01280240" w:rsidR="00A0395E" w:rsidRPr="008B51DF" w:rsidRDefault="00A0395E" w:rsidP="00A0395E">
      <w:r w:rsidRPr="008B51DF">
        <w:t xml:space="preserve">The addition of </w:t>
      </w:r>
      <w:r w:rsidR="002C036A" w:rsidRPr="008B51DF">
        <w:t>l</w:t>
      </w:r>
      <w:r w:rsidRPr="008B51DF">
        <w:t>utetium (</w:t>
      </w:r>
      <w:r w:rsidR="00654E6D" w:rsidRPr="008B51DF">
        <w:rPr>
          <w:vertAlign w:val="superscript"/>
        </w:rPr>
        <w:t>177</w:t>
      </w:r>
      <w:r w:rsidR="00654E6D" w:rsidRPr="008B51DF">
        <w:t>Lu</w:t>
      </w:r>
      <w:r w:rsidRPr="008B51DF">
        <w:t xml:space="preserve">) on the </w:t>
      </w:r>
      <w:r w:rsidR="00BC137F" w:rsidRPr="008B51DF">
        <w:t>Australian Register of Therapeutic Goods (</w:t>
      </w:r>
      <w:r w:rsidRPr="008B51DF">
        <w:t>ARTG</w:t>
      </w:r>
      <w:r w:rsidR="00BC137F" w:rsidRPr="008B51DF">
        <w:t>)</w:t>
      </w:r>
      <w:r w:rsidRPr="008B51DF">
        <w:t xml:space="preserve"> is advantageous over its use under the SAS system as it ensures more tightly controlled systems in place to ensure the product is manufactured accordingly.</w:t>
      </w:r>
    </w:p>
    <w:p w14:paraId="3A3E2EDF" w14:textId="77777777" w:rsidR="0074163C" w:rsidRPr="008B51DF" w:rsidRDefault="0074163C" w:rsidP="0074163C">
      <w:pPr>
        <w:pStyle w:val="Heading4"/>
      </w:pPr>
      <w:bookmarkStart w:id="56" w:name="_Toc98931933"/>
      <w:r w:rsidRPr="008B51DF">
        <w:t>Proposed action</w:t>
      </w:r>
      <w:bookmarkEnd w:id="56"/>
    </w:p>
    <w:p w14:paraId="2212A6BD" w14:textId="767072E2" w:rsidR="00A0395E" w:rsidRPr="008B51DF" w:rsidRDefault="00A0395E" w:rsidP="00A0395E">
      <w:r w:rsidRPr="008B51DF">
        <w:t xml:space="preserve">In </w:t>
      </w:r>
      <w:r w:rsidR="00164484" w:rsidRPr="008B51DF">
        <w:t>principle</w:t>
      </w:r>
      <w:r w:rsidR="00110935" w:rsidRPr="008B51DF">
        <w:t>, the Delegate is</w:t>
      </w:r>
      <w:r w:rsidRPr="008B51DF">
        <w:t xml:space="preserve"> supportive of this application to register </w:t>
      </w:r>
      <w:r w:rsidR="00A90F28" w:rsidRPr="008B51DF">
        <w:t>l</w:t>
      </w:r>
      <w:r w:rsidRPr="008B51DF">
        <w:t>utetium</w:t>
      </w:r>
      <w:r w:rsidR="00A90F28" w:rsidRPr="008B51DF">
        <w:t xml:space="preserve"> (</w:t>
      </w:r>
      <w:r w:rsidR="00A90F28" w:rsidRPr="008B51DF">
        <w:rPr>
          <w:vertAlign w:val="superscript"/>
        </w:rPr>
        <w:t>177</w:t>
      </w:r>
      <w:r w:rsidR="00A90F28" w:rsidRPr="008B51DF">
        <w:t>Lu) chloride</w:t>
      </w:r>
      <w:r w:rsidRPr="008B51DF">
        <w:t xml:space="preserve"> on the ARTG.</w:t>
      </w:r>
    </w:p>
    <w:p w14:paraId="4AC8B24D" w14:textId="77777777" w:rsidR="0074163C" w:rsidRPr="008B51DF" w:rsidRDefault="0074163C" w:rsidP="0074163C">
      <w:pPr>
        <w:pStyle w:val="Heading4"/>
      </w:pPr>
      <w:bookmarkStart w:id="57" w:name="_Toc98931934"/>
      <w:r w:rsidRPr="008B51DF">
        <w:t>Questions for the sponsor</w:t>
      </w:r>
      <w:bookmarkEnd w:id="57"/>
    </w:p>
    <w:p w14:paraId="106D1E00" w14:textId="77777777" w:rsidR="0074163C" w:rsidRPr="008B51DF" w:rsidRDefault="0074163C" w:rsidP="0074163C">
      <w:r w:rsidRPr="008B51DF">
        <w:t>The sponsor provided the following response to questions from the Delegate.</w:t>
      </w:r>
    </w:p>
    <w:p w14:paraId="162CA408" w14:textId="6F81A445" w:rsidR="00A0395E" w:rsidRPr="008B51DF" w:rsidRDefault="00A0395E" w:rsidP="00A0395E">
      <w:pPr>
        <w:pStyle w:val="Numberbullet0"/>
        <w:rPr>
          <w:b/>
          <w:bCs/>
          <w:i/>
          <w:iCs/>
        </w:rPr>
      </w:pPr>
      <w:r w:rsidRPr="008B51DF">
        <w:rPr>
          <w:b/>
          <w:bCs/>
          <w:i/>
          <w:iCs/>
        </w:rPr>
        <w:t>Is the sponsor planning to apply for funding through</w:t>
      </w:r>
      <w:r w:rsidR="00A6750A" w:rsidRPr="008B51DF">
        <w:rPr>
          <w:b/>
          <w:bCs/>
          <w:i/>
          <w:iCs/>
        </w:rPr>
        <w:t xml:space="preserve"> the</w:t>
      </w:r>
      <w:r w:rsidRPr="008B51DF">
        <w:rPr>
          <w:b/>
          <w:bCs/>
          <w:i/>
          <w:iCs/>
        </w:rPr>
        <w:t xml:space="preserve"> </w:t>
      </w:r>
      <w:r w:rsidR="00A6750A" w:rsidRPr="008B51DF">
        <w:rPr>
          <w:b/>
          <w:bCs/>
          <w:i/>
          <w:iCs/>
        </w:rPr>
        <w:t>Medical Services Advisory Committee (</w:t>
      </w:r>
      <w:r w:rsidRPr="008B51DF">
        <w:rPr>
          <w:b/>
          <w:bCs/>
          <w:i/>
          <w:iCs/>
        </w:rPr>
        <w:t>MSAC</w:t>
      </w:r>
      <w:r w:rsidR="00A6750A" w:rsidRPr="008B51DF">
        <w:rPr>
          <w:b/>
          <w:bCs/>
          <w:i/>
          <w:iCs/>
        </w:rPr>
        <w:t>)</w:t>
      </w:r>
      <w:r w:rsidRPr="008B51DF">
        <w:rPr>
          <w:b/>
          <w:bCs/>
          <w:i/>
          <w:iCs/>
        </w:rPr>
        <w:t xml:space="preserve"> or </w:t>
      </w:r>
      <w:r w:rsidR="00A6750A" w:rsidRPr="008B51DF">
        <w:rPr>
          <w:b/>
          <w:bCs/>
          <w:i/>
          <w:iCs/>
        </w:rPr>
        <w:t>Pharmaceutical Benefits Advisory Committee (</w:t>
      </w:r>
      <w:r w:rsidRPr="008B51DF">
        <w:rPr>
          <w:b/>
          <w:bCs/>
          <w:i/>
          <w:iCs/>
        </w:rPr>
        <w:t>PBAC</w:t>
      </w:r>
      <w:r w:rsidR="00A6750A" w:rsidRPr="008B51DF">
        <w:rPr>
          <w:b/>
          <w:bCs/>
          <w:i/>
          <w:iCs/>
        </w:rPr>
        <w:t>)</w:t>
      </w:r>
      <w:r w:rsidRPr="008B51DF">
        <w:rPr>
          <w:b/>
          <w:bCs/>
          <w:i/>
          <w:iCs/>
        </w:rPr>
        <w:t>?</w:t>
      </w:r>
    </w:p>
    <w:p w14:paraId="192E4DCD" w14:textId="1C381B7D" w:rsidR="00A0395E" w:rsidRPr="008B51DF" w:rsidRDefault="00A0395E" w:rsidP="00A0395E">
      <w:r w:rsidRPr="008B51DF">
        <w:t>The sponsor and/or affiliate company plan to apply for funding through MSAC within the next 12 months.</w:t>
      </w:r>
    </w:p>
    <w:p w14:paraId="499D84A6" w14:textId="386B9BF3" w:rsidR="00A0395E" w:rsidRPr="008B51DF" w:rsidRDefault="00A0395E" w:rsidP="00A0395E">
      <w:pPr>
        <w:pStyle w:val="Numberbullet0"/>
        <w:rPr>
          <w:b/>
          <w:bCs/>
          <w:i/>
          <w:iCs/>
        </w:rPr>
      </w:pPr>
      <w:r w:rsidRPr="008B51DF">
        <w:rPr>
          <w:b/>
          <w:bCs/>
          <w:i/>
          <w:iCs/>
        </w:rPr>
        <w:t xml:space="preserve">How are patients assessed to determine if their tumours express </w:t>
      </w:r>
      <w:r w:rsidR="00BC137F" w:rsidRPr="008B51DF">
        <w:rPr>
          <w:b/>
          <w:bCs/>
          <w:i/>
          <w:iCs/>
        </w:rPr>
        <w:t>somatostatin type</w:t>
      </w:r>
      <w:r w:rsidR="007A4C6F" w:rsidRPr="008B51DF">
        <w:rPr>
          <w:b/>
          <w:bCs/>
          <w:i/>
          <w:iCs/>
        </w:rPr>
        <w:t> </w:t>
      </w:r>
      <w:r w:rsidR="00BC137F" w:rsidRPr="008B51DF">
        <w:rPr>
          <w:b/>
          <w:bCs/>
          <w:i/>
          <w:iCs/>
        </w:rPr>
        <w:t xml:space="preserve">2 </w:t>
      </w:r>
      <w:r w:rsidR="007A4C6F" w:rsidRPr="008B51DF">
        <w:rPr>
          <w:b/>
          <w:bCs/>
          <w:i/>
          <w:iCs/>
        </w:rPr>
        <w:t xml:space="preserve">receptor </w:t>
      </w:r>
      <w:r w:rsidR="00BC137F" w:rsidRPr="008B51DF">
        <w:rPr>
          <w:b/>
          <w:bCs/>
          <w:i/>
          <w:iCs/>
        </w:rPr>
        <w:t>(</w:t>
      </w:r>
      <w:r w:rsidRPr="008B51DF">
        <w:rPr>
          <w:b/>
          <w:bCs/>
          <w:i/>
          <w:iCs/>
        </w:rPr>
        <w:t>SS</w:t>
      </w:r>
      <w:r w:rsidR="00E77AEB" w:rsidRPr="008B51DF">
        <w:rPr>
          <w:b/>
          <w:bCs/>
          <w:i/>
          <w:iCs/>
        </w:rPr>
        <w:t>TR</w:t>
      </w:r>
      <w:r w:rsidRPr="008B51DF">
        <w:rPr>
          <w:b/>
          <w:bCs/>
          <w:i/>
          <w:iCs/>
        </w:rPr>
        <w:t>2</w:t>
      </w:r>
      <w:r w:rsidR="00BC137F" w:rsidRPr="008B51DF">
        <w:rPr>
          <w:b/>
          <w:bCs/>
          <w:i/>
          <w:iCs/>
        </w:rPr>
        <w:t>)</w:t>
      </w:r>
      <w:r w:rsidRPr="008B51DF">
        <w:rPr>
          <w:b/>
          <w:bCs/>
          <w:i/>
          <w:iCs/>
        </w:rPr>
        <w:t>? Is having the presence of SS</w:t>
      </w:r>
      <w:r w:rsidR="00E77AEB" w:rsidRPr="008B51DF">
        <w:rPr>
          <w:b/>
          <w:bCs/>
          <w:i/>
          <w:iCs/>
        </w:rPr>
        <w:t>T</w:t>
      </w:r>
      <w:r w:rsidRPr="008B51DF">
        <w:rPr>
          <w:b/>
          <w:bCs/>
          <w:i/>
          <w:iCs/>
        </w:rPr>
        <w:t>R</w:t>
      </w:r>
      <w:r w:rsidR="00E77AEB" w:rsidRPr="008B51DF">
        <w:rPr>
          <w:b/>
          <w:bCs/>
          <w:i/>
          <w:iCs/>
        </w:rPr>
        <w:t>2</w:t>
      </w:r>
      <w:r w:rsidRPr="008B51DF">
        <w:rPr>
          <w:b/>
          <w:bCs/>
          <w:i/>
          <w:iCs/>
        </w:rPr>
        <w:t xml:space="preserve"> an absolute requirement for treatment?</w:t>
      </w:r>
    </w:p>
    <w:p w14:paraId="37E60E1A" w14:textId="1B4447C1" w:rsidR="00A0395E" w:rsidRPr="008B51DF" w:rsidRDefault="00A0395E" w:rsidP="00A0395E">
      <w:pPr>
        <w:pStyle w:val="ListBullet"/>
      </w:pPr>
      <w:r w:rsidRPr="008B51DF">
        <w:lastRenderedPageBreak/>
        <w:t xml:space="preserve">Patients are assessed through a </w:t>
      </w:r>
      <w:r w:rsidR="00110935" w:rsidRPr="008B51DF">
        <w:t>gallium</w:t>
      </w:r>
      <w:r w:rsidRPr="008B51DF">
        <w:t>-68</w:t>
      </w:r>
      <w:r w:rsidR="009303BF" w:rsidRPr="008B51DF">
        <w:t xml:space="preserve"> (</w:t>
      </w:r>
      <w:r w:rsidR="009303BF" w:rsidRPr="008B51DF">
        <w:rPr>
          <w:vertAlign w:val="superscript"/>
        </w:rPr>
        <w:t>68</w:t>
      </w:r>
      <w:r w:rsidR="009303BF" w:rsidRPr="008B51DF">
        <w:t>Ga)</w:t>
      </w:r>
      <w:r w:rsidRPr="008B51DF">
        <w:t xml:space="preserve"> </w:t>
      </w:r>
      <w:r w:rsidR="00110935" w:rsidRPr="008B51DF">
        <w:t xml:space="preserve">positron emission tomography </w:t>
      </w:r>
      <w:r w:rsidRPr="008B51DF">
        <w:t>scan to see if they have</w:t>
      </w:r>
      <w:r w:rsidR="00BC137F" w:rsidRPr="008B51DF">
        <w:t xml:space="preserve"> somatostatin</w:t>
      </w:r>
      <w:r w:rsidR="002C036A" w:rsidRPr="008B51DF">
        <w:t xml:space="preserve"> receptors</w:t>
      </w:r>
      <w:r w:rsidR="00BC137F" w:rsidRPr="008B51DF">
        <w:t xml:space="preserve"> (</w:t>
      </w:r>
      <w:r w:rsidRPr="008B51DF">
        <w:t>SS</w:t>
      </w:r>
      <w:r w:rsidR="00E77AEB" w:rsidRPr="008B51DF">
        <w:t>T</w:t>
      </w:r>
      <w:r w:rsidRPr="008B51DF">
        <w:t>R</w:t>
      </w:r>
      <w:r w:rsidR="00E77AEB" w:rsidRPr="008B51DF">
        <w:t>s</w:t>
      </w:r>
      <w:r w:rsidR="00BC137F" w:rsidRPr="008B51DF">
        <w:t>)</w:t>
      </w:r>
      <w:r w:rsidRPr="008B51DF">
        <w:t xml:space="preserve">. This scan looks at not only the extent of the disease but grade as well (with biopsy). Grade 1 and Grade 2 with metastatic disease are usually considered for </w:t>
      </w:r>
      <w:r w:rsidR="002C036A" w:rsidRPr="008B51DF">
        <w:t>peptide receptor radionuclide therapy (</w:t>
      </w:r>
      <w:r w:rsidRPr="008B51DF">
        <w:t>PRRT</w:t>
      </w:r>
      <w:r w:rsidR="002C036A" w:rsidRPr="008B51DF">
        <w:t>)</w:t>
      </w:r>
      <w:r w:rsidRPr="008B51DF">
        <w:t xml:space="preserve"> depending also on symptom burden. Patients with a high symptom burden would be prioritised first</w:t>
      </w:r>
      <w:r w:rsidR="00110935" w:rsidRPr="008B51DF">
        <w:t xml:space="preserve"> </w:t>
      </w:r>
      <w:r w:rsidRPr="008B51DF">
        <w:t xml:space="preserve">(relevant clinical trials </w:t>
      </w:r>
      <w:proofErr w:type="gramStart"/>
      <w:r w:rsidRPr="008B51DF">
        <w:t>are:</w:t>
      </w:r>
      <w:proofErr w:type="gramEnd"/>
      <w:r w:rsidRPr="008B51DF">
        <w:t xml:space="preserve"> </w:t>
      </w:r>
      <w:r w:rsidR="00110935" w:rsidRPr="008B51DF">
        <w:t xml:space="preserve">the </w:t>
      </w:r>
      <w:r w:rsidRPr="008B51DF">
        <w:t xml:space="preserve">NETTER 1 </w:t>
      </w:r>
      <w:r w:rsidR="00110935" w:rsidRPr="008B51DF">
        <w:t>trial</w:t>
      </w:r>
      <w:r w:rsidR="002C036A" w:rsidRPr="008B51DF">
        <w:t>;</w:t>
      </w:r>
      <w:r w:rsidR="002C036A" w:rsidRPr="008B51DF">
        <w:rPr>
          <w:vertAlign w:val="superscript"/>
        </w:rPr>
        <w:fldChar w:fldCharType="begin"/>
      </w:r>
      <w:r w:rsidR="002C036A" w:rsidRPr="008B51DF">
        <w:rPr>
          <w:vertAlign w:val="superscript"/>
        </w:rPr>
        <w:instrText xml:space="preserve"> NOTEREF _Ref111115187 \h  \* MERGEFORMAT </w:instrText>
      </w:r>
      <w:r w:rsidR="002C036A" w:rsidRPr="008B51DF">
        <w:rPr>
          <w:vertAlign w:val="superscript"/>
        </w:rPr>
      </w:r>
      <w:r w:rsidR="002C036A" w:rsidRPr="008B51DF">
        <w:rPr>
          <w:vertAlign w:val="superscript"/>
        </w:rPr>
        <w:fldChar w:fldCharType="separate"/>
      </w:r>
      <w:r w:rsidR="008B51DF">
        <w:rPr>
          <w:vertAlign w:val="superscript"/>
        </w:rPr>
        <w:t>9</w:t>
      </w:r>
      <w:r w:rsidR="002C036A" w:rsidRPr="008B51DF">
        <w:rPr>
          <w:vertAlign w:val="superscript"/>
        </w:rPr>
        <w:fldChar w:fldCharType="end"/>
      </w:r>
      <w:r w:rsidR="00110935" w:rsidRPr="008B51DF">
        <w:t xml:space="preserve"> and the </w:t>
      </w:r>
      <w:r w:rsidRPr="008B51DF">
        <w:t>CONTROL NETS trial</w:t>
      </w:r>
      <w:r w:rsidR="00431B21" w:rsidRPr="008B51DF">
        <w:t>;</w:t>
      </w:r>
      <w:r w:rsidR="00A90F28" w:rsidRPr="008B51DF">
        <w:rPr>
          <w:rStyle w:val="FootnoteReference"/>
        </w:rPr>
        <w:footnoteReference w:id="15"/>
      </w:r>
      <w:r w:rsidR="00431B21" w:rsidRPr="008B51DF">
        <w:t>).</w:t>
      </w:r>
      <w:r w:rsidRPr="008B51DF">
        <w:t xml:space="preserve"> Please note that </w:t>
      </w:r>
      <w:r w:rsidR="009303BF" w:rsidRPr="008B51DF">
        <w:rPr>
          <w:vertAlign w:val="superscript"/>
        </w:rPr>
        <w:t>68</w:t>
      </w:r>
      <w:r w:rsidR="009303BF" w:rsidRPr="008B51DF">
        <w:t xml:space="preserve">Ga </w:t>
      </w:r>
      <w:r w:rsidRPr="008B51DF">
        <w:t>treatment is reimbursed via Medical Benefits Scheme.</w:t>
      </w:r>
    </w:p>
    <w:p w14:paraId="7D67BEFB" w14:textId="40BE0C03" w:rsidR="00A0395E" w:rsidRPr="008B51DF" w:rsidRDefault="00A0395E" w:rsidP="00A0395E">
      <w:pPr>
        <w:pStyle w:val="ListBullet"/>
      </w:pPr>
      <w:r w:rsidRPr="008B51DF">
        <w:t>Yes, the presence of SS</w:t>
      </w:r>
      <w:r w:rsidR="00E77AEB" w:rsidRPr="008B51DF">
        <w:t>T</w:t>
      </w:r>
      <w:r w:rsidRPr="008B51DF">
        <w:t>R</w:t>
      </w:r>
      <w:r w:rsidR="00330ED7" w:rsidRPr="008B51DF">
        <w:t>s</w:t>
      </w:r>
      <w:r w:rsidRPr="008B51DF">
        <w:t xml:space="preserve"> is a requirement for treatment. Without the presence of SS</w:t>
      </w:r>
      <w:r w:rsidR="00E77AEB" w:rsidRPr="008B51DF">
        <w:t>T</w:t>
      </w:r>
      <w:r w:rsidRPr="008B51DF">
        <w:t>R</w:t>
      </w:r>
      <w:r w:rsidR="00330ED7" w:rsidRPr="008B51DF">
        <w:t>s</w:t>
      </w:r>
      <w:r w:rsidRPr="008B51DF">
        <w:t xml:space="preserve"> the </w:t>
      </w:r>
      <w:r w:rsidR="00162759" w:rsidRPr="008B51DF">
        <w:rPr>
          <w:vertAlign w:val="superscript"/>
        </w:rPr>
        <w:t>177</w:t>
      </w:r>
      <w:r w:rsidR="00162759" w:rsidRPr="008B51DF">
        <w:t>Lu</w:t>
      </w:r>
      <w:r w:rsidRPr="008B51DF">
        <w:t xml:space="preserve"> will not bind to the tumours. Patients with high </w:t>
      </w:r>
      <w:r w:rsidR="00330ED7" w:rsidRPr="008B51DF">
        <w:t>G</w:t>
      </w:r>
      <w:r w:rsidRPr="008B51DF">
        <w:t>rade</w:t>
      </w:r>
      <w:r w:rsidR="00C91A90" w:rsidRPr="008B51DF">
        <w:t> </w:t>
      </w:r>
      <w:r w:rsidRPr="008B51DF">
        <w:t xml:space="preserve">3 </w:t>
      </w:r>
      <w:r w:rsidR="00A304FA" w:rsidRPr="008B51DF">
        <w:t>neuroendocrine carcinoma</w:t>
      </w:r>
      <w:r w:rsidRPr="008B51DF">
        <w:t xml:space="preserve"> (neuroendocrine carcinoma) generally don’t have these receptors and their disease is assessed through </w:t>
      </w:r>
      <w:r w:rsidR="00110935" w:rsidRPr="008B51DF">
        <w:t xml:space="preserve">fluorodeoxyglucose positron emission tomography </w:t>
      </w:r>
      <w:r w:rsidRPr="008B51DF">
        <w:t>scan.</w:t>
      </w:r>
    </w:p>
    <w:p w14:paraId="0233E86A" w14:textId="46C1B944" w:rsidR="00A0395E" w:rsidRPr="008B51DF" w:rsidRDefault="00A0395E" w:rsidP="00A0395E">
      <w:pPr>
        <w:pStyle w:val="ListBullet"/>
        <w:numPr>
          <w:ilvl w:val="0"/>
          <w:numId w:val="0"/>
        </w:numPr>
        <w:ind w:left="360"/>
      </w:pPr>
      <w:r w:rsidRPr="008B51DF">
        <w:t>Furthermore, a new clinical trial is about to be commenced that includes Australian sites (</w:t>
      </w:r>
      <w:proofErr w:type="spellStart"/>
      <w:r w:rsidR="0027481A" w:rsidRPr="008B51DF">
        <w:t>Isotopen</w:t>
      </w:r>
      <w:proofErr w:type="spellEnd"/>
      <w:r w:rsidR="0027481A" w:rsidRPr="008B51DF">
        <w:t xml:space="preserve"> </w:t>
      </w:r>
      <w:proofErr w:type="spellStart"/>
      <w:r w:rsidR="0027481A" w:rsidRPr="008B51DF">
        <w:t>Technologien</w:t>
      </w:r>
      <w:proofErr w:type="spellEnd"/>
      <w:r w:rsidR="0027481A" w:rsidRPr="008B51DF">
        <w:t xml:space="preserve"> München-the </w:t>
      </w:r>
      <w:r w:rsidRPr="008B51DF">
        <w:t xml:space="preserve">COMPOSE </w:t>
      </w:r>
      <w:r w:rsidR="0027481A" w:rsidRPr="008B51DF">
        <w:t>trial</w:t>
      </w:r>
      <w:r w:rsidRPr="008B51DF">
        <w:t xml:space="preserve">) to look at high </w:t>
      </w:r>
      <w:r w:rsidR="00110935" w:rsidRPr="008B51DF">
        <w:t xml:space="preserve">Grade </w:t>
      </w:r>
      <w:r w:rsidRPr="008B51DF">
        <w:t xml:space="preserve">2 and high </w:t>
      </w:r>
      <w:r w:rsidR="00110935" w:rsidRPr="008B51DF">
        <w:t xml:space="preserve">Grade </w:t>
      </w:r>
      <w:r w:rsidRPr="008B51DF">
        <w:t>3 neuroendocrine tumours with SS</w:t>
      </w:r>
      <w:r w:rsidR="00FD67C1" w:rsidRPr="008B51DF">
        <w:t>T</w:t>
      </w:r>
      <w:r w:rsidRPr="008B51DF">
        <w:t>R.</w:t>
      </w:r>
    </w:p>
    <w:p w14:paraId="28DA7946" w14:textId="18B5B504" w:rsidR="00A0395E" w:rsidRPr="008B51DF" w:rsidRDefault="00A0395E" w:rsidP="00A0395E">
      <w:pPr>
        <w:pStyle w:val="ListBullet"/>
        <w:numPr>
          <w:ilvl w:val="0"/>
          <w:numId w:val="0"/>
        </w:numPr>
        <w:ind w:left="360"/>
      </w:pPr>
      <w:r w:rsidRPr="008B51DF">
        <w:t>The most relevant guidelines to such treatments are the Clinical Oncology Society of Australia guidelines, which are undergoing a review and current update.</w:t>
      </w:r>
      <w:r w:rsidR="0027481A" w:rsidRPr="008B51DF">
        <w:rPr>
          <w:rStyle w:val="FootnoteReference"/>
        </w:rPr>
        <w:footnoteReference w:id="16"/>
      </w:r>
    </w:p>
    <w:p w14:paraId="284482EC" w14:textId="77777777" w:rsidR="0074163C" w:rsidRPr="008B51DF" w:rsidRDefault="0074163C" w:rsidP="0074163C">
      <w:pPr>
        <w:pStyle w:val="Heading4"/>
      </w:pPr>
      <w:bookmarkStart w:id="58" w:name="_Toc98931936"/>
      <w:bookmarkStart w:id="59" w:name="_Toc247691532"/>
      <w:bookmarkStart w:id="60" w:name="_Toc314842516"/>
      <w:bookmarkEnd w:id="31"/>
      <w:bookmarkEnd w:id="51"/>
      <w:bookmarkEnd w:id="52"/>
      <w:r w:rsidRPr="008B51DF">
        <w:t>Advisory Committee considerations</w:t>
      </w:r>
      <w:bookmarkEnd w:id="58"/>
    </w:p>
    <w:p w14:paraId="3048F9AC" w14:textId="2DE628C9" w:rsidR="0074163C" w:rsidRPr="008B51DF" w:rsidRDefault="0074163C" w:rsidP="0074163C">
      <w:r w:rsidRPr="008B51DF">
        <w:t xml:space="preserve">The Delegate did not refer this </w:t>
      </w:r>
      <w:r w:rsidR="00BB0B78" w:rsidRPr="008B51DF">
        <w:t>submission</w:t>
      </w:r>
      <w:r w:rsidRPr="008B51DF">
        <w:t xml:space="preserve"> to the Advisory Committee on Medicines (ACM) for advice.</w:t>
      </w:r>
    </w:p>
    <w:p w14:paraId="7A9F0760" w14:textId="77777777" w:rsidR="008E7846" w:rsidRPr="008B51DF" w:rsidRDefault="008E7846" w:rsidP="00D212F3">
      <w:pPr>
        <w:pStyle w:val="Heading2"/>
      </w:pPr>
      <w:bookmarkStart w:id="61" w:name="_Toc114238834"/>
      <w:r w:rsidRPr="008B51DF">
        <w:t>Outcome</w:t>
      </w:r>
      <w:bookmarkEnd w:id="59"/>
      <w:bookmarkEnd w:id="60"/>
      <w:bookmarkEnd w:id="61"/>
    </w:p>
    <w:p w14:paraId="41EADEE8" w14:textId="434FD5DC" w:rsidR="0074163C" w:rsidRPr="008B51DF" w:rsidRDefault="0074163C" w:rsidP="0074163C">
      <w:bookmarkStart w:id="62" w:name="_Toc247691533"/>
      <w:bookmarkStart w:id="63" w:name="_Toc314842517"/>
      <w:r w:rsidRPr="008B51DF">
        <w:t xml:space="preserve">Based on a review of quality, </w:t>
      </w:r>
      <w:r w:rsidR="00CC5044" w:rsidRPr="008B51DF">
        <w:t>safety,</w:t>
      </w:r>
      <w:r w:rsidRPr="008B51DF">
        <w:t xml:space="preserve"> and efficacy, the TGA approved the registration of </w:t>
      </w:r>
      <w:r w:rsidR="00330ED7" w:rsidRPr="008B51DF">
        <w:t>l</w:t>
      </w:r>
      <w:r w:rsidR="00EF39C2" w:rsidRPr="008B51DF">
        <w:t>utetium (</w:t>
      </w:r>
      <w:r w:rsidR="0058534B" w:rsidRPr="008B51DF">
        <w:rPr>
          <w:vertAlign w:val="superscript"/>
        </w:rPr>
        <w:t>177</w:t>
      </w:r>
      <w:r w:rsidR="0058534B" w:rsidRPr="008B51DF">
        <w:t>Lu</w:t>
      </w:r>
      <w:r w:rsidR="00EF39C2" w:rsidRPr="008B51DF">
        <w:t xml:space="preserve">) </w:t>
      </w:r>
      <w:r w:rsidR="00330ED7" w:rsidRPr="008B51DF">
        <w:t>c</w:t>
      </w:r>
      <w:r w:rsidR="00EF39C2" w:rsidRPr="008B51DF">
        <w:t xml:space="preserve">hloride </w:t>
      </w:r>
      <w:r w:rsidR="0058534B" w:rsidRPr="008B51DF">
        <w:t xml:space="preserve">10 to 200 </w:t>
      </w:r>
      <w:proofErr w:type="spellStart"/>
      <w:r w:rsidR="0058534B" w:rsidRPr="008B51DF">
        <w:t>GBq</w:t>
      </w:r>
      <w:proofErr w:type="spellEnd"/>
      <w:r w:rsidR="0058534B" w:rsidRPr="008B51DF">
        <w:t>/mL</w:t>
      </w:r>
      <w:r w:rsidRPr="008B51DF">
        <w:t xml:space="preserve">, </w:t>
      </w:r>
      <w:r w:rsidR="0058534B" w:rsidRPr="008B51DF">
        <w:t>radiochemical solution</w:t>
      </w:r>
      <w:r w:rsidRPr="008B51DF">
        <w:t xml:space="preserve">, </w:t>
      </w:r>
      <w:r w:rsidR="0058534B" w:rsidRPr="008B51DF">
        <w:t>vial</w:t>
      </w:r>
      <w:r w:rsidRPr="008B51DF">
        <w:t>, indicated for:</w:t>
      </w:r>
    </w:p>
    <w:p w14:paraId="6A76313C" w14:textId="66517A6A" w:rsidR="0074163C" w:rsidRPr="008B51DF" w:rsidRDefault="0058534B" w:rsidP="0058534B">
      <w:pPr>
        <w:ind w:left="720"/>
        <w:rPr>
          <w:i/>
          <w:iCs/>
        </w:rPr>
      </w:pPr>
      <w:r w:rsidRPr="008B51DF">
        <w:rPr>
          <w:i/>
          <w:iCs/>
        </w:rPr>
        <w:t>Lutetium (</w:t>
      </w:r>
      <w:r w:rsidRPr="008B51DF">
        <w:rPr>
          <w:i/>
          <w:iCs/>
          <w:vertAlign w:val="superscript"/>
        </w:rPr>
        <w:t>177</w:t>
      </w:r>
      <w:r w:rsidRPr="008B51DF">
        <w:rPr>
          <w:i/>
          <w:iCs/>
        </w:rPr>
        <w:t xml:space="preserve">Lu) chloride is a radiopharmaceutical precursor, and it is not intended for direct use in patients. For the treatment of non </w:t>
      </w:r>
      <w:proofErr w:type="spellStart"/>
      <w:r w:rsidRPr="008B51DF">
        <w:rPr>
          <w:i/>
          <w:iCs/>
        </w:rPr>
        <w:t>resectable</w:t>
      </w:r>
      <w:proofErr w:type="spellEnd"/>
      <w:r w:rsidRPr="008B51DF">
        <w:rPr>
          <w:i/>
          <w:iCs/>
        </w:rPr>
        <w:t xml:space="preserve"> or metastatic neuroendocrine tumours (NETS) expressing somatostatin subtype 2 receptors when coupled with a suitable carrier molecule.</w:t>
      </w:r>
    </w:p>
    <w:p w14:paraId="1866B85A" w14:textId="77777777" w:rsidR="00D23139" w:rsidRPr="008B51DF" w:rsidRDefault="00D23139" w:rsidP="00D212F3">
      <w:pPr>
        <w:pStyle w:val="Heading3"/>
      </w:pPr>
      <w:bookmarkStart w:id="64" w:name="_Toc114238835"/>
      <w:r w:rsidRPr="008B51DF">
        <w:t>Specific conditions of registration applying to these goods</w:t>
      </w:r>
      <w:bookmarkEnd w:id="64"/>
    </w:p>
    <w:p w14:paraId="6BB63EFD" w14:textId="614596BE" w:rsidR="0058534B" w:rsidRPr="008B51DF" w:rsidRDefault="0058534B" w:rsidP="0058534B">
      <w:pPr>
        <w:pStyle w:val="ListBullet"/>
      </w:pPr>
      <w:r w:rsidRPr="008B51DF">
        <w:t>ANSTO lutetium (</w:t>
      </w:r>
      <w:r w:rsidR="00654E6D" w:rsidRPr="008B51DF">
        <w:rPr>
          <w:vertAlign w:val="superscript"/>
        </w:rPr>
        <w:t>177</w:t>
      </w:r>
      <w:r w:rsidR="00654E6D" w:rsidRPr="008B51DF">
        <w:t>Lu</w:t>
      </w:r>
      <w:r w:rsidRPr="008B51DF">
        <w:t>) chloride is to be included in the Black Triangle Scheme. The PI and CMI</w:t>
      </w:r>
      <w:r w:rsidR="00BC137F" w:rsidRPr="008B51DF">
        <w:t xml:space="preserve"> [Consumer Medicines Information]</w:t>
      </w:r>
      <w:r w:rsidRPr="008B51DF">
        <w:t xml:space="preserve"> for ANSTO lutetium (</w:t>
      </w:r>
      <w:r w:rsidR="00654E6D" w:rsidRPr="008B51DF">
        <w:rPr>
          <w:vertAlign w:val="superscript"/>
        </w:rPr>
        <w:t>177</w:t>
      </w:r>
      <w:r w:rsidR="00654E6D" w:rsidRPr="008B51DF">
        <w:t>Lu</w:t>
      </w:r>
      <w:r w:rsidRPr="008B51DF">
        <w:t>) chloride must include the black triangle symbol and mandatory accompanying text for five years, which starts from the date that the sponsor notifies the TGA of supply of the product.</w:t>
      </w:r>
    </w:p>
    <w:p w14:paraId="66FF3667" w14:textId="52A7A870" w:rsidR="0058534B" w:rsidRPr="008B51DF" w:rsidRDefault="0058534B" w:rsidP="0058534B">
      <w:pPr>
        <w:pStyle w:val="ListBullet"/>
      </w:pPr>
      <w:r w:rsidRPr="008B51DF">
        <w:t>The Lutetium (</w:t>
      </w:r>
      <w:r w:rsidR="00654E6D" w:rsidRPr="008B51DF">
        <w:rPr>
          <w:vertAlign w:val="superscript"/>
        </w:rPr>
        <w:t>177</w:t>
      </w:r>
      <w:r w:rsidR="00654E6D" w:rsidRPr="008B51DF">
        <w:t>Lu</w:t>
      </w:r>
      <w:r w:rsidRPr="008B51DF">
        <w:t>) AU-</w:t>
      </w:r>
      <w:r w:rsidR="00110935" w:rsidRPr="008B51DF">
        <w:t xml:space="preserve">risk management plan </w:t>
      </w:r>
      <w:r w:rsidRPr="008B51DF">
        <w:t>(RMP) (version 0.2, dated 6</w:t>
      </w:r>
      <w:r w:rsidR="00110935" w:rsidRPr="008B51DF">
        <w:t> </w:t>
      </w:r>
      <w:r w:rsidRPr="008B51DF">
        <w:t>October</w:t>
      </w:r>
      <w:r w:rsidR="00110935" w:rsidRPr="008B51DF">
        <w:t> </w:t>
      </w:r>
      <w:r w:rsidRPr="008B51DF">
        <w:t xml:space="preserve">2021, data lock point 15 December 2020), included with </w:t>
      </w:r>
      <w:r w:rsidR="00110935" w:rsidRPr="008B51DF">
        <w:t>S</w:t>
      </w:r>
      <w:r w:rsidRPr="008B51DF">
        <w:t xml:space="preserve">ubmission </w:t>
      </w:r>
      <w:r w:rsidRPr="008B51DF">
        <w:lastRenderedPageBreak/>
        <w:t>PM</w:t>
      </w:r>
      <w:r w:rsidR="00110935" w:rsidRPr="008B51DF">
        <w:noBreakHyphen/>
      </w:r>
      <w:r w:rsidRPr="008B51DF">
        <w:t>2020-06691-1-4 and any subsequent revisions, as agreed with the TGA will be implemented in Australia.</w:t>
      </w:r>
    </w:p>
    <w:p w14:paraId="7611FC85" w14:textId="4F6B14BA" w:rsidR="0058534B" w:rsidRPr="008B51DF" w:rsidRDefault="0058534B" w:rsidP="0058534B">
      <w:pPr>
        <w:pStyle w:val="ListBullet"/>
        <w:numPr>
          <w:ilvl w:val="0"/>
          <w:numId w:val="0"/>
        </w:numPr>
        <w:ind w:left="360"/>
      </w:pPr>
      <w:r w:rsidRPr="008B51DF">
        <w:t>An obligatory component of risk management plans is routine pharmacovigilance. Routine pharmacovigilance includes the submission of periodic safety update reports (PSURs).</w:t>
      </w:r>
    </w:p>
    <w:p w14:paraId="4B34F3CD" w14:textId="2C89D976" w:rsidR="0058534B" w:rsidRPr="008B51DF" w:rsidRDefault="0058534B" w:rsidP="0058534B">
      <w:pPr>
        <w:pStyle w:val="ListBullet"/>
        <w:numPr>
          <w:ilvl w:val="0"/>
          <w:numId w:val="0"/>
        </w:numPr>
        <w:ind w:left="360"/>
      </w:pPr>
      <w:r w:rsidRPr="008B51DF">
        <w:t xml:space="preserve">Unless agreed separately between the supplier who is the recipient of the approval and the TGA, the first report must be submitted to TGA no later than 15 calendar months after the date of </w:t>
      </w:r>
      <w:r w:rsidR="001A24C6" w:rsidRPr="008B51DF">
        <w:t>the</w:t>
      </w:r>
      <w:r w:rsidRPr="008B51DF">
        <w:t xml:space="preserve"> approval letter. The subsequent reports must be submitted no less frequently than annually from the date of the first submitted report until the period covered by such reports is not less than three years from the date of </w:t>
      </w:r>
      <w:r w:rsidR="001A24C6" w:rsidRPr="008B51DF">
        <w:t>the</w:t>
      </w:r>
      <w:r w:rsidRPr="008B51DF">
        <w:t xml:space="preserve"> approval letter. The annual submission may be made up of two PSURs each covering six months. If the sponsor wishes, the </w:t>
      </w:r>
      <w:proofErr w:type="gramStart"/>
      <w:r w:rsidRPr="008B51DF">
        <w:t>six monthly</w:t>
      </w:r>
      <w:proofErr w:type="gramEnd"/>
      <w:r w:rsidRPr="008B51DF">
        <w:t xml:space="preserve"> reports may be submitted separately as they become available.</w:t>
      </w:r>
    </w:p>
    <w:p w14:paraId="3169306A" w14:textId="63D89955" w:rsidR="0058534B" w:rsidRPr="008B51DF" w:rsidRDefault="0058534B" w:rsidP="0058534B">
      <w:pPr>
        <w:pStyle w:val="ListBullet"/>
        <w:numPr>
          <w:ilvl w:val="0"/>
          <w:numId w:val="0"/>
        </w:numPr>
        <w:ind w:left="360"/>
      </w:pPr>
      <w:r w:rsidRPr="008B51DF">
        <w:t xml:space="preserve">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w:t>
      </w:r>
      <w:r w:rsidR="001A24C6" w:rsidRPr="008B51DF">
        <w:t>the</w:t>
      </w:r>
      <w:r w:rsidRPr="008B51DF">
        <w:t xml:space="preserve"> approval letter.</w:t>
      </w:r>
    </w:p>
    <w:p w14:paraId="69966C63" w14:textId="421AA871" w:rsidR="0058534B" w:rsidRPr="008B51DF" w:rsidRDefault="0058534B" w:rsidP="0058534B">
      <w:pPr>
        <w:pStyle w:val="ListBullet"/>
        <w:numPr>
          <w:ilvl w:val="0"/>
          <w:numId w:val="0"/>
        </w:numPr>
        <w:ind w:left="360"/>
      </w:pPr>
      <w:r w:rsidRPr="008B51DF">
        <w:t xml:space="preserve">The reports are to at least meet the requirements for PSURs as described in the European Medicines Agency’s Guideline on </w:t>
      </w:r>
      <w:r w:rsidR="00110935" w:rsidRPr="008B51DF">
        <w:t xml:space="preserve">Good Pharmacovigilance Practices </w:t>
      </w:r>
      <w:r w:rsidRPr="008B51DF">
        <w:t>(GVP) Module VII-periodic safety update report (</w:t>
      </w:r>
      <w:r w:rsidR="00110935" w:rsidRPr="008B51DF">
        <w:t>[</w:t>
      </w:r>
      <w:r w:rsidRPr="008B51DF">
        <w:t>Rev</w:t>
      </w:r>
      <w:r w:rsidR="00110935" w:rsidRPr="008B51DF">
        <w:t>ision]</w:t>
      </w:r>
      <w:r w:rsidRPr="008B51DF">
        <w:t xml:space="preserve"> 1), Part VII.B Structures and processes. Note that submission of a PSUR does not constitute an application to vary the registration. Each report must have been prepared within ninety calendar days of the data lock point for that report.</w:t>
      </w:r>
    </w:p>
    <w:p w14:paraId="28024C52" w14:textId="7E6F7E44" w:rsidR="0058534B" w:rsidRPr="008B51DF" w:rsidRDefault="0058534B" w:rsidP="0058534B">
      <w:pPr>
        <w:pStyle w:val="ListBullet"/>
      </w:pPr>
      <w:r w:rsidRPr="008B51DF">
        <w:t>For all injectable products the Product Information must be included with the product as a package insert.</w:t>
      </w:r>
    </w:p>
    <w:p w14:paraId="57A418AA" w14:textId="77777777" w:rsidR="008E7846" w:rsidRPr="008B51DF" w:rsidRDefault="00A80B5B" w:rsidP="00D23139">
      <w:pPr>
        <w:pStyle w:val="Heading2"/>
      </w:pPr>
      <w:bookmarkStart w:id="65" w:name="_Toc114238836"/>
      <w:r w:rsidRPr="008B51DF">
        <w:t xml:space="preserve">Attachment 1. </w:t>
      </w:r>
      <w:r w:rsidR="008E7846" w:rsidRPr="008B51DF">
        <w:t xml:space="preserve">Product </w:t>
      </w:r>
      <w:r w:rsidR="00AA0ED0" w:rsidRPr="008B51DF">
        <w:t>I</w:t>
      </w:r>
      <w:r w:rsidR="008E7846" w:rsidRPr="008B51DF">
        <w:t>nformation</w:t>
      </w:r>
      <w:bookmarkEnd w:id="62"/>
      <w:bookmarkEnd w:id="63"/>
      <w:bookmarkEnd w:id="65"/>
    </w:p>
    <w:p w14:paraId="5D62123C" w14:textId="0CE533BD" w:rsidR="00744121" w:rsidRPr="008B51DF" w:rsidRDefault="006136D7" w:rsidP="00744121">
      <w:r w:rsidRPr="008B51DF">
        <w:t xml:space="preserve">The PI for </w:t>
      </w:r>
      <w:r w:rsidR="009A293C" w:rsidRPr="008B51DF">
        <w:t>L</w:t>
      </w:r>
      <w:r w:rsidR="00EF39C2" w:rsidRPr="008B51DF">
        <w:t>utetium (</w:t>
      </w:r>
      <w:r w:rsidR="0058534B" w:rsidRPr="008B51DF">
        <w:rPr>
          <w:vertAlign w:val="superscript"/>
        </w:rPr>
        <w:t>177</w:t>
      </w:r>
      <w:r w:rsidR="0058534B" w:rsidRPr="008B51DF">
        <w:t>Lu</w:t>
      </w:r>
      <w:r w:rsidR="00EF39C2" w:rsidRPr="008B51DF">
        <w:t xml:space="preserve">) </w:t>
      </w:r>
      <w:r w:rsidR="009A293C" w:rsidRPr="008B51DF">
        <w:t>c</w:t>
      </w:r>
      <w:r w:rsidR="00EF39C2" w:rsidRPr="008B51DF">
        <w:t xml:space="preserve">hloride </w:t>
      </w:r>
      <w:r w:rsidRPr="008B51DF">
        <w:t>approved with the submission which is described in this AusPAR is at Attachment 1.</w:t>
      </w:r>
      <w:r w:rsidR="00CC5044" w:rsidRPr="008B51DF">
        <w:t xml:space="preserve"> </w:t>
      </w:r>
      <w:r w:rsidR="0074163C" w:rsidRPr="008B51DF">
        <w:t xml:space="preserve">For the most recent PI, please refer to the TGA </w:t>
      </w:r>
      <w:hyperlink r:id="rId20" w:history="1">
        <w:r w:rsidR="0074163C" w:rsidRPr="008B51DF">
          <w:rPr>
            <w:rStyle w:val="Hyperlink"/>
          </w:rPr>
          <w:t>PI/CMI search facility</w:t>
        </w:r>
        <w:r w:rsidR="0074163C" w:rsidRPr="008B51DF">
          <w:rPr>
            <w:rStyle w:val="Hyperlink"/>
            <w:color w:val="auto"/>
            <w:u w:val="none"/>
          </w:rPr>
          <w:t>.</w:t>
        </w:r>
      </w:hyperlink>
    </w:p>
    <w:p w14:paraId="16626888" w14:textId="77777777" w:rsidR="00C80137" w:rsidRPr="008B51DF" w:rsidRDefault="00C80137" w:rsidP="003A7F6C">
      <w:pPr>
        <w:pStyle w:val="TableTitle"/>
        <w:sectPr w:rsidR="00C80137" w:rsidRPr="008B51DF"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8B51DF" w14:paraId="34139ACC" w14:textId="77777777" w:rsidTr="00A05FA4">
        <w:trPr>
          <w:trHeight w:hRule="exact" w:val="704"/>
        </w:trPr>
        <w:tc>
          <w:tcPr>
            <w:tcW w:w="9175" w:type="dxa"/>
          </w:tcPr>
          <w:p w14:paraId="5850EFFD" w14:textId="77777777" w:rsidR="001C32CD" w:rsidRPr="008B51DF" w:rsidRDefault="001C32CD" w:rsidP="00A05FA4">
            <w:pPr>
              <w:pStyle w:val="TGASignoff"/>
            </w:pPr>
            <w:r w:rsidRPr="008B51DF">
              <w:lastRenderedPageBreak/>
              <w:t>Therapeutic Goods Administration</w:t>
            </w:r>
          </w:p>
        </w:tc>
      </w:tr>
      <w:tr w:rsidR="001C32CD" w:rsidRPr="004C239D" w14:paraId="23E9EF3F" w14:textId="77777777" w:rsidTr="00A05FA4">
        <w:trPr>
          <w:trHeight w:val="1221"/>
        </w:trPr>
        <w:tc>
          <w:tcPr>
            <w:tcW w:w="9175" w:type="dxa"/>
            <w:tcMar>
              <w:top w:w="28" w:type="dxa"/>
            </w:tcMar>
          </w:tcPr>
          <w:p w14:paraId="6F264E70" w14:textId="77777777" w:rsidR="001C32CD" w:rsidRPr="008B51DF" w:rsidRDefault="001C32CD" w:rsidP="00A05FA4">
            <w:pPr>
              <w:pStyle w:val="Address"/>
            </w:pPr>
            <w:r w:rsidRPr="008B51DF">
              <w:t>PO Box 100 Woden ACT 2606 Australia</w:t>
            </w:r>
          </w:p>
          <w:p w14:paraId="2B9BFFB9" w14:textId="4FFE8F29" w:rsidR="001C32CD" w:rsidRPr="008B51DF" w:rsidRDefault="001C32CD" w:rsidP="00A05FA4">
            <w:pPr>
              <w:pStyle w:val="Address"/>
            </w:pPr>
            <w:r w:rsidRPr="008B51DF">
              <w:t xml:space="preserve">Email: </w:t>
            </w:r>
            <w:hyperlink r:id="rId25" w:history="1">
              <w:r w:rsidRPr="008B51DF">
                <w:rPr>
                  <w:rStyle w:val="Hyperlink"/>
                </w:rPr>
                <w:t>info@tga.gov.au</w:t>
              </w:r>
            </w:hyperlink>
            <w:r w:rsidRPr="008B51DF">
              <w:t xml:space="preserve">  Phone: 1800 020 </w:t>
            </w:r>
            <w:proofErr w:type="gramStart"/>
            <w:r w:rsidRPr="008B51DF">
              <w:t>653  Fax</w:t>
            </w:r>
            <w:proofErr w:type="gramEnd"/>
            <w:r w:rsidRPr="008B51DF">
              <w:t>: 02 6232 8605</w:t>
            </w:r>
          </w:p>
          <w:p w14:paraId="1AAE1861" w14:textId="73C6E5E4" w:rsidR="001C32CD" w:rsidRPr="004C239D" w:rsidRDefault="00F30734" w:rsidP="00A05FA4">
            <w:pPr>
              <w:pStyle w:val="Address"/>
              <w:spacing w:line="260" w:lineRule="atLeast"/>
              <w:rPr>
                <w:b/>
                <w:color w:val="0000FF"/>
                <w:u w:val="single"/>
              </w:rPr>
            </w:pPr>
            <w:hyperlink r:id="rId26" w:history="1">
              <w:r w:rsidR="007C6B9B" w:rsidRPr="008B51DF">
                <w:rPr>
                  <w:rStyle w:val="Hyperlink"/>
                  <w:b/>
                </w:rPr>
                <w:t>https://www.tga.gov.au</w:t>
              </w:r>
            </w:hyperlink>
          </w:p>
        </w:tc>
      </w:tr>
    </w:tbl>
    <w:p w14:paraId="608C0B97" w14:textId="77777777"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3CBC" w14:textId="77777777" w:rsidR="00C94927" w:rsidRDefault="00C94927" w:rsidP="00C40A36">
      <w:pPr>
        <w:spacing w:after="0"/>
      </w:pPr>
      <w:r>
        <w:separator/>
      </w:r>
    </w:p>
  </w:endnote>
  <w:endnote w:type="continuationSeparator" w:id="0">
    <w:p w14:paraId="3B6A63A4" w14:textId="77777777" w:rsidR="00C94927" w:rsidRDefault="00C9492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94927" w:rsidRPr="00487162" w14:paraId="44CB308F" w14:textId="77777777" w:rsidTr="00DB750B">
      <w:trPr>
        <w:trHeight w:val="269"/>
      </w:trPr>
      <w:tc>
        <w:tcPr>
          <w:tcW w:w="7371" w:type="dxa"/>
          <w:tcMar>
            <w:top w:w="142" w:type="dxa"/>
            <w:bottom w:w="0" w:type="dxa"/>
          </w:tcMar>
        </w:tcPr>
        <w:p w14:paraId="37224605" w14:textId="61528242" w:rsidR="00C94927" w:rsidRPr="00487162" w:rsidRDefault="00C94927" w:rsidP="00460036">
          <w:pPr>
            <w:pStyle w:val="Footer"/>
          </w:pPr>
          <w:proofErr w:type="spellStart"/>
          <w:r w:rsidRPr="00487162">
            <w:t>AusPA</w:t>
          </w:r>
          <w:r>
            <w:t>R</w:t>
          </w:r>
          <w:proofErr w:type="spellEnd"/>
          <w:r>
            <w:t xml:space="preserve"> - </w:t>
          </w:r>
          <w:r w:rsidR="009A293C">
            <w:t>L</w:t>
          </w:r>
          <w:r w:rsidRPr="00EF39C2">
            <w:t>utetium (</w:t>
          </w:r>
          <w:r w:rsidRPr="00EF39C2">
            <w:rPr>
              <w:vertAlign w:val="superscript"/>
            </w:rPr>
            <w:t>177</w:t>
          </w:r>
          <w:r w:rsidRPr="00EF39C2">
            <w:t xml:space="preserve">Lu) </w:t>
          </w:r>
          <w:r w:rsidR="009A293C">
            <w:t>c</w:t>
          </w:r>
          <w:r w:rsidRPr="00EF39C2">
            <w:t xml:space="preserve">hloride </w:t>
          </w:r>
          <w:r>
            <w:t>-</w:t>
          </w:r>
          <w:r w:rsidRPr="00460036">
            <w:t xml:space="preserve"> </w:t>
          </w:r>
          <w:r w:rsidR="009A293C">
            <w:t>l</w:t>
          </w:r>
          <w:r w:rsidRPr="00EF39C2">
            <w:t>utetium (</w:t>
          </w:r>
          <w:r w:rsidRPr="00EF39C2">
            <w:rPr>
              <w:vertAlign w:val="superscript"/>
            </w:rPr>
            <w:t>177</w:t>
          </w:r>
          <w:r w:rsidRPr="00EF39C2">
            <w:t xml:space="preserve">Lu) </w:t>
          </w:r>
          <w:r w:rsidR="009A293C">
            <w:t>c</w:t>
          </w:r>
          <w:r w:rsidRPr="00EF39C2">
            <w:t xml:space="preserve">hloride </w:t>
          </w:r>
          <w:r>
            <w:t xml:space="preserve">- </w:t>
          </w:r>
          <w:r w:rsidRPr="00EF39C2">
            <w:t>Australian Nuclear Science and Technology Organisation (ANSTO)</w:t>
          </w:r>
          <w:r>
            <w:t xml:space="preserve"> - </w:t>
          </w:r>
          <w:r w:rsidRPr="00EF39C2">
            <w:t>PM-2020-06691-1-4</w:t>
          </w:r>
          <w:r>
            <w:br/>
          </w:r>
          <w:r w:rsidR="00856BAE">
            <w:t>Final 1</w:t>
          </w:r>
          <w:r w:rsidR="00DB33B4">
            <w:t>6</w:t>
          </w:r>
          <w:r w:rsidR="00856BAE">
            <w:t xml:space="preserve"> September</w:t>
          </w:r>
          <w:r>
            <w:t xml:space="preserve"> 2022</w:t>
          </w:r>
        </w:p>
      </w:tc>
      <w:tc>
        <w:tcPr>
          <w:tcW w:w="1490" w:type="dxa"/>
          <w:tcMar>
            <w:top w:w="142" w:type="dxa"/>
            <w:bottom w:w="0" w:type="dxa"/>
          </w:tcMar>
        </w:tcPr>
        <w:p w14:paraId="38E503AF" w14:textId="77FBCBBC" w:rsidR="00C94927" w:rsidRPr="00487162" w:rsidRDefault="00C94927" w:rsidP="00DB750B">
          <w:pPr>
            <w:pStyle w:val="Footer"/>
            <w:jc w:val="right"/>
          </w:pPr>
          <w:r w:rsidRPr="00487162">
            <w:t xml:space="preserve">Page </w:t>
          </w:r>
          <w:r>
            <w:fldChar w:fldCharType="begin"/>
          </w:r>
          <w:r>
            <w:instrText xml:space="preserve"> PAGE  \* Arabic </w:instrText>
          </w:r>
          <w:r>
            <w:fldChar w:fldCharType="separate"/>
          </w:r>
          <w:r w:rsidR="00146FDD">
            <w:rPr>
              <w:noProof/>
            </w:rPr>
            <w:t>7</w:t>
          </w:r>
          <w:r>
            <w:fldChar w:fldCharType="end"/>
          </w:r>
          <w:r w:rsidRPr="00487162">
            <w:t xml:space="preserve"> of </w:t>
          </w:r>
          <w:r w:rsidR="00F30734">
            <w:fldChar w:fldCharType="begin"/>
          </w:r>
          <w:r w:rsidR="00F30734">
            <w:instrText xml:space="preserve"> NUMPAGES  \* Arabic </w:instrText>
          </w:r>
          <w:r w:rsidR="00F30734">
            <w:fldChar w:fldCharType="separate"/>
          </w:r>
          <w:r w:rsidR="00146FDD">
            <w:rPr>
              <w:noProof/>
            </w:rPr>
            <w:t>21</w:t>
          </w:r>
          <w:r w:rsidR="00F30734">
            <w:rPr>
              <w:noProof/>
            </w:rPr>
            <w:fldChar w:fldCharType="end"/>
          </w:r>
        </w:p>
      </w:tc>
    </w:tr>
  </w:tbl>
  <w:p w14:paraId="4212AB93" w14:textId="77777777" w:rsidR="00C94927" w:rsidRDefault="00C94927"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94927" w:rsidRPr="00487162" w14:paraId="2F019B5E" w14:textId="77777777" w:rsidTr="00E45619">
      <w:trPr>
        <w:trHeight w:val="269"/>
      </w:trPr>
      <w:tc>
        <w:tcPr>
          <w:tcW w:w="4519" w:type="dxa"/>
          <w:tcBorders>
            <w:top w:val="single" w:sz="4" w:space="0" w:color="auto"/>
          </w:tcBorders>
          <w:tcMar>
            <w:top w:w="142" w:type="dxa"/>
            <w:bottom w:w="0" w:type="dxa"/>
          </w:tcMar>
        </w:tcPr>
        <w:p w14:paraId="6A2DFA3F" w14:textId="77777777" w:rsidR="00C94927" w:rsidRPr="00487162" w:rsidRDefault="00C94927" w:rsidP="00FE1DEE">
          <w:pPr>
            <w:pStyle w:val="Footer"/>
          </w:pPr>
          <w:r w:rsidRPr="00487162">
            <w:t>Document title, Part #, Section # - Section title</w:t>
          </w:r>
        </w:p>
        <w:p w14:paraId="00E63934" w14:textId="77777777" w:rsidR="00C94927" w:rsidRPr="00487162" w:rsidRDefault="00C94927" w:rsidP="00FE1DEE">
          <w:pPr>
            <w:pStyle w:val="Footer"/>
          </w:pPr>
          <w:r w:rsidRPr="00487162">
            <w:t>V1.0 October 2010</w:t>
          </w:r>
        </w:p>
      </w:tc>
      <w:tc>
        <w:tcPr>
          <w:tcW w:w="4342" w:type="dxa"/>
          <w:tcBorders>
            <w:top w:val="single" w:sz="4" w:space="0" w:color="auto"/>
          </w:tcBorders>
          <w:tcMar>
            <w:top w:w="142" w:type="dxa"/>
            <w:bottom w:w="0" w:type="dxa"/>
          </w:tcMar>
        </w:tcPr>
        <w:p w14:paraId="1B2D2C1A" w14:textId="77777777" w:rsidR="00C94927" w:rsidRPr="00487162" w:rsidRDefault="00C9492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F30734">
            <w:fldChar w:fldCharType="begin"/>
          </w:r>
          <w:r w:rsidR="00F30734">
            <w:instrText xml:space="preserve"> NUMPAGES  </w:instrText>
          </w:r>
          <w:r w:rsidR="00F30734">
            <w:fldChar w:fldCharType="separate"/>
          </w:r>
          <w:r>
            <w:rPr>
              <w:noProof/>
            </w:rPr>
            <w:t>21</w:t>
          </w:r>
          <w:r w:rsidR="00F30734">
            <w:rPr>
              <w:noProof/>
            </w:rPr>
            <w:fldChar w:fldCharType="end"/>
          </w:r>
        </w:p>
      </w:tc>
    </w:tr>
  </w:tbl>
  <w:p w14:paraId="6BB233C9" w14:textId="77777777" w:rsidR="00C94927" w:rsidRDefault="00C94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CAEB" w14:textId="77777777" w:rsidR="00C94927" w:rsidRPr="001C32CD" w:rsidRDefault="00C94927"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94927" w14:paraId="0599859C" w14:textId="77777777" w:rsidTr="0010601F">
      <w:trPr>
        <w:trHeight w:val="108"/>
      </w:trPr>
      <w:tc>
        <w:tcPr>
          <w:tcW w:w="8875" w:type="dxa"/>
          <w:gridSpan w:val="2"/>
          <w:tcBorders>
            <w:bottom w:val="single" w:sz="4" w:space="0" w:color="auto"/>
          </w:tcBorders>
          <w:tcMar>
            <w:right w:w="284" w:type="dxa"/>
          </w:tcMar>
        </w:tcPr>
        <w:p w14:paraId="4E7E0A89" w14:textId="77777777" w:rsidR="00C94927" w:rsidRDefault="00C94927" w:rsidP="006E08B3">
          <w:pPr>
            <w:pStyle w:val="Heading3"/>
          </w:pPr>
          <w:r>
            <w:t>Copyright</w:t>
          </w:r>
        </w:p>
        <w:p w14:paraId="5466FE83" w14:textId="77777777" w:rsidR="00C94927" w:rsidRDefault="00C94927" w:rsidP="006E08B3">
          <w:r>
            <w:rPr>
              <w:rFonts w:cs="Arial"/>
            </w:rPr>
            <w:t>©</w:t>
          </w:r>
          <w:r>
            <w:t xml:space="preserve"> Commonwealth of Australia [add year]</w:t>
          </w:r>
        </w:p>
        <w:p w14:paraId="0E3ED224" w14:textId="77777777" w:rsidR="00C94927" w:rsidRDefault="00C94927" w:rsidP="006E08B3"/>
        <w:p w14:paraId="1B106DCC" w14:textId="77777777" w:rsidR="00C94927" w:rsidRDefault="00C9492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6050DFDB" w14:textId="77777777" w:rsidR="00C94927" w:rsidRDefault="00C94927" w:rsidP="006E08B3"/>
        <w:p w14:paraId="19A8CFF8" w14:textId="77777777" w:rsidR="00C94927" w:rsidRDefault="00C94927" w:rsidP="006E08B3">
          <w:pPr>
            <w:pStyle w:val="Heading3"/>
          </w:pPr>
          <w:r>
            <w:t>Confidentiality</w:t>
          </w:r>
        </w:p>
        <w:p w14:paraId="7C3F16C9" w14:textId="77777777" w:rsidR="00C94927" w:rsidRDefault="00C9492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B5A17FB" w14:textId="77777777" w:rsidR="00C94927" w:rsidRDefault="00C94927" w:rsidP="006E08B3"/>
        <w:p w14:paraId="6A56AE81" w14:textId="77777777" w:rsidR="00C94927" w:rsidRDefault="00C94927" w:rsidP="006E08B3">
          <w:r>
            <w:t>For submission made by individuals, all personal details, other than your name, will be removed from your submission before it is published on the TGA’s Internet site.</w:t>
          </w:r>
        </w:p>
        <w:p w14:paraId="1A717F28" w14:textId="77777777" w:rsidR="00C94927" w:rsidRDefault="00C94927" w:rsidP="006E08B3"/>
        <w:p w14:paraId="0F27D16A" w14:textId="77777777" w:rsidR="00C94927" w:rsidRDefault="00C94927" w:rsidP="006E08B3">
          <w:r>
            <w:t>In addition, a list of parties making submissions will be published. If you do not wish to be identified with your submission you must specifically request this in the space provided in the submission coversheet.</w:t>
          </w:r>
        </w:p>
      </w:tc>
    </w:tr>
    <w:tr w:rsidR="00C94927" w14:paraId="5BD91458" w14:textId="77777777" w:rsidTr="0010601F">
      <w:trPr>
        <w:trHeight w:val="417"/>
      </w:trPr>
      <w:tc>
        <w:tcPr>
          <w:tcW w:w="4519" w:type="dxa"/>
          <w:tcBorders>
            <w:top w:val="single" w:sz="4" w:space="0" w:color="auto"/>
          </w:tcBorders>
          <w:tcMar>
            <w:top w:w="142" w:type="dxa"/>
            <w:bottom w:w="0" w:type="dxa"/>
          </w:tcMar>
        </w:tcPr>
        <w:p w14:paraId="6DA76AB1" w14:textId="77777777" w:rsidR="00C94927" w:rsidRDefault="00C94927" w:rsidP="006E08B3">
          <w:r>
            <w:t>Document title, Part #, Section # - Section title</w:t>
          </w:r>
        </w:p>
        <w:p w14:paraId="4AB4EAE8" w14:textId="77777777" w:rsidR="00C94927" w:rsidRDefault="00C94927" w:rsidP="006E08B3">
          <w:r>
            <w:t>V1.0 October 2010</w:t>
          </w:r>
        </w:p>
      </w:tc>
      <w:tc>
        <w:tcPr>
          <w:tcW w:w="4356" w:type="dxa"/>
          <w:tcBorders>
            <w:top w:val="single" w:sz="4" w:space="0" w:color="auto"/>
          </w:tcBorders>
          <w:tcMar>
            <w:top w:w="142" w:type="dxa"/>
            <w:bottom w:w="0" w:type="dxa"/>
          </w:tcMar>
        </w:tcPr>
        <w:p w14:paraId="19A4A19F" w14:textId="77777777" w:rsidR="00C94927" w:rsidRDefault="00C9492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F30734">
            <w:fldChar w:fldCharType="begin"/>
          </w:r>
          <w:r w:rsidR="00F30734">
            <w:instrText xml:space="preserve"> NUMPAGES  \* Arabic </w:instrText>
          </w:r>
          <w:r w:rsidR="00F30734">
            <w:fldChar w:fldCharType="separate"/>
          </w:r>
          <w:r>
            <w:rPr>
              <w:noProof/>
            </w:rPr>
            <w:t>21</w:t>
          </w:r>
          <w:r w:rsidR="00F30734">
            <w:rPr>
              <w:noProof/>
            </w:rPr>
            <w:fldChar w:fldCharType="end"/>
          </w:r>
          <w:r>
            <w:t xml:space="preserve">  </w:t>
          </w:r>
        </w:p>
      </w:tc>
    </w:tr>
  </w:tbl>
  <w:p w14:paraId="31EE6E07" w14:textId="77777777" w:rsidR="00C94927" w:rsidRDefault="00C949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9989" w14:textId="77777777" w:rsidR="00C94927" w:rsidRDefault="00C94927" w:rsidP="00C40A36">
      <w:pPr>
        <w:spacing w:after="0"/>
      </w:pPr>
      <w:r>
        <w:separator/>
      </w:r>
    </w:p>
  </w:footnote>
  <w:footnote w:type="continuationSeparator" w:id="0">
    <w:p w14:paraId="4A4D4F3D" w14:textId="77777777" w:rsidR="00C94927" w:rsidRDefault="00C94927" w:rsidP="00C40A36">
      <w:pPr>
        <w:spacing w:after="0"/>
      </w:pPr>
      <w:r>
        <w:continuationSeparator/>
      </w:r>
    </w:p>
  </w:footnote>
  <w:footnote w:id="1">
    <w:p w14:paraId="6F1E240E" w14:textId="4A6B0D8C" w:rsidR="00C94927" w:rsidRDefault="00C94927">
      <w:pPr>
        <w:pStyle w:val="FootnoteText"/>
      </w:pPr>
      <w:r>
        <w:rPr>
          <w:rStyle w:val="FootnoteReference"/>
        </w:rPr>
        <w:footnoteRef/>
      </w:r>
      <w:r>
        <w:t xml:space="preserve"> </w:t>
      </w:r>
      <w:r w:rsidRPr="00351A95">
        <w:t>Chang et al. Cancer Forum</w:t>
      </w:r>
      <w:r>
        <w:t>,</w:t>
      </w:r>
      <w:r w:rsidRPr="00351A95">
        <w:t xml:space="preserve"> 2015; 39(1): 13</w:t>
      </w:r>
      <w:r>
        <w:t>.</w:t>
      </w:r>
    </w:p>
  </w:footnote>
  <w:footnote w:id="2">
    <w:p w14:paraId="0758543E" w14:textId="058AB126" w:rsidR="00C94927" w:rsidRDefault="00C94927" w:rsidP="00C458AF">
      <w:pPr>
        <w:pStyle w:val="FootnoteText"/>
      </w:pPr>
      <w:r>
        <w:rPr>
          <w:rStyle w:val="FootnoteReference"/>
        </w:rPr>
        <w:footnoteRef/>
      </w:r>
      <w:r>
        <w:t xml:space="preserve"> </w:t>
      </w:r>
      <w:r w:rsidRPr="00C458AF">
        <w:t>Modlin</w:t>
      </w:r>
      <w:r>
        <w:t xml:space="preserve">, I.M. et al. </w:t>
      </w:r>
      <w:r w:rsidRPr="00C458AF">
        <w:t xml:space="preserve">Gastrointestinal Neuroendocrine (Carcinoid) Tumours: Current Diagnosis </w:t>
      </w:r>
      <w:r>
        <w:t>a</w:t>
      </w:r>
      <w:r w:rsidRPr="00C458AF">
        <w:t>nd Management</w:t>
      </w:r>
      <w:r>
        <w:t xml:space="preserve">, </w:t>
      </w:r>
      <w:r w:rsidRPr="00C458AF">
        <w:rPr>
          <w:i/>
          <w:iCs/>
        </w:rPr>
        <w:t>Med J Aust</w:t>
      </w:r>
      <w:r>
        <w:t>, 2010; 193(1): 46-52.</w:t>
      </w:r>
    </w:p>
  </w:footnote>
  <w:footnote w:id="3">
    <w:p w14:paraId="13A9C3AF" w14:textId="0A00D5D3" w:rsidR="00C94927" w:rsidRDefault="00C94927" w:rsidP="00351A95">
      <w:pPr>
        <w:pStyle w:val="FootnoteText"/>
      </w:pPr>
      <w:r>
        <w:rPr>
          <w:rStyle w:val="FootnoteReference"/>
        </w:rPr>
        <w:footnoteRef/>
      </w:r>
      <w:r>
        <w:t xml:space="preserve"> </w:t>
      </w:r>
      <w:r w:rsidRPr="00351A95">
        <w:t>de Jong</w:t>
      </w:r>
      <w:r>
        <w:t>, M</w:t>
      </w:r>
      <w:r w:rsidR="00AC1774">
        <w:t>.</w:t>
      </w:r>
      <w:r>
        <w:t xml:space="preserve"> et al. (</w:t>
      </w:r>
      <w:r w:rsidRPr="00351A95">
        <w:t>177Lu-DOTA(0),Tyr3</w:t>
      </w:r>
      <w:r>
        <w:t>)</w:t>
      </w:r>
      <w:r w:rsidRPr="00351A95">
        <w:t xml:space="preserve"> Octreotate </w:t>
      </w:r>
      <w:r>
        <w:t>f</w:t>
      </w:r>
      <w:r w:rsidRPr="00351A95">
        <w:t>or Somatostatin Receptor-Targeted Radionuclide Therapy</w:t>
      </w:r>
      <w:r>
        <w:t xml:space="preserve">, </w:t>
      </w:r>
      <w:r w:rsidRPr="00AC1774">
        <w:rPr>
          <w:i/>
          <w:iCs/>
        </w:rPr>
        <w:t>Int J Cancer</w:t>
      </w:r>
      <w:r>
        <w:t>, 2001; 92(5): 628-633.</w:t>
      </w:r>
    </w:p>
  </w:footnote>
  <w:footnote w:id="4">
    <w:p w14:paraId="07FA0C96" w14:textId="04CC2ECE" w:rsidR="00C94927" w:rsidRDefault="00C94927">
      <w:pPr>
        <w:pStyle w:val="FootnoteText"/>
      </w:pPr>
      <w:r>
        <w:rPr>
          <w:rStyle w:val="FootnoteReference"/>
        </w:rPr>
        <w:footnoteRef/>
      </w:r>
      <w:r>
        <w:t xml:space="preserve"> </w:t>
      </w:r>
      <w:r w:rsidRPr="00351A95">
        <w:t>Bergamasco</w:t>
      </w:r>
      <w:r>
        <w:t>,</w:t>
      </w:r>
      <w:r w:rsidRPr="00351A95">
        <w:t xml:space="preserve"> A</w:t>
      </w:r>
      <w:r>
        <w:t>. et al.</w:t>
      </w:r>
      <w:r w:rsidRPr="00351A95">
        <w:t xml:space="preserve"> Prevalence of Gastroenteropancreatic and Lung Neuroendocrine Tumours in the European Union, </w:t>
      </w:r>
      <w:r w:rsidRPr="00351A95">
        <w:rPr>
          <w:i/>
          <w:iCs/>
        </w:rPr>
        <w:t>Ann Oncol</w:t>
      </w:r>
      <w:r>
        <w:t>,</w:t>
      </w:r>
      <w:r w:rsidRPr="00351A95">
        <w:t xml:space="preserve"> 2016; 27 (suppl_6): 424PD.</w:t>
      </w:r>
    </w:p>
  </w:footnote>
  <w:footnote w:id="5">
    <w:p w14:paraId="4CBADF2C" w14:textId="460AC85F" w:rsidR="00C94927" w:rsidRDefault="00C94927">
      <w:pPr>
        <w:pStyle w:val="FootnoteText"/>
      </w:pPr>
      <w:r>
        <w:rPr>
          <w:rStyle w:val="FootnoteReference"/>
        </w:rPr>
        <w:footnoteRef/>
      </w:r>
      <w:r>
        <w:t xml:space="preserve"> </w:t>
      </w:r>
      <w:r w:rsidRPr="00B357EB">
        <w:rPr>
          <w:b/>
          <w:bCs/>
        </w:rPr>
        <w:t>'Orphan drugs</w:t>
      </w:r>
      <w:r w:rsidRPr="00B357EB">
        <w:t>'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orphan designation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6">
    <w:p w14:paraId="31A44A1F" w14:textId="169A489E" w:rsidR="00C94927" w:rsidRDefault="00C94927" w:rsidP="00B357EB">
      <w:pPr>
        <w:pStyle w:val="FootnoteText"/>
      </w:pPr>
      <w:r>
        <w:rPr>
          <w:rStyle w:val="FootnoteReference"/>
        </w:rPr>
        <w:footnoteRef/>
      </w:r>
      <w:r>
        <w:t xml:space="preserve"> </w:t>
      </w:r>
      <w:r w:rsidRPr="00B357EB">
        <w:rPr>
          <w:b/>
          <w:bCs/>
        </w:rPr>
        <w:t>Pregnancy Category X</w:t>
      </w:r>
      <w:r>
        <w:t>: Drugs which have such a high risk of causing permanent damage to the fetus that they should not be used in pregnancy or when there is a possibility of pregnancy.</w:t>
      </w:r>
    </w:p>
  </w:footnote>
  <w:footnote w:id="7">
    <w:p w14:paraId="0E8D9EA5" w14:textId="397B6D65" w:rsidR="00C94927" w:rsidRDefault="00C94927" w:rsidP="001976C5">
      <w:pPr>
        <w:pStyle w:val="FootnoteText"/>
      </w:pPr>
      <w:r>
        <w:rPr>
          <w:rStyle w:val="FootnoteReference"/>
        </w:rPr>
        <w:footnoteRef/>
      </w:r>
      <w:r>
        <w:t xml:space="preserve"> </w:t>
      </w:r>
      <w:r w:rsidRPr="001976C5">
        <w:t>Abuqbeitah</w:t>
      </w:r>
      <w:r>
        <w:t xml:space="preserve">, M. et al. </w:t>
      </w:r>
      <w:r w:rsidRPr="001976C5">
        <w:t xml:space="preserve">Blood Clearance and Occupational Exposure for </w:t>
      </w:r>
      <w:r w:rsidRPr="001976C5">
        <w:rPr>
          <w:vertAlign w:val="superscript"/>
        </w:rPr>
        <w:t>177</w:t>
      </w:r>
      <w:r w:rsidRPr="001976C5">
        <w:t xml:space="preserve">Lu-DOTATATE Compared to </w:t>
      </w:r>
      <w:r w:rsidRPr="001976C5">
        <w:rPr>
          <w:vertAlign w:val="superscript"/>
        </w:rPr>
        <w:t>177</w:t>
      </w:r>
      <w:r w:rsidRPr="001976C5">
        <w:t>Lu</w:t>
      </w:r>
      <w:r>
        <w:noBreakHyphen/>
      </w:r>
      <w:r w:rsidRPr="001976C5">
        <w:t>PSMA Radionuclide Therapy</w:t>
      </w:r>
      <w:r>
        <w:t xml:space="preserve">, </w:t>
      </w:r>
      <w:r w:rsidRPr="001976C5">
        <w:rPr>
          <w:i/>
          <w:iCs/>
        </w:rPr>
        <w:t>Radiat Environ Biophys</w:t>
      </w:r>
      <w:r>
        <w:t>, 2018; 57(1): 55-61.</w:t>
      </w:r>
    </w:p>
  </w:footnote>
  <w:footnote w:id="8">
    <w:p w14:paraId="7995C530" w14:textId="52FC70AD" w:rsidR="00C94927" w:rsidRPr="008A6ACC" w:rsidRDefault="00C94927">
      <w:pPr>
        <w:pStyle w:val="FootnoteText"/>
        <w:rPr>
          <w:lang w:val="en-GB"/>
        </w:rPr>
      </w:pPr>
      <w:r>
        <w:rPr>
          <w:rStyle w:val="FootnoteReference"/>
        </w:rPr>
        <w:footnoteRef/>
      </w:r>
      <w:r>
        <w:t xml:space="preserve"> Australian Radiation Protection and Nuclear Safety Agency</w:t>
      </w:r>
      <w:r w:rsidR="008A6ACC">
        <w:t xml:space="preserve"> (ARPANSA)</w:t>
      </w:r>
      <w:r>
        <w:t xml:space="preserve">. </w:t>
      </w:r>
      <w:r w:rsidR="008A6ACC">
        <w:t>Further</w:t>
      </w:r>
      <w:r>
        <w:t xml:space="preserve"> information is available from the ARPANSA website: </w:t>
      </w:r>
      <w:hyperlink r:id="rId1" w:history="1">
        <w:r w:rsidRPr="000B012E">
          <w:rPr>
            <w:rStyle w:val="Hyperlink"/>
          </w:rPr>
          <w:t>https://www.arpansa.gov.au/regulation-and-licensing/regulatory-publications/radiation-protection-series/codes-and-standards</w:t>
        </w:r>
      </w:hyperlink>
      <w:r w:rsidR="008A6ACC">
        <w:t>.</w:t>
      </w:r>
    </w:p>
  </w:footnote>
  <w:footnote w:id="9">
    <w:p w14:paraId="32C5432A" w14:textId="554911AB" w:rsidR="00C94927" w:rsidRDefault="00C94927">
      <w:pPr>
        <w:pStyle w:val="FootnoteText"/>
      </w:pPr>
      <w:r>
        <w:rPr>
          <w:rStyle w:val="FootnoteReference"/>
        </w:rPr>
        <w:footnoteRef/>
      </w:r>
      <w:r>
        <w:t xml:space="preserve"> </w:t>
      </w:r>
      <w:r w:rsidRPr="00A66B2C">
        <w:t>Strosberg</w:t>
      </w:r>
      <w:r>
        <w:t>, J.S.</w:t>
      </w:r>
      <w:r w:rsidRPr="00A66B2C">
        <w:t xml:space="preserve"> et al. Phase 3 Trial of </w:t>
      </w:r>
      <w:r w:rsidRPr="00CA12FB">
        <w:rPr>
          <w:vertAlign w:val="superscript"/>
        </w:rPr>
        <w:t>177</w:t>
      </w:r>
      <w:r w:rsidRPr="00A66B2C">
        <w:t>Lu-Dotatate for Midgut Neuroendocrine Tumors</w:t>
      </w:r>
      <w:r>
        <w:t xml:space="preserve">, </w:t>
      </w:r>
      <w:r w:rsidRPr="00CA12FB">
        <w:rPr>
          <w:i/>
          <w:iCs/>
        </w:rPr>
        <w:t>N. Engl. J. Med</w:t>
      </w:r>
      <w:r>
        <w:t>,</w:t>
      </w:r>
      <w:r w:rsidRPr="00A66B2C">
        <w:t xml:space="preserve"> 2017; 376: 125-135</w:t>
      </w:r>
      <w:r>
        <w:t>.</w:t>
      </w:r>
    </w:p>
  </w:footnote>
  <w:footnote w:id="10">
    <w:p w14:paraId="665D3359" w14:textId="49F5944E" w:rsidR="00C94927" w:rsidRDefault="00C94927">
      <w:pPr>
        <w:pStyle w:val="FootnoteText"/>
      </w:pPr>
      <w:r>
        <w:rPr>
          <w:rStyle w:val="FootnoteReference"/>
        </w:rPr>
        <w:footnoteRef/>
      </w:r>
      <w:r>
        <w:t xml:space="preserve"> </w:t>
      </w:r>
      <w:r w:rsidRPr="00B357EB">
        <w:t xml:space="preserve">The </w:t>
      </w:r>
      <w:r w:rsidRPr="00B357EB">
        <w:rPr>
          <w:b/>
          <w:bCs/>
        </w:rPr>
        <w:t>Response Evaluation Criteria In Solid Tumours (RECIST)</w:t>
      </w:r>
      <w:r w:rsidRPr="00B357EB">
        <w:t xml:space="preserve">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11">
    <w:p w14:paraId="0BEC9555" w14:textId="117F346D" w:rsidR="00C94927" w:rsidRDefault="00C94927" w:rsidP="0027481A">
      <w:pPr>
        <w:pStyle w:val="FootnoteText"/>
      </w:pPr>
      <w:r>
        <w:rPr>
          <w:rStyle w:val="FootnoteReference"/>
        </w:rPr>
        <w:footnoteRef/>
      </w:r>
      <w:r>
        <w:t xml:space="preserve"> </w:t>
      </w:r>
      <w:r w:rsidRPr="0027481A">
        <w:t>Strosberg</w:t>
      </w:r>
      <w:r>
        <w:t xml:space="preserve">, J. et al. </w:t>
      </w:r>
      <w:r w:rsidRPr="0027481A">
        <w:t xml:space="preserve">Health-Related Quality of Life in Patients </w:t>
      </w:r>
      <w:r>
        <w:t>w</w:t>
      </w:r>
      <w:r w:rsidRPr="0027481A">
        <w:t xml:space="preserve">ith Progressive Midgut Neuroendocrine Tumors Treated </w:t>
      </w:r>
      <w:r>
        <w:t>w</w:t>
      </w:r>
      <w:r w:rsidRPr="0027481A">
        <w:t xml:space="preserve">ith </w:t>
      </w:r>
      <w:r w:rsidRPr="0027481A">
        <w:rPr>
          <w:vertAlign w:val="superscript"/>
        </w:rPr>
        <w:t>177</w:t>
      </w:r>
      <w:r w:rsidRPr="0027481A">
        <w:t>Lu-Dotatate in the Phase III NETTER-1 Trial</w:t>
      </w:r>
      <w:r>
        <w:t xml:space="preserve">, </w:t>
      </w:r>
      <w:r w:rsidRPr="0027481A">
        <w:rPr>
          <w:i/>
          <w:iCs/>
        </w:rPr>
        <w:t>J Clin Oncol</w:t>
      </w:r>
      <w:r>
        <w:t>, 2018; 36(25): 2578-2584.</w:t>
      </w:r>
    </w:p>
  </w:footnote>
  <w:footnote w:id="12">
    <w:p w14:paraId="1949B1A3" w14:textId="7BE5E534" w:rsidR="00C94927" w:rsidRDefault="00C94927">
      <w:pPr>
        <w:pStyle w:val="FootnoteText"/>
      </w:pPr>
      <w:r>
        <w:rPr>
          <w:rStyle w:val="FootnoteReference"/>
        </w:rPr>
        <w:footnoteRef/>
      </w:r>
      <w:r>
        <w:t xml:space="preserve"> </w:t>
      </w:r>
      <w:r w:rsidRPr="00CA12FB">
        <w:t>Paganelli</w:t>
      </w:r>
      <w:r>
        <w:t>, G.</w:t>
      </w:r>
      <w:r w:rsidRPr="00CA12FB">
        <w:t xml:space="preserve"> et al. </w:t>
      </w:r>
      <w:r w:rsidRPr="00CA12FB">
        <w:rPr>
          <w:vertAlign w:val="superscript"/>
        </w:rPr>
        <w:t>177</w:t>
      </w:r>
      <w:r w:rsidRPr="00CA12FB">
        <w:t>Lu-PRRT in Advanced Gastrointestinal Neuroendocrine Tumors: 10-Year Follow-up of the IRST Phase II Prospective Study</w:t>
      </w:r>
      <w:r>
        <w:t xml:space="preserve">, </w:t>
      </w:r>
      <w:r w:rsidRPr="00CA12FB">
        <w:rPr>
          <w:i/>
          <w:iCs/>
        </w:rPr>
        <w:t>Eur J Nucl Med Mol Imaging</w:t>
      </w:r>
      <w:r>
        <w:t>, 2021; 48(1): 152-160.</w:t>
      </w:r>
    </w:p>
  </w:footnote>
  <w:footnote w:id="13">
    <w:p w14:paraId="0C91DC6F" w14:textId="070B1D23" w:rsidR="00C94927" w:rsidRDefault="00C94927">
      <w:pPr>
        <w:pStyle w:val="FootnoteText"/>
      </w:pPr>
      <w:r>
        <w:rPr>
          <w:rStyle w:val="FootnoteReference"/>
        </w:rPr>
        <w:footnoteRef/>
      </w:r>
      <w:r>
        <w:t xml:space="preserve"> </w:t>
      </w:r>
      <w:r w:rsidRPr="00CA12FB">
        <w:t xml:space="preserve">Brabander, T. et al. Long-Term Efficacy, Survival, and Safety of [177 Lu-DOTA 0,Tyr 3] OCTREOTATE in Patients with Gastroenteropancreatic and Bronchial Neuroendocrine Tumors, </w:t>
      </w:r>
      <w:r w:rsidRPr="00CA12FB">
        <w:rPr>
          <w:i/>
          <w:iCs/>
        </w:rPr>
        <w:t>Clin Cancer Res</w:t>
      </w:r>
      <w:r w:rsidRPr="00CA12FB">
        <w:t>, 2017; 23(16): 4617-4624.</w:t>
      </w:r>
    </w:p>
  </w:footnote>
  <w:footnote w:id="14">
    <w:p w14:paraId="4F4F5F2F" w14:textId="7F2C796E" w:rsidR="00C94927" w:rsidRDefault="00C94927">
      <w:pPr>
        <w:pStyle w:val="FootnoteText"/>
      </w:pPr>
      <w:r>
        <w:rPr>
          <w:rStyle w:val="FootnoteReference"/>
        </w:rPr>
        <w:footnoteRef/>
      </w:r>
      <w:r>
        <w:t xml:space="preserve"> </w:t>
      </w:r>
      <w:r w:rsidRPr="00B357EB">
        <w:t xml:space="preserve">The </w:t>
      </w:r>
      <w:r w:rsidRPr="00B357EB">
        <w:rPr>
          <w:b/>
          <w:bCs/>
        </w:rPr>
        <w:t>Special Access Scheme (SAS)</w:t>
      </w:r>
      <w:r w:rsidRPr="00B357EB">
        <w:t xml:space="preserve"> allows certain health practitioners to access therapeutic goods (such as medicines, medical devices or biologicals) that are not included in the Australian Register of Therapeutic Goods (ARTG), for a single patient. Therapeutic goods that are not included in the ARTG (and are not otherwise exempt from being in the ARTG) are described by the TGA as 'unapproved'.</w:t>
      </w:r>
    </w:p>
  </w:footnote>
  <w:footnote w:id="15">
    <w:p w14:paraId="040A5DA2" w14:textId="1E5F12D7" w:rsidR="00C94927" w:rsidRPr="00431B21" w:rsidRDefault="00C94927">
      <w:pPr>
        <w:pStyle w:val="FootnoteText"/>
        <w:rPr>
          <w:lang w:val="en-GB"/>
        </w:rPr>
      </w:pPr>
      <w:r>
        <w:rPr>
          <w:rStyle w:val="FootnoteReference"/>
        </w:rPr>
        <w:footnoteRef/>
      </w:r>
      <w:r>
        <w:t xml:space="preserve"> CONTROL NETS trial: </w:t>
      </w:r>
      <w:r w:rsidRPr="00A90F28">
        <w:t>A parallel group randomised, controlled, multi-centre phase II open label trial with two cohorts testing the combination of capecitabine and temozolomide (CAPTEM) and peptide receptor radionuclide therapy (PRRT) for the treatment of advanced pancreatic or midgut neuroendocrine tumours that are not suitable for surgery.</w:t>
      </w:r>
      <w:r>
        <w:t xml:space="preserve"> Australian New Zealand Clinical Trials Registry registration number: </w:t>
      </w:r>
      <w:r w:rsidRPr="00A90F28">
        <w:t>ACTRN12615000909527</w:t>
      </w:r>
      <w:r>
        <w:t>. Available at:</w:t>
      </w:r>
      <w:r w:rsidR="00431B21">
        <w:t xml:space="preserve"> </w:t>
      </w:r>
      <w:hyperlink r:id="rId2" w:history="1">
        <w:r w:rsidR="00431B21" w:rsidRPr="00EA1E25">
          <w:rPr>
            <w:rStyle w:val="Hyperlink"/>
          </w:rPr>
          <w:t>https://ctc.usyd.edu.au/our-research/research-areas/cancer/cancer-divisions/gastro-intestinal-cancers/in-follow-up/control-nets/</w:t>
        </w:r>
      </w:hyperlink>
      <w:r w:rsidR="00431B21">
        <w:t>.</w:t>
      </w:r>
    </w:p>
  </w:footnote>
  <w:footnote w:id="16">
    <w:p w14:paraId="2BB17C4E" w14:textId="7A726E5A" w:rsidR="00C94927" w:rsidRDefault="00C94927">
      <w:pPr>
        <w:pStyle w:val="FootnoteText"/>
      </w:pPr>
      <w:r>
        <w:rPr>
          <w:rStyle w:val="FootnoteReference"/>
        </w:rPr>
        <w:footnoteRef/>
      </w:r>
      <w:r>
        <w:t xml:space="preserve"> </w:t>
      </w:r>
      <w:r w:rsidRPr="0027481A">
        <w:t>Clinical Oncology Society of Australia guidelines</w:t>
      </w:r>
      <w:r>
        <w:t xml:space="preserve">. Available at: </w:t>
      </w:r>
      <w:hyperlink r:id="rId3" w:history="1">
        <w:r w:rsidRPr="00A0295B">
          <w:rPr>
            <w:rStyle w:val="Hyperlink"/>
          </w:rPr>
          <w:t>https://www.cosa.org.au/publications/guidelines.aspx</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B420" w14:textId="77777777" w:rsidR="00C94927" w:rsidRDefault="00C94927"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904C" w14:textId="77777777" w:rsidR="00C94927" w:rsidRDefault="00C94927">
    <w:pPr>
      <w:rPr>
        <w:noProof/>
        <w:lang w:eastAsia="en-AU"/>
      </w:rPr>
    </w:pPr>
    <w:r w:rsidRPr="00347824">
      <w:rPr>
        <w:noProof/>
        <w:lang w:val="en-GB" w:eastAsia="en-GB"/>
      </w:rPr>
      <w:drawing>
        <wp:anchor distT="0" distB="0" distL="114300" distR="114300" simplePos="0" relativeHeight="251659264" behindDoc="1" locked="0" layoutInCell="1" allowOverlap="1" wp14:anchorId="5C6A2FD5" wp14:editId="70B9DE5C">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C1CB" w14:textId="77777777" w:rsidR="00C94927" w:rsidRDefault="00C949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796B" w14:textId="77777777" w:rsidR="00C94927" w:rsidRDefault="00C94927">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CD13" w14:textId="77777777" w:rsidR="00C94927" w:rsidRDefault="00C94927">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F3FB" w14:textId="77777777" w:rsidR="00C94927" w:rsidRDefault="00C949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5F6C" w14:textId="77777777" w:rsidR="00C94927" w:rsidRDefault="00C94927"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DDFF" w14:textId="77777777" w:rsidR="00C94927" w:rsidRDefault="00C94927" w:rsidP="006E08B3">
    <w:r>
      <w:t>Therapeutic Goods Administration</w:t>
    </w:r>
  </w:p>
  <w:p w14:paraId="645A32D4" w14:textId="77777777" w:rsidR="00C94927" w:rsidRDefault="00C94927"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25640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94226C0"/>
    <w:multiLevelType w:val="hybridMultilevel"/>
    <w:tmpl w:val="A31AA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32162"/>
    <w:multiLevelType w:val="hybridMultilevel"/>
    <w:tmpl w:val="1FB61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5D3B04"/>
    <w:multiLevelType w:val="hybridMultilevel"/>
    <w:tmpl w:val="4808F13A"/>
    <w:lvl w:ilvl="0" w:tplc="93A4A396">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5"/>
  </w:num>
  <w:num w:numId="29">
    <w:abstractNumId w:val="7"/>
  </w:num>
  <w:num w:numId="30">
    <w:abstractNumId w:val="11"/>
  </w:num>
  <w:num w:numId="31">
    <w:abstractNumId w:val="4"/>
  </w:num>
  <w:num w:numId="32">
    <w:abstractNumId w:val="14"/>
  </w:num>
  <w:num w:numId="33">
    <w:abstractNumId w:val="10"/>
  </w:num>
  <w:num w:numId="34">
    <w:abstractNumId w:val="12"/>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C2"/>
    <w:rsid w:val="00002031"/>
    <w:rsid w:val="00002DA2"/>
    <w:rsid w:val="00004734"/>
    <w:rsid w:val="00006B22"/>
    <w:rsid w:val="00006FAB"/>
    <w:rsid w:val="0001276A"/>
    <w:rsid w:val="00020A3F"/>
    <w:rsid w:val="000246AE"/>
    <w:rsid w:val="00025C67"/>
    <w:rsid w:val="00044772"/>
    <w:rsid w:val="0004541C"/>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935"/>
    <w:rsid w:val="00110EA5"/>
    <w:rsid w:val="00112F56"/>
    <w:rsid w:val="00117C1F"/>
    <w:rsid w:val="00122C2E"/>
    <w:rsid w:val="00124ACD"/>
    <w:rsid w:val="00125318"/>
    <w:rsid w:val="001305A2"/>
    <w:rsid w:val="00133238"/>
    <w:rsid w:val="00133A1B"/>
    <w:rsid w:val="0014197B"/>
    <w:rsid w:val="001447CD"/>
    <w:rsid w:val="00146FDD"/>
    <w:rsid w:val="001516B1"/>
    <w:rsid w:val="00151A52"/>
    <w:rsid w:val="001525DA"/>
    <w:rsid w:val="00154EBB"/>
    <w:rsid w:val="00156316"/>
    <w:rsid w:val="00156704"/>
    <w:rsid w:val="00161181"/>
    <w:rsid w:val="00161D56"/>
    <w:rsid w:val="00162759"/>
    <w:rsid w:val="00162D14"/>
    <w:rsid w:val="00163780"/>
    <w:rsid w:val="00164484"/>
    <w:rsid w:val="00165389"/>
    <w:rsid w:val="0017693F"/>
    <w:rsid w:val="0018110E"/>
    <w:rsid w:val="00181684"/>
    <w:rsid w:val="001843C6"/>
    <w:rsid w:val="001850E0"/>
    <w:rsid w:val="00185407"/>
    <w:rsid w:val="00193140"/>
    <w:rsid w:val="001976C5"/>
    <w:rsid w:val="001A03AF"/>
    <w:rsid w:val="001A2158"/>
    <w:rsid w:val="001A24C6"/>
    <w:rsid w:val="001A525F"/>
    <w:rsid w:val="001A5A00"/>
    <w:rsid w:val="001A66B8"/>
    <w:rsid w:val="001B09F9"/>
    <w:rsid w:val="001B1DA4"/>
    <w:rsid w:val="001B5C90"/>
    <w:rsid w:val="001B6448"/>
    <w:rsid w:val="001C32CD"/>
    <w:rsid w:val="001D2984"/>
    <w:rsid w:val="001E07CF"/>
    <w:rsid w:val="001E359E"/>
    <w:rsid w:val="001E58D5"/>
    <w:rsid w:val="001E59F1"/>
    <w:rsid w:val="001F2CEE"/>
    <w:rsid w:val="001F49EB"/>
    <w:rsid w:val="001F6CBA"/>
    <w:rsid w:val="00201D4E"/>
    <w:rsid w:val="002076C9"/>
    <w:rsid w:val="00220B8A"/>
    <w:rsid w:val="002257F3"/>
    <w:rsid w:val="002314EA"/>
    <w:rsid w:val="00233456"/>
    <w:rsid w:val="002339A5"/>
    <w:rsid w:val="00250271"/>
    <w:rsid w:val="00250F35"/>
    <w:rsid w:val="00252139"/>
    <w:rsid w:val="00257848"/>
    <w:rsid w:val="002578E8"/>
    <w:rsid w:val="0027084A"/>
    <w:rsid w:val="00271E85"/>
    <w:rsid w:val="00274314"/>
    <w:rsid w:val="0027481A"/>
    <w:rsid w:val="00280265"/>
    <w:rsid w:val="00286434"/>
    <w:rsid w:val="00286653"/>
    <w:rsid w:val="00286C59"/>
    <w:rsid w:val="00291957"/>
    <w:rsid w:val="002942D1"/>
    <w:rsid w:val="0029501A"/>
    <w:rsid w:val="002A3721"/>
    <w:rsid w:val="002B1638"/>
    <w:rsid w:val="002B3624"/>
    <w:rsid w:val="002C036A"/>
    <w:rsid w:val="002D0952"/>
    <w:rsid w:val="002E40B3"/>
    <w:rsid w:val="002E4C9A"/>
    <w:rsid w:val="002F11F8"/>
    <w:rsid w:val="002F3F56"/>
    <w:rsid w:val="002F44B5"/>
    <w:rsid w:val="002F5122"/>
    <w:rsid w:val="003052A8"/>
    <w:rsid w:val="00311AC0"/>
    <w:rsid w:val="003176FC"/>
    <w:rsid w:val="00324E45"/>
    <w:rsid w:val="0032583B"/>
    <w:rsid w:val="00327883"/>
    <w:rsid w:val="00330ED7"/>
    <w:rsid w:val="00332715"/>
    <w:rsid w:val="003342F9"/>
    <w:rsid w:val="00335504"/>
    <w:rsid w:val="00340C18"/>
    <w:rsid w:val="003442FD"/>
    <w:rsid w:val="00347824"/>
    <w:rsid w:val="00350567"/>
    <w:rsid w:val="00351A95"/>
    <w:rsid w:val="003521E8"/>
    <w:rsid w:val="00370CE3"/>
    <w:rsid w:val="003728F3"/>
    <w:rsid w:val="003735BC"/>
    <w:rsid w:val="0037496E"/>
    <w:rsid w:val="00383221"/>
    <w:rsid w:val="00386150"/>
    <w:rsid w:val="003874CE"/>
    <w:rsid w:val="00390900"/>
    <w:rsid w:val="003A766B"/>
    <w:rsid w:val="003A7F6C"/>
    <w:rsid w:val="003B4D60"/>
    <w:rsid w:val="003B707C"/>
    <w:rsid w:val="003B7E39"/>
    <w:rsid w:val="003C58DC"/>
    <w:rsid w:val="003C674F"/>
    <w:rsid w:val="003D1E62"/>
    <w:rsid w:val="003E0B99"/>
    <w:rsid w:val="003E2486"/>
    <w:rsid w:val="003E3208"/>
    <w:rsid w:val="003F0B04"/>
    <w:rsid w:val="0040134E"/>
    <w:rsid w:val="00431B21"/>
    <w:rsid w:val="004334C7"/>
    <w:rsid w:val="00440A2D"/>
    <w:rsid w:val="00441643"/>
    <w:rsid w:val="00441C3F"/>
    <w:rsid w:val="00444177"/>
    <w:rsid w:val="00444D1A"/>
    <w:rsid w:val="004505DB"/>
    <w:rsid w:val="0045186A"/>
    <w:rsid w:val="00454BDC"/>
    <w:rsid w:val="004564A7"/>
    <w:rsid w:val="00456765"/>
    <w:rsid w:val="00460036"/>
    <w:rsid w:val="004617BF"/>
    <w:rsid w:val="004626B9"/>
    <w:rsid w:val="00463658"/>
    <w:rsid w:val="004637A0"/>
    <w:rsid w:val="004722CC"/>
    <w:rsid w:val="00490483"/>
    <w:rsid w:val="004936E4"/>
    <w:rsid w:val="00494E60"/>
    <w:rsid w:val="00497487"/>
    <w:rsid w:val="004A2771"/>
    <w:rsid w:val="004A6189"/>
    <w:rsid w:val="004A7390"/>
    <w:rsid w:val="004B7126"/>
    <w:rsid w:val="004B7B76"/>
    <w:rsid w:val="004C239D"/>
    <w:rsid w:val="004C2B1B"/>
    <w:rsid w:val="004C2DCA"/>
    <w:rsid w:val="004C4FBE"/>
    <w:rsid w:val="004C61D2"/>
    <w:rsid w:val="004E4E4F"/>
    <w:rsid w:val="004F0C4A"/>
    <w:rsid w:val="004F0F38"/>
    <w:rsid w:val="004F47D6"/>
    <w:rsid w:val="00500337"/>
    <w:rsid w:val="00501921"/>
    <w:rsid w:val="00505417"/>
    <w:rsid w:val="0052149B"/>
    <w:rsid w:val="00523A21"/>
    <w:rsid w:val="00530354"/>
    <w:rsid w:val="0053625B"/>
    <w:rsid w:val="005434C6"/>
    <w:rsid w:val="00543B39"/>
    <w:rsid w:val="00545CDB"/>
    <w:rsid w:val="00546154"/>
    <w:rsid w:val="00547069"/>
    <w:rsid w:val="00547225"/>
    <w:rsid w:val="00550096"/>
    <w:rsid w:val="00555280"/>
    <w:rsid w:val="00557FF9"/>
    <w:rsid w:val="00562327"/>
    <w:rsid w:val="005711D5"/>
    <w:rsid w:val="00576378"/>
    <w:rsid w:val="00577130"/>
    <w:rsid w:val="00577945"/>
    <w:rsid w:val="00577E38"/>
    <w:rsid w:val="00585322"/>
    <w:rsid w:val="0058534B"/>
    <w:rsid w:val="005857C6"/>
    <w:rsid w:val="00592F6E"/>
    <w:rsid w:val="00593AD1"/>
    <w:rsid w:val="005949AF"/>
    <w:rsid w:val="005A68B6"/>
    <w:rsid w:val="005A79F5"/>
    <w:rsid w:val="005C494B"/>
    <w:rsid w:val="005C5570"/>
    <w:rsid w:val="005C5B66"/>
    <w:rsid w:val="005C79A4"/>
    <w:rsid w:val="005D5442"/>
    <w:rsid w:val="005F652E"/>
    <w:rsid w:val="00603F32"/>
    <w:rsid w:val="00605AD4"/>
    <w:rsid w:val="006136D7"/>
    <w:rsid w:val="00622AF2"/>
    <w:rsid w:val="00625A6E"/>
    <w:rsid w:val="00630D6A"/>
    <w:rsid w:val="00632398"/>
    <w:rsid w:val="00640FC3"/>
    <w:rsid w:val="00642020"/>
    <w:rsid w:val="006427E1"/>
    <w:rsid w:val="006430EE"/>
    <w:rsid w:val="00643CE5"/>
    <w:rsid w:val="00647F06"/>
    <w:rsid w:val="0065337B"/>
    <w:rsid w:val="0065419D"/>
    <w:rsid w:val="00654E6D"/>
    <w:rsid w:val="006603BC"/>
    <w:rsid w:val="006604D8"/>
    <w:rsid w:val="00664A5B"/>
    <w:rsid w:val="0066735C"/>
    <w:rsid w:val="006763D2"/>
    <w:rsid w:val="0067743B"/>
    <w:rsid w:val="00680C08"/>
    <w:rsid w:val="006901BA"/>
    <w:rsid w:val="006916A0"/>
    <w:rsid w:val="006931B1"/>
    <w:rsid w:val="006A15C0"/>
    <w:rsid w:val="006A58A8"/>
    <w:rsid w:val="006C0B3E"/>
    <w:rsid w:val="006C3E2A"/>
    <w:rsid w:val="006C642F"/>
    <w:rsid w:val="006D03E5"/>
    <w:rsid w:val="006D5D3E"/>
    <w:rsid w:val="006E08B3"/>
    <w:rsid w:val="006E7D4A"/>
    <w:rsid w:val="006F17AC"/>
    <w:rsid w:val="006F25B8"/>
    <w:rsid w:val="006F572E"/>
    <w:rsid w:val="007046D6"/>
    <w:rsid w:val="00705DB0"/>
    <w:rsid w:val="0072292E"/>
    <w:rsid w:val="00722B57"/>
    <w:rsid w:val="007256B4"/>
    <w:rsid w:val="00730F8A"/>
    <w:rsid w:val="00735A8C"/>
    <w:rsid w:val="0073708B"/>
    <w:rsid w:val="0074163C"/>
    <w:rsid w:val="0074253D"/>
    <w:rsid w:val="00744121"/>
    <w:rsid w:val="0074429B"/>
    <w:rsid w:val="00754215"/>
    <w:rsid w:val="0075463A"/>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93A59"/>
    <w:rsid w:val="007A46F5"/>
    <w:rsid w:val="007A4C6F"/>
    <w:rsid w:val="007A6505"/>
    <w:rsid w:val="007B223A"/>
    <w:rsid w:val="007B3F25"/>
    <w:rsid w:val="007B6132"/>
    <w:rsid w:val="007B6E9F"/>
    <w:rsid w:val="007C1216"/>
    <w:rsid w:val="007C1AF7"/>
    <w:rsid w:val="007C6B9B"/>
    <w:rsid w:val="007D53B6"/>
    <w:rsid w:val="007E2323"/>
    <w:rsid w:val="00800DA9"/>
    <w:rsid w:val="00804D99"/>
    <w:rsid w:val="00805D27"/>
    <w:rsid w:val="00806DCB"/>
    <w:rsid w:val="00807267"/>
    <w:rsid w:val="008110BC"/>
    <w:rsid w:val="00821776"/>
    <w:rsid w:val="008321F5"/>
    <w:rsid w:val="00832369"/>
    <w:rsid w:val="00833ED8"/>
    <w:rsid w:val="00834660"/>
    <w:rsid w:val="00836BC2"/>
    <w:rsid w:val="00840C1D"/>
    <w:rsid w:val="0085156D"/>
    <w:rsid w:val="00852B28"/>
    <w:rsid w:val="00854553"/>
    <w:rsid w:val="0085641B"/>
    <w:rsid w:val="00856BAE"/>
    <w:rsid w:val="00857136"/>
    <w:rsid w:val="00865B03"/>
    <w:rsid w:val="00875A6B"/>
    <w:rsid w:val="00885B11"/>
    <w:rsid w:val="00886D15"/>
    <w:rsid w:val="00887DD8"/>
    <w:rsid w:val="00891BA9"/>
    <w:rsid w:val="00894D35"/>
    <w:rsid w:val="00896018"/>
    <w:rsid w:val="008960DD"/>
    <w:rsid w:val="0089635C"/>
    <w:rsid w:val="008A2B9D"/>
    <w:rsid w:val="008A3D9F"/>
    <w:rsid w:val="008A4154"/>
    <w:rsid w:val="008A5E0B"/>
    <w:rsid w:val="008A6ACC"/>
    <w:rsid w:val="008A6D59"/>
    <w:rsid w:val="008B4B03"/>
    <w:rsid w:val="008B51DF"/>
    <w:rsid w:val="008B596F"/>
    <w:rsid w:val="008C159F"/>
    <w:rsid w:val="008C1623"/>
    <w:rsid w:val="008C1850"/>
    <w:rsid w:val="008C25AC"/>
    <w:rsid w:val="008C51A9"/>
    <w:rsid w:val="008D29C8"/>
    <w:rsid w:val="008E14EB"/>
    <w:rsid w:val="008E7846"/>
    <w:rsid w:val="008F02E5"/>
    <w:rsid w:val="008F1CCC"/>
    <w:rsid w:val="008F2967"/>
    <w:rsid w:val="008F6943"/>
    <w:rsid w:val="00902A21"/>
    <w:rsid w:val="0091523F"/>
    <w:rsid w:val="00920330"/>
    <w:rsid w:val="009219D7"/>
    <w:rsid w:val="00922D53"/>
    <w:rsid w:val="00923B70"/>
    <w:rsid w:val="00924482"/>
    <w:rsid w:val="00930237"/>
    <w:rsid w:val="009303BF"/>
    <w:rsid w:val="00937C17"/>
    <w:rsid w:val="00940A89"/>
    <w:rsid w:val="00941F77"/>
    <w:rsid w:val="00946EA5"/>
    <w:rsid w:val="009556D7"/>
    <w:rsid w:val="00960520"/>
    <w:rsid w:val="009623D3"/>
    <w:rsid w:val="00963C08"/>
    <w:rsid w:val="009752A5"/>
    <w:rsid w:val="0098585A"/>
    <w:rsid w:val="00992227"/>
    <w:rsid w:val="009A293C"/>
    <w:rsid w:val="009A4CED"/>
    <w:rsid w:val="009A690D"/>
    <w:rsid w:val="009B05AC"/>
    <w:rsid w:val="009B1D12"/>
    <w:rsid w:val="009B416B"/>
    <w:rsid w:val="009C4BD5"/>
    <w:rsid w:val="009D7B77"/>
    <w:rsid w:val="009E0BB0"/>
    <w:rsid w:val="009E3FBB"/>
    <w:rsid w:val="009E5A87"/>
    <w:rsid w:val="009F2673"/>
    <w:rsid w:val="009F7353"/>
    <w:rsid w:val="00A0395E"/>
    <w:rsid w:val="00A04F85"/>
    <w:rsid w:val="00A05FA4"/>
    <w:rsid w:val="00A102E4"/>
    <w:rsid w:val="00A1219C"/>
    <w:rsid w:val="00A12C42"/>
    <w:rsid w:val="00A14DF7"/>
    <w:rsid w:val="00A20F5F"/>
    <w:rsid w:val="00A22D57"/>
    <w:rsid w:val="00A304FA"/>
    <w:rsid w:val="00A3246D"/>
    <w:rsid w:val="00A36C34"/>
    <w:rsid w:val="00A36FA7"/>
    <w:rsid w:val="00A44DDB"/>
    <w:rsid w:val="00A475B7"/>
    <w:rsid w:val="00A47AF7"/>
    <w:rsid w:val="00A47C3E"/>
    <w:rsid w:val="00A50226"/>
    <w:rsid w:val="00A60BAD"/>
    <w:rsid w:val="00A60F56"/>
    <w:rsid w:val="00A61415"/>
    <w:rsid w:val="00A66B2C"/>
    <w:rsid w:val="00A6750A"/>
    <w:rsid w:val="00A77F87"/>
    <w:rsid w:val="00A80B5B"/>
    <w:rsid w:val="00A84E36"/>
    <w:rsid w:val="00A90F28"/>
    <w:rsid w:val="00A964D1"/>
    <w:rsid w:val="00AA0ED0"/>
    <w:rsid w:val="00AC1774"/>
    <w:rsid w:val="00AC2B40"/>
    <w:rsid w:val="00AC2BB2"/>
    <w:rsid w:val="00AC2C3C"/>
    <w:rsid w:val="00AC512D"/>
    <w:rsid w:val="00AD0083"/>
    <w:rsid w:val="00AD3935"/>
    <w:rsid w:val="00AE65EB"/>
    <w:rsid w:val="00AE67A7"/>
    <w:rsid w:val="00AF1D94"/>
    <w:rsid w:val="00AF2313"/>
    <w:rsid w:val="00AF60C5"/>
    <w:rsid w:val="00AF6F8B"/>
    <w:rsid w:val="00B009C6"/>
    <w:rsid w:val="00B01548"/>
    <w:rsid w:val="00B12F06"/>
    <w:rsid w:val="00B130C5"/>
    <w:rsid w:val="00B13EBD"/>
    <w:rsid w:val="00B1406F"/>
    <w:rsid w:val="00B21D29"/>
    <w:rsid w:val="00B25034"/>
    <w:rsid w:val="00B33588"/>
    <w:rsid w:val="00B33863"/>
    <w:rsid w:val="00B357EB"/>
    <w:rsid w:val="00B37D17"/>
    <w:rsid w:val="00B4175E"/>
    <w:rsid w:val="00B41C85"/>
    <w:rsid w:val="00B452CE"/>
    <w:rsid w:val="00B54C25"/>
    <w:rsid w:val="00B76B91"/>
    <w:rsid w:val="00B77EB1"/>
    <w:rsid w:val="00B811C6"/>
    <w:rsid w:val="00B855B0"/>
    <w:rsid w:val="00B92E08"/>
    <w:rsid w:val="00BB0B78"/>
    <w:rsid w:val="00BB75D6"/>
    <w:rsid w:val="00BC137F"/>
    <w:rsid w:val="00BC622A"/>
    <w:rsid w:val="00BC6C7B"/>
    <w:rsid w:val="00BE0A78"/>
    <w:rsid w:val="00BE6542"/>
    <w:rsid w:val="00BE79F0"/>
    <w:rsid w:val="00BF046D"/>
    <w:rsid w:val="00BF05D8"/>
    <w:rsid w:val="00BF1190"/>
    <w:rsid w:val="00BF3774"/>
    <w:rsid w:val="00BF5D04"/>
    <w:rsid w:val="00BF7063"/>
    <w:rsid w:val="00C009AA"/>
    <w:rsid w:val="00C01C02"/>
    <w:rsid w:val="00C04880"/>
    <w:rsid w:val="00C10A0B"/>
    <w:rsid w:val="00C1164D"/>
    <w:rsid w:val="00C16861"/>
    <w:rsid w:val="00C34133"/>
    <w:rsid w:val="00C346AB"/>
    <w:rsid w:val="00C404A6"/>
    <w:rsid w:val="00C40A36"/>
    <w:rsid w:val="00C44419"/>
    <w:rsid w:val="00C458AF"/>
    <w:rsid w:val="00C45E7B"/>
    <w:rsid w:val="00C471B1"/>
    <w:rsid w:val="00C525A2"/>
    <w:rsid w:val="00C52E24"/>
    <w:rsid w:val="00C6316B"/>
    <w:rsid w:val="00C634A9"/>
    <w:rsid w:val="00C64586"/>
    <w:rsid w:val="00C70A36"/>
    <w:rsid w:val="00C70D53"/>
    <w:rsid w:val="00C73D0B"/>
    <w:rsid w:val="00C74F5C"/>
    <w:rsid w:val="00C750AC"/>
    <w:rsid w:val="00C772FF"/>
    <w:rsid w:val="00C80137"/>
    <w:rsid w:val="00C801AF"/>
    <w:rsid w:val="00C80256"/>
    <w:rsid w:val="00C833C2"/>
    <w:rsid w:val="00C91A90"/>
    <w:rsid w:val="00C94927"/>
    <w:rsid w:val="00C94CD4"/>
    <w:rsid w:val="00C9747E"/>
    <w:rsid w:val="00CA12FB"/>
    <w:rsid w:val="00CA528F"/>
    <w:rsid w:val="00CB6BC0"/>
    <w:rsid w:val="00CC1B7C"/>
    <w:rsid w:val="00CC5044"/>
    <w:rsid w:val="00CC727F"/>
    <w:rsid w:val="00CF15C3"/>
    <w:rsid w:val="00CF2B6F"/>
    <w:rsid w:val="00CF2F3E"/>
    <w:rsid w:val="00CF58B6"/>
    <w:rsid w:val="00CF5DAD"/>
    <w:rsid w:val="00D0062D"/>
    <w:rsid w:val="00D017ED"/>
    <w:rsid w:val="00D040D3"/>
    <w:rsid w:val="00D04C65"/>
    <w:rsid w:val="00D153D8"/>
    <w:rsid w:val="00D201D2"/>
    <w:rsid w:val="00D212F3"/>
    <w:rsid w:val="00D224FE"/>
    <w:rsid w:val="00D23139"/>
    <w:rsid w:val="00D425BB"/>
    <w:rsid w:val="00D453FA"/>
    <w:rsid w:val="00D468CA"/>
    <w:rsid w:val="00D504DC"/>
    <w:rsid w:val="00D56348"/>
    <w:rsid w:val="00D6493E"/>
    <w:rsid w:val="00D7195D"/>
    <w:rsid w:val="00D72CBA"/>
    <w:rsid w:val="00D7301E"/>
    <w:rsid w:val="00D83AE1"/>
    <w:rsid w:val="00D854AC"/>
    <w:rsid w:val="00D855D4"/>
    <w:rsid w:val="00D902C9"/>
    <w:rsid w:val="00D93466"/>
    <w:rsid w:val="00DA1124"/>
    <w:rsid w:val="00DA64CB"/>
    <w:rsid w:val="00DB06B8"/>
    <w:rsid w:val="00DB33B4"/>
    <w:rsid w:val="00DB6124"/>
    <w:rsid w:val="00DB750B"/>
    <w:rsid w:val="00DB75B7"/>
    <w:rsid w:val="00DC0A2F"/>
    <w:rsid w:val="00DC1948"/>
    <w:rsid w:val="00DC6E02"/>
    <w:rsid w:val="00DD28CD"/>
    <w:rsid w:val="00DE02AE"/>
    <w:rsid w:val="00DE0798"/>
    <w:rsid w:val="00DE39D1"/>
    <w:rsid w:val="00DF1D7F"/>
    <w:rsid w:val="00DF4BE4"/>
    <w:rsid w:val="00DF7C6F"/>
    <w:rsid w:val="00E02382"/>
    <w:rsid w:val="00E02FB4"/>
    <w:rsid w:val="00E13FC7"/>
    <w:rsid w:val="00E20571"/>
    <w:rsid w:val="00E235F7"/>
    <w:rsid w:val="00E23659"/>
    <w:rsid w:val="00E239D4"/>
    <w:rsid w:val="00E26130"/>
    <w:rsid w:val="00E26E8A"/>
    <w:rsid w:val="00E27C5E"/>
    <w:rsid w:val="00E33D42"/>
    <w:rsid w:val="00E40B22"/>
    <w:rsid w:val="00E44ED1"/>
    <w:rsid w:val="00E45619"/>
    <w:rsid w:val="00E4588F"/>
    <w:rsid w:val="00E46DA3"/>
    <w:rsid w:val="00E51BB1"/>
    <w:rsid w:val="00E55CB0"/>
    <w:rsid w:val="00E624A5"/>
    <w:rsid w:val="00E64BA4"/>
    <w:rsid w:val="00E66CE3"/>
    <w:rsid w:val="00E7344E"/>
    <w:rsid w:val="00E74EED"/>
    <w:rsid w:val="00E77AEB"/>
    <w:rsid w:val="00E82665"/>
    <w:rsid w:val="00E9414E"/>
    <w:rsid w:val="00EB0798"/>
    <w:rsid w:val="00EB36D6"/>
    <w:rsid w:val="00EB40AD"/>
    <w:rsid w:val="00EB586E"/>
    <w:rsid w:val="00EB5FC8"/>
    <w:rsid w:val="00EC463D"/>
    <w:rsid w:val="00EC7A85"/>
    <w:rsid w:val="00ED08F7"/>
    <w:rsid w:val="00ED2922"/>
    <w:rsid w:val="00ED3CAD"/>
    <w:rsid w:val="00ED47EB"/>
    <w:rsid w:val="00ED5A41"/>
    <w:rsid w:val="00EE0338"/>
    <w:rsid w:val="00EE1DE8"/>
    <w:rsid w:val="00EE27C2"/>
    <w:rsid w:val="00EF39C2"/>
    <w:rsid w:val="00EF4BAD"/>
    <w:rsid w:val="00EF59DC"/>
    <w:rsid w:val="00F033EC"/>
    <w:rsid w:val="00F04F68"/>
    <w:rsid w:val="00F05926"/>
    <w:rsid w:val="00F11757"/>
    <w:rsid w:val="00F124FD"/>
    <w:rsid w:val="00F12670"/>
    <w:rsid w:val="00F14B27"/>
    <w:rsid w:val="00F24638"/>
    <w:rsid w:val="00F30734"/>
    <w:rsid w:val="00F3148D"/>
    <w:rsid w:val="00F325C5"/>
    <w:rsid w:val="00F32FE0"/>
    <w:rsid w:val="00F35298"/>
    <w:rsid w:val="00F47333"/>
    <w:rsid w:val="00F47E37"/>
    <w:rsid w:val="00F53C07"/>
    <w:rsid w:val="00F54B65"/>
    <w:rsid w:val="00F63DBF"/>
    <w:rsid w:val="00F640B6"/>
    <w:rsid w:val="00F66DF2"/>
    <w:rsid w:val="00F74A0A"/>
    <w:rsid w:val="00F80E40"/>
    <w:rsid w:val="00F848D9"/>
    <w:rsid w:val="00F931CE"/>
    <w:rsid w:val="00FA4BBA"/>
    <w:rsid w:val="00FA5069"/>
    <w:rsid w:val="00FA5B82"/>
    <w:rsid w:val="00FA639E"/>
    <w:rsid w:val="00FC1FCA"/>
    <w:rsid w:val="00FC25E4"/>
    <w:rsid w:val="00FC4EF7"/>
    <w:rsid w:val="00FD0824"/>
    <w:rsid w:val="00FD119B"/>
    <w:rsid w:val="00FD1EDC"/>
    <w:rsid w:val="00FD67C1"/>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B693E0"/>
  <w15:docId w15:val="{815ABD87-5328-4A47-85FF-E7AA067B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08F7"/>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customStyle="1" w:styleId="Default">
    <w:name w:val="Default"/>
    <w:rsid w:val="003A766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rsid w:val="00854553"/>
    <w:pPr>
      <w:adjustRightInd w:val="0"/>
      <w:snapToGrid w:val="0"/>
      <w:spacing w:before="180" w:after="180"/>
      <w:ind w:left="720"/>
      <w:contextualSpacing/>
    </w:pPr>
    <w:rPr>
      <w:rFonts w:eastAsia="MS Mincho"/>
      <w:szCs w:val="20"/>
      <w:lang w:eastAsia="ja-JP"/>
    </w:rPr>
  </w:style>
  <w:style w:type="paragraph" w:customStyle="1" w:styleId="Bulletlist">
    <w:name w:val="Bullet list"/>
    <w:basedOn w:val="Normal"/>
    <w:link w:val="BulletlistChar"/>
    <w:qFormat/>
    <w:rsid w:val="00854553"/>
    <w:pPr>
      <w:numPr>
        <w:numId w:val="35"/>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854553"/>
    <w:rPr>
      <w:rFonts w:ascii="Cambria" w:eastAsia="Times New Roman" w:hAnsi="Cambria" w:cs="Times New Roman"/>
      <w:snapToGrid w:val="0"/>
      <w:kern w:val="2"/>
      <w:sz w:val="23"/>
    </w:rPr>
  </w:style>
  <w:style w:type="paragraph" w:customStyle="1" w:styleId="Standard">
    <w:name w:val="Standard"/>
    <w:basedOn w:val="Normal"/>
    <w:link w:val="StandardChar"/>
    <w:qFormat/>
    <w:rsid w:val="00854553"/>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54553"/>
    <w:rPr>
      <w:rFonts w:ascii="Cambria" w:eastAsia="Times New Roman" w:hAnsi="Cambria" w:cs="Times New Roman"/>
      <w:snapToGrid w:val="0"/>
      <w:kern w:val="16"/>
      <w:sz w:val="23"/>
      <w:szCs w:val="24"/>
    </w:rPr>
  </w:style>
  <w:style w:type="character" w:customStyle="1" w:styleId="TabletextChar">
    <w:name w:val="Table text Char"/>
    <w:basedOn w:val="StandardChar"/>
    <w:link w:val="Tabletext"/>
    <w:rsid w:val="00854553"/>
    <w:rPr>
      <w:rFonts w:ascii="Cambria" w:eastAsia="Cambria" w:hAnsi="Cambria" w:cs="Times New Roman"/>
      <w:snapToGrid/>
      <w:kern w:val="16"/>
      <w:sz w:val="19"/>
      <w:szCs w:val="24"/>
    </w:rPr>
  </w:style>
  <w:style w:type="character" w:styleId="UnresolvedMention">
    <w:name w:val="Unresolved Mention"/>
    <w:basedOn w:val="DefaultParagraphFont"/>
    <w:uiPriority w:val="99"/>
    <w:semiHidden/>
    <w:unhideWhenUsed/>
    <w:rsid w:val="0043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849640163">
      <w:bodyDiv w:val="1"/>
      <w:marLeft w:val="0"/>
      <w:marRight w:val="0"/>
      <w:marTop w:val="0"/>
      <w:marBottom w:val="0"/>
      <w:divBdr>
        <w:top w:val="none" w:sz="0" w:space="0" w:color="auto"/>
        <w:left w:val="none" w:sz="0" w:space="0" w:color="auto"/>
        <w:bottom w:val="none" w:sz="0" w:space="0" w:color="auto"/>
        <w:right w:val="none" w:sz="0" w:space="0" w:color="auto"/>
      </w:divBdr>
    </w:div>
    <w:div w:id="1792088450">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hyperlink" Target="https://www.tga.gov.au/publication/risk-management-plans-medicines-and-biologicals" TargetMode="External"/><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picmi-search-facility" TargetMode="External"/><Relationship Id="rId20" Type="http://schemas.openxmlformats.org/officeDocument/2006/relationships/hyperlink" Target="https://www.tga.gov.au/picmi-search-facilit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publication/orphan-drug-designation"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tga.copyright@tga.gov.au" TargetMode="External"/><Relationship Id="rId19" Type="http://schemas.openxmlformats.org/officeDocument/2006/relationships/hyperlink" Target="https://www.tga.gov.au/tgas-risk-management-approach"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cosa.org.au/publications/guidelines.aspx" TargetMode="External"/><Relationship Id="rId2" Type="http://schemas.openxmlformats.org/officeDocument/2006/relationships/hyperlink" Target="https://ctc.usyd.edu.au/our-research/research-areas/cancer/cancer-divisions/gastro-intestinal-cancers/in-follow-up/control-nets/" TargetMode="External"/><Relationship Id="rId1" Type="http://schemas.openxmlformats.org/officeDocument/2006/relationships/hyperlink" Target="https://www.arpansa.gov.au/regulation-and-licensing/regulatory-publications/radiation-protection-series/codes-and-standar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3C71D-05C3-4090-BE3A-054F7883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20</Pages>
  <Words>5970</Words>
  <Characters>34032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Lutetium (177Lu) chloride</dc:title>
  <dc:subject>prescription medicine regulation</dc:subject>
  <dc:creator>Therapeutic Goods Administration</dc:creator>
  <cp:keywords>AusPARs</cp:keywords>
  <cp:lastModifiedBy>PITKIN, Brendan</cp:lastModifiedBy>
  <cp:revision>39</cp:revision>
  <cp:lastPrinted>2019-08-14T04:30:00Z</cp:lastPrinted>
  <dcterms:created xsi:type="dcterms:W3CDTF">2022-08-11T01:16:00Z</dcterms:created>
  <dcterms:modified xsi:type="dcterms:W3CDTF">2022-10-05T02:50:00Z</dcterms:modified>
  <cp:category/>
</cp:coreProperties>
</file>