
<file path=[Content_Types].xml><?xml version="1.0" encoding="utf-8"?>
<Types xmlns="http://schemas.openxmlformats.org/package/2006/content-types">
  <Default Extension="gif" ContentType="image/gi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F4BDD46" w14:textId="77777777" w:rsidTr="00BF1190">
        <w:trPr>
          <w:trHeight w:val="1863"/>
        </w:trPr>
        <w:tc>
          <w:tcPr>
            <w:tcW w:w="3652" w:type="dxa"/>
            <w:tcBorders>
              <w:top w:val="nil"/>
              <w:left w:val="nil"/>
              <w:bottom w:val="nil"/>
              <w:right w:val="nil"/>
            </w:tcBorders>
          </w:tcPr>
          <w:p w14:paraId="6A16FF45" w14:textId="05D22585" w:rsidR="008E7846" w:rsidRPr="00096AA7" w:rsidRDefault="000D2C75" w:rsidP="00F931CE">
            <w:pPr>
              <w:pStyle w:val="Date"/>
              <w:framePr w:hSpace="0" w:wrap="auto" w:vAnchor="margin" w:hAnchor="text" w:yAlign="inline"/>
              <w:suppressOverlap w:val="0"/>
            </w:pPr>
            <w:r>
              <w:t>October</w:t>
            </w:r>
            <w:r w:rsidR="00634EBF">
              <w:t xml:space="preserve">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E49EA5D" w14:textId="77777777" w:rsidTr="0032583B">
        <w:trPr>
          <w:trHeight w:val="868"/>
        </w:trPr>
        <w:tc>
          <w:tcPr>
            <w:tcW w:w="9079" w:type="dxa"/>
          </w:tcPr>
          <w:p w14:paraId="6C748CC9" w14:textId="5A0B7C5A" w:rsidR="0032583B" w:rsidRPr="00A964D1" w:rsidRDefault="0032583B" w:rsidP="00F328E8">
            <w:pPr>
              <w:pStyle w:val="Title"/>
              <w:framePr w:hSpace="0" w:wrap="auto" w:vAnchor="margin" w:yAlign="inline"/>
            </w:pPr>
            <w:r w:rsidRPr="00A964D1">
              <w:t>Australian Public Assessment Report for</w:t>
            </w:r>
            <w:r w:rsidR="00AF2313">
              <w:t xml:space="preserve"> </w:t>
            </w:r>
            <w:r w:rsidR="00F328E8">
              <w:t>Comirnaty</w:t>
            </w:r>
            <w:r w:rsidR="001A7902">
              <w:t xml:space="preserve"> COVID-19 Vaccine</w:t>
            </w:r>
          </w:p>
        </w:tc>
      </w:tr>
      <w:tr w:rsidR="0032583B" w:rsidRPr="00B64760" w14:paraId="0D0D8FF9" w14:textId="77777777" w:rsidTr="0032583B">
        <w:tc>
          <w:tcPr>
            <w:tcW w:w="9079" w:type="dxa"/>
          </w:tcPr>
          <w:p w14:paraId="04B0C8A2" w14:textId="59574E56" w:rsidR="0032583B" w:rsidRPr="008E7846" w:rsidRDefault="00BB75D6" w:rsidP="00F328E8">
            <w:pPr>
              <w:pStyle w:val="Subtitle"/>
              <w:framePr w:hSpace="0" w:wrap="auto" w:vAnchor="margin" w:yAlign="inline"/>
            </w:pPr>
            <w:r>
              <w:t>Active ingredients</w:t>
            </w:r>
            <w:r w:rsidR="0032583B" w:rsidRPr="008E7846">
              <w:t xml:space="preserve">: </w:t>
            </w:r>
            <w:r w:rsidR="00F328E8">
              <w:t>tozinameran</w:t>
            </w:r>
          </w:p>
        </w:tc>
      </w:tr>
      <w:tr w:rsidR="0032583B" w:rsidRPr="00B64760" w14:paraId="5DA9AD9D" w14:textId="77777777" w:rsidTr="0032583B">
        <w:trPr>
          <w:trHeight w:val="486"/>
        </w:trPr>
        <w:tc>
          <w:tcPr>
            <w:tcW w:w="9079" w:type="dxa"/>
          </w:tcPr>
          <w:p w14:paraId="5C5901DF" w14:textId="50AD156A" w:rsidR="0032583B" w:rsidRPr="008E7846" w:rsidRDefault="00F328E8" w:rsidP="009556D7">
            <w:pPr>
              <w:pStyle w:val="Subtitle"/>
              <w:framePr w:hSpace="0" w:wrap="auto" w:vAnchor="margin" w:yAlign="inline"/>
            </w:pPr>
            <w:r>
              <w:t>Sponsor: Pfizer Australia Pty Ltd</w:t>
            </w:r>
          </w:p>
        </w:tc>
      </w:tr>
    </w:tbl>
    <w:p w14:paraId="51764590" w14:textId="77777777" w:rsidR="008E7846" w:rsidRPr="0085156D" w:rsidRDefault="008E7846" w:rsidP="0085156D">
      <w:r w:rsidRPr="0085156D">
        <w:br w:type="page"/>
      </w:r>
    </w:p>
    <w:p w14:paraId="415783DF" w14:textId="77777777" w:rsidR="008E7846" w:rsidRPr="001F6CBA" w:rsidRDefault="008E7846" w:rsidP="008E7846">
      <w:pPr>
        <w:pStyle w:val="NonTOCHeading2"/>
      </w:pPr>
      <w:r w:rsidRPr="001F6CBA">
        <w:lastRenderedPageBreak/>
        <w:t>About the Therapeutic Goods Administration (TGA)</w:t>
      </w:r>
    </w:p>
    <w:p w14:paraId="556AE4B1" w14:textId="77777777" w:rsidR="00AF2313" w:rsidRPr="00391B0C" w:rsidRDefault="00AF2313" w:rsidP="00F664E8">
      <w:pPr>
        <w:pStyle w:val="ListBullet"/>
      </w:pPr>
      <w:r w:rsidRPr="00391B0C">
        <w:t>The Therapeutic Goods Administration (TGA) is part of the Australian Government Department of Health and is responsible for regulating therapeutic goods, including medicines, medical devices, and biologicals.</w:t>
      </w:r>
    </w:p>
    <w:p w14:paraId="00D43C9C"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6925EC22"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6EE0CEC8"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4169D2AE" w14:textId="1234BD2C"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13C43927" w14:textId="77777777" w:rsidR="008E7846" w:rsidRDefault="008E7846" w:rsidP="00875A6B">
      <w:pPr>
        <w:pStyle w:val="NonTOCHeading2"/>
      </w:pPr>
      <w:r>
        <w:t xml:space="preserve">About </w:t>
      </w:r>
      <w:proofErr w:type="spellStart"/>
      <w:r>
        <w:t>AusPARs</w:t>
      </w:r>
      <w:proofErr w:type="spellEnd"/>
    </w:p>
    <w:p w14:paraId="69D13BC5" w14:textId="0C4A094B"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1AEEF406"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5C143C88"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0F6309A5"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6575C96B" w14:textId="77777777" w:rsidR="00924482" w:rsidRPr="00DF1D7F" w:rsidRDefault="00924482" w:rsidP="00F54B65">
      <w:pPr>
        <w:pStyle w:val="LegalSubheading"/>
        <w:spacing w:before="3120"/>
      </w:pPr>
      <w:r w:rsidRPr="00DF1D7F">
        <w:t>Copyright</w:t>
      </w:r>
    </w:p>
    <w:p w14:paraId="72BCFCD6" w14:textId="0F534097"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F231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573C9E51"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B927DF0" w14:textId="77777777" w:rsidR="0089635C" w:rsidRPr="00F664E8" w:rsidRDefault="0089635C" w:rsidP="00F664E8">
          <w:pPr>
            <w:pStyle w:val="Contents"/>
          </w:pPr>
          <w:r w:rsidRPr="0010788A">
            <w:t>Contents</w:t>
          </w:r>
        </w:p>
        <w:p w14:paraId="3AC32D16" w14:textId="298C4A3B" w:rsidR="00145C93"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16380302" w:history="1">
            <w:r w:rsidR="00145C93" w:rsidRPr="005F65AD">
              <w:rPr>
                <w:rStyle w:val="Hyperlink"/>
                <w:noProof/>
              </w:rPr>
              <w:t>List of abbreviations</w:t>
            </w:r>
            <w:r w:rsidR="00145C93">
              <w:rPr>
                <w:noProof/>
                <w:webHidden/>
              </w:rPr>
              <w:tab/>
            </w:r>
            <w:r w:rsidR="00145C93">
              <w:rPr>
                <w:noProof/>
                <w:webHidden/>
              </w:rPr>
              <w:fldChar w:fldCharType="begin"/>
            </w:r>
            <w:r w:rsidR="00145C93">
              <w:rPr>
                <w:noProof/>
                <w:webHidden/>
              </w:rPr>
              <w:instrText xml:space="preserve"> PAGEREF _Toc116380302 \h </w:instrText>
            </w:r>
            <w:r w:rsidR="00145C93">
              <w:rPr>
                <w:noProof/>
                <w:webHidden/>
              </w:rPr>
            </w:r>
            <w:r w:rsidR="00145C93">
              <w:rPr>
                <w:noProof/>
                <w:webHidden/>
              </w:rPr>
              <w:fldChar w:fldCharType="separate"/>
            </w:r>
            <w:r w:rsidR="00145C93">
              <w:rPr>
                <w:noProof/>
                <w:webHidden/>
              </w:rPr>
              <w:t>4</w:t>
            </w:r>
            <w:r w:rsidR="00145C93">
              <w:rPr>
                <w:noProof/>
                <w:webHidden/>
              </w:rPr>
              <w:fldChar w:fldCharType="end"/>
            </w:r>
          </w:hyperlink>
        </w:p>
        <w:p w14:paraId="6CA577C9" w14:textId="2051C7CF" w:rsidR="00145C93" w:rsidRDefault="00E875E8">
          <w:pPr>
            <w:pStyle w:val="TOC1"/>
            <w:rPr>
              <w:rFonts w:asciiTheme="minorHAnsi" w:eastAsiaTheme="minorEastAsia" w:hAnsiTheme="minorHAnsi" w:cstheme="minorBidi"/>
              <w:b w:val="0"/>
              <w:noProof/>
              <w:sz w:val="22"/>
              <w:lang w:eastAsia="en-AU"/>
            </w:rPr>
          </w:pPr>
          <w:hyperlink w:anchor="_Toc116380303" w:history="1">
            <w:r w:rsidR="00145C93" w:rsidRPr="005F65AD">
              <w:rPr>
                <w:rStyle w:val="Hyperlink"/>
                <w:noProof/>
              </w:rPr>
              <w:t>Product submission</w:t>
            </w:r>
            <w:r w:rsidR="00145C93">
              <w:rPr>
                <w:noProof/>
                <w:webHidden/>
              </w:rPr>
              <w:tab/>
            </w:r>
            <w:r w:rsidR="00145C93">
              <w:rPr>
                <w:noProof/>
                <w:webHidden/>
              </w:rPr>
              <w:fldChar w:fldCharType="begin"/>
            </w:r>
            <w:r w:rsidR="00145C93">
              <w:rPr>
                <w:noProof/>
                <w:webHidden/>
              </w:rPr>
              <w:instrText xml:space="preserve"> PAGEREF _Toc116380303 \h </w:instrText>
            </w:r>
            <w:r w:rsidR="00145C93">
              <w:rPr>
                <w:noProof/>
                <w:webHidden/>
              </w:rPr>
            </w:r>
            <w:r w:rsidR="00145C93">
              <w:rPr>
                <w:noProof/>
                <w:webHidden/>
              </w:rPr>
              <w:fldChar w:fldCharType="separate"/>
            </w:r>
            <w:r w:rsidR="00145C93">
              <w:rPr>
                <w:noProof/>
                <w:webHidden/>
              </w:rPr>
              <w:t>6</w:t>
            </w:r>
            <w:r w:rsidR="00145C93">
              <w:rPr>
                <w:noProof/>
                <w:webHidden/>
              </w:rPr>
              <w:fldChar w:fldCharType="end"/>
            </w:r>
          </w:hyperlink>
        </w:p>
        <w:p w14:paraId="22F14F36" w14:textId="57E078AB" w:rsidR="00145C93" w:rsidRDefault="00E875E8">
          <w:pPr>
            <w:pStyle w:val="TOC2"/>
            <w:rPr>
              <w:rFonts w:asciiTheme="minorHAnsi" w:eastAsiaTheme="minorEastAsia" w:hAnsiTheme="minorHAnsi" w:cstheme="minorBidi"/>
              <w:b w:val="0"/>
              <w:noProof/>
              <w:sz w:val="22"/>
              <w:lang w:eastAsia="en-AU"/>
            </w:rPr>
          </w:pPr>
          <w:hyperlink w:anchor="_Toc116380304" w:history="1">
            <w:r w:rsidR="00145C93" w:rsidRPr="005F65AD">
              <w:rPr>
                <w:rStyle w:val="Hyperlink"/>
                <w:noProof/>
                <w:lang w:eastAsia="en-AU"/>
              </w:rPr>
              <w:t>Submission details</w:t>
            </w:r>
            <w:r w:rsidR="00145C93">
              <w:rPr>
                <w:noProof/>
                <w:webHidden/>
              </w:rPr>
              <w:tab/>
            </w:r>
            <w:r w:rsidR="00145C93">
              <w:rPr>
                <w:noProof/>
                <w:webHidden/>
              </w:rPr>
              <w:fldChar w:fldCharType="begin"/>
            </w:r>
            <w:r w:rsidR="00145C93">
              <w:rPr>
                <w:noProof/>
                <w:webHidden/>
              </w:rPr>
              <w:instrText xml:space="preserve"> PAGEREF _Toc116380304 \h </w:instrText>
            </w:r>
            <w:r w:rsidR="00145C93">
              <w:rPr>
                <w:noProof/>
                <w:webHidden/>
              </w:rPr>
            </w:r>
            <w:r w:rsidR="00145C93">
              <w:rPr>
                <w:noProof/>
                <w:webHidden/>
              </w:rPr>
              <w:fldChar w:fldCharType="separate"/>
            </w:r>
            <w:r w:rsidR="00145C93">
              <w:rPr>
                <w:noProof/>
                <w:webHidden/>
              </w:rPr>
              <w:t>6</w:t>
            </w:r>
            <w:r w:rsidR="00145C93">
              <w:rPr>
                <w:noProof/>
                <w:webHidden/>
              </w:rPr>
              <w:fldChar w:fldCharType="end"/>
            </w:r>
          </w:hyperlink>
        </w:p>
        <w:p w14:paraId="1E788164" w14:textId="1CC0558B" w:rsidR="00145C93" w:rsidRDefault="00E875E8">
          <w:pPr>
            <w:pStyle w:val="TOC2"/>
            <w:rPr>
              <w:rFonts w:asciiTheme="minorHAnsi" w:eastAsiaTheme="minorEastAsia" w:hAnsiTheme="minorHAnsi" w:cstheme="minorBidi"/>
              <w:b w:val="0"/>
              <w:noProof/>
              <w:sz w:val="22"/>
              <w:lang w:eastAsia="en-AU"/>
            </w:rPr>
          </w:pPr>
          <w:hyperlink w:anchor="_Toc116380305" w:history="1">
            <w:r w:rsidR="00145C93" w:rsidRPr="005F65AD">
              <w:rPr>
                <w:rStyle w:val="Hyperlink"/>
                <w:noProof/>
              </w:rPr>
              <w:t>Product background</w:t>
            </w:r>
            <w:r w:rsidR="00145C93">
              <w:rPr>
                <w:noProof/>
                <w:webHidden/>
              </w:rPr>
              <w:tab/>
            </w:r>
            <w:r w:rsidR="00145C93">
              <w:rPr>
                <w:noProof/>
                <w:webHidden/>
              </w:rPr>
              <w:fldChar w:fldCharType="begin"/>
            </w:r>
            <w:r w:rsidR="00145C93">
              <w:rPr>
                <w:noProof/>
                <w:webHidden/>
              </w:rPr>
              <w:instrText xml:space="preserve"> PAGEREF _Toc116380305 \h </w:instrText>
            </w:r>
            <w:r w:rsidR="00145C93">
              <w:rPr>
                <w:noProof/>
                <w:webHidden/>
              </w:rPr>
            </w:r>
            <w:r w:rsidR="00145C93">
              <w:rPr>
                <w:noProof/>
                <w:webHidden/>
              </w:rPr>
              <w:fldChar w:fldCharType="separate"/>
            </w:r>
            <w:r w:rsidR="00145C93">
              <w:rPr>
                <w:noProof/>
                <w:webHidden/>
              </w:rPr>
              <w:t>7</w:t>
            </w:r>
            <w:r w:rsidR="00145C93">
              <w:rPr>
                <w:noProof/>
                <w:webHidden/>
              </w:rPr>
              <w:fldChar w:fldCharType="end"/>
            </w:r>
          </w:hyperlink>
        </w:p>
        <w:p w14:paraId="1008AAB4" w14:textId="0EA1FCAA" w:rsidR="00145C93" w:rsidRDefault="00E875E8">
          <w:pPr>
            <w:pStyle w:val="TOC2"/>
            <w:rPr>
              <w:rFonts w:asciiTheme="minorHAnsi" w:eastAsiaTheme="minorEastAsia" w:hAnsiTheme="minorHAnsi" w:cstheme="minorBidi"/>
              <w:b w:val="0"/>
              <w:noProof/>
              <w:sz w:val="22"/>
              <w:lang w:eastAsia="en-AU"/>
            </w:rPr>
          </w:pPr>
          <w:hyperlink w:anchor="_Toc116380306" w:history="1">
            <w:r w:rsidR="00145C93" w:rsidRPr="005F65AD">
              <w:rPr>
                <w:rStyle w:val="Hyperlink"/>
                <w:noProof/>
              </w:rPr>
              <w:t>Regulatory status</w:t>
            </w:r>
            <w:r w:rsidR="00145C93">
              <w:rPr>
                <w:noProof/>
                <w:webHidden/>
              </w:rPr>
              <w:tab/>
            </w:r>
            <w:r w:rsidR="00145C93">
              <w:rPr>
                <w:noProof/>
                <w:webHidden/>
              </w:rPr>
              <w:fldChar w:fldCharType="begin"/>
            </w:r>
            <w:r w:rsidR="00145C93">
              <w:rPr>
                <w:noProof/>
                <w:webHidden/>
              </w:rPr>
              <w:instrText xml:space="preserve"> PAGEREF _Toc116380306 \h </w:instrText>
            </w:r>
            <w:r w:rsidR="00145C93">
              <w:rPr>
                <w:noProof/>
                <w:webHidden/>
              </w:rPr>
            </w:r>
            <w:r w:rsidR="00145C93">
              <w:rPr>
                <w:noProof/>
                <w:webHidden/>
              </w:rPr>
              <w:fldChar w:fldCharType="separate"/>
            </w:r>
            <w:r w:rsidR="00145C93">
              <w:rPr>
                <w:noProof/>
                <w:webHidden/>
              </w:rPr>
              <w:t>14</w:t>
            </w:r>
            <w:r w:rsidR="00145C93">
              <w:rPr>
                <w:noProof/>
                <w:webHidden/>
              </w:rPr>
              <w:fldChar w:fldCharType="end"/>
            </w:r>
          </w:hyperlink>
        </w:p>
        <w:p w14:paraId="378978E8" w14:textId="40599168" w:rsidR="00145C93" w:rsidRDefault="00E875E8">
          <w:pPr>
            <w:pStyle w:val="TOC2"/>
            <w:rPr>
              <w:rFonts w:asciiTheme="minorHAnsi" w:eastAsiaTheme="minorEastAsia" w:hAnsiTheme="minorHAnsi" w:cstheme="minorBidi"/>
              <w:b w:val="0"/>
              <w:noProof/>
              <w:sz w:val="22"/>
              <w:lang w:eastAsia="en-AU"/>
            </w:rPr>
          </w:pPr>
          <w:hyperlink w:anchor="_Toc116380307" w:history="1">
            <w:r w:rsidR="00145C93" w:rsidRPr="005F65AD">
              <w:rPr>
                <w:rStyle w:val="Hyperlink"/>
                <w:noProof/>
              </w:rPr>
              <w:t>Product Information</w:t>
            </w:r>
            <w:r w:rsidR="00145C93">
              <w:rPr>
                <w:noProof/>
                <w:webHidden/>
              </w:rPr>
              <w:tab/>
            </w:r>
            <w:r w:rsidR="00145C93">
              <w:rPr>
                <w:noProof/>
                <w:webHidden/>
              </w:rPr>
              <w:fldChar w:fldCharType="begin"/>
            </w:r>
            <w:r w:rsidR="00145C93">
              <w:rPr>
                <w:noProof/>
                <w:webHidden/>
              </w:rPr>
              <w:instrText xml:space="preserve"> PAGEREF _Toc116380307 \h </w:instrText>
            </w:r>
            <w:r w:rsidR="00145C93">
              <w:rPr>
                <w:noProof/>
                <w:webHidden/>
              </w:rPr>
            </w:r>
            <w:r w:rsidR="00145C93">
              <w:rPr>
                <w:noProof/>
                <w:webHidden/>
              </w:rPr>
              <w:fldChar w:fldCharType="separate"/>
            </w:r>
            <w:r w:rsidR="00145C93">
              <w:rPr>
                <w:noProof/>
                <w:webHidden/>
              </w:rPr>
              <w:t>16</w:t>
            </w:r>
            <w:r w:rsidR="00145C93">
              <w:rPr>
                <w:noProof/>
                <w:webHidden/>
              </w:rPr>
              <w:fldChar w:fldCharType="end"/>
            </w:r>
          </w:hyperlink>
        </w:p>
        <w:p w14:paraId="2FF03AFE" w14:textId="75126B7E" w:rsidR="00145C93" w:rsidRDefault="00E875E8">
          <w:pPr>
            <w:pStyle w:val="TOC1"/>
            <w:rPr>
              <w:rFonts w:asciiTheme="minorHAnsi" w:eastAsiaTheme="minorEastAsia" w:hAnsiTheme="minorHAnsi" w:cstheme="minorBidi"/>
              <w:b w:val="0"/>
              <w:noProof/>
              <w:sz w:val="22"/>
              <w:lang w:eastAsia="en-AU"/>
            </w:rPr>
          </w:pPr>
          <w:hyperlink w:anchor="_Toc116380308" w:history="1">
            <w:r w:rsidR="00145C93" w:rsidRPr="005F65AD">
              <w:rPr>
                <w:rStyle w:val="Hyperlink"/>
                <w:noProof/>
              </w:rPr>
              <w:t>Registration timeline</w:t>
            </w:r>
            <w:r w:rsidR="00145C93">
              <w:rPr>
                <w:noProof/>
                <w:webHidden/>
              </w:rPr>
              <w:tab/>
            </w:r>
            <w:r w:rsidR="00145C93">
              <w:rPr>
                <w:noProof/>
                <w:webHidden/>
              </w:rPr>
              <w:fldChar w:fldCharType="begin"/>
            </w:r>
            <w:r w:rsidR="00145C93">
              <w:rPr>
                <w:noProof/>
                <w:webHidden/>
              </w:rPr>
              <w:instrText xml:space="preserve"> PAGEREF _Toc116380308 \h </w:instrText>
            </w:r>
            <w:r w:rsidR="00145C93">
              <w:rPr>
                <w:noProof/>
                <w:webHidden/>
              </w:rPr>
            </w:r>
            <w:r w:rsidR="00145C93">
              <w:rPr>
                <w:noProof/>
                <w:webHidden/>
              </w:rPr>
              <w:fldChar w:fldCharType="separate"/>
            </w:r>
            <w:r w:rsidR="00145C93">
              <w:rPr>
                <w:noProof/>
                <w:webHidden/>
              </w:rPr>
              <w:t>16</w:t>
            </w:r>
            <w:r w:rsidR="00145C93">
              <w:rPr>
                <w:noProof/>
                <w:webHidden/>
              </w:rPr>
              <w:fldChar w:fldCharType="end"/>
            </w:r>
          </w:hyperlink>
        </w:p>
        <w:p w14:paraId="2E13EC87" w14:textId="2CC57DE6" w:rsidR="00145C93" w:rsidRDefault="00E875E8">
          <w:pPr>
            <w:pStyle w:val="TOC1"/>
            <w:rPr>
              <w:rFonts w:asciiTheme="minorHAnsi" w:eastAsiaTheme="minorEastAsia" w:hAnsiTheme="minorHAnsi" w:cstheme="minorBidi"/>
              <w:b w:val="0"/>
              <w:noProof/>
              <w:sz w:val="22"/>
              <w:lang w:eastAsia="en-AU"/>
            </w:rPr>
          </w:pPr>
          <w:hyperlink w:anchor="_Toc116380309" w:history="1">
            <w:r w:rsidR="00145C93" w:rsidRPr="005F65AD">
              <w:rPr>
                <w:rStyle w:val="Hyperlink"/>
                <w:noProof/>
              </w:rPr>
              <w:t>Submission overview and risk/benefit assessment</w:t>
            </w:r>
            <w:r w:rsidR="00145C93">
              <w:rPr>
                <w:noProof/>
                <w:webHidden/>
              </w:rPr>
              <w:tab/>
            </w:r>
            <w:r w:rsidR="00145C93">
              <w:rPr>
                <w:noProof/>
                <w:webHidden/>
              </w:rPr>
              <w:fldChar w:fldCharType="begin"/>
            </w:r>
            <w:r w:rsidR="00145C93">
              <w:rPr>
                <w:noProof/>
                <w:webHidden/>
              </w:rPr>
              <w:instrText xml:space="preserve"> PAGEREF _Toc116380309 \h </w:instrText>
            </w:r>
            <w:r w:rsidR="00145C93">
              <w:rPr>
                <w:noProof/>
                <w:webHidden/>
              </w:rPr>
            </w:r>
            <w:r w:rsidR="00145C93">
              <w:rPr>
                <w:noProof/>
                <w:webHidden/>
              </w:rPr>
              <w:fldChar w:fldCharType="separate"/>
            </w:r>
            <w:r w:rsidR="00145C93">
              <w:rPr>
                <w:noProof/>
                <w:webHidden/>
              </w:rPr>
              <w:t>16</w:t>
            </w:r>
            <w:r w:rsidR="00145C93">
              <w:rPr>
                <w:noProof/>
                <w:webHidden/>
              </w:rPr>
              <w:fldChar w:fldCharType="end"/>
            </w:r>
          </w:hyperlink>
        </w:p>
        <w:p w14:paraId="4D65D11B" w14:textId="5FDB5242" w:rsidR="00145C93" w:rsidRDefault="00E875E8">
          <w:pPr>
            <w:pStyle w:val="TOC2"/>
            <w:rPr>
              <w:rFonts w:asciiTheme="minorHAnsi" w:eastAsiaTheme="minorEastAsia" w:hAnsiTheme="minorHAnsi" w:cstheme="minorBidi"/>
              <w:b w:val="0"/>
              <w:noProof/>
              <w:sz w:val="22"/>
              <w:lang w:eastAsia="en-AU"/>
            </w:rPr>
          </w:pPr>
          <w:hyperlink w:anchor="_Toc116380310" w:history="1">
            <w:r w:rsidR="00145C93" w:rsidRPr="005F65AD">
              <w:rPr>
                <w:rStyle w:val="Hyperlink"/>
                <w:noProof/>
              </w:rPr>
              <w:t>Quality</w:t>
            </w:r>
            <w:r w:rsidR="00145C93">
              <w:rPr>
                <w:noProof/>
                <w:webHidden/>
              </w:rPr>
              <w:tab/>
            </w:r>
            <w:r w:rsidR="00145C93">
              <w:rPr>
                <w:noProof/>
                <w:webHidden/>
              </w:rPr>
              <w:fldChar w:fldCharType="begin"/>
            </w:r>
            <w:r w:rsidR="00145C93">
              <w:rPr>
                <w:noProof/>
                <w:webHidden/>
              </w:rPr>
              <w:instrText xml:space="preserve"> PAGEREF _Toc116380310 \h </w:instrText>
            </w:r>
            <w:r w:rsidR="00145C93">
              <w:rPr>
                <w:noProof/>
                <w:webHidden/>
              </w:rPr>
            </w:r>
            <w:r w:rsidR="00145C93">
              <w:rPr>
                <w:noProof/>
                <w:webHidden/>
              </w:rPr>
              <w:fldChar w:fldCharType="separate"/>
            </w:r>
            <w:r w:rsidR="00145C93">
              <w:rPr>
                <w:noProof/>
                <w:webHidden/>
              </w:rPr>
              <w:t>17</w:t>
            </w:r>
            <w:r w:rsidR="00145C93">
              <w:rPr>
                <w:noProof/>
                <w:webHidden/>
              </w:rPr>
              <w:fldChar w:fldCharType="end"/>
            </w:r>
          </w:hyperlink>
        </w:p>
        <w:p w14:paraId="5613DF62" w14:textId="3C7E03AB" w:rsidR="00145C93" w:rsidRDefault="00E875E8">
          <w:pPr>
            <w:pStyle w:val="TOC2"/>
            <w:rPr>
              <w:rFonts w:asciiTheme="minorHAnsi" w:eastAsiaTheme="minorEastAsia" w:hAnsiTheme="minorHAnsi" w:cstheme="minorBidi"/>
              <w:b w:val="0"/>
              <w:noProof/>
              <w:sz w:val="22"/>
              <w:lang w:eastAsia="en-AU"/>
            </w:rPr>
          </w:pPr>
          <w:hyperlink w:anchor="_Toc116380311" w:history="1">
            <w:r w:rsidR="00145C93" w:rsidRPr="005F65AD">
              <w:rPr>
                <w:rStyle w:val="Hyperlink"/>
                <w:noProof/>
              </w:rPr>
              <w:t>Nonclinical</w:t>
            </w:r>
            <w:r w:rsidR="00145C93">
              <w:rPr>
                <w:noProof/>
                <w:webHidden/>
              </w:rPr>
              <w:tab/>
            </w:r>
            <w:r w:rsidR="00145C93">
              <w:rPr>
                <w:noProof/>
                <w:webHidden/>
              </w:rPr>
              <w:fldChar w:fldCharType="begin"/>
            </w:r>
            <w:r w:rsidR="00145C93">
              <w:rPr>
                <w:noProof/>
                <w:webHidden/>
              </w:rPr>
              <w:instrText xml:space="preserve"> PAGEREF _Toc116380311 \h </w:instrText>
            </w:r>
            <w:r w:rsidR="00145C93">
              <w:rPr>
                <w:noProof/>
                <w:webHidden/>
              </w:rPr>
            </w:r>
            <w:r w:rsidR="00145C93">
              <w:rPr>
                <w:noProof/>
                <w:webHidden/>
              </w:rPr>
              <w:fldChar w:fldCharType="separate"/>
            </w:r>
            <w:r w:rsidR="00145C93">
              <w:rPr>
                <w:noProof/>
                <w:webHidden/>
              </w:rPr>
              <w:t>20</w:t>
            </w:r>
            <w:r w:rsidR="00145C93">
              <w:rPr>
                <w:noProof/>
                <w:webHidden/>
              </w:rPr>
              <w:fldChar w:fldCharType="end"/>
            </w:r>
          </w:hyperlink>
        </w:p>
        <w:p w14:paraId="536DA5FE" w14:textId="5AA78969" w:rsidR="00145C93" w:rsidRDefault="00E875E8">
          <w:pPr>
            <w:pStyle w:val="TOC2"/>
            <w:rPr>
              <w:rFonts w:asciiTheme="minorHAnsi" w:eastAsiaTheme="minorEastAsia" w:hAnsiTheme="minorHAnsi" w:cstheme="minorBidi"/>
              <w:b w:val="0"/>
              <w:noProof/>
              <w:sz w:val="22"/>
              <w:lang w:eastAsia="en-AU"/>
            </w:rPr>
          </w:pPr>
          <w:hyperlink w:anchor="_Toc116380312" w:history="1">
            <w:r w:rsidR="00145C93" w:rsidRPr="005F65AD">
              <w:rPr>
                <w:rStyle w:val="Hyperlink"/>
                <w:noProof/>
              </w:rPr>
              <w:t>Clinical</w:t>
            </w:r>
            <w:r w:rsidR="00145C93">
              <w:rPr>
                <w:noProof/>
                <w:webHidden/>
              </w:rPr>
              <w:tab/>
            </w:r>
            <w:r w:rsidR="00145C93">
              <w:rPr>
                <w:noProof/>
                <w:webHidden/>
              </w:rPr>
              <w:fldChar w:fldCharType="begin"/>
            </w:r>
            <w:r w:rsidR="00145C93">
              <w:rPr>
                <w:noProof/>
                <w:webHidden/>
              </w:rPr>
              <w:instrText xml:space="preserve"> PAGEREF _Toc116380312 \h </w:instrText>
            </w:r>
            <w:r w:rsidR="00145C93">
              <w:rPr>
                <w:noProof/>
                <w:webHidden/>
              </w:rPr>
            </w:r>
            <w:r w:rsidR="00145C93">
              <w:rPr>
                <w:noProof/>
                <w:webHidden/>
              </w:rPr>
              <w:fldChar w:fldCharType="separate"/>
            </w:r>
            <w:r w:rsidR="00145C93">
              <w:rPr>
                <w:noProof/>
                <w:webHidden/>
              </w:rPr>
              <w:t>20</w:t>
            </w:r>
            <w:r w:rsidR="00145C93">
              <w:rPr>
                <w:noProof/>
                <w:webHidden/>
              </w:rPr>
              <w:fldChar w:fldCharType="end"/>
            </w:r>
          </w:hyperlink>
        </w:p>
        <w:p w14:paraId="3085D0A0" w14:textId="250B3CBA" w:rsidR="00145C93" w:rsidRDefault="00E875E8">
          <w:pPr>
            <w:pStyle w:val="TOC2"/>
            <w:rPr>
              <w:rFonts w:asciiTheme="minorHAnsi" w:eastAsiaTheme="minorEastAsia" w:hAnsiTheme="minorHAnsi" w:cstheme="minorBidi"/>
              <w:b w:val="0"/>
              <w:noProof/>
              <w:sz w:val="22"/>
              <w:lang w:eastAsia="en-AU"/>
            </w:rPr>
          </w:pPr>
          <w:hyperlink w:anchor="_Toc116380313" w:history="1">
            <w:r w:rsidR="00145C93" w:rsidRPr="005F65AD">
              <w:rPr>
                <w:rStyle w:val="Hyperlink"/>
                <w:noProof/>
                <w:lang w:eastAsia="en-AU"/>
              </w:rPr>
              <w:t>Risk management plan</w:t>
            </w:r>
            <w:r w:rsidR="00145C93">
              <w:rPr>
                <w:noProof/>
                <w:webHidden/>
              </w:rPr>
              <w:tab/>
            </w:r>
            <w:r w:rsidR="00145C93">
              <w:rPr>
                <w:noProof/>
                <w:webHidden/>
              </w:rPr>
              <w:fldChar w:fldCharType="begin"/>
            </w:r>
            <w:r w:rsidR="00145C93">
              <w:rPr>
                <w:noProof/>
                <w:webHidden/>
              </w:rPr>
              <w:instrText xml:space="preserve"> PAGEREF _Toc116380313 \h </w:instrText>
            </w:r>
            <w:r w:rsidR="00145C93">
              <w:rPr>
                <w:noProof/>
                <w:webHidden/>
              </w:rPr>
            </w:r>
            <w:r w:rsidR="00145C93">
              <w:rPr>
                <w:noProof/>
                <w:webHidden/>
              </w:rPr>
              <w:fldChar w:fldCharType="separate"/>
            </w:r>
            <w:r w:rsidR="00145C93">
              <w:rPr>
                <w:noProof/>
                <w:webHidden/>
              </w:rPr>
              <w:t>46</w:t>
            </w:r>
            <w:r w:rsidR="00145C93">
              <w:rPr>
                <w:noProof/>
                <w:webHidden/>
              </w:rPr>
              <w:fldChar w:fldCharType="end"/>
            </w:r>
          </w:hyperlink>
        </w:p>
        <w:p w14:paraId="18A14B51" w14:textId="269DC4B5" w:rsidR="00145C93" w:rsidRDefault="00E875E8">
          <w:pPr>
            <w:pStyle w:val="TOC2"/>
            <w:rPr>
              <w:rFonts w:asciiTheme="minorHAnsi" w:eastAsiaTheme="minorEastAsia" w:hAnsiTheme="minorHAnsi" w:cstheme="minorBidi"/>
              <w:b w:val="0"/>
              <w:noProof/>
              <w:sz w:val="22"/>
              <w:lang w:eastAsia="en-AU"/>
            </w:rPr>
          </w:pPr>
          <w:hyperlink w:anchor="_Toc116380314" w:history="1">
            <w:r w:rsidR="00145C93" w:rsidRPr="005F65AD">
              <w:rPr>
                <w:rStyle w:val="Hyperlink"/>
                <w:noProof/>
              </w:rPr>
              <w:t>Risk-benefit analysis</w:t>
            </w:r>
            <w:r w:rsidR="00145C93">
              <w:rPr>
                <w:noProof/>
                <w:webHidden/>
              </w:rPr>
              <w:tab/>
            </w:r>
            <w:r w:rsidR="00145C93">
              <w:rPr>
                <w:noProof/>
                <w:webHidden/>
              </w:rPr>
              <w:fldChar w:fldCharType="begin"/>
            </w:r>
            <w:r w:rsidR="00145C93">
              <w:rPr>
                <w:noProof/>
                <w:webHidden/>
              </w:rPr>
              <w:instrText xml:space="preserve"> PAGEREF _Toc116380314 \h </w:instrText>
            </w:r>
            <w:r w:rsidR="00145C93">
              <w:rPr>
                <w:noProof/>
                <w:webHidden/>
              </w:rPr>
            </w:r>
            <w:r w:rsidR="00145C93">
              <w:rPr>
                <w:noProof/>
                <w:webHidden/>
              </w:rPr>
              <w:fldChar w:fldCharType="separate"/>
            </w:r>
            <w:r w:rsidR="00145C93">
              <w:rPr>
                <w:noProof/>
                <w:webHidden/>
              </w:rPr>
              <w:t>48</w:t>
            </w:r>
            <w:r w:rsidR="00145C93">
              <w:rPr>
                <w:noProof/>
                <w:webHidden/>
              </w:rPr>
              <w:fldChar w:fldCharType="end"/>
            </w:r>
          </w:hyperlink>
        </w:p>
        <w:p w14:paraId="7ED316F2" w14:textId="1727FD19" w:rsidR="00145C93" w:rsidRDefault="00E875E8">
          <w:pPr>
            <w:pStyle w:val="TOC1"/>
            <w:rPr>
              <w:rFonts w:asciiTheme="minorHAnsi" w:eastAsiaTheme="minorEastAsia" w:hAnsiTheme="minorHAnsi" w:cstheme="minorBidi"/>
              <w:b w:val="0"/>
              <w:noProof/>
              <w:sz w:val="22"/>
              <w:lang w:eastAsia="en-AU"/>
            </w:rPr>
          </w:pPr>
          <w:hyperlink w:anchor="_Toc116380315" w:history="1">
            <w:r w:rsidR="00145C93" w:rsidRPr="005F65AD">
              <w:rPr>
                <w:rStyle w:val="Hyperlink"/>
                <w:noProof/>
              </w:rPr>
              <w:t>Outcome</w:t>
            </w:r>
            <w:r w:rsidR="00145C93">
              <w:rPr>
                <w:noProof/>
                <w:webHidden/>
              </w:rPr>
              <w:tab/>
            </w:r>
            <w:r w:rsidR="00145C93">
              <w:rPr>
                <w:noProof/>
                <w:webHidden/>
              </w:rPr>
              <w:fldChar w:fldCharType="begin"/>
            </w:r>
            <w:r w:rsidR="00145C93">
              <w:rPr>
                <w:noProof/>
                <w:webHidden/>
              </w:rPr>
              <w:instrText xml:space="preserve"> PAGEREF _Toc116380315 \h </w:instrText>
            </w:r>
            <w:r w:rsidR="00145C93">
              <w:rPr>
                <w:noProof/>
                <w:webHidden/>
              </w:rPr>
            </w:r>
            <w:r w:rsidR="00145C93">
              <w:rPr>
                <w:noProof/>
                <w:webHidden/>
              </w:rPr>
              <w:fldChar w:fldCharType="separate"/>
            </w:r>
            <w:r w:rsidR="00145C93">
              <w:rPr>
                <w:noProof/>
                <w:webHidden/>
              </w:rPr>
              <w:t>52</w:t>
            </w:r>
            <w:r w:rsidR="00145C93">
              <w:rPr>
                <w:noProof/>
                <w:webHidden/>
              </w:rPr>
              <w:fldChar w:fldCharType="end"/>
            </w:r>
          </w:hyperlink>
        </w:p>
        <w:p w14:paraId="03244EC9" w14:textId="29EEE99B" w:rsidR="00145C93" w:rsidRDefault="00E875E8">
          <w:pPr>
            <w:pStyle w:val="TOC2"/>
            <w:rPr>
              <w:rFonts w:asciiTheme="minorHAnsi" w:eastAsiaTheme="minorEastAsia" w:hAnsiTheme="minorHAnsi" w:cstheme="minorBidi"/>
              <w:b w:val="0"/>
              <w:noProof/>
              <w:sz w:val="22"/>
              <w:lang w:eastAsia="en-AU"/>
            </w:rPr>
          </w:pPr>
          <w:hyperlink w:anchor="_Toc116380316" w:history="1">
            <w:r w:rsidR="00145C93" w:rsidRPr="005F65AD">
              <w:rPr>
                <w:rStyle w:val="Hyperlink"/>
                <w:noProof/>
              </w:rPr>
              <w:t>Specific conditions of registration applying to these goods</w:t>
            </w:r>
            <w:r w:rsidR="00145C93">
              <w:rPr>
                <w:noProof/>
                <w:webHidden/>
              </w:rPr>
              <w:tab/>
            </w:r>
            <w:r w:rsidR="00145C93">
              <w:rPr>
                <w:noProof/>
                <w:webHidden/>
              </w:rPr>
              <w:fldChar w:fldCharType="begin"/>
            </w:r>
            <w:r w:rsidR="00145C93">
              <w:rPr>
                <w:noProof/>
                <w:webHidden/>
              </w:rPr>
              <w:instrText xml:space="preserve"> PAGEREF _Toc116380316 \h </w:instrText>
            </w:r>
            <w:r w:rsidR="00145C93">
              <w:rPr>
                <w:noProof/>
                <w:webHidden/>
              </w:rPr>
            </w:r>
            <w:r w:rsidR="00145C93">
              <w:rPr>
                <w:noProof/>
                <w:webHidden/>
              </w:rPr>
              <w:fldChar w:fldCharType="separate"/>
            </w:r>
            <w:r w:rsidR="00145C93">
              <w:rPr>
                <w:noProof/>
                <w:webHidden/>
              </w:rPr>
              <w:t>52</w:t>
            </w:r>
            <w:r w:rsidR="00145C93">
              <w:rPr>
                <w:noProof/>
                <w:webHidden/>
              </w:rPr>
              <w:fldChar w:fldCharType="end"/>
            </w:r>
          </w:hyperlink>
        </w:p>
        <w:p w14:paraId="22EF14B7" w14:textId="1E6D82F2" w:rsidR="00145C93" w:rsidRDefault="00E875E8">
          <w:pPr>
            <w:pStyle w:val="TOC1"/>
            <w:rPr>
              <w:rFonts w:asciiTheme="minorHAnsi" w:eastAsiaTheme="minorEastAsia" w:hAnsiTheme="minorHAnsi" w:cstheme="minorBidi"/>
              <w:b w:val="0"/>
              <w:noProof/>
              <w:sz w:val="22"/>
              <w:lang w:eastAsia="en-AU"/>
            </w:rPr>
          </w:pPr>
          <w:hyperlink w:anchor="_Toc116380317" w:history="1">
            <w:r w:rsidR="00145C93" w:rsidRPr="005F65AD">
              <w:rPr>
                <w:rStyle w:val="Hyperlink"/>
                <w:noProof/>
              </w:rPr>
              <w:t>Attachment 1. Product Information</w:t>
            </w:r>
            <w:r w:rsidR="00145C93">
              <w:rPr>
                <w:noProof/>
                <w:webHidden/>
              </w:rPr>
              <w:tab/>
            </w:r>
            <w:r w:rsidR="00145C93">
              <w:rPr>
                <w:noProof/>
                <w:webHidden/>
              </w:rPr>
              <w:fldChar w:fldCharType="begin"/>
            </w:r>
            <w:r w:rsidR="00145C93">
              <w:rPr>
                <w:noProof/>
                <w:webHidden/>
              </w:rPr>
              <w:instrText xml:space="preserve"> PAGEREF _Toc116380317 \h </w:instrText>
            </w:r>
            <w:r w:rsidR="00145C93">
              <w:rPr>
                <w:noProof/>
                <w:webHidden/>
              </w:rPr>
            </w:r>
            <w:r w:rsidR="00145C93">
              <w:rPr>
                <w:noProof/>
                <w:webHidden/>
              </w:rPr>
              <w:fldChar w:fldCharType="separate"/>
            </w:r>
            <w:r w:rsidR="00145C93">
              <w:rPr>
                <w:noProof/>
                <w:webHidden/>
              </w:rPr>
              <w:t>53</w:t>
            </w:r>
            <w:r w:rsidR="00145C93">
              <w:rPr>
                <w:noProof/>
                <w:webHidden/>
              </w:rPr>
              <w:fldChar w:fldCharType="end"/>
            </w:r>
          </w:hyperlink>
        </w:p>
        <w:p w14:paraId="01BBB075" w14:textId="48FA83F4" w:rsidR="003A7F6C" w:rsidRPr="00B811C6" w:rsidRDefault="00C525A2" w:rsidP="00EB36D6">
          <w:r>
            <w:fldChar w:fldCharType="end"/>
          </w:r>
        </w:p>
      </w:sdtContent>
    </w:sdt>
    <w:bookmarkStart w:id="2" w:name="_Toc314842482" w:displacedByCustomXml="prev"/>
    <w:p w14:paraId="186D2FBB" w14:textId="77777777" w:rsidR="00FD119B" w:rsidRDefault="00FD119B">
      <w:pPr>
        <w:spacing w:before="0" w:after="200" w:line="0" w:lineRule="auto"/>
      </w:pPr>
      <w:r>
        <w:br w:type="page"/>
      </w:r>
    </w:p>
    <w:p w14:paraId="37A9406E" w14:textId="402CF767" w:rsidR="00833ED8" w:rsidRPr="00701E98" w:rsidRDefault="00AF2313" w:rsidP="00F664E8">
      <w:pPr>
        <w:pStyle w:val="Heading2"/>
      </w:pPr>
      <w:bookmarkStart w:id="3" w:name="_Toc98931917"/>
      <w:bookmarkStart w:id="4" w:name="_Toc116380302"/>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14:paraId="6BA08C19"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73198696" w14:textId="77777777" w:rsidR="00AF2313" w:rsidRDefault="00AF2313" w:rsidP="00F664E8">
            <w:pPr>
              <w:ind w:left="0"/>
              <w:rPr>
                <w:color w:val="FFFFFF"/>
              </w:rPr>
            </w:pPr>
            <w:r>
              <w:t>Abbreviation</w:t>
            </w:r>
          </w:p>
        </w:tc>
        <w:tc>
          <w:tcPr>
            <w:tcW w:w="3282" w:type="pct"/>
            <w:hideMark/>
          </w:tcPr>
          <w:p w14:paraId="354D2566" w14:textId="77777777" w:rsidR="00AF2313" w:rsidRDefault="00AF2313" w:rsidP="00F664E8">
            <w:r>
              <w:t>Meaning</w:t>
            </w:r>
          </w:p>
        </w:tc>
      </w:tr>
      <w:tr w:rsidR="00D37DA5" w14:paraId="0D1B3E7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41D51DB" w14:textId="77777777" w:rsidR="00D37DA5" w:rsidRDefault="00D37DA5">
            <w:r>
              <w:t>ACV</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3D9FF12" w14:textId="77777777" w:rsidR="00D37DA5" w:rsidRDefault="00D37DA5">
            <w:r>
              <w:t>Advisory Committee on Vaccines</w:t>
            </w:r>
          </w:p>
        </w:tc>
      </w:tr>
      <w:tr w:rsidR="00D37DA5" w14:paraId="0496E94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93733EA" w14:textId="77777777" w:rsidR="00D37DA5" w:rsidRDefault="00D37DA5">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5CF8110" w14:textId="77777777" w:rsidR="00D37DA5" w:rsidRDefault="00D37DA5">
            <w:r>
              <w:t>Australian Register of Therapeutic Goods</w:t>
            </w:r>
          </w:p>
        </w:tc>
      </w:tr>
      <w:tr w:rsidR="00D37DA5" w14:paraId="16A957C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C7F1D0F" w14:textId="77777777" w:rsidR="00D37DA5" w:rsidRDefault="00D37DA5">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38A9601" w14:textId="77777777" w:rsidR="00D37DA5" w:rsidRDefault="00D37DA5">
            <w:r>
              <w:t>Australia specific annex</w:t>
            </w:r>
          </w:p>
        </w:tc>
      </w:tr>
      <w:tr w:rsidR="00791FB9" w14:paraId="6960EA7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419F2D0" w14:textId="1E1303CF" w:rsidR="00791FB9" w:rsidRDefault="00791FB9">
            <w:r>
              <w:t>ATAGI</w:t>
            </w:r>
          </w:p>
        </w:tc>
        <w:tc>
          <w:tcPr>
            <w:tcW w:w="3987" w:type="pct"/>
            <w:gridSpan w:val="2"/>
            <w:tcBorders>
              <w:top w:val="single" w:sz="8" w:space="0" w:color="002C47"/>
              <w:left w:val="single" w:sz="8" w:space="0" w:color="002C47"/>
              <w:bottom w:val="single" w:sz="8" w:space="0" w:color="002C47"/>
              <w:right w:val="single" w:sz="8" w:space="0" w:color="002C47"/>
            </w:tcBorders>
          </w:tcPr>
          <w:p w14:paraId="7284BD59" w14:textId="42CD9F39" w:rsidR="00791FB9" w:rsidRDefault="00791FB9">
            <w:r w:rsidRPr="00743376">
              <w:t>Australian Technical Advisory Group on Immunisation</w:t>
            </w:r>
          </w:p>
        </w:tc>
      </w:tr>
      <w:tr w:rsidR="00D37DA5" w14:paraId="0B049A9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998C4E7" w14:textId="77777777" w:rsidR="00D37DA5" w:rsidRDefault="00D37DA5">
            <w:pPr>
              <w:rPr>
                <w:color w:val="000000"/>
              </w:rPr>
            </w:pPr>
            <w:r>
              <w:rPr>
                <w:color w:val="000000"/>
              </w:rPr>
              <w:t>BNT162b2</w:t>
            </w:r>
          </w:p>
        </w:tc>
        <w:tc>
          <w:tcPr>
            <w:tcW w:w="3987" w:type="pct"/>
            <w:gridSpan w:val="2"/>
            <w:tcBorders>
              <w:top w:val="single" w:sz="8" w:space="0" w:color="002C47"/>
              <w:left w:val="single" w:sz="8" w:space="0" w:color="002C47"/>
              <w:bottom w:val="single" w:sz="8" w:space="0" w:color="002C47"/>
              <w:right w:val="single" w:sz="8" w:space="0" w:color="002C47"/>
            </w:tcBorders>
          </w:tcPr>
          <w:p w14:paraId="74C6D5CA" w14:textId="77777777" w:rsidR="00D37DA5" w:rsidRDefault="00D37DA5" w:rsidP="00140FFC">
            <w:r>
              <w:t>Tozinameran (former and interchangeable name)</w:t>
            </w:r>
          </w:p>
        </w:tc>
      </w:tr>
      <w:tr w:rsidR="00D37DA5" w14:paraId="639FF5F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AABAEEE" w14:textId="77777777" w:rsidR="00D37DA5" w:rsidRDefault="00D37DA5">
            <w:pPr>
              <w:rPr>
                <w:color w:val="000000"/>
              </w:rPr>
            </w:pPr>
            <w:r>
              <w:rPr>
                <w:color w:val="000000"/>
              </w:rPr>
              <w:t>CDC</w:t>
            </w:r>
          </w:p>
        </w:tc>
        <w:tc>
          <w:tcPr>
            <w:tcW w:w="3987" w:type="pct"/>
            <w:gridSpan w:val="2"/>
            <w:tcBorders>
              <w:top w:val="single" w:sz="8" w:space="0" w:color="002C47"/>
              <w:left w:val="single" w:sz="8" w:space="0" w:color="002C47"/>
              <w:bottom w:val="single" w:sz="8" w:space="0" w:color="002C47"/>
              <w:right w:val="single" w:sz="8" w:space="0" w:color="002C47"/>
            </w:tcBorders>
          </w:tcPr>
          <w:p w14:paraId="3762C803" w14:textId="77777777" w:rsidR="00D37DA5" w:rsidRDefault="00D37DA5">
            <w:proofErr w:type="spellStart"/>
            <w:r>
              <w:t>Centers</w:t>
            </w:r>
            <w:proofErr w:type="spellEnd"/>
            <w:r>
              <w:t xml:space="preserve"> for Disease Control and Prevention (United States of America)</w:t>
            </w:r>
          </w:p>
        </w:tc>
      </w:tr>
      <w:tr w:rsidR="00D37DA5" w14:paraId="75FD571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AAC5E53" w14:textId="77777777" w:rsidR="00D37DA5" w:rsidRDefault="00D37DA5">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11AB5C37" w14:textId="77777777" w:rsidR="00D37DA5" w:rsidRDefault="00D37DA5">
            <w:r>
              <w:t>Confidence interval</w:t>
            </w:r>
          </w:p>
        </w:tc>
      </w:tr>
      <w:tr w:rsidR="00D37DA5" w14:paraId="003EB58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302CE2C" w14:textId="77777777" w:rsidR="00D37DA5" w:rsidRDefault="00D37DA5">
            <w:pPr>
              <w:rPr>
                <w:color w:val="000000"/>
              </w:rPr>
            </w:pPr>
            <w:r>
              <w:rPr>
                <w:color w:val="000000"/>
              </w:rPr>
              <w:t>COVID-19</w:t>
            </w:r>
          </w:p>
        </w:tc>
        <w:tc>
          <w:tcPr>
            <w:tcW w:w="3987" w:type="pct"/>
            <w:gridSpan w:val="2"/>
            <w:tcBorders>
              <w:top w:val="single" w:sz="8" w:space="0" w:color="002C47"/>
              <w:left w:val="single" w:sz="8" w:space="0" w:color="002C47"/>
              <w:bottom w:val="single" w:sz="8" w:space="0" w:color="002C47"/>
              <w:right w:val="single" w:sz="8" w:space="0" w:color="002C47"/>
            </w:tcBorders>
          </w:tcPr>
          <w:p w14:paraId="6DAC261A" w14:textId="77777777" w:rsidR="00D37DA5" w:rsidRDefault="00D37DA5">
            <w:pPr>
              <w:rPr>
                <w:color w:val="000000"/>
              </w:rPr>
            </w:pPr>
            <w:r>
              <w:rPr>
                <w:color w:val="000000"/>
              </w:rPr>
              <w:t>Coronavirus disease 2019</w:t>
            </w:r>
          </w:p>
        </w:tc>
      </w:tr>
      <w:tr w:rsidR="00D37DA5" w14:paraId="0006514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0C695BF" w14:textId="77777777" w:rsidR="00D37DA5" w:rsidRDefault="00D37DA5">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D6B7F7A" w14:textId="77777777" w:rsidR="00D37DA5" w:rsidRDefault="00D37DA5">
            <w:r>
              <w:t>Data lock point</w:t>
            </w:r>
          </w:p>
        </w:tc>
      </w:tr>
      <w:tr w:rsidR="00D37DA5" w14:paraId="1F20347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D693424" w14:textId="77777777" w:rsidR="00D37DA5" w:rsidRDefault="00D37DA5">
            <w:pPr>
              <w:rPr>
                <w:color w:val="000000"/>
              </w:rPr>
            </w:pPr>
            <w:r>
              <w:rPr>
                <w:color w:val="000000"/>
              </w:rP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1801FBA9" w14:textId="77777777" w:rsidR="00D37DA5" w:rsidRDefault="00D37DA5">
            <w:r>
              <w:t>European Medicines Agency (European Union)</w:t>
            </w:r>
          </w:p>
        </w:tc>
      </w:tr>
      <w:tr w:rsidR="00D37DA5" w14:paraId="58D9E92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189981C" w14:textId="77777777" w:rsidR="00D37DA5" w:rsidRDefault="00D37DA5">
            <w:pPr>
              <w:rPr>
                <w:color w:val="000000"/>
              </w:rPr>
            </w:pPr>
            <w:r>
              <w:rPr>
                <w:color w:val="000000"/>
              </w:rP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069D3A80" w14:textId="77777777" w:rsidR="00D37DA5" w:rsidRDefault="00D37DA5">
            <w:r>
              <w:t>European Union</w:t>
            </w:r>
          </w:p>
        </w:tc>
      </w:tr>
      <w:tr w:rsidR="00D37DA5" w14:paraId="4D2B324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AD3A21E" w14:textId="77777777" w:rsidR="00D37DA5" w:rsidRDefault="00D37DA5">
            <w:pPr>
              <w:rPr>
                <w:color w:val="000000"/>
              </w:rPr>
            </w:pPr>
            <w:r>
              <w:rPr>
                <w:color w:val="000000"/>
              </w:rPr>
              <w:t>EUA</w:t>
            </w:r>
          </w:p>
        </w:tc>
        <w:tc>
          <w:tcPr>
            <w:tcW w:w="3987" w:type="pct"/>
            <w:gridSpan w:val="2"/>
            <w:tcBorders>
              <w:top w:val="single" w:sz="8" w:space="0" w:color="002C47"/>
              <w:left w:val="single" w:sz="8" w:space="0" w:color="002C47"/>
              <w:bottom w:val="single" w:sz="8" w:space="0" w:color="002C47"/>
              <w:right w:val="single" w:sz="8" w:space="0" w:color="002C47"/>
            </w:tcBorders>
          </w:tcPr>
          <w:p w14:paraId="63FF1DE8" w14:textId="77777777" w:rsidR="00D37DA5" w:rsidRDefault="00D37DA5">
            <w:r>
              <w:t>Emergency Use Authorization (United States of America)</w:t>
            </w:r>
          </w:p>
        </w:tc>
      </w:tr>
      <w:tr w:rsidR="00D37DA5" w14:paraId="2C8CE56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D34EEAB" w14:textId="77777777" w:rsidR="00D37DA5" w:rsidRDefault="00D37DA5">
            <w:pPr>
              <w:rPr>
                <w:color w:val="000000"/>
              </w:rPr>
            </w:pPr>
            <w:r>
              <w:rPr>
                <w:color w:val="000000"/>
              </w:rPr>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42B4C8EC" w14:textId="77777777" w:rsidR="00D37DA5" w:rsidRDefault="00D37DA5">
            <w:r>
              <w:t>Food and Drug Administration (United States of America)</w:t>
            </w:r>
          </w:p>
        </w:tc>
      </w:tr>
      <w:tr w:rsidR="00D37DA5" w14:paraId="6F01E14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44A11FD" w14:textId="77777777" w:rsidR="00D37DA5" w:rsidRDefault="00D37DA5">
            <w:pPr>
              <w:rPr>
                <w:color w:val="000000"/>
              </w:rPr>
            </w:pPr>
            <w:r>
              <w:rPr>
                <w:color w:val="000000"/>
              </w:rPr>
              <w:t>GMFR</w:t>
            </w:r>
          </w:p>
        </w:tc>
        <w:tc>
          <w:tcPr>
            <w:tcW w:w="3987" w:type="pct"/>
            <w:gridSpan w:val="2"/>
            <w:tcBorders>
              <w:top w:val="single" w:sz="8" w:space="0" w:color="002C47"/>
              <w:left w:val="single" w:sz="8" w:space="0" w:color="002C47"/>
              <w:bottom w:val="single" w:sz="8" w:space="0" w:color="002C47"/>
              <w:right w:val="single" w:sz="8" w:space="0" w:color="002C47"/>
            </w:tcBorders>
          </w:tcPr>
          <w:p w14:paraId="18A0E1C4" w14:textId="77777777" w:rsidR="00D37DA5" w:rsidRDefault="00D37DA5">
            <w:r>
              <w:t>Geometric mean fold rise</w:t>
            </w:r>
          </w:p>
        </w:tc>
      </w:tr>
      <w:tr w:rsidR="00D37DA5" w14:paraId="46F0B98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62C997E" w14:textId="77777777" w:rsidR="00D37DA5" w:rsidRDefault="00D37DA5">
            <w:pPr>
              <w:rPr>
                <w:color w:val="000000"/>
              </w:rPr>
            </w:pPr>
            <w:r>
              <w:rPr>
                <w:color w:val="000000"/>
              </w:rPr>
              <w:t>GMP</w:t>
            </w:r>
          </w:p>
        </w:tc>
        <w:tc>
          <w:tcPr>
            <w:tcW w:w="3987" w:type="pct"/>
            <w:gridSpan w:val="2"/>
            <w:tcBorders>
              <w:top w:val="single" w:sz="8" w:space="0" w:color="002C47"/>
              <w:left w:val="single" w:sz="8" w:space="0" w:color="002C47"/>
              <w:bottom w:val="single" w:sz="8" w:space="0" w:color="002C47"/>
              <w:right w:val="single" w:sz="8" w:space="0" w:color="002C47"/>
            </w:tcBorders>
          </w:tcPr>
          <w:p w14:paraId="680946DF" w14:textId="77777777" w:rsidR="00D37DA5" w:rsidRDefault="00D37DA5">
            <w:r>
              <w:t>Good Manufacturing Practice</w:t>
            </w:r>
          </w:p>
        </w:tc>
      </w:tr>
      <w:tr w:rsidR="00D37DA5" w14:paraId="0BD0EBE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C09FB5C" w14:textId="77777777" w:rsidR="00D37DA5" w:rsidRDefault="00D37DA5">
            <w:pPr>
              <w:rPr>
                <w:color w:val="000000"/>
              </w:rPr>
            </w:pPr>
            <w:r>
              <w:rPr>
                <w:color w:val="000000"/>
              </w:rPr>
              <w:t>GMR</w:t>
            </w:r>
          </w:p>
        </w:tc>
        <w:tc>
          <w:tcPr>
            <w:tcW w:w="3987" w:type="pct"/>
            <w:gridSpan w:val="2"/>
            <w:tcBorders>
              <w:top w:val="single" w:sz="8" w:space="0" w:color="002C47"/>
              <w:left w:val="single" w:sz="8" w:space="0" w:color="002C47"/>
              <w:bottom w:val="single" w:sz="8" w:space="0" w:color="002C47"/>
              <w:right w:val="single" w:sz="8" w:space="0" w:color="002C47"/>
            </w:tcBorders>
          </w:tcPr>
          <w:p w14:paraId="45FCBC4F" w14:textId="77777777" w:rsidR="00D37DA5" w:rsidRDefault="00D37DA5">
            <w:r>
              <w:t>Geometric mean ratio</w:t>
            </w:r>
          </w:p>
        </w:tc>
      </w:tr>
      <w:tr w:rsidR="00D37DA5" w14:paraId="181E6D4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8F6E883" w14:textId="77777777" w:rsidR="00D37DA5" w:rsidRDefault="00D37DA5">
            <w:pPr>
              <w:rPr>
                <w:color w:val="000000"/>
              </w:rPr>
            </w:pPr>
            <w:r>
              <w:rPr>
                <w:color w:val="000000"/>
              </w:rPr>
              <w:t>GMT</w:t>
            </w:r>
          </w:p>
        </w:tc>
        <w:tc>
          <w:tcPr>
            <w:tcW w:w="3987" w:type="pct"/>
            <w:gridSpan w:val="2"/>
            <w:tcBorders>
              <w:top w:val="single" w:sz="8" w:space="0" w:color="002C47"/>
              <w:left w:val="single" w:sz="8" w:space="0" w:color="002C47"/>
              <w:bottom w:val="single" w:sz="8" w:space="0" w:color="002C47"/>
              <w:right w:val="single" w:sz="8" w:space="0" w:color="002C47"/>
            </w:tcBorders>
          </w:tcPr>
          <w:p w14:paraId="6342E37F" w14:textId="77777777" w:rsidR="00D37DA5" w:rsidRDefault="00D37DA5">
            <w:r>
              <w:t>Geometric mean titre</w:t>
            </w:r>
          </w:p>
        </w:tc>
      </w:tr>
      <w:tr w:rsidR="00D37DA5" w14:paraId="101F2F7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2533D71" w14:textId="77777777" w:rsidR="00D37DA5" w:rsidRDefault="00D37DA5">
            <w:pPr>
              <w:rPr>
                <w:color w:val="000000"/>
              </w:rPr>
            </w:pPr>
            <w:r>
              <w:rPr>
                <w:color w:val="000000"/>
              </w:rPr>
              <w:t>ICH</w:t>
            </w:r>
          </w:p>
        </w:tc>
        <w:tc>
          <w:tcPr>
            <w:tcW w:w="3987" w:type="pct"/>
            <w:gridSpan w:val="2"/>
            <w:tcBorders>
              <w:top w:val="single" w:sz="8" w:space="0" w:color="002C47"/>
              <w:left w:val="single" w:sz="8" w:space="0" w:color="002C47"/>
              <w:bottom w:val="single" w:sz="8" w:space="0" w:color="002C47"/>
              <w:right w:val="single" w:sz="8" w:space="0" w:color="002C47"/>
            </w:tcBorders>
          </w:tcPr>
          <w:p w14:paraId="2E691389" w14:textId="77777777" w:rsidR="00D37DA5" w:rsidRDefault="00D37DA5">
            <w:r>
              <w:t>International Council for Harmonisation</w:t>
            </w:r>
          </w:p>
        </w:tc>
      </w:tr>
      <w:tr w:rsidR="00D37DA5" w14:paraId="6BEE428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76B85CD" w14:textId="77777777" w:rsidR="00D37DA5" w:rsidRDefault="00D37DA5">
            <w:pPr>
              <w:rPr>
                <w:color w:val="000000"/>
              </w:rPr>
            </w:pPr>
            <w:r>
              <w:rPr>
                <w:color w:val="000000"/>
              </w:rPr>
              <w:t>LNP</w:t>
            </w:r>
          </w:p>
        </w:tc>
        <w:tc>
          <w:tcPr>
            <w:tcW w:w="3987" w:type="pct"/>
            <w:gridSpan w:val="2"/>
            <w:tcBorders>
              <w:top w:val="single" w:sz="8" w:space="0" w:color="002C47"/>
              <w:left w:val="single" w:sz="8" w:space="0" w:color="002C47"/>
              <w:bottom w:val="single" w:sz="8" w:space="0" w:color="002C47"/>
              <w:right w:val="single" w:sz="8" w:space="0" w:color="002C47"/>
            </w:tcBorders>
          </w:tcPr>
          <w:p w14:paraId="12F8C019" w14:textId="77777777" w:rsidR="00D37DA5" w:rsidRDefault="00D37DA5">
            <w:r>
              <w:t>Lipid nanoparticle</w:t>
            </w:r>
          </w:p>
        </w:tc>
      </w:tr>
      <w:tr w:rsidR="00D37DA5" w14:paraId="27B28B7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E7AAE13" w14:textId="77777777" w:rsidR="00D37DA5" w:rsidRDefault="00D37DA5">
            <w:pPr>
              <w:rPr>
                <w:color w:val="000000"/>
              </w:rPr>
            </w:pPr>
            <w:r>
              <w:rPr>
                <w:color w:val="000000"/>
              </w:rPr>
              <w:t>MIS</w:t>
            </w:r>
          </w:p>
        </w:tc>
        <w:tc>
          <w:tcPr>
            <w:tcW w:w="3987" w:type="pct"/>
            <w:gridSpan w:val="2"/>
            <w:tcBorders>
              <w:top w:val="single" w:sz="8" w:space="0" w:color="002C47"/>
              <w:left w:val="single" w:sz="8" w:space="0" w:color="002C47"/>
              <w:bottom w:val="single" w:sz="8" w:space="0" w:color="002C47"/>
              <w:right w:val="single" w:sz="8" w:space="0" w:color="002C47"/>
            </w:tcBorders>
          </w:tcPr>
          <w:p w14:paraId="3374ECF0" w14:textId="77777777" w:rsidR="00D37DA5" w:rsidRDefault="00D37DA5">
            <w:r>
              <w:t>Multisystem inflammatory syndrome</w:t>
            </w:r>
          </w:p>
        </w:tc>
      </w:tr>
      <w:tr w:rsidR="00D37DA5" w14:paraId="6659E07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79CB9EF" w14:textId="77777777" w:rsidR="00D37DA5" w:rsidRDefault="00D37DA5">
            <w:pPr>
              <w:rPr>
                <w:color w:val="000000"/>
              </w:rPr>
            </w:pPr>
            <w:r>
              <w:rPr>
                <w:color w:val="000000"/>
              </w:rPr>
              <w:t>MIS-C</w:t>
            </w:r>
          </w:p>
        </w:tc>
        <w:tc>
          <w:tcPr>
            <w:tcW w:w="3987" w:type="pct"/>
            <w:gridSpan w:val="2"/>
            <w:tcBorders>
              <w:top w:val="single" w:sz="8" w:space="0" w:color="002C47"/>
              <w:left w:val="single" w:sz="8" w:space="0" w:color="002C47"/>
              <w:bottom w:val="single" w:sz="8" w:space="0" w:color="002C47"/>
              <w:right w:val="single" w:sz="8" w:space="0" w:color="002C47"/>
            </w:tcBorders>
          </w:tcPr>
          <w:p w14:paraId="2295C2AB" w14:textId="77777777" w:rsidR="00D37DA5" w:rsidRDefault="00D37DA5">
            <w:r>
              <w:t>Multisystem inflammatory syndrome in children</w:t>
            </w:r>
          </w:p>
        </w:tc>
      </w:tr>
      <w:tr w:rsidR="00D37DA5" w14:paraId="5EC7BAA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10597AA" w14:textId="77777777" w:rsidR="00D37DA5" w:rsidRDefault="00D37DA5">
            <w:pPr>
              <w:rPr>
                <w:color w:val="000000"/>
              </w:rPr>
            </w:pPr>
            <w:proofErr w:type="spellStart"/>
            <w:r>
              <w:rPr>
                <w:color w:val="000000"/>
              </w:rPr>
              <w:t>mITT</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E982B73" w14:textId="77777777" w:rsidR="00D37DA5" w:rsidRDefault="00D37DA5">
            <w:r>
              <w:t>Modified intent-to-treat</w:t>
            </w:r>
          </w:p>
        </w:tc>
      </w:tr>
      <w:tr w:rsidR="00D37DA5" w14:paraId="068E931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F51B899" w14:textId="77777777" w:rsidR="00D37DA5" w:rsidRDefault="00D37DA5">
            <w:pPr>
              <w:rPr>
                <w:color w:val="000000"/>
              </w:rPr>
            </w:pPr>
            <w:r>
              <w:rPr>
                <w:color w:val="000000"/>
              </w:rPr>
              <w:t>ModRNA</w:t>
            </w:r>
          </w:p>
        </w:tc>
        <w:tc>
          <w:tcPr>
            <w:tcW w:w="3987" w:type="pct"/>
            <w:gridSpan w:val="2"/>
            <w:tcBorders>
              <w:top w:val="single" w:sz="8" w:space="0" w:color="002C47"/>
              <w:left w:val="single" w:sz="8" w:space="0" w:color="002C47"/>
              <w:bottom w:val="single" w:sz="8" w:space="0" w:color="002C47"/>
              <w:right w:val="single" w:sz="8" w:space="0" w:color="002C47"/>
            </w:tcBorders>
          </w:tcPr>
          <w:p w14:paraId="6D238412" w14:textId="77777777" w:rsidR="00D37DA5" w:rsidRDefault="00D37DA5">
            <w:r>
              <w:t>(Nucleoside)-modified messenger RNA</w:t>
            </w:r>
          </w:p>
        </w:tc>
      </w:tr>
      <w:tr w:rsidR="00D37DA5" w14:paraId="4E01421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6AE7AA8" w14:textId="77777777" w:rsidR="00D37DA5" w:rsidRDefault="00D37DA5">
            <w:pPr>
              <w:rPr>
                <w:color w:val="000000"/>
              </w:rPr>
            </w:pPr>
            <w:r>
              <w:rPr>
                <w:color w:val="000000"/>
              </w:rPr>
              <w:t>NAAT</w:t>
            </w:r>
          </w:p>
        </w:tc>
        <w:tc>
          <w:tcPr>
            <w:tcW w:w="3987" w:type="pct"/>
            <w:gridSpan w:val="2"/>
            <w:tcBorders>
              <w:top w:val="single" w:sz="8" w:space="0" w:color="002C47"/>
              <w:left w:val="single" w:sz="8" w:space="0" w:color="002C47"/>
              <w:bottom w:val="single" w:sz="8" w:space="0" w:color="002C47"/>
              <w:right w:val="single" w:sz="8" w:space="0" w:color="002C47"/>
            </w:tcBorders>
          </w:tcPr>
          <w:p w14:paraId="0EA43E93" w14:textId="77777777" w:rsidR="00D37DA5" w:rsidRDefault="00D37DA5">
            <w:r>
              <w:t>Nucleic acid amplification test</w:t>
            </w:r>
          </w:p>
        </w:tc>
      </w:tr>
      <w:tr w:rsidR="00D37DA5" w14:paraId="111B4B3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150C758" w14:textId="77777777" w:rsidR="00D37DA5" w:rsidRDefault="00D37DA5">
            <w:pPr>
              <w:rPr>
                <w:color w:val="000000"/>
              </w:rPr>
            </w:pPr>
            <w:r>
              <w:rPr>
                <w:color w:val="000000"/>
              </w:rPr>
              <w:lastRenderedPageBreak/>
              <w:t>NNDSS</w:t>
            </w:r>
          </w:p>
        </w:tc>
        <w:tc>
          <w:tcPr>
            <w:tcW w:w="3987" w:type="pct"/>
            <w:gridSpan w:val="2"/>
            <w:tcBorders>
              <w:top w:val="single" w:sz="8" w:space="0" w:color="002C47"/>
              <w:left w:val="single" w:sz="8" w:space="0" w:color="002C47"/>
              <w:bottom w:val="single" w:sz="8" w:space="0" w:color="002C47"/>
              <w:right w:val="single" w:sz="8" w:space="0" w:color="002C47"/>
            </w:tcBorders>
          </w:tcPr>
          <w:p w14:paraId="32FC38C9" w14:textId="77777777" w:rsidR="00D37DA5" w:rsidRDefault="00D37DA5">
            <w:r>
              <w:t>National Notifiable Diseases Surveillance System (Australia)</w:t>
            </w:r>
          </w:p>
        </w:tc>
      </w:tr>
      <w:tr w:rsidR="00D37DA5" w14:paraId="00DA30B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F22434B" w14:textId="77777777" w:rsidR="00D37DA5" w:rsidRDefault="00D37DA5">
            <w:pPr>
              <w:rPr>
                <w:color w:val="000000"/>
              </w:rPr>
            </w:pPr>
            <w:r>
              <w:rPr>
                <w:color w:val="000000"/>
              </w:rPr>
              <w:t>NT50</w:t>
            </w:r>
          </w:p>
        </w:tc>
        <w:tc>
          <w:tcPr>
            <w:tcW w:w="3987" w:type="pct"/>
            <w:gridSpan w:val="2"/>
            <w:tcBorders>
              <w:top w:val="single" w:sz="8" w:space="0" w:color="002C47"/>
              <w:left w:val="single" w:sz="8" w:space="0" w:color="002C47"/>
              <w:bottom w:val="single" w:sz="8" w:space="0" w:color="002C47"/>
              <w:right w:val="single" w:sz="8" w:space="0" w:color="002C47"/>
            </w:tcBorders>
          </w:tcPr>
          <w:p w14:paraId="407C6FCF" w14:textId="77777777" w:rsidR="00D37DA5" w:rsidRDefault="00D37DA5">
            <w:r>
              <w:t>50% neutralising titre</w:t>
            </w:r>
          </w:p>
        </w:tc>
      </w:tr>
      <w:tr w:rsidR="00D37DA5" w14:paraId="4C686D9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D8ABDA2" w14:textId="77777777" w:rsidR="00D37DA5" w:rsidRDefault="00D37DA5">
            <w:pPr>
              <w:rPr>
                <w:color w:val="000000"/>
              </w:rPr>
            </w:pPr>
            <w:r>
              <w:rPr>
                <w:color w:val="000000"/>
              </w:rPr>
              <w:t>PAEDS</w:t>
            </w:r>
          </w:p>
        </w:tc>
        <w:tc>
          <w:tcPr>
            <w:tcW w:w="3987" w:type="pct"/>
            <w:gridSpan w:val="2"/>
            <w:tcBorders>
              <w:top w:val="single" w:sz="8" w:space="0" w:color="002C47"/>
              <w:left w:val="single" w:sz="8" w:space="0" w:color="002C47"/>
              <w:bottom w:val="single" w:sz="8" w:space="0" w:color="002C47"/>
              <w:right w:val="single" w:sz="8" w:space="0" w:color="002C47"/>
            </w:tcBorders>
          </w:tcPr>
          <w:p w14:paraId="5E99C6B1" w14:textId="77777777" w:rsidR="00D37DA5" w:rsidRDefault="00D37DA5">
            <w:r>
              <w:t>Paediatric Active Enhanced Disease Surveillance (Australia)</w:t>
            </w:r>
          </w:p>
        </w:tc>
      </w:tr>
      <w:tr w:rsidR="00D37DA5" w14:paraId="5222777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D41D66E" w14:textId="77777777" w:rsidR="00D37DA5" w:rsidRDefault="00D37DA5">
            <w:pPr>
              <w:rPr>
                <w:color w:val="000000"/>
              </w:rPr>
            </w:pPr>
            <w:r>
              <w:rPr>
                <w:color w:val="000000"/>
              </w:rPr>
              <w:t>PIMS-TS</w:t>
            </w:r>
          </w:p>
        </w:tc>
        <w:tc>
          <w:tcPr>
            <w:tcW w:w="3987" w:type="pct"/>
            <w:gridSpan w:val="2"/>
            <w:tcBorders>
              <w:top w:val="single" w:sz="8" w:space="0" w:color="002C47"/>
              <w:left w:val="single" w:sz="8" w:space="0" w:color="002C47"/>
              <w:bottom w:val="single" w:sz="8" w:space="0" w:color="002C47"/>
              <w:right w:val="single" w:sz="8" w:space="0" w:color="002C47"/>
            </w:tcBorders>
          </w:tcPr>
          <w:p w14:paraId="41CC3538" w14:textId="77777777" w:rsidR="00D37DA5" w:rsidRDefault="00D37DA5">
            <w:r>
              <w:t>Paediatric inflammatory multisystem syndrome temporally associated with SARS-CoV-2</w:t>
            </w:r>
          </w:p>
        </w:tc>
      </w:tr>
      <w:tr w:rsidR="00D37DA5" w14:paraId="183F2AA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F4DED12" w14:textId="77777777" w:rsidR="00D37DA5" w:rsidRDefault="00D37DA5">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B8C810A" w14:textId="77777777" w:rsidR="00D37DA5" w:rsidRDefault="00D37DA5">
            <w:r>
              <w:t>Risk management plan</w:t>
            </w:r>
          </w:p>
        </w:tc>
      </w:tr>
      <w:tr w:rsidR="00D37DA5" w14:paraId="3A9953E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A536610" w14:textId="77777777" w:rsidR="00D37DA5" w:rsidRDefault="00D37DA5">
            <w:pPr>
              <w:rPr>
                <w:color w:val="000000"/>
              </w:rPr>
            </w:pPr>
            <w:r>
              <w:rPr>
                <w:color w:val="000000"/>
              </w:rPr>
              <w:t>S</w:t>
            </w:r>
          </w:p>
        </w:tc>
        <w:tc>
          <w:tcPr>
            <w:tcW w:w="3987" w:type="pct"/>
            <w:gridSpan w:val="2"/>
            <w:tcBorders>
              <w:top w:val="single" w:sz="8" w:space="0" w:color="002C47"/>
              <w:left w:val="single" w:sz="8" w:space="0" w:color="002C47"/>
              <w:bottom w:val="single" w:sz="8" w:space="0" w:color="002C47"/>
              <w:right w:val="single" w:sz="8" w:space="0" w:color="002C47"/>
            </w:tcBorders>
          </w:tcPr>
          <w:p w14:paraId="7C7F4C26" w14:textId="77777777" w:rsidR="00D37DA5" w:rsidRDefault="00D37DA5">
            <w:r>
              <w:t>Spike glycoprotein</w:t>
            </w:r>
          </w:p>
        </w:tc>
      </w:tr>
      <w:tr w:rsidR="00D37DA5" w14:paraId="04DCE57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7358A55" w14:textId="77777777" w:rsidR="00D37DA5" w:rsidRDefault="00D37DA5">
            <w:r>
              <w:rPr>
                <w:szCs w:val="22"/>
              </w:rPr>
              <w:t>SARS-CoV-2</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C08B38C" w14:textId="77777777" w:rsidR="00D37DA5" w:rsidRDefault="00D37DA5">
            <w:r>
              <w:t>S</w:t>
            </w:r>
            <w:r w:rsidRPr="00F328E8">
              <w:t>evere acute respiratory syndrome coronavirus 2</w:t>
            </w:r>
          </w:p>
        </w:tc>
      </w:tr>
      <w:tr w:rsidR="00D37DA5" w14:paraId="1F6B187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95AE2E3" w14:textId="77777777" w:rsidR="00D37DA5" w:rsidRDefault="00D37DA5">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EBEF935" w14:textId="77777777" w:rsidR="00D37DA5" w:rsidRDefault="00D37DA5">
            <w:r>
              <w:t>Therapeutic Goods Administration</w:t>
            </w:r>
          </w:p>
        </w:tc>
      </w:tr>
      <w:tr w:rsidR="00D37DA5" w14:paraId="606E80C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A960ECD" w14:textId="77777777" w:rsidR="00D37DA5" w:rsidRDefault="00D37DA5">
            <w:pPr>
              <w:rPr>
                <w:color w:val="000000"/>
              </w:rPr>
            </w:pPr>
            <w:r>
              <w:rPr>
                <w:color w:val="000000"/>
              </w:rPr>
              <w:t>US(A)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9C2C78F" w14:textId="77777777" w:rsidR="00D37DA5" w:rsidRDefault="00D37DA5">
            <w:r>
              <w:rPr>
                <w:szCs w:val="22"/>
              </w:rPr>
              <w:t>United States (of America)</w:t>
            </w:r>
          </w:p>
        </w:tc>
      </w:tr>
      <w:tr w:rsidR="00D37DA5" w14:paraId="77F6B8E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A504019" w14:textId="77777777" w:rsidR="00D37DA5" w:rsidRDefault="00D37DA5">
            <w:pPr>
              <w:rPr>
                <w:color w:val="000000"/>
              </w:rPr>
            </w:pPr>
            <w:r>
              <w:rPr>
                <w:color w:val="000000"/>
              </w:rPr>
              <w:t>WHO</w:t>
            </w:r>
          </w:p>
        </w:tc>
        <w:tc>
          <w:tcPr>
            <w:tcW w:w="3987" w:type="pct"/>
            <w:gridSpan w:val="2"/>
            <w:tcBorders>
              <w:top w:val="single" w:sz="8" w:space="0" w:color="002C47"/>
              <w:left w:val="single" w:sz="8" w:space="0" w:color="002C47"/>
              <w:bottom w:val="single" w:sz="8" w:space="0" w:color="002C47"/>
              <w:right w:val="single" w:sz="8" w:space="0" w:color="002C47"/>
            </w:tcBorders>
          </w:tcPr>
          <w:p w14:paraId="43B7A9B7" w14:textId="77777777" w:rsidR="00D37DA5" w:rsidRDefault="00D37DA5">
            <w:r>
              <w:t>World Health Organization</w:t>
            </w:r>
          </w:p>
        </w:tc>
      </w:tr>
    </w:tbl>
    <w:p w14:paraId="51A91F8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B8E9A13" w14:textId="5159968F" w:rsidR="008E7846" w:rsidRDefault="009F2673" w:rsidP="008E7846">
      <w:pPr>
        <w:pStyle w:val="Heading2"/>
      </w:pPr>
      <w:bookmarkStart w:id="5" w:name="_Toc116380303"/>
      <w:r>
        <w:lastRenderedPageBreak/>
        <w:t>Pr</w:t>
      </w:r>
      <w:r w:rsidR="008E7846">
        <w:t>oduct submission</w:t>
      </w:r>
      <w:bookmarkEnd w:id="5"/>
      <w:bookmarkEnd w:id="2"/>
      <w:bookmarkEnd w:id="0"/>
    </w:p>
    <w:p w14:paraId="6CDB36D6" w14:textId="77777777" w:rsidR="000D2C75" w:rsidRDefault="008E7846" w:rsidP="009E5A87">
      <w:pPr>
        <w:pStyle w:val="Heading3"/>
        <w:rPr>
          <w:lang w:eastAsia="en-AU"/>
        </w:rPr>
      </w:pPr>
      <w:bookmarkStart w:id="6" w:name="_Toc247691502"/>
      <w:bookmarkStart w:id="7" w:name="_Toc314842483"/>
      <w:bookmarkStart w:id="8" w:name="_Toc116380304"/>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0D2C75" w:rsidRPr="003D1E62" w14:paraId="7EA12179" w14:textId="77777777" w:rsidTr="000D2C75">
        <w:tc>
          <w:tcPr>
            <w:tcW w:w="1577" w:type="pct"/>
          </w:tcPr>
          <w:p w14:paraId="30D3A515" w14:textId="77777777" w:rsidR="000D2C75" w:rsidRPr="003D1E62" w:rsidRDefault="000D2C75" w:rsidP="008677B0">
            <w:pPr>
              <w:rPr>
                <w:i/>
              </w:rPr>
            </w:pPr>
            <w:r>
              <w:rPr>
                <w:i/>
              </w:rPr>
              <w:t>Type of s</w:t>
            </w:r>
            <w:r w:rsidRPr="003D1E62">
              <w:rPr>
                <w:i/>
              </w:rPr>
              <w:t>ubmission</w:t>
            </w:r>
            <w:r>
              <w:rPr>
                <w:i/>
              </w:rPr>
              <w:t>:</w:t>
            </w:r>
          </w:p>
        </w:tc>
        <w:tc>
          <w:tcPr>
            <w:tcW w:w="3423" w:type="pct"/>
          </w:tcPr>
          <w:p w14:paraId="4270DB7D" w14:textId="77777777" w:rsidR="000D2C75" w:rsidRPr="003D1E62" w:rsidRDefault="000D2C75" w:rsidP="008677B0">
            <w:r>
              <w:t>Extension of indications (new population) and</w:t>
            </w:r>
            <w:r w:rsidRPr="003D1E62">
              <w:t xml:space="preserve"> </w:t>
            </w:r>
            <w:r>
              <w:t>m</w:t>
            </w:r>
            <w:r w:rsidRPr="003D1E62">
              <w:t xml:space="preserve">ajor </w:t>
            </w:r>
            <w:r>
              <w:t>v</w:t>
            </w:r>
            <w:r w:rsidRPr="003D1E62">
              <w:t>ariation (</w:t>
            </w:r>
            <w:r>
              <w:t>n</w:t>
            </w:r>
            <w:r w:rsidRPr="003D1E62">
              <w:t xml:space="preserve">ew </w:t>
            </w:r>
            <w:r>
              <w:t>s</w:t>
            </w:r>
            <w:r w:rsidRPr="003D1E62">
              <w:t>trength)</w:t>
            </w:r>
          </w:p>
        </w:tc>
      </w:tr>
      <w:tr w:rsidR="000D2C75" w:rsidRPr="003D1E62" w14:paraId="1A603939" w14:textId="77777777" w:rsidTr="000D2C75">
        <w:tc>
          <w:tcPr>
            <w:tcW w:w="1577" w:type="pct"/>
          </w:tcPr>
          <w:p w14:paraId="068E21B6" w14:textId="77777777" w:rsidR="000D2C75" w:rsidRPr="003D1E62" w:rsidRDefault="000D2C75" w:rsidP="008677B0">
            <w:pPr>
              <w:rPr>
                <w:i/>
              </w:rPr>
            </w:pPr>
            <w:r>
              <w:rPr>
                <w:i/>
              </w:rPr>
              <w:t>Product name</w:t>
            </w:r>
            <w:r w:rsidRPr="00460036">
              <w:rPr>
                <w:i/>
              </w:rPr>
              <w:t>:</w:t>
            </w:r>
          </w:p>
        </w:tc>
        <w:tc>
          <w:tcPr>
            <w:tcW w:w="3423" w:type="pct"/>
          </w:tcPr>
          <w:p w14:paraId="15AFF53F" w14:textId="77777777" w:rsidR="000D2C75" w:rsidRPr="003D1E62" w:rsidRDefault="000D2C75" w:rsidP="008677B0">
            <w:r>
              <w:t>Comirnaty COVID-19 vaccine</w:t>
            </w:r>
          </w:p>
        </w:tc>
      </w:tr>
      <w:tr w:rsidR="000D2C75" w:rsidRPr="003D1E62" w14:paraId="08E4A44E" w14:textId="77777777" w:rsidTr="000D2C75">
        <w:tc>
          <w:tcPr>
            <w:tcW w:w="1577" w:type="pct"/>
          </w:tcPr>
          <w:p w14:paraId="787FF02F" w14:textId="77777777" w:rsidR="000D2C75" w:rsidRPr="003D1E62" w:rsidRDefault="000D2C75" w:rsidP="008677B0">
            <w:pPr>
              <w:rPr>
                <w:i/>
              </w:rPr>
            </w:pPr>
            <w:r>
              <w:rPr>
                <w:i/>
              </w:rPr>
              <w:t>Active ingredient</w:t>
            </w:r>
            <w:r w:rsidRPr="00460036">
              <w:rPr>
                <w:i/>
              </w:rPr>
              <w:t>:</w:t>
            </w:r>
          </w:p>
        </w:tc>
        <w:tc>
          <w:tcPr>
            <w:tcW w:w="3423" w:type="pct"/>
          </w:tcPr>
          <w:p w14:paraId="5F2E28EB" w14:textId="77777777" w:rsidR="000D2C75" w:rsidRPr="003D1E62" w:rsidRDefault="000D2C75" w:rsidP="008677B0">
            <w:r>
              <w:t>Tozinameran</w:t>
            </w:r>
          </w:p>
        </w:tc>
      </w:tr>
      <w:tr w:rsidR="000D2C75" w:rsidRPr="003D1E62" w14:paraId="51F6C7AA" w14:textId="77777777" w:rsidTr="000D2C75">
        <w:tc>
          <w:tcPr>
            <w:tcW w:w="1577" w:type="pct"/>
          </w:tcPr>
          <w:p w14:paraId="467FEB26" w14:textId="77777777" w:rsidR="000D2C75" w:rsidRPr="009F2673" w:rsidRDefault="000D2C75" w:rsidP="008677B0">
            <w:pPr>
              <w:rPr>
                <w:i/>
              </w:rPr>
            </w:pPr>
            <w:r w:rsidRPr="003D1E62">
              <w:rPr>
                <w:i/>
              </w:rPr>
              <w:t>Decision</w:t>
            </w:r>
            <w:r w:rsidRPr="009F2673">
              <w:rPr>
                <w:i/>
              </w:rPr>
              <w:t>:</w:t>
            </w:r>
          </w:p>
        </w:tc>
        <w:tc>
          <w:tcPr>
            <w:tcW w:w="3423" w:type="pct"/>
          </w:tcPr>
          <w:p w14:paraId="346CEE17" w14:textId="77777777" w:rsidR="000D2C75" w:rsidRPr="003D1E62" w:rsidRDefault="000D2C75" w:rsidP="008677B0">
            <w:r w:rsidRPr="0014083F">
              <w:t>Approved for provisional registration</w:t>
            </w:r>
          </w:p>
        </w:tc>
      </w:tr>
      <w:tr w:rsidR="000D2C75" w:rsidRPr="003D1E62" w14:paraId="0FAEF562" w14:textId="77777777" w:rsidTr="000D2C75">
        <w:tc>
          <w:tcPr>
            <w:tcW w:w="1577" w:type="pct"/>
          </w:tcPr>
          <w:p w14:paraId="0356A066" w14:textId="77777777" w:rsidR="000D2C75" w:rsidRPr="003D1E62" w:rsidRDefault="000D2C75" w:rsidP="008677B0">
            <w:pPr>
              <w:rPr>
                <w:i/>
              </w:rPr>
            </w:pPr>
            <w:r w:rsidRPr="003D1E62">
              <w:rPr>
                <w:i/>
              </w:rPr>
              <w:t xml:space="preserve">Date of </w:t>
            </w:r>
            <w:r>
              <w:rPr>
                <w:i/>
              </w:rPr>
              <w:t>d</w:t>
            </w:r>
            <w:r w:rsidRPr="003D1E62">
              <w:rPr>
                <w:i/>
              </w:rPr>
              <w:t>ecision:</w:t>
            </w:r>
          </w:p>
        </w:tc>
        <w:tc>
          <w:tcPr>
            <w:tcW w:w="3423" w:type="pct"/>
          </w:tcPr>
          <w:p w14:paraId="2D542227" w14:textId="77777777" w:rsidR="000D2C75" w:rsidRPr="003D1E62" w:rsidRDefault="000D2C75" w:rsidP="008677B0">
            <w:r>
              <w:t>29 September 2022</w:t>
            </w:r>
          </w:p>
        </w:tc>
      </w:tr>
      <w:tr w:rsidR="000D2C75" w:rsidRPr="003D1E62" w14:paraId="7F996A66" w14:textId="77777777" w:rsidTr="000D2C75">
        <w:tc>
          <w:tcPr>
            <w:tcW w:w="1577" w:type="pct"/>
          </w:tcPr>
          <w:p w14:paraId="46086174" w14:textId="77777777" w:rsidR="000D2C75" w:rsidRPr="00441C3F" w:rsidRDefault="000D2C75" w:rsidP="008677B0">
            <w:pPr>
              <w:rPr>
                <w:i/>
              </w:rPr>
            </w:pPr>
            <w:r w:rsidRPr="00441C3F">
              <w:rPr>
                <w:i/>
              </w:rPr>
              <w:t>Date of entry onto ARTG</w:t>
            </w:r>
            <w:r>
              <w:rPr>
                <w:i/>
              </w:rPr>
              <w:t>:</w:t>
            </w:r>
          </w:p>
        </w:tc>
        <w:tc>
          <w:tcPr>
            <w:tcW w:w="3423" w:type="pct"/>
          </w:tcPr>
          <w:p w14:paraId="4A8F8977" w14:textId="59DB93D2" w:rsidR="000D2C75" w:rsidRPr="00D57AFC" w:rsidRDefault="003100E2" w:rsidP="008677B0">
            <w:pPr>
              <w:rPr>
                <w:highlight w:val="yellow"/>
              </w:rPr>
            </w:pPr>
            <w:r w:rsidRPr="00456C48">
              <w:t>30 September 2022</w:t>
            </w:r>
          </w:p>
        </w:tc>
      </w:tr>
      <w:tr w:rsidR="000D2C75" w:rsidRPr="003D1E62" w14:paraId="103F05AB" w14:textId="77777777" w:rsidTr="000D2C75">
        <w:tc>
          <w:tcPr>
            <w:tcW w:w="1577" w:type="pct"/>
          </w:tcPr>
          <w:p w14:paraId="3B93D8E5" w14:textId="77777777" w:rsidR="000D2C75" w:rsidRPr="00441C3F" w:rsidRDefault="000D2C75" w:rsidP="008677B0">
            <w:pPr>
              <w:rPr>
                <w:i/>
              </w:rPr>
            </w:pPr>
            <w:r>
              <w:rPr>
                <w:i/>
              </w:rPr>
              <w:t>ARTG numbers:</w:t>
            </w:r>
          </w:p>
        </w:tc>
        <w:tc>
          <w:tcPr>
            <w:tcW w:w="3423" w:type="pct"/>
          </w:tcPr>
          <w:p w14:paraId="31F49D30" w14:textId="19CF9D3A" w:rsidR="000D2C75" w:rsidRPr="00D57AFC" w:rsidRDefault="000D2C75" w:rsidP="008677B0">
            <w:pPr>
              <w:rPr>
                <w:highlight w:val="yellow"/>
              </w:rPr>
            </w:pPr>
            <w:r w:rsidRPr="0092761A">
              <w:t>393433</w:t>
            </w:r>
          </w:p>
        </w:tc>
      </w:tr>
      <w:tr w:rsidR="000D2C75" w:rsidRPr="003D1E62" w14:paraId="0CD860B6" w14:textId="77777777" w:rsidTr="000D2C75">
        <w:tc>
          <w:tcPr>
            <w:tcW w:w="1577" w:type="pct"/>
          </w:tcPr>
          <w:p w14:paraId="5CC932AF" w14:textId="6A452FE4" w:rsidR="000D2C75" w:rsidRDefault="000D2C75" w:rsidP="008677B0">
            <w:pPr>
              <w:rPr>
                <w:i/>
              </w:rPr>
            </w:pPr>
            <w:r>
              <w:rPr>
                <w:rFonts w:ascii="Wingdings 3" w:hAnsi="Wingdings 3"/>
                <w:sz w:val="34"/>
                <w:szCs w:val="34"/>
                <w:lang w:eastAsia="en-AU"/>
              </w:rPr>
              <w:t></w:t>
            </w:r>
            <w:hyperlink r:id="rId14" w:history="1">
              <w:r w:rsidRPr="009F2673">
                <w:rPr>
                  <w:rStyle w:val="Hyperlink"/>
                  <w:i/>
                </w:rPr>
                <w:t>Black Triangle Scheme</w:t>
              </w:r>
            </w:hyperlink>
            <w:r>
              <w:rPr>
                <w:i/>
              </w:rPr>
              <w:t>:</w:t>
            </w:r>
          </w:p>
        </w:tc>
        <w:tc>
          <w:tcPr>
            <w:tcW w:w="3423" w:type="pct"/>
          </w:tcPr>
          <w:p w14:paraId="2DAA3AF1" w14:textId="77777777" w:rsidR="000D2C75" w:rsidRPr="000D2C75" w:rsidRDefault="000D2C75" w:rsidP="008677B0">
            <w:r>
              <w:t>Yes</w:t>
            </w:r>
          </w:p>
          <w:p w14:paraId="76A40172" w14:textId="77777777" w:rsidR="000D2C75" w:rsidRPr="00487162" w:rsidRDefault="000D2C75" w:rsidP="008677B0">
            <w:r>
              <w:t>As a provisionally registered product, this medicine will remain in the Black Triangle Scheme for the duration of its provisional registration</w:t>
            </w:r>
          </w:p>
        </w:tc>
      </w:tr>
      <w:tr w:rsidR="000D2C75" w:rsidRPr="003D1E62" w14:paraId="23D5A2A4" w14:textId="77777777" w:rsidTr="000D2C75">
        <w:tc>
          <w:tcPr>
            <w:tcW w:w="1577" w:type="pct"/>
          </w:tcPr>
          <w:p w14:paraId="6402E7FA" w14:textId="77777777" w:rsidR="000D2C75" w:rsidRPr="009F2673" w:rsidRDefault="000D2C75" w:rsidP="008677B0">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5E8A550F" w14:textId="77777777" w:rsidR="000D2C75" w:rsidRDefault="000D2C75" w:rsidP="008677B0">
            <w:r>
              <w:t>Pfizer Australia Pty Ltd</w:t>
            </w:r>
          </w:p>
          <w:p w14:paraId="7BEE0839" w14:textId="77777777" w:rsidR="000D2C75" w:rsidRDefault="000D2C75" w:rsidP="008677B0">
            <w:r>
              <w:t>Level 17, 151 Clarence Street</w:t>
            </w:r>
          </w:p>
          <w:p w14:paraId="75BE627F" w14:textId="77777777" w:rsidR="000D2C75" w:rsidRDefault="000D2C75" w:rsidP="008677B0">
            <w:r>
              <w:t>Sydney, NSW, 2000</w:t>
            </w:r>
          </w:p>
        </w:tc>
      </w:tr>
      <w:tr w:rsidR="000D2C75" w:rsidRPr="003D1E62" w14:paraId="4D5A0A00" w14:textId="77777777" w:rsidTr="000D2C75">
        <w:tc>
          <w:tcPr>
            <w:tcW w:w="1577" w:type="pct"/>
          </w:tcPr>
          <w:p w14:paraId="55CD34D5" w14:textId="77777777" w:rsidR="000D2C75" w:rsidRPr="00487162" w:rsidRDefault="000D2C75" w:rsidP="008677B0">
            <w:pPr>
              <w:rPr>
                <w:i/>
              </w:rPr>
            </w:pPr>
            <w:r>
              <w:rPr>
                <w:i/>
              </w:rPr>
              <w:t>Dose form:</w:t>
            </w:r>
          </w:p>
        </w:tc>
        <w:tc>
          <w:tcPr>
            <w:tcW w:w="3423" w:type="pct"/>
          </w:tcPr>
          <w:p w14:paraId="3C70C59E" w14:textId="77777777" w:rsidR="000D2C75" w:rsidRDefault="000D2C75" w:rsidP="008677B0">
            <w:r>
              <w:t>Concentrated suspension for injection</w:t>
            </w:r>
          </w:p>
        </w:tc>
      </w:tr>
      <w:tr w:rsidR="000D2C75" w:rsidRPr="003D1E62" w14:paraId="1F82D645" w14:textId="77777777" w:rsidTr="000D2C75">
        <w:tc>
          <w:tcPr>
            <w:tcW w:w="1577" w:type="pct"/>
          </w:tcPr>
          <w:p w14:paraId="123E8668" w14:textId="77777777" w:rsidR="000D2C75" w:rsidRPr="0092761A" w:rsidRDefault="000D2C75" w:rsidP="008677B0">
            <w:pPr>
              <w:rPr>
                <w:i/>
              </w:rPr>
            </w:pPr>
            <w:r w:rsidRPr="0092761A">
              <w:rPr>
                <w:i/>
              </w:rPr>
              <w:t>Strength:</w:t>
            </w:r>
          </w:p>
        </w:tc>
        <w:tc>
          <w:tcPr>
            <w:tcW w:w="3423" w:type="pct"/>
          </w:tcPr>
          <w:p w14:paraId="03B7068C" w14:textId="77777777" w:rsidR="000D2C75" w:rsidRPr="0092761A" w:rsidRDefault="000D2C75" w:rsidP="008677B0">
            <w:r w:rsidRPr="0092761A">
              <w:rPr>
                <w:lang w:eastAsia="en-AU"/>
              </w:rPr>
              <w:t>3 µg/0.2 mL</w:t>
            </w:r>
          </w:p>
        </w:tc>
      </w:tr>
      <w:tr w:rsidR="000D2C75" w:rsidRPr="003D1E62" w14:paraId="479B58DB" w14:textId="77777777" w:rsidTr="000D2C75">
        <w:tc>
          <w:tcPr>
            <w:tcW w:w="1577" w:type="pct"/>
          </w:tcPr>
          <w:p w14:paraId="7962CB63" w14:textId="77777777" w:rsidR="000D2C75" w:rsidRPr="00487162" w:rsidRDefault="000D2C75" w:rsidP="008677B0">
            <w:pPr>
              <w:rPr>
                <w:i/>
              </w:rPr>
            </w:pPr>
            <w:r>
              <w:rPr>
                <w:i/>
              </w:rPr>
              <w:t>Container</w:t>
            </w:r>
            <w:r w:rsidRPr="00487162">
              <w:rPr>
                <w:i/>
              </w:rPr>
              <w:t>:</w:t>
            </w:r>
          </w:p>
        </w:tc>
        <w:tc>
          <w:tcPr>
            <w:tcW w:w="3423" w:type="pct"/>
          </w:tcPr>
          <w:p w14:paraId="5E218941" w14:textId="4CCF68E6" w:rsidR="000D2C75" w:rsidRDefault="008677B0" w:rsidP="008677B0">
            <w:r>
              <w:t>Multidose</w:t>
            </w:r>
            <w:r w:rsidR="000D2C75">
              <w:t xml:space="preserve"> vial</w:t>
            </w:r>
          </w:p>
        </w:tc>
      </w:tr>
      <w:tr w:rsidR="000D2C75" w:rsidRPr="003D1E62" w14:paraId="21BDA023" w14:textId="77777777" w:rsidTr="000D2C75">
        <w:tc>
          <w:tcPr>
            <w:tcW w:w="1577" w:type="pct"/>
          </w:tcPr>
          <w:p w14:paraId="2DACA606" w14:textId="77777777" w:rsidR="000D2C75" w:rsidRPr="00487162" w:rsidRDefault="000D2C75" w:rsidP="008677B0">
            <w:pPr>
              <w:rPr>
                <w:i/>
              </w:rPr>
            </w:pPr>
            <w:r>
              <w:rPr>
                <w:i/>
              </w:rPr>
              <w:t>Pack sizes</w:t>
            </w:r>
            <w:r w:rsidRPr="00487162">
              <w:rPr>
                <w:i/>
              </w:rPr>
              <w:t>:</w:t>
            </w:r>
          </w:p>
        </w:tc>
        <w:tc>
          <w:tcPr>
            <w:tcW w:w="3423" w:type="pct"/>
          </w:tcPr>
          <w:p w14:paraId="5369ED33" w14:textId="77777777" w:rsidR="000D2C75" w:rsidRDefault="000D2C75" w:rsidP="008677B0">
            <w:r>
              <w:t>10 and 195 vials</w:t>
            </w:r>
          </w:p>
        </w:tc>
      </w:tr>
      <w:tr w:rsidR="000D2C75" w:rsidRPr="003D1E62" w14:paraId="0D15FEEF" w14:textId="77777777" w:rsidTr="000D2C75">
        <w:tc>
          <w:tcPr>
            <w:tcW w:w="1577" w:type="pct"/>
          </w:tcPr>
          <w:p w14:paraId="02B513B1" w14:textId="77777777" w:rsidR="000D2C75" w:rsidRPr="00487162" w:rsidRDefault="000D2C75" w:rsidP="008677B0">
            <w:pPr>
              <w:rPr>
                <w:i/>
              </w:rPr>
            </w:pPr>
            <w:r w:rsidRPr="00487162">
              <w:rPr>
                <w:i/>
              </w:rPr>
              <w:t xml:space="preserve">Approved </w:t>
            </w:r>
            <w:r>
              <w:rPr>
                <w:i/>
              </w:rPr>
              <w:t>t</w:t>
            </w:r>
            <w:r w:rsidRPr="00487162">
              <w:rPr>
                <w:i/>
              </w:rPr>
              <w:t>herapeutic use:</w:t>
            </w:r>
          </w:p>
        </w:tc>
        <w:tc>
          <w:tcPr>
            <w:tcW w:w="3423" w:type="pct"/>
          </w:tcPr>
          <w:p w14:paraId="77C130E2" w14:textId="77777777" w:rsidR="000D2C75" w:rsidRPr="000174DE" w:rsidRDefault="000D2C75" w:rsidP="008677B0">
            <w:pPr>
              <w:rPr>
                <w:i/>
                <w:iCs/>
              </w:rPr>
            </w:pPr>
            <w:r w:rsidRPr="000174DE">
              <w:rPr>
                <w:i/>
                <w:iCs/>
              </w:rPr>
              <w:t>C</w:t>
            </w:r>
            <w:r>
              <w:rPr>
                <w:i/>
                <w:iCs/>
              </w:rPr>
              <w:t>omirnaty</w:t>
            </w:r>
            <w:r w:rsidRPr="000174DE">
              <w:rPr>
                <w:i/>
                <w:iCs/>
              </w:rPr>
              <w:t xml:space="preserve"> (tozinameran) COVID-19 </w:t>
            </w:r>
            <w:r>
              <w:rPr>
                <w:i/>
                <w:iCs/>
              </w:rPr>
              <w:t>v</w:t>
            </w:r>
            <w:r w:rsidRPr="000174DE">
              <w:rPr>
                <w:i/>
                <w:iCs/>
              </w:rPr>
              <w:t xml:space="preserve">accine has </w:t>
            </w:r>
            <w:r w:rsidRPr="000174DE">
              <w:rPr>
                <w:b/>
                <w:bCs/>
                <w:i/>
                <w:iCs/>
              </w:rPr>
              <w:t>provisional approval</w:t>
            </w:r>
            <w:r w:rsidRPr="000174DE">
              <w:rPr>
                <w:i/>
                <w:iCs/>
              </w:rPr>
              <w:t xml:space="preserve"> for the indication below:</w:t>
            </w:r>
          </w:p>
          <w:p w14:paraId="497D4829" w14:textId="77777777" w:rsidR="000D2C75" w:rsidRPr="000174DE" w:rsidRDefault="000D2C75" w:rsidP="008677B0">
            <w:pPr>
              <w:rPr>
                <w:i/>
                <w:iCs/>
              </w:rPr>
            </w:pPr>
            <w:r w:rsidRPr="000174DE">
              <w:rPr>
                <w:i/>
                <w:iCs/>
              </w:rPr>
              <w:t>Active immunisation to prevent coronavirus disease 2019 (COVID-19) caused by SARS-CoV-2, in individuals 6 months of age and older.</w:t>
            </w:r>
          </w:p>
          <w:p w14:paraId="6646399D" w14:textId="77777777" w:rsidR="000D2C75" w:rsidRPr="000174DE" w:rsidRDefault="000D2C75" w:rsidP="008677B0">
            <w:pPr>
              <w:rPr>
                <w:i/>
                <w:iCs/>
              </w:rPr>
            </w:pPr>
            <w:r w:rsidRPr="000174DE">
              <w:rPr>
                <w:i/>
                <w:iCs/>
              </w:rPr>
              <w:t>The use of this vaccine should be in accordance with official recommendations.</w:t>
            </w:r>
          </w:p>
          <w:p w14:paraId="2F1D2B61" w14:textId="77777777" w:rsidR="000D2C75" w:rsidRPr="00487162" w:rsidRDefault="000D2C75" w:rsidP="008677B0">
            <w:r w:rsidRPr="000174DE">
              <w:rPr>
                <w:i/>
                <w:iCs/>
              </w:rPr>
              <w:t xml:space="preserve">The decision has been made on the basis of </w:t>
            </w:r>
            <w:proofErr w:type="gramStart"/>
            <w:r w:rsidRPr="000174DE">
              <w:rPr>
                <w:i/>
                <w:iCs/>
              </w:rPr>
              <w:t>short term</w:t>
            </w:r>
            <w:proofErr w:type="gramEnd"/>
            <w:r w:rsidRPr="000174DE">
              <w:rPr>
                <w:i/>
                <w:iCs/>
              </w:rPr>
              <w:t xml:space="preserve"> efficacy and safety data. Continued approval depends on the evidence of </w:t>
            </w:r>
            <w:proofErr w:type="gramStart"/>
            <w:r w:rsidRPr="000174DE">
              <w:rPr>
                <w:i/>
                <w:iCs/>
              </w:rPr>
              <w:t>longer term</w:t>
            </w:r>
            <w:proofErr w:type="gramEnd"/>
            <w:r w:rsidRPr="000174DE">
              <w:rPr>
                <w:i/>
                <w:iCs/>
              </w:rPr>
              <w:t xml:space="preserve"> efficacy and safety from ongoing clinical trials and post-market assessment.</w:t>
            </w:r>
          </w:p>
        </w:tc>
      </w:tr>
      <w:tr w:rsidR="000D2C75" w:rsidRPr="003D1E62" w14:paraId="6531BD79" w14:textId="77777777" w:rsidTr="000D2C75">
        <w:tc>
          <w:tcPr>
            <w:tcW w:w="1577" w:type="pct"/>
          </w:tcPr>
          <w:p w14:paraId="1FE1D05F" w14:textId="77777777" w:rsidR="000D2C75" w:rsidRPr="00487162" w:rsidRDefault="000D2C75" w:rsidP="008677B0">
            <w:pPr>
              <w:rPr>
                <w:i/>
              </w:rPr>
            </w:pPr>
            <w:r>
              <w:rPr>
                <w:i/>
              </w:rPr>
              <w:t>Route</w:t>
            </w:r>
            <w:r w:rsidRPr="00487162">
              <w:rPr>
                <w:i/>
              </w:rPr>
              <w:t xml:space="preserve"> of administration:</w:t>
            </w:r>
          </w:p>
        </w:tc>
        <w:tc>
          <w:tcPr>
            <w:tcW w:w="3423" w:type="pct"/>
          </w:tcPr>
          <w:p w14:paraId="3503932C" w14:textId="77777777" w:rsidR="000D2C75" w:rsidRPr="00487162" w:rsidRDefault="000D2C75" w:rsidP="008677B0">
            <w:r>
              <w:t>Intramuscular injection</w:t>
            </w:r>
          </w:p>
        </w:tc>
      </w:tr>
      <w:tr w:rsidR="000D2C75" w:rsidRPr="003D1E62" w14:paraId="381686C8" w14:textId="77777777" w:rsidTr="000D2C75">
        <w:tc>
          <w:tcPr>
            <w:tcW w:w="1577" w:type="pct"/>
          </w:tcPr>
          <w:p w14:paraId="403EB787" w14:textId="77777777" w:rsidR="000D2C75" w:rsidRPr="00487162" w:rsidRDefault="000D2C75" w:rsidP="008677B0">
            <w:pPr>
              <w:rPr>
                <w:i/>
              </w:rPr>
            </w:pPr>
            <w:r w:rsidRPr="00487162">
              <w:rPr>
                <w:i/>
              </w:rPr>
              <w:t>Dosage:</w:t>
            </w:r>
          </w:p>
        </w:tc>
        <w:tc>
          <w:tcPr>
            <w:tcW w:w="3423" w:type="pct"/>
          </w:tcPr>
          <w:p w14:paraId="41139773" w14:textId="4BF82D8D" w:rsidR="000D2C75" w:rsidRPr="000174DE" w:rsidRDefault="000D2C75" w:rsidP="008677B0">
            <w:pPr>
              <w:rPr>
                <w:b/>
                <w:bCs/>
              </w:rPr>
            </w:pPr>
            <w:r w:rsidRPr="000174DE">
              <w:rPr>
                <w:b/>
                <w:bCs/>
              </w:rPr>
              <w:t xml:space="preserve">Individuals 6 months to </w:t>
            </w:r>
            <w:r w:rsidR="008677B0">
              <w:rPr>
                <w:b/>
                <w:bCs/>
              </w:rPr>
              <w:t xml:space="preserve">under </w:t>
            </w:r>
            <w:r w:rsidRPr="000174DE">
              <w:rPr>
                <w:b/>
                <w:bCs/>
              </w:rPr>
              <w:t>5 years of age</w:t>
            </w:r>
          </w:p>
          <w:p w14:paraId="27A5F5B7" w14:textId="463AFB7D" w:rsidR="000D2C75" w:rsidRDefault="000D2C75" w:rsidP="008677B0">
            <w:r>
              <w:lastRenderedPageBreak/>
              <w:t xml:space="preserve">Comirnaty Dilute </w:t>
            </w:r>
            <w:proofErr w:type="gramStart"/>
            <w:r>
              <w:t>To</w:t>
            </w:r>
            <w:proofErr w:type="gramEnd"/>
            <w:r>
              <w:t xml:space="preserve"> Use Multidose (</w:t>
            </w:r>
            <w:r w:rsidR="008677B0">
              <w:t>f</w:t>
            </w:r>
            <w:r>
              <w:t xml:space="preserve">or age 6 months to </w:t>
            </w:r>
            <w:r w:rsidR="008677B0">
              <w:t>under </w:t>
            </w:r>
            <w:r>
              <w:t>5</w:t>
            </w:r>
            <w:r w:rsidR="008677B0">
              <w:t> </w:t>
            </w:r>
            <w:r>
              <w:t>years) is administered intramuscularly as a primary course of 3 doses (3 micrograms/0.2 mL each). The initial two doses are administered 3 weeks apart followed by a third dose administered at least 8 weeks after the second dose (see sections 4.4 Special warnings and precautions for use and 5.1 Pharmacodynamic properties).</w:t>
            </w:r>
          </w:p>
          <w:p w14:paraId="24D02647" w14:textId="77777777" w:rsidR="000D2C75" w:rsidRDefault="000D2C75" w:rsidP="008677B0">
            <w:r>
              <w:t>Children who will turn from 4 years to 5 years of age between their doses in the vaccination series should receive their age-appropriate dose at the time of the vaccination and the interval between doses is determined by the individual’s age at the start of the vaccination series.</w:t>
            </w:r>
          </w:p>
          <w:p w14:paraId="60593F7E" w14:textId="77777777" w:rsidR="000D2C75" w:rsidRDefault="000D2C75" w:rsidP="008677B0">
            <w:r>
              <w:t xml:space="preserve">Comirnaty Dilute </w:t>
            </w:r>
            <w:proofErr w:type="gramStart"/>
            <w:r>
              <w:t>To</w:t>
            </w:r>
            <w:proofErr w:type="gramEnd"/>
            <w:r>
              <w:t xml:space="preserve"> Use Multidose (For age 6 months to &lt; 5 years) cannot be used in individuals 5 years of age and older.</w:t>
            </w:r>
          </w:p>
          <w:p w14:paraId="5AE5AC79" w14:textId="77777777" w:rsidR="000D2C75" w:rsidRPr="00487162" w:rsidRDefault="000D2C75" w:rsidP="008677B0">
            <w:r w:rsidRPr="00460036">
              <w:t>For further information regarding dosage, refer to the Product Information.</w:t>
            </w:r>
          </w:p>
        </w:tc>
      </w:tr>
      <w:tr w:rsidR="000D2C75" w:rsidRPr="003D1E62" w14:paraId="5C8C9A0F" w14:textId="77777777" w:rsidTr="000D2C75">
        <w:tc>
          <w:tcPr>
            <w:tcW w:w="1577" w:type="pct"/>
          </w:tcPr>
          <w:p w14:paraId="533D84EA" w14:textId="77777777" w:rsidR="000D2C75" w:rsidRPr="00487162" w:rsidRDefault="000D2C75" w:rsidP="008677B0">
            <w:pPr>
              <w:rPr>
                <w:i/>
              </w:rPr>
            </w:pPr>
            <w:r w:rsidRPr="00460036">
              <w:rPr>
                <w:i/>
              </w:rPr>
              <w:lastRenderedPageBreak/>
              <w:t>Pregnancy category</w:t>
            </w:r>
            <w:r>
              <w:rPr>
                <w:i/>
              </w:rPr>
              <w:t>:</w:t>
            </w:r>
          </w:p>
        </w:tc>
        <w:tc>
          <w:tcPr>
            <w:tcW w:w="3423" w:type="pct"/>
          </w:tcPr>
          <w:p w14:paraId="7A20F22D" w14:textId="77777777" w:rsidR="000D2C75" w:rsidRDefault="000D2C75" w:rsidP="008677B0">
            <w:r>
              <w:t>B1</w:t>
            </w:r>
          </w:p>
          <w:p w14:paraId="5CF79B23" w14:textId="77777777" w:rsidR="000D2C75" w:rsidRDefault="000D2C75" w:rsidP="008677B0">
            <w:r>
              <w:t xml:space="preserve">Drugs which have been taken by only a limited number </w:t>
            </w:r>
            <w:proofErr w:type="gramStart"/>
            <w:r>
              <w:t>of  pregnant</w:t>
            </w:r>
            <w:proofErr w:type="gramEnd"/>
            <w:r>
              <w:t xml:space="preserve">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2207720C" w14:textId="77777777" w:rsidR="000D2C75" w:rsidRDefault="000D2C75" w:rsidP="008677B0">
            <w:r>
              <w:t xml:space="preserve">Studies in animals have not shown evidence of an increased occurrence of </w:t>
            </w:r>
            <w:proofErr w:type="spellStart"/>
            <w:r>
              <w:t>fetal</w:t>
            </w:r>
            <w:proofErr w:type="spellEnd"/>
            <w:r>
              <w:t xml:space="preserve"> damage.</w:t>
            </w:r>
          </w:p>
          <w:p w14:paraId="12AEF228" w14:textId="77777777" w:rsidR="000D2C75" w:rsidRPr="00487162" w:rsidRDefault="000D2C75" w:rsidP="008677B0">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2863504" w14:textId="77777777" w:rsidR="008E7846" w:rsidRDefault="008E7846" w:rsidP="008E7846">
      <w:pPr>
        <w:pStyle w:val="Heading3"/>
      </w:pPr>
      <w:bookmarkStart w:id="9" w:name="_Toc247691503"/>
      <w:bookmarkStart w:id="10" w:name="_Toc314842484"/>
      <w:bookmarkStart w:id="11" w:name="_Toc116380305"/>
      <w:r>
        <w:t>Product background</w:t>
      </w:r>
      <w:bookmarkEnd w:id="9"/>
      <w:bookmarkEnd w:id="10"/>
      <w:bookmarkEnd w:id="11"/>
    </w:p>
    <w:p w14:paraId="778EF78D" w14:textId="49CBCA43" w:rsidR="009F2673" w:rsidRDefault="009F2673" w:rsidP="00697A77">
      <w:r w:rsidRPr="000A4A42">
        <w:t xml:space="preserve">This </w:t>
      </w:r>
      <w:proofErr w:type="spellStart"/>
      <w:r w:rsidRPr="000A4A42">
        <w:t>AusPAR</w:t>
      </w:r>
      <w:proofErr w:type="spellEnd"/>
      <w:r w:rsidRPr="000A4A42">
        <w:t xml:space="preserve"> describes the </w:t>
      </w:r>
      <w:r w:rsidR="001E359E">
        <w:t>submission</w:t>
      </w:r>
      <w:r w:rsidRPr="000A4A42">
        <w:t xml:space="preserve"> by </w:t>
      </w:r>
      <w:r w:rsidR="00697A77">
        <w:t>Pfizer Australia Pty Ltd</w:t>
      </w:r>
      <w:r w:rsidR="00481E0B">
        <w:t xml:space="preserve"> (the sponsor) to provisionally register Comirnaty (tozinameran) COVID-19 vaccine 3</w:t>
      </w:r>
      <w:r w:rsidR="00481E0B" w:rsidRPr="00C627EB">
        <w:t xml:space="preserve"> µg/0.2 mL </w:t>
      </w:r>
      <w:r w:rsidR="00481E0B">
        <w:t xml:space="preserve">concentrated suspension for injection, multidose vial </w:t>
      </w:r>
      <w:r w:rsidR="00E2314A">
        <w:t xml:space="preserve">for the </w:t>
      </w:r>
      <w:bookmarkStart w:id="12" w:name="_Toc314842485"/>
      <w:bookmarkStart w:id="13" w:name="_Toc247691504"/>
      <w:r w:rsidR="00E2314A">
        <w:t>following proposed indication</w:t>
      </w:r>
      <w:r w:rsidR="00F328E8">
        <w:t>:</w:t>
      </w:r>
    </w:p>
    <w:p w14:paraId="28F970D8" w14:textId="7B5020F4" w:rsidR="00697A77" w:rsidRPr="00035D9A" w:rsidRDefault="00697A77" w:rsidP="00035D9A">
      <w:pPr>
        <w:ind w:left="720"/>
        <w:rPr>
          <w:i/>
          <w:lang w:eastAsia="en-AU"/>
        </w:rPr>
      </w:pPr>
      <w:r w:rsidRPr="00035D9A">
        <w:rPr>
          <w:i/>
          <w:lang w:eastAsia="en-AU"/>
        </w:rPr>
        <w:t>Active immunisation to prevent coronavirus disease 2019 (COVID-19) caused by SARS-CoV-2, in individuals 6 months of age and older.</w:t>
      </w:r>
    </w:p>
    <w:p w14:paraId="3958DFCA" w14:textId="0A423B06" w:rsidR="00697A77" w:rsidRDefault="00697A77" w:rsidP="00035D9A">
      <w:pPr>
        <w:ind w:left="720"/>
        <w:rPr>
          <w:i/>
          <w:lang w:eastAsia="en-AU"/>
        </w:rPr>
      </w:pPr>
      <w:r w:rsidRPr="00035D9A">
        <w:rPr>
          <w:i/>
          <w:lang w:eastAsia="en-AU"/>
        </w:rPr>
        <w:t>The use of this vaccine should be in accordance with official recommendations.</w:t>
      </w:r>
    </w:p>
    <w:p w14:paraId="62D7D8F9" w14:textId="2BAA6D59" w:rsidR="00E2314A" w:rsidRDefault="00E2314A" w:rsidP="00D20DF4">
      <w:r>
        <w:t xml:space="preserve">The indication above represents and extension to the current indications, expanding the indication population to include a younger age group of children </w:t>
      </w:r>
      <w:r w:rsidR="00333270">
        <w:t xml:space="preserve">aged </w:t>
      </w:r>
      <w:r>
        <w:t>f</w:t>
      </w:r>
      <w:r w:rsidR="00333270">
        <w:t>rom 6 months to under 5 </w:t>
      </w:r>
      <w:r>
        <w:t>years.</w:t>
      </w:r>
    </w:p>
    <w:p w14:paraId="176BF3CE" w14:textId="67387867" w:rsidR="00E2314A" w:rsidRDefault="00E2314A" w:rsidP="00D20DF4">
      <w:r>
        <w:t>The indication as approved by the TGA at the time of this submission was as follows:</w:t>
      </w:r>
    </w:p>
    <w:p w14:paraId="00D89B16" w14:textId="54CA13E8" w:rsidR="00E2314A" w:rsidRPr="00531D3D" w:rsidRDefault="00E2314A" w:rsidP="00E2314A">
      <w:pPr>
        <w:ind w:left="720"/>
        <w:rPr>
          <w:i/>
        </w:rPr>
      </w:pPr>
      <w:r w:rsidRPr="00531D3D">
        <w:rPr>
          <w:i/>
        </w:rPr>
        <w:lastRenderedPageBreak/>
        <w:t>Active immunisation to prevent coronavirus disease 2019 (COVID-19) caused by SARS-CoV-2, in individuals 5 years of age and older.</w:t>
      </w:r>
    </w:p>
    <w:p w14:paraId="10C24089" w14:textId="4DFCEA3F" w:rsidR="00E2314A" w:rsidRDefault="00E2314A" w:rsidP="00E2314A">
      <w:pPr>
        <w:ind w:left="720"/>
        <w:rPr>
          <w:i/>
        </w:rPr>
      </w:pPr>
      <w:r w:rsidRPr="00954E3E">
        <w:rPr>
          <w:i/>
        </w:rPr>
        <w:t>The use of this vaccine should be in accordance</w:t>
      </w:r>
      <w:r>
        <w:rPr>
          <w:i/>
        </w:rPr>
        <w:t xml:space="preserve"> with official recommendations.</w:t>
      </w:r>
    </w:p>
    <w:p w14:paraId="35D0F0AA" w14:textId="3D413173" w:rsidR="00867028" w:rsidRDefault="00E2314A" w:rsidP="00D20DF4">
      <w:r>
        <w:t xml:space="preserve">In </w:t>
      </w:r>
      <w:proofErr w:type="gramStart"/>
      <w:r>
        <w:t>addition</w:t>
      </w:r>
      <w:proofErr w:type="gramEnd"/>
      <w:r>
        <w:t xml:space="preserve"> the sponsor has proposed a new</w:t>
      </w:r>
      <w:r w:rsidR="00867028">
        <w:t>,</w:t>
      </w:r>
      <w:r>
        <w:t xml:space="preserve"> </w:t>
      </w:r>
      <w:r w:rsidR="00867028">
        <w:t xml:space="preserve">lower </w:t>
      </w:r>
      <w:r>
        <w:t xml:space="preserve">strength </w:t>
      </w:r>
      <w:r w:rsidR="00867028">
        <w:t>presentation</w:t>
      </w:r>
      <w:r>
        <w:t xml:space="preserve"> of Comirnaty (tozinameran) COVID-19 vaccine specifica</w:t>
      </w:r>
      <w:r w:rsidR="00867028">
        <w:t>lly for this younger age group, along with a new dosage regimen for this age group.</w:t>
      </w:r>
    </w:p>
    <w:p w14:paraId="198B2C90" w14:textId="1970B460" w:rsidR="00867028" w:rsidRDefault="007C30D7" w:rsidP="00D20DF4">
      <w:pPr>
        <w:rPr>
          <w:lang w:eastAsia="en-AU"/>
        </w:rPr>
      </w:pPr>
      <w:r>
        <w:t xml:space="preserve">The new strength proposed is at a dosage of 3 </w:t>
      </w:r>
      <w:r w:rsidR="00867028">
        <w:rPr>
          <w:lang w:eastAsia="en-AU"/>
        </w:rPr>
        <w:t>µg/0.2</w:t>
      </w:r>
      <w:r>
        <w:rPr>
          <w:lang w:eastAsia="en-AU"/>
        </w:rPr>
        <w:t xml:space="preserve"> mL, </w:t>
      </w:r>
      <w:r w:rsidR="00867028">
        <w:rPr>
          <w:lang w:eastAsia="en-AU"/>
        </w:rPr>
        <w:t xml:space="preserve">and is in the form of a tris/sucrose buffered formulation, </w:t>
      </w:r>
      <w:proofErr w:type="gramStart"/>
      <w:r w:rsidR="00867028">
        <w:rPr>
          <w:lang w:eastAsia="en-AU"/>
        </w:rPr>
        <w:t>similar to</w:t>
      </w:r>
      <w:proofErr w:type="gramEnd"/>
      <w:r w:rsidR="00867028">
        <w:rPr>
          <w:lang w:eastAsia="en-AU"/>
        </w:rPr>
        <w:t xml:space="preserve"> the following currently approved vaccine formulations:</w:t>
      </w:r>
    </w:p>
    <w:p w14:paraId="6C8A75AB" w14:textId="55E88884" w:rsidR="00867028" w:rsidRDefault="00867028" w:rsidP="00867028">
      <w:pPr>
        <w:pStyle w:val="ListBullet"/>
        <w:rPr>
          <w:lang w:eastAsia="en-AU"/>
        </w:rPr>
      </w:pPr>
      <w:r w:rsidRPr="00867028">
        <w:rPr>
          <w:lang w:eastAsia="en-AU"/>
        </w:rPr>
        <w:t xml:space="preserve">Comirnaty (tozinameran) COVID-19 vaccine 30 </w:t>
      </w:r>
      <w:r>
        <w:rPr>
          <w:lang w:eastAsia="en-AU"/>
        </w:rPr>
        <w:t>µg</w:t>
      </w:r>
      <w:r w:rsidRPr="00867028">
        <w:rPr>
          <w:lang w:eastAsia="en-AU"/>
        </w:rPr>
        <w:t>/0.3 mL suspension for injection</w:t>
      </w:r>
      <w:r>
        <w:rPr>
          <w:lang w:eastAsia="en-AU"/>
        </w:rPr>
        <w:t xml:space="preserve"> (do not dilute)</w:t>
      </w:r>
      <w:r w:rsidRPr="00867028">
        <w:rPr>
          <w:lang w:eastAsia="en-AU"/>
        </w:rPr>
        <w:t xml:space="preserve"> </w:t>
      </w:r>
      <w:r w:rsidR="00B5133B">
        <w:rPr>
          <w:lang w:eastAsia="en-AU"/>
        </w:rPr>
        <w:t xml:space="preserve">multidose </w:t>
      </w:r>
      <w:r w:rsidRPr="00867028">
        <w:rPr>
          <w:lang w:eastAsia="en-AU"/>
        </w:rPr>
        <w:t>vial (</w:t>
      </w:r>
      <w:r>
        <w:rPr>
          <w:lang w:eastAsia="en-AU"/>
        </w:rPr>
        <w:t xml:space="preserve">AUST R </w:t>
      </w:r>
      <w:r w:rsidRPr="00867028">
        <w:rPr>
          <w:lang w:eastAsia="en-AU"/>
        </w:rPr>
        <w:t>377110)</w:t>
      </w:r>
      <w:r w:rsidR="00B5133B">
        <w:rPr>
          <w:lang w:eastAsia="en-AU"/>
        </w:rPr>
        <w:t>,</w:t>
      </w:r>
      <w:r>
        <w:rPr>
          <w:lang w:eastAsia="en-AU"/>
        </w:rPr>
        <w:t xml:space="preserve"> </w:t>
      </w:r>
      <w:r w:rsidR="00B5133B">
        <w:rPr>
          <w:lang w:eastAsia="en-AU"/>
        </w:rPr>
        <w:t>for use in ages 12 years and above; and</w:t>
      </w:r>
    </w:p>
    <w:p w14:paraId="786EC8C7" w14:textId="61CD4C77" w:rsidR="00B5133B" w:rsidRDefault="00B5133B" w:rsidP="00867028">
      <w:pPr>
        <w:pStyle w:val="ListBullet"/>
        <w:rPr>
          <w:lang w:eastAsia="en-AU"/>
        </w:rPr>
      </w:pPr>
      <w:r w:rsidRPr="00867028">
        <w:rPr>
          <w:lang w:eastAsia="en-AU"/>
        </w:rPr>
        <w:t xml:space="preserve">Comirnaty (tozinameran) COVID-19 vaccine </w:t>
      </w:r>
      <w:r>
        <w:rPr>
          <w:lang w:eastAsia="en-AU"/>
        </w:rPr>
        <w:t>1</w:t>
      </w:r>
      <w:r w:rsidRPr="00867028">
        <w:rPr>
          <w:lang w:eastAsia="en-AU"/>
        </w:rPr>
        <w:t xml:space="preserve">0 </w:t>
      </w:r>
      <w:r>
        <w:rPr>
          <w:lang w:eastAsia="en-AU"/>
        </w:rPr>
        <w:t>µg/0.2</w:t>
      </w:r>
      <w:r w:rsidRPr="00867028">
        <w:rPr>
          <w:lang w:eastAsia="en-AU"/>
        </w:rPr>
        <w:t xml:space="preserve"> mL </w:t>
      </w:r>
      <w:r>
        <w:rPr>
          <w:lang w:eastAsia="en-AU"/>
        </w:rPr>
        <w:t xml:space="preserve">concentrated </w:t>
      </w:r>
      <w:r w:rsidRPr="00867028">
        <w:rPr>
          <w:lang w:eastAsia="en-AU"/>
        </w:rPr>
        <w:t>suspension for injection</w:t>
      </w:r>
      <w:r>
        <w:rPr>
          <w:lang w:eastAsia="en-AU"/>
        </w:rPr>
        <w:t xml:space="preserve"> (dilute to use)</w:t>
      </w:r>
      <w:r w:rsidRPr="00867028">
        <w:rPr>
          <w:lang w:eastAsia="en-AU"/>
        </w:rPr>
        <w:t xml:space="preserve"> </w:t>
      </w:r>
      <w:r>
        <w:rPr>
          <w:lang w:eastAsia="en-AU"/>
        </w:rPr>
        <w:t xml:space="preserve">multidose </w:t>
      </w:r>
      <w:r w:rsidRPr="00867028">
        <w:rPr>
          <w:lang w:eastAsia="en-AU"/>
        </w:rPr>
        <w:t>vial (</w:t>
      </w:r>
      <w:r>
        <w:rPr>
          <w:lang w:eastAsia="en-AU"/>
        </w:rPr>
        <w:t>AUST R 377111); for use in ages from 5 to under 12 years.</w:t>
      </w:r>
    </w:p>
    <w:p w14:paraId="7CCB2F86" w14:textId="74AFA5D7" w:rsidR="00867028" w:rsidRDefault="00B5133B" w:rsidP="00B5133B">
      <w:pPr>
        <w:rPr>
          <w:lang w:eastAsia="en-AU"/>
        </w:rPr>
      </w:pPr>
      <w:r>
        <w:rPr>
          <w:lang w:eastAsia="en-AU"/>
        </w:rPr>
        <w:t>Like the latter 1</w:t>
      </w:r>
      <w:r w:rsidRPr="00867028">
        <w:rPr>
          <w:lang w:eastAsia="en-AU"/>
        </w:rPr>
        <w:t xml:space="preserve">0 </w:t>
      </w:r>
      <w:r>
        <w:rPr>
          <w:lang w:eastAsia="en-AU"/>
        </w:rPr>
        <w:t>µg/0.2</w:t>
      </w:r>
      <w:r w:rsidRPr="00867028">
        <w:rPr>
          <w:lang w:eastAsia="en-AU"/>
        </w:rPr>
        <w:t xml:space="preserve"> mL</w:t>
      </w:r>
      <w:r>
        <w:rPr>
          <w:lang w:eastAsia="en-AU"/>
        </w:rPr>
        <w:t xml:space="preserve"> per dose presentation, this new proposed presentation is also a dilute to use product.</w:t>
      </w:r>
    </w:p>
    <w:p w14:paraId="117A2D95" w14:textId="1B102858" w:rsidR="00B5133B" w:rsidRDefault="00B5133B" w:rsidP="00B5133B">
      <w:pPr>
        <w:rPr>
          <w:lang w:eastAsia="en-AU"/>
        </w:rPr>
      </w:pPr>
      <w:r>
        <w:rPr>
          <w:lang w:eastAsia="en-AU"/>
        </w:rPr>
        <w:t>For this</w:t>
      </w:r>
      <w:r w:rsidR="00333270">
        <w:rPr>
          <w:lang w:eastAsia="en-AU"/>
        </w:rPr>
        <w:t xml:space="preserve"> age group a new dosage regimen is proposed with a primary vaccination series consisting of </w:t>
      </w:r>
      <w:proofErr w:type="gramStart"/>
      <w:r w:rsidR="00333270">
        <w:rPr>
          <w:lang w:eastAsia="en-AU"/>
        </w:rPr>
        <w:t>a 3 separate doses</w:t>
      </w:r>
      <w:proofErr w:type="gramEnd"/>
      <w:r w:rsidR="00333270">
        <w:rPr>
          <w:lang w:eastAsia="en-AU"/>
        </w:rPr>
        <w:t xml:space="preserve"> given at zero, 3, and 8 weeks.</w:t>
      </w:r>
    </w:p>
    <w:p w14:paraId="5F231C41" w14:textId="08A3B868" w:rsidR="00EB3ADE" w:rsidRPr="00D20DF4" w:rsidRDefault="00EB3ADE" w:rsidP="00EB3ADE">
      <w:pPr>
        <w:pStyle w:val="Heading4"/>
      </w:pPr>
      <w:r>
        <w:t>Coronavirus disease 2019</w:t>
      </w:r>
    </w:p>
    <w:p w14:paraId="72D0B695" w14:textId="7DB16F84" w:rsidR="00F328E8" w:rsidRDefault="005D1ABF" w:rsidP="00F328E8">
      <w:r>
        <w:t>Coronavirus disease 2019 (</w:t>
      </w:r>
      <w:r w:rsidR="00F328E8">
        <w:t>COVID-19</w:t>
      </w:r>
      <w:r>
        <w:t>)</w:t>
      </w:r>
      <w:r w:rsidR="00F328E8">
        <w:t xml:space="preserve"> is an infectious disease caused by</w:t>
      </w:r>
      <w:r w:rsidR="00701E98">
        <w:t xml:space="preserve"> </w:t>
      </w:r>
      <w:r>
        <w:t>SARS-CoV-2 (</w:t>
      </w:r>
      <w:r w:rsidR="00F328E8">
        <w:t>s</w:t>
      </w:r>
      <w:r w:rsidR="00F328E8" w:rsidRPr="00F328E8">
        <w:t>evere acute respiratory syndrome coronavirus 2</w:t>
      </w:r>
      <w:r w:rsidR="00F328E8">
        <w:t>). SARS-</w:t>
      </w:r>
      <w:r w:rsidR="00701E98">
        <w:t>CoV-2 is an enveloped, positive</w:t>
      </w:r>
      <w:r w:rsidR="00701E98">
        <w:noBreakHyphen/>
      </w:r>
      <w:r w:rsidR="00F328E8">
        <w:t>s</w:t>
      </w:r>
      <w:r w:rsidR="00701E98">
        <w:t>ense, single-stranded RNA virus</w:t>
      </w:r>
      <w:r w:rsidR="00F328E8">
        <w:t xml:space="preserve"> that first appeared circulating in late 2019. It is predominantly a respiratory illness that also affects other organs. People with COVID-19 have reported a wide range of symptoms, and illness severity. Symptoms may appear between 2 to 14 days after exposure to the virus. Symptoms may include fever or chills; cough; shortness of breath; fatigue; muscle or body aches; headache; new loss of taste or smell; sore throat; congestion/runny nose; nausea, vomiting; and diarrhoea.</w:t>
      </w:r>
    </w:p>
    <w:p w14:paraId="4BF95D80" w14:textId="306D9667" w:rsidR="00F328E8" w:rsidRDefault="00F328E8" w:rsidP="00F328E8">
      <w:r>
        <w:t xml:space="preserve">Since the beginning of the COVID-19 outbreak, the disease has spread worldwide affecting more than 200 countries and territories, with an unprecedented effect on public health, as well as on social and economic activities. </w:t>
      </w:r>
      <w:r w:rsidR="001A7902" w:rsidRPr="001A7902">
        <w:t xml:space="preserve">It was officially declared a pandemic by </w:t>
      </w:r>
      <w:r w:rsidR="00333270">
        <w:t>the World Health Organization (</w:t>
      </w:r>
      <w:r w:rsidR="001A7902" w:rsidRPr="001A7902">
        <w:t>WHO</w:t>
      </w:r>
      <w:r w:rsidR="00333270">
        <w:t>)</w:t>
      </w:r>
      <w:r w:rsidR="001A7902" w:rsidRPr="001A7902">
        <w:t xml:space="preserve"> on 11 March 2020</w:t>
      </w:r>
      <w:r w:rsidR="001A7902">
        <w:t>.</w:t>
      </w:r>
      <w:r w:rsidR="00333270">
        <w:rPr>
          <w:rStyle w:val="FootnoteReference"/>
        </w:rPr>
        <w:footnoteReference w:id="1"/>
      </w:r>
      <w:r w:rsidR="001A7902">
        <w:t xml:space="preserve"> </w:t>
      </w:r>
      <w:r>
        <w:t>As of 7 September 2022, there have been almost 604 million confirmed cases globally, and just under 6.5 million deaths.</w:t>
      </w:r>
      <w:r>
        <w:rPr>
          <w:rStyle w:val="FootnoteReference"/>
        </w:rPr>
        <w:footnoteReference w:id="2"/>
      </w:r>
      <w:r>
        <w:t xml:space="preserve"> In Australia, there </w:t>
      </w:r>
      <w:r w:rsidR="00701E98">
        <w:t>have been</w:t>
      </w:r>
      <w:r>
        <w:t xml:space="preserve"> </w:t>
      </w:r>
      <w:r w:rsidR="004C3F8F">
        <w:t>over</w:t>
      </w:r>
      <w:r>
        <w:t xml:space="preserve"> 10</w:t>
      </w:r>
      <w:r w:rsidR="004C3F8F">
        <w:t>.1</w:t>
      </w:r>
      <w:r>
        <w:t xml:space="preserve"> million confirmed cases and</w:t>
      </w:r>
      <w:r w:rsidR="004C3F8F">
        <w:t xml:space="preserve"> 14,288</w:t>
      </w:r>
      <w:r>
        <w:t xml:space="preserve"> deaths reported.</w:t>
      </w:r>
      <w:bookmarkStart w:id="14" w:name="_Ref113604126"/>
      <w:r w:rsidR="004C3F8F">
        <w:rPr>
          <w:rStyle w:val="FootnoteReference"/>
        </w:rPr>
        <w:footnoteReference w:id="3"/>
      </w:r>
      <w:bookmarkEnd w:id="14"/>
      <w:r>
        <w:t xml:space="preserve"> Effective COVID-19 vaccines have been developed and ap</w:t>
      </w:r>
      <w:r w:rsidR="00701E98">
        <w:t>proved and treatments for COVID-</w:t>
      </w:r>
      <w:r>
        <w:t>19 infections are becoming more available. The emergence of variants continues to fuel the pandemic.</w:t>
      </w:r>
    </w:p>
    <w:p w14:paraId="3884DC94" w14:textId="0FF12037" w:rsidR="00F328E8" w:rsidRDefault="00701E98" w:rsidP="00F328E8">
      <w:r>
        <w:t>All ages may present with COVID-</w:t>
      </w:r>
      <w:r w:rsidR="00F328E8">
        <w:t>19 illness, but notably, case fatality rates</w:t>
      </w:r>
      <w:r w:rsidR="004C3F8F">
        <w:t xml:space="preserve"> are elevated in persons over </w:t>
      </w:r>
      <w:r w:rsidR="00F328E8">
        <w:t xml:space="preserve">60 years of age. Comorbidities are also associated with increased </w:t>
      </w:r>
      <w:r w:rsidR="004C3F8F">
        <w:t xml:space="preserve">case fatalities </w:t>
      </w:r>
      <w:r w:rsidR="00F328E8">
        <w:t>including cardiovascular disease, diabetes, hypertension, and chronic respiratory disease.</w:t>
      </w:r>
    </w:p>
    <w:p w14:paraId="5C0EF4E1" w14:textId="31ED163C" w:rsidR="00F328E8" w:rsidRDefault="00F328E8" w:rsidP="00F328E8">
      <w:r>
        <w:lastRenderedPageBreak/>
        <w:t xml:space="preserve">Whilst COVID-19 disease in children is often asymptomatic or mild, severe disease and death may occur. Hospitalisation and poorer outcomes are more likely in children with pre-existing health conditions, disadvantage, and low socioeconomic or minority ethnic status. However, during </w:t>
      </w:r>
      <w:r w:rsidR="004C3F8F">
        <w:t xml:space="preserve">the </w:t>
      </w:r>
      <w:r>
        <w:t>predominance</w:t>
      </w:r>
      <w:r w:rsidR="004C3F8F">
        <w:t xml:space="preserve"> of the Omicron variant of the virus, in the United States of America (USA), 63% of hospitalis</w:t>
      </w:r>
      <w:r>
        <w:t>ed infants/children had no underlying medical condi</w:t>
      </w:r>
      <w:r w:rsidR="004C3F8F">
        <w:t xml:space="preserve">tions; and among children less than </w:t>
      </w:r>
      <w:r>
        <w:t>5 years of age</w:t>
      </w:r>
      <w:r w:rsidR="00701E98">
        <w:t xml:space="preserve">, COVID-19 </w:t>
      </w:r>
      <w:r w:rsidR="004C3F8F">
        <w:t>associated hospitalis</w:t>
      </w:r>
      <w:r>
        <w:t xml:space="preserve">ation was 1.6-times higher than among children </w:t>
      </w:r>
      <w:r w:rsidR="004C3F8F">
        <w:t xml:space="preserve">between </w:t>
      </w:r>
      <w:r>
        <w:t xml:space="preserve">12 to 17 years of age and 5.4 times higher than children </w:t>
      </w:r>
      <w:r w:rsidR="004C3F8F">
        <w:t>of 5 to 11 years of age.</w:t>
      </w:r>
      <w:r w:rsidR="004C3F8F">
        <w:rPr>
          <w:rStyle w:val="FootnoteReference"/>
        </w:rPr>
        <w:footnoteReference w:id="4"/>
      </w:r>
    </w:p>
    <w:p w14:paraId="44D530C8" w14:textId="7D387475" w:rsidR="00F328E8" w:rsidRDefault="00F328E8" w:rsidP="00F328E8">
      <w:r>
        <w:t>There has been a significant incidence of COVID-19 cases in children in Au</w:t>
      </w:r>
      <w:r w:rsidR="00D836E6">
        <w:t xml:space="preserve">stralia, including in children aged less than </w:t>
      </w:r>
      <w:r>
        <w:t>5 years</w:t>
      </w:r>
      <w:r w:rsidR="00D836E6">
        <w:t xml:space="preserve"> old</w:t>
      </w:r>
      <w:r>
        <w:t>. Data from the National Notifiable Diseases Surveillance System (NNDSS)</w:t>
      </w:r>
      <w:r w:rsidR="00D836E6">
        <w:rPr>
          <w:rStyle w:val="FootnoteReference"/>
        </w:rPr>
        <w:footnoteReference w:id="5"/>
      </w:r>
      <w:r>
        <w:t xml:space="preserve"> shows that the ho</w:t>
      </w:r>
      <w:r w:rsidR="00140FFC">
        <w:t>spitalis</w:t>
      </w:r>
      <w:r w:rsidR="00D836E6">
        <w:t xml:space="preserve">ation rate in children less than 5 years of age was more than </w:t>
      </w:r>
      <w:r>
        <w:t>1,000 per 100,000 population during recent peaks a</w:t>
      </w:r>
      <w:r w:rsidR="00D836E6">
        <w:t>nd currently, the hospitalis</w:t>
      </w:r>
      <w:r>
        <w:t>ation rate is approximately 450 cases per 100,000 population.</w:t>
      </w:r>
    </w:p>
    <w:p w14:paraId="41BD48B7" w14:textId="0BBAE294" w:rsidR="00F328E8" w:rsidRDefault="00F328E8" w:rsidP="00F328E8">
      <w:r>
        <w:t xml:space="preserve">As of </w:t>
      </w:r>
      <w:r w:rsidR="00E170E9">
        <w:t xml:space="preserve">8 September </w:t>
      </w:r>
      <w:r>
        <w:t xml:space="preserve">2022 almost </w:t>
      </w:r>
      <w:r w:rsidR="00E170E9">
        <w:t>over 450,000</w:t>
      </w:r>
      <w:r>
        <w:t xml:space="preserve"> Australians aged 9 years or less, have contracted </w:t>
      </w:r>
      <w:r w:rsidR="00E170E9">
        <w:t>COVID-19, and there have been 12</w:t>
      </w:r>
      <w:r>
        <w:t xml:space="preserve"> deaths i</w:t>
      </w:r>
      <w:r w:rsidR="00E170E9">
        <w:t>n this age group in Australia.</w:t>
      </w:r>
      <w:r w:rsidR="00E170E9" w:rsidRPr="00E170E9">
        <w:rPr>
          <w:vertAlign w:val="superscript"/>
        </w:rPr>
        <w:fldChar w:fldCharType="begin"/>
      </w:r>
      <w:r w:rsidR="00E170E9" w:rsidRPr="00E170E9">
        <w:rPr>
          <w:vertAlign w:val="superscript"/>
        </w:rPr>
        <w:instrText xml:space="preserve"> NOTEREF _Ref113604126 \h </w:instrText>
      </w:r>
      <w:r w:rsidR="00E170E9">
        <w:rPr>
          <w:vertAlign w:val="superscript"/>
        </w:rPr>
        <w:instrText xml:space="preserve"> \* MERGEFORMAT </w:instrText>
      </w:r>
      <w:r w:rsidR="00E170E9" w:rsidRPr="00E170E9">
        <w:rPr>
          <w:vertAlign w:val="superscript"/>
        </w:rPr>
      </w:r>
      <w:r w:rsidR="00E170E9" w:rsidRPr="00E170E9">
        <w:rPr>
          <w:vertAlign w:val="superscript"/>
        </w:rPr>
        <w:fldChar w:fldCharType="separate"/>
      </w:r>
      <w:r w:rsidR="00145C93">
        <w:rPr>
          <w:vertAlign w:val="superscript"/>
        </w:rPr>
        <w:t>3</w:t>
      </w:r>
      <w:r w:rsidR="00E170E9" w:rsidRPr="00E170E9">
        <w:rPr>
          <w:vertAlign w:val="superscript"/>
        </w:rPr>
        <w:fldChar w:fldCharType="end"/>
      </w:r>
      <w:r w:rsidR="00E170E9">
        <w:t xml:space="preserve"> </w:t>
      </w:r>
      <w:r w:rsidR="00773FD2">
        <w:t>As of the same date, the USA has recorded 527</w:t>
      </w:r>
      <w:r w:rsidR="00E170E9">
        <w:t xml:space="preserve"> COVID-19 </w:t>
      </w:r>
      <w:r>
        <w:t xml:space="preserve">associated deaths among children </w:t>
      </w:r>
      <w:r w:rsidR="00E170E9">
        <w:t>under 5 </w:t>
      </w:r>
      <w:r>
        <w:t xml:space="preserve">years of age, with more than </w:t>
      </w:r>
      <w:r w:rsidR="00E170E9">
        <w:t>half due to the Omicron variant</w:t>
      </w:r>
      <w:r w:rsidR="00773FD2">
        <w:t>.</w:t>
      </w:r>
      <w:r w:rsidR="00773FD2">
        <w:rPr>
          <w:rStyle w:val="FootnoteReference"/>
        </w:rPr>
        <w:footnoteReference w:id="6"/>
      </w:r>
    </w:p>
    <w:p w14:paraId="6AD20007" w14:textId="0F80EAE9" w:rsidR="00512530" w:rsidRDefault="00F328E8" w:rsidP="00F328E8">
      <w:r>
        <w:t>Persistent symptoms and severe sequelae following COVID 19 infection hav</w:t>
      </w:r>
      <w:r w:rsidR="00773FD2">
        <w:t>e been documented in children.</w:t>
      </w:r>
      <w:r w:rsidR="00773FD2">
        <w:rPr>
          <w:rStyle w:val="FootnoteReference"/>
        </w:rPr>
        <w:footnoteReference w:id="7"/>
      </w:r>
      <w:r>
        <w:t xml:space="preserve"> </w:t>
      </w:r>
      <w:r w:rsidR="00773FD2" w:rsidRPr="00773FD2">
        <w:t>Multisystem inflammatory syndrome (MIS) is a rare but serious condition associated with COVID-19 in which different body parts become inflamed, including the heart, lungs, kidneys, brain, skin, eyes, or gastrointestinal organs.</w:t>
      </w:r>
      <w:r w:rsidR="00773FD2">
        <w:t xml:space="preserve"> </w:t>
      </w:r>
      <w:r>
        <w:t xml:space="preserve">In the USA, approximately 25% of cases of multisystem inflammatory syndrome in children (MIS-C) have been reported in children </w:t>
      </w:r>
      <w:r w:rsidR="00140FFC">
        <w:t>from zero</w:t>
      </w:r>
      <w:r w:rsidR="00773FD2">
        <w:t xml:space="preserve"> to less than 5</w:t>
      </w:r>
      <w:r>
        <w:t xml:space="preserve"> years of age</w:t>
      </w:r>
      <w:r w:rsidR="00773FD2">
        <w:t>.</w:t>
      </w:r>
      <w:r w:rsidR="00B92531">
        <w:rPr>
          <w:rStyle w:val="FootnoteReference"/>
        </w:rPr>
        <w:footnoteReference w:id="8"/>
      </w:r>
      <w:r>
        <w:t xml:space="preserve"> Since the start of the pandemic to 3</w:t>
      </w:r>
      <w:r w:rsidR="00B92531">
        <w:t>0</w:t>
      </w:r>
      <w:r>
        <w:t xml:space="preserve"> July 2</w:t>
      </w:r>
      <w:r w:rsidR="00773FD2">
        <w:t>022, ther</w:t>
      </w:r>
      <w:r w:rsidR="00B92531">
        <w:t>e have been 14</w:t>
      </w:r>
      <w:r w:rsidR="00773FD2">
        <w:t>4 </w:t>
      </w:r>
      <w:r>
        <w:t xml:space="preserve">cases of </w:t>
      </w:r>
      <w:r w:rsidR="00140FFC">
        <w:t xml:space="preserve">PIMS-TS (or </w:t>
      </w:r>
      <w:r>
        <w:t>paediatric inflammatory multisystem syndrome tempora</w:t>
      </w:r>
      <w:r w:rsidR="00140FFC">
        <w:t>lly associated with SARS-CoV-2</w:t>
      </w:r>
      <w:r>
        <w:t>) reported to Paediatric Active Enhanced Disease Surveillance (PAEDS) in Australia.</w:t>
      </w:r>
      <w:r w:rsidR="00B92531">
        <w:rPr>
          <w:rStyle w:val="FootnoteReference"/>
        </w:rPr>
        <w:footnoteReference w:id="9"/>
      </w:r>
      <w:r w:rsidR="00B92531">
        <w:t xml:space="preserve"> Approximately 27% of these cases (39 of 144 cases</w:t>
      </w:r>
      <w:r>
        <w:t>) have been in childr</w:t>
      </w:r>
      <w:r w:rsidR="00B92531">
        <w:t>en aged 6 months to less than 5 </w:t>
      </w:r>
      <w:r>
        <w:t>years. To date, there have bee</w:t>
      </w:r>
      <w:r w:rsidR="00140FFC">
        <w:t xml:space="preserve">n no PIMS-TS </w:t>
      </w:r>
      <w:r w:rsidR="00512530">
        <w:t>associated deaths.</w:t>
      </w:r>
    </w:p>
    <w:p w14:paraId="159B6914" w14:textId="3C221794" w:rsidR="00F328E8" w:rsidRDefault="00512530" w:rsidP="00F328E8">
      <w:r>
        <w:t>R</w:t>
      </w:r>
      <w:r w:rsidR="00F328E8">
        <w:t xml:space="preserve">ecently, the </w:t>
      </w:r>
      <w:proofErr w:type="spellStart"/>
      <w:r w:rsidR="0051290C">
        <w:t>Centers</w:t>
      </w:r>
      <w:proofErr w:type="spellEnd"/>
      <w:r w:rsidR="0051290C">
        <w:t xml:space="preserve"> for</w:t>
      </w:r>
      <w:r>
        <w:t xml:space="preserve"> Disease Control </w:t>
      </w:r>
      <w:r w:rsidR="0051290C">
        <w:t xml:space="preserve">and Prevention </w:t>
      </w:r>
      <w:r>
        <w:t>(</w:t>
      </w:r>
      <w:r w:rsidR="00F328E8">
        <w:t>CDC</w:t>
      </w:r>
      <w:r>
        <w:t>)</w:t>
      </w:r>
      <w:r w:rsidR="00F328E8">
        <w:t xml:space="preserve"> </w:t>
      </w:r>
      <w:r w:rsidR="00140FFC">
        <w:t xml:space="preserve">in the USA </w:t>
      </w:r>
      <w:r w:rsidR="00F328E8">
        <w:t>documented 3.5 times higher incidence of new-onset</w:t>
      </w:r>
      <w:r>
        <w:t xml:space="preserve"> diabete</w:t>
      </w:r>
      <w:r w:rsidR="00CF6E4C">
        <w:t xml:space="preserve">s for paediatric </w:t>
      </w:r>
      <w:r w:rsidR="002547BE">
        <w:t xml:space="preserve">COVID-19 patients </w:t>
      </w:r>
      <w:r w:rsidR="00CF6E4C">
        <w:t>(</w:t>
      </w:r>
      <w:r w:rsidR="002547BE">
        <w:t xml:space="preserve">those from </w:t>
      </w:r>
      <w:r w:rsidR="00CF6E4C">
        <w:t>zero</w:t>
      </w:r>
      <w:r>
        <w:t xml:space="preserve"> to less than </w:t>
      </w:r>
      <w:r w:rsidR="00F328E8">
        <w:t>12 years) than pati</w:t>
      </w:r>
      <w:r>
        <w:t>ents without COVID-19</w:t>
      </w:r>
      <w:r w:rsidR="00F328E8">
        <w:t>.</w:t>
      </w:r>
      <w:r>
        <w:rPr>
          <w:rStyle w:val="FootnoteReference"/>
        </w:rPr>
        <w:footnoteReference w:id="10"/>
      </w:r>
      <w:r w:rsidR="00140FFC">
        <w:t xml:space="preserve"> COVID</w:t>
      </w:r>
      <w:r w:rsidR="00140FFC">
        <w:noBreakHyphen/>
      </w:r>
      <w:r w:rsidR="00F328E8">
        <w:t>19 infection and the pandemic may also impact children's long term physica</w:t>
      </w:r>
      <w:r>
        <w:t>l and mental health.</w:t>
      </w:r>
      <w:r>
        <w:rPr>
          <w:rStyle w:val="FootnoteReference"/>
        </w:rPr>
        <w:footnoteReference w:id="11"/>
      </w:r>
    </w:p>
    <w:p w14:paraId="061ADA84" w14:textId="53CB5DFA" w:rsidR="00F328E8" w:rsidRDefault="00F328E8" w:rsidP="00F328E8">
      <w:r>
        <w:t>Reducing the burden of infection will likely lessen the impact of severe, debilitating, and sometimes life-long sequelae. Ensuring children, 6</w:t>
      </w:r>
      <w:r w:rsidR="00512530">
        <w:t xml:space="preserve"> months to less than </w:t>
      </w:r>
      <w:r>
        <w:t xml:space="preserve">5 years of age, in </w:t>
      </w:r>
      <w:r>
        <w:lastRenderedPageBreak/>
        <w:t>particular those children with other medical conditions, have access to vaccine will likely be beneficial for children in this age group.</w:t>
      </w:r>
    </w:p>
    <w:p w14:paraId="4F3DC0E9" w14:textId="36CA20D5" w:rsidR="00F328E8" w:rsidRDefault="00F328E8" w:rsidP="00512530">
      <w:pPr>
        <w:pStyle w:val="Heading4"/>
      </w:pPr>
      <w:r>
        <w:t>Drug class and therapeutic indication</w:t>
      </w:r>
    </w:p>
    <w:p w14:paraId="035A654C" w14:textId="55A4836B" w:rsidR="00954E3E" w:rsidRPr="00954E3E" w:rsidRDefault="00954E3E" w:rsidP="00954E3E">
      <w:r>
        <w:t xml:space="preserve">Comirnaty is an mRNA vaccine for prevention of COVID-19. The active ingredient of the vaccine is </w:t>
      </w:r>
      <w:proofErr w:type="gramStart"/>
      <w:r>
        <w:t>tozinameran, but</w:t>
      </w:r>
      <w:proofErr w:type="gramEnd"/>
      <w:r>
        <w:t xml:space="preserve"> may be referred to interchangeably with its former name of BNT162b2 (mRNA); both names refer to the same active ingredient. The vaccine is administered intramuscularly.</w:t>
      </w:r>
    </w:p>
    <w:p w14:paraId="0F1E8503" w14:textId="71E3D853" w:rsidR="00F328E8" w:rsidRDefault="00954E3E" w:rsidP="00F328E8">
      <w:r>
        <w:t>The active ingredient, tozinameran, is</w:t>
      </w:r>
      <w:r w:rsidR="00F328E8">
        <w:t xml:space="preserve"> a nucleoside-modified messenger RNA (modRNA) encoding a mutated form of the full-length spike glycoprotein (S) of SARS-CoV-2.</w:t>
      </w:r>
      <w:r w:rsidR="00140FFC">
        <w:t xml:space="preserve"> The single-stranded 5’-capped mRNA is produced without using cells using </w:t>
      </w:r>
      <w:r w:rsidR="00140FFC" w:rsidRPr="00140FFC">
        <w:rPr>
          <w:i/>
        </w:rPr>
        <w:t>in vitro</w:t>
      </w:r>
      <w:r w:rsidR="00140FFC">
        <w:t xml:space="preserve"> transcription from the corresponding DNA template, encoding the full-length viral spike protein of SARS-CoV-2. </w:t>
      </w:r>
      <w:r w:rsidR="00F328E8">
        <w:t>The RNA</w:t>
      </w:r>
      <w:r>
        <w:t xml:space="preserve"> (tozinameran)</w:t>
      </w:r>
      <w:r w:rsidR="00F328E8">
        <w:t xml:space="preserve"> is encapsulated in lipid nanoparticles, which enables entry into host cells, expression of the S protein, and elicitation of both antibody and cellular immune resp</w:t>
      </w:r>
      <w:r w:rsidR="00140FFC">
        <w:t>onses</w:t>
      </w:r>
      <w:r>
        <w:t>.</w:t>
      </w:r>
    </w:p>
    <w:p w14:paraId="48FB8025" w14:textId="7A9074F7" w:rsidR="00F328E8" w:rsidRDefault="00F328E8" w:rsidP="00531D3D">
      <w:pPr>
        <w:pStyle w:val="Heading4"/>
      </w:pPr>
      <w:r>
        <w:t>Dosage forms and strengths</w:t>
      </w:r>
    </w:p>
    <w:p w14:paraId="0825D415" w14:textId="5EC95C82" w:rsidR="009E2903" w:rsidRDefault="00292365" w:rsidP="00F328E8">
      <w:r>
        <w:t>In addition to the proposed new indication, extending the current indication to include individuals from 6 months of age an</w:t>
      </w:r>
      <w:r w:rsidR="006221AA">
        <w:t xml:space="preserve">d older, the sponsor also seeks </w:t>
      </w:r>
      <w:r w:rsidR="00030604">
        <w:t xml:space="preserve">approval of a new, lower strength product of </w:t>
      </w:r>
      <w:r w:rsidR="00954E3E">
        <w:t>the tris/s</w:t>
      </w:r>
      <w:r w:rsidR="00F328E8">
        <w:t>ucrose drug product line to include a 3</w:t>
      </w:r>
      <w:r w:rsidR="00030604">
        <w:t xml:space="preserve"> </w:t>
      </w:r>
      <w:proofErr w:type="spellStart"/>
      <w:r w:rsidR="00F328E8">
        <w:t>μg</w:t>
      </w:r>
      <w:proofErr w:type="spellEnd"/>
      <w:r w:rsidR="00F328E8">
        <w:t xml:space="preserve"> </w:t>
      </w:r>
      <w:r w:rsidR="00030604">
        <w:t>m</w:t>
      </w:r>
      <w:r w:rsidR="00F328E8">
        <w:t>RNA dose presentation</w:t>
      </w:r>
      <w:r w:rsidR="00954E3E">
        <w:t xml:space="preserve"> for use in young </w:t>
      </w:r>
      <w:r w:rsidR="00030604">
        <w:t>children</w:t>
      </w:r>
      <w:r w:rsidR="004A25BA">
        <w:t>.</w:t>
      </w:r>
    </w:p>
    <w:p w14:paraId="6DEEC93B" w14:textId="295D0903" w:rsidR="006F389A" w:rsidRDefault="006F389A" w:rsidP="006F389A">
      <w:pPr>
        <w:pStyle w:val="Heading5"/>
      </w:pPr>
      <w:r>
        <w:t>Currently registered formulations</w:t>
      </w:r>
    </w:p>
    <w:p w14:paraId="736FF96F" w14:textId="3BE12426" w:rsidR="00F328E8" w:rsidRDefault="00F328E8" w:rsidP="00F328E8">
      <w:r>
        <w:t xml:space="preserve">The current provisionally registered formulations of </w:t>
      </w:r>
      <w:r w:rsidR="00030604">
        <w:t xml:space="preserve">Comirnaty vaccine </w:t>
      </w:r>
      <w:r>
        <w:t xml:space="preserve">are </w:t>
      </w:r>
      <w:r w:rsidR="00030604">
        <w:t xml:space="preserve">currently </w:t>
      </w:r>
      <w:r>
        <w:t>presented in multidose vials that are stored frozen</w:t>
      </w:r>
      <w:r w:rsidR="00954E3E">
        <w:t>, and then thawed prior to use</w:t>
      </w:r>
      <w:r w:rsidR="00781390">
        <w:t>.</w:t>
      </w:r>
    </w:p>
    <w:p w14:paraId="73CD322F" w14:textId="7A0AF129" w:rsidR="001F5F72" w:rsidRDefault="001F5F72" w:rsidP="00F328E8">
      <w:r>
        <w:t>The current presen</w:t>
      </w:r>
      <w:r w:rsidR="007069D4">
        <w:t>tations are detailed as follows</w:t>
      </w:r>
      <w:r w:rsidR="00251D8E">
        <w:t xml:space="preserve"> in </w:t>
      </w:r>
      <w:r w:rsidR="00251D8E">
        <w:fldChar w:fldCharType="begin"/>
      </w:r>
      <w:r w:rsidR="00251D8E">
        <w:instrText xml:space="preserve"> REF _Ref114220053 \h </w:instrText>
      </w:r>
      <w:r w:rsidR="00251D8E">
        <w:fldChar w:fldCharType="separate"/>
      </w:r>
      <w:r w:rsidR="00145C93">
        <w:t xml:space="preserve">Table </w:t>
      </w:r>
      <w:r w:rsidR="00145C93">
        <w:rPr>
          <w:noProof/>
        </w:rPr>
        <w:t>1</w:t>
      </w:r>
      <w:r w:rsidR="00145C93">
        <w:t>: Comirnaty presentations</w:t>
      </w:r>
      <w:r w:rsidR="00251D8E">
        <w:fldChar w:fldCharType="end"/>
      </w:r>
    </w:p>
    <w:p w14:paraId="06484706" w14:textId="03576834" w:rsidR="007069D4" w:rsidRDefault="007069D4" w:rsidP="00251D8E">
      <w:pPr>
        <w:pStyle w:val="Tabletitle0"/>
      </w:pPr>
      <w:bookmarkStart w:id="15" w:name="_Ref114220053"/>
      <w:r>
        <w:t xml:space="preserve">Table </w:t>
      </w:r>
      <w:r w:rsidR="00582372">
        <w:fldChar w:fldCharType="begin"/>
      </w:r>
      <w:r w:rsidR="00582372">
        <w:instrText xml:space="preserve"> SEQ Table \* ARABIC </w:instrText>
      </w:r>
      <w:r w:rsidR="00582372">
        <w:fldChar w:fldCharType="separate"/>
      </w:r>
      <w:r w:rsidR="00145C93">
        <w:rPr>
          <w:noProof/>
        </w:rPr>
        <w:t>1</w:t>
      </w:r>
      <w:r w:rsidR="00582372">
        <w:rPr>
          <w:noProof/>
        </w:rPr>
        <w:fldChar w:fldCharType="end"/>
      </w:r>
      <w:r>
        <w:t>: Comirnaty presentations</w:t>
      </w:r>
      <w:bookmarkEnd w:id="15"/>
      <w:r w:rsidR="00251D8E">
        <w:t xml:space="preserve"> as currently approved</w:t>
      </w:r>
    </w:p>
    <w:tbl>
      <w:tblPr>
        <w:tblStyle w:val="TableTGAblue"/>
        <w:tblW w:w="5000" w:type="pct"/>
        <w:tblLook w:val="04A0" w:firstRow="1" w:lastRow="0" w:firstColumn="1" w:lastColumn="0" w:noHBand="0" w:noVBand="1"/>
      </w:tblPr>
      <w:tblGrid>
        <w:gridCol w:w="1694"/>
        <w:gridCol w:w="2264"/>
        <w:gridCol w:w="2264"/>
        <w:gridCol w:w="2262"/>
      </w:tblGrid>
      <w:tr w:rsidR="00310311" w:rsidRPr="00310311" w14:paraId="1F5236E7" w14:textId="77777777" w:rsidTr="002547BE">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02840F79" w14:textId="6499F6E4" w:rsidR="00310311" w:rsidRPr="00310311" w:rsidRDefault="00310311" w:rsidP="00310311">
            <w:r w:rsidRPr="00310311">
              <w:t>Comirnaty</w:t>
            </w:r>
            <w:r>
              <w:t xml:space="preserve"> presentations as currently approved</w:t>
            </w:r>
          </w:p>
        </w:tc>
      </w:tr>
      <w:tr w:rsidR="007069D4" w:rsidRPr="00310311" w14:paraId="2A723A69" w14:textId="77777777" w:rsidTr="002547BE">
        <w:tc>
          <w:tcPr>
            <w:tcW w:w="999" w:type="pct"/>
          </w:tcPr>
          <w:p w14:paraId="3010FA43" w14:textId="77777777" w:rsidR="007069D4" w:rsidRPr="00310311" w:rsidRDefault="007069D4" w:rsidP="00310311">
            <w:pPr>
              <w:ind w:left="0" w:right="0"/>
              <w:rPr>
                <w:sz w:val="20"/>
              </w:rPr>
            </w:pPr>
          </w:p>
        </w:tc>
        <w:tc>
          <w:tcPr>
            <w:tcW w:w="1334" w:type="pct"/>
          </w:tcPr>
          <w:p w14:paraId="1BFAD192" w14:textId="4C716CC9" w:rsidR="007069D4" w:rsidRPr="00686E1F" w:rsidRDefault="00251D8E" w:rsidP="00310311">
            <w:pPr>
              <w:ind w:left="0" w:right="0"/>
              <w:rPr>
                <w:b/>
                <w:sz w:val="20"/>
              </w:rPr>
            </w:pPr>
            <w:r w:rsidRPr="00686E1F">
              <w:rPr>
                <w:b/>
                <w:sz w:val="20"/>
              </w:rPr>
              <w:t>Dilute to use, multidose vial (for age 12 years and above)</w:t>
            </w:r>
          </w:p>
        </w:tc>
        <w:tc>
          <w:tcPr>
            <w:tcW w:w="1334" w:type="pct"/>
          </w:tcPr>
          <w:p w14:paraId="165DAB9E" w14:textId="348016AC" w:rsidR="007069D4" w:rsidRPr="00AD72E3" w:rsidRDefault="007069D4" w:rsidP="00310311">
            <w:pPr>
              <w:ind w:left="0" w:right="0"/>
              <w:rPr>
                <w:sz w:val="20"/>
                <w:vertAlign w:val="superscript"/>
              </w:rPr>
            </w:pPr>
            <w:r w:rsidRPr="00686E1F">
              <w:rPr>
                <w:b/>
                <w:sz w:val="20"/>
              </w:rPr>
              <w:t>Ready to use</w:t>
            </w:r>
            <w:r w:rsidR="00251D8E" w:rsidRPr="00686E1F">
              <w:rPr>
                <w:b/>
                <w:sz w:val="20"/>
              </w:rPr>
              <w:t>,</w:t>
            </w:r>
            <w:r w:rsidRPr="00686E1F">
              <w:rPr>
                <w:b/>
                <w:sz w:val="20"/>
              </w:rPr>
              <w:t xml:space="preserve"> multidose</w:t>
            </w:r>
            <w:r w:rsidR="00251D8E" w:rsidRPr="00686E1F">
              <w:rPr>
                <w:b/>
                <w:sz w:val="20"/>
              </w:rPr>
              <w:t xml:space="preserve"> vial (for </w:t>
            </w:r>
            <w:r w:rsidRPr="00686E1F">
              <w:rPr>
                <w:b/>
                <w:sz w:val="20"/>
              </w:rPr>
              <w:t>age 12 years and above, do not dilute)</w:t>
            </w:r>
          </w:p>
        </w:tc>
        <w:tc>
          <w:tcPr>
            <w:tcW w:w="1334" w:type="pct"/>
          </w:tcPr>
          <w:p w14:paraId="228D869F" w14:textId="45DAFD2F" w:rsidR="007069D4" w:rsidRPr="00686E1F" w:rsidRDefault="007069D4" w:rsidP="00310311">
            <w:pPr>
              <w:ind w:left="0" w:right="0"/>
              <w:rPr>
                <w:b/>
                <w:sz w:val="20"/>
              </w:rPr>
            </w:pPr>
            <w:r w:rsidRPr="00686E1F">
              <w:rPr>
                <w:b/>
                <w:sz w:val="20"/>
              </w:rPr>
              <w:t>Dilute to use</w:t>
            </w:r>
            <w:r w:rsidR="00251D8E" w:rsidRPr="00686E1F">
              <w:rPr>
                <w:b/>
                <w:sz w:val="20"/>
              </w:rPr>
              <w:t>,</w:t>
            </w:r>
            <w:r w:rsidRPr="00686E1F">
              <w:rPr>
                <w:b/>
                <w:sz w:val="20"/>
              </w:rPr>
              <w:t xml:space="preserve"> multidose </w:t>
            </w:r>
            <w:r w:rsidR="00251D8E" w:rsidRPr="00686E1F">
              <w:rPr>
                <w:b/>
                <w:sz w:val="20"/>
              </w:rPr>
              <w:t>vial (for </w:t>
            </w:r>
            <w:r w:rsidR="00686E1F">
              <w:rPr>
                <w:b/>
                <w:sz w:val="20"/>
              </w:rPr>
              <w:t>age 5 to &lt; 12 </w:t>
            </w:r>
            <w:r w:rsidRPr="00686E1F">
              <w:rPr>
                <w:b/>
                <w:sz w:val="20"/>
              </w:rPr>
              <w:t>years)</w:t>
            </w:r>
          </w:p>
        </w:tc>
      </w:tr>
      <w:tr w:rsidR="007069D4" w:rsidRPr="00310311" w14:paraId="027D1CB4" w14:textId="77777777" w:rsidTr="002547BE">
        <w:tc>
          <w:tcPr>
            <w:tcW w:w="999" w:type="pct"/>
          </w:tcPr>
          <w:p w14:paraId="7B378DE8" w14:textId="2D9E8F30" w:rsidR="007069D4" w:rsidRPr="00310311" w:rsidRDefault="007069D4" w:rsidP="00310311">
            <w:pPr>
              <w:ind w:left="0" w:right="0"/>
              <w:rPr>
                <w:sz w:val="20"/>
              </w:rPr>
            </w:pPr>
            <w:r w:rsidRPr="00310311">
              <w:rPr>
                <w:sz w:val="20"/>
              </w:rPr>
              <w:t>AUST R</w:t>
            </w:r>
          </w:p>
        </w:tc>
        <w:tc>
          <w:tcPr>
            <w:tcW w:w="1334" w:type="pct"/>
          </w:tcPr>
          <w:p w14:paraId="2D8443E0" w14:textId="153766CE" w:rsidR="007069D4" w:rsidRPr="00310311" w:rsidRDefault="007069D4" w:rsidP="00310311">
            <w:pPr>
              <w:ind w:left="0" w:right="0"/>
              <w:rPr>
                <w:sz w:val="20"/>
              </w:rPr>
            </w:pPr>
            <w:r w:rsidRPr="00310311">
              <w:rPr>
                <w:sz w:val="20"/>
              </w:rPr>
              <w:t>346290</w:t>
            </w:r>
          </w:p>
        </w:tc>
        <w:tc>
          <w:tcPr>
            <w:tcW w:w="1334" w:type="pct"/>
          </w:tcPr>
          <w:p w14:paraId="1D4BED3A" w14:textId="00468C62" w:rsidR="007069D4" w:rsidRPr="00310311" w:rsidRDefault="007069D4" w:rsidP="00310311">
            <w:pPr>
              <w:ind w:left="0" w:right="0"/>
              <w:rPr>
                <w:sz w:val="20"/>
              </w:rPr>
            </w:pPr>
            <w:r w:rsidRPr="00310311">
              <w:rPr>
                <w:sz w:val="20"/>
              </w:rPr>
              <w:t>377110</w:t>
            </w:r>
          </w:p>
        </w:tc>
        <w:tc>
          <w:tcPr>
            <w:tcW w:w="1334" w:type="pct"/>
          </w:tcPr>
          <w:p w14:paraId="04D88BF0" w14:textId="63CB9741" w:rsidR="007069D4" w:rsidRPr="00310311" w:rsidRDefault="007069D4" w:rsidP="00310311">
            <w:pPr>
              <w:ind w:left="0" w:right="0"/>
              <w:rPr>
                <w:sz w:val="20"/>
              </w:rPr>
            </w:pPr>
            <w:r w:rsidRPr="00310311">
              <w:rPr>
                <w:sz w:val="20"/>
              </w:rPr>
              <w:t>377111</w:t>
            </w:r>
          </w:p>
        </w:tc>
      </w:tr>
      <w:tr w:rsidR="007069D4" w:rsidRPr="00310311" w14:paraId="0747A5F4" w14:textId="77777777" w:rsidTr="002547BE">
        <w:tc>
          <w:tcPr>
            <w:tcW w:w="999" w:type="pct"/>
          </w:tcPr>
          <w:p w14:paraId="14C2E6CE" w14:textId="6E619291" w:rsidR="007069D4" w:rsidRPr="00310311" w:rsidRDefault="007069D4" w:rsidP="00310311">
            <w:pPr>
              <w:ind w:left="0" w:right="0"/>
              <w:rPr>
                <w:sz w:val="20"/>
              </w:rPr>
            </w:pPr>
            <w:r w:rsidRPr="00310311">
              <w:rPr>
                <w:sz w:val="20"/>
              </w:rPr>
              <w:t>Age</w:t>
            </w:r>
          </w:p>
        </w:tc>
        <w:tc>
          <w:tcPr>
            <w:tcW w:w="1334" w:type="pct"/>
          </w:tcPr>
          <w:p w14:paraId="3AC25EF7" w14:textId="3178859C" w:rsidR="007069D4" w:rsidRPr="00310311" w:rsidRDefault="00251D8E" w:rsidP="00310311">
            <w:pPr>
              <w:ind w:left="0" w:right="0"/>
              <w:rPr>
                <w:sz w:val="20"/>
              </w:rPr>
            </w:pPr>
            <w:r w:rsidRPr="00310311">
              <w:rPr>
                <w:sz w:val="20"/>
              </w:rPr>
              <w:t>12 years of age and older</w:t>
            </w:r>
          </w:p>
        </w:tc>
        <w:tc>
          <w:tcPr>
            <w:tcW w:w="1334" w:type="pct"/>
          </w:tcPr>
          <w:p w14:paraId="141D3645" w14:textId="462CABA9" w:rsidR="007069D4" w:rsidRPr="00310311" w:rsidRDefault="007069D4" w:rsidP="00310311">
            <w:pPr>
              <w:ind w:left="0" w:right="0"/>
              <w:rPr>
                <w:sz w:val="20"/>
              </w:rPr>
            </w:pPr>
            <w:r w:rsidRPr="00310311">
              <w:rPr>
                <w:sz w:val="20"/>
              </w:rPr>
              <w:t>12 years of age and older</w:t>
            </w:r>
          </w:p>
        </w:tc>
        <w:tc>
          <w:tcPr>
            <w:tcW w:w="1334" w:type="pct"/>
          </w:tcPr>
          <w:p w14:paraId="3FB7BFD8" w14:textId="16B915BF" w:rsidR="007069D4" w:rsidRPr="00310311" w:rsidRDefault="005F4C33" w:rsidP="00310311">
            <w:pPr>
              <w:ind w:left="0" w:right="0"/>
              <w:rPr>
                <w:sz w:val="20"/>
              </w:rPr>
            </w:pPr>
            <w:r>
              <w:rPr>
                <w:sz w:val="20"/>
              </w:rPr>
              <w:t xml:space="preserve">5 to less than </w:t>
            </w:r>
            <w:r w:rsidR="007069D4" w:rsidRPr="00310311">
              <w:rPr>
                <w:sz w:val="20"/>
              </w:rPr>
              <w:t>12 years of age</w:t>
            </w:r>
          </w:p>
        </w:tc>
      </w:tr>
      <w:tr w:rsidR="007069D4" w:rsidRPr="00310311" w14:paraId="07DE5999" w14:textId="77777777" w:rsidTr="002547BE">
        <w:tc>
          <w:tcPr>
            <w:tcW w:w="999" w:type="pct"/>
          </w:tcPr>
          <w:p w14:paraId="62B62501" w14:textId="3AAD5C9E" w:rsidR="007069D4" w:rsidRPr="00310311" w:rsidRDefault="007069D4" w:rsidP="00310311">
            <w:pPr>
              <w:ind w:left="0" w:right="0"/>
              <w:rPr>
                <w:sz w:val="20"/>
              </w:rPr>
            </w:pPr>
            <w:r w:rsidRPr="00310311">
              <w:rPr>
                <w:sz w:val="20"/>
              </w:rPr>
              <w:t>Cap colour</w:t>
            </w:r>
          </w:p>
        </w:tc>
        <w:tc>
          <w:tcPr>
            <w:tcW w:w="1334" w:type="pct"/>
          </w:tcPr>
          <w:p w14:paraId="28321CA7" w14:textId="76B3F3A3" w:rsidR="007069D4" w:rsidRPr="00310311" w:rsidRDefault="00251D8E" w:rsidP="00310311">
            <w:pPr>
              <w:ind w:left="0" w:right="0"/>
              <w:rPr>
                <w:sz w:val="20"/>
              </w:rPr>
            </w:pPr>
            <w:r w:rsidRPr="00310311">
              <w:rPr>
                <w:sz w:val="20"/>
              </w:rPr>
              <w:t>Purple</w:t>
            </w:r>
          </w:p>
        </w:tc>
        <w:tc>
          <w:tcPr>
            <w:tcW w:w="1334" w:type="pct"/>
          </w:tcPr>
          <w:p w14:paraId="00B68D61" w14:textId="4DC20B23" w:rsidR="007069D4" w:rsidRPr="00310311" w:rsidRDefault="007069D4" w:rsidP="00310311">
            <w:pPr>
              <w:ind w:left="0" w:right="0"/>
              <w:rPr>
                <w:sz w:val="20"/>
              </w:rPr>
            </w:pPr>
            <w:r w:rsidRPr="00310311">
              <w:rPr>
                <w:sz w:val="20"/>
              </w:rPr>
              <w:t>Grey</w:t>
            </w:r>
          </w:p>
        </w:tc>
        <w:tc>
          <w:tcPr>
            <w:tcW w:w="1334" w:type="pct"/>
          </w:tcPr>
          <w:p w14:paraId="765A78EF" w14:textId="038B273F" w:rsidR="007069D4" w:rsidRPr="00310311" w:rsidRDefault="007069D4" w:rsidP="00310311">
            <w:pPr>
              <w:ind w:left="0" w:right="0"/>
              <w:rPr>
                <w:sz w:val="20"/>
              </w:rPr>
            </w:pPr>
            <w:r w:rsidRPr="00310311">
              <w:rPr>
                <w:sz w:val="20"/>
              </w:rPr>
              <w:t>Orange</w:t>
            </w:r>
          </w:p>
        </w:tc>
      </w:tr>
      <w:tr w:rsidR="007069D4" w:rsidRPr="00310311" w14:paraId="7F56DFA4" w14:textId="77777777" w:rsidTr="002547BE">
        <w:tc>
          <w:tcPr>
            <w:tcW w:w="999" w:type="pct"/>
          </w:tcPr>
          <w:p w14:paraId="781FE977" w14:textId="159D715C" w:rsidR="007069D4" w:rsidRPr="00310311" w:rsidRDefault="007069D4" w:rsidP="00310311">
            <w:pPr>
              <w:ind w:left="0" w:right="0"/>
              <w:rPr>
                <w:sz w:val="20"/>
              </w:rPr>
            </w:pPr>
            <w:r w:rsidRPr="00310311">
              <w:rPr>
                <w:sz w:val="20"/>
              </w:rPr>
              <w:t>Label colour</w:t>
            </w:r>
          </w:p>
        </w:tc>
        <w:tc>
          <w:tcPr>
            <w:tcW w:w="1334" w:type="pct"/>
          </w:tcPr>
          <w:p w14:paraId="043301EF" w14:textId="020054BC" w:rsidR="007069D4" w:rsidRPr="00310311" w:rsidRDefault="00251D8E" w:rsidP="00310311">
            <w:pPr>
              <w:ind w:left="0" w:right="0"/>
              <w:rPr>
                <w:sz w:val="20"/>
              </w:rPr>
            </w:pPr>
            <w:r w:rsidRPr="00310311">
              <w:rPr>
                <w:sz w:val="20"/>
              </w:rPr>
              <w:t>Purple</w:t>
            </w:r>
          </w:p>
        </w:tc>
        <w:tc>
          <w:tcPr>
            <w:tcW w:w="1334" w:type="pct"/>
          </w:tcPr>
          <w:p w14:paraId="7B4C84D8" w14:textId="2581EB77" w:rsidR="007069D4" w:rsidRPr="00310311" w:rsidRDefault="007069D4" w:rsidP="00310311">
            <w:pPr>
              <w:ind w:left="0" w:right="0"/>
              <w:rPr>
                <w:sz w:val="20"/>
              </w:rPr>
            </w:pPr>
            <w:r w:rsidRPr="00310311">
              <w:rPr>
                <w:sz w:val="20"/>
              </w:rPr>
              <w:t>Grey</w:t>
            </w:r>
          </w:p>
        </w:tc>
        <w:tc>
          <w:tcPr>
            <w:tcW w:w="1334" w:type="pct"/>
          </w:tcPr>
          <w:p w14:paraId="4191542B" w14:textId="27E21620" w:rsidR="007069D4" w:rsidRPr="00310311" w:rsidRDefault="007069D4" w:rsidP="00310311">
            <w:pPr>
              <w:ind w:left="0" w:right="0"/>
              <w:rPr>
                <w:sz w:val="20"/>
              </w:rPr>
            </w:pPr>
            <w:r w:rsidRPr="00310311">
              <w:rPr>
                <w:sz w:val="20"/>
              </w:rPr>
              <w:t>Orange</w:t>
            </w:r>
          </w:p>
        </w:tc>
      </w:tr>
      <w:tr w:rsidR="007069D4" w:rsidRPr="00310311" w14:paraId="31AEB385" w14:textId="77777777" w:rsidTr="002547BE">
        <w:tc>
          <w:tcPr>
            <w:tcW w:w="999" w:type="pct"/>
          </w:tcPr>
          <w:p w14:paraId="42CE979B" w14:textId="5A33663B" w:rsidR="007069D4" w:rsidRPr="00310311" w:rsidRDefault="007069D4" w:rsidP="00310311">
            <w:pPr>
              <w:ind w:left="0" w:right="0"/>
              <w:rPr>
                <w:sz w:val="20"/>
              </w:rPr>
            </w:pPr>
            <w:r w:rsidRPr="00310311">
              <w:rPr>
                <w:sz w:val="20"/>
              </w:rPr>
              <w:t>Strength</w:t>
            </w:r>
          </w:p>
        </w:tc>
        <w:tc>
          <w:tcPr>
            <w:tcW w:w="1334" w:type="pct"/>
          </w:tcPr>
          <w:p w14:paraId="642CE0B8" w14:textId="053FE5AC" w:rsidR="007069D4" w:rsidRPr="00310311" w:rsidRDefault="00251D8E" w:rsidP="00310311">
            <w:pPr>
              <w:ind w:left="0" w:right="0"/>
              <w:rPr>
                <w:sz w:val="20"/>
              </w:rPr>
            </w:pPr>
            <w:r w:rsidRPr="00310311">
              <w:rPr>
                <w:sz w:val="20"/>
              </w:rPr>
              <w:t>30 µg/0.3 mL</w:t>
            </w:r>
          </w:p>
        </w:tc>
        <w:tc>
          <w:tcPr>
            <w:tcW w:w="1334" w:type="pct"/>
          </w:tcPr>
          <w:p w14:paraId="0A9AE70F" w14:textId="707C9B74" w:rsidR="007069D4" w:rsidRPr="00310311" w:rsidRDefault="007069D4" w:rsidP="00310311">
            <w:pPr>
              <w:ind w:left="0" w:right="0"/>
              <w:rPr>
                <w:sz w:val="20"/>
              </w:rPr>
            </w:pPr>
            <w:r w:rsidRPr="00310311">
              <w:rPr>
                <w:sz w:val="20"/>
              </w:rPr>
              <w:t>30</w:t>
            </w:r>
            <w:r w:rsidR="00251D8E" w:rsidRPr="00310311">
              <w:rPr>
                <w:sz w:val="20"/>
              </w:rPr>
              <w:t xml:space="preserve"> µg</w:t>
            </w:r>
            <w:r w:rsidRPr="00310311">
              <w:rPr>
                <w:sz w:val="20"/>
              </w:rPr>
              <w:t>/0.3 mL</w:t>
            </w:r>
          </w:p>
        </w:tc>
        <w:tc>
          <w:tcPr>
            <w:tcW w:w="1334" w:type="pct"/>
          </w:tcPr>
          <w:p w14:paraId="739EE471" w14:textId="4214945A" w:rsidR="007069D4" w:rsidRPr="00310311" w:rsidRDefault="007069D4" w:rsidP="00310311">
            <w:pPr>
              <w:ind w:left="0" w:right="0"/>
              <w:rPr>
                <w:sz w:val="20"/>
              </w:rPr>
            </w:pPr>
            <w:r w:rsidRPr="00310311">
              <w:rPr>
                <w:sz w:val="20"/>
              </w:rPr>
              <w:t xml:space="preserve">10 </w:t>
            </w:r>
            <w:r w:rsidR="00251D8E" w:rsidRPr="00310311">
              <w:rPr>
                <w:sz w:val="20"/>
              </w:rPr>
              <w:t>µg</w:t>
            </w:r>
            <w:r w:rsidRPr="00310311">
              <w:rPr>
                <w:sz w:val="20"/>
              </w:rPr>
              <w:t>/0.2 mL</w:t>
            </w:r>
          </w:p>
        </w:tc>
      </w:tr>
      <w:tr w:rsidR="007069D4" w:rsidRPr="00310311" w14:paraId="348C827B" w14:textId="77777777" w:rsidTr="002547BE">
        <w:tc>
          <w:tcPr>
            <w:tcW w:w="999" w:type="pct"/>
          </w:tcPr>
          <w:p w14:paraId="1629C185" w14:textId="28EFEA57" w:rsidR="007069D4" w:rsidRPr="00310311" w:rsidRDefault="007069D4" w:rsidP="00310311">
            <w:pPr>
              <w:ind w:left="0" w:right="0"/>
              <w:rPr>
                <w:sz w:val="20"/>
              </w:rPr>
            </w:pPr>
            <w:r w:rsidRPr="00310311">
              <w:rPr>
                <w:sz w:val="20"/>
              </w:rPr>
              <w:t>Fill volume</w:t>
            </w:r>
          </w:p>
        </w:tc>
        <w:tc>
          <w:tcPr>
            <w:tcW w:w="1334" w:type="pct"/>
          </w:tcPr>
          <w:p w14:paraId="6223BF9D" w14:textId="2EEA5220" w:rsidR="007069D4" w:rsidRPr="00310311" w:rsidRDefault="00251D8E" w:rsidP="00310311">
            <w:pPr>
              <w:ind w:left="0" w:right="0"/>
              <w:rPr>
                <w:sz w:val="20"/>
              </w:rPr>
            </w:pPr>
            <w:r w:rsidRPr="00310311">
              <w:rPr>
                <w:sz w:val="20"/>
              </w:rPr>
              <w:t>0.45 mL</w:t>
            </w:r>
          </w:p>
        </w:tc>
        <w:tc>
          <w:tcPr>
            <w:tcW w:w="1334" w:type="pct"/>
          </w:tcPr>
          <w:p w14:paraId="5AF1DABD" w14:textId="28B5D11B" w:rsidR="007069D4" w:rsidRPr="00310311" w:rsidRDefault="007069D4" w:rsidP="00310311">
            <w:pPr>
              <w:ind w:left="0" w:right="0"/>
              <w:rPr>
                <w:sz w:val="20"/>
              </w:rPr>
            </w:pPr>
            <w:r w:rsidRPr="00310311">
              <w:rPr>
                <w:sz w:val="20"/>
              </w:rPr>
              <w:t>2.25 mL</w:t>
            </w:r>
          </w:p>
        </w:tc>
        <w:tc>
          <w:tcPr>
            <w:tcW w:w="1334" w:type="pct"/>
          </w:tcPr>
          <w:p w14:paraId="0B61732F" w14:textId="2E1E6132" w:rsidR="007069D4" w:rsidRPr="00310311" w:rsidRDefault="007069D4" w:rsidP="00310311">
            <w:pPr>
              <w:ind w:left="0" w:right="0"/>
              <w:rPr>
                <w:sz w:val="20"/>
              </w:rPr>
            </w:pPr>
            <w:r w:rsidRPr="00310311">
              <w:rPr>
                <w:sz w:val="20"/>
              </w:rPr>
              <w:t>1.3 mL</w:t>
            </w:r>
          </w:p>
        </w:tc>
      </w:tr>
      <w:tr w:rsidR="007069D4" w:rsidRPr="00310311" w14:paraId="7027F80A" w14:textId="77777777" w:rsidTr="002547BE">
        <w:tc>
          <w:tcPr>
            <w:tcW w:w="999" w:type="pct"/>
          </w:tcPr>
          <w:p w14:paraId="28E14CE4" w14:textId="247BCDA5" w:rsidR="007069D4" w:rsidRPr="00310311" w:rsidRDefault="007069D4" w:rsidP="00310311">
            <w:pPr>
              <w:ind w:left="0" w:right="0"/>
              <w:rPr>
                <w:sz w:val="20"/>
              </w:rPr>
            </w:pPr>
            <w:r w:rsidRPr="00310311">
              <w:rPr>
                <w:sz w:val="20"/>
              </w:rPr>
              <w:t>Number of doses</w:t>
            </w:r>
          </w:p>
        </w:tc>
        <w:tc>
          <w:tcPr>
            <w:tcW w:w="1334" w:type="pct"/>
          </w:tcPr>
          <w:p w14:paraId="54766EFB" w14:textId="2E910400" w:rsidR="007069D4" w:rsidRPr="00310311" w:rsidRDefault="00251D8E" w:rsidP="00310311">
            <w:pPr>
              <w:ind w:left="0" w:right="0"/>
              <w:rPr>
                <w:sz w:val="20"/>
              </w:rPr>
            </w:pPr>
            <w:r w:rsidRPr="00310311">
              <w:rPr>
                <w:sz w:val="20"/>
              </w:rPr>
              <w:t>6</w:t>
            </w:r>
          </w:p>
        </w:tc>
        <w:tc>
          <w:tcPr>
            <w:tcW w:w="1334" w:type="pct"/>
          </w:tcPr>
          <w:p w14:paraId="664F8551" w14:textId="107ADCD4" w:rsidR="007069D4" w:rsidRPr="00310311" w:rsidRDefault="007069D4" w:rsidP="00310311">
            <w:pPr>
              <w:ind w:left="0" w:right="0"/>
              <w:rPr>
                <w:sz w:val="20"/>
              </w:rPr>
            </w:pPr>
            <w:r w:rsidRPr="00310311">
              <w:rPr>
                <w:sz w:val="20"/>
              </w:rPr>
              <w:t>6</w:t>
            </w:r>
          </w:p>
        </w:tc>
        <w:tc>
          <w:tcPr>
            <w:tcW w:w="1334" w:type="pct"/>
          </w:tcPr>
          <w:p w14:paraId="13BA6100" w14:textId="2AB414F9" w:rsidR="007069D4" w:rsidRPr="00310311" w:rsidRDefault="007069D4" w:rsidP="00310311">
            <w:pPr>
              <w:ind w:left="0" w:right="0"/>
              <w:rPr>
                <w:sz w:val="20"/>
              </w:rPr>
            </w:pPr>
            <w:r w:rsidRPr="00310311">
              <w:rPr>
                <w:sz w:val="20"/>
              </w:rPr>
              <w:t>10</w:t>
            </w:r>
          </w:p>
        </w:tc>
      </w:tr>
      <w:tr w:rsidR="007069D4" w:rsidRPr="00310311" w14:paraId="725650EA" w14:textId="77777777" w:rsidTr="002547BE">
        <w:tc>
          <w:tcPr>
            <w:tcW w:w="999" w:type="pct"/>
          </w:tcPr>
          <w:p w14:paraId="2B62B39C" w14:textId="153CC532" w:rsidR="007069D4" w:rsidRPr="00310311" w:rsidRDefault="007069D4" w:rsidP="00310311">
            <w:pPr>
              <w:ind w:left="0" w:right="0"/>
              <w:rPr>
                <w:sz w:val="20"/>
              </w:rPr>
            </w:pPr>
            <w:r w:rsidRPr="00310311">
              <w:rPr>
                <w:sz w:val="20"/>
              </w:rPr>
              <w:lastRenderedPageBreak/>
              <w:t>Dilution</w:t>
            </w:r>
          </w:p>
        </w:tc>
        <w:tc>
          <w:tcPr>
            <w:tcW w:w="1334" w:type="pct"/>
          </w:tcPr>
          <w:p w14:paraId="4D7E627F" w14:textId="70A04CF1" w:rsidR="007069D4" w:rsidRPr="00310311" w:rsidRDefault="002547BE" w:rsidP="00310311">
            <w:pPr>
              <w:ind w:left="0" w:right="0"/>
              <w:rPr>
                <w:sz w:val="20"/>
              </w:rPr>
            </w:pPr>
            <w:r>
              <w:rPr>
                <w:sz w:val="20"/>
              </w:rPr>
              <w:t>Requires dilution (1.8 </w:t>
            </w:r>
            <w:r w:rsidR="00251D8E" w:rsidRPr="00310311">
              <w:rPr>
                <w:sz w:val="20"/>
              </w:rPr>
              <w:t>mL sodium chloride 0.9%)</w:t>
            </w:r>
          </w:p>
        </w:tc>
        <w:tc>
          <w:tcPr>
            <w:tcW w:w="1334" w:type="pct"/>
          </w:tcPr>
          <w:p w14:paraId="049123EB" w14:textId="5E8C7557" w:rsidR="007069D4" w:rsidRPr="00310311" w:rsidRDefault="007069D4" w:rsidP="00310311">
            <w:pPr>
              <w:ind w:left="0" w:right="0"/>
              <w:rPr>
                <w:sz w:val="20"/>
              </w:rPr>
            </w:pPr>
            <w:r w:rsidRPr="00310311">
              <w:rPr>
                <w:sz w:val="20"/>
              </w:rPr>
              <w:t>Do not dilute</w:t>
            </w:r>
          </w:p>
        </w:tc>
        <w:tc>
          <w:tcPr>
            <w:tcW w:w="1334" w:type="pct"/>
          </w:tcPr>
          <w:p w14:paraId="4F1BA358" w14:textId="41E2CC76" w:rsidR="007069D4" w:rsidRPr="00310311" w:rsidRDefault="007069D4" w:rsidP="00310311">
            <w:pPr>
              <w:ind w:left="0" w:right="0"/>
              <w:rPr>
                <w:sz w:val="20"/>
              </w:rPr>
            </w:pPr>
            <w:r w:rsidRPr="00310311">
              <w:rPr>
                <w:sz w:val="20"/>
              </w:rPr>
              <w:t>Req</w:t>
            </w:r>
            <w:r w:rsidR="002547BE">
              <w:rPr>
                <w:sz w:val="20"/>
              </w:rPr>
              <w:t>uires dilution (1.3 </w:t>
            </w:r>
            <w:r w:rsidRPr="00310311">
              <w:rPr>
                <w:sz w:val="20"/>
              </w:rPr>
              <w:t>mL sodium chloride 0.9%)</w:t>
            </w:r>
          </w:p>
        </w:tc>
      </w:tr>
      <w:tr w:rsidR="007069D4" w:rsidRPr="00310311" w14:paraId="156C47C5" w14:textId="77777777" w:rsidTr="002547BE">
        <w:tc>
          <w:tcPr>
            <w:tcW w:w="999" w:type="pct"/>
          </w:tcPr>
          <w:p w14:paraId="4603F6AB" w14:textId="61F3DEFF" w:rsidR="007069D4" w:rsidRPr="00310311" w:rsidRDefault="007069D4" w:rsidP="00310311">
            <w:pPr>
              <w:ind w:left="0" w:right="0"/>
              <w:rPr>
                <w:sz w:val="20"/>
              </w:rPr>
            </w:pPr>
            <w:r w:rsidRPr="00310311">
              <w:rPr>
                <w:sz w:val="20"/>
              </w:rPr>
              <w:t>Presentation</w:t>
            </w:r>
          </w:p>
        </w:tc>
        <w:tc>
          <w:tcPr>
            <w:tcW w:w="1334" w:type="pct"/>
          </w:tcPr>
          <w:p w14:paraId="7620D339" w14:textId="4D0F551C" w:rsidR="007069D4" w:rsidRPr="00310311" w:rsidRDefault="00251D8E" w:rsidP="00310311">
            <w:pPr>
              <w:ind w:left="0" w:right="0"/>
              <w:rPr>
                <w:sz w:val="20"/>
              </w:rPr>
            </w:pPr>
            <w:r w:rsidRPr="00310311">
              <w:rPr>
                <w:sz w:val="20"/>
              </w:rPr>
              <w:t>PBS/sucrose</w:t>
            </w:r>
          </w:p>
        </w:tc>
        <w:tc>
          <w:tcPr>
            <w:tcW w:w="1334" w:type="pct"/>
          </w:tcPr>
          <w:p w14:paraId="211AE945" w14:textId="04957E74" w:rsidR="007069D4" w:rsidRPr="00310311" w:rsidRDefault="007069D4" w:rsidP="00310311">
            <w:pPr>
              <w:ind w:left="0" w:right="0"/>
              <w:rPr>
                <w:sz w:val="20"/>
              </w:rPr>
            </w:pPr>
            <w:r w:rsidRPr="00310311">
              <w:rPr>
                <w:sz w:val="20"/>
              </w:rPr>
              <w:t>Tris/sucrose</w:t>
            </w:r>
          </w:p>
        </w:tc>
        <w:tc>
          <w:tcPr>
            <w:tcW w:w="1334" w:type="pct"/>
          </w:tcPr>
          <w:p w14:paraId="2073CC2B" w14:textId="449D2499" w:rsidR="007069D4" w:rsidRPr="00310311" w:rsidRDefault="007069D4" w:rsidP="00310311">
            <w:pPr>
              <w:ind w:left="0" w:right="0"/>
              <w:rPr>
                <w:sz w:val="20"/>
              </w:rPr>
            </w:pPr>
            <w:r w:rsidRPr="00310311">
              <w:rPr>
                <w:sz w:val="20"/>
              </w:rPr>
              <w:t>Tris/sucrose</w:t>
            </w:r>
          </w:p>
        </w:tc>
      </w:tr>
    </w:tbl>
    <w:p w14:paraId="0BDBCB27" w14:textId="5798BA78" w:rsidR="006F389A" w:rsidRDefault="006F389A" w:rsidP="006F389A">
      <w:pPr>
        <w:pStyle w:val="Heading5"/>
      </w:pPr>
      <w:r>
        <w:t>New proposed formulation</w:t>
      </w:r>
    </w:p>
    <w:p w14:paraId="67BC8DBB" w14:textId="64AE400B" w:rsidR="006F389A" w:rsidRDefault="006F389A" w:rsidP="006F389A">
      <w:r>
        <w:t>For administration to children from 6 months to under 5 years of age, a new strength of Comirnaty is proposed to be registered providing 3 µg per 0.2 mL dose. The new 3 µg mRNA presentation is also supplied in a multiuse vial, to be thawed before use. It requires dilution with 2.2 mL 0.9% sodium chloride (normal saline) prior to administration and once diluted provides 10 doses, each containing a 3 </w:t>
      </w:r>
      <w:proofErr w:type="spellStart"/>
      <w:r>
        <w:t>μg</w:t>
      </w:r>
      <w:proofErr w:type="spellEnd"/>
      <w:r>
        <w:t xml:space="preserve"> RNA dose in 0.2 mL injection volume.</w:t>
      </w:r>
    </w:p>
    <w:p w14:paraId="6406D075" w14:textId="4A935046" w:rsidR="001F5F72" w:rsidRDefault="006F389A" w:rsidP="00F328E8">
      <w:r>
        <w:t>It is in the same</w:t>
      </w:r>
      <w:r w:rsidR="00781390">
        <w:t xml:space="preserve"> tris/sucrose-buffe</w:t>
      </w:r>
      <w:r>
        <w:t xml:space="preserve">red product line, that includes </w:t>
      </w:r>
      <w:r w:rsidR="00781390">
        <w:t xml:space="preserve">the 30 µg /0.3 mL </w:t>
      </w:r>
      <w:r w:rsidR="00686E1F">
        <w:t>r</w:t>
      </w:r>
      <w:r w:rsidR="00686E1F" w:rsidRPr="00686E1F">
        <w:t xml:space="preserve">eady to use, multidose vial </w:t>
      </w:r>
      <w:r w:rsidR="00686E1F">
        <w:t xml:space="preserve">(AUST R </w:t>
      </w:r>
      <w:r w:rsidR="00781390" w:rsidRPr="00781390">
        <w:t>377110</w:t>
      </w:r>
      <w:r w:rsidR="00686E1F">
        <w:t xml:space="preserve">) and </w:t>
      </w:r>
      <w:r w:rsidR="00686E1F" w:rsidRPr="00686E1F">
        <w:t>10 µg/0.2 mL</w:t>
      </w:r>
      <w:r w:rsidR="00686E1F">
        <w:t xml:space="preserve">, dilute to use, multidose vial (AUST R </w:t>
      </w:r>
      <w:r w:rsidR="00686E1F" w:rsidRPr="00686E1F">
        <w:t>377111</w:t>
      </w:r>
      <w:r w:rsidR="00686E1F">
        <w:t>) presentations</w:t>
      </w:r>
      <w:r>
        <w:t xml:space="preserve">. Unlike the former and </w:t>
      </w:r>
      <w:proofErr w:type="gramStart"/>
      <w:r>
        <w:t>s</w:t>
      </w:r>
      <w:r w:rsidR="00686E1F">
        <w:t>imilar to</w:t>
      </w:r>
      <w:proofErr w:type="gramEnd"/>
      <w:r w:rsidR="00686E1F">
        <w:t xml:space="preserve"> only the latter </w:t>
      </w:r>
      <w:r>
        <w:t>10 µg/0.2 </w:t>
      </w:r>
      <w:r w:rsidR="00686E1F" w:rsidRPr="00686E1F">
        <w:t>mL</w:t>
      </w:r>
      <w:r w:rsidR="00686E1F">
        <w:t xml:space="preserve"> presentation (AUST R 377</w:t>
      </w:r>
      <w:r w:rsidR="008677B0">
        <w:t>1</w:t>
      </w:r>
      <w:r w:rsidR="00686E1F">
        <w:t>11), it must also be diluted with</w:t>
      </w:r>
      <w:r w:rsidR="00AD72E3">
        <w:t xml:space="preserve"> a volume of</w:t>
      </w:r>
      <w:r w:rsidR="00686E1F">
        <w:t xml:space="preserve"> normal saline (sodium chloride 0.9%) prior to use.</w:t>
      </w:r>
    </w:p>
    <w:p w14:paraId="0D9AA656" w14:textId="7319DC0E" w:rsidR="00686E1F" w:rsidRDefault="00686E1F" w:rsidP="00F328E8">
      <w:r>
        <w:t xml:space="preserve">Further details of the new 3 µg/0.2 mL dose presentation are given in </w:t>
      </w:r>
      <w:r>
        <w:fldChar w:fldCharType="begin"/>
      </w:r>
      <w:r>
        <w:instrText xml:space="preserve"> REF _Ref114221817 \h </w:instrText>
      </w:r>
      <w:r>
        <w:fldChar w:fldCharType="separate"/>
      </w:r>
      <w:r w:rsidR="00145C93">
        <w:t xml:space="preserve">Table </w:t>
      </w:r>
      <w:r w:rsidR="00145C93">
        <w:rPr>
          <w:noProof/>
        </w:rPr>
        <w:t>2</w:t>
      </w:r>
      <w:r>
        <w:fldChar w:fldCharType="end"/>
      </w:r>
      <w:r>
        <w:t>, below.</w:t>
      </w:r>
    </w:p>
    <w:p w14:paraId="7B6513E1" w14:textId="5F3FE3E3" w:rsidR="00310311" w:rsidRDefault="00310311" w:rsidP="00310311">
      <w:pPr>
        <w:pStyle w:val="Tabletitle0"/>
      </w:pPr>
      <w:bookmarkStart w:id="16" w:name="_Ref114221817"/>
      <w:r>
        <w:t xml:space="preserve">Table </w:t>
      </w:r>
      <w:r w:rsidR="00582372">
        <w:fldChar w:fldCharType="begin"/>
      </w:r>
      <w:r w:rsidR="00582372">
        <w:instrText xml:space="preserve"> SEQ Table \* ARABIC </w:instrText>
      </w:r>
      <w:r w:rsidR="00582372">
        <w:fldChar w:fldCharType="separate"/>
      </w:r>
      <w:r w:rsidR="00145C93">
        <w:rPr>
          <w:noProof/>
        </w:rPr>
        <w:t>2</w:t>
      </w:r>
      <w:r w:rsidR="00582372">
        <w:rPr>
          <w:noProof/>
        </w:rPr>
        <w:fldChar w:fldCharType="end"/>
      </w:r>
      <w:bookmarkEnd w:id="16"/>
      <w:r>
        <w:t>: New proposed formulation/strength of Comirnaty in this submission</w:t>
      </w:r>
    </w:p>
    <w:tbl>
      <w:tblPr>
        <w:tblStyle w:val="TableTGAblue"/>
        <w:tblW w:w="0" w:type="auto"/>
        <w:tblLook w:val="04A0" w:firstRow="1" w:lastRow="0" w:firstColumn="1" w:lastColumn="0" w:noHBand="0" w:noVBand="1"/>
      </w:tblPr>
      <w:tblGrid>
        <w:gridCol w:w="1761"/>
        <w:gridCol w:w="5969"/>
      </w:tblGrid>
      <w:tr w:rsidR="00686E1F" w:rsidRPr="00310311" w14:paraId="11047FC2" w14:textId="77777777" w:rsidTr="002547BE">
        <w:trPr>
          <w:cnfStyle w:val="100000000000" w:firstRow="1" w:lastRow="0" w:firstColumn="0" w:lastColumn="0" w:oddVBand="0" w:evenVBand="0" w:oddHBand="0" w:evenHBand="0" w:firstRowFirstColumn="0" w:firstRowLastColumn="0" w:lastRowFirstColumn="0" w:lastRowLastColumn="0"/>
        </w:trPr>
        <w:tc>
          <w:tcPr>
            <w:tcW w:w="7730" w:type="dxa"/>
            <w:gridSpan w:val="2"/>
          </w:tcPr>
          <w:p w14:paraId="1A357CE1" w14:textId="00A1370A" w:rsidR="00686E1F" w:rsidRPr="00310311" w:rsidRDefault="00686E1F" w:rsidP="002547BE">
            <w:pPr>
              <w:rPr>
                <w:sz w:val="20"/>
              </w:rPr>
            </w:pPr>
            <w:r>
              <w:t>3 µg/0.2 mL dose presentation</w:t>
            </w:r>
          </w:p>
        </w:tc>
      </w:tr>
      <w:tr w:rsidR="008E0DB0" w:rsidRPr="00310311" w14:paraId="51CC584F" w14:textId="77777777" w:rsidTr="002547BE">
        <w:tc>
          <w:tcPr>
            <w:tcW w:w="1761" w:type="dxa"/>
          </w:tcPr>
          <w:p w14:paraId="61B7C4F4" w14:textId="77777777" w:rsidR="008E0DB0" w:rsidRPr="00310311" w:rsidRDefault="008E0DB0" w:rsidP="00310311">
            <w:pPr>
              <w:ind w:left="0" w:right="0"/>
              <w:rPr>
                <w:sz w:val="20"/>
              </w:rPr>
            </w:pPr>
          </w:p>
        </w:tc>
        <w:tc>
          <w:tcPr>
            <w:tcW w:w="5969" w:type="dxa"/>
          </w:tcPr>
          <w:p w14:paraId="620BBE19" w14:textId="511259BC" w:rsidR="008E0DB0" w:rsidRPr="00AD72E3" w:rsidRDefault="00B11112" w:rsidP="00310311">
            <w:pPr>
              <w:ind w:left="0" w:right="0"/>
              <w:rPr>
                <w:b/>
                <w:sz w:val="20"/>
              </w:rPr>
            </w:pPr>
            <w:r w:rsidRPr="00AD72E3">
              <w:rPr>
                <w:b/>
                <w:sz w:val="20"/>
              </w:rPr>
              <w:t xml:space="preserve">Dilute to use, </w:t>
            </w:r>
            <w:r w:rsidR="008E0DB0" w:rsidRPr="00AD72E3">
              <w:rPr>
                <w:b/>
                <w:sz w:val="20"/>
              </w:rPr>
              <w:t>multidose</w:t>
            </w:r>
            <w:r w:rsidRPr="00AD72E3">
              <w:rPr>
                <w:b/>
                <w:sz w:val="20"/>
              </w:rPr>
              <w:t xml:space="preserve"> vial (for age 6 months to &lt; 5 years</w:t>
            </w:r>
            <w:r w:rsidR="008E0DB0" w:rsidRPr="00AD72E3">
              <w:rPr>
                <w:b/>
                <w:sz w:val="20"/>
              </w:rPr>
              <w:t>)</w:t>
            </w:r>
          </w:p>
        </w:tc>
      </w:tr>
      <w:tr w:rsidR="008E0DB0" w:rsidRPr="00310311" w14:paraId="712183A3" w14:textId="77777777" w:rsidTr="002547BE">
        <w:tc>
          <w:tcPr>
            <w:tcW w:w="1761" w:type="dxa"/>
          </w:tcPr>
          <w:p w14:paraId="2764A1A6" w14:textId="77777777" w:rsidR="008E0DB0" w:rsidRPr="00310311" w:rsidRDefault="008E0DB0" w:rsidP="00310311">
            <w:pPr>
              <w:ind w:left="0" w:right="0"/>
              <w:rPr>
                <w:sz w:val="20"/>
              </w:rPr>
            </w:pPr>
            <w:r w:rsidRPr="00310311">
              <w:rPr>
                <w:sz w:val="20"/>
              </w:rPr>
              <w:t>AUST R</w:t>
            </w:r>
          </w:p>
        </w:tc>
        <w:tc>
          <w:tcPr>
            <w:tcW w:w="5969" w:type="dxa"/>
          </w:tcPr>
          <w:p w14:paraId="5A9A13B4" w14:textId="6501DB97" w:rsidR="008E0DB0" w:rsidRPr="00456C48" w:rsidRDefault="00B11112" w:rsidP="00310311">
            <w:pPr>
              <w:ind w:left="0" w:right="0"/>
              <w:rPr>
                <w:sz w:val="20"/>
                <w:vertAlign w:val="superscript"/>
              </w:rPr>
            </w:pPr>
            <w:r w:rsidRPr="00310311">
              <w:rPr>
                <w:sz w:val="20"/>
              </w:rPr>
              <w:t>Proposed</w:t>
            </w:r>
            <w:r w:rsidR="008677B0">
              <w:rPr>
                <w:sz w:val="20"/>
                <w:vertAlign w:val="superscript"/>
              </w:rPr>
              <w:t>1</w:t>
            </w:r>
          </w:p>
        </w:tc>
      </w:tr>
      <w:tr w:rsidR="008E0DB0" w:rsidRPr="00310311" w14:paraId="78D8DBB0" w14:textId="77777777" w:rsidTr="002547BE">
        <w:tc>
          <w:tcPr>
            <w:tcW w:w="1761" w:type="dxa"/>
          </w:tcPr>
          <w:p w14:paraId="2DC4076A" w14:textId="77777777" w:rsidR="008E0DB0" w:rsidRPr="00310311" w:rsidRDefault="008E0DB0" w:rsidP="00310311">
            <w:pPr>
              <w:ind w:left="0" w:right="0"/>
              <w:rPr>
                <w:sz w:val="20"/>
              </w:rPr>
            </w:pPr>
            <w:r w:rsidRPr="00310311">
              <w:rPr>
                <w:sz w:val="20"/>
              </w:rPr>
              <w:t>Age</w:t>
            </w:r>
          </w:p>
        </w:tc>
        <w:tc>
          <w:tcPr>
            <w:tcW w:w="5969" w:type="dxa"/>
          </w:tcPr>
          <w:p w14:paraId="545D4972" w14:textId="60869A28" w:rsidR="008E0DB0" w:rsidRPr="00310311" w:rsidRDefault="00B11112" w:rsidP="00310311">
            <w:pPr>
              <w:ind w:left="0" w:right="0"/>
              <w:rPr>
                <w:sz w:val="20"/>
              </w:rPr>
            </w:pPr>
            <w:r w:rsidRPr="00310311">
              <w:rPr>
                <w:sz w:val="20"/>
              </w:rPr>
              <w:t xml:space="preserve">6 months </w:t>
            </w:r>
            <w:r w:rsidR="008E0DB0" w:rsidRPr="00310311">
              <w:rPr>
                <w:sz w:val="20"/>
              </w:rPr>
              <w:t xml:space="preserve">of age </w:t>
            </w:r>
            <w:r w:rsidRPr="00310311">
              <w:rPr>
                <w:sz w:val="20"/>
              </w:rPr>
              <w:t>to &lt; 5 years</w:t>
            </w:r>
          </w:p>
        </w:tc>
      </w:tr>
      <w:tr w:rsidR="008E0DB0" w:rsidRPr="00310311" w14:paraId="26695443" w14:textId="77777777" w:rsidTr="002547BE">
        <w:tc>
          <w:tcPr>
            <w:tcW w:w="1761" w:type="dxa"/>
          </w:tcPr>
          <w:p w14:paraId="3270EE04" w14:textId="77777777" w:rsidR="008E0DB0" w:rsidRPr="00310311" w:rsidRDefault="008E0DB0" w:rsidP="00310311">
            <w:pPr>
              <w:ind w:left="0" w:right="0"/>
              <w:rPr>
                <w:sz w:val="20"/>
              </w:rPr>
            </w:pPr>
            <w:r w:rsidRPr="00310311">
              <w:rPr>
                <w:sz w:val="20"/>
              </w:rPr>
              <w:t>Cap colour</w:t>
            </w:r>
          </w:p>
        </w:tc>
        <w:tc>
          <w:tcPr>
            <w:tcW w:w="5969" w:type="dxa"/>
          </w:tcPr>
          <w:p w14:paraId="3167EBB1" w14:textId="0B14BC02" w:rsidR="008E0DB0" w:rsidRPr="00310311" w:rsidRDefault="007069D4" w:rsidP="00310311">
            <w:pPr>
              <w:ind w:left="0" w:right="0"/>
              <w:rPr>
                <w:sz w:val="20"/>
              </w:rPr>
            </w:pPr>
            <w:r w:rsidRPr="00310311">
              <w:rPr>
                <w:sz w:val="20"/>
              </w:rPr>
              <w:t>Maroon</w:t>
            </w:r>
          </w:p>
        </w:tc>
      </w:tr>
      <w:tr w:rsidR="008E0DB0" w:rsidRPr="00310311" w14:paraId="4A6115CA" w14:textId="77777777" w:rsidTr="002547BE">
        <w:tc>
          <w:tcPr>
            <w:tcW w:w="1761" w:type="dxa"/>
          </w:tcPr>
          <w:p w14:paraId="31D268A1" w14:textId="77777777" w:rsidR="008E0DB0" w:rsidRPr="00310311" w:rsidRDefault="008E0DB0" w:rsidP="00310311">
            <w:pPr>
              <w:ind w:left="0" w:right="0"/>
              <w:rPr>
                <w:sz w:val="20"/>
              </w:rPr>
            </w:pPr>
            <w:r w:rsidRPr="00310311">
              <w:rPr>
                <w:sz w:val="20"/>
              </w:rPr>
              <w:t>Label colour</w:t>
            </w:r>
          </w:p>
        </w:tc>
        <w:tc>
          <w:tcPr>
            <w:tcW w:w="5969" w:type="dxa"/>
          </w:tcPr>
          <w:p w14:paraId="7004BD9B" w14:textId="701D1DE0" w:rsidR="008E0DB0" w:rsidRPr="00310311" w:rsidRDefault="007069D4" w:rsidP="00310311">
            <w:pPr>
              <w:ind w:left="0" w:right="0"/>
              <w:rPr>
                <w:sz w:val="20"/>
              </w:rPr>
            </w:pPr>
            <w:r w:rsidRPr="00310311">
              <w:rPr>
                <w:sz w:val="20"/>
              </w:rPr>
              <w:t>Maroon</w:t>
            </w:r>
          </w:p>
        </w:tc>
      </w:tr>
      <w:tr w:rsidR="008E0DB0" w:rsidRPr="00310311" w14:paraId="046D195D" w14:textId="77777777" w:rsidTr="002547BE">
        <w:tc>
          <w:tcPr>
            <w:tcW w:w="1761" w:type="dxa"/>
          </w:tcPr>
          <w:p w14:paraId="098DCA58" w14:textId="77777777" w:rsidR="008E0DB0" w:rsidRPr="00310311" w:rsidRDefault="008E0DB0" w:rsidP="00310311">
            <w:pPr>
              <w:ind w:left="0" w:right="0"/>
              <w:rPr>
                <w:sz w:val="20"/>
              </w:rPr>
            </w:pPr>
            <w:r w:rsidRPr="00310311">
              <w:rPr>
                <w:sz w:val="20"/>
              </w:rPr>
              <w:t>Strength</w:t>
            </w:r>
          </w:p>
        </w:tc>
        <w:tc>
          <w:tcPr>
            <w:tcW w:w="5969" w:type="dxa"/>
          </w:tcPr>
          <w:p w14:paraId="1F983663" w14:textId="3A192E34" w:rsidR="008E0DB0" w:rsidRPr="00310311" w:rsidRDefault="00B11112" w:rsidP="00310311">
            <w:pPr>
              <w:ind w:left="0" w:right="0"/>
              <w:rPr>
                <w:sz w:val="20"/>
              </w:rPr>
            </w:pPr>
            <w:r w:rsidRPr="00310311">
              <w:rPr>
                <w:sz w:val="20"/>
              </w:rPr>
              <w:t>3</w:t>
            </w:r>
            <w:r w:rsidR="00310311">
              <w:rPr>
                <w:sz w:val="20"/>
              </w:rPr>
              <w:t xml:space="preserve"> µg</w:t>
            </w:r>
            <w:r w:rsidRPr="00310311">
              <w:rPr>
                <w:sz w:val="20"/>
              </w:rPr>
              <w:t>/0.2</w:t>
            </w:r>
            <w:r w:rsidR="008E0DB0" w:rsidRPr="00310311">
              <w:rPr>
                <w:sz w:val="20"/>
              </w:rPr>
              <w:t xml:space="preserve"> mL</w:t>
            </w:r>
          </w:p>
        </w:tc>
      </w:tr>
      <w:tr w:rsidR="008E0DB0" w:rsidRPr="00310311" w14:paraId="430D9155" w14:textId="77777777" w:rsidTr="002547BE">
        <w:tc>
          <w:tcPr>
            <w:tcW w:w="1761" w:type="dxa"/>
          </w:tcPr>
          <w:p w14:paraId="6872AE12" w14:textId="77777777" w:rsidR="008E0DB0" w:rsidRPr="00310311" w:rsidRDefault="008E0DB0" w:rsidP="00310311">
            <w:pPr>
              <w:ind w:left="0" w:right="0"/>
              <w:rPr>
                <w:sz w:val="20"/>
              </w:rPr>
            </w:pPr>
            <w:r w:rsidRPr="00310311">
              <w:rPr>
                <w:sz w:val="20"/>
              </w:rPr>
              <w:t>Fill volume</w:t>
            </w:r>
          </w:p>
        </w:tc>
        <w:tc>
          <w:tcPr>
            <w:tcW w:w="5969" w:type="dxa"/>
          </w:tcPr>
          <w:p w14:paraId="128CC59A" w14:textId="13D2566A" w:rsidR="008E0DB0" w:rsidRPr="00310311" w:rsidRDefault="007069D4" w:rsidP="00310311">
            <w:pPr>
              <w:ind w:left="0" w:right="0"/>
              <w:rPr>
                <w:sz w:val="20"/>
              </w:rPr>
            </w:pPr>
            <w:r w:rsidRPr="00310311">
              <w:rPr>
                <w:sz w:val="20"/>
              </w:rPr>
              <w:t>0.4</w:t>
            </w:r>
            <w:r w:rsidR="008E0DB0" w:rsidRPr="00310311">
              <w:rPr>
                <w:sz w:val="20"/>
              </w:rPr>
              <w:t xml:space="preserve"> mL</w:t>
            </w:r>
          </w:p>
        </w:tc>
      </w:tr>
      <w:tr w:rsidR="008E0DB0" w:rsidRPr="00310311" w14:paraId="4E67DA1A" w14:textId="77777777" w:rsidTr="002547BE">
        <w:tc>
          <w:tcPr>
            <w:tcW w:w="1761" w:type="dxa"/>
          </w:tcPr>
          <w:p w14:paraId="7A8D4836" w14:textId="77777777" w:rsidR="008E0DB0" w:rsidRPr="00310311" w:rsidRDefault="008E0DB0" w:rsidP="00310311">
            <w:pPr>
              <w:ind w:left="0" w:right="0"/>
              <w:rPr>
                <w:sz w:val="20"/>
              </w:rPr>
            </w:pPr>
            <w:r w:rsidRPr="00310311">
              <w:rPr>
                <w:sz w:val="20"/>
              </w:rPr>
              <w:t>Number of doses</w:t>
            </w:r>
          </w:p>
        </w:tc>
        <w:tc>
          <w:tcPr>
            <w:tcW w:w="5969" w:type="dxa"/>
          </w:tcPr>
          <w:p w14:paraId="191833C2" w14:textId="18DF558D" w:rsidR="008E0DB0" w:rsidRPr="00310311" w:rsidRDefault="00B11112" w:rsidP="00310311">
            <w:pPr>
              <w:ind w:left="0" w:right="0"/>
              <w:rPr>
                <w:sz w:val="20"/>
              </w:rPr>
            </w:pPr>
            <w:r w:rsidRPr="00310311">
              <w:rPr>
                <w:sz w:val="20"/>
              </w:rPr>
              <w:t>10</w:t>
            </w:r>
          </w:p>
        </w:tc>
      </w:tr>
      <w:tr w:rsidR="008E0DB0" w:rsidRPr="00310311" w14:paraId="7BE59C29" w14:textId="77777777" w:rsidTr="002547BE">
        <w:tc>
          <w:tcPr>
            <w:tcW w:w="1761" w:type="dxa"/>
          </w:tcPr>
          <w:p w14:paraId="0126EDD7" w14:textId="77777777" w:rsidR="008E0DB0" w:rsidRPr="00310311" w:rsidRDefault="008E0DB0" w:rsidP="00310311">
            <w:pPr>
              <w:ind w:left="0" w:right="0"/>
              <w:rPr>
                <w:sz w:val="20"/>
              </w:rPr>
            </w:pPr>
            <w:r w:rsidRPr="00310311">
              <w:rPr>
                <w:sz w:val="20"/>
              </w:rPr>
              <w:t>Dilution</w:t>
            </w:r>
          </w:p>
        </w:tc>
        <w:tc>
          <w:tcPr>
            <w:tcW w:w="5969" w:type="dxa"/>
          </w:tcPr>
          <w:p w14:paraId="4D7F1524" w14:textId="46B0B2D2" w:rsidR="008E0DB0" w:rsidRPr="00310311" w:rsidRDefault="00B11112" w:rsidP="00310311">
            <w:pPr>
              <w:ind w:left="0" w:right="0"/>
              <w:rPr>
                <w:sz w:val="20"/>
              </w:rPr>
            </w:pPr>
            <w:r w:rsidRPr="00310311">
              <w:rPr>
                <w:sz w:val="20"/>
              </w:rPr>
              <w:t>Dilute to use</w:t>
            </w:r>
            <w:r w:rsidR="007069D4" w:rsidRPr="00310311">
              <w:rPr>
                <w:sz w:val="20"/>
              </w:rPr>
              <w:t xml:space="preserve"> (2.2 mL sodium chloride 0.9%)</w:t>
            </w:r>
          </w:p>
        </w:tc>
      </w:tr>
      <w:tr w:rsidR="008E0DB0" w:rsidRPr="00310311" w14:paraId="21F3F852" w14:textId="77777777" w:rsidTr="002547BE">
        <w:tc>
          <w:tcPr>
            <w:tcW w:w="1761" w:type="dxa"/>
          </w:tcPr>
          <w:p w14:paraId="32A4C389" w14:textId="77777777" w:rsidR="008E0DB0" w:rsidRPr="00310311" w:rsidRDefault="008E0DB0" w:rsidP="00310311">
            <w:pPr>
              <w:ind w:left="0" w:right="0"/>
              <w:rPr>
                <w:sz w:val="20"/>
              </w:rPr>
            </w:pPr>
            <w:r w:rsidRPr="00310311">
              <w:rPr>
                <w:sz w:val="20"/>
              </w:rPr>
              <w:t>Presentation</w:t>
            </w:r>
          </w:p>
        </w:tc>
        <w:tc>
          <w:tcPr>
            <w:tcW w:w="5969" w:type="dxa"/>
          </w:tcPr>
          <w:p w14:paraId="75EE354F" w14:textId="77777777" w:rsidR="008E0DB0" w:rsidRPr="00310311" w:rsidRDefault="008E0DB0" w:rsidP="00310311">
            <w:pPr>
              <w:ind w:left="0" w:right="0"/>
              <w:rPr>
                <w:sz w:val="20"/>
              </w:rPr>
            </w:pPr>
            <w:r w:rsidRPr="00310311">
              <w:rPr>
                <w:sz w:val="20"/>
              </w:rPr>
              <w:t>Tris/sucrose</w:t>
            </w:r>
          </w:p>
        </w:tc>
      </w:tr>
    </w:tbl>
    <w:p w14:paraId="42CD1D08" w14:textId="4734A7F6" w:rsidR="008677B0" w:rsidRPr="00456C48" w:rsidRDefault="008677B0" w:rsidP="00456C48">
      <w:pPr>
        <w:pStyle w:val="FigureDescription"/>
      </w:pPr>
      <w:r w:rsidRPr="00456C48">
        <w:rPr>
          <w:vertAlign w:val="superscript"/>
        </w:rPr>
        <w:t>1.</w:t>
      </w:r>
      <w:r>
        <w:t> </w:t>
      </w:r>
      <w:r w:rsidR="00984A13">
        <w:t xml:space="preserve">AUST R </w:t>
      </w:r>
      <w:r w:rsidR="00984A13" w:rsidRPr="0092761A">
        <w:t>393433</w:t>
      </w:r>
      <w:r w:rsidR="00984A13">
        <w:t xml:space="preserve"> (following approval and registration).</w:t>
      </w:r>
    </w:p>
    <w:p w14:paraId="0BB13D08" w14:textId="41E9D640" w:rsidR="006F389A" w:rsidRDefault="006F389A" w:rsidP="006F389A">
      <w:pPr>
        <w:pStyle w:val="Heading5"/>
      </w:pPr>
      <w:r>
        <w:t>Proposed vaccination schedule</w:t>
      </w:r>
    </w:p>
    <w:p w14:paraId="54081C6C" w14:textId="07921EB8" w:rsidR="00F328E8" w:rsidRDefault="00F328E8" w:rsidP="00F328E8">
      <w:r>
        <w:t>The paediatric vaccination s</w:t>
      </w:r>
      <w:r w:rsidR="00030604">
        <w:t xml:space="preserve">eries for children </w:t>
      </w:r>
      <w:r w:rsidR="004A25BA">
        <w:t xml:space="preserve">from </w:t>
      </w:r>
      <w:r w:rsidR="00030604">
        <w:t xml:space="preserve">6 months to less than </w:t>
      </w:r>
      <w:r>
        <w:t>5 years of age was initially planned as a two-dose program (3</w:t>
      </w:r>
      <w:r w:rsidR="00030604">
        <w:t xml:space="preserve"> </w:t>
      </w:r>
      <w:r>
        <w:t>µg mRNA each dose</w:t>
      </w:r>
      <w:proofErr w:type="gramStart"/>
      <w:r>
        <w:t>)</w:t>
      </w:r>
      <w:proofErr w:type="gramEnd"/>
      <w:r>
        <w:t xml:space="preserve"> but this was amended include a third dose to be given at least </w:t>
      </w:r>
      <w:r w:rsidR="007A3875">
        <w:t>8 weeks after the second dose.</w:t>
      </w:r>
    </w:p>
    <w:p w14:paraId="717A9847" w14:textId="049174E6" w:rsidR="007A3875" w:rsidRDefault="007A3875" w:rsidP="00F328E8">
      <w:r>
        <w:lastRenderedPageBreak/>
        <w:t>A summary of Comirnaty dosing schedules of primary vaccination is shown in the following table.</w:t>
      </w:r>
    </w:p>
    <w:p w14:paraId="1BE6E332" w14:textId="28CC1B7C" w:rsidR="003368E3" w:rsidRDefault="003368E3" w:rsidP="003368E3">
      <w:pPr>
        <w:pStyle w:val="Tabletitle0"/>
      </w:pPr>
      <w:r>
        <w:t xml:space="preserve">Table </w:t>
      </w:r>
      <w:r w:rsidR="00582372">
        <w:fldChar w:fldCharType="begin"/>
      </w:r>
      <w:r w:rsidR="00582372">
        <w:instrText xml:space="preserve"> SEQ Table \* ARABIC </w:instrText>
      </w:r>
      <w:r w:rsidR="00582372">
        <w:fldChar w:fldCharType="separate"/>
      </w:r>
      <w:r w:rsidR="00145C93">
        <w:rPr>
          <w:noProof/>
        </w:rPr>
        <w:t>3</w:t>
      </w:r>
      <w:r w:rsidR="00582372">
        <w:rPr>
          <w:noProof/>
        </w:rPr>
        <w:fldChar w:fldCharType="end"/>
      </w:r>
      <w:r>
        <w:t xml:space="preserve">: Comirnaty </w:t>
      </w:r>
      <w:r w:rsidRPr="00C358D1">
        <w:t>do</w:t>
      </w:r>
      <w:r>
        <w:t>s</w:t>
      </w:r>
      <w:r w:rsidRPr="00C358D1">
        <w:t>ing for primary vaccination</w:t>
      </w:r>
    </w:p>
    <w:tbl>
      <w:tblPr>
        <w:tblStyle w:val="TableTGAblue"/>
        <w:tblW w:w="0" w:type="auto"/>
        <w:tblLook w:val="04A0" w:firstRow="1" w:lastRow="0" w:firstColumn="1" w:lastColumn="0" w:noHBand="0" w:noVBand="1"/>
      </w:tblPr>
      <w:tblGrid>
        <w:gridCol w:w="2827"/>
        <w:gridCol w:w="2563"/>
        <w:gridCol w:w="3094"/>
      </w:tblGrid>
      <w:tr w:rsidR="003368E3" w14:paraId="4AAF2104" w14:textId="77777777" w:rsidTr="003368E3">
        <w:trPr>
          <w:cnfStyle w:val="100000000000" w:firstRow="1" w:lastRow="0" w:firstColumn="0" w:lastColumn="0" w:oddVBand="0" w:evenVBand="0" w:oddHBand="0" w:evenHBand="0" w:firstRowFirstColumn="0" w:firstRowLastColumn="0" w:lastRowFirstColumn="0" w:lastRowLastColumn="0"/>
        </w:trPr>
        <w:tc>
          <w:tcPr>
            <w:tcW w:w="2827" w:type="dxa"/>
          </w:tcPr>
          <w:p w14:paraId="791A3B35" w14:textId="2A7D2CF8" w:rsidR="003368E3" w:rsidRDefault="003368E3" w:rsidP="00F328E8">
            <w:r>
              <w:t>Age group</w:t>
            </w:r>
          </w:p>
        </w:tc>
        <w:tc>
          <w:tcPr>
            <w:tcW w:w="2563" w:type="dxa"/>
          </w:tcPr>
          <w:p w14:paraId="7E5E4DB8" w14:textId="1034740D" w:rsidR="003368E3" w:rsidRDefault="003368E3" w:rsidP="00F328E8">
            <w:r>
              <w:t>Dose of mRNA (volume of vaccine)</w:t>
            </w:r>
          </w:p>
        </w:tc>
        <w:tc>
          <w:tcPr>
            <w:tcW w:w="3094" w:type="dxa"/>
          </w:tcPr>
          <w:p w14:paraId="02D89A96" w14:textId="7D9FA7B3" w:rsidR="003368E3" w:rsidRDefault="003368E3" w:rsidP="00F328E8">
            <w:r>
              <w:t>Regimen</w:t>
            </w:r>
          </w:p>
        </w:tc>
      </w:tr>
      <w:tr w:rsidR="003368E3" w14:paraId="6566F3D7" w14:textId="77777777" w:rsidTr="003368E3">
        <w:tc>
          <w:tcPr>
            <w:tcW w:w="2827" w:type="dxa"/>
          </w:tcPr>
          <w:p w14:paraId="3B927CF5" w14:textId="30F8B8BC" w:rsidR="003368E3" w:rsidRDefault="003368E3" w:rsidP="003368E3">
            <w:r>
              <w:t>From 16 years</w:t>
            </w:r>
          </w:p>
        </w:tc>
        <w:tc>
          <w:tcPr>
            <w:tcW w:w="2563" w:type="dxa"/>
          </w:tcPr>
          <w:p w14:paraId="7DD0A010" w14:textId="036B87EA" w:rsidR="003368E3" w:rsidRDefault="003368E3" w:rsidP="00F328E8">
            <w:r>
              <w:t>30 µg (0.3 mL)</w:t>
            </w:r>
          </w:p>
        </w:tc>
        <w:tc>
          <w:tcPr>
            <w:tcW w:w="3094" w:type="dxa"/>
          </w:tcPr>
          <w:p w14:paraId="47997694" w14:textId="6C775D93" w:rsidR="003368E3" w:rsidRDefault="003368E3" w:rsidP="00F328E8">
            <w:r>
              <w:t>2 doses (0 and 3 weeks)</w:t>
            </w:r>
          </w:p>
        </w:tc>
      </w:tr>
      <w:tr w:rsidR="003368E3" w14:paraId="43F6F75A" w14:textId="77777777" w:rsidTr="003368E3">
        <w:tc>
          <w:tcPr>
            <w:tcW w:w="2827" w:type="dxa"/>
          </w:tcPr>
          <w:p w14:paraId="39A56469" w14:textId="24C55B6A" w:rsidR="003368E3" w:rsidRDefault="003368E3" w:rsidP="003368E3">
            <w:r>
              <w:t>Between 12 and 15 years</w:t>
            </w:r>
          </w:p>
        </w:tc>
        <w:tc>
          <w:tcPr>
            <w:tcW w:w="2563" w:type="dxa"/>
          </w:tcPr>
          <w:p w14:paraId="1909D9CD" w14:textId="64A370D9" w:rsidR="003368E3" w:rsidRDefault="003368E3" w:rsidP="00F328E8">
            <w:r>
              <w:t>30 µg (0.3 mL)</w:t>
            </w:r>
          </w:p>
        </w:tc>
        <w:tc>
          <w:tcPr>
            <w:tcW w:w="3094" w:type="dxa"/>
          </w:tcPr>
          <w:p w14:paraId="29F55628" w14:textId="3CD5B277" w:rsidR="003368E3" w:rsidRDefault="003368E3" w:rsidP="00F328E8">
            <w:r>
              <w:t>2 doses (0 and 3 weeks)</w:t>
            </w:r>
          </w:p>
        </w:tc>
      </w:tr>
      <w:tr w:rsidR="003368E3" w14:paraId="3254605D" w14:textId="77777777" w:rsidTr="003368E3">
        <w:tc>
          <w:tcPr>
            <w:tcW w:w="2827" w:type="dxa"/>
          </w:tcPr>
          <w:p w14:paraId="747C01B9" w14:textId="0F133631" w:rsidR="003368E3" w:rsidRDefault="003368E3" w:rsidP="00F328E8">
            <w:r>
              <w:t>Between 5 and 11 years</w:t>
            </w:r>
          </w:p>
        </w:tc>
        <w:tc>
          <w:tcPr>
            <w:tcW w:w="2563" w:type="dxa"/>
          </w:tcPr>
          <w:p w14:paraId="545B01BA" w14:textId="769BA7A7" w:rsidR="003368E3" w:rsidRDefault="003368E3" w:rsidP="00F328E8">
            <w:r>
              <w:t>10 µg (0.2 mL)</w:t>
            </w:r>
          </w:p>
        </w:tc>
        <w:tc>
          <w:tcPr>
            <w:tcW w:w="3094" w:type="dxa"/>
          </w:tcPr>
          <w:p w14:paraId="425E2F96" w14:textId="78607C6E" w:rsidR="003368E3" w:rsidRDefault="003368E3" w:rsidP="00F328E8">
            <w:r>
              <w:t>2 doses (0 and 3 weeks)</w:t>
            </w:r>
          </w:p>
        </w:tc>
      </w:tr>
      <w:tr w:rsidR="003368E3" w14:paraId="5181A0C6" w14:textId="77777777" w:rsidTr="007A3875">
        <w:tc>
          <w:tcPr>
            <w:tcW w:w="2827" w:type="dxa"/>
            <w:shd w:val="clear" w:color="auto" w:fill="D2EDFF" w:themeFill="accent1" w:themeFillTint="1A"/>
          </w:tcPr>
          <w:p w14:paraId="6A01A593" w14:textId="656B1935" w:rsidR="003368E3" w:rsidRPr="007A3875" w:rsidRDefault="003368E3" w:rsidP="007A3875">
            <w:pPr>
              <w:rPr>
                <w:vertAlign w:val="superscript"/>
              </w:rPr>
            </w:pPr>
            <w:r>
              <w:t xml:space="preserve">From 6 months and </w:t>
            </w:r>
            <w:r w:rsidR="007A3875">
              <w:t>under 5 years</w:t>
            </w:r>
          </w:p>
        </w:tc>
        <w:tc>
          <w:tcPr>
            <w:tcW w:w="2563" w:type="dxa"/>
            <w:shd w:val="clear" w:color="auto" w:fill="D2EDFF" w:themeFill="accent1" w:themeFillTint="1A"/>
          </w:tcPr>
          <w:p w14:paraId="5C39F7C7" w14:textId="79F7C380" w:rsidR="007A3875" w:rsidRPr="007A3875" w:rsidRDefault="003368E3" w:rsidP="007A3875">
            <w:pPr>
              <w:rPr>
                <w:vertAlign w:val="superscript"/>
              </w:rPr>
            </w:pPr>
            <w:r>
              <w:t>3 µg (0.2 mL)</w:t>
            </w:r>
          </w:p>
        </w:tc>
        <w:tc>
          <w:tcPr>
            <w:tcW w:w="3094" w:type="dxa"/>
            <w:shd w:val="clear" w:color="auto" w:fill="D2EDFF" w:themeFill="accent1" w:themeFillTint="1A"/>
          </w:tcPr>
          <w:p w14:paraId="36E38567" w14:textId="2AA8B287" w:rsidR="003368E3" w:rsidRPr="007A3875" w:rsidRDefault="003368E3" w:rsidP="00F328E8">
            <w:pPr>
              <w:rPr>
                <w:vertAlign w:val="superscript"/>
              </w:rPr>
            </w:pPr>
            <w:r>
              <w:t>3 doses (0, 3 and 8+ weeks)</w:t>
            </w:r>
          </w:p>
        </w:tc>
      </w:tr>
    </w:tbl>
    <w:p w14:paraId="7507DFB3" w14:textId="76EC7145" w:rsidR="007A3875" w:rsidRPr="007A3875" w:rsidRDefault="007A3875" w:rsidP="007A3875">
      <w:r>
        <w:t>Note, the pale blue shaded row represents the new age group, new strength and new dosage regimen proposed in this submission.</w:t>
      </w:r>
    </w:p>
    <w:p w14:paraId="3DA0A848" w14:textId="6B77FBE8" w:rsidR="00956BE5" w:rsidRDefault="00956BE5" w:rsidP="00956BE5">
      <w:pPr>
        <w:pStyle w:val="Heading4"/>
      </w:pPr>
      <w:r>
        <w:t>Current vaccine options</w:t>
      </w:r>
    </w:p>
    <w:p w14:paraId="6BCBB34B" w14:textId="77777777" w:rsidR="002748AB" w:rsidRDefault="00956BE5" w:rsidP="00956BE5">
      <w:r w:rsidRPr="000349EF">
        <w:t xml:space="preserve">There are currently </w:t>
      </w:r>
      <w:r>
        <w:t xml:space="preserve">six </w:t>
      </w:r>
      <w:r w:rsidRPr="000349EF">
        <w:t>vaccines on the Australian Register of Therapeutic Goods (ARTG), and all are approve</w:t>
      </w:r>
      <w:bookmarkStart w:id="17" w:name="_Ref91015597"/>
      <w:r w:rsidR="00AB13E5">
        <w:t>d under the provisional pathway.</w:t>
      </w:r>
      <w:r w:rsidRPr="00DB3BB1">
        <w:rPr>
          <w:vertAlign w:val="superscript"/>
        </w:rPr>
        <w:t xml:space="preserve"> </w:t>
      </w:r>
      <w:r w:rsidRPr="00A16EDE">
        <w:rPr>
          <w:vertAlign w:val="superscript"/>
        </w:rPr>
        <w:footnoteReference w:id="12"/>
      </w:r>
      <w:r>
        <w:rPr>
          <w:vertAlign w:val="superscript"/>
        </w:rPr>
        <w:t>,</w:t>
      </w:r>
      <w:bookmarkStart w:id="18" w:name="_Ref112070030"/>
      <w:r w:rsidRPr="000349EF">
        <w:rPr>
          <w:rStyle w:val="FootnoteReference"/>
        </w:rPr>
        <w:footnoteReference w:id="13"/>
      </w:r>
      <w:bookmarkEnd w:id="17"/>
      <w:bookmarkEnd w:id="18"/>
      <w:r w:rsidR="00AB13E5">
        <w:t xml:space="preserve"> Note that at the time this submission was considered</w:t>
      </w:r>
      <w:r w:rsidR="00DA4A3D">
        <w:t xml:space="preserve"> for approval, only </w:t>
      </w:r>
      <w:r w:rsidR="002748AB">
        <w:t>one COVID-19 vaccine (</w:t>
      </w:r>
      <w:proofErr w:type="spellStart"/>
      <w:r w:rsidR="00DA4A3D" w:rsidRPr="000349EF">
        <w:t>Spikevax</w:t>
      </w:r>
      <w:proofErr w:type="spellEnd"/>
      <w:r w:rsidR="00DA4A3D" w:rsidRPr="000349EF">
        <w:t xml:space="preserve"> (</w:t>
      </w:r>
      <w:proofErr w:type="spellStart"/>
      <w:r w:rsidR="00DA4A3D" w:rsidRPr="000349EF">
        <w:t>elasomeran</w:t>
      </w:r>
      <w:proofErr w:type="spellEnd"/>
      <w:r w:rsidR="00DA4A3D" w:rsidRPr="000349EF">
        <w:t>) COVID-19 vaccine</w:t>
      </w:r>
      <w:r w:rsidR="002748AB">
        <w:t>)</w:t>
      </w:r>
      <w:r w:rsidR="00DA4A3D" w:rsidRPr="000349EF">
        <w:t xml:space="preserve">, </w:t>
      </w:r>
      <w:r w:rsidR="00DA4A3D">
        <w:t xml:space="preserve">also known as </w:t>
      </w:r>
      <w:r w:rsidR="00DA4A3D" w:rsidRPr="000349EF">
        <w:t xml:space="preserve">the Moderna </w:t>
      </w:r>
      <w:r w:rsidR="00DA4A3D">
        <w:t>(</w:t>
      </w:r>
      <w:r w:rsidR="00DA4A3D" w:rsidRPr="000349EF">
        <w:t>mRNA</w:t>
      </w:r>
      <w:r w:rsidR="00DA4A3D">
        <w:t>)</w:t>
      </w:r>
      <w:r w:rsidR="00DA4A3D" w:rsidRPr="000349EF">
        <w:t xml:space="preserve"> vaccine</w:t>
      </w:r>
      <w:r w:rsidR="00DA4A3D">
        <w:t xml:space="preserve">, </w:t>
      </w:r>
      <w:r w:rsidR="002748AB">
        <w:t xml:space="preserve">had been approved for use </w:t>
      </w:r>
      <w:r w:rsidR="00DA4A3D" w:rsidRPr="000349EF">
        <w:t xml:space="preserve">in individuals </w:t>
      </w:r>
      <w:r w:rsidR="002748AB">
        <w:t>below the age of 5 years.</w:t>
      </w:r>
    </w:p>
    <w:p w14:paraId="57649DFC" w14:textId="45DA8922" w:rsidR="00956BE5" w:rsidRPr="00DB3BB1" w:rsidRDefault="002748AB" w:rsidP="00956BE5">
      <w:pPr>
        <w:rPr>
          <w:vertAlign w:val="superscript"/>
        </w:rPr>
      </w:pPr>
      <w:r>
        <w:t>All vaccines are listed as follows:</w:t>
      </w:r>
    </w:p>
    <w:p w14:paraId="4A0D9F7E" w14:textId="534280E3" w:rsidR="00956BE5" w:rsidRPr="000349EF" w:rsidRDefault="00956BE5" w:rsidP="00F664E8">
      <w:pPr>
        <w:pStyle w:val="ListBullet2"/>
      </w:pPr>
      <w:r w:rsidRPr="000349EF">
        <w:t>Comirnaty (tozinameran</w:t>
      </w:r>
      <w:r>
        <w:t>, previously known at BNT162b2 (mRNA)</w:t>
      </w:r>
      <w:r w:rsidRPr="000349EF">
        <w:t>)</w:t>
      </w:r>
      <w:r>
        <w:t>;</w:t>
      </w:r>
      <w:r w:rsidRPr="000349EF">
        <w:rPr>
          <w:rStyle w:val="FootnoteReference"/>
        </w:rPr>
        <w:footnoteReference w:id="14"/>
      </w:r>
      <w:r w:rsidRPr="000349EF">
        <w:t xml:space="preserve"> </w:t>
      </w:r>
      <w:r>
        <w:t xml:space="preserve">also commonly known as </w:t>
      </w:r>
      <w:r w:rsidRPr="000349EF">
        <w:t>the Pfizer/BioNTech</w:t>
      </w:r>
      <w:r>
        <w:t xml:space="preserve"> </w:t>
      </w:r>
      <w:r w:rsidRPr="000349EF">
        <w:t>(mRNA) vaccine</w:t>
      </w:r>
      <w:r>
        <w:t xml:space="preserve"> is</w:t>
      </w:r>
      <w:r w:rsidRPr="000349EF">
        <w:t xml:space="preserve"> provisionally </w:t>
      </w:r>
      <w:r w:rsidRPr="000349EF">
        <w:lastRenderedPageBreak/>
        <w:t>approved for active immunisation to prevent COVID-19 caused by SARS-CoV-2, in individuals 5 years of age and older.</w:t>
      </w:r>
      <w:bookmarkStart w:id="19" w:name="_Ref90999008"/>
      <w:r w:rsidRPr="000349EF">
        <w:rPr>
          <w:rStyle w:val="FootnoteReference"/>
        </w:rPr>
        <w:footnoteReference w:id="15"/>
      </w:r>
      <w:bookmarkEnd w:id="19"/>
      <w:r w:rsidRPr="000349EF">
        <w:rPr>
          <w:vertAlign w:val="superscript"/>
        </w:rPr>
        <w:t>,</w:t>
      </w:r>
      <w:bookmarkStart w:id="20" w:name="_Ref113942560"/>
      <w:r w:rsidRPr="000349EF">
        <w:rPr>
          <w:rStyle w:val="FootnoteReference"/>
        </w:rPr>
        <w:footnoteReference w:id="16"/>
      </w:r>
      <w:bookmarkEnd w:id="20"/>
      <w:r w:rsidRPr="000349EF">
        <w:rPr>
          <w:vertAlign w:val="superscript"/>
        </w:rPr>
        <w:t>,</w:t>
      </w:r>
      <w:bookmarkStart w:id="21" w:name="_Ref113942563"/>
      <w:r w:rsidRPr="000349EF">
        <w:rPr>
          <w:rStyle w:val="FootnoteReference"/>
        </w:rPr>
        <w:footnoteReference w:id="17"/>
      </w:r>
      <w:bookmarkEnd w:id="21"/>
      <w:r w:rsidRPr="000349EF">
        <w:rPr>
          <w:vertAlign w:val="superscript"/>
        </w:rPr>
        <w:t>,</w:t>
      </w:r>
      <w:bookmarkStart w:id="22" w:name="_Ref114360579"/>
      <w:bookmarkStart w:id="23" w:name="_Ref113942566"/>
      <w:r w:rsidR="00C53332">
        <w:rPr>
          <w:rStyle w:val="FootnoteReference"/>
        </w:rPr>
        <w:footnoteReference w:id="18"/>
      </w:r>
      <w:bookmarkEnd w:id="22"/>
      <w:r w:rsidR="00C53332">
        <w:rPr>
          <w:vertAlign w:val="superscript"/>
        </w:rPr>
        <w:t>,</w:t>
      </w:r>
      <w:bookmarkStart w:id="24" w:name="_Ref114360726"/>
      <w:r w:rsidRPr="000349EF">
        <w:rPr>
          <w:rStyle w:val="FootnoteReference"/>
        </w:rPr>
        <w:footnoteReference w:id="19"/>
      </w:r>
      <w:bookmarkEnd w:id="23"/>
      <w:bookmarkEnd w:id="24"/>
      <w:r w:rsidR="00F125CA">
        <w:rPr>
          <w:vertAlign w:val="superscript"/>
        </w:rPr>
        <w:t>,</w:t>
      </w:r>
      <w:bookmarkStart w:id="25" w:name="_Ref114361103"/>
      <w:r w:rsidR="00F125CA">
        <w:rPr>
          <w:rStyle w:val="FootnoteReference"/>
        </w:rPr>
        <w:footnoteReference w:id="20"/>
      </w:r>
      <w:bookmarkEnd w:id="25"/>
      <w:r w:rsidR="00F125CA">
        <w:rPr>
          <w:vertAlign w:val="superscript"/>
        </w:rPr>
        <w:t>,</w:t>
      </w:r>
      <w:bookmarkStart w:id="26" w:name="_Ref114361701"/>
      <w:r w:rsidR="00F125CA">
        <w:rPr>
          <w:rStyle w:val="FootnoteReference"/>
        </w:rPr>
        <w:footnoteReference w:id="21"/>
      </w:r>
      <w:bookmarkEnd w:id="26"/>
    </w:p>
    <w:p w14:paraId="07AC818A" w14:textId="77777777" w:rsidR="00956BE5" w:rsidRPr="000349EF" w:rsidRDefault="00956BE5" w:rsidP="00956BE5">
      <w:pPr>
        <w:pStyle w:val="ListBullet2"/>
        <w:numPr>
          <w:ilvl w:val="1"/>
          <w:numId w:val="3"/>
        </w:numPr>
      </w:pPr>
      <w:r w:rsidRPr="000349EF">
        <w:t xml:space="preserve">COVID-19 Vaccine AstraZeneca (ChAdOx1-S), an adenoviral vectored vaccine, </w:t>
      </w:r>
      <w:r>
        <w:t xml:space="preserve">is </w:t>
      </w:r>
      <w:r w:rsidRPr="000349EF">
        <w:t>provisionally approved for active immunisation to prevent COVID-19 caused by SARS-CoV-2, in individuals 18 years of age and older.</w:t>
      </w:r>
      <w:r w:rsidRPr="000349EF">
        <w:rPr>
          <w:rStyle w:val="FootnoteReference"/>
        </w:rPr>
        <w:footnoteReference w:id="22"/>
      </w:r>
      <w:r w:rsidRPr="000349EF">
        <w:rPr>
          <w:vertAlign w:val="superscript"/>
        </w:rPr>
        <w:t>,</w:t>
      </w:r>
      <w:r w:rsidRPr="000349EF">
        <w:rPr>
          <w:rStyle w:val="FootnoteReference"/>
        </w:rPr>
        <w:footnoteReference w:id="23"/>
      </w:r>
    </w:p>
    <w:p w14:paraId="7FF239A9" w14:textId="77777777" w:rsidR="00956BE5" w:rsidRPr="000349EF" w:rsidRDefault="00956BE5" w:rsidP="00956BE5">
      <w:pPr>
        <w:pStyle w:val="ListBullet2"/>
        <w:numPr>
          <w:ilvl w:val="1"/>
          <w:numId w:val="3"/>
        </w:numPr>
      </w:pPr>
      <w:r w:rsidRPr="000349EF">
        <w:t>COVID-19 Vaccine Janssen (Ad26.COV</w:t>
      </w:r>
      <w:proofErr w:type="gramStart"/>
      <w:r w:rsidRPr="000349EF">
        <w:t>2.S</w:t>
      </w:r>
      <w:proofErr w:type="gramEnd"/>
      <w:r w:rsidRPr="000349EF">
        <w:t xml:space="preserve">), an adenoviral vectored vaccine, </w:t>
      </w:r>
      <w:r>
        <w:t xml:space="preserve">is </w:t>
      </w:r>
      <w:r w:rsidRPr="000349EF">
        <w:t>provisionally approved for active immunisation to prevent COVID-19 caused by SARS-CoV-2, in individuals 18 years of age and older.</w:t>
      </w:r>
      <w:r w:rsidRPr="000349EF">
        <w:rPr>
          <w:rStyle w:val="FootnoteReference"/>
        </w:rPr>
        <w:footnoteReference w:id="24"/>
      </w:r>
      <w:r w:rsidRPr="000349EF">
        <w:rPr>
          <w:vertAlign w:val="superscript"/>
        </w:rPr>
        <w:t>,</w:t>
      </w:r>
      <w:r w:rsidRPr="000349EF">
        <w:rPr>
          <w:rStyle w:val="FootnoteReference"/>
        </w:rPr>
        <w:footnoteReference w:id="25"/>
      </w:r>
    </w:p>
    <w:p w14:paraId="0A9B00E2" w14:textId="0B91F269" w:rsidR="00956BE5" w:rsidRPr="00956BE5" w:rsidRDefault="00956BE5" w:rsidP="00956BE5">
      <w:pPr>
        <w:pStyle w:val="ListBullet2"/>
        <w:numPr>
          <w:ilvl w:val="1"/>
          <w:numId w:val="3"/>
        </w:numPr>
      </w:pPr>
      <w:proofErr w:type="spellStart"/>
      <w:r w:rsidRPr="000349EF">
        <w:t>Spikevax</w:t>
      </w:r>
      <w:proofErr w:type="spellEnd"/>
      <w:r w:rsidRPr="000349EF">
        <w:t xml:space="preserve"> (</w:t>
      </w:r>
      <w:proofErr w:type="spellStart"/>
      <w:r w:rsidRPr="000349EF">
        <w:t>elasomeran</w:t>
      </w:r>
      <w:proofErr w:type="spellEnd"/>
      <w:r w:rsidRPr="000349EF">
        <w:t xml:space="preserve">) COVID-19 vaccine, </w:t>
      </w:r>
      <w:r>
        <w:t xml:space="preserve">also known as </w:t>
      </w:r>
      <w:r w:rsidRPr="000349EF">
        <w:t xml:space="preserve">the Moderna </w:t>
      </w:r>
      <w:r>
        <w:t>(</w:t>
      </w:r>
      <w:r w:rsidRPr="000349EF">
        <w:t>mRNA</w:t>
      </w:r>
      <w:r>
        <w:t>)</w:t>
      </w:r>
      <w:r w:rsidRPr="000349EF">
        <w:t xml:space="preserve"> vaccine</w:t>
      </w:r>
      <w:r>
        <w:t xml:space="preserve">, is </w:t>
      </w:r>
      <w:r w:rsidRPr="000349EF">
        <w:t xml:space="preserve">provisionally approved for active immunisation to prevent COVID-19 caused by SARS-CoV-2, in individuals </w:t>
      </w:r>
      <w:r>
        <w:t>6</w:t>
      </w:r>
      <w:r w:rsidRPr="000349EF">
        <w:t xml:space="preserve"> </w:t>
      </w:r>
      <w:r>
        <w:t>months</w:t>
      </w:r>
      <w:r w:rsidRPr="000349EF">
        <w:t xml:space="preserve"> of age and older.</w:t>
      </w:r>
      <w:bookmarkStart w:id="27" w:name="_Ref112227487"/>
      <w:r w:rsidRPr="000349EF">
        <w:rPr>
          <w:rStyle w:val="FootnoteReference"/>
        </w:rPr>
        <w:footnoteReference w:id="26"/>
      </w:r>
      <w:bookmarkEnd w:id="27"/>
      <w:r w:rsidRPr="000349EF">
        <w:rPr>
          <w:vertAlign w:val="superscript"/>
        </w:rPr>
        <w:t>,</w:t>
      </w:r>
      <w:bookmarkStart w:id="28" w:name="_Ref112227490"/>
      <w:r w:rsidRPr="000349EF">
        <w:rPr>
          <w:rStyle w:val="FootnoteReference"/>
        </w:rPr>
        <w:footnoteReference w:id="27"/>
      </w:r>
      <w:bookmarkEnd w:id="28"/>
      <w:r w:rsidRPr="000349EF">
        <w:rPr>
          <w:vertAlign w:val="superscript"/>
        </w:rPr>
        <w:t>,</w:t>
      </w:r>
      <w:bookmarkStart w:id="29" w:name="_Ref112227498"/>
      <w:r w:rsidRPr="000349EF">
        <w:rPr>
          <w:rStyle w:val="FootnoteReference"/>
        </w:rPr>
        <w:footnoteReference w:id="28"/>
      </w:r>
      <w:bookmarkEnd w:id="29"/>
      <w:r>
        <w:rPr>
          <w:vertAlign w:val="superscript"/>
        </w:rPr>
        <w:t>,</w:t>
      </w:r>
      <w:bookmarkStart w:id="30" w:name="_Ref112227501"/>
      <w:r>
        <w:rPr>
          <w:rStyle w:val="FootnoteReference"/>
        </w:rPr>
        <w:footnoteReference w:id="29"/>
      </w:r>
      <w:bookmarkEnd w:id="30"/>
      <w:r>
        <w:rPr>
          <w:vertAlign w:val="superscript"/>
        </w:rPr>
        <w:t>,</w:t>
      </w:r>
      <w:bookmarkStart w:id="31" w:name="_Ref112227504"/>
      <w:r>
        <w:rPr>
          <w:rStyle w:val="FootnoteReference"/>
        </w:rPr>
        <w:footnoteReference w:id="30"/>
      </w:r>
      <w:bookmarkEnd w:id="31"/>
    </w:p>
    <w:p w14:paraId="790D5067" w14:textId="5FCED136" w:rsidR="00956BE5" w:rsidRPr="00A646B0" w:rsidRDefault="00956BE5" w:rsidP="00956BE5">
      <w:pPr>
        <w:pStyle w:val="ListBullet2"/>
      </w:pPr>
      <w:proofErr w:type="spellStart"/>
      <w:r w:rsidRPr="00956BE5">
        <w:t>Spikevax</w:t>
      </w:r>
      <w:proofErr w:type="spellEnd"/>
      <w:r w:rsidRPr="00956BE5">
        <w:t xml:space="preserve"> Bivalent Original/Omicron COVID-19 Vaccine (</w:t>
      </w:r>
      <w:proofErr w:type="spellStart"/>
      <w:r w:rsidRPr="00956BE5">
        <w:t>elasomeran</w:t>
      </w:r>
      <w:proofErr w:type="spellEnd"/>
      <w:r w:rsidRPr="00956BE5">
        <w:t xml:space="preserve"> and </w:t>
      </w:r>
      <w:proofErr w:type="spellStart"/>
      <w:r w:rsidRPr="00956BE5">
        <w:t>imelasomeran</w:t>
      </w:r>
      <w:proofErr w:type="spellEnd"/>
      <w:r w:rsidRPr="00956BE5">
        <w:t>)</w:t>
      </w:r>
      <w:r>
        <w:t xml:space="preserve">, is </w:t>
      </w:r>
      <w:r w:rsidR="003100E2" w:rsidRPr="00456C48">
        <w:t>provisional</w:t>
      </w:r>
      <w:r w:rsidR="00984A13">
        <w:t>ly</w:t>
      </w:r>
      <w:r>
        <w:t xml:space="preserve"> approved a</w:t>
      </w:r>
      <w:r w:rsidRPr="00956BE5">
        <w:t>s a booster dose for active immunisation to prevent coronavirus disease 2019 (COVID-19) caused by SARS-CoV-2 in individuals 18 years of age and older.</w:t>
      </w:r>
      <w:r w:rsidR="00AB13E5">
        <w:rPr>
          <w:rStyle w:val="FootnoteReference"/>
        </w:rPr>
        <w:footnoteReference w:id="31"/>
      </w:r>
    </w:p>
    <w:p w14:paraId="0264336F" w14:textId="53E395C9" w:rsidR="00F328E8" w:rsidRPr="00954E3E" w:rsidRDefault="00956BE5" w:rsidP="00F328E8">
      <w:pPr>
        <w:pStyle w:val="ListBullet2"/>
        <w:numPr>
          <w:ilvl w:val="1"/>
          <w:numId w:val="3"/>
        </w:numPr>
      </w:pPr>
      <w:proofErr w:type="spellStart"/>
      <w:r w:rsidRPr="00A646B0">
        <w:t>Nuvaxovid</w:t>
      </w:r>
      <w:proofErr w:type="spellEnd"/>
      <w:r w:rsidRPr="00A646B0">
        <w:t xml:space="preserve"> (</w:t>
      </w:r>
      <w:r w:rsidRPr="001031B5">
        <w:t>SARS-CoV-2 recombinant spike</w:t>
      </w:r>
      <w:r>
        <w:t xml:space="preserve"> protein</w:t>
      </w:r>
      <w:r w:rsidRPr="001031B5">
        <w:t xml:space="preserve"> with Matrix-M adjuvant</w:t>
      </w:r>
      <w:r w:rsidRPr="00A646B0">
        <w:t>)</w:t>
      </w:r>
      <w:r>
        <w:t xml:space="preserve"> </w:t>
      </w:r>
      <w:r w:rsidRPr="00A646B0">
        <w:t>COVID-19 vaccine</w:t>
      </w:r>
      <w:r>
        <w:t xml:space="preserve">, also known as the </w:t>
      </w:r>
      <w:r w:rsidRPr="00A646B0">
        <w:t>Novavax</w:t>
      </w:r>
      <w:r>
        <w:t xml:space="preserve"> </w:t>
      </w:r>
      <w:r w:rsidRPr="001031B5">
        <w:t>recombinant spike protein vaccine</w:t>
      </w:r>
      <w:r>
        <w:t xml:space="preserve">, </w:t>
      </w:r>
      <w:r>
        <w:lastRenderedPageBreak/>
        <w:t>is provisionally approved for a</w:t>
      </w:r>
      <w:r w:rsidRPr="00A646B0">
        <w:t>ctive immunisation to prevent COVID-19 caused by SARS-CoV-2 in individuals 1</w:t>
      </w:r>
      <w:r>
        <w:t>2</w:t>
      </w:r>
      <w:r w:rsidRPr="00A646B0">
        <w:t xml:space="preserve"> years of age and older</w:t>
      </w:r>
      <w:r>
        <w:t>.</w:t>
      </w:r>
      <w:r w:rsidRPr="001031B5">
        <w:rPr>
          <w:rStyle w:val="FootnoteReference"/>
        </w:rPr>
        <w:footnoteReference w:id="32"/>
      </w:r>
      <w:r w:rsidRPr="001031B5">
        <w:rPr>
          <w:vertAlign w:val="superscript"/>
        </w:rPr>
        <w:t>,</w:t>
      </w:r>
      <w:r w:rsidRPr="001031B5">
        <w:rPr>
          <w:rStyle w:val="FootnoteReference"/>
        </w:rPr>
        <w:footnoteReference w:id="33"/>
      </w:r>
      <w:r>
        <w:rPr>
          <w:vertAlign w:val="superscript"/>
        </w:rPr>
        <w:t>,</w:t>
      </w:r>
      <w:r>
        <w:rPr>
          <w:rStyle w:val="FootnoteReference"/>
        </w:rPr>
        <w:footnoteReference w:id="34"/>
      </w:r>
    </w:p>
    <w:p w14:paraId="6BE0DAC0" w14:textId="77777777" w:rsidR="008E7846" w:rsidRPr="003F31A2" w:rsidRDefault="00386150" w:rsidP="008E7846">
      <w:pPr>
        <w:pStyle w:val="Heading3"/>
      </w:pPr>
      <w:bookmarkStart w:id="32" w:name="_Toc116380306"/>
      <w:r>
        <w:t>Regulatory s</w:t>
      </w:r>
      <w:r w:rsidR="008E7846">
        <w:t>tatus</w:t>
      </w:r>
      <w:bookmarkEnd w:id="12"/>
      <w:bookmarkEnd w:id="13"/>
      <w:bookmarkEnd w:id="32"/>
    </w:p>
    <w:p w14:paraId="5C7BC9E9" w14:textId="01D8F5B4" w:rsidR="00332715" w:rsidRDefault="00332715" w:rsidP="00332715">
      <w:bookmarkStart w:id="33" w:name="_Toc247691505"/>
      <w:bookmarkStart w:id="34" w:name="_Toc314842486"/>
      <w:r>
        <w:t xml:space="preserve">The product received initial </w:t>
      </w:r>
      <w:r w:rsidR="007C2E89">
        <w:t xml:space="preserve">provisional </w:t>
      </w:r>
      <w:r>
        <w:t>registration on the Australian Register</w:t>
      </w:r>
      <w:r w:rsidR="007C2E89">
        <w:t xml:space="preserve"> of Therapeutic Goods (ARTG) on 25 January 2021</w:t>
      </w:r>
      <w:r w:rsidR="00C53332">
        <w:t>;</w:t>
      </w:r>
      <w:r w:rsidR="00C53332" w:rsidRPr="00C53332">
        <w:rPr>
          <w:vertAlign w:val="superscript"/>
        </w:rPr>
        <w:fldChar w:fldCharType="begin"/>
      </w:r>
      <w:r w:rsidR="00C53332" w:rsidRPr="00C53332">
        <w:rPr>
          <w:vertAlign w:val="superscript"/>
        </w:rPr>
        <w:instrText xml:space="preserve"> NOTEREF _Ref90999008 \h </w:instrText>
      </w:r>
      <w:r w:rsidR="00C53332">
        <w:rPr>
          <w:vertAlign w:val="superscript"/>
        </w:rPr>
        <w:instrText xml:space="preserve"> \* MERGEFORMAT </w:instrText>
      </w:r>
      <w:r w:rsidR="00C53332" w:rsidRPr="00C53332">
        <w:rPr>
          <w:vertAlign w:val="superscript"/>
        </w:rPr>
      </w:r>
      <w:r w:rsidR="00C53332" w:rsidRPr="00C53332">
        <w:rPr>
          <w:vertAlign w:val="superscript"/>
        </w:rPr>
        <w:fldChar w:fldCharType="separate"/>
      </w:r>
      <w:r w:rsidR="00145C93">
        <w:rPr>
          <w:vertAlign w:val="superscript"/>
        </w:rPr>
        <w:t>15</w:t>
      </w:r>
      <w:r w:rsidR="00C53332" w:rsidRPr="00C53332">
        <w:rPr>
          <w:vertAlign w:val="superscript"/>
        </w:rPr>
        <w:fldChar w:fldCharType="end"/>
      </w:r>
      <w:r w:rsidR="00C53332" w:rsidRPr="00C53332">
        <w:rPr>
          <w:vertAlign w:val="superscript"/>
        </w:rPr>
        <w:t>,</w:t>
      </w:r>
      <w:r w:rsidR="00C53332" w:rsidRPr="00C53332">
        <w:rPr>
          <w:vertAlign w:val="superscript"/>
        </w:rPr>
        <w:fldChar w:fldCharType="begin"/>
      </w:r>
      <w:r w:rsidR="00C53332" w:rsidRPr="00C53332">
        <w:rPr>
          <w:vertAlign w:val="superscript"/>
        </w:rPr>
        <w:instrText xml:space="preserve"> NOTEREF _Ref113942560 \h </w:instrText>
      </w:r>
      <w:r w:rsidR="00C53332">
        <w:rPr>
          <w:vertAlign w:val="superscript"/>
        </w:rPr>
        <w:instrText xml:space="preserve"> \* MERGEFORMAT </w:instrText>
      </w:r>
      <w:r w:rsidR="00C53332" w:rsidRPr="00C53332">
        <w:rPr>
          <w:vertAlign w:val="superscript"/>
        </w:rPr>
      </w:r>
      <w:r w:rsidR="00C53332" w:rsidRPr="00C53332">
        <w:rPr>
          <w:vertAlign w:val="superscript"/>
        </w:rPr>
        <w:fldChar w:fldCharType="separate"/>
      </w:r>
      <w:r w:rsidR="00145C93">
        <w:rPr>
          <w:vertAlign w:val="superscript"/>
        </w:rPr>
        <w:t>16</w:t>
      </w:r>
      <w:r w:rsidR="00C53332" w:rsidRPr="00C53332">
        <w:rPr>
          <w:vertAlign w:val="superscript"/>
        </w:rPr>
        <w:fldChar w:fldCharType="end"/>
      </w:r>
      <w:r w:rsidR="007C2E89">
        <w:t xml:space="preserve"> for the following indication:</w:t>
      </w:r>
    </w:p>
    <w:p w14:paraId="6D0C9DBE" w14:textId="74D344BA" w:rsidR="007C2E89" w:rsidRDefault="007C2E89" w:rsidP="007A3875">
      <w:pPr>
        <w:ind w:left="720"/>
        <w:rPr>
          <w:i/>
          <w:iCs/>
        </w:rPr>
      </w:pPr>
      <w:r>
        <w:rPr>
          <w:i/>
          <w:iCs/>
        </w:rPr>
        <w:t>Active immunisation to prevent coronavirus disease 2019 (COVID-19) caused by SARS-CoV-2, in indivi</w:t>
      </w:r>
      <w:r w:rsidR="004958BF">
        <w:rPr>
          <w:i/>
          <w:iCs/>
        </w:rPr>
        <w:t>duals 16 years of age and older.</w:t>
      </w:r>
    </w:p>
    <w:p w14:paraId="68008EC0" w14:textId="75679618" w:rsidR="004958BF" w:rsidRDefault="004958BF" w:rsidP="00332715">
      <w:r>
        <w:t>Over time</w:t>
      </w:r>
      <w:r w:rsidR="00EF77A5">
        <w:t>,</w:t>
      </w:r>
      <w:r>
        <w:t xml:space="preserve"> the initial provisional registration has been expanded to include a wider population (specifically children and adolescents) and to include booster vaccine doses. A chronological history of the regulatory s</w:t>
      </w:r>
      <w:r w:rsidR="00862972">
        <w:t xml:space="preserve">tatus of Comirnaty is shown in </w:t>
      </w:r>
      <w:r w:rsidR="00862972">
        <w:fldChar w:fldCharType="begin"/>
      </w:r>
      <w:r w:rsidR="00862972">
        <w:instrText xml:space="preserve"> REF _Ref113775645 \h </w:instrText>
      </w:r>
      <w:r w:rsidR="00862972">
        <w:fldChar w:fldCharType="separate"/>
      </w:r>
      <w:r w:rsidR="00145C93">
        <w:t xml:space="preserve">Table </w:t>
      </w:r>
      <w:r w:rsidR="00145C93">
        <w:rPr>
          <w:noProof/>
        </w:rPr>
        <w:t>4</w:t>
      </w:r>
      <w:r w:rsidR="00145C93">
        <w:t>: Regulatory history of Comirnaty in Australia</w:t>
      </w:r>
      <w:r w:rsidR="00862972">
        <w:fldChar w:fldCharType="end"/>
      </w:r>
    </w:p>
    <w:p w14:paraId="14572A8F" w14:textId="165E3F86" w:rsidR="00386623" w:rsidRDefault="00386623" w:rsidP="00386623">
      <w:pPr>
        <w:pStyle w:val="Tabletitle0"/>
      </w:pPr>
      <w:bookmarkStart w:id="35" w:name="_Ref113775645"/>
      <w:r>
        <w:t xml:space="preserve">Table </w:t>
      </w:r>
      <w:r w:rsidR="00582372">
        <w:fldChar w:fldCharType="begin"/>
      </w:r>
      <w:r w:rsidR="00582372">
        <w:instrText xml:space="preserve"> SEQ Table \* ARABIC </w:instrText>
      </w:r>
      <w:r w:rsidR="00582372">
        <w:fldChar w:fldCharType="separate"/>
      </w:r>
      <w:r w:rsidR="00145C93">
        <w:rPr>
          <w:noProof/>
        </w:rPr>
        <w:t>4</w:t>
      </w:r>
      <w:r w:rsidR="00582372">
        <w:rPr>
          <w:noProof/>
        </w:rPr>
        <w:fldChar w:fldCharType="end"/>
      </w:r>
      <w:r>
        <w:t>: Regulatory history of Comirnaty in Australia</w:t>
      </w:r>
      <w:bookmarkEnd w:id="35"/>
    </w:p>
    <w:tbl>
      <w:tblPr>
        <w:tblStyle w:val="TableTGAblue"/>
        <w:tblW w:w="0" w:type="auto"/>
        <w:tblLook w:val="04A0" w:firstRow="1" w:lastRow="0" w:firstColumn="1" w:lastColumn="0" w:noHBand="0" w:noVBand="1"/>
      </w:tblPr>
      <w:tblGrid>
        <w:gridCol w:w="2240"/>
        <w:gridCol w:w="6215"/>
      </w:tblGrid>
      <w:tr w:rsidR="004958BF" w14:paraId="55DBC252" w14:textId="77777777" w:rsidTr="00862972">
        <w:trPr>
          <w:cnfStyle w:val="100000000000" w:firstRow="1" w:lastRow="0" w:firstColumn="0" w:lastColumn="0" w:oddVBand="0" w:evenVBand="0" w:oddHBand="0" w:evenHBand="0" w:firstRowFirstColumn="0" w:firstRowLastColumn="0" w:lastRowFirstColumn="0" w:lastRowLastColumn="0"/>
        </w:trPr>
        <w:tc>
          <w:tcPr>
            <w:tcW w:w="2240" w:type="dxa"/>
          </w:tcPr>
          <w:p w14:paraId="7F055F9E" w14:textId="0C8E91D4" w:rsidR="004958BF" w:rsidRDefault="004958BF" w:rsidP="00332715">
            <w:r>
              <w:t>Date</w:t>
            </w:r>
          </w:p>
        </w:tc>
        <w:tc>
          <w:tcPr>
            <w:tcW w:w="6215" w:type="dxa"/>
          </w:tcPr>
          <w:p w14:paraId="0C3227D6" w14:textId="6ECBE27A" w:rsidR="004958BF" w:rsidRDefault="00386623" w:rsidP="00EF77A5">
            <w:r>
              <w:t xml:space="preserve">Regulatory </w:t>
            </w:r>
            <w:r w:rsidR="00EF77A5">
              <w:t>changes</w:t>
            </w:r>
          </w:p>
        </w:tc>
      </w:tr>
      <w:tr w:rsidR="004958BF" w14:paraId="4F858037" w14:textId="77777777" w:rsidTr="00862972">
        <w:tc>
          <w:tcPr>
            <w:tcW w:w="2240" w:type="dxa"/>
          </w:tcPr>
          <w:p w14:paraId="604B45B4" w14:textId="493E6415" w:rsidR="004958BF" w:rsidRDefault="004958BF" w:rsidP="00332715">
            <w:r>
              <w:t>25 January 2021</w:t>
            </w:r>
          </w:p>
        </w:tc>
        <w:tc>
          <w:tcPr>
            <w:tcW w:w="6215" w:type="dxa"/>
          </w:tcPr>
          <w:p w14:paraId="63F5803C" w14:textId="77777777" w:rsidR="004958BF" w:rsidRDefault="004958BF" w:rsidP="00332715">
            <w:r>
              <w:t>Initial provisional registration.</w:t>
            </w:r>
          </w:p>
          <w:p w14:paraId="42BDE9B3" w14:textId="4F1520EC" w:rsidR="004958BF" w:rsidRDefault="004958BF" w:rsidP="00332715">
            <w:r>
              <w:t>Primary series, for active immunisation for individuals aged 16 years and over</w:t>
            </w:r>
            <w:r w:rsidR="00C53332">
              <w:t>.</w:t>
            </w:r>
            <w:r w:rsidR="00C53332" w:rsidRPr="00C53332">
              <w:rPr>
                <w:vertAlign w:val="superscript"/>
              </w:rPr>
              <w:fldChar w:fldCharType="begin"/>
            </w:r>
            <w:r w:rsidR="00C53332" w:rsidRPr="00C53332">
              <w:rPr>
                <w:vertAlign w:val="superscript"/>
              </w:rPr>
              <w:instrText xml:space="preserve"> NOTEREF _Ref90999008 \h </w:instrText>
            </w:r>
            <w:r w:rsidR="00C53332">
              <w:rPr>
                <w:vertAlign w:val="superscript"/>
              </w:rPr>
              <w:instrText xml:space="preserve"> \* MERGEFORMAT </w:instrText>
            </w:r>
            <w:r w:rsidR="00C53332" w:rsidRPr="00C53332">
              <w:rPr>
                <w:vertAlign w:val="superscript"/>
              </w:rPr>
            </w:r>
            <w:r w:rsidR="00C53332" w:rsidRPr="00C53332">
              <w:rPr>
                <w:vertAlign w:val="superscript"/>
              </w:rPr>
              <w:fldChar w:fldCharType="separate"/>
            </w:r>
            <w:r w:rsidR="00145C93">
              <w:rPr>
                <w:vertAlign w:val="superscript"/>
              </w:rPr>
              <w:t>15</w:t>
            </w:r>
            <w:r w:rsidR="00C53332" w:rsidRPr="00C53332">
              <w:rPr>
                <w:vertAlign w:val="superscript"/>
              </w:rPr>
              <w:fldChar w:fldCharType="end"/>
            </w:r>
            <w:r w:rsidR="00C53332" w:rsidRPr="00C53332">
              <w:rPr>
                <w:vertAlign w:val="superscript"/>
              </w:rPr>
              <w:t>,</w:t>
            </w:r>
            <w:r w:rsidR="00C53332" w:rsidRPr="00C53332">
              <w:rPr>
                <w:vertAlign w:val="superscript"/>
              </w:rPr>
              <w:fldChar w:fldCharType="begin"/>
            </w:r>
            <w:r w:rsidR="00C53332" w:rsidRPr="00C53332">
              <w:rPr>
                <w:vertAlign w:val="superscript"/>
              </w:rPr>
              <w:instrText xml:space="preserve"> NOTEREF _Ref113942560 \h </w:instrText>
            </w:r>
            <w:r w:rsidR="00C53332">
              <w:rPr>
                <w:vertAlign w:val="superscript"/>
              </w:rPr>
              <w:instrText xml:space="preserve"> \* MERGEFORMAT </w:instrText>
            </w:r>
            <w:r w:rsidR="00C53332" w:rsidRPr="00C53332">
              <w:rPr>
                <w:vertAlign w:val="superscript"/>
              </w:rPr>
            </w:r>
            <w:r w:rsidR="00C53332" w:rsidRPr="00C53332">
              <w:rPr>
                <w:vertAlign w:val="superscript"/>
              </w:rPr>
              <w:fldChar w:fldCharType="separate"/>
            </w:r>
            <w:r w:rsidR="00145C93">
              <w:rPr>
                <w:vertAlign w:val="superscript"/>
              </w:rPr>
              <w:t>16</w:t>
            </w:r>
            <w:r w:rsidR="00C53332" w:rsidRPr="00C53332">
              <w:rPr>
                <w:vertAlign w:val="superscript"/>
              </w:rPr>
              <w:fldChar w:fldCharType="end"/>
            </w:r>
          </w:p>
        </w:tc>
      </w:tr>
      <w:tr w:rsidR="004958BF" w14:paraId="29600D49" w14:textId="77777777" w:rsidTr="00862972">
        <w:tc>
          <w:tcPr>
            <w:tcW w:w="2240" w:type="dxa"/>
          </w:tcPr>
          <w:p w14:paraId="4F94A78E" w14:textId="35147E27" w:rsidR="004958BF" w:rsidRDefault="004958BF" w:rsidP="00332715">
            <w:r>
              <w:t>22 July 2021</w:t>
            </w:r>
          </w:p>
        </w:tc>
        <w:tc>
          <w:tcPr>
            <w:tcW w:w="6215" w:type="dxa"/>
          </w:tcPr>
          <w:p w14:paraId="7001E772" w14:textId="77777777" w:rsidR="004958BF" w:rsidRDefault="004958BF" w:rsidP="00332715">
            <w:r>
              <w:t>Extension of provisional registration.</w:t>
            </w:r>
          </w:p>
          <w:p w14:paraId="14ECC9CE" w14:textId="32F0209F" w:rsidR="004958BF" w:rsidRDefault="004958BF" w:rsidP="00332715">
            <w:r>
              <w:t>Primary series, for active immunisation for individuals aged 12 years and over</w:t>
            </w:r>
            <w:r w:rsidR="00C53332">
              <w:t>.</w:t>
            </w:r>
            <w:r w:rsidR="00C53332" w:rsidRPr="00C53332">
              <w:rPr>
                <w:vertAlign w:val="superscript"/>
              </w:rPr>
              <w:fldChar w:fldCharType="begin"/>
            </w:r>
            <w:r w:rsidR="00C53332" w:rsidRPr="00C53332">
              <w:rPr>
                <w:vertAlign w:val="superscript"/>
              </w:rPr>
              <w:instrText xml:space="preserve"> NOTEREF _Ref113942563 \h </w:instrText>
            </w:r>
            <w:r w:rsidR="00C53332">
              <w:rPr>
                <w:vertAlign w:val="superscript"/>
              </w:rPr>
              <w:instrText xml:space="preserve"> \* MERGEFORMAT </w:instrText>
            </w:r>
            <w:r w:rsidR="00C53332" w:rsidRPr="00C53332">
              <w:rPr>
                <w:vertAlign w:val="superscript"/>
              </w:rPr>
            </w:r>
            <w:r w:rsidR="00C53332" w:rsidRPr="00C53332">
              <w:rPr>
                <w:vertAlign w:val="superscript"/>
              </w:rPr>
              <w:fldChar w:fldCharType="separate"/>
            </w:r>
            <w:r w:rsidR="00145C93">
              <w:rPr>
                <w:vertAlign w:val="superscript"/>
              </w:rPr>
              <w:t>17</w:t>
            </w:r>
            <w:r w:rsidR="00C53332" w:rsidRPr="00C53332">
              <w:rPr>
                <w:vertAlign w:val="superscript"/>
              </w:rPr>
              <w:fldChar w:fldCharType="end"/>
            </w:r>
          </w:p>
        </w:tc>
      </w:tr>
      <w:tr w:rsidR="004958BF" w14:paraId="59D6497C" w14:textId="77777777" w:rsidTr="00862972">
        <w:tc>
          <w:tcPr>
            <w:tcW w:w="2240" w:type="dxa"/>
          </w:tcPr>
          <w:p w14:paraId="64EA6AA1" w14:textId="3599870C" w:rsidR="004958BF" w:rsidRDefault="004958BF" w:rsidP="00332715">
            <w:r>
              <w:t>26 October 2021</w:t>
            </w:r>
          </w:p>
        </w:tc>
        <w:tc>
          <w:tcPr>
            <w:tcW w:w="6215" w:type="dxa"/>
          </w:tcPr>
          <w:p w14:paraId="5D557DBE" w14:textId="77777777" w:rsidR="00386623" w:rsidRDefault="00386623" w:rsidP="00386623">
            <w:r>
              <w:t>Extension of provisional registration.</w:t>
            </w:r>
          </w:p>
          <w:p w14:paraId="10099CC6" w14:textId="0BE9C5AD" w:rsidR="004958BF" w:rsidRDefault="00386623" w:rsidP="00C53332">
            <w:r>
              <w:t>Booster dose, for active immunisation for individuals aged 18 years and over, following previous immunisation</w:t>
            </w:r>
            <w:r w:rsidR="00C53332">
              <w:t>.</w:t>
            </w:r>
            <w:r w:rsidR="00F125CA" w:rsidRPr="00C53332">
              <w:rPr>
                <w:vertAlign w:val="superscript"/>
              </w:rPr>
              <w:fldChar w:fldCharType="begin"/>
            </w:r>
            <w:r w:rsidR="00F125CA" w:rsidRPr="00C53332">
              <w:rPr>
                <w:vertAlign w:val="superscript"/>
              </w:rPr>
              <w:instrText xml:space="preserve"> NOTEREF _Ref113942566 \h </w:instrText>
            </w:r>
            <w:r w:rsidR="00F125CA">
              <w:rPr>
                <w:vertAlign w:val="superscript"/>
              </w:rPr>
              <w:instrText xml:space="preserve"> \* MERGEFORMAT </w:instrText>
            </w:r>
            <w:r w:rsidR="00F125CA" w:rsidRPr="00C53332">
              <w:rPr>
                <w:vertAlign w:val="superscript"/>
              </w:rPr>
            </w:r>
            <w:r w:rsidR="00F125CA" w:rsidRPr="00C53332">
              <w:rPr>
                <w:vertAlign w:val="superscript"/>
              </w:rPr>
              <w:fldChar w:fldCharType="separate"/>
            </w:r>
            <w:r w:rsidR="00145C93">
              <w:rPr>
                <w:vertAlign w:val="superscript"/>
              </w:rPr>
              <w:t>18</w:t>
            </w:r>
            <w:r w:rsidR="00F125CA" w:rsidRPr="00C53332">
              <w:rPr>
                <w:vertAlign w:val="superscript"/>
              </w:rPr>
              <w:fldChar w:fldCharType="end"/>
            </w:r>
          </w:p>
        </w:tc>
      </w:tr>
      <w:tr w:rsidR="004958BF" w14:paraId="27816F55" w14:textId="77777777" w:rsidTr="00862972">
        <w:tc>
          <w:tcPr>
            <w:tcW w:w="2240" w:type="dxa"/>
          </w:tcPr>
          <w:p w14:paraId="0CCDF10B" w14:textId="3BF72F3C" w:rsidR="004958BF" w:rsidRDefault="004958BF" w:rsidP="00332715">
            <w:r>
              <w:t>3 December 2021</w:t>
            </w:r>
          </w:p>
        </w:tc>
        <w:tc>
          <w:tcPr>
            <w:tcW w:w="6215" w:type="dxa"/>
          </w:tcPr>
          <w:p w14:paraId="73196B48" w14:textId="169013E8" w:rsidR="00386623" w:rsidRDefault="00386623" w:rsidP="00386623">
            <w:r>
              <w:t>Extension of provisional registration.</w:t>
            </w:r>
          </w:p>
          <w:p w14:paraId="30586594" w14:textId="0B087C1E" w:rsidR="00EF77A5" w:rsidRDefault="00EF77A5" w:rsidP="00386623">
            <w:r>
              <w:t>Introduction of tris/sucrose-buffered formulation.</w:t>
            </w:r>
          </w:p>
          <w:p w14:paraId="53A4E20D" w14:textId="22567260" w:rsidR="004958BF" w:rsidRDefault="00386623" w:rsidP="00F125CA">
            <w:r>
              <w:t>Primary series, for active immunisation for individuals aged 5 years and over</w:t>
            </w:r>
            <w:r w:rsidR="00C53332">
              <w:t>.</w:t>
            </w:r>
            <w:r w:rsidR="00F125CA" w:rsidRPr="00F125CA">
              <w:rPr>
                <w:vertAlign w:val="superscript"/>
              </w:rPr>
              <w:fldChar w:fldCharType="begin"/>
            </w:r>
            <w:r w:rsidR="00F125CA" w:rsidRPr="00F125CA">
              <w:rPr>
                <w:vertAlign w:val="superscript"/>
              </w:rPr>
              <w:instrText xml:space="preserve"> NOTEREF _Ref114360726 \h </w:instrText>
            </w:r>
            <w:r w:rsidR="00F125CA">
              <w:rPr>
                <w:vertAlign w:val="superscript"/>
              </w:rPr>
              <w:instrText xml:space="preserve"> \* MERGEFORMAT </w:instrText>
            </w:r>
            <w:r w:rsidR="00F125CA" w:rsidRPr="00F125CA">
              <w:rPr>
                <w:vertAlign w:val="superscript"/>
              </w:rPr>
            </w:r>
            <w:r w:rsidR="00F125CA" w:rsidRPr="00F125CA">
              <w:rPr>
                <w:vertAlign w:val="superscript"/>
              </w:rPr>
              <w:fldChar w:fldCharType="separate"/>
            </w:r>
            <w:r w:rsidR="00145C93">
              <w:rPr>
                <w:vertAlign w:val="superscript"/>
              </w:rPr>
              <w:t>19</w:t>
            </w:r>
            <w:r w:rsidR="00F125CA" w:rsidRPr="00F125CA">
              <w:rPr>
                <w:vertAlign w:val="superscript"/>
              </w:rPr>
              <w:fldChar w:fldCharType="end"/>
            </w:r>
          </w:p>
        </w:tc>
      </w:tr>
      <w:tr w:rsidR="004958BF" w14:paraId="23DD315B" w14:textId="77777777" w:rsidTr="00862972">
        <w:tc>
          <w:tcPr>
            <w:tcW w:w="2240" w:type="dxa"/>
          </w:tcPr>
          <w:p w14:paraId="2B98C827" w14:textId="75481161" w:rsidR="004958BF" w:rsidRDefault="004958BF" w:rsidP="00332715">
            <w:r>
              <w:t>27 January 2022</w:t>
            </w:r>
          </w:p>
        </w:tc>
        <w:tc>
          <w:tcPr>
            <w:tcW w:w="6215" w:type="dxa"/>
          </w:tcPr>
          <w:p w14:paraId="23FC9343" w14:textId="77777777" w:rsidR="00386623" w:rsidRDefault="00386623" w:rsidP="00386623">
            <w:r>
              <w:t>Extension of provisional registration.</w:t>
            </w:r>
          </w:p>
          <w:p w14:paraId="1F434375" w14:textId="5149F6D4" w:rsidR="004958BF" w:rsidRDefault="00386623" w:rsidP="00386623">
            <w:r>
              <w:t>Booster dose, for active immunisation for individuals aged 16 and 17 years, following previous immunisation</w:t>
            </w:r>
            <w:r w:rsidR="00F125CA">
              <w:t>.</w:t>
            </w:r>
            <w:r w:rsidR="00F125CA" w:rsidRPr="00F125CA">
              <w:rPr>
                <w:vertAlign w:val="superscript"/>
              </w:rPr>
              <w:fldChar w:fldCharType="begin"/>
            </w:r>
            <w:r w:rsidR="00F125CA" w:rsidRPr="00F125CA">
              <w:rPr>
                <w:vertAlign w:val="superscript"/>
              </w:rPr>
              <w:instrText xml:space="preserve"> NOTEREF _Ref114361103 \h </w:instrText>
            </w:r>
            <w:r w:rsidR="00F125CA">
              <w:rPr>
                <w:vertAlign w:val="superscript"/>
              </w:rPr>
              <w:instrText xml:space="preserve"> \* MERGEFORMAT </w:instrText>
            </w:r>
            <w:r w:rsidR="00F125CA" w:rsidRPr="00F125CA">
              <w:rPr>
                <w:vertAlign w:val="superscript"/>
              </w:rPr>
            </w:r>
            <w:r w:rsidR="00F125CA" w:rsidRPr="00F125CA">
              <w:rPr>
                <w:vertAlign w:val="superscript"/>
              </w:rPr>
              <w:fldChar w:fldCharType="separate"/>
            </w:r>
            <w:r w:rsidR="00145C93">
              <w:rPr>
                <w:vertAlign w:val="superscript"/>
              </w:rPr>
              <w:t>20</w:t>
            </w:r>
            <w:r w:rsidR="00F125CA" w:rsidRPr="00F125CA">
              <w:rPr>
                <w:vertAlign w:val="superscript"/>
              </w:rPr>
              <w:fldChar w:fldCharType="end"/>
            </w:r>
          </w:p>
        </w:tc>
      </w:tr>
      <w:tr w:rsidR="004958BF" w14:paraId="163243B2" w14:textId="77777777" w:rsidTr="00862972">
        <w:tc>
          <w:tcPr>
            <w:tcW w:w="2240" w:type="dxa"/>
          </w:tcPr>
          <w:p w14:paraId="77BB409A" w14:textId="3AA38F0D" w:rsidR="004958BF" w:rsidRDefault="004958BF" w:rsidP="00332715">
            <w:r>
              <w:t>7 April 2022</w:t>
            </w:r>
          </w:p>
        </w:tc>
        <w:tc>
          <w:tcPr>
            <w:tcW w:w="6215" w:type="dxa"/>
          </w:tcPr>
          <w:p w14:paraId="5FC51CE2" w14:textId="77777777" w:rsidR="00386623" w:rsidRDefault="00386623" w:rsidP="00386623">
            <w:r>
              <w:t>Extension of provisional registration.</w:t>
            </w:r>
          </w:p>
          <w:p w14:paraId="65AA5E43" w14:textId="140B1244" w:rsidR="004958BF" w:rsidRDefault="00386623" w:rsidP="00386623">
            <w:r>
              <w:lastRenderedPageBreak/>
              <w:t>Booster dose, for active immunisation for individuals aged 12 to 15 years, following previous immunisation (primary series)</w:t>
            </w:r>
            <w:r w:rsidR="002D7AEE">
              <w:t>.</w:t>
            </w:r>
            <w:r w:rsidR="002D7AEE" w:rsidRPr="002D7AEE">
              <w:rPr>
                <w:vertAlign w:val="superscript"/>
              </w:rPr>
              <w:fldChar w:fldCharType="begin"/>
            </w:r>
            <w:r w:rsidR="002D7AEE" w:rsidRPr="002D7AEE">
              <w:rPr>
                <w:vertAlign w:val="superscript"/>
              </w:rPr>
              <w:instrText xml:space="preserve"> NOTEREF _Ref114361701 \h </w:instrText>
            </w:r>
            <w:r w:rsidR="002D7AEE">
              <w:rPr>
                <w:vertAlign w:val="superscript"/>
              </w:rPr>
              <w:instrText xml:space="preserve"> \* MERGEFORMAT </w:instrText>
            </w:r>
            <w:r w:rsidR="002D7AEE" w:rsidRPr="002D7AEE">
              <w:rPr>
                <w:vertAlign w:val="superscript"/>
              </w:rPr>
            </w:r>
            <w:r w:rsidR="002D7AEE" w:rsidRPr="002D7AEE">
              <w:rPr>
                <w:vertAlign w:val="superscript"/>
              </w:rPr>
              <w:fldChar w:fldCharType="separate"/>
            </w:r>
            <w:r w:rsidR="00145C93">
              <w:rPr>
                <w:vertAlign w:val="superscript"/>
              </w:rPr>
              <w:t>21</w:t>
            </w:r>
            <w:r w:rsidR="002D7AEE" w:rsidRPr="002D7AEE">
              <w:rPr>
                <w:vertAlign w:val="superscript"/>
              </w:rPr>
              <w:fldChar w:fldCharType="end"/>
            </w:r>
          </w:p>
        </w:tc>
      </w:tr>
    </w:tbl>
    <w:p w14:paraId="55EEE4E8" w14:textId="456C29E6" w:rsidR="007C2E89" w:rsidRDefault="00CA4673" w:rsidP="00CA4673">
      <w:pPr>
        <w:pStyle w:val="Heading4"/>
      </w:pPr>
      <w:r>
        <w:lastRenderedPageBreak/>
        <w:t>Overseas regulatory status</w:t>
      </w:r>
    </w:p>
    <w:p w14:paraId="749517C0" w14:textId="0867E478" w:rsidR="00CA4673" w:rsidRDefault="00C04240" w:rsidP="00CA4673">
      <w:r>
        <w:t>Comirnaty (tozinameran</w:t>
      </w:r>
      <w:r w:rsidR="00CA4673">
        <w:t>) COVID-19 vaccine has received temporary authorisation for emergency use, conditional marketing approval, or</w:t>
      </w:r>
      <w:r>
        <w:t xml:space="preserve"> full approval in more than 100 </w:t>
      </w:r>
      <w:r w:rsidR="00CA4673">
        <w:t>countries globally. Indications have included as a primary series, for a range of age groups and for use as a booster dose.</w:t>
      </w:r>
    </w:p>
    <w:p w14:paraId="6AFA78C7" w14:textId="77777777" w:rsidR="00EF37F0" w:rsidRDefault="00CA4673" w:rsidP="00CA4673">
      <w:r>
        <w:t xml:space="preserve">Submissions specifically relevant to this submission, for the extension of indications to include individuals from 6 months to under 5 years of age for Comirnaty have been filed in other jurisdictions. The following table provide dates of closely related submissions and the regulatory status of these submissions, in countries/jurisdictions of interest to the </w:t>
      </w:r>
      <w:r w:rsidR="00EF37F0">
        <w:t>TGA.</w:t>
      </w:r>
    </w:p>
    <w:p w14:paraId="619047DA" w14:textId="42CDA3D9" w:rsidR="00CA4673" w:rsidRPr="00CA4673" w:rsidRDefault="00EF37F0" w:rsidP="00CA4673">
      <w:r>
        <w:t>The s</w:t>
      </w:r>
      <w:r w:rsidR="00CA4673">
        <w:t xml:space="preserve">ponsor has stated that a parallel application has not been rejected or deferred by any overseas </w:t>
      </w:r>
      <w:r>
        <w:t xml:space="preserve">regulatory </w:t>
      </w:r>
      <w:r w:rsidR="00CA4673">
        <w:t>authorities.</w:t>
      </w:r>
    </w:p>
    <w:p w14:paraId="48DD5BED" w14:textId="0DC16ACC" w:rsidR="00324E45" w:rsidRPr="00F0146F" w:rsidRDefault="00324E45" w:rsidP="00324E45">
      <w:pPr>
        <w:pStyle w:val="TableTitle"/>
      </w:pPr>
      <w:bookmarkStart w:id="36" w:name="_Ref99705479"/>
      <w:r>
        <w:t xml:space="preserve">Table </w:t>
      </w:r>
      <w:r w:rsidR="00582372">
        <w:fldChar w:fldCharType="begin"/>
      </w:r>
      <w:r w:rsidR="00582372">
        <w:instrText xml:space="preserve"> SEQ Table \* ARABIC </w:instrText>
      </w:r>
      <w:r w:rsidR="00582372">
        <w:fldChar w:fldCharType="separate"/>
      </w:r>
      <w:r w:rsidR="00145C93">
        <w:rPr>
          <w:noProof/>
        </w:rPr>
        <w:t>5</w:t>
      </w:r>
      <w:r w:rsidR="00582372">
        <w:rPr>
          <w:noProof/>
        </w:rPr>
        <w:fldChar w:fldCharType="end"/>
      </w:r>
      <w:bookmarkEnd w:id="36"/>
      <w:r>
        <w:t>: International regulatory status</w:t>
      </w:r>
    </w:p>
    <w:tbl>
      <w:tblPr>
        <w:tblStyle w:val="TableTGAblue"/>
        <w:tblW w:w="8815" w:type="dxa"/>
        <w:tblLayout w:type="fixed"/>
        <w:tblLook w:val="04A0" w:firstRow="1" w:lastRow="0" w:firstColumn="1" w:lastColumn="0" w:noHBand="0" w:noVBand="1"/>
      </w:tblPr>
      <w:tblGrid>
        <w:gridCol w:w="1615"/>
        <w:gridCol w:w="2250"/>
        <w:gridCol w:w="2392"/>
        <w:gridCol w:w="2558"/>
      </w:tblGrid>
      <w:tr w:rsidR="00006FAB" w14:paraId="294C1976" w14:textId="77777777" w:rsidTr="00456C48">
        <w:trPr>
          <w:cnfStyle w:val="100000000000" w:firstRow="1" w:lastRow="0" w:firstColumn="0" w:lastColumn="0" w:oddVBand="0" w:evenVBand="0" w:oddHBand="0" w:evenHBand="0" w:firstRowFirstColumn="0" w:firstRowLastColumn="0" w:lastRowFirstColumn="0" w:lastRowLastColumn="0"/>
        </w:trPr>
        <w:tc>
          <w:tcPr>
            <w:tcW w:w="1615" w:type="dxa"/>
            <w:tcBorders>
              <w:top w:val="single" w:sz="4" w:space="0" w:color="auto"/>
              <w:left w:val="single" w:sz="4" w:space="0" w:color="auto"/>
              <w:bottom w:val="single" w:sz="4" w:space="0" w:color="auto"/>
              <w:right w:val="single" w:sz="4" w:space="0" w:color="auto"/>
            </w:tcBorders>
          </w:tcPr>
          <w:p w14:paraId="6F1C8104" w14:textId="77777777" w:rsidR="00006FAB" w:rsidRDefault="00006FAB" w:rsidP="00006FAB">
            <w:pPr>
              <w:ind w:left="0" w:right="0"/>
            </w:pPr>
            <w:r>
              <w:t>Region</w:t>
            </w:r>
          </w:p>
        </w:tc>
        <w:tc>
          <w:tcPr>
            <w:tcW w:w="2250" w:type="dxa"/>
            <w:tcBorders>
              <w:top w:val="single" w:sz="4" w:space="0" w:color="auto"/>
              <w:left w:val="single" w:sz="4" w:space="0" w:color="auto"/>
              <w:bottom w:val="single" w:sz="4" w:space="0" w:color="auto"/>
              <w:right w:val="single" w:sz="4" w:space="0" w:color="auto"/>
            </w:tcBorders>
          </w:tcPr>
          <w:p w14:paraId="338E6233" w14:textId="77777777" w:rsidR="00006FAB" w:rsidRDefault="00006FAB" w:rsidP="00006FAB">
            <w:pPr>
              <w:ind w:left="0" w:right="0"/>
            </w:pPr>
            <w:r>
              <w:t>Submission date</w:t>
            </w:r>
          </w:p>
        </w:tc>
        <w:tc>
          <w:tcPr>
            <w:tcW w:w="2392" w:type="dxa"/>
            <w:tcBorders>
              <w:top w:val="single" w:sz="4" w:space="0" w:color="auto"/>
              <w:left w:val="single" w:sz="4" w:space="0" w:color="auto"/>
              <w:bottom w:val="single" w:sz="4" w:space="0" w:color="auto"/>
              <w:right w:val="single" w:sz="4" w:space="0" w:color="auto"/>
            </w:tcBorders>
          </w:tcPr>
          <w:p w14:paraId="785A2028" w14:textId="77777777" w:rsidR="00006FAB" w:rsidRDefault="00006FAB" w:rsidP="00006FAB">
            <w:pPr>
              <w:ind w:left="0" w:right="0"/>
            </w:pPr>
            <w:r>
              <w:t>Status</w:t>
            </w:r>
          </w:p>
        </w:tc>
        <w:tc>
          <w:tcPr>
            <w:tcW w:w="2558" w:type="dxa"/>
            <w:tcBorders>
              <w:top w:val="single" w:sz="4" w:space="0" w:color="auto"/>
              <w:left w:val="single" w:sz="4" w:space="0" w:color="auto"/>
              <w:bottom w:val="single" w:sz="4" w:space="0" w:color="auto"/>
              <w:right w:val="single" w:sz="4" w:space="0" w:color="auto"/>
            </w:tcBorders>
          </w:tcPr>
          <w:p w14:paraId="3490925F" w14:textId="77777777" w:rsidR="00006FAB" w:rsidRDefault="00006FAB" w:rsidP="00006FAB">
            <w:pPr>
              <w:ind w:left="0" w:right="0"/>
            </w:pPr>
            <w:r>
              <w:t>Approved indications</w:t>
            </w:r>
          </w:p>
        </w:tc>
      </w:tr>
      <w:tr w:rsidR="00006FAB" w14:paraId="5303F4EE" w14:textId="77777777" w:rsidTr="00456C48">
        <w:tc>
          <w:tcPr>
            <w:tcW w:w="1615" w:type="dxa"/>
            <w:tcBorders>
              <w:top w:val="single" w:sz="4" w:space="0" w:color="auto"/>
            </w:tcBorders>
          </w:tcPr>
          <w:p w14:paraId="67797A43" w14:textId="2F26E7AB" w:rsidR="00006FAB" w:rsidRDefault="00EF37F0" w:rsidP="00006FAB">
            <w:pPr>
              <w:ind w:left="0" w:right="0"/>
            </w:pPr>
            <w:r>
              <w:t>United States of America</w:t>
            </w:r>
          </w:p>
        </w:tc>
        <w:tc>
          <w:tcPr>
            <w:tcW w:w="2250" w:type="dxa"/>
            <w:tcBorders>
              <w:top w:val="single" w:sz="4" w:space="0" w:color="auto"/>
            </w:tcBorders>
          </w:tcPr>
          <w:p w14:paraId="3A545799" w14:textId="1744C614" w:rsidR="00006FAB" w:rsidRPr="00C04240" w:rsidRDefault="00EF37F0" w:rsidP="00C04240">
            <w:pPr>
              <w:ind w:left="0" w:right="0"/>
              <w:rPr>
                <w:vertAlign w:val="superscript"/>
              </w:rPr>
            </w:pPr>
            <w:r>
              <w:t>Rolling submission (Q2 </w:t>
            </w:r>
            <w:proofErr w:type="gramStart"/>
            <w:r>
              <w:t>2022)</w:t>
            </w:r>
            <w:r w:rsidR="00C04240">
              <w:rPr>
                <w:vertAlign w:val="superscript"/>
              </w:rPr>
              <w:t>a</w:t>
            </w:r>
            <w:proofErr w:type="gramEnd"/>
          </w:p>
        </w:tc>
        <w:tc>
          <w:tcPr>
            <w:tcW w:w="2392" w:type="dxa"/>
            <w:tcBorders>
              <w:top w:val="single" w:sz="4" w:space="0" w:color="auto"/>
            </w:tcBorders>
          </w:tcPr>
          <w:p w14:paraId="50B15AB4" w14:textId="4B724387" w:rsidR="00006FAB" w:rsidRPr="00C04240" w:rsidRDefault="00006FAB" w:rsidP="00EF37F0">
            <w:pPr>
              <w:ind w:left="0" w:right="0"/>
              <w:rPr>
                <w:vertAlign w:val="superscript"/>
              </w:rPr>
            </w:pPr>
            <w:r w:rsidRPr="00006FAB">
              <w:t>A</w:t>
            </w:r>
            <w:r w:rsidR="00C04240">
              <w:t>pproved</w:t>
            </w:r>
            <w:r w:rsidR="00EF37F0">
              <w:t xml:space="preserve"> 17 June 2022</w:t>
            </w:r>
            <w:r w:rsidR="00C04240">
              <w:rPr>
                <w:vertAlign w:val="superscript"/>
              </w:rPr>
              <w:t>a</w:t>
            </w:r>
          </w:p>
        </w:tc>
        <w:tc>
          <w:tcPr>
            <w:tcW w:w="2558" w:type="dxa"/>
            <w:tcBorders>
              <w:top w:val="single" w:sz="4" w:space="0" w:color="auto"/>
            </w:tcBorders>
          </w:tcPr>
          <w:p w14:paraId="3EF1883A" w14:textId="23F18351" w:rsidR="00006FAB" w:rsidRPr="00C04240" w:rsidRDefault="00EF37F0" w:rsidP="00006FAB">
            <w:pPr>
              <w:ind w:left="0" w:right="0"/>
              <w:rPr>
                <w:i/>
              </w:rPr>
            </w:pPr>
            <w:r w:rsidRPr="00C04240">
              <w:rPr>
                <w:i/>
              </w:rPr>
              <w:t>[…] for active immunization to prevent COVID-19 in individuals 6 months of age and older</w:t>
            </w:r>
          </w:p>
        </w:tc>
      </w:tr>
      <w:tr w:rsidR="00006FAB" w14:paraId="048E0131" w14:textId="77777777" w:rsidTr="00456C48">
        <w:tc>
          <w:tcPr>
            <w:tcW w:w="1615" w:type="dxa"/>
          </w:tcPr>
          <w:p w14:paraId="59D842D3" w14:textId="543010EB" w:rsidR="00006FAB" w:rsidRDefault="00EF37F0" w:rsidP="00006FAB">
            <w:pPr>
              <w:ind w:left="0" w:right="0"/>
            </w:pPr>
            <w:r>
              <w:t>European Union</w:t>
            </w:r>
          </w:p>
        </w:tc>
        <w:tc>
          <w:tcPr>
            <w:tcW w:w="2250" w:type="dxa"/>
          </w:tcPr>
          <w:p w14:paraId="588875DD" w14:textId="760459E5" w:rsidR="00006FAB" w:rsidRDefault="00EF37F0" w:rsidP="00006FAB">
            <w:pPr>
              <w:ind w:left="0" w:right="0"/>
            </w:pPr>
            <w:r>
              <w:t>8 July 2022</w:t>
            </w:r>
          </w:p>
        </w:tc>
        <w:tc>
          <w:tcPr>
            <w:tcW w:w="2392" w:type="dxa"/>
          </w:tcPr>
          <w:p w14:paraId="061E77A1" w14:textId="77777777" w:rsidR="00006FAB" w:rsidRDefault="00006FAB" w:rsidP="00006FAB">
            <w:pPr>
              <w:ind w:left="0" w:right="0"/>
            </w:pPr>
            <w:r w:rsidRPr="00006FAB">
              <w:t>Under consideration</w:t>
            </w:r>
          </w:p>
        </w:tc>
        <w:tc>
          <w:tcPr>
            <w:tcW w:w="2558" w:type="dxa"/>
          </w:tcPr>
          <w:p w14:paraId="59E014E2" w14:textId="76007B69" w:rsidR="00006FAB" w:rsidRDefault="00456C48" w:rsidP="00006FAB">
            <w:pPr>
              <w:ind w:left="0" w:right="0"/>
            </w:pPr>
            <w:r w:rsidRPr="00006FAB">
              <w:t>Under consideration</w:t>
            </w:r>
          </w:p>
        </w:tc>
      </w:tr>
      <w:tr w:rsidR="00EF37F0" w14:paraId="50351DC6" w14:textId="77777777" w:rsidTr="00456C48">
        <w:tc>
          <w:tcPr>
            <w:tcW w:w="1615" w:type="dxa"/>
          </w:tcPr>
          <w:p w14:paraId="7549EF40" w14:textId="7D73DF5E" w:rsidR="00EF37F0" w:rsidRPr="00984A13" w:rsidRDefault="00EF37F0">
            <w:pPr>
              <w:ind w:left="0"/>
            </w:pPr>
            <w:r w:rsidRPr="00984A13">
              <w:t>New Zealand</w:t>
            </w:r>
          </w:p>
        </w:tc>
        <w:tc>
          <w:tcPr>
            <w:tcW w:w="2250" w:type="dxa"/>
          </w:tcPr>
          <w:p w14:paraId="306C601D" w14:textId="1C3CE68D" w:rsidR="00EF37F0" w:rsidRPr="00984A13" w:rsidRDefault="005319CF">
            <w:pPr>
              <w:ind w:left="0"/>
            </w:pPr>
            <w:r w:rsidRPr="00984A13">
              <w:t xml:space="preserve">29 </w:t>
            </w:r>
            <w:r w:rsidR="00EF37F0" w:rsidRPr="00984A13">
              <w:t>July 2022</w:t>
            </w:r>
          </w:p>
        </w:tc>
        <w:tc>
          <w:tcPr>
            <w:tcW w:w="2392" w:type="dxa"/>
          </w:tcPr>
          <w:p w14:paraId="48B007BC" w14:textId="39DB43EE" w:rsidR="00EF37F0" w:rsidRPr="00006FAB" w:rsidRDefault="005319CF">
            <w:pPr>
              <w:ind w:left="0"/>
            </w:pPr>
            <w:r>
              <w:t xml:space="preserve">Under </w:t>
            </w:r>
            <w:r w:rsidR="00984A13">
              <w:t>consideration</w:t>
            </w:r>
          </w:p>
        </w:tc>
        <w:tc>
          <w:tcPr>
            <w:tcW w:w="2558" w:type="dxa"/>
          </w:tcPr>
          <w:p w14:paraId="242590EA" w14:textId="3558ABDD" w:rsidR="00EF37F0" w:rsidRDefault="00456C48" w:rsidP="00456C48">
            <w:pPr>
              <w:ind w:left="0"/>
            </w:pPr>
            <w:r>
              <w:t>Under consideration</w:t>
            </w:r>
          </w:p>
        </w:tc>
      </w:tr>
      <w:tr w:rsidR="00EF37F0" w14:paraId="49699B8C" w14:textId="77777777" w:rsidTr="00456C48">
        <w:tc>
          <w:tcPr>
            <w:tcW w:w="1615" w:type="dxa"/>
          </w:tcPr>
          <w:p w14:paraId="2752C73D" w14:textId="0733BB55" w:rsidR="00EF37F0" w:rsidRDefault="00EF37F0" w:rsidP="00EF37F0">
            <w:pPr>
              <w:ind w:left="0"/>
            </w:pPr>
            <w:r>
              <w:t>Canada</w:t>
            </w:r>
          </w:p>
        </w:tc>
        <w:tc>
          <w:tcPr>
            <w:tcW w:w="2250" w:type="dxa"/>
          </w:tcPr>
          <w:p w14:paraId="2DB22C87" w14:textId="2BC9D1C9" w:rsidR="00EF37F0" w:rsidRDefault="000A6807" w:rsidP="00EF37F0">
            <w:pPr>
              <w:ind w:left="0"/>
            </w:pPr>
            <w:r>
              <w:t>23 June 2022</w:t>
            </w:r>
          </w:p>
        </w:tc>
        <w:tc>
          <w:tcPr>
            <w:tcW w:w="2392" w:type="dxa"/>
          </w:tcPr>
          <w:p w14:paraId="276307D1" w14:textId="2ED77EED" w:rsidR="00EF37F0" w:rsidRPr="00006FAB" w:rsidRDefault="00C04240" w:rsidP="00EF37F0">
            <w:pPr>
              <w:ind w:left="0"/>
            </w:pPr>
            <w:r>
              <w:t>Approved 9 September 2022</w:t>
            </w:r>
          </w:p>
        </w:tc>
        <w:tc>
          <w:tcPr>
            <w:tcW w:w="2558" w:type="dxa"/>
          </w:tcPr>
          <w:p w14:paraId="1D2FAF6D" w14:textId="7881DB11" w:rsidR="00EF37F0" w:rsidRPr="005319CF" w:rsidRDefault="000A6807" w:rsidP="00C04240">
            <w:pPr>
              <w:ind w:left="0"/>
              <w:rPr>
                <w:i/>
                <w:iCs/>
              </w:rPr>
            </w:pPr>
            <w:r w:rsidRPr="00C04240">
              <w:rPr>
                <w:i/>
              </w:rPr>
              <w:t xml:space="preserve">[…] </w:t>
            </w:r>
            <w:r w:rsidRPr="005319CF">
              <w:rPr>
                <w:i/>
                <w:iCs/>
              </w:rPr>
              <w:t>for active immunization to prevent coronavirus disease 2019 (COVID-19) caused by severe acute respiratory syndrome coronavirus 2 (SARS-CoV-2) in individuals 6 months of age and older</w:t>
            </w:r>
          </w:p>
        </w:tc>
      </w:tr>
      <w:tr w:rsidR="00EF37F0" w14:paraId="152F9E22" w14:textId="77777777" w:rsidTr="00456C48">
        <w:tc>
          <w:tcPr>
            <w:tcW w:w="1615" w:type="dxa"/>
          </w:tcPr>
          <w:p w14:paraId="3AB017D4" w14:textId="2008174C" w:rsidR="00EF37F0" w:rsidRDefault="00EF37F0" w:rsidP="00EF37F0">
            <w:pPr>
              <w:ind w:left="0"/>
            </w:pPr>
            <w:r>
              <w:t>Singapore</w:t>
            </w:r>
          </w:p>
        </w:tc>
        <w:tc>
          <w:tcPr>
            <w:tcW w:w="2250" w:type="dxa"/>
          </w:tcPr>
          <w:p w14:paraId="108EE5A1" w14:textId="1E0DE281" w:rsidR="00EF37F0" w:rsidRDefault="00E239F7">
            <w:pPr>
              <w:ind w:left="0"/>
            </w:pPr>
            <w:r>
              <w:t>11</w:t>
            </w:r>
            <w:r w:rsidR="00EF37F0">
              <w:t xml:space="preserve"> July 2022</w:t>
            </w:r>
          </w:p>
        </w:tc>
        <w:tc>
          <w:tcPr>
            <w:tcW w:w="2392" w:type="dxa"/>
          </w:tcPr>
          <w:p w14:paraId="550BFB26" w14:textId="317029F4" w:rsidR="00EF37F0" w:rsidRPr="00006FAB" w:rsidRDefault="00E239F7" w:rsidP="00EF37F0">
            <w:pPr>
              <w:ind w:left="0"/>
            </w:pPr>
            <w:r>
              <w:t>Approved 28</w:t>
            </w:r>
            <w:r w:rsidR="00984A13">
              <w:t> </w:t>
            </w:r>
            <w:r>
              <w:t>September 2022</w:t>
            </w:r>
          </w:p>
        </w:tc>
        <w:tc>
          <w:tcPr>
            <w:tcW w:w="2558" w:type="dxa"/>
          </w:tcPr>
          <w:p w14:paraId="47AEBA58" w14:textId="725BA74F" w:rsidR="00EF37F0" w:rsidRDefault="00AC5771" w:rsidP="00456C48">
            <w:pPr>
              <w:ind w:left="0"/>
            </w:pPr>
            <w:r w:rsidRPr="00C04240">
              <w:rPr>
                <w:i/>
              </w:rPr>
              <w:t xml:space="preserve">[…] </w:t>
            </w:r>
            <w:r w:rsidRPr="005319CF">
              <w:rPr>
                <w:i/>
                <w:iCs/>
              </w:rPr>
              <w:t>for active immunisation to prevent COVID-19 caused by SARS-CoV-2 virus, in individuals 6 months of age and older</w:t>
            </w:r>
          </w:p>
        </w:tc>
      </w:tr>
      <w:tr w:rsidR="00EF37F0" w14:paraId="131902BA" w14:textId="77777777" w:rsidTr="00456C48">
        <w:tc>
          <w:tcPr>
            <w:tcW w:w="1615" w:type="dxa"/>
          </w:tcPr>
          <w:p w14:paraId="60C8B164" w14:textId="68901FC9" w:rsidR="00EF37F0" w:rsidRDefault="00EF37F0" w:rsidP="00EF37F0">
            <w:pPr>
              <w:ind w:left="0"/>
            </w:pPr>
            <w:r>
              <w:lastRenderedPageBreak/>
              <w:t>Switzerland</w:t>
            </w:r>
          </w:p>
        </w:tc>
        <w:tc>
          <w:tcPr>
            <w:tcW w:w="2250" w:type="dxa"/>
          </w:tcPr>
          <w:p w14:paraId="0E4A4078" w14:textId="37064F8E" w:rsidR="00EF37F0" w:rsidRDefault="005319CF" w:rsidP="00EF37F0">
            <w:pPr>
              <w:ind w:left="0"/>
            </w:pPr>
            <w:r>
              <w:t>23 August 2022</w:t>
            </w:r>
          </w:p>
        </w:tc>
        <w:tc>
          <w:tcPr>
            <w:tcW w:w="2392" w:type="dxa"/>
          </w:tcPr>
          <w:p w14:paraId="5197E7BA" w14:textId="54822D56" w:rsidR="00EF37F0" w:rsidRPr="00006FAB" w:rsidRDefault="005319CF">
            <w:pPr>
              <w:ind w:left="0"/>
            </w:pPr>
            <w:r>
              <w:t xml:space="preserve">Under </w:t>
            </w:r>
            <w:r w:rsidR="00984A13">
              <w:t>consideration</w:t>
            </w:r>
          </w:p>
        </w:tc>
        <w:tc>
          <w:tcPr>
            <w:tcW w:w="2558" w:type="dxa"/>
          </w:tcPr>
          <w:p w14:paraId="4BA1A3E2" w14:textId="77777777" w:rsidR="00EF37F0" w:rsidRDefault="00EF37F0" w:rsidP="00F664E8">
            <w:pPr>
              <w:ind w:left="0"/>
            </w:pPr>
          </w:p>
        </w:tc>
      </w:tr>
    </w:tbl>
    <w:p w14:paraId="47439493" w14:textId="7E324628" w:rsidR="00C04240" w:rsidRPr="00C04240" w:rsidRDefault="00C04240" w:rsidP="00C04240">
      <w:pPr>
        <w:pStyle w:val="TableDescription"/>
      </w:pPr>
      <w:r>
        <w:t xml:space="preserve">a. Emergency Use Authorization (EUA) </w:t>
      </w:r>
    </w:p>
    <w:p w14:paraId="56D0552B" w14:textId="61D1C370" w:rsidR="008E7846" w:rsidRDefault="008E7846" w:rsidP="00940A89">
      <w:pPr>
        <w:pStyle w:val="Heading3"/>
      </w:pPr>
      <w:bookmarkStart w:id="37" w:name="_Toc116380307"/>
      <w:r>
        <w:t>Product Information</w:t>
      </w:r>
      <w:bookmarkEnd w:id="33"/>
      <w:bookmarkEnd w:id="34"/>
      <w:bookmarkEnd w:id="37"/>
    </w:p>
    <w:p w14:paraId="34485D80" w14:textId="502ACC3B" w:rsidR="00332715" w:rsidRDefault="00332715" w:rsidP="00EF37F0">
      <w:bookmarkStart w:id="38" w:name="_Toc504480011"/>
      <w:bookmarkStart w:id="39" w:name="_Toc247691506"/>
      <w:bookmarkStart w:id="40"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5" w:history="1">
        <w:r>
          <w:rPr>
            <w:rStyle w:val="Hyperlink"/>
          </w:rPr>
          <w:t>PI/CMI search facility</w:t>
        </w:r>
        <w:r w:rsidRPr="009556D7">
          <w:rPr>
            <w:rStyle w:val="Hyperlink"/>
            <w:color w:val="auto"/>
            <w:u w:val="none"/>
          </w:rPr>
          <w:t>.</w:t>
        </w:r>
      </w:hyperlink>
    </w:p>
    <w:p w14:paraId="5737D948" w14:textId="77777777" w:rsidR="00500337" w:rsidRDefault="00500337" w:rsidP="00500337">
      <w:pPr>
        <w:pStyle w:val="Heading2"/>
      </w:pPr>
      <w:bookmarkStart w:id="41" w:name="_Toc116380308"/>
      <w:r>
        <w:t>Registration timeline</w:t>
      </w:r>
      <w:bookmarkEnd w:id="38"/>
      <w:bookmarkEnd w:id="41"/>
    </w:p>
    <w:p w14:paraId="14977A92" w14:textId="3744781F" w:rsidR="0074163C" w:rsidRDefault="0074163C" w:rsidP="0074163C">
      <w:r w:rsidRPr="00C93EC1">
        <w:t xml:space="preserve">The following table captures the key steps and dates for this </w:t>
      </w:r>
      <w:r w:rsidR="00804D99">
        <w:t>submission</w:t>
      </w:r>
      <w:r w:rsidRPr="00C93EC1">
        <w:t>.</w:t>
      </w:r>
    </w:p>
    <w:p w14:paraId="58C1099D" w14:textId="30F07901" w:rsidR="0075587F" w:rsidRPr="00C93EC1" w:rsidRDefault="0075587F" w:rsidP="0074163C">
      <w:r w:rsidRPr="00C93EC1">
        <w:t>Data</w:t>
      </w:r>
      <w:r>
        <w:t xml:space="preserve"> were</w:t>
      </w:r>
      <w:r w:rsidRPr="00C93EC1">
        <w:t xml:space="preserv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t>be</w:t>
      </w:r>
      <w:r w:rsidRPr="00C93EC1">
        <w:t xml:space="preserve">comes </w:t>
      </w:r>
      <w:r>
        <w:t>available.</w:t>
      </w:r>
    </w:p>
    <w:p w14:paraId="7A0F0718" w14:textId="3242C30A" w:rsidR="0074163C" w:rsidRPr="00C93EC1" w:rsidRDefault="0074163C" w:rsidP="00F664E8">
      <w:pPr>
        <w:pStyle w:val="TableTitle"/>
      </w:pPr>
      <w:r>
        <w:t xml:space="preserve">Table </w:t>
      </w:r>
      <w:r w:rsidR="00582372">
        <w:fldChar w:fldCharType="begin"/>
      </w:r>
      <w:r w:rsidR="00582372">
        <w:instrText xml:space="preserve"> SEQ Table \* ARABIC </w:instrText>
      </w:r>
      <w:r w:rsidR="00582372">
        <w:fldChar w:fldCharType="separate"/>
      </w:r>
      <w:r w:rsidR="00145C93">
        <w:rPr>
          <w:noProof/>
        </w:rPr>
        <w:t>6</w:t>
      </w:r>
      <w:r w:rsidR="00582372">
        <w:rPr>
          <w:noProof/>
        </w:rPr>
        <w:fldChar w:fldCharType="end"/>
      </w:r>
      <w:r>
        <w:t>:</w:t>
      </w:r>
      <w:r w:rsidRPr="006A58A8">
        <w:t xml:space="preserve"> Timeline for Submission PM-20</w:t>
      </w:r>
      <w:r>
        <w:t>2</w:t>
      </w:r>
      <w:r w:rsidR="0075587F">
        <w:t>2-03129-1-2</w:t>
      </w:r>
    </w:p>
    <w:tbl>
      <w:tblPr>
        <w:tblStyle w:val="TableTGAblue"/>
        <w:tblW w:w="0" w:type="auto"/>
        <w:tblLook w:val="04A0" w:firstRow="1" w:lastRow="0" w:firstColumn="1" w:lastColumn="0" w:noHBand="0" w:noVBand="1"/>
      </w:tblPr>
      <w:tblGrid>
        <w:gridCol w:w="4255"/>
        <w:gridCol w:w="4239"/>
      </w:tblGrid>
      <w:tr w:rsidR="000D2C75" w14:paraId="3BC17A90" w14:textId="77777777" w:rsidTr="008677B0">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7AFA1D01" w14:textId="77777777" w:rsidR="000D2C75" w:rsidRDefault="000D2C75" w:rsidP="008677B0">
            <w:r>
              <w:t>Description</w:t>
            </w:r>
          </w:p>
        </w:tc>
        <w:tc>
          <w:tcPr>
            <w:tcW w:w="4360" w:type="dxa"/>
            <w:tcBorders>
              <w:top w:val="single" w:sz="4" w:space="0" w:color="auto"/>
              <w:left w:val="single" w:sz="4" w:space="0" w:color="auto"/>
              <w:bottom w:val="single" w:sz="4" w:space="0" w:color="auto"/>
              <w:right w:val="single" w:sz="4" w:space="0" w:color="auto"/>
            </w:tcBorders>
          </w:tcPr>
          <w:p w14:paraId="6837B256" w14:textId="77777777" w:rsidR="000D2C75" w:rsidRDefault="000D2C75" w:rsidP="008677B0">
            <w:r>
              <w:t>Date</w:t>
            </w:r>
          </w:p>
        </w:tc>
      </w:tr>
      <w:tr w:rsidR="000D2C75" w14:paraId="654D1BBA" w14:textId="77777777" w:rsidTr="008677B0">
        <w:tc>
          <w:tcPr>
            <w:tcW w:w="4360" w:type="dxa"/>
            <w:tcBorders>
              <w:top w:val="single" w:sz="4" w:space="0" w:color="auto"/>
            </w:tcBorders>
          </w:tcPr>
          <w:p w14:paraId="0887C0AE" w14:textId="77777777" w:rsidR="000D2C75" w:rsidRPr="00657974" w:rsidRDefault="000D2C75" w:rsidP="008677B0">
            <w:r w:rsidRPr="00657974">
              <w:t>Determination (Provisional)</w:t>
            </w:r>
          </w:p>
        </w:tc>
        <w:tc>
          <w:tcPr>
            <w:tcW w:w="4360" w:type="dxa"/>
            <w:tcBorders>
              <w:top w:val="single" w:sz="4" w:space="0" w:color="auto"/>
            </w:tcBorders>
          </w:tcPr>
          <w:p w14:paraId="5AF788EF" w14:textId="77777777" w:rsidR="000D2C75" w:rsidRDefault="000D2C75" w:rsidP="008677B0">
            <w:r>
              <w:t>28 June 2022</w:t>
            </w:r>
          </w:p>
        </w:tc>
      </w:tr>
      <w:tr w:rsidR="000D2C75" w14:paraId="70735174" w14:textId="77777777" w:rsidTr="008677B0">
        <w:tc>
          <w:tcPr>
            <w:tcW w:w="4360" w:type="dxa"/>
          </w:tcPr>
          <w:p w14:paraId="5A2DA5C8" w14:textId="77777777" w:rsidR="000D2C75" w:rsidRDefault="000D2C75" w:rsidP="008677B0">
            <w:r>
              <w:t>Submission dossier accepted and first round evaluation commenced</w:t>
            </w:r>
          </w:p>
        </w:tc>
        <w:tc>
          <w:tcPr>
            <w:tcW w:w="4360" w:type="dxa"/>
          </w:tcPr>
          <w:p w14:paraId="243DC31F" w14:textId="77777777" w:rsidR="000D2C75" w:rsidRDefault="000D2C75" w:rsidP="008677B0">
            <w:r>
              <w:t>2 August 2022</w:t>
            </w:r>
          </w:p>
        </w:tc>
      </w:tr>
      <w:tr w:rsidR="000D2C75" w14:paraId="06A4CD8A" w14:textId="77777777" w:rsidTr="008677B0">
        <w:tc>
          <w:tcPr>
            <w:tcW w:w="4360" w:type="dxa"/>
          </w:tcPr>
          <w:p w14:paraId="1308BD23" w14:textId="77777777" w:rsidR="000D2C75" w:rsidRDefault="000D2C75" w:rsidP="008677B0">
            <w:r>
              <w:t>Evaluation completed</w:t>
            </w:r>
          </w:p>
        </w:tc>
        <w:tc>
          <w:tcPr>
            <w:tcW w:w="4360" w:type="dxa"/>
          </w:tcPr>
          <w:p w14:paraId="514CB411" w14:textId="77777777" w:rsidR="000D2C75" w:rsidRDefault="000D2C75" w:rsidP="008677B0">
            <w:r>
              <w:t>1 September 2022</w:t>
            </w:r>
          </w:p>
        </w:tc>
      </w:tr>
      <w:tr w:rsidR="000D2C75" w14:paraId="01870736" w14:textId="77777777" w:rsidTr="008677B0">
        <w:tc>
          <w:tcPr>
            <w:tcW w:w="4360" w:type="dxa"/>
          </w:tcPr>
          <w:p w14:paraId="7B6DE70B" w14:textId="77777777" w:rsidR="000D2C75" w:rsidRPr="0075587F" w:rsidRDefault="000D2C75" w:rsidP="008677B0">
            <w:r w:rsidRPr="0075587F">
              <w:t>Delegate’s Overall benefit-risk assessment and request for Advisory Committee advice</w:t>
            </w:r>
          </w:p>
        </w:tc>
        <w:tc>
          <w:tcPr>
            <w:tcW w:w="4360" w:type="dxa"/>
          </w:tcPr>
          <w:p w14:paraId="42458EE0" w14:textId="77777777" w:rsidR="000D2C75" w:rsidRDefault="000D2C75" w:rsidP="008677B0">
            <w:r>
              <w:t>30 August 2022</w:t>
            </w:r>
          </w:p>
        </w:tc>
      </w:tr>
      <w:tr w:rsidR="000D2C75" w14:paraId="72F15565" w14:textId="77777777" w:rsidTr="008677B0">
        <w:tc>
          <w:tcPr>
            <w:tcW w:w="4360" w:type="dxa"/>
          </w:tcPr>
          <w:p w14:paraId="342C624F" w14:textId="77777777" w:rsidR="000D2C75" w:rsidRDefault="000D2C75" w:rsidP="008677B0">
            <w:r>
              <w:t>Sponsor’s pre-Advisory Committee response</w:t>
            </w:r>
          </w:p>
        </w:tc>
        <w:tc>
          <w:tcPr>
            <w:tcW w:w="4360" w:type="dxa"/>
          </w:tcPr>
          <w:p w14:paraId="25C43350" w14:textId="77777777" w:rsidR="000D2C75" w:rsidRDefault="000D2C75" w:rsidP="008677B0">
            <w:r>
              <w:t>2 September 2022</w:t>
            </w:r>
          </w:p>
        </w:tc>
      </w:tr>
      <w:tr w:rsidR="000D2C75" w14:paraId="295449E8" w14:textId="77777777" w:rsidTr="008677B0">
        <w:tc>
          <w:tcPr>
            <w:tcW w:w="4360" w:type="dxa"/>
          </w:tcPr>
          <w:p w14:paraId="2F65F745" w14:textId="77777777" w:rsidR="000D2C75" w:rsidRDefault="000D2C75" w:rsidP="008677B0">
            <w:r>
              <w:t>Advisory Committee meeting</w:t>
            </w:r>
          </w:p>
        </w:tc>
        <w:tc>
          <w:tcPr>
            <w:tcW w:w="4360" w:type="dxa"/>
          </w:tcPr>
          <w:p w14:paraId="75CBDFC4" w14:textId="77777777" w:rsidR="000D2C75" w:rsidRDefault="000D2C75" w:rsidP="008677B0">
            <w:r>
              <w:t>7 September 2022</w:t>
            </w:r>
          </w:p>
        </w:tc>
      </w:tr>
      <w:tr w:rsidR="000D2C75" w14:paraId="56F1F553" w14:textId="77777777" w:rsidTr="008677B0">
        <w:tc>
          <w:tcPr>
            <w:tcW w:w="4360" w:type="dxa"/>
          </w:tcPr>
          <w:p w14:paraId="21A40BBF" w14:textId="77777777" w:rsidR="000D2C75" w:rsidRDefault="000D2C75" w:rsidP="008677B0">
            <w:r>
              <w:t>Registration decision (Outcome)</w:t>
            </w:r>
          </w:p>
        </w:tc>
        <w:tc>
          <w:tcPr>
            <w:tcW w:w="4360" w:type="dxa"/>
          </w:tcPr>
          <w:p w14:paraId="2D635649" w14:textId="77777777" w:rsidR="000D2C75" w:rsidRDefault="000D2C75" w:rsidP="008677B0">
            <w:r>
              <w:t>29 September 2022</w:t>
            </w:r>
          </w:p>
        </w:tc>
      </w:tr>
      <w:tr w:rsidR="000D2C75" w14:paraId="0D8BB1E6" w14:textId="77777777" w:rsidTr="008677B0">
        <w:tc>
          <w:tcPr>
            <w:tcW w:w="4360" w:type="dxa"/>
          </w:tcPr>
          <w:p w14:paraId="1B5D63F2" w14:textId="77777777" w:rsidR="000D2C75" w:rsidRDefault="000D2C75" w:rsidP="008677B0">
            <w:r>
              <w:t>Completion of administrative activities and registration on the ARTG</w:t>
            </w:r>
          </w:p>
        </w:tc>
        <w:tc>
          <w:tcPr>
            <w:tcW w:w="4360" w:type="dxa"/>
          </w:tcPr>
          <w:p w14:paraId="68CFF8E1" w14:textId="25C608BD" w:rsidR="003100E2" w:rsidRPr="00456C48" w:rsidRDefault="003100E2" w:rsidP="003100E2">
            <w:pPr>
              <w:rPr>
                <w:color w:val="auto"/>
              </w:rPr>
            </w:pPr>
            <w:r>
              <w:rPr>
                <w:color w:val="auto"/>
              </w:rPr>
              <w:t>30 September 2022</w:t>
            </w:r>
          </w:p>
        </w:tc>
      </w:tr>
      <w:tr w:rsidR="000D2C75" w14:paraId="5975F1FF" w14:textId="77777777" w:rsidTr="008677B0">
        <w:tc>
          <w:tcPr>
            <w:tcW w:w="4360" w:type="dxa"/>
          </w:tcPr>
          <w:p w14:paraId="43347615" w14:textId="77777777" w:rsidR="000D2C75" w:rsidRDefault="000D2C75" w:rsidP="008677B0">
            <w:r>
              <w:t>Number of working days from submission dossier acceptance to registration decision*</w:t>
            </w:r>
          </w:p>
        </w:tc>
        <w:tc>
          <w:tcPr>
            <w:tcW w:w="4360" w:type="dxa"/>
          </w:tcPr>
          <w:p w14:paraId="4EA2DFF1" w14:textId="77777777" w:rsidR="000D2C75" w:rsidRDefault="000D2C75" w:rsidP="008677B0">
            <w:r>
              <w:t>42</w:t>
            </w:r>
          </w:p>
        </w:tc>
      </w:tr>
    </w:tbl>
    <w:p w14:paraId="4112489E"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7578BF45" w14:textId="77777777" w:rsidR="008E7846" w:rsidRPr="00792A32" w:rsidRDefault="00006FAB" w:rsidP="008E7846">
      <w:pPr>
        <w:pStyle w:val="Heading2"/>
      </w:pPr>
      <w:bookmarkStart w:id="42" w:name="_Toc196046504"/>
      <w:bookmarkStart w:id="43" w:name="_Toc247691527"/>
      <w:bookmarkStart w:id="44" w:name="_Toc314842510"/>
      <w:bookmarkStart w:id="45" w:name="_Toc116380309"/>
      <w:bookmarkStart w:id="46" w:name="_Toc163441390"/>
      <w:bookmarkEnd w:id="39"/>
      <w:bookmarkEnd w:id="40"/>
      <w:bookmarkEnd w:id="1"/>
      <w:r w:rsidRPr="00006FAB">
        <w:lastRenderedPageBreak/>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42"/>
      <w:bookmarkEnd w:id="43"/>
      <w:bookmarkEnd w:id="44"/>
      <w:bookmarkEnd w:id="45"/>
    </w:p>
    <w:p w14:paraId="344EAD28" w14:textId="77777777" w:rsidR="005A79F5" w:rsidRDefault="005A79F5" w:rsidP="00F664E8">
      <w:pPr>
        <w:rPr>
          <w:i/>
        </w:rPr>
      </w:pPr>
      <w:bookmarkStart w:id="47" w:name="_Toc247691528"/>
      <w:bookmarkStart w:id="48" w:name="_Toc314842511"/>
      <w:r w:rsidRPr="005A79F5">
        <w:t>A summary of the TGA’s assessment for this submission is provided below</w:t>
      </w:r>
      <w:r>
        <w:t>.</w:t>
      </w:r>
    </w:p>
    <w:p w14:paraId="52F5DABA" w14:textId="77777777" w:rsidR="008E7846" w:rsidRDefault="008E7846" w:rsidP="008E7846">
      <w:pPr>
        <w:pStyle w:val="Heading3"/>
      </w:pPr>
      <w:bookmarkStart w:id="49" w:name="_Toc116380310"/>
      <w:r>
        <w:t>Quality</w:t>
      </w:r>
      <w:bookmarkEnd w:id="47"/>
      <w:bookmarkEnd w:id="48"/>
      <w:bookmarkEnd w:id="49"/>
    </w:p>
    <w:p w14:paraId="22842FC0" w14:textId="64874483" w:rsidR="007C2C6A" w:rsidRDefault="007C2C6A" w:rsidP="007C2C6A">
      <w:r>
        <w:t>The sponsor in this submission for the provisional registration of a new strength of the previously approved Comirnaty COVID-19 vaccine containing tozinameran for active immunisation to prevent COVID-19 caused by SARS-CoV-2, in individuals 6 months of age and older, in accordance with official recommendations.</w:t>
      </w:r>
    </w:p>
    <w:p w14:paraId="3C79F498" w14:textId="740AE42F" w:rsidR="007C2C6A" w:rsidRDefault="007C2C6A" w:rsidP="007C2C6A">
      <w:r>
        <w:t xml:space="preserve">The submission contains requests for the extension of indications with a new dosage for individuals 6 months to </w:t>
      </w:r>
      <w:r w:rsidR="00984A13">
        <w:t xml:space="preserve">less than </w:t>
      </w:r>
      <w:r>
        <w:t xml:space="preserve">5 years of age, and a new strength vial presentation (3 µg </w:t>
      </w:r>
      <w:r w:rsidR="002547BE">
        <w:t>tozinameran (m</w:t>
      </w:r>
      <w:r>
        <w:t>RNA</w:t>
      </w:r>
      <w:r w:rsidR="002547BE">
        <w:t>)</w:t>
      </w:r>
      <w:r>
        <w:t xml:space="preserve"> per 0.2 mL dose) aimed at this younger population.</w:t>
      </w:r>
    </w:p>
    <w:p w14:paraId="27591ECF" w14:textId="306AE35B" w:rsidR="007C2C6A" w:rsidRDefault="007C2C6A" w:rsidP="007C2C6A">
      <w:pPr>
        <w:pStyle w:val="Heading4"/>
      </w:pPr>
      <w:r>
        <w:t>Comirnaty (tozinameran) vaccine</w:t>
      </w:r>
    </w:p>
    <w:p w14:paraId="62C700E2" w14:textId="4299A774" w:rsidR="003E3C55" w:rsidRDefault="003E3C55" w:rsidP="007C2C6A">
      <w:r>
        <w:t xml:space="preserve">The Comirnaty </w:t>
      </w:r>
      <w:r w:rsidR="007C2C6A">
        <w:t xml:space="preserve">vaccine is based on </w:t>
      </w:r>
      <w:r>
        <w:t>the SARS</w:t>
      </w:r>
      <w:r>
        <w:noBreakHyphen/>
      </w:r>
      <w:r w:rsidR="007C2C6A">
        <w:t>CoV-2 spike (S) glycoprotein antigens encoded in RNA and form</w:t>
      </w:r>
      <w:r w:rsidR="00B1210D">
        <w:t>ulated in lipid nanoparticles</w:t>
      </w:r>
      <w:r w:rsidR="007C2C6A">
        <w:t xml:space="preserve">. The </w:t>
      </w:r>
      <w:r>
        <w:t xml:space="preserve">active drug substance in this vaccine is tozinameran, </w:t>
      </w:r>
      <w:r w:rsidR="007C2C6A">
        <w:t xml:space="preserve">a single-stranded, 5'-capped </w:t>
      </w:r>
      <w:r>
        <w:t xml:space="preserve">nucleoside-modified </w:t>
      </w:r>
      <w:r w:rsidR="007C2C6A">
        <w:t>mRNA</w:t>
      </w:r>
      <w:r>
        <w:t xml:space="preserve"> (modRNA)</w:t>
      </w:r>
      <w:r w:rsidR="007C2C6A">
        <w:t xml:space="preserve"> that is translated into </w:t>
      </w:r>
      <w:r>
        <w:t xml:space="preserve">a mutated form of the </w:t>
      </w:r>
      <w:r w:rsidR="007C2C6A">
        <w:t>viral spike protein (S</w:t>
      </w:r>
      <w:r>
        <w:t>1S2 protein) of the SARS-CoV-2 virus, triggering an immune response against future infection by the SARS-CoV-2 virus.</w:t>
      </w:r>
    </w:p>
    <w:p w14:paraId="7F8AD5AF" w14:textId="040D9012" w:rsidR="007C2C6A" w:rsidRDefault="00B1210D" w:rsidP="007C2C6A">
      <w:r>
        <w:t>The tozinameran drug substance</w:t>
      </w:r>
      <w:r w:rsidR="007C2C6A">
        <w:t xml:space="preserve"> is encapsulated in </w:t>
      </w:r>
      <w:r>
        <w:t>lipid nanoparticles (LNPs). The RNA</w:t>
      </w:r>
      <w:r>
        <w:noBreakHyphen/>
      </w:r>
      <w:r w:rsidR="007C2C6A">
        <w:t xml:space="preserve">LNP </w:t>
      </w:r>
      <w:r>
        <w:t xml:space="preserve">mixture </w:t>
      </w:r>
      <w:r w:rsidR="007C2C6A">
        <w:t xml:space="preserve">is formulated in </w:t>
      </w:r>
      <w:r>
        <w:t>a tris/s</w:t>
      </w:r>
      <w:r w:rsidR="007C2C6A">
        <w:t xml:space="preserve">ucrose buffer </w:t>
      </w:r>
      <w:r>
        <w:t>to form the drug product (that is, the finished vaccine)</w:t>
      </w:r>
      <w:r w:rsidR="007C2C6A">
        <w:t>.</w:t>
      </w:r>
    </w:p>
    <w:p w14:paraId="0C349FCD" w14:textId="4803AA32" w:rsidR="007C2C6A" w:rsidRDefault="007C2C6A" w:rsidP="007C2C6A">
      <w:r>
        <w:t xml:space="preserve">The new strength proposed is a concentrated suspension for injection at 3 µg /0.2 </w:t>
      </w:r>
      <w:r w:rsidR="00B1210D">
        <w:t>mL concentration per dose. The drug product is formulated in tris/s</w:t>
      </w:r>
      <w:r>
        <w:t>ucrose buffer at a concentration of 0.1 mg/mL tozinameran filled at 0.4 mL per vial. It is required to dilute the content of the vial with 2.2 mL 0.9% sodium chloride prior to administration. A total of 10 doses can be extracted from each vial. Each dose contains 3 µg RNA in 0.2 mL injection volume.</w:t>
      </w:r>
    </w:p>
    <w:p w14:paraId="68A21E21" w14:textId="27126A0C" w:rsidR="00B1210D" w:rsidRDefault="007C2C6A" w:rsidP="007C2C6A">
      <w:r>
        <w:t>The proposed strength is different to the currently reg</w:t>
      </w:r>
      <w:r w:rsidR="00B1210D">
        <w:t>istered products formulated in tris/sucrose buffer in that:</w:t>
      </w:r>
      <w:r w:rsidR="00E90CF7">
        <w:rPr>
          <w:rStyle w:val="FootnoteReference"/>
        </w:rPr>
        <w:footnoteReference w:id="35"/>
      </w:r>
    </w:p>
    <w:p w14:paraId="7B537488" w14:textId="6B9E97B9" w:rsidR="007C2C6A" w:rsidRDefault="007C2C6A" w:rsidP="00B1210D">
      <w:pPr>
        <w:pStyle w:val="ListBullet"/>
      </w:pPr>
      <w:r>
        <w:t>The</w:t>
      </w:r>
      <w:r w:rsidR="00B1210D">
        <w:t xml:space="preserve"> 30 </w:t>
      </w:r>
      <w:proofErr w:type="spellStart"/>
      <w:r w:rsidR="00B1210D">
        <w:t>μg</w:t>
      </w:r>
      <w:proofErr w:type="spellEnd"/>
      <w:r w:rsidR="00B1210D">
        <w:t xml:space="preserve"> RNA dosage presentation (AUST R 377110)</w:t>
      </w:r>
      <w:r>
        <w:t xml:space="preserve"> is filled at 2.25 mL per vial and is administered without dilution, providing 6 doses, each containing a 30 </w:t>
      </w:r>
      <w:proofErr w:type="spellStart"/>
      <w:r>
        <w:t>μg</w:t>
      </w:r>
      <w:proofErr w:type="spellEnd"/>
      <w:r>
        <w:t xml:space="preserve"> RNA dose in 0.3 mL inje</w:t>
      </w:r>
      <w:r w:rsidR="00B1210D">
        <w:t>ction volume for individuals 12</w:t>
      </w:r>
      <w:r>
        <w:t xml:space="preserve"> years of age</w:t>
      </w:r>
      <w:r w:rsidR="00B1210D">
        <w:t xml:space="preserve"> and older</w:t>
      </w:r>
      <w:r>
        <w:t>.</w:t>
      </w:r>
    </w:p>
    <w:p w14:paraId="6E4ED237" w14:textId="349CE57E" w:rsidR="007C2C6A" w:rsidRDefault="007C2C6A" w:rsidP="00B1210D">
      <w:pPr>
        <w:pStyle w:val="ListBullet"/>
      </w:pPr>
      <w:r>
        <w:t>The</w:t>
      </w:r>
      <w:r w:rsidR="00B1210D">
        <w:t xml:space="preserve"> 10 </w:t>
      </w:r>
      <w:proofErr w:type="spellStart"/>
      <w:r w:rsidR="00B1210D">
        <w:t>μg</w:t>
      </w:r>
      <w:proofErr w:type="spellEnd"/>
      <w:r w:rsidR="00B1210D">
        <w:t xml:space="preserve"> RNA dosage presentation (AUST R 377111)</w:t>
      </w:r>
      <w:r>
        <w:t xml:space="preserve"> is filled at 1.3 mL per vial and requires dilution with 1.3 mL 0.9% sodium chloride prior to administration, providing 10 doses, each containing a 10 </w:t>
      </w:r>
      <w:proofErr w:type="spellStart"/>
      <w:r>
        <w:t>μg</w:t>
      </w:r>
      <w:proofErr w:type="spellEnd"/>
      <w:r>
        <w:t xml:space="preserve"> RNA dose in 0.2 mL injecti</w:t>
      </w:r>
      <w:r w:rsidR="00B1210D">
        <w:t xml:space="preserve">on volume for individuals 5 to under </w:t>
      </w:r>
      <w:r>
        <w:t>12 years of age.</w:t>
      </w:r>
    </w:p>
    <w:p w14:paraId="472446F6" w14:textId="5165D8E3" w:rsidR="00C61BD8" w:rsidRDefault="00C61BD8" w:rsidP="00C61BD8">
      <w:r>
        <w:t xml:space="preserve">The TGA evaluation stated that the release specifications for the </w:t>
      </w:r>
      <w:proofErr w:type="gramStart"/>
      <w:r>
        <w:t>3 µg</w:t>
      </w:r>
      <w:proofErr w:type="gramEnd"/>
      <w:r>
        <w:t xml:space="preserve"> dose presentation is the same as the 30 µg and 10 µg dose presentations except for the vial content.</w:t>
      </w:r>
    </w:p>
    <w:p w14:paraId="3BD02468" w14:textId="1057A8DA" w:rsidR="00C61BD8" w:rsidRDefault="00C61BD8" w:rsidP="00CF668A">
      <w:r>
        <w:t xml:space="preserve">The stability specifications for the </w:t>
      </w:r>
      <w:proofErr w:type="gramStart"/>
      <w:r>
        <w:t>3 µg</w:t>
      </w:r>
      <w:proofErr w:type="gramEnd"/>
      <w:r>
        <w:t xml:space="preserve"> dose presentation are identical to those of the</w:t>
      </w:r>
      <w:r w:rsidR="00F657BF">
        <w:t xml:space="preserve"> 30 </w:t>
      </w:r>
      <w:r>
        <w:t>µg and 10 µg doses.</w:t>
      </w:r>
    </w:p>
    <w:p w14:paraId="0549C478" w14:textId="645A312D" w:rsidR="00B1210D" w:rsidRDefault="00B1210D" w:rsidP="00B1210D">
      <w:r w:rsidRPr="00B1210D">
        <w:t>The physicochemical an</w:t>
      </w:r>
      <w:r>
        <w:t>d biological properties of the tris/sucrose drug product</w:t>
      </w:r>
      <w:r w:rsidRPr="00B1210D">
        <w:t xml:space="preserve"> relevant to the safety, clinical performance and manufacturability of the </w:t>
      </w:r>
      <w:r>
        <w:t>drug product</w:t>
      </w:r>
      <w:r w:rsidRPr="00B1210D">
        <w:t xml:space="preserve"> were identifi</w:t>
      </w:r>
      <w:r>
        <w:t xml:space="preserve">ed </w:t>
      </w:r>
      <w:r>
        <w:lastRenderedPageBreak/>
        <w:t>and appropriately characteris</w:t>
      </w:r>
      <w:r w:rsidRPr="00B1210D">
        <w:t xml:space="preserve">ed or controlled </w:t>
      </w:r>
      <w:r>
        <w:t xml:space="preserve">in accordance </w:t>
      </w:r>
      <w:proofErr w:type="gramStart"/>
      <w:r>
        <w:t>to</w:t>
      </w:r>
      <w:proofErr w:type="gramEnd"/>
      <w:r>
        <w:t xml:space="preserve"> ICH guidelines.</w:t>
      </w:r>
      <w:r>
        <w:rPr>
          <w:rStyle w:val="FootnoteReference"/>
        </w:rPr>
        <w:footnoteReference w:id="36"/>
      </w:r>
      <w:r w:rsidRPr="00B1210D">
        <w:t xml:space="preserve"> </w:t>
      </w:r>
      <w:r>
        <w:t>This was acceptable for the TGA evaluation.</w:t>
      </w:r>
    </w:p>
    <w:p w14:paraId="731D7153" w14:textId="264FC3E7" w:rsidR="00A86754" w:rsidRDefault="007434B3" w:rsidP="00A86754">
      <w:pPr>
        <w:pStyle w:val="Heading4"/>
      </w:pPr>
      <w:r>
        <w:t>Formulation</w:t>
      </w:r>
    </w:p>
    <w:p w14:paraId="3A648557" w14:textId="159E1299" w:rsidR="00A86754" w:rsidRPr="00A86754" w:rsidRDefault="00F657BF" w:rsidP="00A86754">
      <w:r>
        <w:fldChar w:fldCharType="begin"/>
      </w:r>
      <w:r>
        <w:instrText xml:space="preserve"> REF _Ref113786235 \h </w:instrText>
      </w:r>
      <w:r>
        <w:fldChar w:fldCharType="separate"/>
      </w:r>
      <w:r w:rsidR="00145C93">
        <w:t xml:space="preserve">Table </w:t>
      </w:r>
      <w:r w:rsidR="00145C93">
        <w:rPr>
          <w:noProof/>
        </w:rPr>
        <w:t>7</w:t>
      </w:r>
      <w:r w:rsidR="00145C93">
        <w:t>: Comirnaty vaccine contents</w:t>
      </w:r>
      <w:r>
        <w:fldChar w:fldCharType="end"/>
      </w:r>
      <w:r w:rsidR="00A86754">
        <w:t xml:space="preserve">, shown below lists the contents of the finished Comirnaty vaccine, along with the function of </w:t>
      </w:r>
      <w:r>
        <w:t>its</w:t>
      </w:r>
      <w:r w:rsidR="00A86754">
        <w:t xml:space="preserve"> excipients.</w:t>
      </w:r>
    </w:p>
    <w:p w14:paraId="288287D8" w14:textId="64FE8139" w:rsidR="00A86754" w:rsidRDefault="00A86754" w:rsidP="00F657BF">
      <w:pPr>
        <w:pStyle w:val="Tabletitle0"/>
      </w:pPr>
      <w:bookmarkStart w:id="50" w:name="_Ref113786235"/>
      <w:r>
        <w:t xml:space="preserve">Table </w:t>
      </w:r>
      <w:r w:rsidR="00582372">
        <w:fldChar w:fldCharType="begin"/>
      </w:r>
      <w:r w:rsidR="00582372">
        <w:instrText xml:space="preserve"> SEQ Table \* ARABIC </w:instrText>
      </w:r>
      <w:r w:rsidR="00582372">
        <w:fldChar w:fldCharType="separate"/>
      </w:r>
      <w:r w:rsidR="00145C93">
        <w:rPr>
          <w:noProof/>
        </w:rPr>
        <w:t>7</w:t>
      </w:r>
      <w:r w:rsidR="00582372">
        <w:rPr>
          <w:noProof/>
        </w:rPr>
        <w:fldChar w:fldCharType="end"/>
      </w:r>
      <w:r>
        <w:t>: Comirnaty vaccine contents</w:t>
      </w:r>
      <w:bookmarkEnd w:id="50"/>
    </w:p>
    <w:tbl>
      <w:tblPr>
        <w:tblStyle w:val="TableTGAblue"/>
        <w:tblW w:w="4343" w:type="pct"/>
        <w:tblLook w:val="0620" w:firstRow="1" w:lastRow="0" w:firstColumn="0" w:lastColumn="0" w:noHBand="1" w:noVBand="1"/>
      </w:tblPr>
      <w:tblGrid>
        <w:gridCol w:w="3410"/>
        <w:gridCol w:w="3959"/>
      </w:tblGrid>
      <w:tr w:rsidR="00A86754" w:rsidRPr="00491EA3" w14:paraId="1B486806" w14:textId="77777777" w:rsidTr="007C0951">
        <w:trPr>
          <w:cnfStyle w:val="100000000000" w:firstRow="1" w:lastRow="0" w:firstColumn="0" w:lastColumn="0" w:oddVBand="0" w:evenVBand="0" w:oddHBand="0" w:evenHBand="0" w:firstRowFirstColumn="0" w:firstRowLastColumn="0" w:lastRowFirstColumn="0" w:lastRowLastColumn="0"/>
          <w:trHeight w:val="378"/>
        </w:trPr>
        <w:tc>
          <w:tcPr>
            <w:tcW w:w="2314" w:type="pct"/>
            <w:vMerge w:val="restart"/>
            <w:tcBorders>
              <w:right w:val="single" w:sz="4" w:space="0" w:color="000000"/>
            </w:tcBorders>
            <w:vAlign w:val="center"/>
          </w:tcPr>
          <w:p w14:paraId="03881472" w14:textId="77777777" w:rsidR="00A86754" w:rsidRPr="007C0951" w:rsidRDefault="00A86754" w:rsidP="007C0951">
            <w:pPr>
              <w:jc w:val="center"/>
            </w:pPr>
            <w:r w:rsidRPr="007C0951">
              <w:t>Ingredient</w:t>
            </w:r>
          </w:p>
        </w:tc>
        <w:tc>
          <w:tcPr>
            <w:tcW w:w="2686" w:type="pct"/>
            <w:vMerge w:val="restart"/>
            <w:tcBorders>
              <w:left w:val="single" w:sz="4" w:space="0" w:color="000000"/>
            </w:tcBorders>
            <w:vAlign w:val="center"/>
          </w:tcPr>
          <w:p w14:paraId="0B1B23AF" w14:textId="77777777" w:rsidR="00A86754" w:rsidRPr="007C0951" w:rsidRDefault="00A86754" w:rsidP="007C0951">
            <w:pPr>
              <w:jc w:val="center"/>
            </w:pPr>
            <w:r w:rsidRPr="007C0951">
              <w:t>Function</w:t>
            </w:r>
          </w:p>
        </w:tc>
      </w:tr>
      <w:tr w:rsidR="00A86754" w:rsidRPr="00491EA3" w14:paraId="05BCC063" w14:textId="77777777" w:rsidTr="007C0951">
        <w:trPr>
          <w:trHeight w:val="498"/>
        </w:trPr>
        <w:tc>
          <w:tcPr>
            <w:tcW w:w="2314" w:type="pct"/>
            <w:vMerge/>
            <w:tcBorders>
              <w:right w:val="single" w:sz="4" w:space="0" w:color="000000"/>
            </w:tcBorders>
          </w:tcPr>
          <w:p w14:paraId="43CB6361" w14:textId="77777777" w:rsidR="00A86754" w:rsidRPr="007C0951" w:rsidRDefault="00A86754" w:rsidP="007C0951">
            <w:pPr>
              <w:jc w:val="center"/>
              <w:rPr>
                <w:sz w:val="20"/>
              </w:rPr>
            </w:pPr>
          </w:p>
        </w:tc>
        <w:tc>
          <w:tcPr>
            <w:tcW w:w="2686" w:type="pct"/>
            <w:vMerge/>
            <w:tcBorders>
              <w:left w:val="single" w:sz="4" w:space="0" w:color="000000"/>
            </w:tcBorders>
          </w:tcPr>
          <w:p w14:paraId="4448C544" w14:textId="77777777" w:rsidR="00A86754" w:rsidRPr="007C0951" w:rsidRDefault="00A86754" w:rsidP="007C0951">
            <w:pPr>
              <w:jc w:val="center"/>
              <w:rPr>
                <w:sz w:val="20"/>
              </w:rPr>
            </w:pPr>
          </w:p>
        </w:tc>
      </w:tr>
      <w:tr w:rsidR="00A86754" w:rsidRPr="00AC5339" w14:paraId="5CBCF6ED" w14:textId="77777777" w:rsidTr="005634F4">
        <w:tc>
          <w:tcPr>
            <w:tcW w:w="2314" w:type="pct"/>
          </w:tcPr>
          <w:p w14:paraId="352D5535" w14:textId="459EA9BC" w:rsidR="00A86754" w:rsidRPr="007C0951" w:rsidRDefault="00654116" w:rsidP="007C0951">
            <w:pPr>
              <w:jc w:val="center"/>
              <w:rPr>
                <w:sz w:val="20"/>
              </w:rPr>
            </w:pPr>
            <w:r w:rsidRPr="007C0951">
              <w:rPr>
                <w:sz w:val="20"/>
              </w:rPr>
              <w:t>Tozinameran/</w:t>
            </w:r>
            <w:r w:rsidR="00A86754" w:rsidRPr="007C0951">
              <w:rPr>
                <w:sz w:val="20"/>
              </w:rPr>
              <w:t>BNT162b2</w:t>
            </w:r>
          </w:p>
        </w:tc>
        <w:tc>
          <w:tcPr>
            <w:tcW w:w="2686" w:type="pct"/>
          </w:tcPr>
          <w:p w14:paraId="2719946F" w14:textId="36BEED17" w:rsidR="00A86754" w:rsidRPr="007C0951" w:rsidRDefault="00A86754" w:rsidP="007C0951">
            <w:pPr>
              <w:jc w:val="center"/>
              <w:rPr>
                <w:sz w:val="20"/>
              </w:rPr>
            </w:pPr>
            <w:r w:rsidRPr="007C0951">
              <w:rPr>
                <w:sz w:val="20"/>
              </w:rPr>
              <w:t>Active ingredient</w:t>
            </w:r>
          </w:p>
        </w:tc>
      </w:tr>
      <w:tr w:rsidR="00A86754" w:rsidRPr="00AC5339" w14:paraId="4156E2A5" w14:textId="77777777" w:rsidTr="005634F4">
        <w:tc>
          <w:tcPr>
            <w:tcW w:w="2314" w:type="pct"/>
          </w:tcPr>
          <w:p w14:paraId="5859DC88" w14:textId="77777777" w:rsidR="00A86754" w:rsidRPr="007C0951" w:rsidRDefault="00A86754" w:rsidP="007C0951">
            <w:pPr>
              <w:jc w:val="center"/>
              <w:rPr>
                <w:sz w:val="20"/>
              </w:rPr>
            </w:pPr>
            <w:r w:rsidRPr="007C0951">
              <w:rPr>
                <w:sz w:val="20"/>
              </w:rPr>
              <w:t>ALC-0315</w:t>
            </w:r>
          </w:p>
        </w:tc>
        <w:tc>
          <w:tcPr>
            <w:tcW w:w="2686" w:type="pct"/>
            <w:vMerge w:val="restart"/>
          </w:tcPr>
          <w:p w14:paraId="3DBF3AC0" w14:textId="77777777" w:rsidR="00A86754" w:rsidRPr="007C0951" w:rsidRDefault="00A86754" w:rsidP="007C0951">
            <w:pPr>
              <w:jc w:val="center"/>
              <w:rPr>
                <w:sz w:val="20"/>
              </w:rPr>
            </w:pPr>
            <w:r w:rsidRPr="007C0951">
              <w:rPr>
                <w:sz w:val="20"/>
              </w:rPr>
              <w:t>Functional lipid</w:t>
            </w:r>
          </w:p>
        </w:tc>
      </w:tr>
      <w:tr w:rsidR="00A86754" w:rsidRPr="00AC5339" w14:paraId="612E3A5B" w14:textId="77777777" w:rsidTr="005634F4">
        <w:tc>
          <w:tcPr>
            <w:tcW w:w="2314" w:type="pct"/>
          </w:tcPr>
          <w:p w14:paraId="3D41A59D" w14:textId="77777777" w:rsidR="00A86754" w:rsidRPr="007C0951" w:rsidRDefault="00A86754" w:rsidP="007C0951">
            <w:pPr>
              <w:jc w:val="center"/>
              <w:rPr>
                <w:sz w:val="20"/>
              </w:rPr>
            </w:pPr>
            <w:r w:rsidRPr="007C0951">
              <w:rPr>
                <w:sz w:val="20"/>
              </w:rPr>
              <w:t>ALC-0159</w:t>
            </w:r>
          </w:p>
        </w:tc>
        <w:tc>
          <w:tcPr>
            <w:tcW w:w="2686" w:type="pct"/>
            <w:vMerge/>
          </w:tcPr>
          <w:p w14:paraId="07EF90D4" w14:textId="77777777" w:rsidR="00A86754" w:rsidRPr="007C0951" w:rsidRDefault="00A86754" w:rsidP="007C0951">
            <w:pPr>
              <w:jc w:val="center"/>
              <w:rPr>
                <w:sz w:val="20"/>
              </w:rPr>
            </w:pPr>
          </w:p>
        </w:tc>
      </w:tr>
      <w:tr w:rsidR="00A86754" w:rsidRPr="00AC5339" w14:paraId="19BB69AD" w14:textId="77777777" w:rsidTr="005634F4">
        <w:tc>
          <w:tcPr>
            <w:tcW w:w="2314" w:type="pct"/>
          </w:tcPr>
          <w:p w14:paraId="4581AFF1" w14:textId="77777777" w:rsidR="00A86754" w:rsidRPr="007C0951" w:rsidRDefault="00A86754" w:rsidP="007C0951">
            <w:pPr>
              <w:jc w:val="center"/>
              <w:rPr>
                <w:sz w:val="20"/>
              </w:rPr>
            </w:pPr>
            <w:r w:rsidRPr="007C0951">
              <w:rPr>
                <w:sz w:val="20"/>
              </w:rPr>
              <w:t>DSPC</w:t>
            </w:r>
          </w:p>
        </w:tc>
        <w:tc>
          <w:tcPr>
            <w:tcW w:w="2686" w:type="pct"/>
            <w:vMerge w:val="restart"/>
          </w:tcPr>
          <w:p w14:paraId="21F3F73F" w14:textId="77777777" w:rsidR="00A86754" w:rsidRPr="007C0951" w:rsidRDefault="00A86754" w:rsidP="007C0951">
            <w:pPr>
              <w:jc w:val="center"/>
              <w:rPr>
                <w:sz w:val="20"/>
              </w:rPr>
            </w:pPr>
            <w:r w:rsidRPr="007C0951">
              <w:rPr>
                <w:sz w:val="20"/>
              </w:rPr>
              <w:t>Structural lipid</w:t>
            </w:r>
          </w:p>
        </w:tc>
      </w:tr>
      <w:tr w:rsidR="00A86754" w:rsidRPr="00AC5339" w14:paraId="097F6162" w14:textId="77777777" w:rsidTr="005634F4">
        <w:tc>
          <w:tcPr>
            <w:tcW w:w="2314" w:type="pct"/>
          </w:tcPr>
          <w:p w14:paraId="45D1E0D2" w14:textId="77777777" w:rsidR="00A86754" w:rsidRPr="007C0951" w:rsidRDefault="00A86754" w:rsidP="007C0951">
            <w:pPr>
              <w:jc w:val="center"/>
              <w:rPr>
                <w:sz w:val="20"/>
              </w:rPr>
            </w:pPr>
            <w:r w:rsidRPr="007C0951">
              <w:rPr>
                <w:sz w:val="20"/>
              </w:rPr>
              <w:t>Cholesterol</w:t>
            </w:r>
          </w:p>
        </w:tc>
        <w:tc>
          <w:tcPr>
            <w:tcW w:w="2686" w:type="pct"/>
            <w:vMerge/>
          </w:tcPr>
          <w:p w14:paraId="75158FEA" w14:textId="77777777" w:rsidR="00A86754" w:rsidRPr="007C0951" w:rsidRDefault="00A86754" w:rsidP="007C0951">
            <w:pPr>
              <w:jc w:val="center"/>
              <w:rPr>
                <w:sz w:val="20"/>
              </w:rPr>
            </w:pPr>
          </w:p>
        </w:tc>
      </w:tr>
      <w:tr w:rsidR="00A86754" w:rsidRPr="00AC5339" w14:paraId="3E8B1186" w14:textId="77777777" w:rsidTr="005634F4">
        <w:tc>
          <w:tcPr>
            <w:tcW w:w="2314" w:type="pct"/>
          </w:tcPr>
          <w:p w14:paraId="76C79FED" w14:textId="77777777" w:rsidR="00A86754" w:rsidRPr="007C0951" w:rsidRDefault="00A86754" w:rsidP="007C0951">
            <w:pPr>
              <w:jc w:val="center"/>
              <w:rPr>
                <w:sz w:val="20"/>
              </w:rPr>
            </w:pPr>
            <w:r w:rsidRPr="007C0951">
              <w:rPr>
                <w:sz w:val="20"/>
              </w:rPr>
              <w:t>Sucrose</w:t>
            </w:r>
          </w:p>
        </w:tc>
        <w:tc>
          <w:tcPr>
            <w:tcW w:w="2686" w:type="pct"/>
          </w:tcPr>
          <w:p w14:paraId="701F2CCB" w14:textId="77777777" w:rsidR="00A86754" w:rsidRPr="007C0951" w:rsidRDefault="00A86754" w:rsidP="007C0951">
            <w:pPr>
              <w:jc w:val="center"/>
              <w:rPr>
                <w:sz w:val="20"/>
              </w:rPr>
            </w:pPr>
            <w:r w:rsidRPr="007C0951">
              <w:rPr>
                <w:sz w:val="20"/>
              </w:rPr>
              <w:t>Cryoprotectant</w:t>
            </w:r>
          </w:p>
        </w:tc>
      </w:tr>
      <w:tr w:rsidR="00A86754" w:rsidRPr="00AC5339" w14:paraId="21E279D0" w14:textId="77777777" w:rsidTr="005634F4">
        <w:tc>
          <w:tcPr>
            <w:tcW w:w="2314" w:type="pct"/>
          </w:tcPr>
          <w:p w14:paraId="782C1D8A" w14:textId="7F58D7BC" w:rsidR="00A86754" w:rsidRPr="007C0951" w:rsidRDefault="00A86754" w:rsidP="007C0951">
            <w:pPr>
              <w:jc w:val="center"/>
              <w:rPr>
                <w:sz w:val="20"/>
              </w:rPr>
            </w:pPr>
            <w:r w:rsidRPr="007C0951">
              <w:rPr>
                <w:sz w:val="20"/>
              </w:rPr>
              <w:t>Tromethamine (</w:t>
            </w:r>
            <w:proofErr w:type="gramStart"/>
            <w:r w:rsidRPr="007C0951">
              <w:rPr>
                <w:sz w:val="20"/>
              </w:rPr>
              <w:t>Tris</w:t>
            </w:r>
            <w:proofErr w:type="gramEnd"/>
            <w:r w:rsidRPr="007C0951">
              <w:rPr>
                <w:sz w:val="20"/>
              </w:rPr>
              <w:t xml:space="preserve"> base) </w:t>
            </w:r>
            <w:r w:rsidR="0060388E" w:rsidRPr="007C0951">
              <w:rPr>
                <w:sz w:val="20"/>
              </w:rPr>
              <w:t>a</w:t>
            </w:r>
          </w:p>
        </w:tc>
        <w:tc>
          <w:tcPr>
            <w:tcW w:w="2686" w:type="pct"/>
            <w:vMerge w:val="restart"/>
          </w:tcPr>
          <w:p w14:paraId="036F846D" w14:textId="77777777" w:rsidR="00A86754" w:rsidRPr="007C0951" w:rsidRDefault="00A86754" w:rsidP="007C0951">
            <w:pPr>
              <w:jc w:val="center"/>
              <w:rPr>
                <w:sz w:val="20"/>
              </w:rPr>
            </w:pPr>
            <w:r w:rsidRPr="007C0951">
              <w:rPr>
                <w:sz w:val="20"/>
              </w:rPr>
              <w:t>Buffer component</w:t>
            </w:r>
          </w:p>
        </w:tc>
      </w:tr>
      <w:tr w:rsidR="00A86754" w:rsidRPr="00AC5339" w14:paraId="71E73C5B" w14:textId="77777777" w:rsidTr="005634F4">
        <w:tc>
          <w:tcPr>
            <w:tcW w:w="2314" w:type="pct"/>
          </w:tcPr>
          <w:p w14:paraId="0867E3C7" w14:textId="46A74488" w:rsidR="00A86754" w:rsidRPr="007C0951" w:rsidRDefault="00A86754" w:rsidP="007C0951">
            <w:pPr>
              <w:jc w:val="center"/>
              <w:rPr>
                <w:sz w:val="20"/>
              </w:rPr>
            </w:pPr>
            <w:proofErr w:type="gramStart"/>
            <w:r w:rsidRPr="007C0951">
              <w:rPr>
                <w:sz w:val="20"/>
              </w:rPr>
              <w:t>Tris</w:t>
            </w:r>
            <w:proofErr w:type="gramEnd"/>
            <w:r w:rsidRPr="007C0951">
              <w:rPr>
                <w:sz w:val="20"/>
              </w:rPr>
              <w:t xml:space="preserve"> </w:t>
            </w:r>
            <w:r w:rsidR="0060388E" w:rsidRPr="007C0951">
              <w:rPr>
                <w:sz w:val="20"/>
              </w:rPr>
              <w:t>h</w:t>
            </w:r>
            <w:r w:rsidRPr="007C0951">
              <w:rPr>
                <w:sz w:val="20"/>
              </w:rPr>
              <w:t xml:space="preserve">ydrochloride </w:t>
            </w:r>
            <w:r w:rsidR="0060388E" w:rsidRPr="007C0951">
              <w:rPr>
                <w:sz w:val="20"/>
              </w:rPr>
              <w:t>b</w:t>
            </w:r>
          </w:p>
        </w:tc>
        <w:tc>
          <w:tcPr>
            <w:tcW w:w="2686" w:type="pct"/>
            <w:vMerge/>
          </w:tcPr>
          <w:p w14:paraId="721E47C3" w14:textId="77777777" w:rsidR="00A86754" w:rsidRPr="007C0951" w:rsidRDefault="00A86754" w:rsidP="007C0951">
            <w:pPr>
              <w:jc w:val="center"/>
              <w:rPr>
                <w:sz w:val="20"/>
              </w:rPr>
            </w:pPr>
          </w:p>
        </w:tc>
      </w:tr>
      <w:tr w:rsidR="00A86754" w:rsidRPr="00AC5339" w14:paraId="236DFCA4" w14:textId="77777777" w:rsidTr="005634F4">
        <w:tc>
          <w:tcPr>
            <w:tcW w:w="2314" w:type="pct"/>
          </w:tcPr>
          <w:p w14:paraId="4F035170" w14:textId="77777777" w:rsidR="00A86754" w:rsidRPr="007C0951" w:rsidRDefault="00A86754" w:rsidP="007C0951">
            <w:pPr>
              <w:jc w:val="center"/>
              <w:rPr>
                <w:sz w:val="20"/>
              </w:rPr>
            </w:pPr>
            <w:r w:rsidRPr="007C0951">
              <w:rPr>
                <w:sz w:val="20"/>
              </w:rPr>
              <w:t>Water for Injection (WFI)</w:t>
            </w:r>
          </w:p>
        </w:tc>
        <w:tc>
          <w:tcPr>
            <w:tcW w:w="2686" w:type="pct"/>
          </w:tcPr>
          <w:p w14:paraId="49329EDE" w14:textId="77777777" w:rsidR="00A86754" w:rsidRPr="007C0951" w:rsidRDefault="00A86754" w:rsidP="007C0951">
            <w:pPr>
              <w:jc w:val="center"/>
              <w:rPr>
                <w:sz w:val="20"/>
              </w:rPr>
            </w:pPr>
            <w:r w:rsidRPr="007C0951">
              <w:rPr>
                <w:sz w:val="20"/>
              </w:rPr>
              <w:t>Solvent/vehicle</w:t>
            </w:r>
          </w:p>
        </w:tc>
      </w:tr>
    </w:tbl>
    <w:p w14:paraId="2011335E" w14:textId="6A9151AF" w:rsidR="0060388E" w:rsidRPr="00AB3ACE" w:rsidRDefault="0060388E" w:rsidP="0060388E">
      <w:pPr>
        <w:pStyle w:val="TableDescription"/>
      </w:pPr>
      <w:proofErr w:type="spellStart"/>
      <w:r>
        <w:rPr>
          <w:vertAlign w:val="superscript"/>
        </w:rPr>
        <w:t>a</w:t>
      </w:r>
      <w:proofErr w:type="spellEnd"/>
      <w:r w:rsidRPr="00AB3ACE">
        <w:rPr>
          <w:vertAlign w:val="superscript"/>
        </w:rPr>
        <w:t xml:space="preserve"> </w:t>
      </w:r>
      <w:r w:rsidRPr="00AB3ACE">
        <w:t xml:space="preserve">The </w:t>
      </w:r>
      <w:r w:rsidR="005634F4">
        <w:t>Australian Approved N</w:t>
      </w:r>
      <w:r>
        <w:t xml:space="preserve">ame </w:t>
      </w:r>
      <w:r w:rsidR="005634F4">
        <w:t xml:space="preserve">(AAN) </w:t>
      </w:r>
      <w:r>
        <w:t>is t</w:t>
      </w:r>
      <w:r w:rsidRPr="00AB3ACE">
        <w:t>rometamol</w:t>
      </w:r>
    </w:p>
    <w:p w14:paraId="4EEC6CF2" w14:textId="579DCFAE" w:rsidR="0060388E" w:rsidRPr="00AB3ACE" w:rsidRDefault="0060388E" w:rsidP="0060388E">
      <w:pPr>
        <w:pStyle w:val="TableDescription"/>
      </w:pPr>
      <w:r>
        <w:rPr>
          <w:vertAlign w:val="superscript"/>
        </w:rPr>
        <w:t>b</w:t>
      </w:r>
      <w:r w:rsidRPr="00AB3ACE">
        <w:rPr>
          <w:vertAlign w:val="superscript"/>
        </w:rPr>
        <w:t xml:space="preserve"> </w:t>
      </w:r>
      <w:r>
        <w:t>Also known as tromethamine HCl and t</w:t>
      </w:r>
      <w:r w:rsidRPr="00AB3ACE">
        <w:t xml:space="preserve">rometamol HCl. </w:t>
      </w:r>
      <w:r>
        <w:t>The Australian</w:t>
      </w:r>
      <w:r w:rsidR="005634F4">
        <w:t xml:space="preserve"> Approved N</w:t>
      </w:r>
      <w:r>
        <w:t xml:space="preserve">ame </w:t>
      </w:r>
      <w:r w:rsidR="005634F4">
        <w:t xml:space="preserve">(AAN) </w:t>
      </w:r>
      <w:r>
        <w:t>is trometamol hydrochloride.</w:t>
      </w:r>
    </w:p>
    <w:p w14:paraId="603E552B" w14:textId="4FE5B33F" w:rsidR="0060388E" w:rsidRPr="00AB3ACE" w:rsidRDefault="00D95D43" w:rsidP="00D95D43">
      <w:pPr>
        <w:pStyle w:val="TableDescription"/>
      </w:pPr>
      <w:r>
        <w:t xml:space="preserve">Abbreviations: </w:t>
      </w:r>
      <w:r w:rsidR="0060388E" w:rsidRPr="00D95D43">
        <w:t>ALC</w:t>
      </w:r>
      <w:r w:rsidR="0060388E" w:rsidRPr="00AB3ACE">
        <w:t>-0315: ((4-</w:t>
      </w:r>
      <w:proofErr w:type="gramStart"/>
      <w:r w:rsidR="0060388E" w:rsidRPr="00AB3ACE">
        <w:t>hydroxybutyl)azanediyl</w:t>
      </w:r>
      <w:proofErr w:type="gramEnd"/>
      <w:r w:rsidR="0060388E" w:rsidRPr="00AB3ACE">
        <w:t>)bis(hexane-6,1-</w:t>
      </w:r>
      <w:r>
        <w:t>diyl)bis(2-hexyldecanoate); ALC</w:t>
      </w:r>
      <w:r>
        <w:noBreakHyphen/>
      </w:r>
      <w:r w:rsidR="0060388E" w:rsidRPr="00AB3ACE">
        <w:t>0159: 2-[(polyethylene glycol)-2000]-N,N-</w:t>
      </w:r>
      <w:proofErr w:type="spellStart"/>
      <w:r w:rsidR="0060388E" w:rsidRPr="00AB3ACE">
        <w:t>ditetra</w:t>
      </w:r>
      <w:r>
        <w:t>decylacetamide</w:t>
      </w:r>
      <w:proofErr w:type="spellEnd"/>
      <w:r>
        <w:t>;</w:t>
      </w:r>
      <w:r>
        <w:br/>
      </w:r>
      <w:r w:rsidR="0060388E" w:rsidRPr="00AB3ACE">
        <w:t>DSPC: 1,2-distearoy</w:t>
      </w:r>
      <w:r>
        <w:t>l-sn-glycero-3-phosphocholine.</w:t>
      </w:r>
    </w:p>
    <w:p w14:paraId="1E4D4300" w14:textId="7135B940" w:rsidR="007434B3" w:rsidRPr="007434B3" w:rsidRDefault="007434B3" w:rsidP="007434B3">
      <w:r w:rsidRPr="007434B3">
        <w:t>Th</w:t>
      </w:r>
      <w:r w:rsidR="007C0951">
        <w:t>e four</w:t>
      </w:r>
      <w:r w:rsidRPr="007434B3">
        <w:t xml:space="preserve"> lipid excipients (ALC-0315, ALC-0159, DSPC, cholesterol) and the sucrose cryoprotectant used in the proposed 3 µg dose will be the same as those</w:t>
      </w:r>
      <w:r>
        <w:t xml:space="preserve"> used for the current approved tris/s</w:t>
      </w:r>
      <w:r w:rsidRPr="007434B3">
        <w:t xml:space="preserve">ucrose </w:t>
      </w:r>
      <w:r>
        <w:t>vaccine presentations</w:t>
      </w:r>
      <w:r w:rsidRPr="007434B3">
        <w:t xml:space="preserve">. The buffer components and </w:t>
      </w:r>
      <w:r>
        <w:t>water for injection</w:t>
      </w:r>
      <w:r w:rsidRPr="007434B3">
        <w:t xml:space="preserve"> also remains unchanged</w:t>
      </w:r>
      <w:r>
        <w:t>. With respect to the excipients, data from these</w:t>
      </w:r>
      <w:r w:rsidRPr="007434B3">
        <w:t xml:space="preserve"> have been considered previously for the registration of 30 µg and 10 µg dose presentations, which is acceptable.</w:t>
      </w:r>
    </w:p>
    <w:p w14:paraId="25E1E910" w14:textId="5D86D6F3" w:rsidR="007434B3" w:rsidRDefault="007434B3" w:rsidP="007434B3">
      <w:pPr>
        <w:pStyle w:val="Heading4"/>
      </w:pPr>
      <w:r>
        <w:t>Container</w:t>
      </w:r>
    </w:p>
    <w:p w14:paraId="1AC00FC6" w14:textId="0503A6B4" w:rsidR="00412566" w:rsidRDefault="00412566" w:rsidP="00412566">
      <w:r>
        <w:t xml:space="preserve">The container (vial) and closure system are the same as that established for the </w:t>
      </w:r>
      <w:proofErr w:type="gramStart"/>
      <w:r>
        <w:t>10 µg</w:t>
      </w:r>
      <w:proofErr w:type="gramEnd"/>
      <w:r>
        <w:t xml:space="preserve"> dose including the vial size (2 mL borosilicate or aluminosilicate glass vial and a 13 mm </w:t>
      </w:r>
      <w:proofErr w:type="spellStart"/>
      <w:r>
        <w:t>bromobutyl</w:t>
      </w:r>
      <w:proofErr w:type="spellEnd"/>
      <w:r>
        <w:t xml:space="preserve"> elastomeric closure).</w:t>
      </w:r>
    </w:p>
    <w:p w14:paraId="03D1D428" w14:textId="77777777" w:rsidR="00412566" w:rsidRPr="006F389A" w:rsidRDefault="00412566" w:rsidP="006F389A">
      <w:r>
        <w:lastRenderedPageBreak/>
        <w:t>The 3 µg</w:t>
      </w:r>
      <w:r w:rsidRPr="00004A2F">
        <w:t xml:space="preserve"> dose presentation</w:t>
      </w:r>
      <w:r>
        <w:t xml:space="preserve"> vials</w:t>
      </w:r>
      <w:r w:rsidRPr="00004A2F">
        <w:t xml:space="preserve"> </w:t>
      </w:r>
      <w:r>
        <w:t xml:space="preserve">are distinguished from the 30 µg and 10 µg vials by the colour coded flip-off caps. The cap colours are </w:t>
      </w:r>
      <w:r w:rsidRPr="006F389A">
        <w:t>as follows:</w:t>
      </w:r>
    </w:p>
    <w:p w14:paraId="2C15BBFD" w14:textId="48D60B92" w:rsidR="000F1D05" w:rsidRDefault="000F1D05" w:rsidP="000F1D05">
      <w:pPr>
        <w:pStyle w:val="ListBullet"/>
      </w:pPr>
      <w:r>
        <w:t xml:space="preserve">30 </w:t>
      </w:r>
      <w:r w:rsidRPr="006F389A">
        <w:t>µg</w:t>
      </w:r>
      <w:r>
        <w:t xml:space="preserve"> presentation: </w:t>
      </w:r>
      <w:r w:rsidRPr="000F1D05">
        <w:rPr>
          <w:b/>
        </w:rPr>
        <w:t>purple</w:t>
      </w:r>
      <w:r>
        <w:t xml:space="preserve"> flip-off plastic cap (AUST R</w:t>
      </w:r>
      <w:r w:rsidRPr="000F1D05">
        <w:t>346290</w:t>
      </w:r>
      <w:r>
        <w:t>)</w:t>
      </w:r>
    </w:p>
    <w:p w14:paraId="5686ACC4" w14:textId="2F65D678" w:rsidR="000F1D05" w:rsidRDefault="000F1D05" w:rsidP="00F664E8">
      <w:pPr>
        <w:pStyle w:val="ListBullet2"/>
      </w:pPr>
      <w:r>
        <w:t>PBS/sucrose-buffered presentation, dilute to use, multidose vial</w:t>
      </w:r>
    </w:p>
    <w:p w14:paraId="23C4AB4B" w14:textId="2EF9727F" w:rsidR="00412566" w:rsidRDefault="00412566" w:rsidP="006F389A">
      <w:pPr>
        <w:pStyle w:val="ListBullet"/>
      </w:pPr>
      <w:r w:rsidRPr="006F389A">
        <w:t xml:space="preserve">30 µg presentation: </w:t>
      </w:r>
      <w:r w:rsidRPr="000F1D05">
        <w:rPr>
          <w:b/>
        </w:rPr>
        <w:t>grey</w:t>
      </w:r>
      <w:r w:rsidRPr="006F389A">
        <w:t xml:space="preserve"> flip-off plastic cap</w:t>
      </w:r>
      <w:r w:rsidR="006F389A" w:rsidRPr="006F389A">
        <w:t xml:space="preserve"> (AUST R 377110</w:t>
      </w:r>
      <w:r w:rsidR="006F389A">
        <w:t>)</w:t>
      </w:r>
    </w:p>
    <w:p w14:paraId="32AA472E" w14:textId="7002A981" w:rsidR="000F1D05" w:rsidRPr="006F389A" w:rsidRDefault="000F1D05" w:rsidP="000F1D05">
      <w:pPr>
        <w:pStyle w:val="ListBullet2"/>
      </w:pPr>
      <w:r>
        <w:t>Tris/sucrose-buffered presentation, ready to use (do not dilute), multidose vial</w:t>
      </w:r>
    </w:p>
    <w:p w14:paraId="4AEC2EE4" w14:textId="7D965E84" w:rsidR="00412566" w:rsidRDefault="00412566" w:rsidP="00412566">
      <w:pPr>
        <w:pStyle w:val="ListBullet"/>
      </w:pPr>
      <w:r w:rsidRPr="00412566">
        <w:t xml:space="preserve">10 µg presentation: </w:t>
      </w:r>
      <w:r w:rsidRPr="000F1D05">
        <w:rPr>
          <w:b/>
        </w:rPr>
        <w:t>orange</w:t>
      </w:r>
      <w:r w:rsidRPr="00412566">
        <w:t xml:space="preserve"> flip-off plastic cap</w:t>
      </w:r>
      <w:r w:rsidR="006F389A">
        <w:t xml:space="preserve"> (AUST R 377111)</w:t>
      </w:r>
    </w:p>
    <w:p w14:paraId="0CB4F919" w14:textId="776E393F" w:rsidR="000F1D05" w:rsidRPr="00412566" w:rsidRDefault="000F1D05" w:rsidP="000F1D05">
      <w:pPr>
        <w:pStyle w:val="ListBullet2"/>
      </w:pPr>
      <w:r>
        <w:t>Tris/sucrose-buffered presentation, dilute to use, multidose vial</w:t>
      </w:r>
    </w:p>
    <w:p w14:paraId="781EFAA3" w14:textId="45EF8321" w:rsidR="00412566" w:rsidRDefault="00412566" w:rsidP="00412566">
      <w:pPr>
        <w:pStyle w:val="ListBullet"/>
      </w:pPr>
      <w:r w:rsidRPr="00412566">
        <w:t xml:space="preserve">3 µg presentation: </w:t>
      </w:r>
      <w:r w:rsidRPr="000F1D05">
        <w:rPr>
          <w:b/>
        </w:rPr>
        <w:t>maroon</w:t>
      </w:r>
      <w:r w:rsidRPr="00412566">
        <w:t xml:space="preserve"> flip-off plastic cap</w:t>
      </w:r>
      <w:r w:rsidR="006F389A">
        <w:t xml:space="preserve"> (proposed)</w:t>
      </w:r>
    </w:p>
    <w:p w14:paraId="1A037D03" w14:textId="77777777" w:rsidR="000F1D05" w:rsidRPr="00412566" w:rsidRDefault="000F1D05" w:rsidP="000F1D05">
      <w:pPr>
        <w:pStyle w:val="ListBullet2"/>
      </w:pPr>
      <w:r>
        <w:t>Tris/sucrose-buffered presentation, dilute to use, multidose vial</w:t>
      </w:r>
    </w:p>
    <w:p w14:paraId="18F0FDD9" w14:textId="5F5A8A8B" w:rsidR="00412566" w:rsidRPr="00412566" w:rsidRDefault="00412566" w:rsidP="00412566">
      <w:r>
        <w:t>The quality evaluation recommended that Comirnaty (tozinameran) COVID-19 Vaccine 3 µg/0.2 mL concentrated suspension for injection vial is acceptable for registration with respect to container safety.</w:t>
      </w:r>
    </w:p>
    <w:p w14:paraId="091F7287" w14:textId="665DC3D9" w:rsidR="007434B3" w:rsidRDefault="00B35AD6" w:rsidP="00F664E8">
      <w:pPr>
        <w:pStyle w:val="Heading4"/>
      </w:pPr>
      <w:r>
        <w:t>Stability</w:t>
      </w:r>
    </w:p>
    <w:p w14:paraId="4C946304" w14:textId="36E86E44" w:rsidR="00636D20" w:rsidRDefault="00CC2EAB" w:rsidP="00F664E8">
      <w:r w:rsidRPr="00CC2EAB">
        <w:t xml:space="preserve">A </w:t>
      </w:r>
      <w:r w:rsidR="00B35AD6">
        <w:t xml:space="preserve">proposed </w:t>
      </w:r>
      <w:r w:rsidRPr="00CC2EAB">
        <w:t>shelf life of 12 months when stored at the recommended long term storage condition of -90°C to -60°C is acceptable for the proposed 3 µg dose presentation. Additionally, the proposal to allow storage of the vaccine at the point of use for a maximum of 10 weeks at 2°C to 8°C within the 12 months shelf-life is acceptable.</w:t>
      </w:r>
      <w:r w:rsidR="00B35AD6">
        <w:t xml:space="preserve"> </w:t>
      </w:r>
      <w:r>
        <w:t>These proposals and testing are based on ICH Q5C guidance.</w:t>
      </w:r>
      <w:r>
        <w:rPr>
          <w:rStyle w:val="FootnoteReference"/>
        </w:rPr>
        <w:footnoteReference w:id="37"/>
      </w:r>
      <w:r>
        <w:t xml:space="preserve"> Stability was shown based on real</w:t>
      </w:r>
      <w:r w:rsidR="00B35AD6">
        <w:t xml:space="preserve"> time stability </w:t>
      </w:r>
      <w:r>
        <w:t xml:space="preserve">data, as well as </w:t>
      </w:r>
      <w:r w:rsidR="007C0951">
        <w:t>compatibility</w:t>
      </w:r>
      <w:r w:rsidR="00B35AD6">
        <w:t xml:space="preserve"> </w:t>
      </w:r>
      <w:r>
        <w:t>data supplied from the p</w:t>
      </w:r>
      <w:r w:rsidR="007C0951">
        <w:t>reviously approved 30 </w:t>
      </w:r>
      <w:r>
        <w:t>µg and 10 µg presentations.</w:t>
      </w:r>
    </w:p>
    <w:p w14:paraId="299477A2" w14:textId="2797B85F" w:rsidR="00CC2EAB" w:rsidRDefault="00B35AD6" w:rsidP="00B35AD6">
      <w:pPr>
        <w:pStyle w:val="Heading5"/>
      </w:pPr>
      <w:r>
        <w:t>Proposed storage and shelf life</w:t>
      </w:r>
    </w:p>
    <w:p w14:paraId="379E79DE" w14:textId="73C7B6E8" w:rsidR="00B35AD6" w:rsidRDefault="00B35AD6" w:rsidP="00B35AD6">
      <w:r>
        <w:t xml:space="preserve">The </w:t>
      </w:r>
      <w:r w:rsidR="00412566">
        <w:t xml:space="preserve">TGA evaluation has found the </w:t>
      </w:r>
      <w:r>
        <w:t xml:space="preserve">following proposed storage and </w:t>
      </w:r>
      <w:proofErr w:type="gramStart"/>
      <w:r>
        <w:t>shelf life</w:t>
      </w:r>
      <w:proofErr w:type="gramEnd"/>
      <w:r>
        <w:t xml:space="preserve"> conditions </w:t>
      </w:r>
      <w:r w:rsidR="00412566">
        <w:t>acceptable</w:t>
      </w:r>
      <w:r>
        <w:t>:</w:t>
      </w:r>
    </w:p>
    <w:p w14:paraId="78BA0BDE" w14:textId="35F6A078" w:rsidR="00B35AD6" w:rsidRPr="00B35AD6" w:rsidRDefault="00B35AD6" w:rsidP="00F664E8">
      <w:pPr>
        <w:pStyle w:val="ListBullet"/>
      </w:pPr>
      <w:r>
        <w:t>Unopened vials:</w:t>
      </w:r>
    </w:p>
    <w:p w14:paraId="5695A5F1" w14:textId="215C4184" w:rsidR="00B35AD6" w:rsidRPr="00B35AD6" w:rsidRDefault="00B35AD6" w:rsidP="00B35AD6">
      <w:pPr>
        <w:pStyle w:val="ListBullet2"/>
      </w:pPr>
      <w:r>
        <w:t xml:space="preserve">have a shelf life of </w:t>
      </w:r>
      <w:r w:rsidRPr="00B35AD6">
        <w:t>12 months when stored at -90°C to -60°C.</w:t>
      </w:r>
    </w:p>
    <w:p w14:paraId="52A4B32B" w14:textId="69FF9C46" w:rsidR="00412566" w:rsidRPr="00412566" w:rsidRDefault="00B35AD6" w:rsidP="00412566">
      <w:pPr>
        <w:pStyle w:val="ListBullet2"/>
      </w:pPr>
      <w:r>
        <w:t>o</w:t>
      </w:r>
      <w:r w:rsidRPr="007A6047">
        <w:t xml:space="preserve">nce removed from frozen storage, the unopened vial may be stored refrigerated at 2°C to 8°C for a single period of up to 10 weeks </w:t>
      </w:r>
      <w:r w:rsidR="00412566">
        <w:t>within the 12-month shelf life.</w:t>
      </w:r>
    </w:p>
    <w:p w14:paraId="623EE8C9" w14:textId="77777777" w:rsidR="00B35AD6" w:rsidRPr="007A6047" w:rsidRDefault="00B35AD6" w:rsidP="00B35AD6">
      <w:pPr>
        <w:pStyle w:val="ListBullet"/>
      </w:pPr>
      <w:r w:rsidRPr="007A6047">
        <w:t xml:space="preserve">When stored frozen at -90°C to -60°C, the vaccine can be thawed at either 2°C to 8°C or at temperatures up to 30°C. </w:t>
      </w:r>
    </w:p>
    <w:p w14:paraId="2275632E" w14:textId="77777777" w:rsidR="00B35AD6" w:rsidRPr="007A6047" w:rsidRDefault="00B35AD6" w:rsidP="00B35AD6">
      <w:pPr>
        <w:pStyle w:val="ListBullet"/>
      </w:pPr>
      <w:r w:rsidRPr="007A6047">
        <w:t>Vaccine may be stored at temperatures between 8°C to 30°C for up to 24 hours, including any time within these temperatures following first puncture.</w:t>
      </w:r>
    </w:p>
    <w:p w14:paraId="14674E58" w14:textId="3893E596" w:rsidR="00FC4AAD" w:rsidRDefault="00FC4AAD" w:rsidP="00F664E8">
      <w:pPr>
        <w:pStyle w:val="Heading4"/>
      </w:pPr>
      <w:r>
        <w:t>Infectious disease/viral safety</w:t>
      </w:r>
    </w:p>
    <w:p w14:paraId="1D3FF86E" w14:textId="07F8C0B7" w:rsidR="00412566" w:rsidRDefault="00FC4AAD" w:rsidP="00FC4AAD">
      <w:r>
        <w:t xml:space="preserve">A secondary TGA evaluation was conducted to evaluate the infectious disease safety of the active drug substance (tozinameran) and drug product (Comirnaty finished vaccine). The </w:t>
      </w:r>
      <w:proofErr w:type="spellStart"/>
      <w:r>
        <w:t>evalution</w:t>
      </w:r>
      <w:proofErr w:type="spellEnd"/>
      <w:r>
        <w:t xml:space="preserve"> concluded that considering the Comirnaty vaccine is produced using a cell free </w:t>
      </w:r>
      <w:r w:rsidRPr="00FC4AAD">
        <w:rPr>
          <w:i/>
        </w:rPr>
        <w:t>in-vitro</w:t>
      </w:r>
      <w:r>
        <w:t xml:space="preserve"> transcription method and that there is no change to the raw materials of human or animal origin, the risk of adventitious agent contamination is negligible for this product.</w:t>
      </w:r>
    </w:p>
    <w:p w14:paraId="0FCB8E26" w14:textId="2FB27D26" w:rsidR="00FC4AAD" w:rsidRDefault="00FC4AAD" w:rsidP="00FC4AAD">
      <w:pPr>
        <w:pStyle w:val="Heading4"/>
      </w:pPr>
      <w:r>
        <w:lastRenderedPageBreak/>
        <w:t>Microbiology (sterility)</w:t>
      </w:r>
    </w:p>
    <w:p w14:paraId="35D6972C" w14:textId="01B63647" w:rsidR="00FC4AAD" w:rsidRPr="00FC4AAD" w:rsidRDefault="00FC4AAD" w:rsidP="00FC4AAD">
      <w:r w:rsidRPr="00AF14C6">
        <w:rPr>
          <w:rStyle w:val="StandardChar"/>
          <w:rFonts w:eastAsia="Cambria"/>
        </w:rPr>
        <w:t xml:space="preserve">A </w:t>
      </w:r>
      <w:r w:rsidRPr="00FC4AAD">
        <w:t>secondary</w:t>
      </w:r>
      <w:r w:rsidRPr="00AF14C6">
        <w:rPr>
          <w:rStyle w:val="StandardChar"/>
          <w:rFonts w:eastAsia="Cambria"/>
        </w:rPr>
        <w:t xml:space="preserve"> </w:t>
      </w:r>
      <w:r>
        <w:rPr>
          <w:rStyle w:val="StandardChar"/>
          <w:rFonts w:eastAsia="Cambria"/>
          <w:szCs w:val="22"/>
        </w:rPr>
        <w:t xml:space="preserve">TGA </w:t>
      </w:r>
      <w:r w:rsidRPr="00AF14C6">
        <w:rPr>
          <w:rStyle w:val="StandardChar"/>
          <w:rFonts w:eastAsia="Cambria"/>
        </w:rPr>
        <w:t>evaluation was conducted to evaluate sterility aspect. The following sterility aspects were taken into consideration:</w:t>
      </w:r>
      <w:r>
        <w:rPr>
          <w:rStyle w:val="StandardChar"/>
          <w:rFonts w:eastAsia="Cambria"/>
          <w:szCs w:val="22"/>
        </w:rPr>
        <w:t xml:space="preserve"> Good Manufacturing Practice (</w:t>
      </w:r>
      <w:r w:rsidRPr="00AF14C6">
        <w:rPr>
          <w:rStyle w:val="StandardChar"/>
          <w:rFonts w:eastAsia="Cambria"/>
        </w:rPr>
        <w:t>GMP</w:t>
      </w:r>
      <w:r>
        <w:rPr>
          <w:rStyle w:val="StandardChar"/>
          <w:rFonts w:eastAsia="Cambria"/>
          <w:szCs w:val="22"/>
        </w:rPr>
        <w:t>)</w:t>
      </w:r>
      <w:r w:rsidRPr="00AF14C6">
        <w:rPr>
          <w:rStyle w:val="StandardChar"/>
          <w:rFonts w:eastAsia="Cambria"/>
        </w:rPr>
        <w:t xml:space="preserve"> status</w:t>
      </w:r>
      <w:r>
        <w:rPr>
          <w:rStyle w:val="StandardChar"/>
          <w:rFonts w:eastAsia="Cambria"/>
          <w:szCs w:val="22"/>
        </w:rPr>
        <w:t>; s</w:t>
      </w:r>
      <w:r w:rsidRPr="00FC4AAD">
        <w:t>terile manufacturing process and process validation</w:t>
      </w:r>
      <w:r>
        <w:t xml:space="preserve">; drug product </w:t>
      </w:r>
      <w:r w:rsidRPr="00FC4AAD">
        <w:t>filling</w:t>
      </w:r>
      <w:r>
        <w:t>; c</w:t>
      </w:r>
      <w:r w:rsidRPr="00FC4AAD">
        <w:t>ontainer closure integrity and stopper self-sealing</w:t>
      </w:r>
      <w:r>
        <w:t>; s</w:t>
      </w:r>
      <w:r w:rsidRPr="00FC4AAD">
        <w:t>terile testing</w:t>
      </w:r>
      <w:r>
        <w:t>; m</w:t>
      </w:r>
      <w:r w:rsidRPr="00FC4AAD">
        <w:t>ultidose use</w:t>
      </w:r>
      <w:r>
        <w:t>; and l</w:t>
      </w:r>
      <w:r w:rsidRPr="00FC4AAD">
        <w:t>abelling, PI and CMI</w:t>
      </w:r>
      <w:r>
        <w:t>.</w:t>
      </w:r>
    </w:p>
    <w:p w14:paraId="6D77E0EF" w14:textId="648544BB" w:rsidR="00FC4AAD" w:rsidRPr="00FC4AAD" w:rsidRDefault="00FC4AAD" w:rsidP="00FC4AAD">
      <w:r w:rsidRPr="00AF14C6">
        <w:rPr>
          <w:rStyle w:val="StandardChar"/>
          <w:rFonts w:eastAsia="MS Mincho"/>
        </w:rPr>
        <w:t xml:space="preserve">All outstanding questions are addressed, and the </w:t>
      </w:r>
      <w:r>
        <w:rPr>
          <w:rStyle w:val="StandardChar"/>
          <w:rFonts w:eastAsia="MS Mincho"/>
        </w:rPr>
        <w:t>TGA evaluation recommended</w:t>
      </w:r>
      <w:r w:rsidRPr="00AF14C6">
        <w:rPr>
          <w:rStyle w:val="StandardChar"/>
          <w:rFonts w:eastAsia="MS Mincho"/>
        </w:rPr>
        <w:t xml:space="preserve"> </w:t>
      </w:r>
      <w:r w:rsidRPr="00AF14C6">
        <w:rPr>
          <w:rFonts w:eastAsia="Times New Roman"/>
          <w:lang w:eastAsia="en-AU"/>
        </w:rPr>
        <w:t>Comirnaty (tozinameran) COVID-19 vaccine 3 µg/0.2 mL for provisional registration from sterility perspective</w:t>
      </w:r>
    </w:p>
    <w:p w14:paraId="37BC2577" w14:textId="4BA7583D" w:rsidR="00D95D43" w:rsidRDefault="00D95D43" w:rsidP="00D95D43">
      <w:pPr>
        <w:pStyle w:val="Heading4"/>
      </w:pPr>
      <w:r>
        <w:t>Conclusions and recommendations</w:t>
      </w:r>
    </w:p>
    <w:p w14:paraId="71F64417" w14:textId="77777777" w:rsidR="00D95D43" w:rsidRDefault="00D95D43" w:rsidP="00D95D43">
      <w:r>
        <w:t xml:space="preserve">There are no significant issues identified from the quality evaluation of the submitted data that would indicate the product should not be provisionally registered </w:t>
      </w:r>
      <w:proofErr w:type="gramStart"/>
      <w:r>
        <w:t>on the basis of</w:t>
      </w:r>
      <w:proofErr w:type="gramEnd"/>
      <w:r>
        <w:t xml:space="preserve"> quality, or safety-related issues arising from the quality of the product.</w:t>
      </w:r>
    </w:p>
    <w:p w14:paraId="1B0F4109" w14:textId="27502E73" w:rsidR="00D95D43" w:rsidRDefault="00D95D43" w:rsidP="00D95D43">
      <w:r>
        <w:t xml:space="preserve">The manufacturing quality information submitted by the sponsor support the provisional registration of Comirnaty (tozinameran) 3 </w:t>
      </w:r>
      <w:proofErr w:type="spellStart"/>
      <w:r>
        <w:t>μg</w:t>
      </w:r>
      <w:proofErr w:type="spellEnd"/>
      <w:r>
        <w:t>/0.2 mL concentrated suspension for injection vial.</w:t>
      </w:r>
    </w:p>
    <w:p w14:paraId="4A12A747" w14:textId="55DEF5AC" w:rsidR="00D95D43" w:rsidRDefault="00D95D43" w:rsidP="00D95D43">
      <w:r>
        <w:t>There were no outstanding recommendations from a viral/infectious safety, container safety</w:t>
      </w:r>
      <w:r w:rsidR="00F657BF">
        <w:t xml:space="preserve"> </w:t>
      </w:r>
      <w:r>
        <w:t>or a microbiology (sterility) perspective.</w:t>
      </w:r>
    </w:p>
    <w:p w14:paraId="2D9EAA27" w14:textId="0E769D3E" w:rsidR="007F30BF" w:rsidRDefault="007434B3" w:rsidP="00D95D43">
      <w:r w:rsidRPr="007434B3">
        <w:t xml:space="preserve">The </w:t>
      </w:r>
      <w:proofErr w:type="gramStart"/>
      <w:r w:rsidRPr="007434B3">
        <w:t>3 µg</w:t>
      </w:r>
      <w:proofErr w:type="gramEnd"/>
      <w:r w:rsidRPr="007434B3">
        <w:t xml:space="preserve"> dose </w:t>
      </w:r>
      <w:r>
        <w:t>vaccine product</w:t>
      </w:r>
      <w:r w:rsidRPr="007434B3">
        <w:t xml:space="preserve"> release and stability acceptance criteria are consistent with those previously established for the 30 µg and</w:t>
      </w:r>
      <w:r>
        <w:t xml:space="preserve"> 10 µg dose presentations. The s</w:t>
      </w:r>
      <w:r w:rsidRPr="007434B3">
        <w:t>ponsor has provided adequate</w:t>
      </w:r>
      <w:r>
        <w:t xml:space="preserve"> justification for the updated s</w:t>
      </w:r>
      <w:r w:rsidRPr="007434B3">
        <w:t>pecifications. There are no outstanding issues regarding the specifications and justification of specifications.</w:t>
      </w:r>
    </w:p>
    <w:p w14:paraId="4C9DE4B9" w14:textId="77777777" w:rsidR="008E7846" w:rsidRDefault="008E7846" w:rsidP="008E7846">
      <w:pPr>
        <w:pStyle w:val="Heading3"/>
      </w:pPr>
      <w:bookmarkStart w:id="51" w:name="_Toc314842512"/>
      <w:bookmarkStart w:id="52" w:name="_Toc116380311"/>
      <w:r>
        <w:t>Nonclinical</w:t>
      </w:r>
      <w:bookmarkEnd w:id="51"/>
      <w:bookmarkEnd w:id="52"/>
    </w:p>
    <w:p w14:paraId="59DFC346" w14:textId="77777777" w:rsidR="0074163C" w:rsidRPr="0074163C" w:rsidRDefault="0074163C" w:rsidP="0074163C">
      <w:r>
        <w:t>A full nonclinical evaluation was conducted at the time this product received initial registration.</w:t>
      </w:r>
    </w:p>
    <w:p w14:paraId="78532F17" w14:textId="35852166" w:rsidR="008E7846" w:rsidRDefault="008E7846" w:rsidP="008E7846">
      <w:pPr>
        <w:pStyle w:val="Heading3"/>
      </w:pPr>
      <w:bookmarkStart w:id="53" w:name="_Toc247691530"/>
      <w:bookmarkStart w:id="54" w:name="_Toc314842513"/>
      <w:bookmarkStart w:id="55" w:name="_Toc116380312"/>
      <w:r>
        <w:t>Clinical</w:t>
      </w:r>
      <w:bookmarkEnd w:id="53"/>
      <w:bookmarkEnd w:id="54"/>
      <w:bookmarkEnd w:id="55"/>
    </w:p>
    <w:p w14:paraId="4F5F2524" w14:textId="509E95B5" w:rsidR="00F657BF" w:rsidRDefault="00F657BF" w:rsidP="00F657BF">
      <w:pPr>
        <w:pStyle w:val="Heading4"/>
      </w:pPr>
      <w:r>
        <w:t>Guidance</w:t>
      </w:r>
    </w:p>
    <w:p w14:paraId="1DBA1168" w14:textId="7F765DFC" w:rsidR="00F657BF" w:rsidRPr="00F657BF" w:rsidRDefault="0018760D" w:rsidP="00F657BF">
      <w:r>
        <w:t>The D</w:t>
      </w:r>
      <w:r w:rsidR="00F657BF" w:rsidRPr="00F657BF">
        <w:t>elegate referred to the following TGA-adopted guidance</w:t>
      </w:r>
      <w:r>
        <w:t xml:space="preserve"> as applicable to this submission</w:t>
      </w:r>
      <w:r w:rsidR="00F657BF" w:rsidRPr="00F657BF">
        <w:t>:</w:t>
      </w:r>
    </w:p>
    <w:p w14:paraId="063A937C" w14:textId="6C3C2A62" w:rsidR="00F657BF" w:rsidRPr="00F657BF" w:rsidRDefault="00F657BF" w:rsidP="0018760D">
      <w:pPr>
        <w:pStyle w:val="ListBullet"/>
      </w:pPr>
      <w:r w:rsidRPr="00F657BF">
        <w:t xml:space="preserve">ACCESS Consortium: </w:t>
      </w:r>
      <w:hyperlink r:id="rId16" w:history="1">
        <w:r w:rsidRPr="00F657BF">
          <w:rPr>
            <w:rStyle w:val="Hyperlink"/>
          </w:rPr>
          <w:t>Access consortium statement on COVID-19 vaccines evidence</w:t>
        </w:r>
      </w:hyperlink>
      <w:r w:rsidRPr="00F657BF">
        <w:t xml:space="preserve"> (4</w:t>
      </w:r>
      <w:r w:rsidR="0018760D">
        <w:t xml:space="preserve"> December </w:t>
      </w:r>
      <w:r w:rsidRPr="00F657BF">
        <w:t>2020)</w:t>
      </w:r>
    </w:p>
    <w:p w14:paraId="1038A137" w14:textId="5B32D149" w:rsidR="00F657BF" w:rsidRPr="00F657BF" w:rsidRDefault="0018760D" w:rsidP="0018760D">
      <w:pPr>
        <w:pStyle w:val="ListBullet"/>
      </w:pPr>
      <w:r>
        <w:t>European Medicines Evaluation Agency (</w:t>
      </w:r>
      <w:r w:rsidR="00F657BF" w:rsidRPr="00F657BF">
        <w:t>EMEA</w:t>
      </w:r>
      <w:r>
        <w:t>)</w:t>
      </w:r>
      <w:r w:rsidR="00F657BF" w:rsidRPr="00F657BF">
        <w:t xml:space="preserve">: </w:t>
      </w:r>
      <w:hyperlink r:id="rId17" w:history="1">
        <w:r w:rsidR="00F657BF" w:rsidRPr="00F657BF">
          <w:rPr>
            <w:rStyle w:val="Hyperlink"/>
          </w:rPr>
          <w:t>Guidelines on clinical evaluation of new vaccines (EMEA/CHMP/VWP/164653/2005)</w:t>
        </w:r>
      </w:hyperlink>
      <w:r w:rsidR="00F657BF" w:rsidRPr="00F657BF">
        <w:t xml:space="preserve"> (6</w:t>
      </w:r>
      <w:r>
        <w:t xml:space="preserve"> January </w:t>
      </w:r>
      <w:r w:rsidR="00F657BF" w:rsidRPr="00F657BF">
        <w:t>2009)</w:t>
      </w:r>
      <w:r>
        <w:t>.</w:t>
      </w:r>
    </w:p>
    <w:p w14:paraId="678D720D" w14:textId="4F545DEF" w:rsidR="00F657BF" w:rsidRPr="00F657BF" w:rsidRDefault="00F657BF" w:rsidP="00F657BF">
      <w:r>
        <w:t>The D</w:t>
      </w:r>
      <w:r w:rsidRPr="00F657BF">
        <w:t xml:space="preserve">elegate referred to the following </w:t>
      </w:r>
      <w:r w:rsidR="0018760D">
        <w:t xml:space="preserve">as </w:t>
      </w:r>
      <w:r w:rsidRPr="00F657BF">
        <w:t>additional guidance</w:t>
      </w:r>
      <w:r w:rsidR="0018760D">
        <w:t xml:space="preserve"> useful for this submission</w:t>
      </w:r>
      <w:r w:rsidRPr="00F657BF">
        <w:t>:</w:t>
      </w:r>
    </w:p>
    <w:p w14:paraId="385D49F8" w14:textId="4793B5B6" w:rsidR="00F657BF" w:rsidRPr="00F657BF" w:rsidRDefault="0018760D" w:rsidP="0018760D">
      <w:pPr>
        <w:pStyle w:val="ListBullet"/>
      </w:pPr>
      <w:r>
        <w:t>European Medicines Agency (</w:t>
      </w:r>
      <w:r w:rsidR="00F657BF" w:rsidRPr="00F657BF">
        <w:t>EMA</w:t>
      </w:r>
      <w:r>
        <w:t>)</w:t>
      </w:r>
      <w:r w:rsidR="00F657BF" w:rsidRPr="00F657BF">
        <w:t xml:space="preserve">: </w:t>
      </w:r>
      <w:hyperlink r:id="rId18" w:history="1">
        <w:r w:rsidR="00F657BF" w:rsidRPr="00F657BF">
          <w:rPr>
            <w:rStyle w:val="Hyperlink"/>
          </w:rPr>
          <w:t>EMA considerations on COVID-19 vaccine approval (EMA/592928/2020)</w:t>
        </w:r>
      </w:hyperlink>
      <w:r>
        <w:t xml:space="preserve"> (19 November </w:t>
      </w:r>
      <w:r w:rsidR="00F657BF" w:rsidRPr="00F657BF">
        <w:t>2020)</w:t>
      </w:r>
    </w:p>
    <w:p w14:paraId="6DEB827D" w14:textId="08AED8F1" w:rsidR="00F657BF" w:rsidRPr="00F657BF" w:rsidRDefault="0018760D" w:rsidP="0018760D">
      <w:pPr>
        <w:pStyle w:val="ListBullet"/>
      </w:pPr>
      <w:r>
        <w:t>United States Food and Drug Administration (</w:t>
      </w:r>
      <w:r w:rsidR="00F657BF" w:rsidRPr="00F657BF">
        <w:t>US FDA</w:t>
      </w:r>
      <w:r>
        <w:t>)</w:t>
      </w:r>
      <w:r w:rsidR="00F657BF" w:rsidRPr="00F657BF">
        <w:t xml:space="preserve">: </w:t>
      </w:r>
      <w:hyperlink r:id="rId19" w:history="1">
        <w:r w:rsidR="00F657BF" w:rsidRPr="00F657BF">
          <w:rPr>
            <w:rStyle w:val="Hyperlink"/>
          </w:rPr>
          <w:t>Development and licensure of vaccines to prevent COVID-19: guidance for industry</w:t>
        </w:r>
      </w:hyperlink>
      <w:r w:rsidR="00F657BF" w:rsidRPr="00F657BF">
        <w:t xml:space="preserve"> (June 2020)</w:t>
      </w:r>
    </w:p>
    <w:p w14:paraId="7EF9D59D" w14:textId="36C55684" w:rsidR="00F657BF" w:rsidRPr="00F657BF" w:rsidRDefault="00F657BF" w:rsidP="0018760D">
      <w:pPr>
        <w:pStyle w:val="ListBullet"/>
      </w:pPr>
      <w:r w:rsidRPr="00F657BF">
        <w:t xml:space="preserve">US FDA: </w:t>
      </w:r>
      <w:hyperlink r:id="rId20" w:history="1">
        <w:r w:rsidRPr="00F657BF">
          <w:rPr>
            <w:rStyle w:val="Hyperlink"/>
          </w:rPr>
          <w:t>Emergency use authorization for vaccines to prevent COVID-19: guidance for industry</w:t>
        </w:r>
      </w:hyperlink>
      <w:r w:rsidR="0018760D">
        <w:t xml:space="preserve"> (25 May </w:t>
      </w:r>
      <w:r w:rsidRPr="00F657BF">
        <w:t>2021)</w:t>
      </w:r>
    </w:p>
    <w:p w14:paraId="5184F0EE" w14:textId="4B94CBF0" w:rsidR="00F657BF" w:rsidRPr="00F657BF" w:rsidRDefault="00F657BF" w:rsidP="0018760D">
      <w:pPr>
        <w:pStyle w:val="ListBullet"/>
      </w:pPr>
      <w:r w:rsidRPr="00F657BF">
        <w:lastRenderedPageBreak/>
        <w:t xml:space="preserve">US FDA: </w:t>
      </w:r>
      <w:hyperlink r:id="rId21" w:history="1">
        <w:r w:rsidRPr="00F657BF">
          <w:rPr>
            <w:rStyle w:val="Hyperlink"/>
          </w:rPr>
          <w:t>COVID-19: developing drugs and biological products for treatment or prevention: guidance for industry</w:t>
        </w:r>
      </w:hyperlink>
      <w:r w:rsidRPr="00F657BF">
        <w:t xml:space="preserve"> (February 2021)</w:t>
      </w:r>
    </w:p>
    <w:p w14:paraId="741BAEE7" w14:textId="266082B1" w:rsidR="00F657BF" w:rsidRPr="00F657BF" w:rsidRDefault="0018760D" w:rsidP="0018760D">
      <w:pPr>
        <w:pStyle w:val="ListBullet"/>
      </w:pPr>
      <w:r>
        <w:t>World Health Organization (</w:t>
      </w:r>
      <w:r w:rsidR="00F657BF" w:rsidRPr="00F657BF">
        <w:t>WHO</w:t>
      </w:r>
      <w:r>
        <w:t>)</w:t>
      </w:r>
      <w:r w:rsidR="00F657BF" w:rsidRPr="00F657BF">
        <w:t xml:space="preserve">: </w:t>
      </w:r>
      <w:hyperlink r:id="rId22" w:history="1">
        <w:r w:rsidR="00F657BF" w:rsidRPr="00F657BF">
          <w:rPr>
            <w:rStyle w:val="Hyperlink"/>
          </w:rPr>
          <w:t>Design of vaccine efficacy trials to be used during public health emergencies – points of consideration and key principles</w:t>
        </w:r>
      </w:hyperlink>
      <w:r w:rsidR="00F657BF" w:rsidRPr="00F657BF">
        <w:t xml:space="preserve"> (not </w:t>
      </w:r>
      <w:proofErr w:type="spellStart"/>
      <w:r w:rsidR="00F657BF" w:rsidRPr="00F657BF">
        <w:t>dated</w:t>
      </w:r>
      <w:proofErr w:type="spellEnd"/>
      <w:r w:rsidR="00F657BF" w:rsidRPr="00F657BF">
        <w:t>)</w:t>
      </w:r>
      <w:r>
        <w:t>.</w:t>
      </w:r>
    </w:p>
    <w:p w14:paraId="53CE5EEC" w14:textId="77777777" w:rsidR="0074163C" w:rsidRDefault="0074163C" w:rsidP="0074163C">
      <w:pPr>
        <w:pStyle w:val="Heading4"/>
      </w:pPr>
      <w:bookmarkStart w:id="56" w:name="_Toc98931928"/>
      <w:r>
        <w:t>Summary of clinical studies</w:t>
      </w:r>
      <w:bookmarkEnd w:id="56"/>
    </w:p>
    <w:p w14:paraId="2F1C5D0D" w14:textId="22D87420" w:rsidR="0074163C" w:rsidRDefault="0074163C" w:rsidP="0074163C">
      <w:r>
        <w:t>The clinical dossier consisted of</w:t>
      </w:r>
      <w:r w:rsidR="0018760D">
        <w:t xml:space="preserve"> Study C4591001 and Study C4591007. These are briefly summarised here. Study C4591007, pivotal for evaluation of this submission, is discussed in further detail across the following sections of this document.</w:t>
      </w:r>
    </w:p>
    <w:p w14:paraId="228BBBAC" w14:textId="4F8BAA38" w:rsidR="00453781" w:rsidRDefault="00453781" w:rsidP="0018760D">
      <w:pPr>
        <w:pStyle w:val="Heading5"/>
      </w:pPr>
      <w:r>
        <w:t>Study C4591001</w:t>
      </w:r>
    </w:p>
    <w:p w14:paraId="584AFBFA" w14:textId="337C2D70" w:rsidR="00453781" w:rsidRPr="00453781" w:rsidRDefault="00453781" w:rsidP="00453781">
      <w:r w:rsidRPr="00453781">
        <w:rPr>
          <w:bCs/>
        </w:rPr>
        <w:t>Study C4591001</w:t>
      </w:r>
      <w:r w:rsidRPr="00453781">
        <w:t xml:space="preserve"> is an </w:t>
      </w:r>
      <w:r>
        <w:t>ongoing, randomised, placebo-controlled, Phase I/II/III</w:t>
      </w:r>
      <w:r w:rsidRPr="00453781">
        <w:t xml:space="preserve"> global registration</w:t>
      </w:r>
      <w:r w:rsidRPr="00453781">
        <w:rPr>
          <w:b/>
          <w:bCs/>
        </w:rPr>
        <w:t xml:space="preserve"> </w:t>
      </w:r>
      <w:r w:rsidRPr="00453781">
        <w:t>study in ado</w:t>
      </w:r>
      <w:r w:rsidR="007C0951">
        <w:t xml:space="preserve">lescent and adult participants from </w:t>
      </w:r>
      <w:r w:rsidRPr="00453781">
        <w:t xml:space="preserve">12 years of age. Details </w:t>
      </w:r>
      <w:r w:rsidR="00430DAE">
        <w:t>of this study have</w:t>
      </w:r>
      <w:r w:rsidRPr="00453781">
        <w:t xml:space="preserve"> been submitted previously</w:t>
      </w:r>
      <w:r w:rsidR="00430DAE">
        <w:t xml:space="preserve"> to the TGA</w:t>
      </w:r>
      <w:r w:rsidRPr="00453781">
        <w:t xml:space="preserve">. Study C4591001 contributes only immunogenicity data from </w:t>
      </w:r>
      <w:r>
        <w:t>Study C4591001 Phase II/III</w:t>
      </w:r>
      <w:r w:rsidRPr="00453781">
        <w:t xml:space="preserve"> participants</w:t>
      </w:r>
      <w:r>
        <w:t xml:space="preserve"> of</w:t>
      </w:r>
      <w:r w:rsidRPr="00453781">
        <w:t xml:space="preserve"> 16 to 25 years of age for </w:t>
      </w:r>
      <w:proofErr w:type="spellStart"/>
      <w:r w:rsidRPr="00453781">
        <w:t>immunobridging</w:t>
      </w:r>
      <w:proofErr w:type="spellEnd"/>
      <w:r w:rsidRPr="00453781">
        <w:t xml:space="preserve"> analyses.</w:t>
      </w:r>
      <w:r w:rsidR="0018760D">
        <w:t xml:space="preserve"> Study C4591001 has been previously evaluated with other Comirnaty vaccine submissions; further information on this study can be found in the relevant AusPARs.</w:t>
      </w:r>
      <w:r w:rsidR="0018760D" w:rsidRPr="00184075">
        <w:rPr>
          <w:vertAlign w:val="superscript"/>
        </w:rPr>
        <w:fldChar w:fldCharType="begin"/>
      </w:r>
      <w:r w:rsidR="0018760D" w:rsidRPr="00184075">
        <w:rPr>
          <w:vertAlign w:val="superscript"/>
        </w:rPr>
        <w:instrText xml:space="preserve"> NOTEREF _Ref113942560 \h </w:instrText>
      </w:r>
      <w:r w:rsidR="00184075">
        <w:rPr>
          <w:vertAlign w:val="superscript"/>
        </w:rPr>
        <w:instrText xml:space="preserve"> \* MERGEFORMAT </w:instrText>
      </w:r>
      <w:r w:rsidR="0018760D" w:rsidRPr="00184075">
        <w:rPr>
          <w:vertAlign w:val="superscript"/>
        </w:rPr>
      </w:r>
      <w:r w:rsidR="0018760D" w:rsidRPr="00184075">
        <w:rPr>
          <w:vertAlign w:val="superscript"/>
        </w:rPr>
        <w:fldChar w:fldCharType="separate"/>
      </w:r>
      <w:r w:rsidR="00145C93">
        <w:rPr>
          <w:vertAlign w:val="superscript"/>
        </w:rPr>
        <w:t>16</w:t>
      </w:r>
      <w:r w:rsidR="0018760D" w:rsidRPr="00184075">
        <w:rPr>
          <w:vertAlign w:val="superscript"/>
        </w:rPr>
        <w:fldChar w:fldCharType="end"/>
      </w:r>
      <w:r w:rsidR="00184075" w:rsidRPr="00184075">
        <w:rPr>
          <w:vertAlign w:val="superscript"/>
        </w:rPr>
        <w:t>,</w:t>
      </w:r>
      <w:r w:rsidR="0018760D" w:rsidRPr="00184075">
        <w:rPr>
          <w:vertAlign w:val="superscript"/>
        </w:rPr>
        <w:fldChar w:fldCharType="begin"/>
      </w:r>
      <w:r w:rsidR="0018760D" w:rsidRPr="00184075">
        <w:rPr>
          <w:vertAlign w:val="superscript"/>
        </w:rPr>
        <w:instrText xml:space="preserve"> NOTEREF _Ref113942563 \h </w:instrText>
      </w:r>
      <w:r w:rsidR="00184075">
        <w:rPr>
          <w:vertAlign w:val="superscript"/>
        </w:rPr>
        <w:instrText xml:space="preserve"> \* MERGEFORMAT </w:instrText>
      </w:r>
      <w:r w:rsidR="0018760D" w:rsidRPr="00184075">
        <w:rPr>
          <w:vertAlign w:val="superscript"/>
        </w:rPr>
      </w:r>
      <w:r w:rsidR="0018760D" w:rsidRPr="00184075">
        <w:rPr>
          <w:vertAlign w:val="superscript"/>
        </w:rPr>
        <w:fldChar w:fldCharType="separate"/>
      </w:r>
      <w:r w:rsidR="00145C93">
        <w:rPr>
          <w:vertAlign w:val="superscript"/>
        </w:rPr>
        <w:t>17</w:t>
      </w:r>
      <w:r w:rsidR="0018760D" w:rsidRPr="00184075">
        <w:rPr>
          <w:vertAlign w:val="superscript"/>
        </w:rPr>
        <w:fldChar w:fldCharType="end"/>
      </w:r>
      <w:r w:rsidR="00184075" w:rsidRPr="00184075">
        <w:rPr>
          <w:vertAlign w:val="superscript"/>
        </w:rPr>
        <w:t>,</w:t>
      </w:r>
      <w:r w:rsidR="0018760D" w:rsidRPr="00184075">
        <w:rPr>
          <w:vertAlign w:val="superscript"/>
        </w:rPr>
        <w:fldChar w:fldCharType="begin"/>
      </w:r>
      <w:r w:rsidR="0018760D" w:rsidRPr="00184075">
        <w:rPr>
          <w:vertAlign w:val="superscript"/>
        </w:rPr>
        <w:instrText xml:space="preserve"> NOTEREF _Ref113942566 \h </w:instrText>
      </w:r>
      <w:r w:rsidR="00184075">
        <w:rPr>
          <w:vertAlign w:val="superscript"/>
        </w:rPr>
        <w:instrText xml:space="preserve"> \* MERGEFORMAT </w:instrText>
      </w:r>
      <w:r w:rsidR="0018760D" w:rsidRPr="00184075">
        <w:rPr>
          <w:vertAlign w:val="superscript"/>
        </w:rPr>
      </w:r>
      <w:r w:rsidR="0018760D" w:rsidRPr="00184075">
        <w:rPr>
          <w:vertAlign w:val="superscript"/>
        </w:rPr>
        <w:fldChar w:fldCharType="separate"/>
      </w:r>
      <w:r w:rsidR="00145C93">
        <w:rPr>
          <w:vertAlign w:val="superscript"/>
        </w:rPr>
        <w:t>18</w:t>
      </w:r>
      <w:r w:rsidR="0018760D" w:rsidRPr="00184075">
        <w:rPr>
          <w:vertAlign w:val="superscript"/>
        </w:rPr>
        <w:fldChar w:fldCharType="end"/>
      </w:r>
    </w:p>
    <w:p w14:paraId="4FB1789E" w14:textId="77777777" w:rsidR="00453781" w:rsidRPr="00453781" w:rsidRDefault="00453781" w:rsidP="0018760D">
      <w:pPr>
        <w:pStyle w:val="Heading5"/>
      </w:pPr>
      <w:bookmarkStart w:id="57" w:name="_Ref86054896"/>
      <w:bookmarkStart w:id="58" w:name="_Hlk112490854"/>
      <w:bookmarkStart w:id="59" w:name="_Hlk112711399"/>
      <w:r w:rsidRPr="00453781">
        <w:t>Study C4591007</w:t>
      </w:r>
      <w:bookmarkEnd w:id="57"/>
      <w:r w:rsidRPr="00453781">
        <w:t xml:space="preserve"> </w:t>
      </w:r>
    </w:p>
    <w:bookmarkEnd w:id="58"/>
    <w:p w14:paraId="666D1439" w14:textId="46C24E72" w:rsidR="00453781" w:rsidRPr="00453781" w:rsidRDefault="00453781" w:rsidP="00453781">
      <w:r w:rsidRPr="00453781">
        <w:t xml:space="preserve">This is ongoing paediatric study in healthy children from 6 </w:t>
      </w:r>
      <w:r>
        <w:t>months up to</w:t>
      </w:r>
      <w:r w:rsidRPr="00453781">
        <w:t xml:space="preserve"> 12 years of age.</w:t>
      </w:r>
    </w:p>
    <w:bookmarkEnd w:id="59"/>
    <w:p w14:paraId="01ADABD9" w14:textId="27484CE6" w:rsidR="00453781" w:rsidRPr="00453781" w:rsidRDefault="00453781" w:rsidP="00453781">
      <w:r w:rsidRPr="00453781">
        <w:t>It is a randomi</w:t>
      </w:r>
      <w:r>
        <w:t>s</w:t>
      </w:r>
      <w:r w:rsidR="007C0951">
        <w:t xml:space="preserve">ed, placebo-controlled, Phase I, and </w:t>
      </w:r>
      <w:r>
        <w:t>II/III</w:t>
      </w:r>
      <w:r w:rsidRPr="00453781">
        <w:t xml:space="preserve"> study, designed to evaluate </w:t>
      </w:r>
      <w:r>
        <w:t>Comirnaty</w:t>
      </w:r>
      <w:r w:rsidRPr="00453781">
        <w:t xml:space="preserve"> vaccination</w:t>
      </w:r>
      <w:r>
        <w:t xml:space="preserve"> in an age de-escalation Phase I dose finding part of study, and Phase II/III</w:t>
      </w:r>
      <w:r w:rsidRPr="00453781">
        <w:t xml:space="preserve"> selected dose part. The protocol defined age groups are: </w:t>
      </w:r>
      <w:bookmarkStart w:id="60" w:name="_Hlk112404032"/>
      <w:r w:rsidRPr="00453781">
        <w:t>5 t</w:t>
      </w:r>
      <w:r>
        <w:t>o under</w:t>
      </w:r>
      <w:r w:rsidRPr="00453781">
        <w:t xml:space="preserve"> 12 years</w:t>
      </w:r>
      <w:bookmarkEnd w:id="60"/>
      <w:r>
        <w:t>, 2 to under 5 years, and 6 months to under</w:t>
      </w:r>
      <w:r w:rsidRPr="00453781">
        <w:t xml:space="preserve"> 2 years of age.</w:t>
      </w:r>
    </w:p>
    <w:p w14:paraId="182AE6BD" w14:textId="22929A0D" w:rsidR="00BA3C11" w:rsidRDefault="00453781" w:rsidP="00453781">
      <w:r>
        <w:t xml:space="preserve">This submission reports Phase I and Phase II/III data from </w:t>
      </w:r>
      <w:r w:rsidR="00BA3C11">
        <w:t xml:space="preserve">the interim clinical study reports for </w:t>
      </w:r>
      <w:r>
        <w:t xml:space="preserve">Study C4591007 </w:t>
      </w:r>
      <w:r w:rsidRPr="00453781">
        <w:t xml:space="preserve">for participants </w:t>
      </w:r>
      <w:r>
        <w:t xml:space="preserve">aged 6 months to under 2 years and 2 to under </w:t>
      </w:r>
      <w:r w:rsidRPr="00453781">
        <w:t>5 years</w:t>
      </w:r>
      <w:r>
        <w:t xml:space="preserve"> of age</w:t>
      </w:r>
      <w:r w:rsidR="00BA3C11">
        <w:t>.</w:t>
      </w:r>
    </w:p>
    <w:p w14:paraId="5072AF4A" w14:textId="052278D1" w:rsidR="00BA3C11" w:rsidRDefault="00BA3C11" w:rsidP="00453781">
      <w:r>
        <w:t xml:space="preserve">The evaluation of data for participants aged from 5 to under 12 years of age can be found in the relevant </w:t>
      </w:r>
      <w:proofErr w:type="spellStart"/>
      <w:r>
        <w:t>AusPAR</w:t>
      </w:r>
      <w:proofErr w:type="spellEnd"/>
      <w:r>
        <w:t xml:space="preserve"> for that submission.</w:t>
      </w:r>
      <w:r w:rsidRPr="00BA3C11">
        <w:rPr>
          <w:vertAlign w:val="superscript"/>
        </w:rPr>
        <w:fldChar w:fldCharType="begin"/>
      </w:r>
      <w:r w:rsidRPr="00BA3C11">
        <w:rPr>
          <w:vertAlign w:val="superscript"/>
        </w:rPr>
        <w:instrText xml:space="preserve"> NOTEREF _Ref113942566 \h </w:instrText>
      </w:r>
      <w:r>
        <w:rPr>
          <w:vertAlign w:val="superscript"/>
        </w:rPr>
        <w:instrText xml:space="preserve"> \* MERGEFORMAT </w:instrText>
      </w:r>
      <w:r w:rsidRPr="00BA3C11">
        <w:rPr>
          <w:vertAlign w:val="superscript"/>
        </w:rPr>
      </w:r>
      <w:r w:rsidRPr="00BA3C11">
        <w:rPr>
          <w:vertAlign w:val="superscript"/>
        </w:rPr>
        <w:fldChar w:fldCharType="separate"/>
      </w:r>
      <w:r w:rsidR="00145C93">
        <w:rPr>
          <w:vertAlign w:val="superscript"/>
        </w:rPr>
        <w:t>18</w:t>
      </w:r>
      <w:r w:rsidRPr="00BA3C11">
        <w:rPr>
          <w:vertAlign w:val="superscript"/>
        </w:rPr>
        <w:fldChar w:fldCharType="end"/>
      </w:r>
    </w:p>
    <w:p w14:paraId="16C0C643" w14:textId="03C25A38" w:rsidR="00453781" w:rsidRPr="00453781" w:rsidRDefault="00453781" w:rsidP="00BA3C11">
      <w:pPr>
        <w:pStyle w:val="Heading4"/>
      </w:pPr>
      <w:r w:rsidRPr="00453781">
        <w:t xml:space="preserve">Study </w:t>
      </w:r>
      <w:r w:rsidR="00BA3C11">
        <w:t>C4591007 overview, all phases</w:t>
      </w:r>
    </w:p>
    <w:p w14:paraId="4B9F4F70" w14:textId="79C4662B" w:rsidR="00453781" w:rsidRDefault="00453781" w:rsidP="00453781">
      <w:r w:rsidRPr="00453781">
        <w:t xml:space="preserve">The submitted interim </w:t>
      </w:r>
      <w:r>
        <w:t>clinical study</w:t>
      </w:r>
      <w:r w:rsidRPr="00453781">
        <w:t xml:space="preserve"> reports on the </w:t>
      </w:r>
      <w:r>
        <w:t>Phase I and Phase II/III Study</w:t>
      </w:r>
      <w:r w:rsidR="00BA3C11">
        <w:t> </w:t>
      </w:r>
      <w:r w:rsidRPr="00453781">
        <w:t xml:space="preserve">C4591007 data for study participants </w:t>
      </w:r>
      <w:r>
        <w:t xml:space="preserve">of 6 months to under </w:t>
      </w:r>
      <w:r w:rsidRPr="00453781">
        <w:t>5 years of age</w:t>
      </w:r>
      <w:r>
        <w:t>.</w:t>
      </w:r>
    </w:p>
    <w:p w14:paraId="7C82B986" w14:textId="69411AC1" w:rsidR="00453781" w:rsidRPr="00453781" w:rsidRDefault="00453781" w:rsidP="00453781">
      <w:r>
        <w:t>The Phase II/III</w:t>
      </w:r>
      <w:r w:rsidRPr="00453781">
        <w:t xml:space="preserve"> study is ongoing. T</w:t>
      </w:r>
      <w:r>
        <w:t>he data cut-off date for Phase I</w:t>
      </w:r>
      <w:r w:rsidRPr="00453781">
        <w:t xml:space="preserve"> is 16 July 2021 </w:t>
      </w:r>
      <w:r>
        <w:t>and Phase II/III</w:t>
      </w:r>
      <w:r w:rsidRPr="00453781">
        <w:t xml:space="preserve"> is 29 April 2022.</w:t>
      </w:r>
    </w:p>
    <w:p w14:paraId="3E144AEE" w14:textId="01AC528E" w:rsidR="00453781" w:rsidRPr="00453781" w:rsidRDefault="00453781" w:rsidP="00453781">
      <w:r w:rsidRPr="00453781">
        <w:t xml:space="preserve">The paediatric vaccination series for children </w:t>
      </w:r>
      <w:r w:rsidR="00BA3C11">
        <w:t xml:space="preserve">of 6 months to </w:t>
      </w:r>
      <w:r>
        <w:t xml:space="preserve">under </w:t>
      </w:r>
      <w:r w:rsidRPr="00453781">
        <w:t>5 years of age was initially planned as a two-dose series given 3 weeks apart; however, based on emerging clinical and real-world data (including emergence of the Omicron variant), the protocol was amended to add a third dose given at least 8 weeks a</w:t>
      </w:r>
      <w:r>
        <w:t>fter the second dose at the age</w:t>
      </w:r>
      <w:r>
        <w:noBreakHyphen/>
      </w:r>
      <w:r w:rsidRPr="00453781">
        <w:t>appropriate dose level.</w:t>
      </w:r>
    </w:p>
    <w:p w14:paraId="2B8B730A" w14:textId="6E4F7CC8" w:rsidR="00453781" w:rsidRPr="00453781" w:rsidRDefault="00453781" w:rsidP="00453781">
      <w:r w:rsidRPr="00453781">
        <w:t xml:space="preserve">The immunogenicity, efficacy, and safety estimates and endpoints used in this study were consistent with those used in </w:t>
      </w:r>
      <w:r>
        <w:t>Comirnaty vaccine S</w:t>
      </w:r>
      <w:r w:rsidRPr="00453781">
        <w:t>tudy C4591001. This information has been previously submitted to the TGA in prior applications involving Comirnaty.</w:t>
      </w:r>
      <w:r w:rsidR="00BA3C11" w:rsidRPr="00184075">
        <w:rPr>
          <w:vertAlign w:val="superscript"/>
        </w:rPr>
        <w:fldChar w:fldCharType="begin"/>
      </w:r>
      <w:r w:rsidR="00BA3C11" w:rsidRPr="00184075">
        <w:rPr>
          <w:vertAlign w:val="superscript"/>
        </w:rPr>
        <w:instrText xml:space="preserve"> NOTEREF _Ref113942560 \h </w:instrText>
      </w:r>
      <w:r w:rsidR="00BA3C11">
        <w:rPr>
          <w:vertAlign w:val="superscript"/>
        </w:rPr>
        <w:instrText xml:space="preserve"> \* MERGEFORMAT </w:instrText>
      </w:r>
      <w:r w:rsidR="00BA3C11" w:rsidRPr="00184075">
        <w:rPr>
          <w:vertAlign w:val="superscript"/>
        </w:rPr>
      </w:r>
      <w:r w:rsidR="00BA3C11" w:rsidRPr="00184075">
        <w:rPr>
          <w:vertAlign w:val="superscript"/>
        </w:rPr>
        <w:fldChar w:fldCharType="separate"/>
      </w:r>
      <w:r w:rsidR="00145C93">
        <w:rPr>
          <w:vertAlign w:val="superscript"/>
        </w:rPr>
        <w:t>16</w:t>
      </w:r>
      <w:r w:rsidR="00BA3C11" w:rsidRPr="00184075">
        <w:rPr>
          <w:vertAlign w:val="superscript"/>
        </w:rPr>
        <w:fldChar w:fldCharType="end"/>
      </w:r>
      <w:r w:rsidR="00BA3C11" w:rsidRPr="00184075">
        <w:rPr>
          <w:vertAlign w:val="superscript"/>
        </w:rPr>
        <w:t>,</w:t>
      </w:r>
      <w:r w:rsidR="00BA3C11" w:rsidRPr="00184075">
        <w:rPr>
          <w:vertAlign w:val="superscript"/>
        </w:rPr>
        <w:fldChar w:fldCharType="begin"/>
      </w:r>
      <w:r w:rsidR="00BA3C11" w:rsidRPr="00184075">
        <w:rPr>
          <w:vertAlign w:val="superscript"/>
        </w:rPr>
        <w:instrText xml:space="preserve"> NOTEREF _Ref113942563 \h </w:instrText>
      </w:r>
      <w:r w:rsidR="00BA3C11">
        <w:rPr>
          <w:vertAlign w:val="superscript"/>
        </w:rPr>
        <w:instrText xml:space="preserve"> \* MERGEFORMAT </w:instrText>
      </w:r>
      <w:r w:rsidR="00BA3C11" w:rsidRPr="00184075">
        <w:rPr>
          <w:vertAlign w:val="superscript"/>
        </w:rPr>
      </w:r>
      <w:r w:rsidR="00BA3C11" w:rsidRPr="00184075">
        <w:rPr>
          <w:vertAlign w:val="superscript"/>
        </w:rPr>
        <w:fldChar w:fldCharType="separate"/>
      </w:r>
      <w:r w:rsidR="00145C93">
        <w:rPr>
          <w:vertAlign w:val="superscript"/>
        </w:rPr>
        <w:t>17</w:t>
      </w:r>
      <w:r w:rsidR="00BA3C11" w:rsidRPr="00184075">
        <w:rPr>
          <w:vertAlign w:val="superscript"/>
        </w:rPr>
        <w:fldChar w:fldCharType="end"/>
      </w:r>
      <w:r w:rsidR="00BA3C11" w:rsidRPr="00184075">
        <w:rPr>
          <w:vertAlign w:val="superscript"/>
        </w:rPr>
        <w:t>,</w:t>
      </w:r>
      <w:r w:rsidR="00BA3C11" w:rsidRPr="00184075">
        <w:rPr>
          <w:vertAlign w:val="superscript"/>
        </w:rPr>
        <w:fldChar w:fldCharType="begin"/>
      </w:r>
      <w:r w:rsidR="00BA3C11" w:rsidRPr="00184075">
        <w:rPr>
          <w:vertAlign w:val="superscript"/>
        </w:rPr>
        <w:instrText xml:space="preserve"> NOTEREF _Ref113942566 \h </w:instrText>
      </w:r>
      <w:r w:rsidR="00BA3C11">
        <w:rPr>
          <w:vertAlign w:val="superscript"/>
        </w:rPr>
        <w:instrText xml:space="preserve"> \* MERGEFORMAT </w:instrText>
      </w:r>
      <w:r w:rsidR="00BA3C11" w:rsidRPr="00184075">
        <w:rPr>
          <w:vertAlign w:val="superscript"/>
        </w:rPr>
      </w:r>
      <w:r w:rsidR="00BA3C11" w:rsidRPr="00184075">
        <w:rPr>
          <w:vertAlign w:val="superscript"/>
        </w:rPr>
        <w:fldChar w:fldCharType="separate"/>
      </w:r>
      <w:r w:rsidR="00145C93">
        <w:rPr>
          <w:vertAlign w:val="superscript"/>
        </w:rPr>
        <w:t>18</w:t>
      </w:r>
      <w:r w:rsidR="00BA3C11" w:rsidRPr="00184075">
        <w:rPr>
          <w:vertAlign w:val="superscript"/>
        </w:rPr>
        <w:fldChar w:fldCharType="end"/>
      </w:r>
      <w:r w:rsidRPr="00453781">
        <w:t xml:space="preserve"> The basis of demonstrating </w:t>
      </w:r>
      <w:r>
        <w:t>Comirnaty</w:t>
      </w:r>
      <w:r w:rsidRPr="00453781">
        <w:t xml:space="preserve"> effectiveness in children is immune response data, via </w:t>
      </w:r>
      <w:proofErr w:type="spellStart"/>
      <w:r w:rsidRPr="00453781">
        <w:t>immunobridging</w:t>
      </w:r>
      <w:proofErr w:type="spellEnd"/>
      <w:r w:rsidRPr="00453781">
        <w:t xml:space="preserve"> to young adults in the efficacy Study C4591001. In Study C4591007, efficacy against confirmed COVID-19 is assessed by continuous surveillance for potential cases of COVID-19 (overall and those meeting criteria as severe or </w:t>
      </w:r>
      <w:r w:rsidR="00486815">
        <w:t>multisystem inflammatory system in children (</w:t>
      </w:r>
      <w:r w:rsidRPr="00453781">
        <w:t>MIS-C</w:t>
      </w:r>
      <w:r w:rsidR="00486815">
        <w:t>)</w:t>
      </w:r>
      <w:r w:rsidRPr="00453781">
        <w:t>).</w:t>
      </w:r>
    </w:p>
    <w:p w14:paraId="6135564F" w14:textId="15A5BE22" w:rsidR="00633B43" w:rsidRPr="00633B43" w:rsidRDefault="00AE50AD" w:rsidP="00F664E8">
      <w:pPr>
        <w:pStyle w:val="FigureTitle"/>
      </w:pPr>
      <w:bookmarkStart w:id="61" w:name="_Ref113789666"/>
      <w:r>
        <w:lastRenderedPageBreak/>
        <w:t xml:space="preserve">Figure </w:t>
      </w:r>
      <w:r w:rsidR="00582372">
        <w:fldChar w:fldCharType="begin"/>
      </w:r>
      <w:r w:rsidR="00582372">
        <w:instrText xml:space="preserve"> SEQ Figure \* ARABIC </w:instrText>
      </w:r>
      <w:r w:rsidR="00582372">
        <w:fldChar w:fldCharType="separate"/>
      </w:r>
      <w:r w:rsidR="00145C93">
        <w:rPr>
          <w:noProof/>
        </w:rPr>
        <w:t>1</w:t>
      </w:r>
      <w:r w:rsidR="00582372">
        <w:rPr>
          <w:noProof/>
        </w:rPr>
        <w:fldChar w:fldCharType="end"/>
      </w:r>
      <w:bookmarkEnd w:id="61"/>
      <w:r w:rsidR="0064017B">
        <w:t>: Study C4</w:t>
      </w:r>
      <w:r>
        <w:t>591007 Study schema of Phase I (dose finding) and Phase II/III selected dose study parts</w:t>
      </w:r>
    </w:p>
    <w:p w14:paraId="523AD34A" w14:textId="37FCFADF" w:rsidR="00453781" w:rsidRDefault="00453781" w:rsidP="00453781">
      <w:r w:rsidRPr="00453781">
        <w:rPr>
          <w:noProof/>
          <w:lang w:val="en-GB" w:eastAsia="en-GB"/>
        </w:rPr>
        <w:drawing>
          <wp:inline distT="0" distB="0" distL="0" distR="0" wp14:anchorId="6AA881C4" wp14:editId="6C214DC2">
            <wp:extent cx="5300980" cy="2686634"/>
            <wp:effectExtent l="0" t="0" r="0" b="0"/>
            <wp:docPr id="8" name="Picture 8" descr="Study C4591007 (Phase I) consisted of 3 age-based groups: 5 to under 12 years of age, 2 to under 5 years of age, and 6 months to under 2 years of age. All study participants were to recieve Comirnaty vaccine. Partipicants (16 planned) in each age group were to recieve vaccine in at the low dose level, before mid-dose level could be commenced, and mid-dose before high-dose.&#10;In each age group, if the low-dose level was considered not acceptable based on safety assessment after Dose 1, the mid-dose or high level dose level would not commence. In this case, an optional lower dose level may have commenced.&#10;b The independent review committee reviewed safety data (e-diary and adverse events) acquired up to 7 days after Dose 1 in the low-dose level group, and dosing could commence at the low-dose level in the next age group based upon confirmation of an acceptable safety assessment at this review.&#10;c Independent review committee choice of dose level for each age group. Dependent on safety, tolerability and immunogenicity data from 7 days after Dose 2 in each age group." title="Study C4591007 Study schema of Phase I (dose finding) and Phase II/III selected dose study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23">
                      <a:extLst>
                        <a:ext uri="{28A0092B-C50C-407E-A947-70E740481C1C}">
                          <a14:useLocalDpi xmlns:a14="http://schemas.microsoft.com/office/drawing/2010/main" val="0"/>
                        </a:ext>
                      </a:extLst>
                    </a:blip>
                    <a:srcRect l="814" t="1065" r="3065" b="26051"/>
                    <a:stretch/>
                  </pic:blipFill>
                  <pic:spPr bwMode="auto">
                    <a:xfrm>
                      <a:off x="0" y="0"/>
                      <a:ext cx="5330707" cy="27017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311F04" w14:textId="01356639" w:rsidR="00633B43" w:rsidRDefault="00633B43" w:rsidP="00633B43">
      <w:pPr>
        <w:pStyle w:val="FigureDescription"/>
      </w:pPr>
      <w:r>
        <w:t>Note: BNT162b2 is alternate name for Comirnaty (tozinameran) vaccine.</w:t>
      </w:r>
    </w:p>
    <w:p w14:paraId="789F5180" w14:textId="4DFE3387" w:rsidR="00633B43" w:rsidRPr="00453781" w:rsidRDefault="00633B43" w:rsidP="00633B43">
      <w:pPr>
        <w:pStyle w:val="FigureDescription"/>
      </w:pPr>
      <w:r>
        <w:t>Abbreviation: IRC = independent review committee.</w:t>
      </w:r>
    </w:p>
    <w:p w14:paraId="35C8B23F" w14:textId="4CB21A58" w:rsidR="00453781" w:rsidRDefault="00633B43" w:rsidP="00AE50AD">
      <w:pPr>
        <w:pStyle w:val="FigureDescription"/>
      </w:pPr>
      <w:proofErr w:type="spellStart"/>
      <w:r>
        <w:rPr>
          <w:vertAlign w:val="superscript"/>
        </w:rPr>
        <w:t>a</w:t>
      </w:r>
      <w:proofErr w:type="spellEnd"/>
      <w:r>
        <w:t xml:space="preserve"> </w:t>
      </w:r>
      <w:proofErr w:type="gramStart"/>
      <w:r w:rsidR="00AE50AD">
        <w:t>In</w:t>
      </w:r>
      <w:proofErr w:type="gramEnd"/>
      <w:r w:rsidR="00AE50AD">
        <w:t xml:space="preserve"> each age group, if the low-dose level was considered not acceptable based on safety assessment after Dose 1, the mid-dose or high level dose level would not commence. In this case, an optional lower dose level may have commenced.</w:t>
      </w:r>
    </w:p>
    <w:p w14:paraId="51278C9C" w14:textId="4E0FCF32" w:rsidR="00AE50AD" w:rsidRDefault="00633B43" w:rsidP="00AE50AD">
      <w:pPr>
        <w:pStyle w:val="FigureDescription"/>
      </w:pPr>
      <w:r>
        <w:rPr>
          <w:vertAlign w:val="superscript"/>
        </w:rPr>
        <w:t>b</w:t>
      </w:r>
      <w:r>
        <w:t xml:space="preserve"> </w:t>
      </w:r>
      <w:proofErr w:type="gramStart"/>
      <w:r w:rsidR="00AE50AD">
        <w:t>The</w:t>
      </w:r>
      <w:proofErr w:type="gramEnd"/>
      <w:r w:rsidR="00AE50AD">
        <w:t xml:space="preserve"> independent review committee reviewed safety data (e-diary and adverse events) acquired up to</w:t>
      </w:r>
      <w:r>
        <w:t xml:space="preserve"> 7 </w:t>
      </w:r>
      <w:r w:rsidR="00AE50AD">
        <w:t>days after Dose 1 in the low-dose level group, and dosing could commence at the low-dose level in the next age group based upon confirmation of an acceptable safety assessment at this review.</w:t>
      </w:r>
    </w:p>
    <w:p w14:paraId="57BC6AF7" w14:textId="36ED450D" w:rsidR="00AE50AD" w:rsidRDefault="00633B43" w:rsidP="00AE50AD">
      <w:pPr>
        <w:pStyle w:val="FigureDescription"/>
      </w:pPr>
      <w:r>
        <w:rPr>
          <w:vertAlign w:val="superscript"/>
        </w:rPr>
        <w:t>c</w:t>
      </w:r>
      <w:r>
        <w:t xml:space="preserve"> </w:t>
      </w:r>
      <w:proofErr w:type="gramStart"/>
      <w:r w:rsidR="00AE50AD">
        <w:t>Independent</w:t>
      </w:r>
      <w:proofErr w:type="gramEnd"/>
      <w:r w:rsidR="00AE50AD">
        <w:t xml:space="preserve"> review committee choice of dose level for each age group. Dependent on safety, </w:t>
      </w:r>
      <w:proofErr w:type="gramStart"/>
      <w:r w:rsidR="00AE50AD">
        <w:t>tolerability</w:t>
      </w:r>
      <w:proofErr w:type="gramEnd"/>
      <w:r w:rsidR="00AE50AD">
        <w:t xml:space="preserve"> and immunogenicity data from 7 days after Dose 2 in each age group.</w:t>
      </w:r>
    </w:p>
    <w:p w14:paraId="4BBBA3F8" w14:textId="697FE9FD" w:rsidR="00633B43" w:rsidRPr="00453781" w:rsidRDefault="00633B43" w:rsidP="00F664E8">
      <w:r>
        <w:t xml:space="preserve">For Phase I of Study </w:t>
      </w:r>
      <w:r w:rsidR="00BA3C11">
        <w:t>C</w:t>
      </w:r>
      <w:r>
        <w:t>4591007, the study was con</w:t>
      </w:r>
      <w:r w:rsidR="00E146C7">
        <w:t xml:space="preserve">ducted </w:t>
      </w:r>
      <w:r w:rsidR="0064017B">
        <w:t>only in the USA, whereas Phases </w:t>
      </w:r>
      <w:r w:rsidR="00E146C7">
        <w:t>II and III were</w:t>
      </w:r>
      <w:r>
        <w:t xml:space="preserve"> conducted in </w:t>
      </w:r>
      <w:r w:rsidR="00430DAE">
        <w:t>five</w:t>
      </w:r>
      <w:r>
        <w:t xml:space="preserve"> countries: the USA, Brazil, Finland, </w:t>
      </w:r>
      <w:proofErr w:type="gramStart"/>
      <w:r>
        <w:t>Poland</w:t>
      </w:r>
      <w:proofErr w:type="gramEnd"/>
      <w:r>
        <w:t xml:space="preserve"> and Spain.</w:t>
      </w:r>
    </w:p>
    <w:p w14:paraId="6D39FB4D" w14:textId="59E4689A" w:rsidR="00633B43" w:rsidRDefault="00633B43" w:rsidP="00F664E8">
      <w:r>
        <w:t>For Phase I o</w:t>
      </w:r>
      <w:r w:rsidR="00E146C7">
        <w:t>f the study, the enrolment of 32 participants was planned. These were all to receive 3 µg Comirnaty (tozinameran) vaccine.</w:t>
      </w:r>
    </w:p>
    <w:p w14:paraId="14304C4E" w14:textId="5090B696" w:rsidR="00453781" w:rsidRPr="00E146C7" w:rsidRDefault="00E146C7" w:rsidP="00F664E8">
      <w:r>
        <w:t>For Phase II/III, a</w:t>
      </w:r>
      <w:r w:rsidR="00453781" w:rsidRPr="00453781">
        <w:t xml:space="preserve"> total of approximately 4500 participants in each paediatric age group were pla</w:t>
      </w:r>
      <w:r>
        <w:t xml:space="preserve">nned, with a planned randomisation </w:t>
      </w:r>
      <w:r w:rsidR="006A0E56">
        <w:t xml:space="preserve">ratio for </w:t>
      </w:r>
      <w:r>
        <w:t>vaccine to placebo of 2:1. The</w:t>
      </w:r>
      <w:r w:rsidR="00486815">
        <w:t xml:space="preserve"> first participant randomised in</w:t>
      </w:r>
      <w:r>
        <w:t xml:space="preserve"> Phase II/III of the study was on 21 June 2021. As of the data cut-off of 29 April 2022, 3013 participants were randomised to receive 3 µg Comirnaty (tozinameran) vaccine, a</w:t>
      </w:r>
      <w:r w:rsidR="00486815">
        <w:t>nd 1513 randomised to placebo.</w:t>
      </w:r>
    </w:p>
    <w:p w14:paraId="7C4394E8" w14:textId="705E46A1" w:rsidR="00E146C7" w:rsidRDefault="00E146C7" w:rsidP="00E146C7">
      <w:pPr>
        <w:pStyle w:val="Heading4"/>
      </w:pPr>
      <w:r>
        <w:t>Study C4591007, Phase I</w:t>
      </w:r>
    </w:p>
    <w:p w14:paraId="1C731B90" w14:textId="4FCA4EC7" w:rsidR="00486815" w:rsidRPr="00453781" w:rsidRDefault="00E146C7" w:rsidP="00453781">
      <w:r>
        <w:t>Phase I</w:t>
      </w:r>
      <w:r w:rsidR="00453781" w:rsidRPr="00453781">
        <w:t xml:space="preserve"> was the dose level-finding part of</w:t>
      </w:r>
      <w:r w:rsidR="00486815">
        <w:t xml:space="preserve"> the study, conducted in the USA.</w:t>
      </w:r>
      <w:r w:rsidR="00453781" w:rsidRPr="00453781">
        <w:t xml:space="preserve"> Dose levels were tested in sentinel cohorts of children by age de-escalation, starting with the lowest dose level in the oldest age group</w:t>
      </w:r>
      <w:r>
        <w:t xml:space="preserve">, as shown in </w:t>
      </w:r>
      <w:r>
        <w:fldChar w:fldCharType="begin"/>
      </w:r>
      <w:r>
        <w:instrText xml:space="preserve"> REF _Ref113789666 \h </w:instrText>
      </w:r>
      <w:r>
        <w:fldChar w:fldCharType="separate"/>
      </w:r>
      <w:r w:rsidR="00145C93">
        <w:t xml:space="preserve">Figure </w:t>
      </w:r>
      <w:r w:rsidR="00145C93">
        <w:rPr>
          <w:noProof/>
        </w:rPr>
        <w:t>1</w:t>
      </w:r>
      <w:r>
        <w:fldChar w:fldCharType="end"/>
      </w:r>
      <w:r>
        <w:t xml:space="preserve"> above</w:t>
      </w:r>
      <w:r w:rsidR="00453781" w:rsidRPr="00453781">
        <w:t xml:space="preserve">. For each age group, the dose level identified as safe, tolerable, and immunogenic in </w:t>
      </w:r>
      <w:r>
        <w:t>Study C4591007 Phase I</w:t>
      </w:r>
      <w:r w:rsidR="00453781" w:rsidRPr="00453781">
        <w:t xml:space="preserve"> was selected </w:t>
      </w:r>
      <w:r>
        <w:t>for evaluation in Phase II/III.</w:t>
      </w:r>
    </w:p>
    <w:p w14:paraId="7D50FCEE" w14:textId="14FDE09F" w:rsidR="00453781" w:rsidRDefault="00453781" w:rsidP="00E146C7">
      <w:pPr>
        <w:pStyle w:val="Heading5"/>
      </w:pPr>
      <w:r w:rsidRPr="00453781">
        <w:t>Objectives</w:t>
      </w:r>
    </w:p>
    <w:p w14:paraId="6A9EEBCE" w14:textId="1F2C58CB" w:rsidR="00061A46" w:rsidRPr="00061A46" w:rsidRDefault="00061A46" w:rsidP="00061A46">
      <w:r>
        <w:t>The objectives of the Phase I part of this study were as follows:</w:t>
      </w:r>
    </w:p>
    <w:p w14:paraId="3CDE57AA" w14:textId="3A52FF76" w:rsidR="00061A46" w:rsidRDefault="00061A46" w:rsidP="00453781">
      <w:r>
        <w:rPr>
          <w:i/>
        </w:rPr>
        <w:t>Primary o</w:t>
      </w:r>
      <w:r w:rsidR="00453781" w:rsidRPr="00061A46">
        <w:rPr>
          <w:i/>
        </w:rPr>
        <w:t>bjectives</w:t>
      </w:r>
      <w:r>
        <w:t>:</w:t>
      </w:r>
    </w:p>
    <w:p w14:paraId="2704267B" w14:textId="4AD7789B" w:rsidR="00453781" w:rsidRPr="00453781" w:rsidRDefault="00453781" w:rsidP="00F664E8">
      <w:pPr>
        <w:pStyle w:val="ListBullet"/>
      </w:pPr>
      <w:r w:rsidRPr="00453781">
        <w:lastRenderedPageBreak/>
        <w:t xml:space="preserve">To describe the safety and tolerability profiles of prophylactic </w:t>
      </w:r>
      <w:r w:rsidR="00061A46">
        <w:t>Comirnaty vaccination</w:t>
      </w:r>
      <w:r w:rsidRPr="00453781">
        <w:t xml:space="preserve"> at each dose level in each age group.</w:t>
      </w:r>
    </w:p>
    <w:p w14:paraId="1651A5B5" w14:textId="0EB76147" w:rsidR="00061A46" w:rsidRDefault="00061A46" w:rsidP="00453781">
      <w:r>
        <w:rPr>
          <w:i/>
        </w:rPr>
        <w:t>Secondary o</w:t>
      </w:r>
      <w:r w:rsidR="00453781" w:rsidRPr="00061A46">
        <w:rPr>
          <w:i/>
        </w:rPr>
        <w:t>bjectives</w:t>
      </w:r>
      <w:r>
        <w:t>:</w:t>
      </w:r>
    </w:p>
    <w:p w14:paraId="65450570" w14:textId="4D4E8BEE" w:rsidR="00453781" w:rsidRPr="00453781" w:rsidRDefault="00453781" w:rsidP="00061A46">
      <w:pPr>
        <w:pStyle w:val="ListBullet"/>
      </w:pPr>
      <w:r w:rsidRPr="00453781">
        <w:t xml:space="preserve">To describe the immune responses elicited by prophylactic </w:t>
      </w:r>
      <w:r w:rsidR="00061A46">
        <w:t>Comirnaty vaccination</w:t>
      </w:r>
      <w:r w:rsidRPr="00453781">
        <w:t xml:space="preserve"> at each dose level in each age group.</w:t>
      </w:r>
    </w:p>
    <w:p w14:paraId="5B828FF1" w14:textId="77777777" w:rsidR="00061A46" w:rsidRDefault="00061A46" w:rsidP="00453781">
      <w:pPr>
        <w:rPr>
          <w:i/>
        </w:rPr>
      </w:pPr>
      <w:r>
        <w:rPr>
          <w:i/>
        </w:rPr>
        <w:t>Exploratory Objectives:</w:t>
      </w:r>
    </w:p>
    <w:p w14:paraId="5C1C58F7" w14:textId="77777777" w:rsidR="00061A46" w:rsidRPr="00061A46" w:rsidRDefault="00061A46" w:rsidP="00061A46">
      <w:pPr>
        <w:pStyle w:val="ListBullet"/>
        <w:rPr>
          <w:u w:val="single"/>
        </w:rPr>
      </w:pPr>
      <w:r>
        <w:t>To describe:</w:t>
      </w:r>
    </w:p>
    <w:p w14:paraId="116DB8BB" w14:textId="77777777" w:rsidR="00061A46" w:rsidRPr="00061A46" w:rsidRDefault="00453781" w:rsidP="00F664E8">
      <w:pPr>
        <w:pStyle w:val="ListBullet2"/>
        <w:rPr>
          <w:u w:val="single"/>
        </w:rPr>
      </w:pPr>
      <w:r w:rsidRPr="00453781">
        <w:t>COVID-19 and severe COVID-19 cases with and without serological or virological evidence of past SARS-CoV-2 infection</w:t>
      </w:r>
      <w:r w:rsidR="00061A46">
        <w:t>; and</w:t>
      </w:r>
    </w:p>
    <w:p w14:paraId="0FF7DB04" w14:textId="4A200AE2" w:rsidR="00453781" w:rsidRPr="00061A46" w:rsidRDefault="00453781" w:rsidP="007C0951">
      <w:pPr>
        <w:pStyle w:val="ListBullet2"/>
        <w:rPr>
          <w:u w:val="single"/>
        </w:rPr>
      </w:pPr>
      <w:r w:rsidRPr="00453781">
        <w:t>MIS-C cases with and without evidence of past SARS-CoV-2 infection.</w:t>
      </w:r>
    </w:p>
    <w:p w14:paraId="3299EDFD" w14:textId="77777777" w:rsidR="00453781" w:rsidRPr="00453781" w:rsidRDefault="00453781" w:rsidP="00061A46">
      <w:pPr>
        <w:pStyle w:val="Heading5"/>
      </w:pPr>
      <w:r w:rsidRPr="00453781">
        <w:t>Participants</w:t>
      </w:r>
    </w:p>
    <w:p w14:paraId="564BCBF7" w14:textId="38FCEDF3" w:rsidR="00453781" w:rsidRPr="00453781" w:rsidRDefault="00061A46" w:rsidP="00453781">
      <w:r>
        <w:t>Eligibility for enrolment in Phase I</w:t>
      </w:r>
      <w:r w:rsidR="00453781" w:rsidRPr="00453781">
        <w:t xml:space="preserve"> included healthy children in the US</w:t>
      </w:r>
      <w:r>
        <w:t>A</w:t>
      </w:r>
      <w:r w:rsidR="00453781" w:rsidRPr="00453781">
        <w:t>. Exclusions included clinically important medical or psychiatric illness or laboratory abnormalities, past diagnosis of MIS-C, serological evidence of prior infection or virological evidence of current infection with SARS-CoV-2.</w:t>
      </w:r>
    </w:p>
    <w:p w14:paraId="34DCA064" w14:textId="4AE7CF67" w:rsidR="00453781" w:rsidRPr="00453781" w:rsidRDefault="00061A46" w:rsidP="00F664E8">
      <w:r>
        <w:t>In Phase I</w:t>
      </w:r>
      <w:r w:rsidR="00453781" w:rsidRPr="00453781">
        <w:t xml:space="preserve"> it was planned to enrol 16 participants per dose level tested in each age group.  This was a two-dose schedule of up to 3 different dose levels (10, 20 or 30 µg) of </w:t>
      </w:r>
      <w:r>
        <w:t>Comirnaty (tozinameran) vaccine</w:t>
      </w:r>
      <w:r w:rsidR="00453781" w:rsidRPr="00453781">
        <w:t xml:space="preserve"> given 21 days apart as a primary series.</w:t>
      </w:r>
    </w:p>
    <w:p w14:paraId="0F01F81E" w14:textId="1017F3FF" w:rsidR="00453781" w:rsidRPr="00453781" w:rsidRDefault="00453781" w:rsidP="00F664E8">
      <w:r w:rsidRPr="00453781">
        <w:t xml:space="preserve">The doses tested </w:t>
      </w:r>
      <w:r w:rsidR="00061A46">
        <w:t>in each age group during Phase I</w:t>
      </w:r>
      <w:r w:rsidRPr="00453781">
        <w:t xml:space="preserve"> were as follows:</w:t>
      </w:r>
    </w:p>
    <w:p w14:paraId="4899708B" w14:textId="77777777" w:rsidR="00061A46" w:rsidRDefault="00061A46" w:rsidP="00061A46">
      <w:pPr>
        <w:pStyle w:val="ListBullet"/>
      </w:pPr>
      <w:r>
        <w:t>5 to under 12 years of age:</w:t>
      </w:r>
    </w:p>
    <w:p w14:paraId="660D22CA" w14:textId="23573291" w:rsidR="00061A46" w:rsidRDefault="00061A46" w:rsidP="00061A46">
      <w:pPr>
        <w:pStyle w:val="ListBullet2"/>
      </w:pPr>
      <w:r>
        <w:t>dose levels</w:t>
      </w:r>
      <w:r w:rsidR="00B76C7F">
        <w:t>:</w:t>
      </w:r>
      <w:r>
        <w:t xml:space="preserve"> 10, 20, 30 </w:t>
      </w:r>
      <w:proofErr w:type="spellStart"/>
      <w:r>
        <w:t>μg</w:t>
      </w:r>
      <w:proofErr w:type="spellEnd"/>
    </w:p>
    <w:p w14:paraId="59985DEE" w14:textId="6C50BCD8" w:rsidR="00453781" w:rsidRPr="00061A46" w:rsidRDefault="00061A46" w:rsidP="00061A46">
      <w:pPr>
        <w:pStyle w:val="ListBullet2"/>
      </w:pPr>
      <w:r>
        <w:t>selected dose level</w:t>
      </w:r>
      <w:r w:rsidR="00B76C7F">
        <w:t>:</w:t>
      </w:r>
      <w:r>
        <w:t xml:space="preserve"> 10 </w:t>
      </w:r>
      <w:proofErr w:type="spellStart"/>
      <w:r w:rsidR="00453781" w:rsidRPr="00061A46">
        <w:t>μg</w:t>
      </w:r>
      <w:proofErr w:type="spellEnd"/>
    </w:p>
    <w:p w14:paraId="09082CBC" w14:textId="77777777" w:rsidR="00061A46" w:rsidRDefault="00061A46" w:rsidP="00061A46">
      <w:pPr>
        <w:pStyle w:val="ListBullet"/>
      </w:pPr>
      <w:r>
        <w:t>2 to under 5 years of age:</w:t>
      </w:r>
    </w:p>
    <w:p w14:paraId="03AF9A8E" w14:textId="7EF942B5" w:rsidR="00061A46" w:rsidRDefault="00061A46" w:rsidP="00061A46">
      <w:pPr>
        <w:pStyle w:val="ListBullet2"/>
      </w:pPr>
      <w:r>
        <w:t>dose levels</w:t>
      </w:r>
      <w:r w:rsidR="00B76C7F">
        <w:t>:</w:t>
      </w:r>
      <w:r>
        <w:t xml:space="preserve"> 3, 10 </w:t>
      </w:r>
      <w:proofErr w:type="spellStart"/>
      <w:r>
        <w:t>μg</w:t>
      </w:r>
      <w:proofErr w:type="spellEnd"/>
    </w:p>
    <w:p w14:paraId="455854CB" w14:textId="63A66B72" w:rsidR="00453781" w:rsidRPr="00061A46" w:rsidRDefault="00061A46" w:rsidP="00061A46">
      <w:pPr>
        <w:pStyle w:val="ListBullet2"/>
      </w:pPr>
      <w:r>
        <w:t>selected dose level</w:t>
      </w:r>
      <w:r w:rsidR="00B76C7F">
        <w:t>:</w:t>
      </w:r>
      <w:r>
        <w:t xml:space="preserve"> 3 </w:t>
      </w:r>
      <w:proofErr w:type="spellStart"/>
      <w:r w:rsidR="00453781" w:rsidRPr="00061A46">
        <w:t>μg</w:t>
      </w:r>
      <w:proofErr w:type="spellEnd"/>
    </w:p>
    <w:p w14:paraId="2359C086" w14:textId="77777777" w:rsidR="00061A46" w:rsidRDefault="00061A46" w:rsidP="00061A46">
      <w:pPr>
        <w:pStyle w:val="ListBullet"/>
      </w:pPr>
      <w:r>
        <w:t>6 months to under 2 years of age:</w:t>
      </w:r>
    </w:p>
    <w:p w14:paraId="03BBA301" w14:textId="53674712" w:rsidR="00061A46" w:rsidRDefault="00061A46" w:rsidP="00061A46">
      <w:pPr>
        <w:pStyle w:val="ListBullet2"/>
      </w:pPr>
      <w:r>
        <w:t>dose level</w:t>
      </w:r>
      <w:r w:rsidR="00B76C7F">
        <w:t>:</w:t>
      </w:r>
      <w:r>
        <w:t xml:space="preserve"> 3 </w:t>
      </w:r>
      <w:proofErr w:type="spellStart"/>
      <w:r>
        <w:t>μg</w:t>
      </w:r>
      <w:proofErr w:type="spellEnd"/>
    </w:p>
    <w:p w14:paraId="68B9C7B6" w14:textId="1B528466" w:rsidR="00453781" w:rsidRPr="00061A46" w:rsidRDefault="00061A46" w:rsidP="00061A46">
      <w:pPr>
        <w:pStyle w:val="ListBullet2"/>
      </w:pPr>
      <w:r>
        <w:t>selected dose level</w:t>
      </w:r>
      <w:r w:rsidR="00B76C7F">
        <w:t>:</w:t>
      </w:r>
      <w:r>
        <w:t xml:space="preserve"> 3 </w:t>
      </w:r>
      <w:proofErr w:type="spellStart"/>
      <w:r w:rsidR="00453781" w:rsidRPr="00061A46">
        <w:t>μg</w:t>
      </w:r>
      <w:proofErr w:type="spellEnd"/>
      <w:r>
        <w:t>.</w:t>
      </w:r>
    </w:p>
    <w:p w14:paraId="3A2F7466" w14:textId="77777777" w:rsidR="00453781" w:rsidRPr="00453781" w:rsidRDefault="00453781" w:rsidP="00061A46">
      <w:pPr>
        <w:pStyle w:val="Heading5"/>
      </w:pPr>
      <w:r w:rsidRPr="00453781">
        <w:t>Procedures</w:t>
      </w:r>
    </w:p>
    <w:p w14:paraId="49913A61" w14:textId="4E23E183" w:rsidR="00453781" w:rsidRPr="00453781" w:rsidRDefault="00453781" w:rsidP="00F664E8">
      <w:r w:rsidRPr="00453781">
        <w:t>Serum samples for immunogenicity testing were obtained before D</w:t>
      </w:r>
      <w:r w:rsidR="00061A46">
        <w:t>ose 1, before Dose 2 and about one week after Dose 2. Phase I</w:t>
      </w:r>
      <w:r w:rsidRPr="00453781">
        <w:t xml:space="preserve"> data are presented to the 7 days post-Dose 2 time point.</w:t>
      </w:r>
    </w:p>
    <w:p w14:paraId="63798675" w14:textId="77777777" w:rsidR="00453781" w:rsidRPr="00453781" w:rsidRDefault="00453781" w:rsidP="00061A46">
      <w:pPr>
        <w:pStyle w:val="Heading5"/>
      </w:pPr>
      <w:r w:rsidRPr="00453781">
        <w:t>Participant flow</w:t>
      </w:r>
    </w:p>
    <w:p w14:paraId="482833EF" w14:textId="4E52E097" w:rsidR="00453781" w:rsidRPr="00453781" w:rsidRDefault="00453781" w:rsidP="00F664E8">
      <w:r w:rsidRPr="00453781">
        <w:t xml:space="preserve">A </w:t>
      </w:r>
      <w:r w:rsidR="00B76C7F">
        <w:t xml:space="preserve">total of 49 children aged 2 to </w:t>
      </w:r>
      <w:r w:rsidR="00061A46">
        <w:t xml:space="preserve">under </w:t>
      </w:r>
      <w:r w:rsidRPr="00453781">
        <w:t>5 years were assigned (in a 1:1 ratio) to receive 3</w:t>
      </w:r>
      <w:r w:rsidR="00061A46">
        <w:t> </w:t>
      </w:r>
      <w:proofErr w:type="spellStart"/>
      <w:r w:rsidR="00061A46">
        <w:t>μg</w:t>
      </w:r>
      <w:proofErr w:type="spellEnd"/>
      <w:r w:rsidR="00061A46">
        <w:t xml:space="preserve"> or 10 </w:t>
      </w:r>
      <w:proofErr w:type="spellStart"/>
      <w:r w:rsidRPr="00453781">
        <w:t>μg</w:t>
      </w:r>
      <w:proofErr w:type="spellEnd"/>
      <w:r w:rsidRPr="00453781">
        <w:t xml:space="preserve"> </w:t>
      </w:r>
      <w:r w:rsidR="00061A46">
        <w:t>tozinameran. Of these, 48 or 49 children (98%) received both doses (</w:t>
      </w:r>
      <w:r w:rsidRPr="00453781">
        <w:t xml:space="preserve">32 in </w:t>
      </w:r>
      <w:r w:rsidR="00061A46">
        <w:t>the 10 </w:t>
      </w:r>
      <w:proofErr w:type="spellStart"/>
      <w:r w:rsidR="00061A46">
        <w:t>μg</w:t>
      </w:r>
      <w:proofErr w:type="spellEnd"/>
      <w:r w:rsidR="00061A46">
        <w:t xml:space="preserve"> group and 16 in 3 </w:t>
      </w:r>
      <w:proofErr w:type="spellStart"/>
      <w:r w:rsidRPr="00453781">
        <w:t>μg</w:t>
      </w:r>
      <w:proofErr w:type="spellEnd"/>
      <w:r w:rsidRPr="00453781">
        <w:t xml:space="preserve"> group), most receiving Dose 2 between 19 to 23 days after Dose 1. </w:t>
      </w:r>
    </w:p>
    <w:p w14:paraId="495D3436" w14:textId="3548438F" w:rsidR="00453781" w:rsidRPr="00453781" w:rsidRDefault="00453781" w:rsidP="00453781">
      <w:r w:rsidRPr="00453781">
        <w:t>A total o</w:t>
      </w:r>
      <w:r w:rsidR="00061A46">
        <w:t xml:space="preserve">f 16 children aged 6 months to under </w:t>
      </w:r>
      <w:r w:rsidRPr="00453781">
        <w:t xml:space="preserve">2 years of age group were assigned to receive 3 </w:t>
      </w:r>
      <w:proofErr w:type="spellStart"/>
      <w:r w:rsidRPr="00453781">
        <w:t>μg</w:t>
      </w:r>
      <w:proofErr w:type="spellEnd"/>
      <w:r w:rsidRPr="00453781">
        <w:t xml:space="preserve"> </w:t>
      </w:r>
      <w:r w:rsidR="00061A46">
        <w:t>tozinameran</w:t>
      </w:r>
      <w:r w:rsidRPr="00453781">
        <w:t xml:space="preserve">. All 16 received both doses of </w:t>
      </w:r>
      <w:r w:rsidR="00061A46">
        <w:t>tozinameran</w:t>
      </w:r>
      <w:r w:rsidRPr="00453781">
        <w:t xml:space="preserve"> with all receiving Dose 2 between 19 to 23 days after Dose 1.</w:t>
      </w:r>
    </w:p>
    <w:p w14:paraId="17A8D409" w14:textId="569AAC6C" w:rsidR="00453781" w:rsidRPr="00453781" w:rsidRDefault="00453781" w:rsidP="00453781">
      <w:r w:rsidRPr="00453781">
        <w:t>No participants were withdrawn; no important protoco</w:t>
      </w:r>
      <w:r w:rsidR="00061A46">
        <w:t>l deviations occurred in Phase I</w:t>
      </w:r>
      <w:r w:rsidRPr="00453781">
        <w:t xml:space="preserve"> participants</w:t>
      </w:r>
      <w:r w:rsidR="00061A46">
        <w:t>.</w:t>
      </w:r>
    </w:p>
    <w:p w14:paraId="42DB1DA2" w14:textId="77777777" w:rsidR="00453781" w:rsidRPr="00453781" w:rsidRDefault="00453781" w:rsidP="00061A46">
      <w:pPr>
        <w:pStyle w:val="Heading5"/>
      </w:pPr>
      <w:r w:rsidRPr="00453781">
        <w:lastRenderedPageBreak/>
        <w:t>Demographics</w:t>
      </w:r>
    </w:p>
    <w:p w14:paraId="6B0CAAD0" w14:textId="2A12B881" w:rsidR="00453781" w:rsidRPr="00453781" w:rsidRDefault="00727EE6" w:rsidP="00F664E8">
      <w:r>
        <w:t xml:space="preserve">Phase I was conducted only in the USA. </w:t>
      </w:r>
      <w:r w:rsidR="00061A46">
        <w:t xml:space="preserve">Most participants </w:t>
      </w:r>
      <w:r>
        <w:t xml:space="preserve">from </w:t>
      </w:r>
      <w:r w:rsidR="00061A46">
        <w:t xml:space="preserve">2 </w:t>
      </w:r>
      <w:r>
        <w:t>and under</w:t>
      </w:r>
      <w:r w:rsidR="00061A46">
        <w:t xml:space="preserve"> </w:t>
      </w:r>
      <w:r w:rsidR="00453781" w:rsidRPr="00453781">
        <w:t>5 years of age were White (79.2%), with 4.2% Black/African American and 6.3% Asian. There were 2.1% Hispanic/Latino participants. The median age was 3.0 years and 58.3% of participants were male. Simil</w:t>
      </w:r>
      <w:r>
        <w:t xml:space="preserve">arly, participants 6 months to under </w:t>
      </w:r>
      <w:r w:rsidR="00453781" w:rsidRPr="00453781">
        <w:t xml:space="preserve">2 years of age were White (87.5%), with 6.3% Asian, and 6.3% multiracial. There were 18.8% Hispanic/Latino participants. The median age was 15.5 months and 62.5% of participants were male. Participants had a medical history profile consistent with that of individuals </w:t>
      </w:r>
      <w:r>
        <w:t xml:space="preserve">of the same age </w:t>
      </w:r>
      <w:r w:rsidR="00453781" w:rsidRPr="00453781">
        <w:t xml:space="preserve">in the general </w:t>
      </w:r>
      <w:r>
        <w:t>population</w:t>
      </w:r>
    </w:p>
    <w:p w14:paraId="6001DB08" w14:textId="77777777" w:rsidR="00453781" w:rsidRPr="00453781" w:rsidRDefault="00453781" w:rsidP="00727EE6">
      <w:pPr>
        <w:pStyle w:val="Heading5"/>
      </w:pPr>
      <w:r w:rsidRPr="00453781">
        <w:t>Immunogenicity analysis</w:t>
      </w:r>
    </w:p>
    <w:p w14:paraId="423CAA48" w14:textId="67FCCF79" w:rsidR="00453781" w:rsidRPr="00453781" w:rsidRDefault="00727EE6" w:rsidP="00727EE6">
      <w:pPr>
        <w:pStyle w:val="Heading6"/>
      </w:pPr>
      <w:r>
        <w:t>Children 2 to under 5 years of a</w:t>
      </w:r>
      <w:r w:rsidR="00453781" w:rsidRPr="00453781">
        <w:t>ge</w:t>
      </w:r>
    </w:p>
    <w:p w14:paraId="2C5D66F9" w14:textId="04464A70" w:rsidR="00453781" w:rsidRPr="00453781" w:rsidRDefault="00727EE6" w:rsidP="00F664E8">
      <w:r>
        <w:t>In the Phase I</w:t>
      </w:r>
      <w:r w:rsidR="00453781" w:rsidRPr="00453781">
        <w:t xml:space="preserve"> evaluable immunogenicity p</w:t>
      </w:r>
      <w:r w:rsidR="00B76C7F">
        <w:t xml:space="preserve">opulation of participants 2 to under </w:t>
      </w:r>
      <w:r w:rsidR="00453781" w:rsidRPr="00453781">
        <w:t xml:space="preserve">5 years of age group who were without evidence of SARS-CoV-2 infection, at Day 7 post-Dose 2 the </w:t>
      </w:r>
      <w:r w:rsidR="00B76C7F">
        <w:t>geometric mean titres (</w:t>
      </w:r>
      <w:r w:rsidR="00453781" w:rsidRPr="00453781">
        <w:t>GMTs</w:t>
      </w:r>
      <w:r w:rsidR="00B76C7F">
        <w:t>)</w:t>
      </w:r>
      <w:r w:rsidR="00453781" w:rsidRPr="00453781">
        <w:t xml:space="preserve"> were: 1350.4 (2-sided 95% </w:t>
      </w:r>
      <w:r w:rsidR="00B76C7F">
        <w:t>confidence interval (</w:t>
      </w:r>
      <w:r w:rsidR="00453781" w:rsidRPr="00453781">
        <w:t>CI</w:t>
      </w:r>
      <w:r w:rsidR="00B76C7F">
        <w:t>)</w:t>
      </w:r>
      <w:r w:rsidR="00453781" w:rsidRPr="00453781">
        <w:t>: 973.1, 1873.9) in the 3</w:t>
      </w:r>
      <w:r>
        <w:t xml:space="preserve"> </w:t>
      </w:r>
      <w:proofErr w:type="spellStart"/>
      <w:r>
        <w:t>μg</w:t>
      </w:r>
      <w:proofErr w:type="spellEnd"/>
      <w:r w:rsidR="00453781" w:rsidRPr="00453781">
        <w:t xml:space="preserve"> group and 2059.5 (2-sided 95% CI: 1679.1, 2526.0) in the 10</w:t>
      </w:r>
      <w:r>
        <w:t xml:space="preserve"> </w:t>
      </w:r>
      <w:proofErr w:type="spellStart"/>
      <w:r>
        <w:t>μg</w:t>
      </w:r>
      <w:proofErr w:type="spellEnd"/>
      <w:r w:rsidR="00B76C7F">
        <w:t xml:space="preserve"> group. Results for </w:t>
      </w:r>
      <w:proofErr w:type="gramStart"/>
      <w:r w:rsidR="00B76C7F">
        <w:t>the all</w:t>
      </w:r>
      <w:proofErr w:type="gramEnd"/>
      <w:r w:rsidR="00B76C7F">
        <w:noBreakHyphen/>
      </w:r>
      <w:r w:rsidR="00453781" w:rsidRPr="00453781">
        <w:t>available immunogenicity population were similar to those of the evaluable population.</w:t>
      </w:r>
    </w:p>
    <w:p w14:paraId="164417A1" w14:textId="1066B3CE" w:rsidR="00453781" w:rsidRPr="00453781" w:rsidRDefault="00727EE6" w:rsidP="00727EE6">
      <w:pPr>
        <w:pStyle w:val="Heading6"/>
      </w:pPr>
      <w:r>
        <w:t>Children 6 m</w:t>
      </w:r>
      <w:r w:rsidR="00453781" w:rsidRPr="00453781">
        <w:t>onths to</w:t>
      </w:r>
      <w:r w:rsidR="00031C61">
        <w:t xml:space="preserve"> </w:t>
      </w:r>
      <w:r>
        <w:t>under 2 years of a</w:t>
      </w:r>
      <w:r w:rsidR="00453781" w:rsidRPr="00453781">
        <w:t>ge</w:t>
      </w:r>
    </w:p>
    <w:p w14:paraId="4D4B45AB" w14:textId="7BA6F13D" w:rsidR="00453781" w:rsidRPr="00453781" w:rsidRDefault="00453781" w:rsidP="00453781">
      <w:r w:rsidRPr="00453781">
        <w:t xml:space="preserve">In the </w:t>
      </w:r>
      <w:r w:rsidR="00727EE6">
        <w:t>Phase I</w:t>
      </w:r>
      <w:r w:rsidRPr="00453781">
        <w:t xml:space="preserve"> evaluable immunogenicity populati</w:t>
      </w:r>
      <w:r w:rsidR="007C0951">
        <w:t xml:space="preserve">on of participants 6 months to </w:t>
      </w:r>
      <w:r w:rsidR="00727EE6">
        <w:t xml:space="preserve">under </w:t>
      </w:r>
      <w:r w:rsidR="007C0951">
        <w:t>2 </w:t>
      </w:r>
      <w:r w:rsidRPr="00453781">
        <w:t>years of age group who were without evidence of SARS</w:t>
      </w:r>
      <w:r w:rsidR="00727EE6">
        <w:t>-CoV-2 infection, at Day 7 post</w:t>
      </w:r>
      <w:r w:rsidR="00727EE6">
        <w:noBreakHyphen/>
      </w:r>
      <w:r w:rsidRPr="00453781">
        <w:t xml:space="preserve">Dose 2 of </w:t>
      </w:r>
      <w:r w:rsidR="00727EE6">
        <w:t>Comirnaty vaccine</w:t>
      </w:r>
      <w:r w:rsidRPr="00453781">
        <w:t xml:space="preserve"> 3</w:t>
      </w:r>
      <w:r w:rsidR="00727EE6">
        <w:t xml:space="preserve"> </w:t>
      </w:r>
      <w:proofErr w:type="spellStart"/>
      <w:r w:rsidR="00727EE6">
        <w:t>μg</w:t>
      </w:r>
      <w:proofErr w:type="spellEnd"/>
      <w:r w:rsidR="00727EE6">
        <w:t xml:space="preserve"> dose</w:t>
      </w:r>
      <w:r w:rsidRPr="00453781">
        <w:t>, the GMTs</w:t>
      </w:r>
      <w:r w:rsidR="00727EE6">
        <w:t xml:space="preserve"> were </w:t>
      </w:r>
      <w:r w:rsidRPr="00453781">
        <w:t>1643.8 (2-sided 95% CI: 1151.3, 2</w:t>
      </w:r>
      <w:r w:rsidR="00727EE6">
        <w:t>347.1). Results for the all</w:t>
      </w:r>
      <w:r w:rsidR="00B76C7F">
        <w:t>-</w:t>
      </w:r>
      <w:r w:rsidRPr="00453781">
        <w:t xml:space="preserve">available immunogenicity population were </w:t>
      </w:r>
      <w:proofErr w:type="gramStart"/>
      <w:r w:rsidRPr="00453781">
        <w:t>similar to</w:t>
      </w:r>
      <w:proofErr w:type="gramEnd"/>
      <w:r w:rsidRPr="00453781">
        <w:t xml:space="preserve"> those of the evaluable population.</w:t>
      </w:r>
    </w:p>
    <w:p w14:paraId="5BBC8437" w14:textId="77777777" w:rsidR="00453781" w:rsidRPr="00453781" w:rsidRDefault="00453781" w:rsidP="00727EE6">
      <w:pPr>
        <w:pStyle w:val="Heading5"/>
      </w:pPr>
      <w:r w:rsidRPr="00453781">
        <w:t>Safety</w:t>
      </w:r>
    </w:p>
    <w:p w14:paraId="6A291CAD" w14:textId="011CA0D9" w:rsidR="00453781" w:rsidRPr="00453781" w:rsidRDefault="00727EE6" w:rsidP="00453781">
      <w:r>
        <w:t>Phase I</w:t>
      </w:r>
      <w:r w:rsidR="00453781" w:rsidRPr="00453781">
        <w:t xml:space="preserve"> safety dat</w:t>
      </w:r>
      <w:r>
        <w:t xml:space="preserve">a are based on analyses up to one </w:t>
      </w:r>
      <w:r w:rsidR="00453781" w:rsidRPr="00453781">
        <w:t>month after Dose 2.</w:t>
      </w:r>
    </w:p>
    <w:p w14:paraId="4E74A352" w14:textId="77777777" w:rsidR="00727EE6" w:rsidRDefault="00727EE6" w:rsidP="00727EE6">
      <w:pPr>
        <w:pStyle w:val="Heading6"/>
      </w:pPr>
      <w:r>
        <w:t>Children 2 to under 5 years of a</w:t>
      </w:r>
      <w:r w:rsidRPr="00453781">
        <w:t>ge</w:t>
      </w:r>
    </w:p>
    <w:p w14:paraId="3635BD2B" w14:textId="69285D52" w:rsidR="00453781" w:rsidRPr="00727EE6" w:rsidRDefault="00453781" w:rsidP="00453781">
      <w:r w:rsidRPr="00453781">
        <w:t>The incidence and/or severity of local reac</w:t>
      </w:r>
      <w:r w:rsidR="00727EE6">
        <w:t>tions increased in a dose level</w:t>
      </w:r>
      <w:r w:rsidRPr="00453781">
        <w:t xml:space="preserve"> and dose number-dependent manner at 3</w:t>
      </w:r>
      <w:r w:rsidR="00727EE6">
        <w:t xml:space="preserve"> </w:t>
      </w:r>
      <w:proofErr w:type="spellStart"/>
      <w:r w:rsidR="00727EE6">
        <w:t>μg</w:t>
      </w:r>
      <w:proofErr w:type="spellEnd"/>
      <w:r w:rsidRPr="00453781">
        <w:t xml:space="preserve"> and 10</w:t>
      </w:r>
      <w:r w:rsidR="00727EE6">
        <w:t xml:space="preserve"> </w:t>
      </w:r>
      <w:proofErr w:type="spellStart"/>
      <w:r w:rsidR="00727EE6">
        <w:t>μg</w:t>
      </w:r>
      <w:proofErr w:type="spellEnd"/>
      <w:r w:rsidRPr="00453781">
        <w:t xml:space="preserve"> dose levels.  Local reactions were mostly mil</w:t>
      </w:r>
      <w:r w:rsidR="00727EE6">
        <w:t xml:space="preserve">d to moderate and short-lived, as shown in </w:t>
      </w:r>
      <w:r w:rsidR="00727EE6">
        <w:fldChar w:fldCharType="begin"/>
      </w:r>
      <w:r w:rsidR="00727EE6">
        <w:instrText xml:space="preserve"> REF _Ref113793094 \h </w:instrText>
      </w:r>
      <w:r w:rsidR="00727EE6">
        <w:fldChar w:fldCharType="separate"/>
      </w:r>
      <w:r w:rsidR="00145C93">
        <w:t xml:space="preserve">Figure </w:t>
      </w:r>
      <w:r w:rsidR="00145C93">
        <w:rPr>
          <w:noProof/>
        </w:rPr>
        <w:t>2</w:t>
      </w:r>
      <w:r w:rsidR="00727EE6">
        <w:fldChar w:fldCharType="end"/>
      </w:r>
      <w:r w:rsidR="00727EE6">
        <w:t>, below.</w:t>
      </w:r>
      <w:r w:rsidRPr="00453781">
        <w:t xml:space="preserve"> The most common local reaction was pain at the injection site, followed by redness and swelling. All local reactions were mild or moderate in severity. No</w:t>
      </w:r>
      <w:r w:rsidR="00727EE6">
        <w:t xml:space="preserve"> Grade 4 events were reported.</w:t>
      </w:r>
    </w:p>
    <w:p w14:paraId="570C89C9" w14:textId="5DB83507" w:rsidR="00727EE6" w:rsidRPr="00727EE6" w:rsidRDefault="00727EE6" w:rsidP="00727EE6">
      <w:pPr>
        <w:pStyle w:val="FigureTitle"/>
      </w:pPr>
      <w:bookmarkStart w:id="62" w:name="_Ref113793094"/>
      <w:r>
        <w:lastRenderedPageBreak/>
        <w:t xml:space="preserve">Figure </w:t>
      </w:r>
      <w:r w:rsidR="00582372">
        <w:fldChar w:fldCharType="begin"/>
      </w:r>
      <w:r w:rsidR="00582372">
        <w:instrText xml:space="preserve"> SEQ Figure \* ARABIC </w:instrText>
      </w:r>
      <w:r w:rsidR="00582372">
        <w:fldChar w:fldCharType="separate"/>
      </w:r>
      <w:r w:rsidR="00145C93">
        <w:rPr>
          <w:noProof/>
        </w:rPr>
        <w:t>2</w:t>
      </w:r>
      <w:r w:rsidR="00582372">
        <w:rPr>
          <w:noProof/>
        </w:rPr>
        <w:fldChar w:fldCharType="end"/>
      </w:r>
      <w:bookmarkEnd w:id="62"/>
      <w:r>
        <w:t>: Study C4591007 (Phase I) Participants reporting local reactions, by maximum severity w</w:t>
      </w:r>
      <w:r w:rsidRPr="00453781">
        <w:t>ithin 7 days after each dose</w:t>
      </w:r>
      <w:r>
        <w:t>; 2 to under 5 years of age group (s</w:t>
      </w:r>
      <w:r w:rsidRPr="00453781">
        <w:t>afe</w:t>
      </w:r>
      <w:r>
        <w:t>ty population)</w:t>
      </w:r>
    </w:p>
    <w:p w14:paraId="46A6EC5E" w14:textId="77777777" w:rsidR="00453781" w:rsidRPr="00453781" w:rsidRDefault="00453781" w:rsidP="00453781">
      <w:pPr>
        <w:rPr>
          <w:b/>
          <w:bCs/>
        </w:rPr>
      </w:pPr>
      <w:r w:rsidRPr="00453781">
        <w:rPr>
          <w:b/>
          <w:bCs/>
          <w:noProof/>
          <w:lang w:val="en-GB" w:eastAsia="en-GB"/>
        </w:rPr>
        <w:drawing>
          <wp:inline distT="0" distB="0" distL="0" distR="0" wp14:anchorId="5BF6A0A7" wp14:editId="5ED8DD12">
            <wp:extent cx="5284447" cy="3312427"/>
            <wp:effectExtent l="0" t="0" r="0" b="2540"/>
            <wp:docPr id="13" name="Picture 13" descr="Study C4591007 (Phase I) Participants reporting local reactions, by maximum severity within 7 days after each dose; 2 to under 5 years of age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waterfall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368880" cy="3365352"/>
                    </a:xfrm>
                    <a:prstGeom prst="rect">
                      <a:avLst/>
                    </a:prstGeom>
                  </pic:spPr>
                </pic:pic>
              </a:graphicData>
            </a:graphic>
          </wp:inline>
        </w:drawing>
      </w:r>
    </w:p>
    <w:p w14:paraId="3DBAEF55" w14:textId="095B6D00" w:rsidR="00453781" w:rsidRPr="00453781" w:rsidRDefault="00453781" w:rsidP="00453781">
      <w:r w:rsidRPr="00453781">
        <w:t>Similarly, with systemic adverse events the incidence and/or severity increased in a dose level- and dose number-dependent manner at 3</w:t>
      </w:r>
      <w:r w:rsidR="00727EE6">
        <w:t xml:space="preserve"> </w:t>
      </w:r>
      <w:proofErr w:type="spellStart"/>
      <w:r w:rsidR="00727EE6">
        <w:t>μg</w:t>
      </w:r>
      <w:proofErr w:type="spellEnd"/>
      <w:r w:rsidRPr="00453781">
        <w:t xml:space="preserve"> and 10</w:t>
      </w:r>
      <w:r w:rsidR="00727EE6">
        <w:t xml:space="preserve"> </w:t>
      </w:r>
      <w:proofErr w:type="spellStart"/>
      <w:r w:rsidR="00727EE6">
        <w:t>μg</w:t>
      </w:r>
      <w:proofErr w:type="spellEnd"/>
      <w:r w:rsidRPr="00453781">
        <w:t xml:space="preserve"> dose levels. Systemic events were mostly mi</w:t>
      </w:r>
      <w:r w:rsidR="00031C61">
        <w:t xml:space="preserve">ld to moderate and short-lived as shown in </w:t>
      </w:r>
      <w:r w:rsidR="00031C61">
        <w:fldChar w:fldCharType="begin"/>
      </w:r>
      <w:r w:rsidR="00031C61">
        <w:instrText xml:space="preserve"> REF _Ref113793489 \h </w:instrText>
      </w:r>
      <w:r w:rsidR="00031C61">
        <w:fldChar w:fldCharType="separate"/>
      </w:r>
      <w:r w:rsidR="00145C93">
        <w:t xml:space="preserve">Figure </w:t>
      </w:r>
      <w:r w:rsidR="00145C93">
        <w:rPr>
          <w:noProof/>
        </w:rPr>
        <w:t>3</w:t>
      </w:r>
      <w:r w:rsidR="00031C61">
        <w:fldChar w:fldCharType="end"/>
      </w:r>
      <w:r w:rsidR="00031C61">
        <w:t>, below.</w:t>
      </w:r>
      <w:r w:rsidRPr="00453781">
        <w:t xml:space="preserve"> The most common systemic event was fatigue. All systemic events were mild or moderate in severity. No Grade 4 events were reported.</w:t>
      </w:r>
    </w:p>
    <w:p w14:paraId="440AD8B1" w14:textId="58E094F5" w:rsidR="00031C61" w:rsidRPr="00B76C7F" w:rsidRDefault="00453781" w:rsidP="00453781">
      <w:r w:rsidRPr="00453781">
        <w:t xml:space="preserve">No </w:t>
      </w:r>
      <w:r w:rsidR="00031C61">
        <w:t>serious adverse events</w:t>
      </w:r>
      <w:r w:rsidRPr="00453781">
        <w:t xml:space="preserve">, deaths, or </w:t>
      </w:r>
      <w:r w:rsidR="00031C61">
        <w:t>adverse events</w:t>
      </w:r>
      <w:r w:rsidR="00031C61" w:rsidRPr="00453781">
        <w:t xml:space="preserve"> </w:t>
      </w:r>
      <w:r w:rsidRPr="00453781">
        <w:t xml:space="preserve">leading to withdrawal were reported in </w:t>
      </w:r>
      <w:r w:rsidR="00727EE6">
        <w:t>Phase I</w:t>
      </w:r>
      <w:r w:rsidR="00031C61">
        <w:t xml:space="preserve"> participants 2 to under </w:t>
      </w:r>
      <w:r w:rsidRPr="00453781">
        <w:t>5 years of age as of the data cut-off date of 16 July 2021</w:t>
      </w:r>
      <w:r w:rsidR="00031C61">
        <w:t xml:space="preserve"> </w:t>
      </w:r>
      <w:r w:rsidRPr="00453781">
        <w:t xml:space="preserve">(3 months follow-up.) All </w:t>
      </w:r>
      <w:r w:rsidR="00031C61">
        <w:t>adverse events</w:t>
      </w:r>
      <w:r w:rsidR="00031C61" w:rsidRPr="00453781">
        <w:t xml:space="preserve"> </w:t>
      </w:r>
      <w:r w:rsidRPr="00453781">
        <w:t xml:space="preserve">through the data cut-off date were mild to moderate. No </w:t>
      </w:r>
      <w:r w:rsidR="00727EE6">
        <w:t>Phase I</w:t>
      </w:r>
      <w:r w:rsidR="00B76C7F">
        <w:t xml:space="preserve"> participants 2 to under </w:t>
      </w:r>
      <w:r w:rsidRPr="00453781">
        <w:t xml:space="preserve">5 years of age had any cases reported of anaphylaxis, appendicitis, Bell’s palsy, myocarditis/pericarditis, or </w:t>
      </w:r>
      <w:r w:rsidR="006A0E56">
        <w:t>multisystem inflammatory syndrome in children (</w:t>
      </w:r>
      <w:r w:rsidRPr="00453781">
        <w:t>MIS-C</w:t>
      </w:r>
      <w:r w:rsidR="006A0E56">
        <w:t>)</w:t>
      </w:r>
      <w:r w:rsidRPr="00453781">
        <w:t>. L</w:t>
      </w:r>
      <w:r w:rsidR="00031C61">
        <w:t xml:space="preserve">ymphadenopathy </w:t>
      </w:r>
      <w:r w:rsidR="00B76C7F">
        <w:t xml:space="preserve">(swollen lymph nodes) </w:t>
      </w:r>
      <w:r w:rsidR="00031C61">
        <w:t>was reported in one</w:t>
      </w:r>
      <w:r w:rsidRPr="00453781">
        <w:t xml:space="preserve"> </w:t>
      </w:r>
      <w:r w:rsidR="00031C61">
        <w:t>participant.</w:t>
      </w:r>
    </w:p>
    <w:p w14:paraId="69C4DFF0" w14:textId="59D885B2" w:rsidR="00031C61" w:rsidRDefault="00031C61" w:rsidP="00031C61">
      <w:pPr>
        <w:pStyle w:val="FigureTitle"/>
      </w:pPr>
      <w:bookmarkStart w:id="63" w:name="_Ref113793489"/>
      <w:r>
        <w:lastRenderedPageBreak/>
        <w:t xml:space="preserve">Figure </w:t>
      </w:r>
      <w:r w:rsidR="00582372">
        <w:fldChar w:fldCharType="begin"/>
      </w:r>
      <w:r w:rsidR="00582372">
        <w:instrText xml:space="preserve"> SEQ Figure \* ARABIC </w:instrText>
      </w:r>
      <w:r w:rsidR="00582372">
        <w:fldChar w:fldCharType="separate"/>
      </w:r>
      <w:r w:rsidR="00145C93">
        <w:rPr>
          <w:noProof/>
        </w:rPr>
        <w:t>3</w:t>
      </w:r>
      <w:r w:rsidR="00582372">
        <w:rPr>
          <w:noProof/>
        </w:rPr>
        <w:fldChar w:fldCharType="end"/>
      </w:r>
      <w:bookmarkEnd w:id="63"/>
      <w:r>
        <w:t>: Study C4591007 (Phase I) P</w:t>
      </w:r>
      <w:r w:rsidRPr="00453781">
        <w:t>articipants reporting systemic events, by maximum severity, within 7 days after each dose</w:t>
      </w:r>
      <w:r>
        <w:t xml:space="preserve">; 2 to under </w:t>
      </w:r>
      <w:r w:rsidRPr="00453781">
        <w:t>5 years of age gr</w:t>
      </w:r>
      <w:r>
        <w:t>oup (safety p</w:t>
      </w:r>
      <w:r w:rsidRPr="00453781">
        <w:t>opulation</w:t>
      </w:r>
      <w:r>
        <w:t>)</w:t>
      </w:r>
    </w:p>
    <w:p w14:paraId="045025D0" w14:textId="77777777" w:rsidR="00453781" w:rsidRPr="00453781" w:rsidRDefault="00453781" w:rsidP="00453781">
      <w:r w:rsidRPr="00453781">
        <w:rPr>
          <w:noProof/>
          <w:lang w:val="en-GB" w:eastAsia="en-GB"/>
        </w:rPr>
        <w:drawing>
          <wp:inline distT="0" distB="0" distL="0" distR="0" wp14:anchorId="425BD094" wp14:editId="5943F81D">
            <wp:extent cx="5244356" cy="3813175"/>
            <wp:effectExtent l="0" t="0" r="0" b="0"/>
            <wp:docPr id="14" name="Picture 14" descr="Study C4591007 (Phase I) Participants reporting systemic events, by maximum severity, within 7 days after each dose; 2 to under 5 years of age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 calendar&#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l="731" r="1793"/>
                    <a:stretch/>
                  </pic:blipFill>
                  <pic:spPr bwMode="auto">
                    <a:xfrm>
                      <a:off x="0" y="0"/>
                      <a:ext cx="5245172" cy="3813768"/>
                    </a:xfrm>
                    <a:prstGeom prst="rect">
                      <a:avLst/>
                    </a:prstGeom>
                    <a:ln>
                      <a:noFill/>
                    </a:ln>
                    <a:extLst>
                      <a:ext uri="{53640926-AAD7-44D8-BBD7-CCE9431645EC}">
                        <a14:shadowObscured xmlns:a14="http://schemas.microsoft.com/office/drawing/2010/main"/>
                      </a:ext>
                    </a:extLst>
                  </pic:spPr>
                </pic:pic>
              </a:graphicData>
            </a:graphic>
          </wp:inline>
        </w:drawing>
      </w:r>
    </w:p>
    <w:p w14:paraId="28FFA2A8" w14:textId="7F1301B3" w:rsidR="00453781" w:rsidRPr="00453781" w:rsidRDefault="00031C61" w:rsidP="00031C61">
      <w:pPr>
        <w:pStyle w:val="Heading6"/>
      </w:pPr>
      <w:r>
        <w:t>Children 6 m</w:t>
      </w:r>
      <w:r w:rsidRPr="00453781">
        <w:t>onths to</w:t>
      </w:r>
      <w:r>
        <w:t xml:space="preserve"> under 2 years of a</w:t>
      </w:r>
      <w:r w:rsidRPr="00453781">
        <w:t>ge</w:t>
      </w:r>
    </w:p>
    <w:p w14:paraId="720FCECF" w14:textId="269D6392" w:rsidR="00453781" w:rsidRPr="00453781" w:rsidRDefault="00453781" w:rsidP="00453781">
      <w:r w:rsidRPr="00453781">
        <w:t>Based on the reactogenicit</w:t>
      </w:r>
      <w:r w:rsidR="00177126">
        <w:t xml:space="preserve">y profile observed in the 2 to under </w:t>
      </w:r>
      <w:r w:rsidRPr="00453781">
        <w:t xml:space="preserve">5 years of age group, </w:t>
      </w:r>
      <w:r w:rsidR="00031C61">
        <w:t>Comirnaty vaccine (tozinameran)</w:t>
      </w:r>
      <w:r w:rsidRPr="00453781">
        <w:t xml:space="preserve"> at the 3</w:t>
      </w:r>
      <w:r w:rsidR="00727EE6">
        <w:t xml:space="preserve"> </w:t>
      </w:r>
      <w:proofErr w:type="spellStart"/>
      <w:r w:rsidR="00727EE6">
        <w:t>μg</w:t>
      </w:r>
      <w:proofErr w:type="spellEnd"/>
      <w:r w:rsidRPr="00453781">
        <w:t xml:space="preserve"> dose level was the only dose l</w:t>
      </w:r>
      <w:r w:rsidR="00031C61">
        <w:t xml:space="preserve">evel tested in the 6 months to under </w:t>
      </w:r>
      <w:r w:rsidRPr="00453781">
        <w:t>2 years of age group.</w:t>
      </w:r>
    </w:p>
    <w:p w14:paraId="637DDBD9" w14:textId="5EE39400" w:rsidR="00453781" w:rsidRPr="00453781" w:rsidRDefault="00453781" w:rsidP="00453781">
      <w:r w:rsidRPr="00453781">
        <w:t>In this group, local reactions within 7 days after each dose were mild and short-lived and included mild red</w:t>
      </w:r>
      <w:r w:rsidR="00031C61">
        <w:t xml:space="preserve">ness, swelling and tenderness, as shown in </w:t>
      </w:r>
      <w:r w:rsidR="00031C61">
        <w:fldChar w:fldCharType="begin"/>
      </w:r>
      <w:r w:rsidR="00031C61">
        <w:instrText xml:space="preserve"> REF _Ref113793842 \h </w:instrText>
      </w:r>
      <w:r w:rsidR="00031C61">
        <w:fldChar w:fldCharType="separate"/>
      </w:r>
      <w:r w:rsidR="00145C93">
        <w:t xml:space="preserve">Figure </w:t>
      </w:r>
      <w:r w:rsidR="00145C93">
        <w:rPr>
          <w:noProof/>
        </w:rPr>
        <w:t>4</w:t>
      </w:r>
      <w:r w:rsidR="00031C61">
        <w:fldChar w:fldCharType="end"/>
      </w:r>
      <w:r w:rsidR="00031C61">
        <w:t>.</w:t>
      </w:r>
    </w:p>
    <w:p w14:paraId="209493FC" w14:textId="69F3094D" w:rsidR="00031C61" w:rsidRDefault="00031C61" w:rsidP="00031C61">
      <w:pPr>
        <w:pStyle w:val="FigureTitle"/>
      </w:pPr>
      <w:bookmarkStart w:id="64" w:name="_Ref113793842"/>
      <w:r>
        <w:t xml:space="preserve">Figure </w:t>
      </w:r>
      <w:r w:rsidR="00582372">
        <w:fldChar w:fldCharType="begin"/>
      </w:r>
      <w:r w:rsidR="00582372">
        <w:instrText xml:space="preserve"> SEQ Figure \* ARABIC </w:instrText>
      </w:r>
      <w:r w:rsidR="00582372">
        <w:fldChar w:fldCharType="separate"/>
      </w:r>
      <w:r w:rsidR="00145C93">
        <w:rPr>
          <w:noProof/>
        </w:rPr>
        <w:t>4</w:t>
      </w:r>
      <w:r w:rsidR="00582372">
        <w:rPr>
          <w:noProof/>
        </w:rPr>
        <w:fldChar w:fldCharType="end"/>
      </w:r>
      <w:bookmarkEnd w:id="64"/>
      <w:r>
        <w:t xml:space="preserve">: Study C4591007 (Phase I) </w:t>
      </w:r>
      <w:r w:rsidRPr="00453781">
        <w:t>Participants reporting local reactions, by maximum severity</w:t>
      </w:r>
      <w:r w:rsidR="00B7780F">
        <w:t>, within 7 days after each dose; 6 months to under 2 years of age group (safety p</w:t>
      </w:r>
      <w:r w:rsidRPr="00453781">
        <w:t>opulation</w:t>
      </w:r>
      <w:r w:rsidR="00B7780F">
        <w:t>)</w:t>
      </w:r>
    </w:p>
    <w:p w14:paraId="470047B8" w14:textId="77777777" w:rsidR="00453781" w:rsidRPr="00453781" w:rsidRDefault="00453781" w:rsidP="00453781">
      <w:pPr>
        <w:rPr>
          <w:b/>
          <w:bCs/>
        </w:rPr>
      </w:pPr>
      <w:r w:rsidRPr="00453781">
        <w:rPr>
          <w:b/>
          <w:bCs/>
          <w:noProof/>
          <w:lang w:val="en-GB" w:eastAsia="en-GB"/>
        </w:rPr>
        <w:drawing>
          <wp:inline distT="0" distB="0" distL="0" distR="0" wp14:anchorId="39776A8C" wp14:editId="097EDA09">
            <wp:extent cx="5065664" cy="2389505"/>
            <wp:effectExtent l="0" t="0" r="1905" b="0"/>
            <wp:docPr id="16" name="Picture 16" descr="Study C4591007 (Phase I) Participants reporting local reactions, by maximum severity, within 7 days after each dose; 6 months to under 2 years of age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12230" cy="2411471"/>
                    </a:xfrm>
                    <a:prstGeom prst="rect">
                      <a:avLst/>
                    </a:prstGeom>
                  </pic:spPr>
                </pic:pic>
              </a:graphicData>
            </a:graphic>
          </wp:inline>
        </w:drawing>
      </w:r>
    </w:p>
    <w:p w14:paraId="70CC3B34" w14:textId="77777777" w:rsidR="00453781" w:rsidRPr="00453781" w:rsidRDefault="00453781" w:rsidP="00453781">
      <w:pPr>
        <w:rPr>
          <w:b/>
          <w:bCs/>
        </w:rPr>
      </w:pPr>
    </w:p>
    <w:p w14:paraId="60C6E936" w14:textId="6DA5DBEF" w:rsidR="00453781" w:rsidRPr="00177126" w:rsidRDefault="00453781" w:rsidP="00453781">
      <w:r w:rsidRPr="00453781">
        <w:lastRenderedPageBreak/>
        <w:t>The incidence of systemic events of decreased appetite and fever increased in a dose number-dependent manner, whereas incidence of irritability and drowsiness was higher after Dos</w:t>
      </w:r>
      <w:r w:rsidR="00177126">
        <w:t xml:space="preserve">e 1 and declined after Dose 2. </w:t>
      </w:r>
      <w:r w:rsidRPr="00453781">
        <w:t>Systemic events were all mild to moderate and short-lived</w:t>
      </w:r>
      <w:r w:rsidR="00177126">
        <w:t xml:space="preserve"> (see </w:t>
      </w:r>
      <w:r w:rsidR="00177126">
        <w:fldChar w:fldCharType="begin"/>
      </w:r>
      <w:r w:rsidR="00177126">
        <w:instrText xml:space="preserve"> REF _Ref113945341 \h </w:instrText>
      </w:r>
      <w:r w:rsidR="00177126">
        <w:fldChar w:fldCharType="separate"/>
      </w:r>
      <w:r w:rsidR="00145C93">
        <w:t xml:space="preserve">Figure </w:t>
      </w:r>
      <w:r w:rsidR="00145C93">
        <w:rPr>
          <w:noProof/>
        </w:rPr>
        <w:t>5</w:t>
      </w:r>
      <w:r w:rsidR="00177126">
        <w:fldChar w:fldCharType="end"/>
      </w:r>
      <w:r w:rsidR="00177126">
        <w:t>, below).</w:t>
      </w:r>
    </w:p>
    <w:p w14:paraId="3EC3F659" w14:textId="1BC4A878" w:rsidR="00177126" w:rsidRDefault="00177126" w:rsidP="00177126">
      <w:pPr>
        <w:pStyle w:val="FigureTitle"/>
      </w:pPr>
      <w:bookmarkStart w:id="65" w:name="_Ref113945341"/>
      <w:bookmarkStart w:id="66" w:name="_Ref113945329"/>
      <w:r>
        <w:t xml:space="preserve">Figure </w:t>
      </w:r>
      <w:r w:rsidR="00582372">
        <w:fldChar w:fldCharType="begin"/>
      </w:r>
      <w:r w:rsidR="00582372">
        <w:instrText xml:space="preserve"> SEQ Figure \* ARABIC </w:instrText>
      </w:r>
      <w:r w:rsidR="00582372">
        <w:fldChar w:fldCharType="separate"/>
      </w:r>
      <w:r w:rsidR="00145C93">
        <w:rPr>
          <w:noProof/>
        </w:rPr>
        <w:t>5</w:t>
      </w:r>
      <w:r w:rsidR="00582372">
        <w:rPr>
          <w:noProof/>
        </w:rPr>
        <w:fldChar w:fldCharType="end"/>
      </w:r>
      <w:bookmarkEnd w:id="65"/>
      <w:r>
        <w:t xml:space="preserve">: Study C4591007 (Phase I) </w:t>
      </w:r>
      <w:r w:rsidRPr="00453781">
        <w:t xml:space="preserve">Participants reporting </w:t>
      </w:r>
      <w:r>
        <w:t>systemic events</w:t>
      </w:r>
      <w:r w:rsidRPr="00453781">
        <w:t>, by maximum severity</w:t>
      </w:r>
      <w:r>
        <w:t>, within 7 days after each dose; 6 months to under 2 years of age group (safety p</w:t>
      </w:r>
      <w:r w:rsidRPr="00453781">
        <w:t>opulation</w:t>
      </w:r>
      <w:r>
        <w:t>)</w:t>
      </w:r>
      <w:bookmarkEnd w:id="66"/>
    </w:p>
    <w:p w14:paraId="3CA321CE" w14:textId="77777777" w:rsidR="00453781" w:rsidRPr="00453781" w:rsidRDefault="00453781" w:rsidP="00453781">
      <w:pPr>
        <w:rPr>
          <w:b/>
          <w:bCs/>
        </w:rPr>
      </w:pPr>
      <w:r w:rsidRPr="00453781">
        <w:rPr>
          <w:b/>
          <w:bCs/>
          <w:noProof/>
          <w:lang w:val="en-GB" w:eastAsia="en-GB"/>
        </w:rPr>
        <w:drawing>
          <wp:inline distT="0" distB="0" distL="0" distR="0" wp14:anchorId="573921DE" wp14:editId="2382333E">
            <wp:extent cx="5514450" cy="3194685"/>
            <wp:effectExtent l="0" t="0" r="0" b="5715"/>
            <wp:docPr id="17" name="Picture 17" descr="Study C4591007 (Phase I) Participants reporting systemic events, by maximum severity, within 7 days after each dose; 6 months to under 2 years of age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515332" cy="3195196"/>
                    </a:xfrm>
                    <a:prstGeom prst="rect">
                      <a:avLst/>
                    </a:prstGeom>
                  </pic:spPr>
                </pic:pic>
              </a:graphicData>
            </a:graphic>
          </wp:inline>
        </w:drawing>
      </w:r>
    </w:p>
    <w:p w14:paraId="0EA6C20F" w14:textId="2D6C1686" w:rsidR="00453781" w:rsidRPr="00CE7058" w:rsidRDefault="00453781" w:rsidP="00453781">
      <w:r w:rsidRPr="00453781">
        <w:t xml:space="preserve">No </w:t>
      </w:r>
      <w:r w:rsidR="00CE7058">
        <w:t>serious adverse events</w:t>
      </w:r>
      <w:r w:rsidRPr="00453781">
        <w:t xml:space="preserve">, deaths, or </w:t>
      </w:r>
      <w:r w:rsidR="00CE7058">
        <w:t>adverse events</w:t>
      </w:r>
      <w:r w:rsidR="00CE7058" w:rsidRPr="00453781">
        <w:t xml:space="preserve"> </w:t>
      </w:r>
      <w:r w:rsidRPr="00453781">
        <w:t xml:space="preserve">leading to withdrawal were reported in </w:t>
      </w:r>
      <w:r w:rsidR="00727EE6">
        <w:t>Phase I</w:t>
      </w:r>
      <w:r w:rsidR="00CE7058">
        <w:t xml:space="preserve"> participants </w:t>
      </w:r>
      <w:r w:rsidR="00177126">
        <w:t xml:space="preserve">from </w:t>
      </w:r>
      <w:r w:rsidR="00CE7058">
        <w:t>6 months to under</w:t>
      </w:r>
      <w:r w:rsidRPr="00453781">
        <w:t xml:space="preserve"> 2 years of age as</w:t>
      </w:r>
      <w:r w:rsidR="00CE7058">
        <w:t xml:space="preserve"> of the data cut-off date of 16 </w:t>
      </w:r>
      <w:r w:rsidRPr="00453781">
        <w:t xml:space="preserve">July 2021 (3 months follow-up.) All </w:t>
      </w:r>
      <w:r w:rsidR="00CE7058">
        <w:t>adverse events</w:t>
      </w:r>
      <w:r w:rsidR="00CE7058" w:rsidRPr="00453781">
        <w:t xml:space="preserve"> </w:t>
      </w:r>
      <w:r w:rsidRPr="00453781">
        <w:t xml:space="preserve">through the data cut-off date were mild to moderate. No </w:t>
      </w:r>
      <w:r w:rsidR="00727EE6">
        <w:t>Phase I</w:t>
      </w:r>
      <w:r w:rsidR="00CE7058">
        <w:t xml:space="preserve"> participants</w:t>
      </w:r>
      <w:r w:rsidR="00177126">
        <w:t xml:space="preserve"> from</w:t>
      </w:r>
      <w:r w:rsidR="00CE7058">
        <w:t xml:space="preserve"> 2 to under </w:t>
      </w:r>
      <w:r w:rsidRPr="00453781">
        <w:t>5 years of age had any cases reported of anaphylaxis, appendicitis, Bell’s palsy, myoc</w:t>
      </w:r>
      <w:r w:rsidR="00CE7058">
        <w:t>arditis/pericarditis, or MIS-C.</w:t>
      </w:r>
    </w:p>
    <w:p w14:paraId="2E6F6223" w14:textId="2A106237" w:rsidR="00453781" w:rsidRPr="00453781" w:rsidRDefault="00CE7058" w:rsidP="00CE7058">
      <w:pPr>
        <w:pStyle w:val="Heading5"/>
      </w:pPr>
      <w:r>
        <w:t>Dose s</w:t>
      </w:r>
      <w:r w:rsidR="00453781" w:rsidRPr="00453781">
        <w:t>election for</w:t>
      </w:r>
      <w:r>
        <w:t xml:space="preserve"> Study C4591007, P</w:t>
      </w:r>
      <w:r w:rsidR="00453781" w:rsidRPr="00453781">
        <w:t xml:space="preserve">hase </w:t>
      </w:r>
      <w:r>
        <w:t>II/III</w:t>
      </w:r>
    </w:p>
    <w:p w14:paraId="6CF37BB3" w14:textId="343F29CA" w:rsidR="00453781" w:rsidRPr="00CE7058" w:rsidRDefault="00CE7058" w:rsidP="00453781">
      <w:r>
        <w:t xml:space="preserve">For individuals under </w:t>
      </w:r>
      <w:r w:rsidR="00453781" w:rsidRPr="00453781">
        <w:t>5 years of age, safety and immunogenicity data led to the selection of 3</w:t>
      </w:r>
      <w:r w:rsidR="00727EE6">
        <w:t xml:space="preserve"> </w:t>
      </w:r>
      <w:proofErr w:type="spellStart"/>
      <w:r w:rsidR="00727EE6">
        <w:t>μg</w:t>
      </w:r>
      <w:proofErr w:type="spellEnd"/>
      <w:r w:rsidR="00453781" w:rsidRPr="00453781">
        <w:t xml:space="preserve"> to balance the best observed tolerability and r</w:t>
      </w:r>
      <w:r>
        <w:t>obust immune responses. A three</w:t>
      </w:r>
      <w:r>
        <w:noBreakHyphen/>
      </w:r>
      <w:r w:rsidR="00453781" w:rsidRPr="00453781">
        <w:t xml:space="preserve">dose regimen </w:t>
      </w:r>
      <w:r>
        <w:t xml:space="preserve">for children under </w:t>
      </w:r>
      <w:r w:rsidR="00453781" w:rsidRPr="00453781">
        <w:t>5 years of age was informed by clinical study and real-world data showing a third dose was likely necessary to provide a high level of prote</w:t>
      </w:r>
      <w:r>
        <w:t>ction against Omicron variants.</w:t>
      </w:r>
    </w:p>
    <w:p w14:paraId="53DD6708" w14:textId="4EEB4AE9" w:rsidR="00453781" w:rsidRPr="00453781" w:rsidRDefault="00453781" w:rsidP="00CE7058">
      <w:pPr>
        <w:pStyle w:val="Heading4"/>
      </w:pPr>
      <w:r w:rsidRPr="00453781">
        <w:t>Study C4591007</w:t>
      </w:r>
      <w:r w:rsidR="00CE7058">
        <w:t>, Phase II/III</w:t>
      </w:r>
    </w:p>
    <w:p w14:paraId="6FC68920" w14:textId="7F018FA2" w:rsidR="00453781" w:rsidRPr="00453781" w:rsidRDefault="00453781" w:rsidP="00273991">
      <w:r w:rsidRPr="00453781">
        <w:t>A total of 4526 participants aged 6 mont</w:t>
      </w:r>
      <w:r w:rsidR="00420B47">
        <w:t>hs to under 5 years of age (1776 participants aged 6 to 23 months, 2750 participants aged 2 to 4 years) were randomis</w:t>
      </w:r>
      <w:r w:rsidRPr="00453781">
        <w:t xml:space="preserve">ed </w:t>
      </w:r>
      <w:r w:rsidR="00420B47">
        <w:t xml:space="preserve">in a </w:t>
      </w:r>
      <w:r w:rsidRPr="00453781">
        <w:t xml:space="preserve">2:1 </w:t>
      </w:r>
      <w:r w:rsidR="00420B47">
        <w:t xml:space="preserve">ratio </w:t>
      </w:r>
      <w:r w:rsidRPr="00453781">
        <w:t>to receive two doses of 3 µg vaccine or placebo</w:t>
      </w:r>
      <w:r w:rsidR="00420B47">
        <w:t>, 3 weeks apart. For the Phase II/III</w:t>
      </w:r>
      <w:r w:rsidRPr="00453781">
        <w:t xml:space="preserve"> parts of the study participants with med</w:t>
      </w:r>
      <w:r w:rsidR="00420B47">
        <w:t>ical conditions such as stable t</w:t>
      </w:r>
      <w:r w:rsidRPr="00453781">
        <w:t xml:space="preserve">ype 1 diabetes or hypothyroidism; stable and controlled HIV, </w:t>
      </w:r>
      <w:r w:rsidR="00420B47">
        <w:t>hepatit</w:t>
      </w:r>
      <w:r w:rsidR="00177126">
        <w:t>is B or C (HBV, HCV) infection</w:t>
      </w:r>
      <w:r w:rsidR="00420B47">
        <w:t xml:space="preserve"> </w:t>
      </w:r>
      <w:r w:rsidRPr="00453781">
        <w:t>and past serological or microbiological evidence of prior (not active) SARS-CoV-2 infection were included.</w:t>
      </w:r>
    </w:p>
    <w:p w14:paraId="2E878E0E" w14:textId="66E52918" w:rsidR="00453781" w:rsidRPr="00453781" w:rsidRDefault="00420B47" w:rsidP="00453781">
      <w:r>
        <w:t>All Phase II/III</w:t>
      </w:r>
      <w:r w:rsidR="00453781" w:rsidRPr="00453781">
        <w:t xml:space="preserve"> study participants could be unblinded at the 6-month follow-up visit. Participants who received placebo were offered the </w:t>
      </w:r>
      <w:r>
        <w:t>Comirnaty vaccine</w:t>
      </w:r>
      <w:r w:rsidR="00177126">
        <w:t xml:space="preserve"> (at the age</w:t>
      </w:r>
      <w:r w:rsidR="00177126">
        <w:noBreakHyphen/>
      </w:r>
      <w:r w:rsidR="00453781" w:rsidRPr="00453781">
        <w:t>appropriate dos</w:t>
      </w:r>
      <w:r>
        <w:t>e at the time of vaccination).</w:t>
      </w:r>
    </w:p>
    <w:p w14:paraId="21618BA0" w14:textId="77777777" w:rsidR="00453781" w:rsidRPr="00453781" w:rsidRDefault="00453781" w:rsidP="00420B47">
      <w:pPr>
        <w:pStyle w:val="Heading5"/>
      </w:pPr>
      <w:r w:rsidRPr="00453781">
        <w:lastRenderedPageBreak/>
        <w:t>Objectives</w:t>
      </w:r>
    </w:p>
    <w:p w14:paraId="3636391D" w14:textId="061FB3FB" w:rsidR="00453781" w:rsidRDefault="00420B47" w:rsidP="00453781">
      <w:r>
        <w:t>The primary objective of the Phase II/III</w:t>
      </w:r>
      <w:r w:rsidR="00453781" w:rsidRPr="00453781">
        <w:t xml:space="preserve"> study is to define the safety and tolerability profiles of prophylactic </w:t>
      </w:r>
      <w:r>
        <w:t>Comirnaty vaccination</w:t>
      </w:r>
      <w:r w:rsidR="00453781" w:rsidRPr="00453781">
        <w:t xml:space="preserve"> in all participants in each age group, to undertake </w:t>
      </w:r>
      <w:proofErr w:type="spellStart"/>
      <w:r w:rsidR="00453781" w:rsidRPr="00453781">
        <w:t>immunobridging</w:t>
      </w:r>
      <w:proofErr w:type="spellEnd"/>
      <w:r w:rsidR="00453781" w:rsidRPr="00453781">
        <w:t xml:space="preserve"> assessments and immunogenicity analyses. Other objectives include the evaluation of the efficacy of prophylactic </w:t>
      </w:r>
      <w:r>
        <w:t>Comirnaty vaccination</w:t>
      </w:r>
      <w:r w:rsidR="00453781" w:rsidRPr="00453781">
        <w:t xml:space="preserve"> against confirmed COVID-19 occurring and to describe the immune response to e</w:t>
      </w:r>
      <w:r>
        <w:t>merging variants of concern.</w:t>
      </w:r>
    </w:p>
    <w:p w14:paraId="0948478E" w14:textId="2B72F729" w:rsidR="00177126" w:rsidRPr="00453781" w:rsidRDefault="00EA21D5" w:rsidP="00177126">
      <w:pPr>
        <w:pStyle w:val="Heading5"/>
      </w:pPr>
      <w:r>
        <w:t>Methodology</w:t>
      </w:r>
    </w:p>
    <w:p w14:paraId="5939EC05" w14:textId="767D3454" w:rsidR="00453781" w:rsidRPr="00453781" w:rsidRDefault="00420B47" w:rsidP="00177126">
      <w:pPr>
        <w:pStyle w:val="Heading6"/>
      </w:pPr>
      <w:r>
        <w:t>Immunogenicity evaluation m</w:t>
      </w:r>
      <w:r w:rsidR="00453781" w:rsidRPr="00453781">
        <w:t>ethodology</w:t>
      </w:r>
    </w:p>
    <w:p w14:paraId="1E205788" w14:textId="6F9E0F70" w:rsidR="00453781" w:rsidRPr="00453781" w:rsidRDefault="00453781" w:rsidP="00453781">
      <w:r w:rsidRPr="00453781">
        <w:t xml:space="preserve">The basis of demonstrating </w:t>
      </w:r>
      <w:r w:rsidR="00420B47">
        <w:t>Comirnaty vaccine</w:t>
      </w:r>
      <w:r w:rsidRPr="00453781">
        <w:t xml:space="preserve"> effectiveness in children is immune response data, via </w:t>
      </w:r>
      <w:proofErr w:type="spellStart"/>
      <w:r w:rsidRPr="00453781">
        <w:t>immunobridging</w:t>
      </w:r>
      <w:proofErr w:type="spellEnd"/>
      <w:r w:rsidRPr="00453781">
        <w:t xml:space="preserve"> to young adults in the efficacy</w:t>
      </w:r>
      <w:r w:rsidR="00420B47">
        <w:t>-focused Study </w:t>
      </w:r>
      <w:r w:rsidRPr="00453781">
        <w:t xml:space="preserve">C4591001. </w:t>
      </w:r>
      <w:proofErr w:type="spellStart"/>
      <w:r w:rsidRPr="00453781">
        <w:t>Immunobridging</w:t>
      </w:r>
      <w:proofErr w:type="spellEnd"/>
      <w:r w:rsidRPr="00453781">
        <w:t xml:space="preserve"> was based on wild-t</w:t>
      </w:r>
      <w:r w:rsidR="00420B47">
        <w:t xml:space="preserve">ype SARS-CoV-2 neutralising antibody responses at </w:t>
      </w:r>
      <w:proofErr w:type="gramStart"/>
      <w:r w:rsidR="00420B47">
        <w:t xml:space="preserve">one </w:t>
      </w:r>
      <w:r w:rsidRPr="00453781">
        <w:t>month</w:t>
      </w:r>
      <w:proofErr w:type="gramEnd"/>
      <w:r w:rsidRPr="00453781">
        <w:t xml:space="preserve"> post-Dose 2 or Dose 3 among participant</w:t>
      </w:r>
      <w:r w:rsidR="00420B47">
        <w:t xml:space="preserve">s in two separate age groups (6 </w:t>
      </w:r>
      <w:r w:rsidR="00177126">
        <w:t>months to under 2 years</w:t>
      </w:r>
      <w:r w:rsidR="00420B47">
        <w:t xml:space="preserve">; </w:t>
      </w:r>
      <w:r w:rsidR="00177126">
        <w:t>and 2 to under 5</w:t>
      </w:r>
      <w:r w:rsidR="00420B47">
        <w:t xml:space="preserve"> years) compared to neutralis</w:t>
      </w:r>
      <w:r w:rsidRPr="00453781">
        <w:t>ing antibody responses in a r</w:t>
      </w:r>
      <w:r w:rsidR="00420B47">
        <w:t>andom subset o</w:t>
      </w:r>
      <w:r w:rsidR="00177126">
        <w:t>f participants between 16 to 25 </w:t>
      </w:r>
      <w:r w:rsidR="00420B47">
        <w:t xml:space="preserve">years of age at one </w:t>
      </w:r>
      <w:r w:rsidRPr="00453781">
        <w:t>month post</w:t>
      </w:r>
      <w:r w:rsidR="00420B47">
        <w:t>-Dose 2 (Study C4591001, Phase II/III), as measured by 50% neutralis</w:t>
      </w:r>
      <w:r w:rsidRPr="00453781">
        <w:t>ing antibody titres against the reference strain.</w:t>
      </w:r>
    </w:p>
    <w:p w14:paraId="59CABC78" w14:textId="0EA84B94" w:rsidR="00453781" w:rsidRPr="00453781" w:rsidRDefault="00453781" w:rsidP="00453781">
      <w:r w:rsidRPr="00453781">
        <w:t xml:space="preserve">Immunogenicity analyses of GMTs and </w:t>
      </w:r>
      <w:proofErr w:type="spellStart"/>
      <w:r w:rsidRPr="00453781">
        <w:t>seroresponse</w:t>
      </w:r>
      <w:proofErr w:type="spellEnd"/>
      <w:r w:rsidRPr="00453781">
        <w:t xml:space="preserve"> rates at 1 month after Dose 2 were evaluated for both paediatric age groups, and the pre-specified </w:t>
      </w:r>
      <w:proofErr w:type="spellStart"/>
      <w:r w:rsidRPr="00453781">
        <w:t>immunobridging</w:t>
      </w:r>
      <w:proofErr w:type="spellEnd"/>
      <w:r w:rsidRPr="00453781">
        <w:t xml:space="preserve"> success criteria (see below) were not met for participants </w:t>
      </w:r>
      <w:r w:rsidR="003738ED">
        <w:t xml:space="preserve">of 2 to </w:t>
      </w:r>
      <w:r w:rsidR="00177126">
        <w:t>under 5</w:t>
      </w:r>
      <w:r w:rsidRPr="00453781">
        <w:t xml:space="preserve"> years of age. Therefore, a third primary series dose was added for both age groups. The post-Dose 2 </w:t>
      </w:r>
      <w:proofErr w:type="spellStart"/>
      <w:r w:rsidRPr="00453781">
        <w:t>immunobridging</w:t>
      </w:r>
      <w:proofErr w:type="spellEnd"/>
      <w:r w:rsidRPr="00453781">
        <w:t xml:space="preserve"> subset included, approximately 300 participants in the </w:t>
      </w:r>
      <w:r w:rsidR="003738ED">
        <w:t>Comirnaty vaccine group and 150 </w:t>
      </w:r>
      <w:r w:rsidRPr="00453781">
        <w:t>participants in the placebo group for each paediatric age group (</w:t>
      </w:r>
      <w:r w:rsidR="003738ED">
        <w:t xml:space="preserve">Study </w:t>
      </w:r>
      <w:r w:rsidRPr="00453781">
        <w:t xml:space="preserve">C4591007). The post-Dose 3 </w:t>
      </w:r>
      <w:proofErr w:type="spellStart"/>
      <w:r w:rsidRPr="00453781">
        <w:t>immunobridging</w:t>
      </w:r>
      <w:proofErr w:type="spellEnd"/>
      <w:r w:rsidRPr="00453781">
        <w:t xml:space="preserve"> subset included the first approximately 200 participants in each paediatric age group (</w:t>
      </w:r>
      <w:r w:rsidR="003738ED">
        <w:t xml:space="preserve">Study </w:t>
      </w:r>
      <w:r w:rsidRPr="00453781">
        <w:t xml:space="preserve">C4591007) who received Dose 3 of </w:t>
      </w:r>
      <w:r w:rsidR="003738ED">
        <w:t>Comirnaty vaccine</w:t>
      </w:r>
      <w:r w:rsidRPr="00453781">
        <w:t xml:space="preserve"> 3</w:t>
      </w:r>
      <w:r w:rsidR="00727EE6">
        <w:t xml:space="preserve"> </w:t>
      </w:r>
      <w:proofErr w:type="spellStart"/>
      <w:r w:rsidR="00727EE6">
        <w:t>μg</w:t>
      </w:r>
      <w:proofErr w:type="spellEnd"/>
      <w:r w:rsidRPr="00453781">
        <w:t xml:space="preserve"> and 100 </w:t>
      </w:r>
      <w:r w:rsidR="00177126">
        <w:t xml:space="preserve">participants </w:t>
      </w:r>
      <w:r w:rsidRPr="00453781">
        <w:t>who received placebo.</w:t>
      </w:r>
    </w:p>
    <w:p w14:paraId="51AD2D0C" w14:textId="69683046" w:rsidR="00453781" w:rsidRPr="00453781" w:rsidRDefault="00453781" w:rsidP="00453781">
      <w:r w:rsidRPr="00453781">
        <w:t>The primary analysis for the 3-dose primary series is based on the evaluable immunogenicity population of participants without evidence of prior SARS-CoV-2 infection up to 1 month after Dose 2 (comparator grou</w:t>
      </w:r>
      <w:r w:rsidR="00FC3AF6">
        <w:t xml:space="preserve">p 16 to </w:t>
      </w:r>
      <w:r w:rsidRPr="00453781">
        <w:t>25 years of</w:t>
      </w:r>
      <w:r w:rsidR="00FC3AF6">
        <w:t xml:space="preserve"> age) or Dose 3 (participants 6 to 23 months and 2 to </w:t>
      </w:r>
      <w:r w:rsidRPr="00453781">
        <w:t>4 years of age).</w:t>
      </w:r>
    </w:p>
    <w:p w14:paraId="7BA5FCF2" w14:textId="5D10E085" w:rsidR="00453781" w:rsidRPr="00453781" w:rsidRDefault="00453781" w:rsidP="00453781">
      <w:r w:rsidRPr="00453781">
        <w:t xml:space="preserve">Primary endpoints and statistical </w:t>
      </w:r>
      <w:proofErr w:type="spellStart"/>
      <w:r w:rsidRPr="00453781">
        <w:t>immunobridging</w:t>
      </w:r>
      <w:proofErr w:type="spellEnd"/>
      <w:r w:rsidRPr="00453781">
        <w:t xml:space="preserve"> success (</w:t>
      </w:r>
      <w:r w:rsidR="00355B7F">
        <w:t>that is, non-</w:t>
      </w:r>
      <w:r w:rsidRPr="00453781">
        <w:t>inferiority) criteria were evaluated sequentially in the following order:</w:t>
      </w:r>
    </w:p>
    <w:p w14:paraId="29E5DD15" w14:textId="6B822827" w:rsidR="00453781" w:rsidRPr="00453781" w:rsidRDefault="00453781" w:rsidP="00355B7F">
      <w:pPr>
        <w:pStyle w:val="ListBullet"/>
      </w:pPr>
      <w:proofErr w:type="spellStart"/>
      <w:r w:rsidRPr="00453781">
        <w:t>Immunobridging</w:t>
      </w:r>
      <w:proofErr w:type="spellEnd"/>
      <w:r w:rsidRPr="00453781">
        <w:t xml:space="preserve"> success based on GMT was </w:t>
      </w:r>
      <w:r w:rsidR="00355B7F">
        <w:t>declared if the lower limit</w:t>
      </w:r>
      <w:r w:rsidRPr="00453781">
        <w:t xml:space="preserve"> of the 95% CI for the GMT r</w:t>
      </w:r>
      <w:r w:rsidR="00355B7F">
        <w:t xml:space="preserve">atio (paediatric age group / 16 to </w:t>
      </w:r>
      <w:r w:rsidRPr="00453781">
        <w:t>25 years of age) was &gt;</w:t>
      </w:r>
      <w:r w:rsidR="00355B7F">
        <w:t xml:space="preserve"> </w:t>
      </w:r>
      <w:r w:rsidRPr="00453781">
        <w:t>0.67, and the point estimate of the GMT ratio was ≥</w:t>
      </w:r>
      <w:r w:rsidR="00355B7F">
        <w:t xml:space="preserve"> </w:t>
      </w:r>
      <w:r w:rsidRPr="00453781">
        <w:t>1.0.</w:t>
      </w:r>
    </w:p>
    <w:p w14:paraId="725F2A32" w14:textId="7B4B5833" w:rsidR="00453781" w:rsidRPr="00453781" w:rsidRDefault="00453781" w:rsidP="00355B7F">
      <w:pPr>
        <w:pStyle w:val="ListBullet"/>
      </w:pPr>
      <w:proofErr w:type="spellStart"/>
      <w:r w:rsidRPr="00453781">
        <w:t>Immunobridging</w:t>
      </w:r>
      <w:proofErr w:type="spellEnd"/>
      <w:r w:rsidRPr="00453781">
        <w:t xml:space="preserve"> success based on the </w:t>
      </w:r>
      <w:proofErr w:type="spellStart"/>
      <w:r w:rsidRPr="00453781">
        <w:t>seroresponse</w:t>
      </w:r>
      <w:proofErr w:type="spellEnd"/>
      <w:r w:rsidRPr="00453781">
        <w:t xml:space="preserve"> rate was declared if the </w:t>
      </w:r>
      <w:r w:rsidR="00355B7F">
        <w:t>lower limit</w:t>
      </w:r>
      <w:r w:rsidRPr="00453781">
        <w:t xml:space="preserve"> of the 95% CI for the difference in </w:t>
      </w:r>
      <w:proofErr w:type="spellStart"/>
      <w:r w:rsidRPr="00453781">
        <w:t>seroresponse</w:t>
      </w:r>
      <w:proofErr w:type="spellEnd"/>
      <w:r w:rsidRPr="00453781">
        <w:t xml:space="preserve"> rates (paediatric age group </w:t>
      </w:r>
      <w:r w:rsidR="00355B7F">
        <w:t xml:space="preserve">minus 16 to 25 years of age) was </w:t>
      </w:r>
      <w:r w:rsidR="00355B7F" w:rsidRPr="00453781">
        <w:t>≥</w:t>
      </w:r>
      <w:r w:rsidR="00355B7F">
        <w:t xml:space="preserve"> </w:t>
      </w:r>
      <w:r w:rsidRPr="00453781">
        <w:t>10%.</w:t>
      </w:r>
    </w:p>
    <w:p w14:paraId="47E2A983" w14:textId="14839C6F" w:rsidR="00453781" w:rsidRPr="00453781" w:rsidRDefault="00453781" w:rsidP="00355B7F">
      <w:pPr>
        <w:pStyle w:val="ListBullet"/>
      </w:pPr>
      <w:proofErr w:type="spellStart"/>
      <w:r w:rsidRPr="00453781">
        <w:t>Seroresponse</w:t>
      </w:r>
      <w:proofErr w:type="spellEnd"/>
      <w:r w:rsidRPr="00453781">
        <w:t xml:space="preserve"> was defined as a ≥</w:t>
      </w:r>
      <w:r w:rsidR="00355B7F">
        <w:t xml:space="preserve"> </w:t>
      </w:r>
      <w:r w:rsidRPr="00453781">
        <w:t xml:space="preserve">4-fold </w:t>
      </w:r>
      <w:r w:rsidR="00355B7F">
        <w:t>rise in SARS-CoV-2 50% neutralis</w:t>
      </w:r>
      <w:r w:rsidRPr="00453781">
        <w:t>ing titres from befo</w:t>
      </w:r>
      <w:r w:rsidR="00177126">
        <w:t>re vaccination (pre-Dose 1) to one</w:t>
      </w:r>
      <w:r w:rsidRPr="00453781">
        <w:t xml:space="preserve"> month after Dose 2 or Dose 3.</w:t>
      </w:r>
    </w:p>
    <w:p w14:paraId="568EFB59" w14:textId="77777777" w:rsidR="00355B7F" w:rsidRDefault="00453781" w:rsidP="00355B7F">
      <w:pPr>
        <w:pStyle w:val="Heading6"/>
      </w:pPr>
      <w:r w:rsidRPr="00453781">
        <w:t xml:space="preserve">Comparator group for </w:t>
      </w:r>
      <w:proofErr w:type="spellStart"/>
      <w:r w:rsidRPr="00453781">
        <w:t>immunobridging</w:t>
      </w:r>
      <w:proofErr w:type="spellEnd"/>
      <w:r w:rsidRPr="00453781">
        <w:t xml:space="preserve"> analyses</w:t>
      </w:r>
    </w:p>
    <w:p w14:paraId="5D8DEF6A" w14:textId="53FF7A24" w:rsidR="00453781" w:rsidRPr="00453781" w:rsidRDefault="00453781" w:rsidP="00453781">
      <w:r w:rsidRPr="00453781">
        <w:t>This consisted of 200 ra</w:t>
      </w:r>
      <w:r w:rsidR="00355B7F">
        <w:t xml:space="preserve">ndomly selected participants 16 to </w:t>
      </w:r>
      <w:r w:rsidRPr="00453781">
        <w:t>25 years of age who received both doses of</w:t>
      </w:r>
      <w:r w:rsidR="00355B7F">
        <w:t xml:space="preserve"> Comirnaty vaccine</w:t>
      </w:r>
      <w:r w:rsidRPr="00453781">
        <w:t xml:space="preserve"> </w:t>
      </w:r>
      <w:r w:rsidR="00355B7F">
        <w:t>(</w:t>
      </w:r>
      <w:r w:rsidRPr="00453781">
        <w:t xml:space="preserve">30 </w:t>
      </w:r>
      <w:proofErr w:type="spellStart"/>
      <w:r w:rsidRPr="00453781">
        <w:t>μg</w:t>
      </w:r>
      <w:proofErr w:type="spellEnd"/>
      <w:r w:rsidR="00355B7F">
        <w:t>) in Phase II/III of Study C4591001</w:t>
      </w:r>
      <w:r w:rsidRPr="00453781">
        <w:t>. A total of 17 (8.5%) participants were excluded, most due to invalid/</w:t>
      </w:r>
      <w:r w:rsidR="00177126" w:rsidRPr="00453781">
        <w:t>indeterminate</w:t>
      </w:r>
      <w:r w:rsidRPr="00453781">
        <w:t xml:space="preserve"> immunogenicity results after vaccination or because Dose 2 was not administered within the prespecified window. The analysis population for the primary immunogenicity endpoint was the evaluable immunogenicity population of </w:t>
      </w:r>
      <w:r w:rsidR="00355B7F">
        <w:t>Comirnaty vaccine</w:t>
      </w:r>
      <w:r w:rsidRPr="00453781">
        <w:t xml:space="preserve"> reci</w:t>
      </w:r>
      <w:r w:rsidR="00355B7F">
        <w:t>pients without evidence of SARS-</w:t>
      </w:r>
      <w:r w:rsidRPr="00453781">
        <w:t>CoV-2 infectio</w:t>
      </w:r>
      <w:r w:rsidR="00177126">
        <w:t>n up to one</w:t>
      </w:r>
      <w:r w:rsidR="00CA7137">
        <w:t xml:space="preserve"> month after Dose 2 (</w:t>
      </w:r>
      <w:r w:rsidRPr="00453781">
        <w:t>170</w:t>
      </w:r>
      <w:r w:rsidR="00CA7137">
        <w:t xml:space="preserve"> participants</w:t>
      </w:r>
      <w:r w:rsidRPr="00453781">
        <w:t>).</w:t>
      </w:r>
    </w:p>
    <w:p w14:paraId="292693C5" w14:textId="351281D9" w:rsidR="00453781" w:rsidRPr="00453781" w:rsidRDefault="00355B7F" w:rsidP="00EA21D5">
      <w:pPr>
        <w:pStyle w:val="Heading6"/>
      </w:pPr>
      <w:r>
        <w:lastRenderedPageBreak/>
        <w:t>Efficacy e</w:t>
      </w:r>
      <w:r w:rsidR="00453781" w:rsidRPr="00453781">
        <w:t>valuation methodology</w:t>
      </w:r>
    </w:p>
    <w:p w14:paraId="47FFB360" w14:textId="31AC49F1" w:rsidR="00453781" w:rsidRPr="00453781" w:rsidRDefault="00453781" w:rsidP="00453781">
      <w:r w:rsidRPr="00453781">
        <w:t>Descriptive efficacy analyses were conducted on the all-available effi</w:t>
      </w:r>
      <w:r w:rsidR="00355B7F">
        <w:t>cacy (modified intent-to-treat (</w:t>
      </w:r>
      <w:proofErr w:type="spellStart"/>
      <w:r w:rsidR="00355B7F">
        <w:t>mITT</w:t>
      </w:r>
      <w:proofErr w:type="spellEnd"/>
      <w:r w:rsidR="00355B7F">
        <w:t>)</w:t>
      </w:r>
      <w:r w:rsidRPr="00453781">
        <w:t>) populations and the evaluable efficacy populat</w:t>
      </w:r>
      <w:r w:rsidR="00355B7F">
        <w:t>ions for each age group. Phase II/III</w:t>
      </w:r>
      <w:r w:rsidRPr="00453781">
        <w:t xml:space="preserve"> data include COVID-19 cases accrued th</w:t>
      </w:r>
      <w:r w:rsidR="00EA21D5">
        <w:t>rough a data cut-off date of 29 April </w:t>
      </w:r>
      <w:r w:rsidRPr="00453781">
        <w:t>2022.</w:t>
      </w:r>
    </w:p>
    <w:p w14:paraId="3791364D" w14:textId="5C27B565" w:rsidR="00453781" w:rsidRPr="00453781" w:rsidRDefault="00453781" w:rsidP="00453781">
      <w:r w:rsidRPr="00453781">
        <w:t xml:space="preserve">A vaccine efficacy analysis of </w:t>
      </w:r>
      <w:r w:rsidR="00CA7137">
        <w:t>Comirnaty vaccine</w:t>
      </w:r>
      <w:r w:rsidRPr="00453781">
        <w:t xml:space="preserve"> against laboratory-confirmed symptomatic COVID-19 occurring at least 7 days after Dose 3 in participants without evidence of prior SARS-CoV-2 infection and in participants with or without evidence of prior SARS-CoV-2 infection. Hypothesis testing to evaluate vaccine </w:t>
      </w:r>
      <w:r w:rsidR="00CA7137">
        <w:t>efficacy against a null hypothesis</w:t>
      </w:r>
      <w:r w:rsidRPr="00453781">
        <w:t xml:space="preserve">: </w:t>
      </w:r>
      <w:r w:rsidR="00CA7137">
        <w:t>vaccine efficacy</w:t>
      </w:r>
      <w:r w:rsidRPr="00453781">
        <w:t xml:space="preserve"> ≤</w:t>
      </w:r>
      <w:r w:rsidR="00CA7137">
        <w:t xml:space="preserve"> </w:t>
      </w:r>
      <w:r w:rsidRPr="00453781">
        <w:t>30% for the combined age g</w:t>
      </w:r>
      <w:r w:rsidR="00CA7137">
        <w:t>roup (6</w:t>
      </w:r>
      <w:r w:rsidR="00EA21D5">
        <w:t xml:space="preserve"> months to under 2 years </w:t>
      </w:r>
      <w:r w:rsidR="00CA7137">
        <w:t>and 2</w:t>
      </w:r>
      <w:r w:rsidR="00EA21D5">
        <w:t xml:space="preserve"> to under 5</w:t>
      </w:r>
      <w:r w:rsidR="00CA7137">
        <w:t> </w:t>
      </w:r>
      <w:r w:rsidRPr="00453781">
        <w:t>years) was to be conducted after at least 21 cases were accrued.</w:t>
      </w:r>
    </w:p>
    <w:p w14:paraId="58DD0C4D" w14:textId="6FEAFB9A" w:rsidR="00453781" w:rsidRDefault="00CA7137" w:rsidP="00EA21D5">
      <w:pPr>
        <w:pStyle w:val="Heading6"/>
      </w:pPr>
      <w:r>
        <w:t>Analysis</w:t>
      </w:r>
      <w:r w:rsidR="00453781" w:rsidRPr="00453781">
        <w:t xml:space="preserve"> populations</w:t>
      </w:r>
    </w:p>
    <w:p w14:paraId="24C34253" w14:textId="5B4267F9" w:rsidR="00CA7137" w:rsidRPr="00CA7137" w:rsidRDefault="00CA7137" w:rsidP="00CA7137">
      <w:r>
        <w:t>Populations are defined as follows:</w:t>
      </w:r>
    </w:p>
    <w:p w14:paraId="5ECC3C29" w14:textId="294B4053" w:rsidR="00CA7137" w:rsidRDefault="00CA7137" w:rsidP="00CA7137">
      <w:pPr>
        <w:pStyle w:val="ListBullet"/>
      </w:pPr>
      <w:r>
        <w:t>Safety</w:t>
      </w:r>
      <w:r w:rsidR="00EA21D5">
        <w:t xml:space="preserve"> population</w:t>
      </w:r>
      <w:r>
        <w:t>:</w:t>
      </w:r>
    </w:p>
    <w:p w14:paraId="332DC821" w14:textId="7A66BB21" w:rsidR="00453781" w:rsidRPr="00453781" w:rsidRDefault="00453781" w:rsidP="00CA7137">
      <w:pPr>
        <w:pStyle w:val="ListBullet2"/>
      </w:pPr>
      <w:r w:rsidRPr="00453781">
        <w:t>All participants who receive at leas</w:t>
      </w:r>
      <w:r w:rsidR="006A0E56">
        <w:t>t one</w:t>
      </w:r>
      <w:r w:rsidRPr="00453781">
        <w:t xml:space="preserve"> dose of the study intervention.</w:t>
      </w:r>
    </w:p>
    <w:p w14:paraId="0940C09A" w14:textId="2143CCAF" w:rsidR="00CA7137" w:rsidRDefault="00453781" w:rsidP="00CA7137">
      <w:pPr>
        <w:pStyle w:val="ListBullet"/>
      </w:pPr>
      <w:r w:rsidRPr="00453781">
        <w:t>All available immunogenici</w:t>
      </w:r>
      <w:r w:rsidR="00CA7137">
        <w:t>ty</w:t>
      </w:r>
      <w:r w:rsidR="00EA21D5">
        <w:t xml:space="preserve"> population</w:t>
      </w:r>
      <w:r w:rsidR="00CA7137">
        <w:t>:</w:t>
      </w:r>
    </w:p>
    <w:p w14:paraId="7E6371E0" w14:textId="5225E037" w:rsidR="00453781" w:rsidRPr="00453781" w:rsidRDefault="00EA21D5" w:rsidP="00CA7137">
      <w:pPr>
        <w:pStyle w:val="ListBullet2"/>
      </w:pPr>
      <w:r>
        <w:t>All randomis</w:t>
      </w:r>
      <w:r w:rsidR="00453781" w:rsidRPr="00453781">
        <w:t>ed par</w:t>
      </w:r>
      <w:r w:rsidR="006A0E56">
        <w:t>ticipants who receive at least one</w:t>
      </w:r>
      <w:r w:rsidR="00453781" w:rsidRPr="00453781">
        <w:t xml:space="preserve"> dose of </w:t>
      </w:r>
      <w:r w:rsidR="006A0E56">
        <w:t>the intervention with at least one</w:t>
      </w:r>
      <w:r w:rsidR="00453781" w:rsidRPr="00453781">
        <w:t xml:space="preserve"> valid and determinate immunogenicity result after vaccination.</w:t>
      </w:r>
    </w:p>
    <w:p w14:paraId="26AFF2CB" w14:textId="74E656F6" w:rsidR="00CA7137" w:rsidRDefault="00453781" w:rsidP="00CA7137">
      <w:pPr>
        <w:pStyle w:val="ListBullet"/>
      </w:pPr>
      <w:r w:rsidRPr="00453781">
        <w:t>D</w:t>
      </w:r>
      <w:r w:rsidR="00CA7137">
        <w:t>ose 3 evaluable immunogenicity</w:t>
      </w:r>
      <w:r w:rsidR="00EA21D5">
        <w:t xml:space="preserve"> population</w:t>
      </w:r>
      <w:r w:rsidR="00CA7137">
        <w:t>:</w:t>
      </w:r>
    </w:p>
    <w:p w14:paraId="2F3F8923" w14:textId="77777777" w:rsidR="00CA7137" w:rsidRDefault="00CA7137" w:rsidP="00CA7137">
      <w:pPr>
        <w:pStyle w:val="ListBullet2"/>
      </w:pPr>
      <w:r>
        <w:t>All eligible randomis</w:t>
      </w:r>
      <w:r w:rsidR="00453781" w:rsidRPr="00453781">
        <w:t>ed participants who receive three doses of the va</w:t>
      </w:r>
      <w:r>
        <w:t>ccine to which they are randomis</w:t>
      </w:r>
      <w:r w:rsidR="00453781" w:rsidRPr="00453781">
        <w:t>ed, with Dose 2 received w</w:t>
      </w:r>
      <w:r>
        <w:t xml:space="preserve">ithin the predefined window (19 to </w:t>
      </w:r>
      <w:r w:rsidR="00453781" w:rsidRPr="00453781">
        <w:t>42 days after Dose 1), and Dose 3 received</w:t>
      </w:r>
      <w:r>
        <w:t xml:space="preserve"> at least 60 days after Dose 2; and</w:t>
      </w:r>
    </w:p>
    <w:p w14:paraId="0105229F" w14:textId="77777777" w:rsidR="00CA7137" w:rsidRDefault="00CA7137" w:rsidP="00CA7137">
      <w:pPr>
        <w:pStyle w:val="ListBullet2"/>
      </w:pPr>
      <w:r>
        <w:t>have at least one</w:t>
      </w:r>
      <w:r w:rsidR="00453781" w:rsidRPr="00453781">
        <w:t xml:space="preserve"> valid and determinate immunogenicity result from the blood sample collected w</w:t>
      </w:r>
      <w:r>
        <w:t xml:space="preserve">ithin an appropriate window (28 to </w:t>
      </w:r>
      <w:r w:rsidR="00453781" w:rsidRPr="00453781">
        <w:t xml:space="preserve">35 </w:t>
      </w:r>
      <w:r>
        <w:t>days after the specified dose); and</w:t>
      </w:r>
    </w:p>
    <w:p w14:paraId="4814A10D" w14:textId="13A92CC8" w:rsidR="00453781" w:rsidRPr="00453781" w:rsidRDefault="00453781" w:rsidP="00CA7137">
      <w:pPr>
        <w:pStyle w:val="ListBullet2"/>
      </w:pPr>
      <w:r w:rsidRPr="00453781">
        <w:t>have no other important protocol deviations as determined by the clinician.</w:t>
      </w:r>
    </w:p>
    <w:p w14:paraId="5FF13657" w14:textId="57E6437E" w:rsidR="00CA7137" w:rsidRDefault="00453781" w:rsidP="00CA7137">
      <w:pPr>
        <w:pStyle w:val="ListBullet"/>
      </w:pPr>
      <w:r w:rsidRPr="00453781">
        <w:t>A</w:t>
      </w:r>
      <w:r w:rsidR="00CA7137">
        <w:t>ll-available efficacy</w:t>
      </w:r>
      <w:r w:rsidR="00EA21D5">
        <w:t xml:space="preserve"> population</w:t>
      </w:r>
      <w:r w:rsidR="00CA7137">
        <w:t>:</w:t>
      </w:r>
    </w:p>
    <w:p w14:paraId="5A73412B" w14:textId="5EFFBAAB" w:rsidR="00453781" w:rsidRPr="00453781" w:rsidRDefault="00453781" w:rsidP="00CA7137">
      <w:pPr>
        <w:pStyle w:val="ListBullet2"/>
      </w:pPr>
      <w:r w:rsidRPr="00453781">
        <w:t>All participants who complete 1, 2 or 3 doses of the study intervention.</w:t>
      </w:r>
    </w:p>
    <w:p w14:paraId="78258E51" w14:textId="48E01821" w:rsidR="00CA7137" w:rsidRDefault="00453781" w:rsidP="00CA7137">
      <w:pPr>
        <w:pStyle w:val="ListBullet"/>
      </w:pPr>
      <w:r w:rsidRPr="00453781">
        <w:t>Ev</w:t>
      </w:r>
      <w:r w:rsidR="00CA7137">
        <w:t>aluable efficacy</w:t>
      </w:r>
      <w:r w:rsidR="00EA21D5">
        <w:t xml:space="preserve"> population</w:t>
      </w:r>
      <w:r w:rsidR="00CA7137">
        <w:t>:</w:t>
      </w:r>
    </w:p>
    <w:p w14:paraId="1297F979" w14:textId="2C79FD86" w:rsidR="00453781" w:rsidRPr="00453781" w:rsidRDefault="00CA7137" w:rsidP="00CA7137">
      <w:pPr>
        <w:pStyle w:val="ListBullet2"/>
      </w:pPr>
      <w:r>
        <w:t>All randomis</w:t>
      </w:r>
      <w:r w:rsidR="00453781" w:rsidRPr="00453781">
        <w:t>ed participants who rece</w:t>
      </w:r>
      <w:r w:rsidR="00EA21D5">
        <w:t>ive all vaccinations as randomis</w:t>
      </w:r>
      <w:r w:rsidR="00453781" w:rsidRPr="00453781">
        <w:t>ed, with Doses 2 and 3 received within the predefined windows and have no other important protocol deviations as determined by the clinician.</w:t>
      </w:r>
    </w:p>
    <w:p w14:paraId="6B4A4B2E" w14:textId="21A985B9" w:rsidR="00453781" w:rsidRPr="00453781" w:rsidRDefault="00453781" w:rsidP="00EA21D5">
      <w:pPr>
        <w:pStyle w:val="Heading6"/>
      </w:pPr>
      <w:r w:rsidRPr="00453781">
        <w:t>V</w:t>
      </w:r>
      <w:r w:rsidR="00CA7137">
        <w:t>ariant neutralisation a</w:t>
      </w:r>
      <w:r w:rsidRPr="00453781">
        <w:t>ssay methodology</w:t>
      </w:r>
    </w:p>
    <w:p w14:paraId="1C3314B5" w14:textId="4F84942F" w:rsidR="00453781" w:rsidRPr="00453781" w:rsidRDefault="00453781" w:rsidP="00453781">
      <w:r w:rsidRPr="00453781">
        <w:t>Descriptive analyses</w:t>
      </w:r>
      <w:r w:rsidR="00CA7137">
        <w:t xml:space="preserve"> of SARS-CoV-2 variant neutralis</w:t>
      </w:r>
      <w:r w:rsidRPr="00453781">
        <w:t>ation were co</w:t>
      </w:r>
      <w:r w:rsidR="00CA7137">
        <w:t>nducted on the Omicron neutralis</w:t>
      </w:r>
      <w:r w:rsidRPr="00453781">
        <w:t>ation subset. For each of th</w:t>
      </w:r>
      <w:r w:rsidR="00CA7137">
        <w:t>e paed</w:t>
      </w:r>
      <w:r w:rsidR="00EA21D5">
        <w:t>iatric groups in Phase II/III</w:t>
      </w:r>
      <w:r w:rsidRPr="00453781">
        <w:t xml:space="preserve"> Study C4591007, this included approximately 40 </w:t>
      </w:r>
      <w:r w:rsidR="00CA7137">
        <w:t>Comirnaty</w:t>
      </w:r>
      <w:r w:rsidRPr="00453781">
        <w:t xml:space="preserve"> 3</w:t>
      </w:r>
      <w:r w:rsidR="00727EE6">
        <w:t xml:space="preserve"> </w:t>
      </w:r>
      <w:proofErr w:type="spellStart"/>
      <w:r w:rsidR="00727EE6">
        <w:t>μg</w:t>
      </w:r>
      <w:proofErr w:type="spellEnd"/>
      <w:r w:rsidR="00CA7137">
        <w:t xml:space="preserve"> vaccine</w:t>
      </w:r>
      <w:r w:rsidRPr="00453781">
        <w:t xml:space="preserve"> recipients and 5 placebo recipients randomly selected from the </w:t>
      </w:r>
      <w:proofErr w:type="spellStart"/>
      <w:r w:rsidRPr="00453781">
        <w:t>immunobridging</w:t>
      </w:r>
      <w:proofErr w:type="spellEnd"/>
      <w:r w:rsidRPr="00453781">
        <w:t xml:space="preserve"> subset who had received three doses of study intervention, were without evidence of pri</w:t>
      </w:r>
      <w:r w:rsidR="006F6382">
        <w:t xml:space="preserve">or SARS-CoV-2 infection up to </w:t>
      </w:r>
      <w:proofErr w:type="gramStart"/>
      <w:r w:rsidR="006F6382">
        <w:t xml:space="preserve">one </w:t>
      </w:r>
      <w:r w:rsidRPr="00453781">
        <w:t>month</w:t>
      </w:r>
      <w:proofErr w:type="gramEnd"/>
      <w:r w:rsidRPr="00453781">
        <w:t xml:space="preserve"> post-Dose 3 and had sufficient blood vol</w:t>
      </w:r>
      <w:r w:rsidR="006F6382">
        <w:t xml:space="preserve">ume for testing at Dose 3 and one </w:t>
      </w:r>
      <w:r w:rsidRPr="00453781">
        <w:t>month post-Dose 3. The ad</w:t>
      </w:r>
      <w:r w:rsidR="006F6382">
        <w:t>ult reference group from Phase III part of Study C4591001 included 40 </w:t>
      </w:r>
      <w:r w:rsidRPr="00453781">
        <w:t xml:space="preserve">participants 18 to 55 years of age randomly selected from the </w:t>
      </w:r>
      <w:r w:rsidR="006F6382">
        <w:t xml:space="preserve">Study </w:t>
      </w:r>
      <w:r w:rsidRPr="00453781">
        <w:t xml:space="preserve">C4591001 evaluable immunogenicity population who had received a booster (third) dose of </w:t>
      </w:r>
      <w:r w:rsidR="006F6382">
        <w:t>Comirnaty</w:t>
      </w:r>
      <w:r w:rsidRPr="00453781">
        <w:t xml:space="preserve"> 30</w:t>
      </w:r>
      <w:r w:rsidR="00727EE6">
        <w:t xml:space="preserve"> </w:t>
      </w:r>
      <w:proofErr w:type="spellStart"/>
      <w:r w:rsidR="00727EE6">
        <w:t>μg</w:t>
      </w:r>
      <w:proofErr w:type="spellEnd"/>
      <w:r w:rsidRPr="00453781">
        <w:t xml:space="preserve"> at least 6 months after the second dose and were without evidence of pri</w:t>
      </w:r>
      <w:r w:rsidR="00EA21D5">
        <w:t xml:space="preserve">or SARS-CoV-2 infection up to </w:t>
      </w:r>
      <w:proofErr w:type="gramStart"/>
      <w:r w:rsidR="00EA21D5">
        <w:t xml:space="preserve">one </w:t>
      </w:r>
      <w:r w:rsidRPr="00453781">
        <w:t>month</w:t>
      </w:r>
      <w:proofErr w:type="gramEnd"/>
      <w:r w:rsidRPr="00453781">
        <w:t xml:space="preserve"> post-Dose 3.</w:t>
      </w:r>
    </w:p>
    <w:p w14:paraId="6EAE13EE" w14:textId="77777777" w:rsidR="00453781" w:rsidRPr="00453781" w:rsidRDefault="00453781" w:rsidP="006F6382">
      <w:pPr>
        <w:pStyle w:val="Heading5"/>
      </w:pPr>
      <w:r w:rsidRPr="00453781">
        <w:lastRenderedPageBreak/>
        <w:t>Participant flow</w:t>
      </w:r>
    </w:p>
    <w:p w14:paraId="273F89CC" w14:textId="15D877D6" w:rsidR="00453781" w:rsidRPr="00453781" w:rsidRDefault="00453781" w:rsidP="00453781">
      <w:r w:rsidRPr="00453781">
        <w:t>A total of 4,526</w:t>
      </w:r>
      <w:r w:rsidR="006F6382">
        <w:t xml:space="preserve"> participants 6 months to under 5 years of age were randomis</w:t>
      </w:r>
      <w:r w:rsidRPr="00453781">
        <w:t>ed</w:t>
      </w:r>
      <w:r w:rsidR="006F6382">
        <w:t xml:space="preserve"> in a</w:t>
      </w:r>
      <w:r w:rsidRPr="00453781">
        <w:t xml:space="preserve"> 2:1</w:t>
      </w:r>
      <w:r w:rsidR="006F6382">
        <w:t xml:space="preserve"> ratio</w:t>
      </w:r>
      <w:r w:rsidRPr="00453781">
        <w:t xml:space="preserve"> to receive two doses of 3 </w:t>
      </w:r>
      <w:proofErr w:type="spellStart"/>
      <w:r w:rsidRPr="00453781">
        <w:t>μg</w:t>
      </w:r>
      <w:proofErr w:type="spellEnd"/>
      <w:r w:rsidRPr="00453781">
        <w:t xml:space="preserve"> </w:t>
      </w:r>
      <w:r w:rsidR="006F6382">
        <w:t>Comirnaty (tozinameran) vaccine</w:t>
      </w:r>
      <w:r w:rsidRPr="00453781">
        <w:t xml:space="preserve"> or placebo, 3 weeks apart. Based on analyses of post-Dose 2 safety and effectiveness data, the protocol was amended </w:t>
      </w:r>
      <w:r w:rsidR="00EA21D5">
        <w:t xml:space="preserve">(protocol amendment 6) </w:t>
      </w:r>
      <w:r w:rsidRPr="00453781">
        <w:t>to add a third primary series dose</w:t>
      </w:r>
      <w:r w:rsidR="00EA21D5">
        <w:t xml:space="preserve"> at least 8 weeks after Dose 2.</w:t>
      </w:r>
    </w:p>
    <w:p w14:paraId="4B962629" w14:textId="09762E3C" w:rsidR="00453781" w:rsidRPr="00453781" w:rsidRDefault="00453781" w:rsidP="00453781">
      <w:r w:rsidRPr="00453781">
        <w:t>Participants enrolled prior to protocol amendment 6 (3,883</w:t>
      </w:r>
      <w:r w:rsidR="006F6382">
        <w:t xml:space="preserve"> participants</w:t>
      </w:r>
      <w:r w:rsidRPr="00453781">
        <w:t xml:space="preserve">; </w:t>
      </w:r>
      <w:r w:rsidR="00E27A8C">
        <w:t xml:space="preserve">as of </w:t>
      </w:r>
      <w:r w:rsidR="006A0E56">
        <w:t>1 February </w:t>
      </w:r>
      <w:r w:rsidRPr="00453781">
        <w:t>2022), were unblinded at their 6-month post-Dose 2 visi</w:t>
      </w:r>
      <w:r w:rsidR="006F6382">
        <w:t>t, and those originally randomis</w:t>
      </w:r>
      <w:r w:rsidRPr="00453781">
        <w:t xml:space="preserve">ed to placebo were offered </w:t>
      </w:r>
      <w:r w:rsidR="006F6382">
        <w:t>Comirnaty</w:t>
      </w:r>
      <w:r w:rsidRPr="00453781">
        <w:t xml:space="preserve"> vaccination. Participants enrolled after protocol amendment 6 will be unblinded at their 6-month post-Dos</w:t>
      </w:r>
      <w:r w:rsidR="006F6382">
        <w:t>e 3 visit, and those randomis</w:t>
      </w:r>
      <w:r w:rsidRPr="00453781">
        <w:t xml:space="preserve">ed to placebo will be offered </w:t>
      </w:r>
      <w:r w:rsidR="006F6382">
        <w:t>Comirnaty</w:t>
      </w:r>
      <w:r w:rsidRPr="00453781">
        <w:t xml:space="preserve"> vaccination.</w:t>
      </w:r>
    </w:p>
    <w:p w14:paraId="5A42BE92" w14:textId="049CABC4" w:rsidR="00453781" w:rsidRPr="00453781" w:rsidRDefault="00453781" w:rsidP="00453781">
      <w:r w:rsidRPr="00453781">
        <w:t xml:space="preserve">More than 99% of participants received at least 2 doses. The median timing of Dose 3 administration after Dose 2 of </w:t>
      </w:r>
      <w:r w:rsidR="006F6382">
        <w:t xml:space="preserve">Comirnaty vaccine for those in the 6 to </w:t>
      </w:r>
      <w:r w:rsidRPr="00453781">
        <w:t>23 months</w:t>
      </w:r>
      <w:r w:rsidR="006F6382">
        <w:t xml:space="preserve"> of age group</w:t>
      </w:r>
      <w:r w:rsidRPr="00453781">
        <w:t xml:space="preserve"> was 11.0 weeks (range: 8.6 to</w:t>
      </w:r>
      <w:r w:rsidR="006F6382">
        <w:t xml:space="preserve"> 20.0 weeks) and for the 2 to 4 years </w:t>
      </w:r>
      <w:r w:rsidRPr="00453781">
        <w:t xml:space="preserve">old group was 10.7 weeks (range: 8.6 to 15.6 weeks), and approximately 33% received 3 doses as of the </w:t>
      </w:r>
      <w:r w:rsidR="006F6382">
        <w:t>29 April</w:t>
      </w:r>
      <w:r w:rsidRPr="00453781">
        <w:t xml:space="preserve"> 2022 data cut-off date.</w:t>
      </w:r>
    </w:p>
    <w:p w14:paraId="4D95D269" w14:textId="6B851755" w:rsidR="00453781" w:rsidRPr="00453781" w:rsidRDefault="006F6382" w:rsidP="006F6382">
      <w:pPr>
        <w:pStyle w:val="Heading5"/>
      </w:pPr>
      <w:r>
        <w:t>Demographic and baseline c</w:t>
      </w:r>
      <w:r w:rsidR="00453781" w:rsidRPr="00453781">
        <w:t>haracteristics</w:t>
      </w:r>
    </w:p>
    <w:p w14:paraId="07B5EB27" w14:textId="5BC20450" w:rsidR="00453781" w:rsidRDefault="006F6382" w:rsidP="00453781">
      <w:r>
        <w:t>The overall Phase II/III</w:t>
      </w:r>
      <w:r w:rsidR="00453781" w:rsidRPr="00453781">
        <w:t xml:space="preserve"> population included 1,776 (1,178 </w:t>
      </w:r>
      <w:r>
        <w:t>Comirnaty vacc</w:t>
      </w:r>
      <w:r w:rsidR="00EA21D5">
        <w:t xml:space="preserve">ine, 598 placebo) participants from 6 </w:t>
      </w:r>
      <w:r w:rsidR="00453781" w:rsidRPr="00453781">
        <w:t xml:space="preserve">months </w:t>
      </w:r>
      <w:r w:rsidR="00EA21D5">
        <w:t xml:space="preserve">to under 2 years </w:t>
      </w:r>
      <w:r w:rsidR="00453781" w:rsidRPr="00453781">
        <w:t xml:space="preserve">of age and 2,750 (1,835 </w:t>
      </w:r>
      <w:r>
        <w:t xml:space="preserve">Comirnaty vaccine, 915 placebo) participants 2 to </w:t>
      </w:r>
      <w:r w:rsidR="00EA21D5">
        <w:t>under 5</w:t>
      </w:r>
      <w:r w:rsidR="00453781" w:rsidRPr="00453781">
        <w:t xml:space="preserve"> years of age.</w:t>
      </w:r>
    </w:p>
    <w:p w14:paraId="75CA2B16" w14:textId="245E9224" w:rsidR="00E27A8C" w:rsidRPr="00453781" w:rsidRDefault="00E27A8C" w:rsidP="00E27A8C">
      <w:pPr>
        <w:pStyle w:val="Heading6"/>
      </w:pPr>
      <w:r>
        <w:t>Children 2 to under 5 years of age</w:t>
      </w:r>
    </w:p>
    <w:p w14:paraId="690AE4F2" w14:textId="24AA3500" w:rsidR="00453781" w:rsidRDefault="00453781" w:rsidP="00E27A8C">
      <w:r w:rsidRPr="00453781">
        <w:t xml:space="preserve">Demographic characteristics of those </w:t>
      </w:r>
      <w:r w:rsidR="00E27A8C">
        <w:t xml:space="preserve">between 2 to under </w:t>
      </w:r>
      <w:r w:rsidRPr="00E27A8C">
        <w:t>5 years of age</w:t>
      </w:r>
      <w:r w:rsidRPr="00453781">
        <w:t xml:space="preserve"> were similar in </w:t>
      </w:r>
      <w:r w:rsidR="00E27A8C">
        <w:t>Comirnaty vaccine</w:t>
      </w:r>
      <w:r w:rsidRPr="00453781">
        <w:t xml:space="preserve"> and placebo groups. Most participants w</w:t>
      </w:r>
      <w:r w:rsidR="00E27A8C">
        <w:t>ere White (79.6%), with 4.9% </w:t>
      </w:r>
      <w:r w:rsidRPr="00453781">
        <w:t xml:space="preserve">Black or African American participants and 7.4% Asian participants, 7.3% multiracial participants, and other </w:t>
      </w:r>
      <w:r w:rsidRPr="00E27A8C">
        <w:t>race</w:t>
      </w:r>
      <w:r w:rsidRPr="00453781">
        <w:t xml:space="preserve"> subgroups &lt;</w:t>
      </w:r>
      <w:r w:rsidR="00E27A8C">
        <w:t xml:space="preserve"> </w:t>
      </w:r>
      <w:r w:rsidRPr="00453781">
        <w:t>1%. There were 14.0% Hispanic/Latino participants. The median age was 3.0 years and 50% were male. A total of 6.0% were obese, 12.8% had baseline comorbidities and/or obe</w:t>
      </w:r>
      <w:r w:rsidR="00E27A8C">
        <w:t>sity and 13.0% had evidence at B</w:t>
      </w:r>
      <w:r w:rsidRPr="00453781">
        <w:t xml:space="preserve">aseline of prior SARS-CoV-2 infection. Comorbidities that increase the risk of severe COVID-19 disease were present in similar proportions of participants in the </w:t>
      </w:r>
      <w:r w:rsidR="00E27A8C">
        <w:t>Comirnaty</w:t>
      </w:r>
      <w:r w:rsidRPr="00453781">
        <w:t xml:space="preserve"> group (6.4%) and placebo group (9.7%).</w:t>
      </w:r>
    </w:p>
    <w:p w14:paraId="30C0105A" w14:textId="535ABE09" w:rsidR="00E27A8C" w:rsidRPr="00453781" w:rsidRDefault="00E27A8C" w:rsidP="00E27A8C">
      <w:pPr>
        <w:pStyle w:val="Heading6"/>
      </w:pPr>
      <w:r>
        <w:t>Children 6 months to under 2 years of age</w:t>
      </w:r>
    </w:p>
    <w:p w14:paraId="61FE1771" w14:textId="2132B901" w:rsidR="00453781" w:rsidRPr="00453781" w:rsidRDefault="00453781" w:rsidP="00453781">
      <w:r w:rsidRPr="00453781">
        <w:t xml:space="preserve">Demographic characteristics of participants </w:t>
      </w:r>
      <w:r w:rsidR="00E27A8C">
        <w:t xml:space="preserve">6 months to under </w:t>
      </w:r>
      <w:r w:rsidRPr="00E27A8C">
        <w:t xml:space="preserve">2 years of age were similar in </w:t>
      </w:r>
      <w:r w:rsidR="00E27A8C">
        <w:t>Comirnaty</w:t>
      </w:r>
      <w:r w:rsidRPr="00E27A8C">
        <w:t xml:space="preserve"> and placebo groups. Most participants were White (78.9%), with 3.7% Black or African American participants and 7.4% Asian participants, 9.3% multiracial</w:t>
      </w:r>
      <w:r w:rsidRPr="00453781">
        <w:t xml:space="preserve"> participants, and other race subgroups &lt;</w:t>
      </w:r>
      <w:r w:rsidR="006A0E56">
        <w:t xml:space="preserve"> </w:t>
      </w:r>
      <w:r w:rsidRPr="00453781">
        <w:t xml:space="preserve">1%. There were 12.7% Hispanic/Latino participants. The median age was 16.0 months and 49.5% of participants were male. A total of 4.7% had baseline comorbidities (which did not include obesity for this age group), and 7.5% of participants had evidence at baseline of prior SARS-CoV-2 infection. Comorbidities present at baseline that increase the risk of severe COVID-19 were present in similar proportions of participants in the </w:t>
      </w:r>
      <w:r w:rsidR="00E27A8C">
        <w:t>Comirnaty</w:t>
      </w:r>
      <w:r w:rsidRPr="00453781">
        <w:t xml:space="preserve"> group (4.2%) and placebo group (5.7%).</w:t>
      </w:r>
    </w:p>
    <w:p w14:paraId="120BE96A" w14:textId="138118A3" w:rsidR="00453781" w:rsidRPr="00453781" w:rsidRDefault="00453781" w:rsidP="00453781">
      <w:r w:rsidRPr="00453781">
        <w:t xml:space="preserve">Demographics in the immunogenicity, efficacy and safety populations were generally </w:t>
      </w:r>
      <w:proofErr w:type="gramStart"/>
      <w:r w:rsidRPr="00453781">
        <w:t>s</w:t>
      </w:r>
      <w:r w:rsidR="00E27A8C">
        <w:t>imilar to</w:t>
      </w:r>
      <w:proofErr w:type="gramEnd"/>
      <w:r w:rsidR="00E27A8C">
        <w:t xml:space="preserve"> those in the overall Phase II/III populations.</w:t>
      </w:r>
    </w:p>
    <w:p w14:paraId="6E06525C" w14:textId="5A323D69" w:rsidR="00453781" w:rsidRPr="00453781" w:rsidRDefault="00EA21D5" w:rsidP="00E27A8C">
      <w:pPr>
        <w:pStyle w:val="Heading5"/>
      </w:pPr>
      <w:r>
        <w:t>Immunogenicity results post-D</w:t>
      </w:r>
      <w:r w:rsidR="00E27A8C">
        <w:t>ose 2</w:t>
      </w:r>
    </w:p>
    <w:p w14:paraId="2619F6C6" w14:textId="4957802C" w:rsidR="00453781" w:rsidRPr="00453781" w:rsidRDefault="00E27A8C" w:rsidP="00E27A8C">
      <w:pPr>
        <w:pStyle w:val="Heading6"/>
      </w:pPr>
      <w:bookmarkStart w:id="67" w:name="_Hlk112598139"/>
      <w:r>
        <w:t>Children 2 to under 5 years of a</w:t>
      </w:r>
      <w:r w:rsidR="00453781" w:rsidRPr="00453781">
        <w:t>ge</w:t>
      </w:r>
    </w:p>
    <w:bookmarkEnd w:id="67"/>
    <w:p w14:paraId="4D1CC187" w14:textId="1AB3896B" w:rsidR="00453781" w:rsidRPr="00453781" w:rsidRDefault="00453781" w:rsidP="00453781">
      <w:r w:rsidRPr="00453781">
        <w:t>Among participants without pri</w:t>
      </w:r>
      <w:r w:rsidR="006A0E56">
        <w:t xml:space="preserve">or SARS-CoV-2 infection up to </w:t>
      </w:r>
      <w:proofErr w:type="gramStart"/>
      <w:r w:rsidR="006A0E56">
        <w:t>one month</w:t>
      </w:r>
      <w:proofErr w:type="gramEnd"/>
      <w:r w:rsidR="006A0E56">
        <w:t xml:space="preserve"> post-</w:t>
      </w:r>
      <w:r w:rsidRPr="00453781">
        <w:t>Dose 2, the geometr</w:t>
      </w:r>
      <w:r w:rsidR="00F7264D">
        <w:t>ic mean ratio (GMR) of neutralis</w:t>
      </w:r>
      <w:r w:rsidRPr="00453781">
        <w:t xml:space="preserve">ing titres against the SARS-CoV-2 wild-type </w:t>
      </w:r>
      <w:r w:rsidR="00966CBB">
        <w:t xml:space="preserve">strain comparing children from 2 to less than </w:t>
      </w:r>
      <w:r w:rsidRPr="00453781">
        <w:t xml:space="preserve">5 years of age who received </w:t>
      </w:r>
      <w:r w:rsidR="00966CBB">
        <w:t>Comirnaty</w:t>
      </w:r>
      <w:r w:rsidRPr="00453781">
        <w:t xml:space="preserve"> 3</w:t>
      </w:r>
      <w:r w:rsidR="00727EE6">
        <w:t xml:space="preserve"> </w:t>
      </w:r>
      <w:proofErr w:type="spellStart"/>
      <w:r w:rsidR="00727EE6">
        <w:t>μg</w:t>
      </w:r>
      <w:proofErr w:type="spellEnd"/>
      <w:r w:rsidRPr="00453781">
        <w:t xml:space="preserve"> to </w:t>
      </w:r>
      <w:r w:rsidRPr="00453781">
        <w:lastRenderedPageBreak/>
        <w:t xml:space="preserve">young adults </w:t>
      </w:r>
      <w:r w:rsidR="00966CBB">
        <w:t xml:space="preserve">between </w:t>
      </w:r>
      <w:r w:rsidRPr="00453781">
        <w:t xml:space="preserve">16 to 25 years of age who received </w:t>
      </w:r>
      <w:r w:rsidR="00966CBB">
        <w:t>Comirnaty</w:t>
      </w:r>
      <w:r w:rsidRPr="00453781">
        <w:t xml:space="preserve"> 30</w:t>
      </w:r>
      <w:r w:rsidR="00727EE6">
        <w:t xml:space="preserve"> </w:t>
      </w:r>
      <w:proofErr w:type="spellStart"/>
      <w:r w:rsidR="00727EE6">
        <w:t>μg</w:t>
      </w:r>
      <w:proofErr w:type="spellEnd"/>
      <w:r w:rsidR="00966CBB">
        <w:t xml:space="preserve"> was 0.61 (2</w:t>
      </w:r>
      <w:r w:rsidR="00966CBB">
        <w:noBreakHyphen/>
      </w:r>
      <w:r w:rsidRPr="00453781">
        <w:t>sided 95% CI: 0.53, 0.70).  In this population, 96.7% of children and 97.6% of young adul</w:t>
      </w:r>
      <w:r w:rsidR="00EA21D5">
        <w:t xml:space="preserve">ts achieved a </w:t>
      </w:r>
      <w:proofErr w:type="spellStart"/>
      <w:r w:rsidR="00EA21D5">
        <w:t>seroresponse</w:t>
      </w:r>
      <w:proofErr w:type="spellEnd"/>
      <w:r w:rsidR="00EA21D5">
        <w:t xml:space="preserve"> at </w:t>
      </w:r>
      <w:proofErr w:type="gramStart"/>
      <w:r w:rsidR="00EA21D5">
        <w:t xml:space="preserve">one </w:t>
      </w:r>
      <w:r w:rsidRPr="00453781">
        <w:t>month</w:t>
      </w:r>
      <w:proofErr w:type="gramEnd"/>
      <w:r w:rsidRPr="00453781">
        <w:t xml:space="preserve"> post-Dose 2 with a difference between age group</w:t>
      </w:r>
      <w:r w:rsidR="00966CBB">
        <w:t>s (children minus</w:t>
      </w:r>
      <w:r w:rsidRPr="00453781">
        <w:t xml:space="preserve"> young adults) of -0.9% (2-sided 95% CI: -4.3%, 2.3%)</w:t>
      </w:r>
    </w:p>
    <w:p w14:paraId="63392957" w14:textId="13FECEB8" w:rsidR="00453781" w:rsidRPr="00453781" w:rsidRDefault="00453781" w:rsidP="00453781">
      <w:r w:rsidRPr="00453781">
        <w:t xml:space="preserve">The lower bound of </w:t>
      </w:r>
      <w:r w:rsidR="00C513AD">
        <w:t xml:space="preserve">the 2-sided 95% CI for GMR was </w:t>
      </w:r>
      <w:r w:rsidR="00966CBB">
        <w:t xml:space="preserve">below </w:t>
      </w:r>
      <w:r w:rsidRPr="00453781">
        <w:t>0.67 a</w:t>
      </w:r>
      <w:r w:rsidR="00966CBB">
        <w:t>nd the GMR point estimate was less than 0</w:t>
      </w:r>
      <w:r w:rsidRPr="00453781">
        <w:t xml:space="preserve">.8, indicating the prespecified success criteria for the GMR were not met; therefore, </w:t>
      </w:r>
      <w:proofErr w:type="spellStart"/>
      <w:r w:rsidRPr="00453781">
        <w:t>immunobridging</w:t>
      </w:r>
      <w:proofErr w:type="spellEnd"/>
      <w:r w:rsidRPr="00453781">
        <w:t xml:space="preserve"> based on GMR was not achieved for children </w:t>
      </w:r>
      <w:r w:rsidR="006A0E56">
        <w:t>from 2 </w:t>
      </w:r>
      <w:r w:rsidR="00966CBB">
        <w:t xml:space="preserve">to under </w:t>
      </w:r>
      <w:r w:rsidRPr="00453781">
        <w:t xml:space="preserve">5 years of age. The lower limit of the 2-sided 95% CI for the difference in </w:t>
      </w:r>
      <w:proofErr w:type="spellStart"/>
      <w:r w:rsidRPr="00453781">
        <w:t>seroresponse</w:t>
      </w:r>
      <w:proofErr w:type="spellEnd"/>
      <w:r w:rsidRPr="00453781">
        <w:t xml:space="preserve"> rate was -4.3%, which is greater than the prespecified margin of -10%; however, success criteria for the GMR were not met; therefore, </w:t>
      </w:r>
      <w:proofErr w:type="spellStart"/>
      <w:r w:rsidRPr="00453781">
        <w:t>immunobridging</w:t>
      </w:r>
      <w:proofErr w:type="spellEnd"/>
      <w:r w:rsidRPr="00453781">
        <w:t xml:space="preserve"> based on </w:t>
      </w:r>
      <w:proofErr w:type="spellStart"/>
      <w:r w:rsidRPr="00453781">
        <w:t>seroresponse</w:t>
      </w:r>
      <w:proofErr w:type="spellEnd"/>
      <w:r w:rsidRPr="00453781">
        <w:t xml:space="preserve"> was not declared for children </w:t>
      </w:r>
      <w:r w:rsidR="00966CBB">
        <w:t xml:space="preserve">2 to less than </w:t>
      </w:r>
      <w:r w:rsidRPr="00453781">
        <w:t>5 years of age.</w:t>
      </w:r>
    </w:p>
    <w:p w14:paraId="22F3CB85" w14:textId="6E09A896" w:rsidR="00453781" w:rsidRPr="00453781" w:rsidRDefault="00966CBB" w:rsidP="00966CBB">
      <w:pPr>
        <w:pStyle w:val="Heading6"/>
      </w:pPr>
      <w:r>
        <w:t>Children 6 months to under 2 years of a</w:t>
      </w:r>
      <w:r w:rsidR="00453781" w:rsidRPr="00453781">
        <w:t>ge</w:t>
      </w:r>
    </w:p>
    <w:p w14:paraId="7DD369C8" w14:textId="62AAAAC3" w:rsidR="00453781" w:rsidRPr="00453781" w:rsidRDefault="00453781" w:rsidP="00453781">
      <w:r w:rsidRPr="00453781">
        <w:t>Among participants without pri</w:t>
      </w:r>
      <w:r w:rsidR="00EA21D5">
        <w:t xml:space="preserve">or SARS-CoV-2 infection up to </w:t>
      </w:r>
      <w:proofErr w:type="gramStart"/>
      <w:r w:rsidR="00EA21D5">
        <w:t xml:space="preserve">one </w:t>
      </w:r>
      <w:r w:rsidRPr="00453781">
        <w:t>month</w:t>
      </w:r>
      <w:proofErr w:type="gramEnd"/>
      <w:r w:rsidRPr="00453781">
        <w:t xml:space="preserve"> p</w:t>
      </w:r>
      <w:r w:rsidR="00EA21D5">
        <w:t>ost-Dose 2, the GMR of neutralis</w:t>
      </w:r>
      <w:r w:rsidRPr="00453781">
        <w:t>ing titres against the SARS-CoV-2 wild-t</w:t>
      </w:r>
      <w:r w:rsidR="00C513AD">
        <w:t xml:space="preserve">ype strain comparing children 6 months to under </w:t>
      </w:r>
      <w:r w:rsidRPr="00453781">
        <w:t xml:space="preserve">2 years of age who received </w:t>
      </w:r>
      <w:r w:rsidR="00C513AD">
        <w:t>Comirnaty</w:t>
      </w:r>
      <w:r w:rsidRPr="00453781">
        <w:t xml:space="preserve"> 3</w:t>
      </w:r>
      <w:r w:rsidR="00727EE6">
        <w:t xml:space="preserve"> </w:t>
      </w:r>
      <w:proofErr w:type="spellStart"/>
      <w:r w:rsidR="00727EE6">
        <w:t>μg</w:t>
      </w:r>
      <w:proofErr w:type="spellEnd"/>
      <w:r w:rsidRPr="00453781">
        <w:t xml:space="preserve"> to young adults </w:t>
      </w:r>
      <w:r w:rsidR="00C513AD">
        <w:t xml:space="preserve">between 16 and </w:t>
      </w:r>
      <w:r w:rsidRPr="00453781">
        <w:t xml:space="preserve">25 years of age who received </w:t>
      </w:r>
      <w:r w:rsidR="00C513AD">
        <w:t>Comirnaty</w:t>
      </w:r>
      <w:r w:rsidRPr="00453781">
        <w:t xml:space="preserve"> 30</w:t>
      </w:r>
      <w:r w:rsidR="00727EE6">
        <w:t xml:space="preserve"> </w:t>
      </w:r>
      <w:proofErr w:type="spellStart"/>
      <w:r w:rsidR="00727EE6">
        <w:t>μg</w:t>
      </w:r>
      <w:proofErr w:type="spellEnd"/>
      <w:r w:rsidRPr="00453781">
        <w:t xml:space="preserve"> was 1.03 (2-sided 95% CI: 0.90, 1.19). In this population,</w:t>
      </w:r>
      <w:r w:rsidR="00C513AD">
        <w:t xml:space="preserve"> 98.0% of children 6 months to under </w:t>
      </w:r>
      <w:r w:rsidRPr="00453781">
        <w:t xml:space="preserve">2 years of age and 96.2% of young adults 16 to 25 years </w:t>
      </w:r>
      <w:r w:rsidR="00C513AD">
        <w:t xml:space="preserve">of age achieved a </w:t>
      </w:r>
      <w:proofErr w:type="spellStart"/>
      <w:r w:rsidR="00C513AD">
        <w:t>seroresponse</w:t>
      </w:r>
      <w:proofErr w:type="spellEnd"/>
      <w:r w:rsidR="00C513AD">
        <w:t xml:space="preserve"> </w:t>
      </w:r>
      <w:r w:rsidR="006A0E56">
        <w:t xml:space="preserve">at </w:t>
      </w:r>
      <w:proofErr w:type="gramStart"/>
      <w:r w:rsidR="006A0E56">
        <w:t xml:space="preserve">one </w:t>
      </w:r>
      <w:r w:rsidRPr="00453781">
        <w:t>month</w:t>
      </w:r>
      <w:proofErr w:type="gramEnd"/>
      <w:r w:rsidRPr="00453781">
        <w:t xml:space="preserve"> post-Dose 2 with a differenc</w:t>
      </w:r>
      <w:r w:rsidR="00C513AD">
        <w:t>e between age groups (children minus</w:t>
      </w:r>
      <w:r w:rsidRPr="00453781">
        <w:t xml:space="preserve"> young ad</w:t>
      </w:r>
      <w:r w:rsidR="00C513AD">
        <w:t xml:space="preserve">ults) of 1.7% (2-sided 95% CI: </w:t>
      </w:r>
      <w:r w:rsidR="00C513AD">
        <w:noBreakHyphen/>
      </w:r>
      <w:r w:rsidRPr="00453781">
        <w:t>1.4%, 5.2%).</w:t>
      </w:r>
    </w:p>
    <w:p w14:paraId="328E0DE6" w14:textId="4AA4CCC8" w:rsidR="00453781" w:rsidRPr="00453781" w:rsidRDefault="00453781" w:rsidP="00453781">
      <w:r w:rsidRPr="00453781">
        <w:t xml:space="preserve">The lower bound of </w:t>
      </w:r>
      <w:r w:rsidR="00C513AD">
        <w:t xml:space="preserve">the 2-sided 95% CI for GMR was more than </w:t>
      </w:r>
      <w:r w:rsidRPr="00453781">
        <w:t>0.67 and the GMR point estimate was ≥</w:t>
      </w:r>
      <w:r w:rsidR="00C513AD">
        <w:t xml:space="preserve"> </w:t>
      </w:r>
      <w:r w:rsidRPr="00453781">
        <w:t>0.8 (per protocol) and ≥</w:t>
      </w:r>
      <w:r w:rsidR="00C513AD">
        <w:t xml:space="preserve"> </w:t>
      </w:r>
      <w:r w:rsidRPr="00453781">
        <w:t xml:space="preserve">1 (requested by </w:t>
      </w:r>
      <w:r w:rsidR="00C513AD">
        <w:t>US Food and Drug Administration (</w:t>
      </w:r>
      <w:r w:rsidRPr="00453781">
        <w:t>FDA</w:t>
      </w:r>
      <w:r w:rsidR="00C513AD">
        <w:t>)</w:t>
      </w:r>
      <w:r w:rsidRPr="00453781">
        <w:t>), which meets the prespecified 1.5-fold margin an</w:t>
      </w:r>
      <w:r w:rsidR="00C513AD">
        <w:t>d success criteria for the GMR</w:t>
      </w:r>
      <w:r w:rsidRPr="00453781">
        <w:t xml:space="preserve">. Therefore, </w:t>
      </w:r>
      <w:proofErr w:type="spellStart"/>
      <w:r w:rsidRPr="00453781">
        <w:t>immunobridging</w:t>
      </w:r>
      <w:proofErr w:type="spellEnd"/>
      <w:r w:rsidRPr="00453781">
        <w:t xml:space="preserve"> based on GMR was ach</w:t>
      </w:r>
      <w:r w:rsidR="00C513AD">
        <w:t xml:space="preserve">ieved for children 6 months to less than </w:t>
      </w:r>
      <w:r w:rsidRPr="00453781">
        <w:t xml:space="preserve">2 years of age. The lower limit of the 2-sided 95% CI for the difference in </w:t>
      </w:r>
      <w:proofErr w:type="spellStart"/>
      <w:r w:rsidRPr="00453781">
        <w:t>seroresponse</w:t>
      </w:r>
      <w:proofErr w:type="spellEnd"/>
      <w:r w:rsidRPr="00453781">
        <w:t xml:space="preserve"> rate was -1.4%, which is greater than the prespecified margin of -10%. Thus, </w:t>
      </w:r>
      <w:proofErr w:type="spellStart"/>
      <w:r w:rsidRPr="00453781">
        <w:t>immunobridging</w:t>
      </w:r>
      <w:proofErr w:type="spellEnd"/>
      <w:r w:rsidRPr="00453781">
        <w:t xml:space="preserve"> was </w:t>
      </w:r>
      <w:r w:rsidR="00C513AD">
        <w:t xml:space="preserve">achieved for those 6 months to less than </w:t>
      </w:r>
      <w:r w:rsidRPr="00453781">
        <w:t>2 years of age.</w:t>
      </w:r>
    </w:p>
    <w:p w14:paraId="0EB80E4B" w14:textId="007FB070" w:rsidR="00453781" w:rsidRPr="00453781" w:rsidRDefault="00453781" w:rsidP="00C513AD">
      <w:pPr>
        <w:pStyle w:val="Heading5"/>
      </w:pPr>
      <w:r w:rsidRPr="00453781">
        <w:t xml:space="preserve">Immunogenicity </w:t>
      </w:r>
      <w:r w:rsidR="00EA21D5">
        <w:t>results post-D</w:t>
      </w:r>
      <w:r w:rsidRPr="00453781">
        <w:t>ose 3</w:t>
      </w:r>
    </w:p>
    <w:p w14:paraId="46090FA3" w14:textId="51611F37" w:rsidR="00453781" w:rsidRPr="00453781" w:rsidRDefault="004E104B" w:rsidP="004E104B">
      <w:pPr>
        <w:pStyle w:val="Heading6"/>
      </w:pPr>
      <w:r>
        <w:t>Children 2 to under 5 years of a</w:t>
      </w:r>
      <w:r w:rsidR="00453781" w:rsidRPr="00453781">
        <w:t>ge</w:t>
      </w:r>
    </w:p>
    <w:p w14:paraId="60A3A21D" w14:textId="6C8B2048" w:rsidR="00453781" w:rsidRPr="00453781" w:rsidRDefault="00453781" w:rsidP="00453781">
      <w:r w:rsidRPr="00453781">
        <w:t xml:space="preserve">The Dose 3 evaluable immunogenicity population included 204 children </w:t>
      </w:r>
      <w:r w:rsidR="0057471D">
        <w:t xml:space="preserve">from </w:t>
      </w:r>
      <w:r w:rsidR="004E104B">
        <w:t>2 to under 5 </w:t>
      </w:r>
      <w:r w:rsidRPr="004E104B">
        <w:t>years of age</w:t>
      </w:r>
      <w:r w:rsidRPr="00453781">
        <w:t xml:space="preserve"> who received three doses of </w:t>
      </w:r>
      <w:r w:rsidR="004E104B">
        <w:t>Comirnaty vaccine</w:t>
      </w:r>
      <w:r w:rsidRPr="00453781">
        <w:t xml:space="preserve"> 3</w:t>
      </w:r>
      <w:r w:rsidR="00727EE6">
        <w:t xml:space="preserve"> </w:t>
      </w:r>
      <w:proofErr w:type="spellStart"/>
      <w:r w:rsidR="00727EE6">
        <w:t>μg</w:t>
      </w:r>
      <w:proofErr w:type="spellEnd"/>
      <w:r w:rsidRPr="00453781">
        <w:t xml:space="preserve"> and 92</w:t>
      </w:r>
      <w:r w:rsidR="004E104B">
        <w:t xml:space="preserve"> children</w:t>
      </w:r>
      <w:r w:rsidRPr="00453781">
        <w:t xml:space="preserve"> who received placebo, of whom 143 and 59 participants, respectively, were without prior evidence</w:t>
      </w:r>
      <w:r w:rsidR="004E104B">
        <w:t xml:space="preserve"> of SARS-CoV-2 infection up to one</w:t>
      </w:r>
      <w:r w:rsidRPr="00453781">
        <w:t xml:space="preserve"> month after Dose 3. The comparator group of young adults 16 to 25 years of age included 183 participants in the</w:t>
      </w:r>
      <w:r w:rsidR="004E104B">
        <w:t xml:space="preserve"> Comirnaty vaccine</w:t>
      </w:r>
      <w:r w:rsidRPr="00453781">
        <w:t xml:space="preserve"> 30</w:t>
      </w:r>
      <w:r w:rsidR="004E104B">
        <w:t> </w:t>
      </w:r>
      <w:proofErr w:type="spellStart"/>
      <w:r w:rsidR="00727EE6">
        <w:t>μg</w:t>
      </w:r>
      <w:proofErr w:type="spellEnd"/>
      <w:r w:rsidRPr="00453781">
        <w:t xml:space="preserve"> group and 45 participants in the placebo group of Study C4591001, of whom 170 and 38, respectively, were without prior evidence of SARS-CoV-2 infection up to 1 month after Dose 2.</w:t>
      </w:r>
    </w:p>
    <w:p w14:paraId="008F2D59" w14:textId="27BC93BF" w:rsidR="00453781" w:rsidRDefault="00453781" w:rsidP="00453781">
      <w:bookmarkStart w:id="68" w:name="_Hlk112609190"/>
      <w:r w:rsidRPr="00453781">
        <w:t xml:space="preserve">Among </w:t>
      </w:r>
      <w:r w:rsidRPr="004E104B">
        <w:t xml:space="preserve">children </w:t>
      </w:r>
      <w:r w:rsidR="004E104B">
        <w:t xml:space="preserve">2 to under </w:t>
      </w:r>
      <w:r w:rsidRPr="004E104B">
        <w:t>5 years</w:t>
      </w:r>
      <w:r w:rsidRPr="00453781">
        <w:t xml:space="preserve"> of age the observed GMT was 20.7 before vaccination and progressively increased with 2 and 3 doses of vaccination, to be </w:t>
      </w:r>
      <w:r w:rsidR="004E104B">
        <w:t xml:space="preserve">a GMT of 1535 at </w:t>
      </w:r>
      <w:proofErr w:type="gramStart"/>
      <w:r w:rsidR="004E104B">
        <w:t>one </w:t>
      </w:r>
      <w:r w:rsidR="00DC56DD">
        <w:t>month</w:t>
      </w:r>
      <w:proofErr w:type="gramEnd"/>
      <w:r w:rsidR="00DC56DD">
        <w:t xml:space="preserve"> post-Dose 3 </w:t>
      </w:r>
      <w:r w:rsidRPr="00453781">
        <w:t>(</w:t>
      </w:r>
      <w:r w:rsidR="004E104B">
        <w:t xml:space="preserve">see </w:t>
      </w:r>
      <w:r w:rsidR="004E104B">
        <w:fldChar w:fldCharType="begin"/>
      </w:r>
      <w:r w:rsidR="004E104B">
        <w:instrText xml:space="preserve"> REF _Ref113854215 \h </w:instrText>
      </w:r>
      <w:r w:rsidR="004E104B">
        <w:fldChar w:fldCharType="separate"/>
      </w:r>
      <w:r w:rsidR="00145C93" w:rsidRPr="004E104B">
        <w:t xml:space="preserve">Figure </w:t>
      </w:r>
      <w:r w:rsidR="00145C93">
        <w:rPr>
          <w:noProof/>
        </w:rPr>
        <w:t>6</w:t>
      </w:r>
      <w:r w:rsidR="004E104B">
        <w:fldChar w:fldCharType="end"/>
      </w:r>
      <w:r w:rsidR="004E104B">
        <w:t>, below).</w:t>
      </w:r>
    </w:p>
    <w:p w14:paraId="01C3CDAD" w14:textId="0591AFA7" w:rsidR="000A7044" w:rsidRDefault="000A7044" w:rsidP="00453781">
      <w:r>
        <w:br w:type="page"/>
      </w:r>
    </w:p>
    <w:p w14:paraId="520392B6" w14:textId="342E7F2D" w:rsidR="004E104B" w:rsidRPr="004E104B" w:rsidRDefault="004E104B" w:rsidP="004E104B">
      <w:pPr>
        <w:pStyle w:val="FigureTitle"/>
      </w:pPr>
      <w:bookmarkStart w:id="69" w:name="_Ref113854215"/>
      <w:bookmarkEnd w:id="68"/>
      <w:r w:rsidRPr="004E104B">
        <w:lastRenderedPageBreak/>
        <w:t xml:space="preserve">Figure </w:t>
      </w:r>
      <w:r w:rsidR="00582372">
        <w:fldChar w:fldCharType="begin"/>
      </w:r>
      <w:r w:rsidR="00582372">
        <w:instrText xml:space="preserve"> SEQ Figure \* ARABIC </w:instrText>
      </w:r>
      <w:r w:rsidR="00582372">
        <w:fldChar w:fldCharType="separate"/>
      </w:r>
      <w:r w:rsidR="00145C93">
        <w:rPr>
          <w:noProof/>
        </w:rPr>
        <w:t>6</w:t>
      </w:r>
      <w:r w:rsidR="00582372">
        <w:rPr>
          <w:noProof/>
        </w:rPr>
        <w:fldChar w:fldCharType="end"/>
      </w:r>
      <w:bookmarkEnd w:id="69"/>
      <w:r w:rsidRPr="004E104B">
        <w:t xml:space="preserve">: Study C4591007 (Phase II/III; 2 to under 5 years of age) and Study C4591001 (Phase II/III; 16 to 25 years of age) Geometric mean titres, SARS-CoV-2 neutralisation assay (NT50). Participants without evidence of infection; </w:t>
      </w:r>
      <w:r w:rsidR="00EA21D5">
        <w:t>(</w:t>
      </w:r>
      <w:proofErr w:type="spellStart"/>
      <w:r w:rsidR="00EA21D5">
        <w:t>immunobridging</w:t>
      </w:r>
      <w:proofErr w:type="spellEnd"/>
      <w:r w:rsidR="00EA21D5">
        <w:t xml:space="preserve"> subset, </w:t>
      </w:r>
      <w:r w:rsidRPr="004E104B">
        <w:t>evaluable immunogenicity population)</w:t>
      </w:r>
    </w:p>
    <w:p w14:paraId="78ED5E31" w14:textId="77777777" w:rsidR="00453781" w:rsidRPr="00453781" w:rsidRDefault="00453781" w:rsidP="00453781">
      <w:r w:rsidRPr="00453781">
        <w:rPr>
          <w:noProof/>
          <w:lang w:val="en-GB" w:eastAsia="en-GB"/>
        </w:rPr>
        <w:drawing>
          <wp:inline distT="0" distB="0" distL="0" distR="0" wp14:anchorId="1AD7443B" wp14:editId="1BEAD6F4">
            <wp:extent cx="5420717" cy="2344903"/>
            <wp:effectExtent l="0" t="0" r="0" b="0"/>
            <wp:docPr id="19" name="Picture 19" descr="Study C4591007 (Phase II/III; 2 to under 5 years of age) and Study C4591001 (Phase II/III; 16 to 25 years of age) Geometric mean titres, SARS-CoV-2 neutralisation assay (NT50). Participants without evidence of infection; (immunobridging sub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rotWithShape="1">
                    <a:blip r:embed="rId28">
                      <a:extLst>
                        <a:ext uri="{28A0092B-C50C-407E-A947-70E740481C1C}">
                          <a14:useLocalDpi xmlns:a14="http://schemas.microsoft.com/office/drawing/2010/main" val="0"/>
                        </a:ext>
                      </a:extLst>
                    </a:blip>
                    <a:srcRect r="3364" b="17843"/>
                    <a:stretch/>
                  </pic:blipFill>
                  <pic:spPr bwMode="auto">
                    <a:xfrm>
                      <a:off x="0" y="0"/>
                      <a:ext cx="5477886" cy="2369633"/>
                    </a:xfrm>
                    <a:prstGeom prst="rect">
                      <a:avLst/>
                    </a:prstGeom>
                    <a:ln>
                      <a:noFill/>
                    </a:ln>
                    <a:extLst>
                      <a:ext uri="{53640926-AAD7-44D8-BBD7-CCE9431645EC}">
                        <a14:shadowObscured xmlns:a14="http://schemas.microsoft.com/office/drawing/2010/main"/>
                      </a:ext>
                    </a:extLst>
                  </pic:spPr>
                </pic:pic>
              </a:graphicData>
            </a:graphic>
          </wp:inline>
        </w:drawing>
      </w:r>
    </w:p>
    <w:p w14:paraId="45436F94" w14:textId="77711439" w:rsidR="00453781" w:rsidRDefault="00F432B5" w:rsidP="00F432B5">
      <w:pPr>
        <w:pStyle w:val="FigureDescription"/>
      </w:pPr>
      <w:r>
        <w:t>Abbreviations: GMT = geometric mean titre; NAAT = nucleic acidic ampli</w:t>
      </w:r>
      <w:r w:rsidR="0057471D">
        <w:t>fication test; N</w:t>
      </w:r>
      <w:r w:rsidR="0057471D">
        <w:noBreakHyphen/>
        <w:t>binding = SARS</w:t>
      </w:r>
      <w:r w:rsidR="0057471D">
        <w:noBreakHyphen/>
      </w:r>
      <w:r>
        <w:t>CoV-2 nucleoprotein-binding; NT50 = 50% neutralising titre; SARS-CoV-2 = severe acute respiratory syndrome coronavirus 2.</w:t>
      </w:r>
    </w:p>
    <w:p w14:paraId="3B989063" w14:textId="7B515077" w:rsidR="00F432B5" w:rsidRDefault="00F432B5" w:rsidP="00F432B5">
      <w:pPr>
        <w:pStyle w:val="FigureDescription"/>
      </w:pPr>
      <w:r>
        <w:t>Note: Evaluable population refers to Dose 3 evaluable immunogenicity population for Study C4591007 and Dose 2 for Study C4591001.</w:t>
      </w:r>
    </w:p>
    <w:p w14:paraId="7988DE89" w14:textId="3378BED3" w:rsidR="00F432B5" w:rsidRPr="00453781" w:rsidRDefault="00F432B5" w:rsidP="00F432B5">
      <w:pPr>
        <w:pStyle w:val="FigureDescription"/>
      </w:pPr>
      <w:r>
        <w:t>Number within each bar denotes geometric mean</w:t>
      </w:r>
    </w:p>
    <w:p w14:paraId="27A9E884" w14:textId="32CFBF32" w:rsidR="00453781" w:rsidRDefault="00F432B5" w:rsidP="00453781">
      <w:r>
        <w:t xml:space="preserve">The GMR of </w:t>
      </w:r>
      <w:r w:rsidR="001E5818">
        <w:t xml:space="preserve">the </w:t>
      </w:r>
      <w:r>
        <w:t xml:space="preserve">2 to under </w:t>
      </w:r>
      <w:r w:rsidR="00453781" w:rsidRPr="00453781">
        <w:t xml:space="preserve">5 years of age </w:t>
      </w:r>
      <w:r>
        <w:t xml:space="preserve">group relative to those of 16 to </w:t>
      </w:r>
      <w:r w:rsidR="00453781" w:rsidRPr="00453781">
        <w:t>25 years of age was 1.3</w:t>
      </w:r>
      <w:r>
        <w:t>0 (2-sided 95% CI: 1.13, 1.50)</w:t>
      </w:r>
      <w:r w:rsidR="001E5818">
        <w:t xml:space="preserve">; see </w:t>
      </w:r>
      <w:r w:rsidR="001E5818">
        <w:fldChar w:fldCharType="begin"/>
      </w:r>
      <w:r w:rsidR="001E5818">
        <w:instrText xml:space="preserve"> REF _Ref113855227 \h </w:instrText>
      </w:r>
      <w:r w:rsidR="001E5818">
        <w:fldChar w:fldCharType="separate"/>
      </w:r>
      <w:r w:rsidR="00145C93">
        <w:t xml:space="preserve">Table </w:t>
      </w:r>
      <w:r w:rsidR="00145C93">
        <w:rPr>
          <w:noProof/>
        </w:rPr>
        <w:t>8</w:t>
      </w:r>
      <w:r w:rsidR="001E5818">
        <w:fldChar w:fldCharType="end"/>
      </w:r>
      <w:r w:rsidR="001E5818">
        <w:t>, below</w:t>
      </w:r>
      <w:r w:rsidR="00453781" w:rsidRPr="00453781">
        <w:t xml:space="preserve">. This met the </w:t>
      </w:r>
      <w:proofErr w:type="spellStart"/>
      <w:r w:rsidR="00453781" w:rsidRPr="00453781">
        <w:t>immunobridging</w:t>
      </w:r>
      <w:proofErr w:type="spellEnd"/>
      <w:r w:rsidR="00453781" w:rsidRPr="00453781">
        <w:t xml:space="preserve"> objective for success, with the l</w:t>
      </w:r>
      <w:r>
        <w:t>ower bound of the 95% CI being &gt;</w:t>
      </w:r>
      <w:r w:rsidR="00453781" w:rsidRPr="00453781">
        <w:t xml:space="preserve"> 0.67 and the point estimate ≥ 0.8 (it was also ≥ 1.0 as preferred by the US FDA).  The difference in </w:t>
      </w:r>
      <w:proofErr w:type="spellStart"/>
      <w:r w:rsidR="00453781" w:rsidRPr="00453781">
        <w:t>seror</w:t>
      </w:r>
      <w:r>
        <w:t>esponse</w:t>
      </w:r>
      <w:proofErr w:type="spellEnd"/>
      <w:r>
        <w:t xml:space="preserve"> rates in children aged 2 to under 5 </w:t>
      </w:r>
      <w:r w:rsidR="00453781" w:rsidRPr="00453781">
        <w:t xml:space="preserve">years and young adults </w:t>
      </w:r>
      <w:r w:rsidR="000A7044">
        <w:t>aged 16 to 25 </w:t>
      </w:r>
      <w:r>
        <w:t>years age</w:t>
      </w:r>
      <w:r w:rsidR="00453781" w:rsidRPr="00453781">
        <w:t xml:space="preserve"> </w:t>
      </w:r>
      <w:r>
        <w:t>was 0.2% (2-sided 95% CI: -1.5%, 4.2</w:t>
      </w:r>
      <w:r w:rsidR="001E5818">
        <w:t xml:space="preserve">); see </w:t>
      </w:r>
      <w:r w:rsidR="001E492F">
        <w:fldChar w:fldCharType="begin"/>
      </w:r>
      <w:r w:rsidR="001E492F">
        <w:instrText xml:space="preserve"> REF _Ref113856129 \h </w:instrText>
      </w:r>
      <w:r w:rsidR="001E492F">
        <w:fldChar w:fldCharType="separate"/>
      </w:r>
      <w:r w:rsidR="00145C93" w:rsidRPr="008E5446">
        <w:t xml:space="preserve">Table </w:t>
      </w:r>
      <w:r w:rsidR="00145C93">
        <w:rPr>
          <w:noProof/>
        </w:rPr>
        <w:t>9</w:t>
      </w:r>
      <w:r w:rsidR="001E492F">
        <w:fldChar w:fldCharType="end"/>
      </w:r>
      <w:r w:rsidR="001E492F">
        <w:t xml:space="preserve"> </w:t>
      </w:r>
      <w:r w:rsidR="001E5818">
        <w:t>below</w:t>
      </w:r>
      <w:r>
        <w:t xml:space="preserve">. </w:t>
      </w:r>
      <w:r w:rsidR="00453781" w:rsidRPr="00453781">
        <w:t xml:space="preserve">As the pre-specified criteria for </w:t>
      </w:r>
      <w:proofErr w:type="spellStart"/>
      <w:r w:rsidR="00453781" w:rsidRPr="00453781">
        <w:t>immunobridging</w:t>
      </w:r>
      <w:proofErr w:type="spellEnd"/>
      <w:r w:rsidR="00453781" w:rsidRPr="00453781">
        <w:t xml:space="preserve"> based on GMR were met (a prerequisite) and the lower bound of the 95% CI for the difference in </w:t>
      </w:r>
      <w:proofErr w:type="spellStart"/>
      <w:r w:rsidR="00453781" w:rsidRPr="00453781">
        <w:t>seroresponse</w:t>
      </w:r>
      <w:proofErr w:type="spellEnd"/>
      <w:r w:rsidR="00453781" w:rsidRPr="00453781">
        <w:t xml:space="preserve"> rates was greater than -10.0%, the criteri</w:t>
      </w:r>
      <w:r w:rsidR="000A7044">
        <w:t xml:space="preserve">a for non-inferiority </w:t>
      </w:r>
      <w:proofErr w:type="gramStart"/>
      <w:r w:rsidR="000A7044">
        <w:t>was</w:t>
      </w:r>
      <w:proofErr w:type="gramEnd"/>
      <w:r w:rsidR="000A7044">
        <w:t xml:space="preserve"> met.</w:t>
      </w:r>
    </w:p>
    <w:p w14:paraId="64C66AF6" w14:textId="65132B5D" w:rsidR="000A7044" w:rsidRPr="001E5818" w:rsidRDefault="000A7044" w:rsidP="00453781">
      <w:r>
        <w:br w:type="page"/>
      </w:r>
    </w:p>
    <w:p w14:paraId="1C3811D6" w14:textId="248066F7" w:rsidR="001E5818" w:rsidRDefault="001E5818" w:rsidP="007E396D">
      <w:pPr>
        <w:pStyle w:val="Tabletitle0"/>
      </w:pPr>
      <w:bookmarkStart w:id="70" w:name="_Ref113855227"/>
      <w:r>
        <w:lastRenderedPageBreak/>
        <w:t xml:space="preserve">Table </w:t>
      </w:r>
      <w:r w:rsidR="00582372">
        <w:fldChar w:fldCharType="begin"/>
      </w:r>
      <w:r w:rsidR="00582372">
        <w:instrText xml:space="preserve"> SEQ Table \* ARABIC </w:instrText>
      </w:r>
      <w:r w:rsidR="00582372">
        <w:fldChar w:fldCharType="separate"/>
      </w:r>
      <w:r w:rsidR="00145C93">
        <w:rPr>
          <w:noProof/>
        </w:rPr>
        <w:t>8</w:t>
      </w:r>
      <w:r w:rsidR="00582372">
        <w:rPr>
          <w:noProof/>
        </w:rPr>
        <w:fldChar w:fldCharType="end"/>
      </w:r>
      <w:bookmarkEnd w:id="70"/>
      <w:r>
        <w:t xml:space="preserve">: </w:t>
      </w:r>
      <w:r w:rsidRPr="00453781">
        <w:t xml:space="preserve">Study C4591007 </w:t>
      </w:r>
      <w:r>
        <w:t>(Phase II/III, 2 to under 5 years of age (one</w:t>
      </w:r>
      <w:r w:rsidRPr="00453781">
        <w:t xml:space="preserve"> </w:t>
      </w:r>
      <w:r>
        <w:t>month after D</w:t>
      </w:r>
      <w:r w:rsidRPr="00453781">
        <w:t xml:space="preserve">ose 3) and Study C4591001 </w:t>
      </w:r>
      <w:r>
        <w:t xml:space="preserve">(Phase II/III, 16 through 25 years of age (one month after Dose 2). </w:t>
      </w:r>
      <w:r w:rsidRPr="00453781">
        <w:t xml:space="preserve">Summary of </w:t>
      </w:r>
      <w:r>
        <w:t>geometric mean ratios (NT</w:t>
      </w:r>
      <w:r w:rsidRPr="00453781">
        <w:t>50</w:t>
      </w:r>
      <w:r>
        <w:t>);</w:t>
      </w:r>
      <w:r w:rsidRPr="00453781">
        <w:t xml:space="preserve"> participants </w:t>
      </w:r>
      <w:r>
        <w:t xml:space="preserve">without </w:t>
      </w:r>
      <w:r w:rsidRPr="007E396D">
        <w:t>evidence of infection (</w:t>
      </w:r>
      <w:proofErr w:type="spellStart"/>
      <w:r w:rsidRPr="007E396D">
        <w:t>immunobridging</w:t>
      </w:r>
      <w:proofErr w:type="spellEnd"/>
      <w:r w:rsidRPr="007E396D">
        <w:t xml:space="preserve"> subset; evaluable </w:t>
      </w:r>
      <w:proofErr w:type="gramStart"/>
      <w:r w:rsidRPr="007E396D">
        <w:t>immunogenicity  population</w:t>
      </w:r>
      <w:proofErr w:type="gramEnd"/>
      <w:r w:rsidRPr="007E396D">
        <w:t>)</w:t>
      </w:r>
    </w:p>
    <w:p w14:paraId="3C49C96C" w14:textId="51701994" w:rsidR="00453781" w:rsidRDefault="00453781" w:rsidP="007E396D">
      <w:pPr>
        <w:keepNext/>
      </w:pPr>
      <w:r w:rsidRPr="00453781">
        <w:rPr>
          <w:noProof/>
          <w:lang w:val="en-GB" w:eastAsia="en-GB"/>
        </w:rPr>
        <w:drawing>
          <wp:inline distT="0" distB="0" distL="0" distR="0" wp14:anchorId="650FB044" wp14:editId="05E49729">
            <wp:extent cx="5273227" cy="1225670"/>
            <wp:effectExtent l="0" t="0" r="381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rotWithShape="1">
                    <a:blip r:embed="rId29">
                      <a:extLst>
                        <a:ext uri="{28A0092B-C50C-407E-A947-70E740481C1C}">
                          <a14:useLocalDpi xmlns:a14="http://schemas.microsoft.com/office/drawing/2010/main" val="0"/>
                        </a:ext>
                      </a:extLst>
                    </a:blip>
                    <a:srcRect r="2874" b="48511"/>
                    <a:stretch/>
                  </pic:blipFill>
                  <pic:spPr bwMode="auto">
                    <a:xfrm>
                      <a:off x="0" y="0"/>
                      <a:ext cx="5374841" cy="1249288"/>
                    </a:xfrm>
                    <a:prstGeom prst="rect">
                      <a:avLst/>
                    </a:prstGeom>
                    <a:ln>
                      <a:noFill/>
                    </a:ln>
                    <a:extLst>
                      <a:ext uri="{53640926-AAD7-44D8-BBD7-CCE9431645EC}">
                        <a14:shadowObscured xmlns:a14="http://schemas.microsoft.com/office/drawing/2010/main"/>
                      </a:ext>
                    </a:extLst>
                  </pic:spPr>
                </pic:pic>
              </a:graphicData>
            </a:graphic>
          </wp:inline>
        </w:drawing>
      </w:r>
    </w:p>
    <w:p w14:paraId="1F610CCC" w14:textId="64B75A28" w:rsidR="007E396D" w:rsidRDefault="007E396D" w:rsidP="007E396D">
      <w:pPr>
        <w:pStyle w:val="TableDescription"/>
        <w:keepNext/>
      </w:pPr>
      <w:r>
        <w:t>Abbreviations</w:t>
      </w:r>
      <w:r w:rsidR="00476077">
        <w:t xml:space="preserve">: GMR = geometric mean ratio; GMT = geometric mean </w:t>
      </w:r>
      <w:r>
        <w:t>titre</w:t>
      </w:r>
      <w:r w:rsidR="00476077">
        <w:t>; LLOQ = lower limit of quantitation; NAAT = nucleic acid amplification test; N-bin</w:t>
      </w:r>
      <w:r>
        <w:t>ding = SARS-CoV-2 nucleoprotein-binding; NT50 = 50% neutralis</w:t>
      </w:r>
      <w:r w:rsidR="00476077">
        <w:t xml:space="preserve">ing </w:t>
      </w:r>
      <w:r>
        <w:t>titre</w:t>
      </w:r>
      <w:r w:rsidR="00476077">
        <w:t>; SARS-CoV-2 = severe acute r</w:t>
      </w:r>
      <w:r>
        <w:t>espiratory syndrome coronavirus 2.</w:t>
      </w:r>
    </w:p>
    <w:p w14:paraId="4F66D901" w14:textId="77777777" w:rsidR="007E396D" w:rsidRDefault="00476077" w:rsidP="007E396D">
      <w:pPr>
        <w:pStyle w:val="TableDescription"/>
        <w:keepNext/>
      </w:pPr>
      <w:r>
        <w:t xml:space="preserve">Note: Evaluable population refers to Dose 3 evaluable immunogenicity population for </w:t>
      </w:r>
      <w:r w:rsidR="007E396D">
        <w:t xml:space="preserve">Study </w:t>
      </w:r>
      <w:r>
        <w:t xml:space="preserve">C4591007 and Dose 2 evaluable immunogenicity population for </w:t>
      </w:r>
      <w:r w:rsidR="007E396D">
        <w:t>Study C4591001.</w:t>
      </w:r>
    </w:p>
    <w:p w14:paraId="69F4C78D" w14:textId="6E71817A" w:rsidR="007E396D" w:rsidRDefault="00476077" w:rsidP="007E396D">
      <w:pPr>
        <w:pStyle w:val="TableDescription"/>
        <w:keepNext/>
      </w:pPr>
      <w:r>
        <w:t>Participants included in this analysis had no serological or virological evidence of past SARS-CoV-2 infe</w:t>
      </w:r>
      <w:r w:rsidR="007E396D">
        <w:t xml:space="preserve">ction prior to the </w:t>
      </w:r>
      <w:proofErr w:type="gramStart"/>
      <w:r w:rsidR="007E396D">
        <w:t>one month</w:t>
      </w:r>
      <w:proofErr w:type="gramEnd"/>
      <w:r w:rsidR="007E396D">
        <w:t xml:space="preserve"> post-Dose 2 (C4591001) or one month post-</w:t>
      </w:r>
      <w:r>
        <w:t>Dose 3 (C4591007) study blood sample collection. Having no evidence of past SARS-CoV-2 infection was defined as having a negative N-binding antibody (serum) result at the Dose 1, Dose</w:t>
      </w:r>
      <w:r w:rsidR="007E396D">
        <w:t xml:space="preserve"> 3 (C4591007), and one-month post-Dose 2 (C4591001) or one-month post-</w:t>
      </w:r>
      <w:r>
        <w:t xml:space="preserve">Dose 3 (C4591007) study visits; a negative NAAT (nasal swab) result at the Dose 1, Dose 2, and Dose 3 (C4591007) study visits and any </w:t>
      </w:r>
      <w:r w:rsidR="007E396D">
        <w:t>unscheduled visit prior to the one</w:t>
      </w:r>
      <w:r w:rsidR="0057471D">
        <w:t xml:space="preserve"> </w:t>
      </w:r>
      <w:r>
        <w:t>m</w:t>
      </w:r>
      <w:r w:rsidR="0057471D">
        <w:t xml:space="preserve">onth post-Dose 2 (C4591001) or one </w:t>
      </w:r>
      <w:r w:rsidR="007E396D">
        <w:t>month post-</w:t>
      </w:r>
      <w:r>
        <w:t>Dose 3 (C4591007) study blood sample collection; and no medical history of COVID-19.</w:t>
      </w:r>
    </w:p>
    <w:p w14:paraId="348E9D89" w14:textId="77777777" w:rsidR="007E396D" w:rsidRDefault="00476077" w:rsidP="007E396D">
      <w:pPr>
        <w:pStyle w:val="TableDescription"/>
      </w:pPr>
      <w:r>
        <w:t xml:space="preserve">a. n = Number of participants with valid and determinate assay results for the specified assay at the </w:t>
      </w:r>
      <w:r w:rsidR="007E396D">
        <w:t>given dose/sampling time point.</w:t>
      </w:r>
    </w:p>
    <w:p w14:paraId="065E4308" w14:textId="61E7534A" w:rsidR="007E396D" w:rsidRDefault="00476077" w:rsidP="007E396D">
      <w:pPr>
        <w:pStyle w:val="TableDescription"/>
      </w:pPr>
      <w:r>
        <w:t xml:space="preserve">b. GMTs and 2-sided 95% CIs were calculated by exponentiating the mean logarithm of the </w:t>
      </w:r>
      <w:r w:rsidR="007E396D">
        <w:t>titres</w:t>
      </w:r>
      <w:r>
        <w:t xml:space="preserve"> and the corresponding CIs (based on the </w:t>
      </w:r>
      <w:proofErr w:type="gramStart"/>
      <w:r>
        <w:t>Student</w:t>
      </w:r>
      <w:proofErr w:type="gramEnd"/>
      <w:r>
        <w:t xml:space="preserve"> t distribution). Assay results</w:t>
      </w:r>
      <w:r w:rsidR="007E396D">
        <w:t xml:space="preserve"> below the LLOQ were set to 0.5 x </w:t>
      </w:r>
      <w:r>
        <w:t>LLOQ.</w:t>
      </w:r>
    </w:p>
    <w:p w14:paraId="6AF271A2" w14:textId="3E6393E7" w:rsidR="007E396D" w:rsidRDefault="00476077" w:rsidP="007E396D">
      <w:pPr>
        <w:pStyle w:val="TableDescription"/>
      </w:pPr>
      <w:r>
        <w:t>c. GMRs and 2-sided 95% CIs were calculated by exponentiating the mean difference of</w:t>
      </w:r>
      <w:r w:rsidR="007E396D">
        <w:t xml:space="preserve"> the logarithms of the </w:t>
      </w:r>
      <w:r w:rsidR="00455444">
        <w:t>titres</w:t>
      </w:r>
      <w:r w:rsidR="007E396D">
        <w:t xml:space="preserve"> ((</w:t>
      </w:r>
      <w:r w:rsidR="0057471D">
        <w:t>2 years to under</w:t>
      </w:r>
      <w:r w:rsidR="007E396D">
        <w:t xml:space="preserve"> 5 years) minus (16 to 25 years)</w:t>
      </w:r>
      <w:r>
        <w:t xml:space="preserve">) and the corresponding CI (based </w:t>
      </w:r>
      <w:r w:rsidR="007E396D">
        <w:t xml:space="preserve">on the </w:t>
      </w:r>
      <w:proofErr w:type="gramStart"/>
      <w:r w:rsidR="007E396D">
        <w:t>Student</w:t>
      </w:r>
      <w:proofErr w:type="gramEnd"/>
      <w:r w:rsidR="007E396D">
        <w:t> t distribution).</w:t>
      </w:r>
    </w:p>
    <w:p w14:paraId="54922871" w14:textId="2FDFC93B" w:rsidR="00476077" w:rsidRDefault="00476077" w:rsidP="007E396D">
      <w:pPr>
        <w:pStyle w:val="TableDescription"/>
      </w:pPr>
      <w:r>
        <w:t xml:space="preserve">d. </w:t>
      </w:r>
      <w:proofErr w:type="spellStart"/>
      <w:r>
        <w:t>Immunobridging</w:t>
      </w:r>
      <w:proofErr w:type="spellEnd"/>
      <w:r>
        <w:t xml:space="preserve"> is declared if the lower bound of the 2-sided 95% CI for the GMR is &gt; 0.67 and th</w:t>
      </w:r>
      <w:r w:rsidR="007E396D">
        <w:t>e point estimate of the GMR is ≥</w:t>
      </w:r>
      <w:r>
        <w:t xml:space="preserve"> 0.8.</w:t>
      </w:r>
    </w:p>
    <w:p w14:paraId="71EE040A" w14:textId="537A8CBF" w:rsidR="000A7044" w:rsidRPr="00453781" w:rsidRDefault="000A7044" w:rsidP="007E396D">
      <w:pPr>
        <w:pStyle w:val="TableDescription"/>
      </w:pPr>
      <w:r>
        <w:br w:type="page"/>
      </w:r>
    </w:p>
    <w:p w14:paraId="2BC731D2" w14:textId="7D91800A" w:rsidR="00DC56DD" w:rsidRPr="00DC56DD" w:rsidRDefault="00DC56DD" w:rsidP="00DC56DD">
      <w:pPr>
        <w:pStyle w:val="Tabletitle0"/>
      </w:pPr>
      <w:bookmarkStart w:id="71" w:name="_Ref113856129"/>
      <w:r w:rsidRPr="008E5446">
        <w:lastRenderedPageBreak/>
        <w:t xml:space="preserve">Table </w:t>
      </w:r>
      <w:r w:rsidR="00582372">
        <w:fldChar w:fldCharType="begin"/>
      </w:r>
      <w:r w:rsidR="00582372">
        <w:instrText xml:space="preserve"> SEQ Table \* ARABIC </w:instrText>
      </w:r>
      <w:r w:rsidR="00582372">
        <w:fldChar w:fldCharType="separate"/>
      </w:r>
      <w:r w:rsidR="00145C93">
        <w:rPr>
          <w:noProof/>
        </w:rPr>
        <w:t>9</w:t>
      </w:r>
      <w:r w:rsidR="00582372">
        <w:rPr>
          <w:noProof/>
        </w:rPr>
        <w:fldChar w:fldCharType="end"/>
      </w:r>
      <w:bookmarkEnd w:id="71"/>
      <w:r w:rsidRPr="008E5446">
        <w:t xml:space="preserve">: Study C4591007 (Phase II/III, 2 to under 5 years of age (one month after Dose 3) and Study C4591001 (Phase II/III, 16 through 25 years of age (one month after Dose 2). </w:t>
      </w:r>
      <w:r w:rsidRPr="008E5446">
        <w:rPr>
          <w:bCs/>
        </w:rPr>
        <w:t xml:space="preserve">Difference in percentages of participants with </w:t>
      </w:r>
      <w:proofErr w:type="spellStart"/>
      <w:r w:rsidRPr="008E5446">
        <w:rPr>
          <w:bCs/>
        </w:rPr>
        <w:t>seroresponse</w:t>
      </w:r>
      <w:proofErr w:type="spellEnd"/>
      <w:r w:rsidRPr="008E5446">
        <w:rPr>
          <w:bCs/>
        </w:rPr>
        <w:t>, in participants without evidence of infection (</w:t>
      </w:r>
      <w:proofErr w:type="spellStart"/>
      <w:r w:rsidRPr="008E5446">
        <w:rPr>
          <w:bCs/>
        </w:rPr>
        <w:t>immunobridging</w:t>
      </w:r>
      <w:proofErr w:type="spellEnd"/>
      <w:r w:rsidRPr="008E5446">
        <w:rPr>
          <w:bCs/>
        </w:rPr>
        <w:t xml:space="preserve"> subset, evaluable immunogenicity population)</w:t>
      </w:r>
    </w:p>
    <w:p w14:paraId="75C11A49" w14:textId="74832332" w:rsidR="00453781" w:rsidRDefault="00453781" w:rsidP="00453781">
      <w:pPr>
        <w:rPr>
          <w:b/>
          <w:bCs/>
        </w:rPr>
      </w:pPr>
      <w:r w:rsidRPr="00453781">
        <w:rPr>
          <w:b/>
          <w:bCs/>
          <w:noProof/>
          <w:lang w:val="en-GB" w:eastAsia="en-GB"/>
        </w:rPr>
        <w:drawing>
          <wp:inline distT="0" distB="0" distL="0" distR="0" wp14:anchorId="1EA1BCA0" wp14:editId="505CB1D1">
            <wp:extent cx="5166641" cy="1172210"/>
            <wp:effectExtent l="0" t="0" r="0" b="8890"/>
            <wp:docPr id="21" name="Picture 21" descr="Study C4591007 (Phase II/III, 2 to under 5 years of age (one month after Dose 3) and Study C4591001 (Phase II/III, 16 through 25 years of age (one month after Dose 2). Difference in percentages of participants with seroresponse, in participants without evidence of infection (immunobridging sub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rotWithShape="1">
                    <a:blip r:embed="rId30">
                      <a:extLst>
                        <a:ext uri="{28A0092B-C50C-407E-A947-70E740481C1C}">
                          <a14:useLocalDpi xmlns:a14="http://schemas.microsoft.com/office/drawing/2010/main" val="0"/>
                        </a:ext>
                      </a:extLst>
                    </a:blip>
                    <a:srcRect r="1982" b="56991"/>
                    <a:stretch/>
                  </pic:blipFill>
                  <pic:spPr bwMode="auto">
                    <a:xfrm>
                      <a:off x="0" y="0"/>
                      <a:ext cx="5178453" cy="1174890"/>
                    </a:xfrm>
                    <a:prstGeom prst="rect">
                      <a:avLst/>
                    </a:prstGeom>
                    <a:ln>
                      <a:noFill/>
                    </a:ln>
                    <a:extLst>
                      <a:ext uri="{53640926-AAD7-44D8-BBD7-CCE9431645EC}">
                        <a14:shadowObscured xmlns:a14="http://schemas.microsoft.com/office/drawing/2010/main"/>
                      </a:ext>
                    </a:extLst>
                  </pic:spPr>
                </pic:pic>
              </a:graphicData>
            </a:graphic>
          </wp:inline>
        </w:drawing>
      </w:r>
    </w:p>
    <w:p w14:paraId="7425C252" w14:textId="23320B22" w:rsidR="007E396D" w:rsidRDefault="007E396D" w:rsidP="007E396D">
      <w:pPr>
        <w:pStyle w:val="TableDescription"/>
      </w:pPr>
      <w:r w:rsidRPr="007E396D">
        <w:t>Abbreviations: LLOQ = lower limit of quantitation; NAAT = nucleic acid amplification test; N-bin</w:t>
      </w:r>
      <w:r>
        <w:t>ding = SARS-CoV-2 nucleoprotein-</w:t>
      </w:r>
      <w:r w:rsidRPr="007E396D">
        <w:t>binding; NT50 = 50% neutrali</w:t>
      </w:r>
      <w:r>
        <w:t>s</w:t>
      </w:r>
      <w:r w:rsidRPr="007E396D">
        <w:t xml:space="preserve">ing </w:t>
      </w:r>
      <w:r w:rsidR="000A7044" w:rsidRPr="007E396D">
        <w:t>titre</w:t>
      </w:r>
      <w:r w:rsidRPr="007E396D">
        <w:t>; SARS-CoV-2 = severe acute resp</w:t>
      </w:r>
      <w:r>
        <w:t>iratory syndrome coronavirus 2.</w:t>
      </w:r>
    </w:p>
    <w:p w14:paraId="57393266" w14:textId="35699EF5" w:rsidR="008E5446" w:rsidRDefault="007E396D" w:rsidP="007E396D">
      <w:pPr>
        <w:pStyle w:val="TableDescription"/>
      </w:pPr>
      <w:r w:rsidRPr="007E396D">
        <w:t xml:space="preserve">Note: Evaluable population refers to Dose 3 evaluable immunogenicity population for </w:t>
      </w:r>
      <w:r w:rsidR="000A7044">
        <w:t xml:space="preserve">Study </w:t>
      </w:r>
      <w:r w:rsidRPr="007E396D">
        <w:t xml:space="preserve">C4591007 and Dose 2 evaluable immunogenicity population for C4591001. Note: </w:t>
      </w:r>
      <w:proofErr w:type="spellStart"/>
      <w:r w:rsidRPr="007E396D">
        <w:t>Seroresponse</w:t>
      </w:r>
      <w:proofErr w:type="spellEnd"/>
      <w:r w:rsidRPr="007E396D">
        <w:t xml:space="preserve"> is defined as achieving a </w:t>
      </w:r>
      <w:r w:rsidR="008E5446">
        <w:t>≥ </w:t>
      </w:r>
      <w:r w:rsidRPr="007E396D">
        <w:t>4-fold rise from baseline (before Dose 1). If the baseline measurement is below the LLOQ, a</w:t>
      </w:r>
      <w:r w:rsidR="008E5446">
        <w:t xml:space="preserve"> postvaccination assay result ≥ </w:t>
      </w:r>
      <w:r w:rsidRPr="007E396D">
        <w:t xml:space="preserve">4 x LLOQ is considered a </w:t>
      </w:r>
      <w:proofErr w:type="spellStart"/>
      <w:r w:rsidRPr="007E396D">
        <w:t>seroresponse</w:t>
      </w:r>
      <w:proofErr w:type="spellEnd"/>
      <w:r w:rsidRPr="007E396D">
        <w:t>. Note: Participants included in this analysis had no serological or virological evidence of past SARS-CoV-2 infe</w:t>
      </w:r>
      <w:r w:rsidR="008E5446">
        <w:t xml:space="preserve">ction prior to the </w:t>
      </w:r>
      <w:proofErr w:type="gramStart"/>
      <w:r w:rsidR="008E5446">
        <w:t>one month</w:t>
      </w:r>
      <w:proofErr w:type="gramEnd"/>
      <w:r w:rsidR="008E5446">
        <w:t xml:space="preserve"> post-Dose 2 (</w:t>
      </w:r>
      <w:r w:rsidR="000A7044">
        <w:t xml:space="preserve">Study </w:t>
      </w:r>
      <w:r w:rsidR="008E5446">
        <w:t>C4591001) or one month post-</w:t>
      </w:r>
      <w:r w:rsidRPr="007E396D">
        <w:t>Dose 3 (</w:t>
      </w:r>
      <w:r w:rsidR="000A7044">
        <w:t xml:space="preserve">Study </w:t>
      </w:r>
      <w:r w:rsidRPr="007E396D">
        <w:t xml:space="preserve">C4591007) study blood sample collection. Having no evidence of past SARS-CoV-2 infection was defined as having a negative N-binding antibody (serum) result at the </w:t>
      </w:r>
      <w:r w:rsidR="008E5446">
        <w:t>Dose 1, Dose 3 (</w:t>
      </w:r>
      <w:r w:rsidR="000A7044">
        <w:t xml:space="preserve">Study </w:t>
      </w:r>
      <w:r w:rsidR="008E5446">
        <w:t>C4591007), and one-month post-</w:t>
      </w:r>
      <w:r w:rsidRPr="007E396D">
        <w:t>Do</w:t>
      </w:r>
      <w:r w:rsidR="008E5446">
        <w:t>se 2 (</w:t>
      </w:r>
      <w:r w:rsidR="000A7044">
        <w:t>Study </w:t>
      </w:r>
      <w:r w:rsidR="008E5446">
        <w:t>C4591001) or one month post-</w:t>
      </w:r>
      <w:r w:rsidRPr="007E396D">
        <w:t>Dose 3 (C4591007) study visits; a negative NAAT (nasal swab) result at the Dose 1, Dose 2, and Dose 3 (</w:t>
      </w:r>
      <w:r w:rsidR="000A7044">
        <w:t xml:space="preserve">Study </w:t>
      </w:r>
      <w:r w:rsidRPr="007E396D">
        <w:t>C4591007) study visits and any unscheduled visit prior to t</w:t>
      </w:r>
      <w:r w:rsidR="008E5446">
        <w:t>he one month post-Dose 2 (</w:t>
      </w:r>
      <w:r w:rsidR="000A7044">
        <w:t xml:space="preserve">Study </w:t>
      </w:r>
      <w:r w:rsidR="008E5446">
        <w:t>C4591001) or one month post-</w:t>
      </w:r>
      <w:r w:rsidRPr="007E396D">
        <w:t>Dose 3 (</w:t>
      </w:r>
      <w:r w:rsidR="000A7044">
        <w:t xml:space="preserve">Study </w:t>
      </w:r>
      <w:r w:rsidRPr="007E396D">
        <w:t xml:space="preserve">C4591007) study blood sample collection; and </w:t>
      </w:r>
      <w:r w:rsidR="008E5446">
        <w:t>no medical history of COVID</w:t>
      </w:r>
      <w:r w:rsidR="008E5446">
        <w:noBreakHyphen/>
        <w:t>19.</w:t>
      </w:r>
    </w:p>
    <w:p w14:paraId="31E42CDA" w14:textId="77777777" w:rsidR="008E5446" w:rsidRDefault="007E396D" w:rsidP="007E396D">
      <w:pPr>
        <w:pStyle w:val="TableDescription"/>
      </w:pPr>
      <w:r w:rsidRPr="007E396D">
        <w:t>a. N = number of participants with valid and determinate assay results for the specified assay both before vaccination and at the given dose/sampling time point. These values are the denominators f</w:t>
      </w:r>
      <w:r w:rsidR="008E5446">
        <w:t>or the percentage calculations.</w:t>
      </w:r>
    </w:p>
    <w:p w14:paraId="31D8E225" w14:textId="77777777" w:rsidR="008E5446" w:rsidRDefault="007E396D" w:rsidP="007E396D">
      <w:pPr>
        <w:pStyle w:val="TableDescription"/>
      </w:pPr>
      <w:r w:rsidRPr="007E396D">
        <w:t xml:space="preserve">b. n = Number of participants with </w:t>
      </w:r>
      <w:proofErr w:type="spellStart"/>
      <w:r w:rsidRPr="007E396D">
        <w:t>seroresponse</w:t>
      </w:r>
      <w:proofErr w:type="spellEnd"/>
      <w:r w:rsidRPr="007E396D">
        <w:t xml:space="preserve"> for the given assay at the </w:t>
      </w:r>
      <w:r w:rsidR="008E5446">
        <w:t>given dose/sampling time point.</w:t>
      </w:r>
    </w:p>
    <w:p w14:paraId="3A6B2052" w14:textId="77777777" w:rsidR="008E5446" w:rsidRDefault="007E396D" w:rsidP="007E396D">
      <w:pPr>
        <w:pStyle w:val="TableDescription"/>
      </w:pPr>
      <w:r w:rsidRPr="007E396D">
        <w:t xml:space="preserve">c. Exact 2-sided CI based on the Clopper </w:t>
      </w:r>
      <w:r w:rsidR="008E5446">
        <w:t>and Pearson method.</w:t>
      </w:r>
    </w:p>
    <w:p w14:paraId="5F442567" w14:textId="77777777" w:rsidR="008E5446" w:rsidRDefault="007E396D" w:rsidP="007E396D">
      <w:pPr>
        <w:pStyle w:val="TableDescription"/>
      </w:pPr>
      <w:r w:rsidRPr="007E396D">
        <w:t>d. Difference in proportions, e</w:t>
      </w:r>
      <w:r w:rsidR="008E5446">
        <w:t>xpressed as a percentage (2 to under 5 years minus 16 to 25 years).</w:t>
      </w:r>
    </w:p>
    <w:p w14:paraId="65EA3A03" w14:textId="2F295239" w:rsidR="00476077" w:rsidRPr="00453781" w:rsidRDefault="007E396D" w:rsidP="007E396D">
      <w:pPr>
        <w:pStyle w:val="TableDescription"/>
      </w:pPr>
      <w:r w:rsidRPr="007E396D">
        <w:t xml:space="preserve">e. 2-Sided CI, based on the Miettinen and </w:t>
      </w:r>
      <w:proofErr w:type="spellStart"/>
      <w:r w:rsidRPr="007E396D">
        <w:t>Nurminen</w:t>
      </w:r>
      <w:proofErr w:type="spellEnd"/>
      <w:r w:rsidRPr="007E396D">
        <w:t xml:space="preserve"> method for the difference in proportions, expressed as a percentage.</w:t>
      </w:r>
    </w:p>
    <w:p w14:paraId="67CF0D0B" w14:textId="5014B718" w:rsidR="00453781" w:rsidRPr="00453781" w:rsidRDefault="00DC56DD" w:rsidP="001E5818">
      <w:pPr>
        <w:pStyle w:val="Heading6"/>
      </w:pPr>
      <w:r>
        <w:t>Children 6 months to under 2 years of a</w:t>
      </w:r>
      <w:r w:rsidR="00453781" w:rsidRPr="00453781">
        <w:t>ge</w:t>
      </w:r>
    </w:p>
    <w:p w14:paraId="0D344AE5" w14:textId="0FDEB925" w:rsidR="00453781" w:rsidRPr="00453781" w:rsidRDefault="00453781" w:rsidP="00453781">
      <w:r w:rsidRPr="00453781">
        <w:t xml:space="preserve">The Dose 3 evaluable immunogenicity population included 132 children </w:t>
      </w:r>
      <w:r w:rsidR="00DC56DD">
        <w:t xml:space="preserve">6 months to under </w:t>
      </w:r>
      <w:r w:rsidRPr="00DC56DD">
        <w:t>2 years of age</w:t>
      </w:r>
      <w:r w:rsidRPr="00453781">
        <w:t xml:space="preserve"> who received three doses of </w:t>
      </w:r>
      <w:r w:rsidR="00DC56DD">
        <w:t>Comirnaty vaccine</w:t>
      </w:r>
      <w:r w:rsidRPr="00453781">
        <w:t xml:space="preserve"> 3</w:t>
      </w:r>
      <w:r w:rsidR="00727EE6">
        <w:t xml:space="preserve"> </w:t>
      </w:r>
      <w:proofErr w:type="spellStart"/>
      <w:r w:rsidR="00727EE6">
        <w:t>μg</w:t>
      </w:r>
      <w:proofErr w:type="spellEnd"/>
      <w:r w:rsidRPr="00453781">
        <w:t xml:space="preserve"> and 67 who received placebo, of whom 82 and 49 participants, respectively, were without prior evidence of SARS-CoV-2 infection up to 1 month after Dose</w:t>
      </w:r>
      <w:r w:rsidR="00DC56DD">
        <w:t xml:space="preserve"> 3. The comparator group of </w:t>
      </w:r>
      <w:proofErr w:type="gramStart"/>
      <w:r w:rsidR="00DC56DD">
        <w:t xml:space="preserve">16 to 25 year </w:t>
      </w:r>
      <w:proofErr w:type="spellStart"/>
      <w:r w:rsidRPr="00453781">
        <w:t>olds</w:t>
      </w:r>
      <w:proofErr w:type="spellEnd"/>
      <w:proofErr w:type="gramEnd"/>
      <w:r w:rsidRPr="00453781">
        <w:t xml:space="preserve"> is the same adult group used for </w:t>
      </w:r>
      <w:proofErr w:type="spellStart"/>
      <w:r w:rsidRPr="00453781">
        <w:t>immunobridging</w:t>
      </w:r>
      <w:proofErr w:type="spellEnd"/>
      <w:r w:rsidRPr="00453781">
        <w:t xml:space="preserve"> analy</w:t>
      </w:r>
      <w:r w:rsidR="00DC56DD">
        <w:t xml:space="preserve">sis for the 2 to under </w:t>
      </w:r>
      <w:r w:rsidRPr="00453781">
        <w:t>5 years of age group.</w:t>
      </w:r>
    </w:p>
    <w:p w14:paraId="2A29FC40" w14:textId="59D5A8A8" w:rsidR="00453781" w:rsidRDefault="00453781" w:rsidP="00453781">
      <w:r w:rsidRPr="00453781">
        <w:t>Similar to older childre</w:t>
      </w:r>
      <w:r w:rsidRPr="00DC56DD">
        <w:t>n (</w:t>
      </w:r>
      <w:r w:rsidR="00DC56DD">
        <w:t xml:space="preserve">2 to under </w:t>
      </w:r>
      <w:r w:rsidRPr="00DC56DD">
        <w:t>5 years of age</w:t>
      </w:r>
      <w:r w:rsidRPr="00453781">
        <w:t>) in younger participants the observed GMT progressively increased with 2 and 3 doses of</w:t>
      </w:r>
      <w:r w:rsidR="00DC56DD">
        <w:t xml:space="preserve"> vaccination, to be 1406.5 at </w:t>
      </w:r>
      <w:proofErr w:type="gramStart"/>
      <w:r w:rsidR="00DC56DD">
        <w:t>one month</w:t>
      </w:r>
      <w:proofErr w:type="gramEnd"/>
      <w:r w:rsidR="00DC56DD">
        <w:t xml:space="preserve"> post-Dose 3 (see </w:t>
      </w:r>
      <w:r w:rsidR="00DC56DD">
        <w:fldChar w:fldCharType="begin"/>
      </w:r>
      <w:r w:rsidR="00DC56DD">
        <w:instrText xml:space="preserve"> REF _Ref113855770 \h </w:instrText>
      </w:r>
      <w:r w:rsidR="00DC56DD">
        <w:fldChar w:fldCharType="separate"/>
      </w:r>
      <w:r w:rsidR="00145C93">
        <w:t xml:space="preserve">Figure </w:t>
      </w:r>
      <w:r w:rsidR="00145C93">
        <w:rPr>
          <w:noProof/>
        </w:rPr>
        <w:t>7</w:t>
      </w:r>
      <w:r w:rsidR="00DC56DD">
        <w:fldChar w:fldCharType="end"/>
      </w:r>
      <w:r w:rsidR="00DC56DD">
        <w:t>, below).</w:t>
      </w:r>
    </w:p>
    <w:p w14:paraId="5B08E376" w14:textId="57D4807E" w:rsidR="000A7044" w:rsidRPr="00453781" w:rsidRDefault="000A7044" w:rsidP="00453781">
      <w:r>
        <w:br w:type="page"/>
      </w:r>
    </w:p>
    <w:p w14:paraId="5FD9435E" w14:textId="56C294AA" w:rsidR="00DC56DD" w:rsidRDefault="00DC56DD" w:rsidP="00DC56DD">
      <w:pPr>
        <w:pStyle w:val="FigureTitle"/>
      </w:pPr>
      <w:bookmarkStart w:id="72" w:name="_Ref113855770"/>
      <w:r>
        <w:lastRenderedPageBreak/>
        <w:t xml:space="preserve">Figure </w:t>
      </w:r>
      <w:r w:rsidR="00582372">
        <w:fldChar w:fldCharType="begin"/>
      </w:r>
      <w:r w:rsidR="00582372">
        <w:instrText xml:space="preserve"> SEQ Figure \* ARABIC </w:instrText>
      </w:r>
      <w:r w:rsidR="00582372">
        <w:fldChar w:fldCharType="separate"/>
      </w:r>
      <w:r w:rsidR="00145C93">
        <w:rPr>
          <w:noProof/>
        </w:rPr>
        <w:t>7</w:t>
      </w:r>
      <w:r w:rsidR="00582372">
        <w:rPr>
          <w:noProof/>
        </w:rPr>
        <w:fldChar w:fldCharType="end"/>
      </w:r>
      <w:bookmarkEnd w:id="72"/>
      <w:r>
        <w:t xml:space="preserve">: </w:t>
      </w:r>
      <w:r w:rsidRPr="004E104B">
        <w:t>Study C4591007 (Phase</w:t>
      </w:r>
      <w:r>
        <w:t xml:space="preserve"> II/III; 6 months to under 2</w:t>
      </w:r>
      <w:r w:rsidR="000A7044">
        <w:t xml:space="preserve"> years of age) and Study </w:t>
      </w:r>
      <w:r w:rsidRPr="004E104B">
        <w:t>C4591001 (Phase II/III; 16 to 25 years of a</w:t>
      </w:r>
      <w:r w:rsidR="000A7044">
        <w:t>ge) Geometric mean titres, SARS</w:t>
      </w:r>
      <w:r w:rsidR="000A7044">
        <w:noBreakHyphen/>
      </w:r>
      <w:r w:rsidRPr="004E104B">
        <w:t xml:space="preserve">CoV-2 neutralisation assay (NT50). Participants without evidence of infection; </w:t>
      </w:r>
      <w:r w:rsidR="008E5446">
        <w:t>(</w:t>
      </w:r>
      <w:proofErr w:type="spellStart"/>
      <w:r w:rsidR="008E5446">
        <w:t>immunobridging</w:t>
      </w:r>
      <w:proofErr w:type="spellEnd"/>
      <w:r w:rsidR="008E5446">
        <w:t xml:space="preserve"> subset, </w:t>
      </w:r>
      <w:r w:rsidRPr="004E104B">
        <w:t>evaluable immunogenicity population)</w:t>
      </w:r>
    </w:p>
    <w:p w14:paraId="5FD308A5" w14:textId="6BAA0988" w:rsidR="00453781" w:rsidRDefault="00453781" w:rsidP="00453781">
      <w:pPr>
        <w:rPr>
          <w:b/>
          <w:bCs/>
        </w:rPr>
      </w:pPr>
      <w:r w:rsidRPr="00453781">
        <w:rPr>
          <w:b/>
          <w:bCs/>
          <w:noProof/>
          <w:lang w:val="en-GB" w:eastAsia="en-GB"/>
        </w:rPr>
        <w:drawing>
          <wp:inline distT="0" distB="0" distL="0" distR="0" wp14:anchorId="228B7382" wp14:editId="0EC63086">
            <wp:extent cx="5390515" cy="2126120"/>
            <wp:effectExtent l="0" t="0" r="635" b="7620"/>
            <wp:docPr id="25" name="Picture 25" descr="Study C4591007 (Phase II/III; 6 months to under 2 years of age) and Study C4591001 (Phase II/III; 16 to 25 years of age) Geometric mean titres, SARS-CoV-2 neutralisation assay (NT50). Participants without evidence of infection; (immunobridging sub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rotWithShape="1">
                    <a:blip r:embed="rId31">
                      <a:extLst>
                        <a:ext uri="{28A0092B-C50C-407E-A947-70E740481C1C}">
                          <a14:useLocalDpi xmlns:a14="http://schemas.microsoft.com/office/drawing/2010/main" val="0"/>
                        </a:ext>
                      </a:extLst>
                    </a:blip>
                    <a:srcRect b="18811"/>
                    <a:stretch/>
                  </pic:blipFill>
                  <pic:spPr bwMode="auto">
                    <a:xfrm>
                      <a:off x="0" y="0"/>
                      <a:ext cx="5411264" cy="2134304"/>
                    </a:xfrm>
                    <a:prstGeom prst="rect">
                      <a:avLst/>
                    </a:prstGeom>
                    <a:ln>
                      <a:noFill/>
                    </a:ln>
                    <a:extLst>
                      <a:ext uri="{53640926-AAD7-44D8-BBD7-CCE9431645EC}">
                        <a14:shadowObscured xmlns:a14="http://schemas.microsoft.com/office/drawing/2010/main"/>
                      </a:ext>
                    </a:extLst>
                  </pic:spPr>
                </pic:pic>
              </a:graphicData>
            </a:graphic>
          </wp:inline>
        </w:drawing>
      </w:r>
    </w:p>
    <w:p w14:paraId="753C8FE7" w14:textId="00B233C1" w:rsidR="00455444" w:rsidRDefault="00455444" w:rsidP="00455444">
      <w:pPr>
        <w:pStyle w:val="FigureDescription"/>
      </w:pPr>
      <w:r>
        <w:t>Abbreviations: GMT = geometric mean titre; NAAT = nucleic aci</w:t>
      </w:r>
      <w:r w:rsidR="000A7044">
        <w:t>d amplification test; N</w:t>
      </w:r>
      <w:r w:rsidR="000A7044">
        <w:noBreakHyphen/>
        <w:t>binding = </w:t>
      </w:r>
      <w:r>
        <w:t>SARS</w:t>
      </w:r>
      <w:r>
        <w:noBreakHyphen/>
        <w:t>CoV-2 nucleoprotein-binding; NT50 = 50% neutralising titre; SARS-CoV-2 = severe acute respiratory syndrome coronavirus 2.</w:t>
      </w:r>
    </w:p>
    <w:p w14:paraId="77F872B8" w14:textId="7FFC4B62" w:rsidR="00455444" w:rsidRPr="00453781" w:rsidRDefault="00455444" w:rsidP="00455444">
      <w:pPr>
        <w:pStyle w:val="FigureDescription"/>
      </w:pPr>
      <w:r>
        <w:t>Note: Evaluable population refers to Dose 3 evaluable immunogenicity population for Study C4591007 and Dose 2 evaluable immunogenicity population for Study C4591001. Number within each bar denotes geometric mean.</w:t>
      </w:r>
    </w:p>
    <w:p w14:paraId="3DFF8F56" w14:textId="4BD66629" w:rsidR="00453781" w:rsidRDefault="00453781" w:rsidP="00453781">
      <w:r w:rsidRPr="00453781">
        <w:t>The GM</w:t>
      </w:r>
      <w:r w:rsidR="00DC56DD">
        <w:t>R of subjects aged 6 months to under</w:t>
      </w:r>
      <w:r w:rsidRPr="00453781">
        <w:t xml:space="preserve"> </w:t>
      </w:r>
      <w:r w:rsidR="00DC56DD">
        <w:t xml:space="preserve">2 years relative to those of 16 to </w:t>
      </w:r>
      <w:r w:rsidRPr="00453781">
        <w:t xml:space="preserve">25 years of age </w:t>
      </w:r>
      <w:r w:rsidR="00DC56DD">
        <w:t xml:space="preserve">group </w:t>
      </w:r>
      <w:r w:rsidRPr="00453781">
        <w:t>was 1.19 (2-sided 95% CI: 1.00, 1.42) (</w:t>
      </w:r>
      <w:r w:rsidR="001E492F">
        <w:t xml:space="preserve">see </w:t>
      </w:r>
      <w:r w:rsidR="001E492F">
        <w:fldChar w:fldCharType="begin"/>
      </w:r>
      <w:r w:rsidR="001E492F">
        <w:instrText xml:space="preserve"> REF _Ref113855953 \h </w:instrText>
      </w:r>
      <w:r w:rsidR="001E492F">
        <w:fldChar w:fldCharType="separate"/>
      </w:r>
      <w:r w:rsidR="00145C93" w:rsidRPr="00455444">
        <w:t xml:space="preserve">Table </w:t>
      </w:r>
      <w:r w:rsidR="00145C93">
        <w:rPr>
          <w:noProof/>
        </w:rPr>
        <w:t>10</w:t>
      </w:r>
      <w:r w:rsidR="001E492F">
        <w:fldChar w:fldCharType="end"/>
      </w:r>
      <w:r w:rsidR="001E492F">
        <w:t>, below</w:t>
      </w:r>
      <w:r w:rsidRPr="00453781">
        <w:t xml:space="preserve">). This met the </w:t>
      </w:r>
      <w:proofErr w:type="spellStart"/>
      <w:r w:rsidRPr="00453781">
        <w:t>immunobridging</w:t>
      </w:r>
      <w:proofErr w:type="spellEnd"/>
      <w:r w:rsidRPr="00453781">
        <w:t xml:space="preserve"> objective for success, with the lower bound of the 95% CI being &gt; 0.67 and the point estimate ≥ 0.8 (≥ 1.0 as preferred by the US FDA).  The difference in </w:t>
      </w:r>
      <w:proofErr w:type="spellStart"/>
      <w:r w:rsidRPr="00453781">
        <w:t>seroresponse</w:t>
      </w:r>
      <w:proofErr w:type="spellEnd"/>
      <w:r w:rsidRPr="00453781">
        <w:t xml:space="preserve"> rates in children 6 months to &lt; 2 years and young adults 16-25 years age was 1.2% (2-sided 95% CI: -3.4%, 4.2%) (</w:t>
      </w:r>
      <w:r w:rsidR="00DC56DD">
        <w:t xml:space="preserve">see </w:t>
      </w:r>
      <w:r w:rsidR="001E492F">
        <w:fldChar w:fldCharType="begin"/>
      </w:r>
      <w:r w:rsidR="001E492F">
        <w:instrText xml:space="preserve"> REF _Ref113856286 \h </w:instrText>
      </w:r>
      <w:r w:rsidR="001E492F">
        <w:fldChar w:fldCharType="separate"/>
      </w:r>
      <w:r w:rsidR="00145C93" w:rsidRPr="00455444">
        <w:t xml:space="preserve">Table </w:t>
      </w:r>
      <w:r w:rsidR="00145C93">
        <w:rPr>
          <w:noProof/>
        </w:rPr>
        <w:t>11</w:t>
      </w:r>
      <w:r w:rsidR="001E492F">
        <w:fldChar w:fldCharType="end"/>
      </w:r>
      <w:r w:rsidR="00DC56DD">
        <w:fldChar w:fldCharType="begin"/>
      </w:r>
      <w:r w:rsidR="00DC56DD">
        <w:instrText xml:space="preserve"> REF _Ref113855953 \h </w:instrText>
      </w:r>
      <w:r w:rsidR="00DC56DD">
        <w:fldChar w:fldCharType="separate"/>
      </w:r>
      <w:r w:rsidR="00145C93" w:rsidRPr="00455444">
        <w:t xml:space="preserve">Table </w:t>
      </w:r>
      <w:r w:rsidR="00145C93">
        <w:rPr>
          <w:noProof/>
        </w:rPr>
        <w:t>10</w:t>
      </w:r>
      <w:r w:rsidR="00DC56DD">
        <w:fldChar w:fldCharType="end"/>
      </w:r>
      <w:r w:rsidR="00DC56DD">
        <w:t>, below</w:t>
      </w:r>
      <w:r w:rsidRPr="00453781">
        <w:t xml:space="preserve">). As the pre-specified criteria for </w:t>
      </w:r>
      <w:proofErr w:type="spellStart"/>
      <w:r w:rsidRPr="00453781">
        <w:t>immunobridging</w:t>
      </w:r>
      <w:proofErr w:type="spellEnd"/>
      <w:r w:rsidRPr="00453781">
        <w:t xml:space="preserve"> based on GMR were met (a prerequisite) and the lower bound of the 95% CI for the difference in </w:t>
      </w:r>
      <w:proofErr w:type="spellStart"/>
      <w:r w:rsidRPr="00453781">
        <w:t>seroresponse</w:t>
      </w:r>
      <w:proofErr w:type="spellEnd"/>
      <w:r w:rsidRPr="00453781">
        <w:t xml:space="preserve"> rates was greater than -10.0%, the criteria for non-inferi</w:t>
      </w:r>
      <w:r w:rsidR="000A7044">
        <w:t xml:space="preserve">ority </w:t>
      </w:r>
      <w:proofErr w:type="gramStart"/>
      <w:r w:rsidR="000A7044">
        <w:t>was</w:t>
      </w:r>
      <w:proofErr w:type="gramEnd"/>
      <w:r w:rsidR="000A7044">
        <w:t xml:space="preserve"> met.</w:t>
      </w:r>
    </w:p>
    <w:p w14:paraId="0D1AACE3" w14:textId="40C19FF9" w:rsidR="000A7044" w:rsidRPr="00453781" w:rsidRDefault="000A7044" w:rsidP="00453781">
      <w:r>
        <w:br w:type="page"/>
      </w:r>
    </w:p>
    <w:p w14:paraId="42E06747" w14:textId="0BB0A6BC" w:rsidR="00455444" w:rsidRPr="00455444" w:rsidRDefault="00DC56DD" w:rsidP="00455444">
      <w:pPr>
        <w:pStyle w:val="Tabletitle0"/>
      </w:pPr>
      <w:bookmarkStart w:id="73" w:name="_Ref113855953"/>
      <w:r w:rsidRPr="00455444">
        <w:lastRenderedPageBreak/>
        <w:t xml:space="preserve">Table </w:t>
      </w:r>
      <w:r w:rsidR="00582372">
        <w:fldChar w:fldCharType="begin"/>
      </w:r>
      <w:r w:rsidR="00582372">
        <w:instrText xml:space="preserve"> SEQ Table \* ARABIC </w:instrText>
      </w:r>
      <w:r w:rsidR="00582372">
        <w:fldChar w:fldCharType="separate"/>
      </w:r>
      <w:r w:rsidR="00145C93">
        <w:rPr>
          <w:noProof/>
        </w:rPr>
        <w:t>10</w:t>
      </w:r>
      <w:r w:rsidR="00582372">
        <w:rPr>
          <w:noProof/>
        </w:rPr>
        <w:fldChar w:fldCharType="end"/>
      </w:r>
      <w:bookmarkEnd w:id="73"/>
      <w:r w:rsidRPr="00455444">
        <w:t>: Study C4591007 (Phase II/III, 6 months to under 2 years of age (one month after Dose 3) and Study C4591001 (Phase II/III, 16 through 25 years of age (one month after Dose 2). Summary of geometric mean ratios (NT50); participants without evidence of infection (</w:t>
      </w:r>
      <w:proofErr w:type="spellStart"/>
      <w:r w:rsidRPr="00455444">
        <w:t>immunobridging</w:t>
      </w:r>
      <w:proofErr w:type="spellEnd"/>
      <w:r w:rsidRPr="00455444">
        <w:t xml:space="preserve"> subset; evaluable </w:t>
      </w:r>
      <w:proofErr w:type="gramStart"/>
      <w:r w:rsidRPr="00455444">
        <w:t>immunogenicity  population</w:t>
      </w:r>
      <w:proofErr w:type="gramEnd"/>
      <w:r w:rsidRPr="00455444">
        <w:t>)</w:t>
      </w:r>
    </w:p>
    <w:p w14:paraId="51D15A5E" w14:textId="3210A03F" w:rsidR="00453781" w:rsidRDefault="00453781" w:rsidP="00453781">
      <w:pPr>
        <w:rPr>
          <w:b/>
          <w:bCs/>
        </w:rPr>
      </w:pPr>
      <w:r w:rsidRPr="00453781">
        <w:rPr>
          <w:b/>
          <w:bCs/>
          <w:noProof/>
          <w:lang w:val="en-GB" w:eastAsia="en-GB"/>
        </w:rPr>
        <w:drawing>
          <wp:inline distT="0" distB="0" distL="0" distR="0" wp14:anchorId="1D86A6C3" wp14:editId="3640F295">
            <wp:extent cx="5300525" cy="1447333"/>
            <wp:effectExtent l="0" t="0" r="0" b="635"/>
            <wp:docPr id="22" name="Picture 22" descr="Study C4591007 (Phase II/III, 6 months to under 2 years of age (one month after Dose 3) and Study C4591001 (Phase II/III, 16 through 25 years of age (one month after Dose 2). Summary of geometric mean ratios (NT50); participants without evidence of infection (immunobridging sub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rotWithShape="1">
                    <a:blip r:embed="rId32">
                      <a:extLst>
                        <a:ext uri="{28A0092B-C50C-407E-A947-70E740481C1C}">
                          <a14:useLocalDpi xmlns:a14="http://schemas.microsoft.com/office/drawing/2010/main" val="0"/>
                        </a:ext>
                      </a:extLst>
                    </a:blip>
                    <a:srcRect b="49226"/>
                    <a:stretch/>
                  </pic:blipFill>
                  <pic:spPr bwMode="auto">
                    <a:xfrm>
                      <a:off x="0" y="0"/>
                      <a:ext cx="5310639" cy="1450095"/>
                    </a:xfrm>
                    <a:prstGeom prst="rect">
                      <a:avLst/>
                    </a:prstGeom>
                    <a:ln>
                      <a:noFill/>
                    </a:ln>
                    <a:extLst>
                      <a:ext uri="{53640926-AAD7-44D8-BBD7-CCE9431645EC}">
                        <a14:shadowObscured xmlns:a14="http://schemas.microsoft.com/office/drawing/2010/main"/>
                      </a:ext>
                    </a:extLst>
                  </pic:spPr>
                </pic:pic>
              </a:graphicData>
            </a:graphic>
          </wp:inline>
        </w:drawing>
      </w:r>
    </w:p>
    <w:p w14:paraId="7FA3B26E" w14:textId="77777777" w:rsidR="00455444" w:rsidRDefault="00455444" w:rsidP="00455444">
      <w:pPr>
        <w:pStyle w:val="TableDescription"/>
        <w:keepNext/>
      </w:pPr>
      <w:r>
        <w:t>Abbreviations: GMR = geometric mean ratio; GMT = geometric mean titre; LLOQ = lower limit of quantitation; NAAT = nucleic acid amplification test; N-binding = SARS-CoV-2 nucleoprotein-binding; NT50 = 50% neutralising titre; SARS-CoV-2 = severe acute respiratory syndrome coronavirus 2.</w:t>
      </w:r>
    </w:p>
    <w:p w14:paraId="46012CC2" w14:textId="77777777" w:rsidR="00455444" w:rsidRDefault="00455444" w:rsidP="00455444">
      <w:pPr>
        <w:pStyle w:val="TableDescription"/>
        <w:keepNext/>
      </w:pPr>
      <w:r>
        <w:t>Note: Evaluable population refers to Dose 3 evaluable immunogenicity population for Study C4591007 and Dose 2 evaluable immunogenicity population for Study C4591001.</w:t>
      </w:r>
    </w:p>
    <w:p w14:paraId="361EDFA0" w14:textId="09D01C6A" w:rsidR="00455444" w:rsidRDefault="00455444" w:rsidP="00455444">
      <w:pPr>
        <w:pStyle w:val="TableDescription"/>
        <w:keepNext/>
      </w:pPr>
      <w:r>
        <w:t xml:space="preserve">Participants included in this analysis had no serological or virological evidence of past SARS-CoV-2 infection prior to the </w:t>
      </w:r>
      <w:proofErr w:type="gramStart"/>
      <w:r>
        <w:t>one month</w:t>
      </w:r>
      <w:proofErr w:type="gramEnd"/>
      <w:r>
        <w:t xml:space="preserve"> post-Dose 2 (</w:t>
      </w:r>
      <w:r w:rsidR="000A7044">
        <w:t xml:space="preserve">Study </w:t>
      </w:r>
      <w:r>
        <w:t>C4591001) or one month post-Dose 3 (</w:t>
      </w:r>
      <w:r w:rsidR="000A7044">
        <w:t>Study </w:t>
      </w:r>
      <w:r>
        <w:t>C4591007) study blood sample collection. Having no evidence of past SARS-CoV-2 infection was defined as having a negative N-binding antibody (serum) result at the Dose 1, Dose 3 (</w:t>
      </w:r>
      <w:r w:rsidR="000A7044">
        <w:t xml:space="preserve">Study </w:t>
      </w:r>
      <w:r>
        <w:t>C4591007), and one-mont</w:t>
      </w:r>
      <w:r w:rsidR="0057471D">
        <w:t>h post-Dose 2 (</w:t>
      </w:r>
      <w:r w:rsidR="000A7044">
        <w:t xml:space="preserve">Study </w:t>
      </w:r>
      <w:r w:rsidR="0057471D">
        <w:t xml:space="preserve">C4591001) or one </w:t>
      </w:r>
      <w:r>
        <w:t>month post-Dose 3 (C4591007) study visits; a negative NAAT (nasal swab) result at the Dose 1, Dose 2, and Dose 3 (</w:t>
      </w:r>
      <w:r w:rsidR="000A7044">
        <w:t xml:space="preserve">Study </w:t>
      </w:r>
      <w:r>
        <w:t>C4591007) study visits and any unscheduled vi</w:t>
      </w:r>
      <w:r w:rsidR="0057471D">
        <w:t>sit prior to the one month post-</w:t>
      </w:r>
      <w:r>
        <w:t>Dose 2 (</w:t>
      </w:r>
      <w:r w:rsidR="000A7044">
        <w:t xml:space="preserve">Study </w:t>
      </w:r>
      <w:r>
        <w:t>C4591001) or one-month post-Dose 3 (</w:t>
      </w:r>
      <w:r w:rsidR="000A7044">
        <w:t xml:space="preserve">Study </w:t>
      </w:r>
      <w:r>
        <w:t>C4591007) study blood sample collection; and no medical history of COVID-19.</w:t>
      </w:r>
    </w:p>
    <w:p w14:paraId="5975CC19" w14:textId="77777777" w:rsidR="00455444" w:rsidRDefault="00455444" w:rsidP="00455444">
      <w:pPr>
        <w:pStyle w:val="TableDescription"/>
      </w:pPr>
      <w:r>
        <w:t>a. n = Number of participants with valid and determinate assay results for the specified assay at the given dose/sampling time point.</w:t>
      </w:r>
    </w:p>
    <w:p w14:paraId="1723C628" w14:textId="77777777" w:rsidR="00455444" w:rsidRDefault="00455444" w:rsidP="00455444">
      <w:pPr>
        <w:pStyle w:val="TableDescription"/>
      </w:pPr>
      <w:r>
        <w:t xml:space="preserve">b. GMTs and 2-sided 95% CIs were calculated by exponentiating the mean logarithm of the titres and the corresponding CIs (based on the </w:t>
      </w:r>
      <w:proofErr w:type="gramStart"/>
      <w:r>
        <w:t>Student</w:t>
      </w:r>
      <w:proofErr w:type="gramEnd"/>
      <w:r>
        <w:t xml:space="preserve"> t distribution). Assay results below the LLOQ were set to 0.5 x LLOQ.</w:t>
      </w:r>
    </w:p>
    <w:p w14:paraId="5275B5A9" w14:textId="77777777" w:rsidR="00455444" w:rsidRDefault="00455444" w:rsidP="00455444">
      <w:pPr>
        <w:pStyle w:val="TableDescription"/>
      </w:pPr>
      <w:r>
        <w:t xml:space="preserve">c. GMRs and 2-sided 95% CIs were calculated by exponentiating the mean difference of the logarithms of the titres ((2 years to &lt; 5 years) minus (16 to 25 years)) and the corresponding CI (based on the </w:t>
      </w:r>
      <w:proofErr w:type="gramStart"/>
      <w:r>
        <w:t>Student</w:t>
      </w:r>
      <w:proofErr w:type="gramEnd"/>
      <w:r>
        <w:t> t distribution).</w:t>
      </w:r>
    </w:p>
    <w:p w14:paraId="07B94117" w14:textId="00CD36FB" w:rsidR="00455444" w:rsidRDefault="00455444" w:rsidP="00455444">
      <w:pPr>
        <w:pStyle w:val="TableDescription"/>
      </w:pPr>
      <w:r>
        <w:t xml:space="preserve">d. </w:t>
      </w:r>
      <w:proofErr w:type="spellStart"/>
      <w:r>
        <w:t>Immunobridging</w:t>
      </w:r>
      <w:proofErr w:type="spellEnd"/>
      <w:r>
        <w:t xml:space="preserve"> is declared if the lower bound of the 2-sided 95% CI for the GMR is &gt; 0.67 and the point estimate of the GMR is ≥ 0.8.</w:t>
      </w:r>
    </w:p>
    <w:p w14:paraId="3785C7F6" w14:textId="08961F1A" w:rsidR="000A7044" w:rsidRPr="00455444" w:rsidRDefault="000A7044" w:rsidP="00455444">
      <w:pPr>
        <w:pStyle w:val="TableDescription"/>
      </w:pPr>
      <w:r>
        <w:br w:type="page"/>
      </w:r>
    </w:p>
    <w:p w14:paraId="45E98AB1" w14:textId="456739B6" w:rsidR="00421C56" w:rsidRPr="00421C56" w:rsidRDefault="001E492F" w:rsidP="00421C56">
      <w:pPr>
        <w:pStyle w:val="Tabletitle0"/>
      </w:pPr>
      <w:bookmarkStart w:id="74" w:name="_Ref113856286"/>
      <w:r w:rsidRPr="00455444">
        <w:lastRenderedPageBreak/>
        <w:t xml:space="preserve">Table </w:t>
      </w:r>
      <w:r w:rsidR="00582372">
        <w:fldChar w:fldCharType="begin"/>
      </w:r>
      <w:r w:rsidR="00582372">
        <w:instrText xml:space="preserve"> SEQ Table \* ARABIC </w:instrText>
      </w:r>
      <w:r w:rsidR="00582372">
        <w:fldChar w:fldCharType="separate"/>
      </w:r>
      <w:r w:rsidR="00145C93">
        <w:rPr>
          <w:noProof/>
        </w:rPr>
        <w:t>11</w:t>
      </w:r>
      <w:r w:rsidR="00582372">
        <w:rPr>
          <w:noProof/>
        </w:rPr>
        <w:fldChar w:fldCharType="end"/>
      </w:r>
      <w:bookmarkEnd w:id="74"/>
      <w:r w:rsidRPr="00455444">
        <w:t xml:space="preserve">: Study C4591007 (Phase II/III, 6 months to under 2 years of age (one month after Dose 3) and Study C4591001 (Phase II/III, 16 through 25 years of age (one month after Dose 2). Difference in percentages of participants with </w:t>
      </w:r>
      <w:proofErr w:type="spellStart"/>
      <w:r w:rsidRPr="00455444">
        <w:t>seroresponse</w:t>
      </w:r>
      <w:proofErr w:type="spellEnd"/>
      <w:r w:rsidRPr="00455444">
        <w:t>, in participants without evidence of infection (</w:t>
      </w:r>
      <w:proofErr w:type="spellStart"/>
      <w:r w:rsidRPr="00455444">
        <w:t>immunobridging</w:t>
      </w:r>
      <w:proofErr w:type="spellEnd"/>
      <w:r w:rsidRPr="00455444">
        <w:t xml:space="preserve"> subset, evaluable immunogenicity population)</w:t>
      </w:r>
    </w:p>
    <w:p w14:paraId="1BFAA3BF" w14:textId="77DFD5A0" w:rsidR="00453781" w:rsidRDefault="00453781" w:rsidP="00453781">
      <w:pPr>
        <w:rPr>
          <w:b/>
          <w:bCs/>
        </w:rPr>
      </w:pPr>
      <w:r w:rsidRPr="00453781">
        <w:rPr>
          <w:b/>
          <w:bCs/>
          <w:noProof/>
          <w:lang w:val="en-GB" w:eastAsia="en-GB"/>
        </w:rPr>
        <w:drawing>
          <wp:inline distT="0" distB="0" distL="0" distR="0" wp14:anchorId="26FD806E" wp14:editId="79261C6C">
            <wp:extent cx="5333191" cy="1237130"/>
            <wp:effectExtent l="0" t="0" r="1270" b="1270"/>
            <wp:docPr id="23" name="Picture 23" descr="Study C4591007 (Phase II/III, 6 months to under 2 years of age (one month after Dose 3) and Study C4591001 (Phase II/III, 16 through 25 years of age (one month after Dose 2). Difference in percentages of participants with seroresponse, in participants without evidence of infection (immunobridging sub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rotWithShape="1">
                    <a:blip r:embed="rId33">
                      <a:extLst>
                        <a:ext uri="{28A0092B-C50C-407E-A947-70E740481C1C}">
                          <a14:useLocalDpi xmlns:a14="http://schemas.microsoft.com/office/drawing/2010/main" val="0"/>
                        </a:ext>
                      </a:extLst>
                    </a:blip>
                    <a:srcRect b="56633"/>
                    <a:stretch/>
                  </pic:blipFill>
                  <pic:spPr bwMode="auto">
                    <a:xfrm>
                      <a:off x="0" y="0"/>
                      <a:ext cx="5435644" cy="1260896"/>
                    </a:xfrm>
                    <a:prstGeom prst="rect">
                      <a:avLst/>
                    </a:prstGeom>
                    <a:ln>
                      <a:noFill/>
                    </a:ln>
                    <a:extLst>
                      <a:ext uri="{53640926-AAD7-44D8-BBD7-CCE9431645EC}">
                        <a14:shadowObscured xmlns:a14="http://schemas.microsoft.com/office/drawing/2010/main"/>
                      </a:ext>
                    </a:extLst>
                  </pic:spPr>
                </pic:pic>
              </a:graphicData>
            </a:graphic>
          </wp:inline>
        </w:drawing>
      </w:r>
    </w:p>
    <w:p w14:paraId="56071F15" w14:textId="05CBA098" w:rsidR="00421C56" w:rsidRDefault="00421C56" w:rsidP="00421C56">
      <w:pPr>
        <w:pStyle w:val="TableDescription"/>
      </w:pPr>
      <w:r w:rsidRPr="007E396D">
        <w:t>Abbreviations: LLOQ = lower limit of quantitation; NAAT = nuc</w:t>
      </w:r>
      <w:r w:rsidR="000A7044">
        <w:t>leic acid amplification test; N</w:t>
      </w:r>
      <w:r w:rsidR="000A7044">
        <w:noBreakHyphen/>
      </w:r>
      <w:r w:rsidRPr="007E396D">
        <w:t>bin</w:t>
      </w:r>
      <w:r w:rsidR="000A7044">
        <w:t>ding = </w:t>
      </w:r>
      <w:r>
        <w:t>SARS-CoV-2 nucleoprotein-</w:t>
      </w:r>
      <w:r w:rsidRPr="007E396D">
        <w:t>binding; NT50 = 50% neutrali</w:t>
      </w:r>
      <w:r>
        <w:t>s</w:t>
      </w:r>
      <w:r w:rsidRPr="007E396D">
        <w:t xml:space="preserve">ing </w:t>
      </w:r>
      <w:r w:rsidR="000A7044" w:rsidRPr="007E396D">
        <w:t>titre</w:t>
      </w:r>
      <w:r w:rsidRPr="007E396D">
        <w:t>; SARS-CoV-2 = severe acute resp</w:t>
      </w:r>
      <w:r>
        <w:t>iratory syndrome coronavirus 2.</w:t>
      </w:r>
    </w:p>
    <w:p w14:paraId="6A4058A5" w14:textId="67D06537" w:rsidR="00421C56" w:rsidRDefault="00421C56" w:rsidP="00421C56">
      <w:pPr>
        <w:pStyle w:val="TableDescription"/>
      </w:pPr>
      <w:r w:rsidRPr="007E396D">
        <w:t xml:space="preserve">Note: Evaluable population refers to Dose 3 evaluable immunogenicity population for </w:t>
      </w:r>
      <w:r w:rsidR="000A7044">
        <w:t xml:space="preserve">Study </w:t>
      </w:r>
      <w:r w:rsidRPr="007E396D">
        <w:t xml:space="preserve">C4591007 and Dose 2 evaluable immunogenicity population for </w:t>
      </w:r>
      <w:r w:rsidR="000A7044">
        <w:t xml:space="preserve">Study </w:t>
      </w:r>
      <w:r w:rsidRPr="007E396D">
        <w:t xml:space="preserve">C4591001. Note: </w:t>
      </w:r>
      <w:proofErr w:type="spellStart"/>
      <w:r w:rsidRPr="007E396D">
        <w:t>Seroresponse</w:t>
      </w:r>
      <w:proofErr w:type="spellEnd"/>
      <w:r w:rsidRPr="007E396D">
        <w:t xml:space="preserve"> is defined as achieving a </w:t>
      </w:r>
      <w:r>
        <w:t>≥ </w:t>
      </w:r>
      <w:r w:rsidRPr="007E396D">
        <w:t>4-fold rise from baseline (before Dose 1). If the baseline measurement is below the LLOQ, a</w:t>
      </w:r>
      <w:r>
        <w:t xml:space="preserve"> postvaccination assay result ≥ </w:t>
      </w:r>
      <w:r w:rsidRPr="007E396D">
        <w:t xml:space="preserve">4 x LLOQ is considered a </w:t>
      </w:r>
      <w:proofErr w:type="spellStart"/>
      <w:r w:rsidRPr="007E396D">
        <w:t>seroresponse</w:t>
      </w:r>
      <w:proofErr w:type="spellEnd"/>
      <w:r w:rsidRPr="007E396D">
        <w:t>. Note: Participants included in this analysis had no serological or virological evidence of past SARS-CoV-2 infe</w:t>
      </w:r>
      <w:r>
        <w:t xml:space="preserve">ction prior to the </w:t>
      </w:r>
      <w:proofErr w:type="gramStart"/>
      <w:r>
        <w:t>one month</w:t>
      </w:r>
      <w:proofErr w:type="gramEnd"/>
      <w:r>
        <w:t xml:space="preserve"> post-Dose 2 (</w:t>
      </w:r>
      <w:r w:rsidR="000A7044">
        <w:t xml:space="preserve">Study </w:t>
      </w:r>
      <w:r>
        <w:t>C4591001) or one month post-</w:t>
      </w:r>
      <w:r w:rsidRPr="007E396D">
        <w:t>Dose 3 (</w:t>
      </w:r>
      <w:r w:rsidR="000A7044">
        <w:t xml:space="preserve">Study </w:t>
      </w:r>
      <w:r w:rsidRPr="007E396D">
        <w:t xml:space="preserve">C4591007) study blood sample collection. Having no evidence of past SARS-CoV-2 infection was defined as having a negative N-binding antibody (serum) result at the </w:t>
      </w:r>
      <w:r>
        <w:t>Dose 1, Dose 3 (</w:t>
      </w:r>
      <w:r w:rsidR="000A7044">
        <w:t xml:space="preserve">Study </w:t>
      </w:r>
      <w:r>
        <w:t>C4591007), and one-month post-</w:t>
      </w:r>
      <w:r w:rsidRPr="007E396D">
        <w:t>Do</w:t>
      </w:r>
      <w:r>
        <w:t>se 2 (</w:t>
      </w:r>
      <w:r w:rsidR="000A7044">
        <w:t>Study </w:t>
      </w:r>
      <w:r>
        <w:t>C4591001) or one month post-</w:t>
      </w:r>
      <w:r w:rsidRPr="007E396D">
        <w:t>Dose 3 (</w:t>
      </w:r>
      <w:r w:rsidR="000A7044">
        <w:t xml:space="preserve">Study </w:t>
      </w:r>
      <w:r w:rsidRPr="007E396D">
        <w:t>C4591007) study visits; a negative NAAT (nasal swab) result at the Dose 1, Dose 2, and Dose 3 (</w:t>
      </w:r>
      <w:r w:rsidR="000A7044">
        <w:t xml:space="preserve">Study </w:t>
      </w:r>
      <w:r w:rsidRPr="007E396D">
        <w:t>C4591007) study visits and any unscheduled visit prior to t</w:t>
      </w:r>
      <w:r>
        <w:t>he one month post-Dose 2 (</w:t>
      </w:r>
      <w:r w:rsidR="000A7044">
        <w:t xml:space="preserve">Study </w:t>
      </w:r>
      <w:r>
        <w:t>C4591001) or one month post-</w:t>
      </w:r>
      <w:r w:rsidRPr="007E396D">
        <w:t>Dose 3 (</w:t>
      </w:r>
      <w:r w:rsidR="000A7044">
        <w:t xml:space="preserve">Study </w:t>
      </w:r>
      <w:r w:rsidRPr="007E396D">
        <w:t xml:space="preserve">C4591007) study blood sample collection; and </w:t>
      </w:r>
      <w:r>
        <w:t>no medical history of COVID</w:t>
      </w:r>
      <w:r>
        <w:noBreakHyphen/>
        <w:t>19.</w:t>
      </w:r>
    </w:p>
    <w:p w14:paraId="4195A0FC" w14:textId="77777777" w:rsidR="00421C56" w:rsidRDefault="00421C56" w:rsidP="00421C56">
      <w:pPr>
        <w:pStyle w:val="TableDescription"/>
      </w:pPr>
      <w:r w:rsidRPr="007E396D">
        <w:t>a. N = number of participants with valid and determinate assay results for the specified assay both before vaccination and at the given dose/sampling time point. These values are the denominators f</w:t>
      </w:r>
      <w:r>
        <w:t>or the percentage calculations.</w:t>
      </w:r>
    </w:p>
    <w:p w14:paraId="244DC4BB" w14:textId="77777777" w:rsidR="00421C56" w:rsidRDefault="00421C56" w:rsidP="00421C56">
      <w:pPr>
        <w:pStyle w:val="TableDescription"/>
      </w:pPr>
      <w:r w:rsidRPr="007E396D">
        <w:t xml:space="preserve">b. n = Number of participants with </w:t>
      </w:r>
      <w:proofErr w:type="spellStart"/>
      <w:r w:rsidRPr="007E396D">
        <w:t>seroresponse</w:t>
      </w:r>
      <w:proofErr w:type="spellEnd"/>
      <w:r w:rsidRPr="007E396D">
        <w:t xml:space="preserve"> for the given assay at the </w:t>
      </w:r>
      <w:r>
        <w:t>given dose/sampling time point.</w:t>
      </w:r>
    </w:p>
    <w:p w14:paraId="568103F6" w14:textId="77777777" w:rsidR="00421C56" w:rsidRDefault="00421C56" w:rsidP="00421C56">
      <w:pPr>
        <w:pStyle w:val="TableDescription"/>
      </w:pPr>
      <w:r w:rsidRPr="007E396D">
        <w:t xml:space="preserve">c. Exact 2-sided CI based on the Clopper </w:t>
      </w:r>
      <w:r>
        <w:t>and Pearson method.</w:t>
      </w:r>
    </w:p>
    <w:p w14:paraId="2E81DFE4" w14:textId="77777777" w:rsidR="00421C56" w:rsidRDefault="00421C56" w:rsidP="00421C56">
      <w:pPr>
        <w:pStyle w:val="TableDescription"/>
      </w:pPr>
      <w:r w:rsidRPr="007E396D">
        <w:t>d. Difference in proportions, e</w:t>
      </w:r>
      <w:r>
        <w:t>xpressed as a percentage (2 to under 5 years minus 16 to 25 years).</w:t>
      </w:r>
    </w:p>
    <w:p w14:paraId="6113637E" w14:textId="1F07C5BE" w:rsidR="00421C56" w:rsidRPr="00421C56" w:rsidRDefault="00421C56" w:rsidP="00421C56">
      <w:pPr>
        <w:pStyle w:val="TableDescription"/>
      </w:pPr>
      <w:r w:rsidRPr="007E396D">
        <w:t xml:space="preserve">e. 2-Sided CI, based on the Miettinen and </w:t>
      </w:r>
      <w:proofErr w:type="spellStart"/>
      <w:r w:rsidRPr="007E396D">
        <w:t>Nurminen</w:t>
      </w:r>
      <w:proofErr w:type="spellEnd"/>
      <w:r w:rsidRPr="007E396D">
        <w:t xml:space="preserve"> method for the difference in proportions, expressed as a percentage.</w:t>
      </w:r>
    </w:p>
    <w:p w14:paraId="3A1359BE" w14:textId="2D2F4754" w:rsidR="00453781" w:rsidRPr="001E492F" w:rsidRDefault="00453781" w:rsidP="00453781">
      <w:r w:rsidRPr="00453781">
        <w:t>Subgroup analyses (across both age groups) based on demographic characteristics at baseline generally showed no meaningful differences in the immunogenicity profile. Results from the evaluable immunogenicity population (regardless of prior SARS-CoV-2 infection) and the all-available immunogenicity population were generally similar, noting that inclusion of individuals with prior SARS-CoV-2 infection typically results in elevated baseline (before vaccination</w:t>
      </w:r>
      <w:r w:rsidR="001E492F">
        <w:t>) and post-vaccination neutralis</w:t>
      </w:r>
      <w:r w:rsidRPr="00453781">
        <w:t>ing titres compared with individuals without</w:t>
      </w:r>
      <w:r w:rsidR="001E492F">
        <w:t xml:space="preserve"> evidence of prior infection.</w:t>
      </w:r>
    </w:p>
    <w:p w14:paraId="1366A684" w14:textId="11E84575" w:rsidR="00453781" w:rsidRPr="00453781" w:rsidRDefault="001E492F" w:rsidP="001E492F">
      <w:pPr>
        <w:pStyle w:val="Heading5"/>
        <w:rPr>
          <w:u w:val="single"/>
        </w:rPr>
      </w:pPr>
      <w:r>
        <w:t>SARS-CoV-2 neutralising titres,</w:t>
      </w:r>
      <w:r w:rsidR="00453781" w:rsidRPr="00453781">
        <w:t xml:space="preserve"> Omicron and Delta</w:t>
      </w:r>
      <w:r>
        <w:t xml:space="preserve"> v</w:t>
      </w:r>
      <w:r w:rsidR="00453781" w:rsidRPr="00453781">
        <w:t>ariants</w:t>
      </w:r>
    </w:p>
    <w:p w14:paraId="640EDD48" w14:textId="42BDF30A" w:rsidR="00453781" w:rsidRPr="00453781" w:rsidRDefault="00453781" w:rsidP="00453781">
      <w:r w:rsidRPr="00453781">
        <w:t xml:space="preserve">Among 34 children </w:t>
      </w:r>
      <w:r w:rsidR="0057471D">
        <w:t>from</w:t>
      </w:r>
      <w:r w:rsidR="001E492F">
        <w:t xml:space="preserve"> 2 to under </w:t>
      </w:r>
      <w:r w:rsidRPr="00453781">
        <w:t>5 years of age</w:t>
      </w:r>
      <w:r w:rsidR="001E492F">
        <w:t xml:space="preserve"> without evidence of prior SARS</w:t>
      </w:r>
      <w:r w:rsidR="001E492F">
        <w:noBreakHyphen/>
        <w:t>CoV</w:t>
      </w:r>
      <w:r w:rsidR="001E492F">
        <w:noBreakHyphen/>
      </w:r>
      <w:r w:rsidRPr="00453781">
        <w:t xml:space="preserve">2 infection who received three doses of </w:t>
      </w:r>
      <w:r w:rsidR="001E492F">
        <w:t>Comirnaty vaccine</w:t>
      </w:r>
      <w:r w:rsidRPr="00453781">
        <w:t xml:space="preserve"> 3</w:t>
      </w:r>
      <w:r w:rsidR="00727EE6">
        <w:t xml:space="preserve"> </w:t>
      </w:r>
      <w:proofErr w:type="spellStart"/>
      <w:r w:rsidR="00727EE6">
        <w:t>μg</w:t>
      </w:r>
      <w:proofErr w:type="spellEnd"/>
      <w:r w:rsidR="001E492F">
        <w:t>, neutralis</w:t>
      </w:r>
      <w:r w:rsidRPr="00453781">
        <w:t>ing GMTs prior to vaccination with Dose 3 against Delta (68.0) and Omi</w:t>
      </w:r>
      <w:r w:rsidR="001E492F">
        <w:t xml:space="preserve">cron (14.0) were increased at one </w:t>
      </w:r>
      <w:r w:rsidRPr="00453781">
        <w:t>month post-Dose 3 with respect to both D</w:t>
      </w:r>
      <w:r w:rsidR="00F728C6">
        <w:t xml:space="preserve">elta (471.4) and Omicron (82.5); see </w:t>
      </w:r>
      <w:r w:rsidR="00F728C6">
        <w:fldChar w:fldCharType="begin"/>
      </w:r>
      <w:r w:rsidR="00F728C6">
        <w:instrText xml:space="preserve"> REF _Ref113856798 \h </w:instrText>
      </w:r>
      <w:r w:rsidR="00F728C6">
        <w:fldChar w:fldCharType="separate"/>
      </w:r>
      <w:r w:rsidR="00145C93">
        <w:t xml:space="preserve">Figure </w:t>
      </w:r>
      <w:r w:rsidR="00145C93">
        <w:rPr>
          <w:noProof/>
        </w:rPr>
        <w:t>8</w:t>
      </w:r>
      <w:r w:rsidR="00F728C6">
        <w:fldChar w:fldCharType="end"/>
      </w:r>
      <w:r w:rsidR="00F728C6">
        <w:t xml:space="preserve"> and</w:t>
      </w:r>
      <w:r w:rsidR="00A973E7">
        <w:t xml:space="preserve"> Table 12</w:t>
      </w:r>
      <w:r w:rsidR="00F728C6">
        <w:t xml:space="preserve">. </w:t>
      </w:r>
      <w:r w:rsidRPr="00453781">
        <w:t>Correspondingly, increases were also observed for the reference strain</w:t>
      </w:r>
      <w:r w:rsidR="001E492F">
        <w:t xml:space="preserve"> from before Dose 3 (70.1) to </w:t>
      </w:r>
      <w:proofErr w:type="gramStart"/>
      <w:r w:rsidR="001E492F">
        <w:t xml:space="preserve">one </w:t>
      </w:r>
      <w:r w:rsidRPr="00453781">
        <w:t>month</w:t>
      </w:r>
      <w:proofErr w:type="gramEnd"/>
      <w:r w:rsidRPr="00453781">
        <w:t xml:space="preserve"> post-Dose 3 (471.4). There was an observed 6.9-fold increase in Delta and 5.9-fo</w:t>
      </w:r>
      <w:r w:rsidR="001E492F">
        <w:t>ld increase in Omicron neutralis</w:t>
      </w:r>
      <w:r w:rsidRPr="00453781">
        <w:t>ing</w:t>
      </w:r>
      <w:r w:rsidR="001E492F">
        <w:t xml:space="preserve"> titres from before Dose 3 to </w:t>
      </w:r>
      <w:proofErr w:type="gramStart"/>
      <w:r w:rsidR="001E492F">
        <w:lastRenderedPageBreak/>
        <w:t xml:space="preserve">one </w:t>
      </w:r>
      <w:r w:rsidRPr="00453781">
        <w:t>month</w:t>
      </w:r>
      <w:proofErr w:type="gramEnd"/>
      <w:r w:rsidRPr="00453781">
        <w:t xml:space="preserve"> post-Dose 3 (</w:t>
      </w:r>
      <w:r w:rsidR="00F728C6">
        <w:t>see</w:t>
      </w:r>
      <w:r w:rsidR="00A973E7">
        <w:t xml:space="preserve"> Table 12)</w:t>
      </w:r>
      <w:r w:rsidRPr="00453781">
        <w:t xml:space="preserve">. The </w:t>
      </w:r>
      <w:r w:rsidR="0057471D">
        <w:t>geometric mean fold rise (</w:t>
      </w:r>
      <w:r w:rsidRPr="00453781">
        <w:t>GMFR</w:t>
      </w:r>
      <w:r w:rsidR="0057471D">
        <w:t>)</w:t>
      </w:r>
      <w:r w:rsidRPr="00453781">
        <w:t xml:space="preserve"> for the reference</w:t>
      </w:r>
      <w:r w:rsidR="001E492F">
        <w:t xml:space="preserve"> strain from before Dose 3 to </w:t>
      </w:r>
      <w:proofErr w:type="gramStart"/>
      <w:r w:rsidR="001E492F">
        <w:t xml:space="preserve">one </w:t>
      </w:r>
      <w:r w:rsidRPr="00453781">
        <w:t>month</w:t>
      </w:r>
      <w:proofErr w:type="gramEnd"/>
      <w:r w:rsidRPr="00453781">
        <w:t xml:space="preserve"> post-Dose 3 was 6.7.</w:t>
      </w:r>
    </w:p>
    <w:p w14:paraId="661C8744" w14:textId="12612FAF" w:rsidR="00453781" w:rsidRPr="00A973E7" w:rsidRDefault="00453781" w:rsidP="00A973E7">
      <w:r w:rsidRPr="00A973E7">
        <w:t xml:space="preserve">Similar patterns were observed for 40 adults </w:t>
      </w:r>
      <w:r w:rsidR="001E492F" w:rsidRPr="00A973E7">
        <w:t xml:space="preserve">between </w:t>
      </w:r>
      <w:r w:rsidRPr="00A973E7">
        <w:t>18 to 55 years of age without evidence of prior SARS-CoV-2 infecti</w:t>
      </w:r>
      <w:r w:rsidR="001E492F" w:rsidRPr="00A973E7">
        <w:t xml:space="preserve">on who received three doses of Comirnaty vaccine </w:t>
      </w:r>
      <w:r w:rsidRPr="00A973E7">
        <w:t>30</w:t>
      </w:r>
      <w:r w:rsidR="001E492F" w:rsidRPr="00A973E7">
        <w:t> </w:t>
      </w:r>
      <w:proofErr w:type="spellStart"/>
      <w:r w:rsidR="00727EE6" w:rsidRPr="00A973E7">
        <w:t>μg</w:t>
      </w:r>
      <w:proofErr w:type="spellEnd"/>
      <w:r w:rsidR="001E492F" w:rsidRPr="00A973E7">
        <w:t>, for whom neutralis</w:t>
      </w:r>
      <w:r w:rsidRPr="00A973E7">
        <w:t>ing GMTs prior to vaccination with Dose 3 against Delta (36.4) and Omi</w:t>
      </w:r>
      <w:r w:rsidR="001E492F" w:rsidRPr="00A973E7">
        <w:t xml:space="preserve">cron (12.7) were increased at </w:t>
      </w:r>
      <w:proofErr w:type="gramStart"/>
      <w:r w:rsidR="001E492F" w:rsidRPr="00A973E7">
        <w:t xml:space="preserve">one </w:t>
      </w:r>
      <w:r w:rsidRPr="00A973E7">
        <w:t>month</w:t>
      </w:r>
      <w:proofErr w:type="gramEnd"/>
      <w:r w:rsidRPr="00A973E7">
        <w:t xml:space="preserve"> post-Dose 3 with respect to both Delta (1153.6) and Omicron (340.0) titres. Increases were also observed for the reference strain</w:t>
      </w:r>
      <w:r w:rsidR="001E492F" w:rsidRPr="00A973E7">
        <w:t xml:space="preserve"> from before Dose 3 (33.9) to </w:t>
      </w:r>
      <w:proofErr w:type="gramStart"/>
      <w:r w:rsidR="001E492F" w:rsidRPr="00A973E7">
        <w:t xml:space="preserve">one </w:t>
      </w:r>
      <w:r w:rsidR="00F728C6" w:rsidRPr="00A973E7">
        <w:t>month</w:t>
      </w:r>
      <w:proofErr w:type="gramEnd"/>
      <w:r w:rsidR="00F728C6" w:rsidRPr="00A973E7">
        <w:t xml:space="preserve"> post-Dose 3 (1067.1) </w:t>
      </w:r>
      <w:r w:rsidRPr="00A973E7">
        <w:t>(</w:t>
      </w:r>
      <w:r w:rsidR="00A973E7">
        <w:t>see Table 12</w:t>
      </w:r>
      <w:r w:rsidRPr="00A973E7">
        <w:t>)</w:t>
      </w:r>
      <w:r w:rsidR="00F728C6" w:rsidRPr="00A973E7">
        <w:t>.</w:t>
      </w:r>
      <w:r w:rsidRPr="00A973E7">
        <w:t xml:space="preserve"> There was an observed 31.7-fold increase in Delta and 26.7-fold increase in Omicron </w:t>
      </w:r>
      <w:r w:rsidR="001E492F" w:rsidRPr="00A973E7">
        <w:t>neutralising titres.</w:t>
      </w:r>
    </w:p>
    <w:p w14:paraId="3C7045D7" w14:textId="36D8D708" w:rsidR="001E492F" w:rsidRDefault="001E492F" w:rsidP="00F728C6">
      <w:pPr>
        <w:pStyle w:val="FigureTitle"/>
      </w:pPr>
      <w:bookmarkStart w:id="75" w:name="_Ref113856798"/>
      <w:r>
        <w:t xml:space="preserve">Figure </w:t>
      </w:r>
      <w:r w:rsidR="00582372">
        <w:fldChar w:fldCharType="begin"/>
      </w:r>
      <w:r w:rsidR="00582372">
        <w:instrText xml:space="preserve"> SEQ Figure \* ARABIC </w:instrText>
      </w:r>
      <w:r w:rsidR="00582372">
        <w:fldChar w:fldCharType="separate"/>
      </w:r>
      <w:r w:rsidR="00145C93">
        <w:rPr>
          <w:noProof/>
        </w:rPr>
        <w:t>8</w:t>
      </w:r>
      <w:r w:rsidR="00582372">
        <w:rPr>
          <w:noProof/>
        </w:rPr>
        <w:fldChar w:fldCharType="end"/>
      </w:r>
      <w:bookmarkEnd w:id="75"/>
      <w:r>
        <w:t>: Study C4591007 (Phase II/III, 2 to under 5 years of a</w:t>
      </w:r>
      <w:r w:rsidRPr="00453781">
        <w:t>ge</w:t>
      </w:r>
      <w:r>
        <w:t>)</w:t>
      </w:r>
      <w:r w:rsidR="00A973E7">
        <w:t xml:space="preserve"> and Study </w:t>
      </w:r>
      <w:r w:rsidRPr="00453781">
        <w:t xml:space="preserve">C4591001 </w:t>
      </w:r>
      <w:r>
        <w:t>(Phase III b</w:t>
      </w:r>
      <w:r w:rsidRPr="00453781">
        <w:t>ooster</w:t>
      </w:r>
      <w:r>
        <w:t>, 18 through 55 years of a</w:t>
      </w:r>
      <w:r w:rsidRPr="00453781">
        <w:t>ge</w:t>
      </w:r>
      <w:r>
        <w:t xml:space="preserve">); Summary of geometric mean titres in the </w:t>
      </w:r>
      <w:r w:rsidRPr="00453781">
        <w:t>Omicron</w:t>
      </w:r>
      <w:r w:rsidR="00F728C6">
        <w:t xml:space="preserve"> </w:t>
      </w:r>
      <w:r>
        <w:t xml:space="preserve">neutralisation subset in </w:t>
      </w:r>
      <w:r w:rsidRPr="00453781">
        <w:t>participants</w:t>
      </w:r>
      <w:r>
        <w:t xml:space="preserve"> without evidence of infection </w:t>
      </w:r>
      <w:r w:rsidR="00F728C6">
        <w:t>(</w:t>
      </w:r>
      <w:r w:rsidR="00F728C6" w:rsidRPr="00453781">
        <w:t>evaluable immunogenicity population</w:t>
      </w:r>
      <w:r w:rsidR="00F728C6">
        <w:t>)</w:t>
      </w:r>
    </w:p>
    <w:p w14:paraId="2B8EFCEC" w14:textId="15F91E56" w:rsidR="00453781" w:rsidRDefault="00453781" w:rsidP="00453781">
      <w:pPr>
        <w:rPr>
          <w:b/>
          <w:bCs/>
        </w:rPr>
      </w:pPr>
      <w:r w:rsidRPr="00453781">
        <w:rPr>
          <w:b/>
          <w:bCs/>
          <w:noProof/>
          <w:lang w:val="en-GB" w:eastAsia="en-GB"/>
        </w:rPr>
        <w:drawing>
          <wp:inline distT="0" distB="0" distL="0" distR="0" wp14:anchorId="133A53D0" wp14:editId="1AEC45DA">
            <wp:extent cx="5511165" cy="2889055"/>
            <wp:effectExtent l="0" t="0" r="0" b="6985"/>
            <wp:docPr id="28" name="Picture 28" descr="Study C4591007 (Phase II/III, 2 to under 5 years of age) and Study C4591001 (Phase III booster, 18 through 55 years of age); Summary of geometric mean titres in the Omicron neutralisation subset in participants without evidence of infectio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34">
                      <a:extLst>
                        <a:ext uri="{28A0092B-C50C-407E-A947-70E740481C1C}">
                          <a14:useLocalDpi xmlns:a14="http://schemas.microsoft.com/office/drawing/2010/main" val="0"/>
                        </a:ext>
                      </a:extLst>
                    </a:blip>
                    <a:srcRect b="17854"/>
                    <a:stretch/>
                  </pic:blipFill>
                  <pic:spPr bwMode="auto">
                    <a:xfrm>
                      <a:off x="0" y="0"/>
                      <a:ext cx="5546255" cy="2907450"/>
                    </a:xfrm>
                    <a:prstGeom prst="rect">
                      <a:avLst/>
                    </a:prstGeom>
                    <a:ln>
                      <a:noFill/>
                    </a:ln>
                    <a:extLst>
                      <a:ext uri="{53640926-AAD7-44D8-BBD7-CCE9431645EC}">
                        <a14:shadowObscured xmlns:a14="http://schemas.microsoft.com/office/drawing/2010/main"/>
                      </a:ext>
                    </a:extLst>
                  </pic:spPr>
                </pic:pic>
              </a:graphicData>
            </a:graphic>
          </wp:inline>
        </w:drawing>
      </w:r>
    </w:p>
    <w:p w14:paraId="09A423E1" w14:textId="49416B34" w:rsidR="001B29EF" w:rsidRPr="00A973E7" w:rsidRDefault="001B29EF" w:rsidP="00A973E7">
      <w:pPr>
        <w:pStyle w:val="FigureDescription"/>
      </w:pPr>
      <w:bookmarkStart w:id="76" w:name="_Ref113856999"/>
      <w:r w:rsidRPr="00A973E7">
        <w:t>Abbreviations: LLOQ = lower limit of quantitation; NAAT = nucleic acid amplification test; N-binding = SARS-CoV-2 nucleoprotein-binding; NT50 = 50% neutralising titre; SARS-CoV-2 = severe acute respiratory syndrome coronavirus 2.</w:t>
      </w:r>
    </w:p>
    <w:p w14:paraId="29B6C0F1" w14:textId="13B388E1" w:rsidR="001B29EF" w:rsidRDefault="001B29EF" w:rsidP="00A973E7">
      <w:pPr>
        <w:pStyle w:val="FigureDescription"/>
      </w:pPr>
      <w:r w:rsidRPr="00A973E7">
        <w:t xml:space="preserve">Note: Number within each bar denotes geometric mean. Participants included in this analysis had no serological or virological evidence of past SARS-CoV-2 infection up to the </w:t>
      </w:r>
      <w:proofErr w:type="gramStart"/>
      <w:r w:rsidRPr="00A973E7">
        <w:t>one month</w:t>
      </w:r>
      <w:proofErr w:type="gramEnd"/>
      <w:r w:rsidRPr="00A973E7">
        <w:t xml:space="preserve"> post-Dose 3 study blood sample collection. Having no evidence of past SARS-CoV-2 infection up to one month post-Dose 3 was defined as having a negative N-binding antibody (serum) resul</w:t>
      </w:r>
      <w:r w:rsidR="00A973E7">
        <w:t>t at the Dose 1, one month post</w:t>
      </w:r>
      <w:r w:rsidR="00A973E7">
        <w:noBreakHyphen/>
        <w:t>Dose </w:t>
      </w:r>
      <w:r w:rsidRPr="00A973E7">
        <w:t>2 (if available), Dose 3 and one month post-Dose 3 study visits, a negative NAAT (nasal swab) result at the Dose 1, 2 and 3 study visits and any unscheduled visit prior to the one month post-Dose 3 blood sample collection, and no medical history of COVID-19.</w:t>
      </w:r>
    </w:p>
    <w:p w14:paraId="4E5E31B6" w14:textId="6DA9A9D1" w:rsidR="00A973E7" w:rsidRPr="00A973E7" w:rsidRDefault="00A973E7" w:rsidP="00A973E7">
      <w:r>
        <w:br w:type="page"/>
      </w:r>
    </w:p>
    <w:p w14:paraId="3844EDEF" w14:textId="7F34C8D7" w:rsidR="00F728C6" w:rsidRPr="00A973E7" w:rsidRDefault="00F728C6" w:rsidP="00A973E7">
      <w:pPr>
        <w:pStyle w:val="Tabletitle0"/>
      </w:pPr>
      <w:r w:rsidRPr="00A973E7">
        <w:lastRenderedPageBreak/>
        <w:t xml:space="preserve">Table </w:t>
      </w:r>
      <w:r w:rsidR="00582372">
        <w:fldChar w:fldCharType="begin"/>
      </w:r>
      <w:r w:rsidR="00582372">
        <w:instrText xml:space="preserve"> SEQ Table \* ARABIC </w:instrText>
      </w:r>
      <w:r w:rsidR="00582372">
        <w:fldChar w:fldCharType="separate"/>
      </w:r>
      <w:r w:rsidR="00145C93">
        <w:rPr>
          <w:noProof/>
        </w:rPr>
        <w:t>12</w:t>
      </w:r>
      <w:r w:rsidR="00582372">
        <w:fldChar w:fldCharType="end"/>
      </w:r>
      <w:bookmarkEnd w:id="76"/>
      <w:r w:rsidRPr="00A973E7">
        <w:t>: Study C4591007 (Phase II/III, 2 to under 5 years of age)</w:t>
      </w:r>
      <w:r w:rsidR="001D6AC0" w:rsidRPr="00A973E7">
        <w:t xml:space="preserve"> and Study </w:t>
      </w:r>
      <w:r w:rsidRPr="00A973E7">
        <w:t>C4591001 (Phase III booster, 18 through 55 years of age); Summary of geometric mean titres and mean fold rises in the Omicron neutralisation subset in participants without evidence of infection (evaluable immunogenicity population)</w:t>
      </w:r>
    </w:p>
    <w:tbl>
      <w:tblPr>
        <w:tblStyle w:val="TableGrid"/>
        <w:tblW w:w="0" w:type="auto"/>
        <w:tblLook w:val="04A0" w:firstRow="1" w:lastRow="0" w:firstColumn="1" w:lastColumn="0" w:noHBand="0" w:noVBand="1"/>
      </w:tblPr>
      <w:tblGrid>
        <w:gridCol w:w="8494"/>
      </w:tblGrid>
      <w:tr w:rsidR="002C44DC" w:rsidRPr="00A973E7" w14:paraId="310752CC" w14:textId="77777777" w:rsidTr="002C44DC">
        <w:tc>
          <w:tcPr>
            <w:tcW w:w="8494" w:type="dxa"/>
          </w:tcPr>
          <w:p w14:paraId="508FA059" w14:textId="24AF4BD2" w:rsidR="002C44DC" w:rsidRPr="00A973E7" w:rsidRDefault="001D6AC0" w:rsidP="00A973E7">
            <w:r w:rsidRPr="00A973E7">
              <w:rPr>
                <w:noProof/>
                <w:lang w:val="en-GB" w:eastAsia="en-GB"/>
              </w:rPr>
              <w:drawing>
                <wp:inline distT="0" distB="0" distL="0" distR="0" wp14:anchorId="73FC752D" wp14:editId="4B2967B7">
                  <wp:extent cx="5056094" cy="2294123"/>
                  <wp:effectExtent l="19050" t="19050" r="11430" b="11430"/>
                  <wp:docPr id="33" name="Picture 33" descr="Study C4591007 (Phase II/III, 2 to under 5 years of age) and Study C4591001 (Phase III booster, 18 through 55 years of age); Summary of geometric mean titres and mean fold rises in the Omicron neutralisation subset in participants without evidence of infectio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5082344" cy="2306034"/>
                          </a:xfrm>
                          <a:prstGeom prst="rect">
                            <a:avLst/>
                          </a:prstGeom>
                          <a:ln>
                            <a:solidFill>
                              <a:schemeClr val="accent1"/>
                            </a:solidFill>
                          </a:ln>
                        </pic:spPr>
                      </pic:pic>
                    </a:graphicData>
                  </a:graphic>
                </wp:inline>
              </w:drawing>
            </w:r>
          </w:p>
        </w:tc>
      </w:tr>
      <w:tr w:rsidR="002C44DC" w:rsidRPr="00A973E7" w14:paraId="7CEF41CE" w14:textId="77777777" w:rsidTr="002C44DC">
        <w:tc>
          <w:tcPr>
            <w:tcW w:w="8494" w:type="dxa"/>
          </w:tcPr>
          <w:p w14:paraId="01002099" w14:textId="2DED0FFA" w:rsidR="002C44DC" w:rsidRPr="00A973E7" w:rsidRDefault="001D6AC0" w:rsidP="00A973E7">
            <w:r w:rsidRPr="00A973E7">
              <w:rPr>
                <w:noProof/>
                <w:lang w:val="en-GB" w:eastAsia="en-GB"/>
              </w:rPr>
              <w:drawing>
                <wp:inline distT="0" distB="0" distL="0" distR="0" wp14:anchorId="7A8AC23C" wp14:editId="0C74C8D2">
                  <wp:extent cx="5087550" cy="2114900"/>
                  <wp:effectExtent l="19050" t="19050" r="18415" b="19050"/>
                  <wp:docPr id="1" name="Picture 1" descr="Study C4591007 (Phase II/III, 2 to under 5 years of age) and Study C4591001 (Phase III booster, 18 through 55 years of age); Summary of geometric mean titres and mean fold rises in the Omicron neutralisation subset in participants without evidence of infectio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able&#10;&#10;Description automatically generated"/>
                          <pic:cNvPicPr/>
                        </pic:nvPicPr>
                        <pic:blipFill rotWithShape="1">
                          <a:blip r:embed="rId36">
                            <a:extLst>
                              <a:ext uri="{28A0092B-C50C-407E-A947-70E740481C1C}">
                                <a14:useLocalDpi xmlns:a14="http://schemas.microsoft.com/office/drawing/2010/main" val="0"/>
                              </a:ext>
                            </a:extLst>
                          </a:blip>
                          <a:srcRect b="12538"/>
                          <a:stretch/>
                        </pic:blipFill>
                        <pic:spPr bwMode="auto">
                          <a:xfrm>
                            <a:off x="0" y="0"/>
                            <a:ext cx="5110807" cy="2124568"/>
                          </a:xfrm>
                          <a:prstGeom prst="rect">
                            <a:avLst/>
                          </a:prstGeom>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16766FA3" w14:textId="6E322DFC" w:rsidR="00A973E7" w:rsidRDefault="00A973E7" w:rsidP="00A973E7">
      <w:pPr>
        <w:pStyle w:val="TableDescription"/>
      </w:pPr>
      <w:r w:rsidRPr="00A973E7">
        <w:t>Abbreviations: FFRNT = fluorescent focus reduction neutralisation test; GMFR = geometric mean fold rise; LLOQ = lower limit of quantitation; NAAT = nucleic acid amplification test; N-binding = SARS-CoV-2 nucleoprotein-binding; NT50 = 50% neutralising titre; SARS-CoV-2 = severe acute respiratory syndrome coronavirus 2.</w:t>
      </w:r>
    </w:p>
    <w:p w14:paraId="3B565EEA" w14:textId="55CBEB5A" w:rsidR="00453781" w:rsidRDefault="001D6AC0" w:rsidP="00453781">
      <w:r>
        <w:t>A</w:t>
      </w:r>
      <w:r w:rsidR="00453781" w:rsidRPr="00453781">
        <w:t xml:space="preserve">mong 32 children </w:t>
      </w:r>
      <w:r>
        <w:t>o</w:t>
      </w:r>
      <w:r w:rsidR="00F728C6">
        <w:t xml:space="preserve">f 6 months to under </w:t>
      </w:r>
      <w:r w:rsidR="00453781" w:rsidRPr="00453781">
        <w:t>2 years of age</w:t>
      </w:r>
      <w:r w:rsidR="00F728C6">
        <w:t xml:space="preserve"> without evidence of prior SARS</w:t>
      </w:r>
      <w:r w:rsidR="00F728C6">
        <w:noBreakHyphen/>
      </w:r>
      <w:r w:rsidR="00453781" w:rsidRPr="00453781">
        <w:t xml:space="preserve">CoV-2 infection who received three doses of </w:t>
      </w:r>
      <w:r w:rsidR="00F728C6">
        <w:t>Comirnaty vaccine</w:t>
      </w:r>
      <w:r w:rsidR="00453781" w:rsidRPr="00453781">
        <w:t xml:space="preserve"> 3</w:t>
      </w:r>
      <w:r w:rsidR="00727EE6">
        <w:t xml:space="preserve"> </w:t>
      </w:r>
      <w:proofErr w:type="spellStart"/>
      <w:r w:rsidR="00727EE6">
        <w:t>μg</w:t>
      </w:r>
      <w:proofErr w:type="spellEnd"/>
      <w:r w:rsidR="00F728C6">
        <w:t>, neutralis</w:t>
      </w:r>
      <w:r w:rsidR="00453781" w:rsidRPr="00453781">
        <w:t>ing GMTs prior to vaccination with Dose 3 against Delta (94.1) and Omi</w:t>
      </w:r>
      <w:r w:rsidR="00F728C6">
        <w:t xml:space="preserve">cron (16.3) were increased at one </w:t>
      </w:r>
      <w:r w:rsidR="00453781" w:rsidRPr="00453781">
        <w:t>month post-Dose 3 with respect to both Delta (606.3) and Omicron (127.5) (</w:t>
      </w:r>
      <w:r w:rsidR="00F728C6">
        <w:t xml:space="preserve">see </w:t>
      </w:r>
      <w:r w:rsidR="00F728C6">
        <w:rPr>
          <w:highlight w:val="yellow"/>
        </w:rPr>
        <w:fldChar w:fldCharType="begin"/>
      </w:r>
      <w:r w:rsidR="00F728C6">
        <w:instrText xml:space="preserve"> REF _Ref113857285 \h </w:instrText>
      </w:r>
      <w:r w:rsidR="00F728C6">
        <w:rPr>
          <w:highlight w:val="yellow"/>
        </w:rPr>
      </w:r>
      <w:r w:rsidR="00F728C6">
        <w:rPr>
          <w:highlight w:val="yellow"/>
        </w:rPr>
        <w:fldChar w:fldCharType="separate"/>
      </w:r>
      <w:r w:rsidR="00145C93">
        <w:t xml:space="preserve">Table </w:t>
      </w:r>
      <w:r w:rsidR="00145C93">
        <w:rPr>
          <w:noProof/>
        </w:rPr>
        <w:t>13</w:t>
      </w:r>
      <w:r w:rsidR="00F728C6">
        <w:rPr>
          <w:highlight w:val="yellow"/>
        </w:rPr>
        <w:fldChar w:fldCharType="end"/>
      </w:r>
      <w:r w:rsidR="00F728C6">
        <w:t>, below</w:t>
      </w:r>
      <w:r w:rsidR="00453781" w:rsidRPr="00453781">
        <w:t>)</w:t>
      </w:r>
      <w:r w:rsidR="00F728C6">
        <w:t>.</w:t>
      </w:r>
      <w:r w:rsidR="00453781" w:rsidRPr="00453781">
        <w:t xml:space="preserve"> Increases were also observed for the reference strain f</w:t>
      </w:r>
      <w:r w:rsidR="00F728C6">
        <w:t xml:space="preserve">rom before Dose 3 (103.7) to </w:t>
      </w:r>
      <w:proofErr w:type="gramStart"/>
      <w:r w:rsidR="00F728C6">
        <w:t xml:space="preserve">one </w:t>
      </w:r>
      <w:r w:rsidR="00453781" w:rsidRPr="00453781">
        <w:t>month</w:t>
      </w:r>
      <w:proofErr w:type="gramEnd"/>
      <w:r w:rsidR="00453781" w:rsidRPr="00453781">
        <w:t xml:space="preserve"> post-Dose 3 (640.0). There was a 6.4-fold increase in Delta and 7.8-fo</w:t>
      </w:r>
      <w:r w:rsidR="00F728C6">
        <w:t>ld increase in Omicron neutralis</w:t>
      </w:r>
      <w:r w:rsidR="00453781" w:rsidRPr="00453781">
        <w:t>ing</w:t>
      </w:r>
      <w:r w:rsidR="00F728C6">
        <w:t xml:space="preserve"> titres from before Dose 3 to </w:t>
      </w:r>
      <w:proofErr w:type="gramStart"/>
      <w:r w:rsidR="00F728C6">
        <w:t xml:space="preserve">one </w:t>
      </w:r>
      <w:r w:rsidR="00453781" w:rsidRPr="00453781">
        <w:t>month</w:t>
      </w:r>
      <w:proofErr w:type="gramEnd"/>
      <w:r w:rsidR="00453781" w:rsidRPr="00453781">
        <w:t xml:space="preserve"> post-Dose 3. The GMFR for the referenc</w:t>
      </w:r>
      <w:r w:rsidR="008A5A2F">
        <w:t xml:space="preserve">e strain from before Dose 3 to </w:t>
      </w:r>
      <w:proofErr w:type="gramStart"/>
      <w:r w:rsidR="008A5A2F">
        <w:t>one m</w:t>
      </w:r>
      <w:r w:rsidR="00453781" w:rsidRPr="00453781">
        <w:t>onth</w:t>
      </w:r>
      <w:proofErr w:type="gramEnd"/>
      <w:r w:rsidR="00453781" w:rsidRPr="00453781">
        <w:t xml:space="preserve"> post-Dose 3 was 6.2.</w:t>
      </w:r>
    </w:p>
    <w:p w14:paraId="392FF337" w14:textId="6F86E750" w:rsidR="00A973E7" w:rsidRPr="00453781" w:rsidRDefault="00A973E7" w:rsidP="00A973E7">
      <w:pPr>
        <w:spacing w:before="0" w:after="200" w:line="0" w:lineRule="auto"/>
      </w:pPr>
      <w:r>
        <w:br w:type="page"/>
      </w:r>
    </w:p>
    <w:p w14:paraId="4D8D4B95" w14:textId="1650DF24" w:rsidR="00453781" w:rsidRPr="00F728C6" w:rsidRDefault="00F728C6" w:rsidP="00A973E7">
      <w:pPr>
        <w:pStyle w:val="Tabletitle0"/>
      </w:pPr>
      <w:bookmarkStart w:id="77" w:name="_Ref113857285"/>
      <w:r>
        <w:lastRenderedPageBreak/>
        <w:t xml:space="preserve">Table </w:t>
      </w:r>
      <w:r w:rsidR="00582372">
        <w:fldChar w:fldCharType="begin"/>
      </w:r>
      <w:r w:rsidR="00582372">
        <w:instrText xml:space="preserve"> SEQ Table \* ARABIC </w:instrText>
      </w:r>
      <w:r w:rsidR="00582372">
        <w:fldChar w:fldCharType="separate"/>
      </w:r>
      <w:r w:rsidR="00145C93">
        <w:rPr>
          <w:noProof/>
        </w:rPr>
        <w:t>13</w:t>
      </w:r>
      <w:r w:rsidR="00582372">
        <w:rPr>
          <w:noProof/>
        </w:rPr>
        <w:fldChar w:fldCharType="end"/>
      </w:r>
      <w:bookmarkEnd w:id="77"/>
      <w:r>
        <w:t>: Study C4591007 (Phase II/III, 6 months to under 2 years of a</w:t>
      </w:r>
      <w:r w:rsidRPr="00453781">
        <w:t>ge</w:t>
      </w:r>
      <w:r>
        <w:t>) and Study </w:t>
      </w:r>
      <w:r w:rsidRPr="00453781">
        <w:t xml:space="preserve">C4591001 </w:t>
      </w:r>
      <w:r>
        <w:t>(Phase III b</w:t>
      </w:r>
      <w:r w:rsidRPr="00453781">
        <w:t>ooster</w:t>
      </w:r>
      <w:r>
        <w:t>, 18 through 55 years of a</w:t>
      </w:r>
      <w:r w:rsidRPr="00453781">
        <w:t>ge</w:t>
      </w:r>
      <w:r>
        <w:t xml:space="preserve">); Summary of geometric mean titres in the </w:t>
      </w:r>
      <w:r w:rsidRPr="00453781">
        <w:t>Omicron</w:t>
      </w:r>
      <w:r>
        <w:t xml:space="preserve"> neutralisation subset in </w:t>
      </w:r>
      <w:r w:rsidRPr="00453781">
        <w:t>participants</w:t>
      </w:r>
      <w:r>
        <w:t xml:space="preserve"> without evidence of infection (</w:t>
      </w:r>
      <w:r w:rsidRPr="00453781">
        <w:t>evaluable immunogenicity population</w:t>
      </w:r>
      <w:r>
        <w:t>)</w:t>
      </w:r>
    </w:p>
    <w:p w14:paraId="40996C98" w14:textId="315CC491" w:rsidR="00453781" w:rsidRDefault="00453781" w:rsidP="00453781">
      <w:pPr>
        <w:rPr>
          <w:b/>
          <w:bCs/>
        </w:rPr>
      </w:pPr>
      <w:r w:rsidRPr="00453781">
        <w:rPr>
          <w:b/>
          <w:bCs/>
          <w:noProof/>
          <w:lang w:val="en-GB" w:eastAsia="en-GB"/>
        </w:rPr>
        <w:drawing>
          <wp:inline distT="0" distB="0" distL="0" distR="0" wp14:anchorId="20A8983F" wp14:editId="7B7345EC">
            <wp:extent cx="5731510" cy="2463114"/>
            <wp:effectExtent l="0" t="0" r="2540" b="0"/>
            <wp:docPr id="34" name="Picture 34" descr="Study C4591007 (Phase II/III, 6 months to under 2 years of age) and Study C4591001 (Phase III booster, 18 through 55 years of age); Summary of geometric mean titres in the Omicron neutralisation subset in participants without evidence of infectio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33996" cy="2464182"/>
                    </a:xfrm>
                    <a:prstGeom prst="rect">
                      <a:avLst/>
                    </a:prstGeom>
                  </pic:spPr>
                </pic:pic>
              </a:graphicData>
            </a:graphic>
          </wp:inline>
        </w:drawing>
      </w:r>
    </w:p>
    <w:p w14:paraId="4EEDBB40" w14:textId="545922A1" w:rsidR="001D6AC0" w:rsidRPr="00453781" w:rsidRDefault="001D6AC0" w:rsidP="001D6AC0">
      <w:pPr>
        <w:pStyle w:val="TableDescription"/>
        <w:rPr>
          <w:b/>
          <w:bCs/>
        </w:rPr>
      </w:pPr>
      <w:r>
        <w:rPr>
          <w:noProof/>
          <w:lang w:val="en-GB" w:eastAsia="en-GB"/>
        </w:rPr>
        <w:t xml:space="preserve">Abbreviations: FFRNT = fluorescent focus reduction neutralisation test; GMFR = geometric mean fold rise; LLOQ = lower limit of quantitation; NAAT = nucleic acid amplification test; </w:t>
      </w:r>
      <w:r w:rsidRPr="007E396D">
        <w:t>N-bin</w:t>
      </w:r>
      <w:r>
        <w:t>ding = SARS-CoV-2 nucleoprotein-</w:t>
      </w:r>
      <w:r w:rsidRPr="007E396D">
        <w:t>binding; NT50 = 50% neutrali</w:t>
      </w:r>
      <w:r>
        <w:t>s</w:t>
      </w:r>
      <w:r w:rsidRPr="007E396D">
        <w:t>ing titre; SARS-CoV-2 = severe acute resp</w:t>
      </w:r>
      <w:r>
        <w:t>iratory syndrome coronavirus 2.</w:t>
      </w:r>
    </w:p>
    <w:p w14:paraId="58E7D869" w14:textId="4BD66A60" w:rsidR="00453781" w:rsidRPr="00453781" w:rsidRDefault="008A5A2F" w:rsidP="008A5A2F">
      <w:pPr>
        <w:pStyle w:val="Heading6"/>
      </w:pPr>
      <w:r>
        <w:t>Conclusions on SARS-CoV-2 neutralising titres between wild-type and viral variants</w:t>
      </w:r>
    </w:p>
    <w:p w14:paraId="51662223" w14:textId="0C1A75F6" w:rsidR="00453781" w:rsidRPr="00453781" w:rsidRDefault="00453781" w:rsidP="00453781">
      <w:r w:rsidRPr="00453781">
        <w:t>In the pivotal Stud</w:t>
      </w:r>
      <w:r w:rsidR="008A5A2F">
        <w:t>y C4591007, SARS-CoV-2 neutralis</w:t>
      </w:r>
      <w:r w:rsidRPr="00453781">
        <w:t>ing G</w:t>
      </w:r>
      <w:r w:rsidR="008A5A2F">
        <w:t xml:space="preserve">MTs and </w:t>
      </w:r>
      <w:proofErr w:type="spellStart"/>
      <w:r w:rsidR="008A5A2F">
        <w:t>seroresponse</w:t>
      </w:r>
      <w:proofErr w:type="spellEnd"/>
      <w:r w:rsidR="008A5A2F">
        <w:t xml:space="preserve"> rates at </w:t>
      </w:r>
      <w:proofErr w:type="gramStart"/>
      <w:r w:rsidR="008A5A2F">
        <w:t xml:space="preserve">one </w:t>
      </w:r>
      <w:r w:rsidRPr="00453781">
        <w:t>month</w:t>
      </w:r>
      <w:proofErr w:type="gramEnd"/>
      <w:r w:rsidRPr="00453781">
        <w:t xml:space="preserve"> post-Dose 2 and 3 were assessed against the reference wild</w:t>
      </w:r>
      <w:r w:rsidR="008A5A2F">
        <w:t>-</w:t>
      </w:r>
      <w:r w:rsidRPr="00453781">
        <w:t xml:space="preserve">type strain in the evaluable immunogenicity population without evidence of prior SARS-CoV-2 infection </w:t>
      </w:r>
      <w:r w:rsidR="008A5A2F">
        <w:t xml:space="preserve">and compared to participants 16 to </w:t>
      </w:r>
      <w:r w:rsidRPr="00453781">
        <w:t xml:space="preserve">25 years of age randomly selected from Study C4591001.   </w:t>
      </w:r>
      <w:proofErr w:type="spellStart"/>
      <w:r w:rsidRPr="00453781">
        <w:t>Immunobridging</w:t>
      </w:r>
      <w:proofErr w:type="spellEnd"/>
      <w:r w:rsidRPr="00453781">
        <w:t xml:space="preserve"> success criteria were met po</w:t>
      </w:r>
      <w:r w:rsidR="008A5A2F">
        <w:t>st-Dose</w:t>
      </w:r>
      <w:r w:rsidR="001D6AC0">
        <w:t xml:space="preserve"> 3 for both 6 months to under 2 </w:t>
      </w:r>
      <w:r w:rsidR="008A5A2F">
        <w:t>years of age (</w:t>
      </w:r>
      <w:r w:rsidRPr="00453781">
        <w:t>82</w:t>
      </w:r>
      <w:r w:rsidR="008A5A2F">
        <w:t xml:space="preserve"> participants) and 2 to under </w:t>
      </w:r>
      <w:r w:rsidRPr="00453781">
        <w:t>5 year</w:t>
      </w:r>
      <w:r w:rsidR="008A5A2F">
        <w:t>s of age (</w:t>
      </w:r>
      <w:r w:rsidRPr="00453781">
        <w:t>143</w:t>
      </w:r>
      <w:r w:rsidR="008A5A2F">
        <w:t xml:space="preserve"> participants) and post</w:t>
      </w:r>
      <w:r w:rsidR="008A5A2F">
        <w:noBreakHyphen/>
        <w:t>Dose 2 for 6 months to under 2 years of age (</w:t>
      </w:r>
      <w:r w:rsidRPr="00453781">
        <w:t>245</w:t>
      </w:r>
      <w:r w:rsidR="008A5A2F">
        <w:t xml:space="preserve"> participants</w:t>
      </w:r>
      <w:r w:rsidRPr="00453781">
        <w:t xml:space="preserve">) groups.  For the 2 to </w:t>
      </w:r>
      <w:r w:rsidR="008A5A2F">
        <w:t>under 5 years of age group post-</w:t>
      </w:r>
      <w:r w:rsidRPr="00453781">
        <w:t xml:space="preserve">Dose 2, while the primary </w:t>
      </w:r>
      <w:proofErr w:type="spellStart"/>
      <w:r w:rsidRPr="00453781">
        <w:t>seroresponse</w:t>
      </w:r>
      <w:proofErr w:type="spellEnd"/>
      <w:r w:rsidRPr="00453781">
        <w:t xml:space="preserve"> endpoint was met, the primary GMR endpoint was not met, therefore </w:t>
      </w:r>
      <w:proofErr w:type="spellStart"/>
      <w:r w:rsidRPr="00453781">
        <w:t>immunobridging</w:t>
      </w:r>
      <w:proofErr w:type="spellEnd"/>
      <w:r w:rsidRPr="00453781">
        <w:t xml:space="preserve"> criteria were not met.</w:t>
      </w:r>
    </w:p>
    <w:p w14:paraId="5249D852" w14:textId="75387FAA" w:rsidR="00453781" w:rsidRPr="008A5A2F" w:rsidRDefault="00453781" w:rsidP="00453781">
      <w:r w:rsidRPr="00453781">
        <w:t>In the descriptive im</w:t>
      </w:r>
      <w:r w:rsidR="008A5A2F">
        <w:t>munogenicity analyses, neutralis</w:t>
      </w:r>
      <w:r w:rsidRPr="00453781">
        <w:t>ing antibody GMTs against the reference (wild</w:t>
      </w:r>
      <w:r w:rsidR="008A5A2F">
        <w:t>-</w:t>
      </w:r>
      <w:r w:rsidRPr="00453781">
        <w:t>type) strain and Delta variant of SARS-CoV-2 w</w:t>
      </w:r>
      <w:r w:rsidR="008A5A2F">
        <w:t>ere similar.  However, neutralis</w:t>
      </w:r>
      <w:r w:rsidRPr="00453781">
        <w:t>ing antibody GMTs against Omicron variant were lower.  Post-Dose 3 GM</w:t>
      </w:r>
      <w:r w:rsidR="008A5A2F">
        <w:t xml:space="preserve">Ts were also lower in the 2 to under </w:t>
      </w:r>
      <w:r w:rsidRPr="00453781">
        <w:t>5 years of age gro</w:t>
      </w:r>
      <w:r w:rsidR="008A5A2F">
        <w:t xml:space="preserve">up compared to the 6 months to under </w:t>
      </w:r>
      <w:r w:rsidR="00A973E7">
        <w:t>2 </w:t>
      </w:r>
      <w:r w:rsidRPr="00453781">
        <w:t>years of age</w:t>
      </w:r>
      <w:r w:rsidR="008A5A2F">
        <w:t xml:space="preserve"> group for all three strains.</w:t>
      </w:r>
    </w:p>
    <w:p w14:paraId="75FCA810" w14:textId="525A3DF2" w:rsidR="00453781" w:rsidRPr="00453781" w:rsidRDefault="008A5A2F" w:rsidP="008A5A2F">
      <w:pPr>
        <w:pStyle w:val="Heading5"/>
      </w:pPr>
      <w:r>
        <w:t>Vaccine e</w:t>
      </w:r>
      <w:r w:rsidR="00453781" w:rsidRPr="00453781">
        <w:t xml:space="preserve">fficacy </w:t>
      </w:r>
    </w:p>
    <w:p w14:paraId="78C86BB0" w14:textId="6616B182" w:rsidR="00453781" w:rsidRPr="00453781" w:rsidRDefault="008A5A2F" w:rsidP="00453781">
      <w:r>
        <w:t xml:space="preserve">Vaccine efficacy </w:t>
      </w:r>
      <w:r w:rsidR="00453781" w:rsidRPr="00453781">
        <w:t>was estimated for both age groups (6</w:t>
      </w:r>
      <w:r>
        <w:t xml:space="preserve"> months to under</w:t>
      </w:r>
      <w:r w:rsidR="00453781" w:rsidRPr="00453781">
        <w:t xml:space="preserve"> 2</w:t>
      </w:r>
      <w:r>
        <w:t xml:space="preserve"> years; and 2 to under 5</w:t>
      </w:r>
      <w:r w:rsidR="00453781" w:rsidRPr="00453781">
        <w:t xml:space="preserve"> years</w:t>
      </w:r>
      <w:r>
        <w:t xml:space="preserve"> of age groups</w:t>
      </w:r>
      <w:r w:rsidR="00453781" w:rsidRPr="00453781">
        <w:t>) as well as for the total popul</w:t>
      </w:r>
      <w:r>
        <w:t xml:space="preserve">ation of children 6 months to under </w:t>
      </w:r>
      <w:r w:rsidR="00453781" w:rsidRPr="00453781">
        <w:t>5 years</w:t>
      </w:r>
      <w:r>
        <w:t xml:space="preserve"> of age</w:t>
      </w:r>
      <w:r w:rsidR="00453781" w:rsidRPr="00453781">
        <w:t>, as well as well as within each age group based on COVID-19 cases confirmed at least 7 days post-Dose 3 or from D</w:t>
      </w:r>
      <w:r>
        <w:t xml:space="preserve">ose 1 to the data cut-off date </w:t>
      </w:r>
      <w:r w:rsidR="001D6AC0">
        <w:t>(29 April </w:t>
      </w:r>
      <w:r w:rsidR="00453781" w:rsidRPr="00453781">
        <w:t>2022)</w:t>
      </w:r>
      <w:r w:rsidR="001D6AC0">
        <w:t>.</w:t>
      </w:r>
    </w:p>
    <w:p w14:paraId="510859C7" w14:textId="77777777" w:rsidR="008439B3" w:rsidRDefault="008439B3" w:rsidP="008439B3">
      <w:pPr>
        <w:pStyle w:val="Heading6"/>
      </w:pPr>
      <w:r>
        <w:t xml:space="preserve">Children 2 to under </w:t>
      </w:r>
      <w:r w:rsidR="00453781" w:rsidRPr="00453781">
        <w:t>5 years of age</w:t>
      </w:r>
    </w:p>
    <w:p w14:paraId="3BD84522" w14:textId="0F5BA052" w:rsidR="00453781" w:rsidRPr="00453781" w:rsidRDefault="008439B3" w:rsidP="00453781">
      <w:r>
        <w:t xml:space="preserve">Vaccine efficacy </w:t>
      </w:r>
      <w:r w:rsidR="00453781" w:rsidRPr="00453781">
        <w:t xml:space="preserve">was estimated from a population of 1835 </w:t>
      </w:r>
      <w:r>
        <w:t>Comirnaty vaccine</w:t>
      </w:r>
      <w:r w:rsidR="00453781" w:rsidRPr="00453781">
        <w:t xml:space="preserve"> recipients and 915 placebo recipients of whom 606 and 280, respectively, received three doses. The observed </w:t>
      </w:r>
      <w:r>
        <w:t>vaccine efficacy</w:t>
      </w:r>
      <w:r w:rsidR="00453781" w:rsidRPr="00453781">
        <w:t xml:space="preserve"> was 82.3% (2-sided 95% CI: -8.0%,</w:t>
      </w:r>
      <w:r>
        <w:t xml:space="preserve"> 98.3%) based on 2 cases in the Comirnaty-treated</w:t>
      </w:r>
      <w:r w:rsidR="00453781" w:rsidRPr="00453781">
        <w:t xml:space="preserve"> group and 5 cases in the placebo group, adjusted for surveillance </w:t>
      </w:r>
      <w:r w:rsidR="00453781" w:rsidRPr="00453781">
        <w:lastRenderedPageBreak/>
        <w:t>time. From</w:t>
      </w:r>
      <w:r>
        <w:t xml:space="preserve"> Dose </w:t>
      </w:r>
      <w:r w:rsidR="001D6AC0">
        <w:t>1</w:t>
      </w:r>
      <w:r>
        <w:t xml:space="preserve"> onwards, the observed vaccine efficacy</w:t>
      </w:r>
      <w:r w:rsidR="00453781" w:rsidRPr="00453781">
        <w:t xml:space="preserve"> </w:t>
      </w:r>
      <w:r>
        <w:t>was</w:t>
      </w:r>
      <w:r w:rsidR="00453781" w:rsidRPr="00453781">
        <w:t xml:space="preserve"> 32.6% (2-sided 95% CI: 10.8%, 48.8%)</w:t>
      </w:r>
      <w:r w:rsidR="001D6AC0">
        <w:t>.</w:t>
      </w:r>
    </w:p>
    <w:p w14:paraId="3B45F315" w14:textId="77777777" w:rsidR="008439B3" w:rsidRDefault="008439B3" w:rsidP="008439B3">
      <w:pPr>
        <w:pStyle w:val="Heading6"/>
      </w:pPr>
      <w:r>
        <w:t>Children 6 months to under 2</w:t>
      </w:r>
      <w:r w:rsidR="00453781" w:rsidRPr="00453781">
        <w:t xml:space="preserve"> years of age</w:t>
      </w:r>
    </w:p>
    <w:p w14:paraId="72E10F7A" w14:textId="564E2AD4" w:rsidR="00453781" w:rsidRPr="00453781" w:rsidRDefault="008439B3" w:rsidP="00453781">
      <w:r>
        <w:t>Vaccine efficacy</w:t>
      </w:r>
      <w:r w:rsidR="00453781" w:rsidRPr="00453781">
        <w:t xml:space="preserve"> was estimated from a population of 1178 </w:t>
      </w:r>
      <w:r>
        <w:t>Comirnaty vaccine</w:t>
      </w:r>
      <w:r w:rsidR="00453781" w:rsidRPr="00453781">
        <w:t xml:space="preserve"> recipients and 598 placebo recipients of whom 386 and 184, respectively, received three doses. The observed </w:t>
      </w:r>
      <w:r>
        <w:t>vaccine efficacy</w:t>
      </w:r>
      <w:r w:rsidR="00453781" w:rsidRPr="00453781">
        <w:t xml:space="preserve"> of 75.5% (2-sided 95%</w:t>
      </w:r>
      <w:r>
        <w:t xml:space="preserve"> CI: -370.1%, 99.6%), based on one</w:t>
      </w:r>
      <w:r w:rsidR="00453781" w:rsidRPr="00453781">
        <w:t xml:space="preserve"> case in the </w:t>
      </w:r>
      <w:r>
        <w:t>Comirnaty-treated group</w:t>
      </w:r>
      <w:r w:rsidR="00453781" w:rsidRPr="00453781">
        <w:t xml:space="preserve"> and 2 i</w:t>
      </w:r>
      <w:r>
        <w:t xml:space="preserve">n the placebo group. From Dose </w:t>
      </w:r>
      <w:r w:rsidR="001D6AC0">
        <w:t>1</w:t>
      </w:r>
      <w:r w:rsidR="00453781" w:rsidRPr="00453781">
        <w:t xml:space="preserve"> onwards, observed </w:t>
      </w:r>
      <w:r>
        <w:t>vaccine efficacy</w:t>
      </w:r>
      <w:r w:rsidR="00453781" w:rsidRPr="00453781">
        <w:t xml:space="preserve"> </w:t>
      </w:r>
      <w:r>
        <w:t>was</w:t>
      </w:r>
      <w:r w:rsidR="00453781" w:rsidRPr="00453781">
        <w:t xml:space="preserve"> 14.0% (2-sided 95% CI: -21.2%, 38.4%)</w:t>
      </w:r>
      <w:r>
        <w:t>.</w:t>
      </w:r>
    </w:p>
    <w:p w14:paraId="116F4177" w14:textId="77777777" w:rsidR="008439B3" w:rsidRDefault="008439B3" w:rsidP="008439B3">
      <w:pPr>
        <w:pStyle w:val="Heading6"/>
      </w:pPr>
      <w:r>
        <w:t>C</w:t>
      </w:r>
      <w:r w:rsidR="00453781" w:rsidRPr="00453781">
        <w:t>ombined population (</w:t>
      </w:r>
      <w:r>
        <w:t>children 6 months to under</w:t>
      </w:r>
      <w:r w:rsidR="00453781" w:rsidRPr="00453781">
        <w:t xml:space="preserve"> 5 years)</w:t>
      </w:r>
    </w:p>
    <w:p w14:paraId="3F1BAB43" w14:textId="1ED3B401" w:rsidR="00453781" w:rsidRPr="00453781" w:rsidRDefault="008439B3" w:rsidP="00453781">
      <w:r>
        <w:t xml:space="preserve">This </w:t>
      </w:r>
      <w:r w:rsidR="00453781" w:rsidRPr="00453781">
        <w:t xml:space="preserve">was based on cases confirmed among 992 participants in the combined </w:t>
      </w:r>
      <w:r>
        <w:t>Comirnaty-treated</w:t>
      </w:r>
      <w:r w:rsidR="00453781" w:rsidRPr="00453781">
        <w:t xml:space="preserve"> group and 464 participants in the combined placebo group who received all three doses of study intervention during the blinded follow-up period. The observed </w:t>
      </w:r>
      <w:r>
        <w:t>vaccine efficacy</w:t>
      </w:r>
      <w:r w:rsidR="00453781" w:rsidRPr="00453781">
        <w:t xml:space="preserve"> across the total population of children 6 months </w:t>
      </w:r>
      <w:r>
        <w:t>to under 5 years of age was 80.3% (2</w:t>
      </w:r>
      <w:r>
        <w:noBreakHyphen/>
      </w:r>
      <w:r w:rsidR="00453781" w:rsidRPr="00453781">
        <w:t xml:space="preserve">sided 95% CI: 13.9%, 96.7%) based on 3 cases in the </w:t>
      </w:r>
      <w:r>
        <w:t>Comirnaty group and 7 </w:t>
      </w:r>
      <w:r w:rsidR="00453781" w:rsidRPr="00453781">
        <w:t xml:space="preserve">cases in the placebo group, adjusted for surveillance </w:t>
      </w:r>
      <w:r>
        <w:t xml:space="preserve">time. Based on cases from Dose </w:t>
      </w:r>
      <w:r w:rsidR="001D6AC0">
        <w:t>1</w:t>
      </w:r>
      <w:r w:rsidR="00453781" w:rsidRPr="00453781">
        <w:t xml:space="preserve"> onwards, observed </w:t>
      </w:r>
      <w:r>
        <w:t>vaccine efficacy</w:t>
      </w:r>
      <w:r w:rsidR="00453781" w:rsidRPr="00453781">
        <w:t xml:space="preserve"> was 25.5% (2-sided 95% CI: 7.7%, 39.6%).</w:t>
      </w:r>
    </w:p>
    <w:p w14:paraId="23861191" w14:textId="6328B599" w:rsidR="00453781" w:rsidRPr="00453781" w:rsidRDefault="008439B3" w:rsidP="008439B3">
      <w:pPr>
        <w:pStyle w:val="Heading6"/>
      </w:pPr>
      <w:r>
        <w:t>Relative vaccine efficacy of three versus two d</w:t>
      </w:r>
      <w:r w:rsidR="00453781" w:rsidRPr="00453781">
        <w:t>oses</w:t>
      </w:r>
      <w:r>
        <w:t xml:space="preserve"> of vaccine</w:t>
      </w:r>
    </w:p>
    <w:p w14:paraId="695CB48D" w14:textId="71955E07" w:rsidR="00453781" w:rsidRPr="00453781" w:rsidRDefault="008439B3" w:rsidP="00453781">
      <w:r w:rsidRPr="008439B3">
        <w:t>Relative vaccine efficacy</w:t>
      </w:r>
      <w:r w:rsidR="00453781" w:rsidRPr="00453781">
        <w:t xml:space="preserve"> analysis compared cases confirmed at least 7 days after Dose 3 among parti</w:t>
      </w:r>
      <w:r>
        <w:t>cipants in the original randomis</w:t>
      </w:r>
      <w:r w:rsidR="00453781" w:rsidRPr="00453781">
        <w:t xml:space="preserve">ed </w:t>
      </w:r>
      <w:r>
        <w:t>Comirnaty vaccine treated</w:t>
      </w:r>
      <w:r w:rsidR="00453781" w:rsidRPr="00453781">
        <w:t xml:space="preserve"> group who received three doses versus cases reported at least 7 days after Dose 2 among </w:t>
      </w:r>
      <w:r>
        <w:t>participants originally randomis</w:t>
      </w:r>
      <w:r w:rsidR="00453781" w:rsidRPr="00453781">
        <w:t xml:space="preserve">ed to placebo who were unblinded and received two doses of </w:t>
      </w:r>
      <w:r>
        <w:t>Comirnaty vaccine</w:t>
      </w:r>
      <w:r w:rsidR="00453781" w:rsidRPr="00453781">
        <w:t xml:space="preserve">, for cases accrued during the same fixed calendar period. This analysis was based total population of 3013 participants in the combined </w:t>
      </w:r>
      <w:r>
        <w:t>Comirnaty</w:t>
      </w:r>
      <w:r w:rsidR="00453781" w:rsidRPr="00453781">
        <w:t xml:space="preserve"> group and 1513 participants in the combined placebo group who had received at least one dose of study intervention.</w:t>
      </w:r>
    </w:p>
    <w:p w14:paraId="24876D00" w14:textId="6B78B57C" w:rsidR="00453781" w:rsidRPr="008439B3" w:rsidRDefault="008439B3" w:rsidP="008439B3">
      <w:r w:rsidRPr="008439B3">
        <w:t xml:space="preserve">For children </w:t>
      </w:r>
      <w:r w:rsidR="008F15EF">
        <w:t xml:space="preserve">from </w:t>
      </w:r>
      <w:r w:rsidRPr="008439B3">
        <w:t xml:space="preserve">2 to under </w:t>
      </w:r>
      <w:r w:rsidR="00453781" w:rsidRPr="008439B3">
        <w:t xml:space="preserve">5 years of age, </w:t>
      </w:r>
      <w:r w:rsidRPr="008439B3">
        <w:t xml:space="preserve">relative vaccine efficacy </w:t>
      </w:r>
      <w:r w:rsidR="00453781" w:rsidRPr="008439B3">
        <w:t>d</w:t>
      </w:r>
      <w:r w:rsidRPr="008439B3">
        <w:t xml:space="preserve">uring the calendar interval of </w:t>
      </w:r>
      <w:r w:rsidR="00453781" w:rsidRPr="008439B3">
        <w:t xml:space="preserve">7 February 2022 to 29 April 2022 based on 2 cases reported at least 7 days after Dose 3 (original </w:t>
      </w:r>
      <w:r w:rsidRPr="008439B3">
        <w:t>Comirnaty</w:t>
      </w:r>
      <w:r w:rsidR="00453781" w:rsidRPr="008439B3">
        <w:t xml:space="preserve"> group) v</w:t>
      </w:r>
      <w:r w:rsidRPr="008439B3">
        <w:t>ersu</w:t>
      </w:r>
      <w:r w:rsidR="00453781" w:rsidRPr="008439B3">
        <w:t>s 4 cases repo</w:t>
      </w:r>
      <w:r w:rsidRPr="008439B3">
        <w:t>rted at least 7 days after Dose </w:t>
      </w:r>
      <w:r w:rsidR="00453781" w:rsidRPr="008439B3">
        <w:t xml:space="preserve">2 (original placebo group unblinded to receive </w:t>
      </w:r>
      <w:r w:rsidRPr="008439B3">
        <w:t>Comirnaty vaccine</w:t>
      </w:r>
      <w:r w:rsidR="00453781" w:rsidRPr="008439B3">
        <w:t>) was 84.0%</w:t>
      </w:r>
      <w:r w:rsidRPr="008439B3">
        <w:t xml:space="preserve"> (2</w:t>
      </w:r>
      <w:r w:rsidRPr="008439B3">
        <w:noBreakHyphen/>
      </w:r>
      <w:r w:rsidR="00453781" w:rsidRPr="008439B3">
        <w:t>sided 95% CI: -11.8%, 98.6%).</w:t>
      </w:r>
    </w:p>
    <w:p w14:paraId="7A6D626D" w14:textId="5D7F2CCC" w:rsidR="00453781" w:rsidRPr="008439B3" w:rsidRDefault="00453781" w:rsidP="008439B3">
      <w:r w:rsidRPr="008439B3">
        <w:t xml:space="preserve">For </w:t>
      </w:r>
      <w:r w:rsidR="008439B3" w:rsidRPr="008439B3">
        <w:t xml:space="preserve">children 6 months to under </w:t>
      </w:r>
      <w:r w:rsidRPr="008439B3">
        <w:t xml:space="preserve">2 years of age, </w:t>
      </w:r>
      <w:r w:rsidR="008439B3" w:rsidRPr="008439B3">
        <w:t xml:space="preserve">relative vaccine efficacy </w:t>
      </w:r>
      <w:r w:rsidRPr="008439B3">
        <w:t>d</w:t>
      </w:r>
      <w:r w:rsidR="008439B3" w:rsidRPr="008439B3">
        <w:t xml:space="preserve">uring the calendar interval of </w:t>
      </w:r>
      <w:r w:rsidRPr="008439B3">
        <w:t xml:space="preserve">7 February 2022 to 29 April 2022 based on 2 cases reported at least 7 days after Dose 3 (original </w:t>
      </w:r>
      <w:r w:rsidR="008439B3" w:rsidRPr="008439B3">
        <w:t>Comirnaty vaccine</w:t>
      </w:r>
      <w:r w:rsidRPr="008439B3">
        <w:t xml:space="preserve"> group) v</w:t>
      </w:r>
      <w:r w:rsidR="008439B3">
        <w:t>er</w:t>
      </w:r>
      <w:r w:rsidR="008439B3" w:rsidRPr="008439B3">
        <w:t>s</w:t>
      </w:r>
      <w:r w:rsidR="008439B3">
        <w:t>u</w:t>
      </w:r>
      <w:r w:rsidRPr="008439B3">
        <w:t xml:space="preserve">s 2 cases reported at least 7 days after Dose 2 (original placebo group unblinded to receive </w:t>
      </w:r>
      <w:r w:rsidR="008439B3" w:rsidRPr="008439B3">
        <w:t>Comirnaty</w:t>
      </w:r>
      <w:r w:rsidRPr="008439B3">
        <w:t>) was 59.4% (2-sided 95% CI: -459.5%, 97.1%).</w:t>
      </w:r>
    </w:p>
    <w:p w14:paraId="5165F019" w14:textId="5664153B" w:rsidR="00453781" w:rsidRPr="00453781" w:rsidRDefault="00453781" w:rsidP="00453781">
      <w:r w:rsidRPr="00453781">
        <w:t>For</w:t>
      </w:r>
      <w:r w:rsidR="008439B3">
        <w:t xml:space="preserve"> all children aged 6 months to under </w:t>
      </w:r>
      <w:r w:rsidRPr="00453781">
        <w:t xml:space="preserve">5 years, the </w:t>
      </w:r>
      <w:r w:rsidR="008439B3">
        <w:t>r</w:t>
      </w:r>
      <w:r w:rsidR="008439B3" w:rsidRPr="008439B3">
        <w:t xml:space="preserve">elative vaccine efficacy </w:t>
      </w:r>
      <w:r w:rsidRPr="00453781">
        <w:t xml:space="preserve">of </w:t>
      </w:r>
      <w:r w:rsidR="008439B3">
        <w:t>Comirnaty</w:t>
      </w:r>
      <w:r w:rsidRPr="00453781">
        <w:t xml:space="preserve"> 3</w:t>
      </w:r>
      <w:r w:rsidR="00727EE6">
        <w:t xml:space="preserve"> </w:t>
      </w:r>
      <w:proofErr w:type="spellStart"/>
      <w:r w:rsidR="00727EE6">
        <w:t>μg</w:t>
      </w:r>
      <w:proofErr w:type="spellEnd"/>
      <w:r w:rsidRPr="00453781">
        <w:t xml:space="preserve"> against symptomatic COVID-19 based on 4 cases reported at least 7 days after Dose 3 (original </w:t>
      </w:r>
      <w:r w:rsidR="008439B3">
        <w:t>Comirnaty</w:t>
      </w:r>
      <w:r w:rsidRPr="00453781">
        <w:t xml:space="preserve"> group who received three doses) compared with 6 cases reported at least 7 days after Dose 2 (original placebo group who were unblinded and received two doses of </w:t>
      </w:r>
      <w:r w:rsidR="008439B3">
        <w:t xml:space="preserve">Comirnaty) during the period of </w:t>
      </w:r>
      <w:r w:rsidRPr="00453781">
        <w:t xml:space="preserve">7 February 2022 to 29 April 2022 </w:t>
      </w:r>
      <w:r w:rsidRPr="008439B3">
        <w:t>was 76.2%</w:t>
      </w:r>
      <w:r w:rsidRPr="00453781">
        <w:t xml:space="preserve"> </w:t>
      </w:r>
      <w:r w:rsidR="008439B3">
        <w:t>(2</w:t>
      </w:r>
      <w:r w:rsidR="008439B3">
        <w:noBreakHyphen/>
      </w:r>
      <w:r w:rsidRPr="00453781">
        <w:t>sided 95% CI: -0.5%, 95.1%)</w:t>
      </w:r>
    </w:p>
    <w:p w14:paraId="4EB8DCB4" w14:textId="0B6BBAE7" w:rsidR="00453781" w:rsidRPr="00453781" w:rsidRDefault="00453781" w:rsidP="00453781">
      <w:r w:rsidRPr="00453781">
        <w:t xml:space="preserve">The reported signs and symptoms associated with confirmed COVID-19 cases reflected predominantly mild to moderate illness and were generally similar in the </w:t>
      </w:r>
      <w:r w:rsidR="00F926E0">
        <w:t>Comirnaty vaccine</w:t>
      </w:r>
      <w:r w:rsidRPr="00453781">
        <w:t xml:space="preserve"> and placebo groups for both age groups. No MIS-C cases were reported in either age group.</w:t>
      </w:r>
    </w:p>
    <w:p w14:paraId="24F7B544" w14:textId="7C605566" w:rsidR="00453781" w:rsidRPr="00453781" w:rsidRDefault="00453781" w:rsidP="00F926E0">
      <w:pPr>
        <w:pStyle w:val="Heading6"/>
      </w:pPr>
      <w:r w:rsidRPr="00453781">
        <w:rPr>
          <w:iCs/>
        </w:rPr>
        <w:t>Conclusions</w:t>
      </w:r>
      <w:r w:rsidR="00F926E0">
        <w:t xml:space="preserve"> on efficacy</w:t>
      </w:r>
    </w:p>
    <w:p w14:paraId="4DF1BD4E" w14:textId="27040DA9" w:rsidR="00453781" w:rsidRPr="00453781" w:rsidRDefault="00453781" w:rsidP="00453781">
      <w:r w:rsidRPr="00453781">
        <w:t>COVID-19 cases occurring at least 7 days post-Dose 3 among participants with and without evidence of SARS-CoV-2 infection prior to 7 day</w:t>
      </w:r>
      <w:r w:rsidR="00F926E0">
        <w:t>s after Dose 3 included 3 COVID</w:t>
      </w:r>
      <w:r w:rsidR="00F926E0">
        <w:noBreakHyphen/>
      </w:r>
      <w:r w:rsidRPr="00453781">
        <w:t>19 cas</w:t>
      </w:r>
      <w:r w:rsidR="008F15EF">
        <w:t xml:space="preserve">es in participants 6 months to under </w:t>
      </w:r>
      <w:r w:rsidRPr="00453781">
        <w:t xml:space="preserve">2 years of age, with one COVID-19 </w:t>
      </w:r>
      <w:r w:rsidRPr="00453781">
        <w:lastRenderedPageBreak/>
        <w:t xml:space="preserve">case in the </w:t>
      </w:r>
      <w:r w:rsidR="00F926E0">
        <w:t>Comirnaty group (</w:t>
      </w:r>
      <w:r w:rsidRPr="00453781">
        <w:t>386</w:t>
      </w:r>
      <w:r w:rsidR="00F926E0">
        <w:t xml:space="preserve"> participants</w:t>
      </w:r>
      <w:r w:rsidRPr="00453781">
        <w:t>) compar</w:t>
      </w:r>
      <w:r w:rsidR="00F926E0">
        <w:t>ed to 2 in the placebo group (</w:t>
      </w:r>
      <w:r w:rsidRPr="00453781">
        <w:t>184</w:t>
      </w:r>
      <w:r w:rsidR="00A973E7">
        <w:t> </w:t>
      </w:r>
      <w:r w:rsidR="00F926E0">
        <w:t>participants</w:t>
      </w:r>
      <w:r w:rsidRPr="00453781">
        <w:t xml:space="preserve">), corresponding to an estimated </w:t>
      </w:r>
      <w:r w:rsidR="00F926E0">
        <w:t>vaccine efficacy</w:t>
      </w:r>
      <w:r w:rsidRPr="00453781">
        <w:t xml:space="preserve"> of 75.6% (95% CI: −369.1%, 99.6%), and 7 C</w:t>
      </w:r>
      <w:r w:rsidR="00F926E0">
        <w:t xml:space="preserve">OVID-19 cases in participants 2 to </w:t>
      </w:r>
      <w:r w:rsidRPr="00453781">
        <w:t xml:space="preserve">4 years of age, with 2 cases in the </w:t>
      </w:r>
      <w:r w:rsidR="00F926E0">
        <w:t>Comirnaty vaccine group (</w:t>
      </w:r>
      <w:r w:rsidRPr="00453781">
        <w:t>606</w:t>
      </w:r>
      <w:r w:rsidR="00F926E0">
        <w:t xml:space="preserve"> participants) and 5 in the placebo group (</w:t>
      </w:r>
      <w:r w:rsidRPr="00453781">
        <w:t>280</w:t>
      </w:r>
      <w:r w:rsidR="00A973E7">
        <w:t> </w:t>
      </w:r>
      <w:r w:rsidR="00F926E0">
        <w:t>participants</w:t>
      </w:r>
      <w:r w:rsidRPr="00453781">
        <w:t xml:space="preserve">), </w:t>
      </w:r>
      <w:r w:rsidR="00F926E0">
        <w:t>corresponding to an estimated vaccine efficacy</w:t>
      </w:r>
      <w:r w:rsidRPr="00453781">
        <w:t xml:space="preserve"> of 82.4% (95% CI: −7.6%, 98.3%).</w:t>
      </w:r>
    </w:p>
    <w:p w14:paraId="4DF83DBD" w14:textId="23416CBE" w:rsidR="00453781" w:rsidRPr="00453781" w:rsidRDefault="00F926E0" w:rsidP="00453781">
      <w:r>
        <w:t xml:space="preserve">Interpretation of vaccine efficacy </w:t>
      </w:r>
      <w:r w:rsidR="00453781" w:rsidRPr="00453781">
        <w:t xml:space="preserve">in Study C4591007 is considerably limited and should be approached with caution due to the low number of COVID-19 cases accrued during blinded follow-up.  It is noted that there are very wide confidence intervals associated with these data and there is a risk that the </w:t>
      </w:r>
      <w:r>
        <w:t>vaccine efficacy</w:t>
      </w:r>
      <w:r w:rsidR="00453781" w:rsidRPr="00453781">
        <w:t xml:space="preserve"> has been overestimated.  The preliminary nature of the data (the protocol-specified 21 cases had not yet been achieved) and the relatively short, blinded follow-up time post-Dos</w:t>
      </w:r>
      <w:r>
        <w:t>e 3 (median of 35 days in the 6 months to under 2</w:t>
      </w:r>
      <w:r w:rsidR="00453781" w:rsidRPr="00453781">
        <w:t xml:space="preserve"> years of age group and med</w:t>
      </w:r>
      <w:r>
        <w:t xml:space="preserve">ian of 40 days in the 2 to under </w:t>
      </w:r>
      <w:r w:rsidR="00453781" w:rsidRPr="00453781">
        <w:t xml:space="preserve">5 years of age group) further limit meaningful </w:t>
      </w:r>
      <w:r>
        <w:t>vaccine efficacy</w:t>
      </w:r>
      <w:r w:rsidR="00453781" w:rsidRPr="00453781">
        <w:t xml:space="preserve"> interpretation.</w:t>
      </w:r>
    </w:p>
    <w:p w14:paraId="476564C9" w14:textId="77777777" w:rsidR="00453781" w:rsidRPr="00453781" w:rsidRDefault="00453781" w:rsidP="00F926E0">
      <w:pPr>
        <w:pStyle w:val="Heading5"/>
      </w:pPr>
      <w:r w:rsidRPr="00453781">
        <w:t>Safety</w:t>
      </w:r>
    </w:p>
    <w:p w14:paraId="17D846CB" w14:textId="3F6D8F2C" w:rsidR="00453781" w:rsidRPr="00453781" w:rsidRDefault="00453781" w:rsidP="00453781">
      <w:r w:rsidRPr="00453781">
        <w:t xml:space="preserve">Safety was </w:t>
      </w:r>
      <w:r w:rsidR="00F926E0">
        <w:t>a primary outcome in the Phase II/III</w:t>
      </w:r>
      <w:r w:rsidRPr="00453781">
        <w:t xml:space="preserve"> component of Study C4591007. The safety analysis population was defined as: all participants who receive </w:t>
      </w:r>
      <w:r w:rsidR="00F926E0">
        <w:t>at least one</w:t>
      </w:r>
      <w:r w:rsidRPr="00453781">
        <w:t xml:space="preserve"> dose of</w:t>
      </w:r>
      <w:r w:rsidR="00F926E0">
        <w:t xml:space="preserve"> the study intervention. Phase II/III</w:t>
      </w:r>
      <w:r w:rsidRPr="00453781">
        <w:t xml:space="preserve"> safety da</w:t>
      </w:r>
      <w:r w:rsidR="00F926E0">
        <w:t>ta are based on analyses up to one</w:t>
      </w:r>
      <w:r w:rsidRPr="00453781">
        <w:t xml:space="preserve"> month after Dose 3 and up to the data cut-off date of 29 April 2022.</w:t>
      </w:r>
    </w:p>
    <w:p w14:paraId="7EDD0154" w14:textId="0423FFFC" w:rsidR="00740ADB" w:rsidRDefault="00453781" w:rsidP="00453781">
      <w:r w:rsidRPr="00453781">
        <w:t>Reactogenicity and antipyretic/pain medication use were recorded daily for 7 days after each dose administration using prompts from an electronic diary (e-diary). Grading sca</w:t>
      </w:r>
      <w:r w:rsidR="00740ADB">
        <w:t>les were based on FDA guidance.</w:t>
      </w:r>
      <w:r w:rsidR="008E6550">
        <w:rPr>
          <w:rStyle w:val="FootnoteReference"/>
        </w:rPr>
        <w:footnoteReference w:id="38"/>
      </w:r>
    </w:p>
    <w:p w14:paraId="5F209011" w14:textId="17457842" w:rsidR="00453781" w:rsidRPr="00453781" w:rsidRDefault="00740ADB" w:rsidP="00453781">
      <w:r>
        <w:t>Adverse events</w:t>
      </w:r>
      <w:r w:rsidR="00453781" w:rsidRPr="00453781">
        <w:t xml:space="preserve"> included:</w:t>
      </w:r>
    </w:p>
    <w:p w14:paraId="7F43D076" w14:textId="0A3694D2" w:rsidR="00453781" w:rsidRPr="00453781" w:rsidRDefault="00F926E0" w:rsidP="00453781">
      <w:r>
        <w:t xml:space="preserve">Children 2 to under </w:t>
      </w:r>
      <w:r w:rsidR="00453781" w:rsidRPr="00453781">
        <w:t>5 years of age:</w:t>
      </w:r>
    </w:p>
    <w:p w14:paraId="67A13B79" w14:textId="77777777" w:rsidR="00453781" w:rsidRPr="00453781" w:rsidRDefault="00453781" w:rsidP="00F926E0">
      <w:pPr>
        <w:pStyle w:val="ListBullet"/>
      </w:pPr>
      <w:r w:rsidRPr="00453781">
        <w:t>Local reactions: pain, redness, and swelling at the injection site</w:t>
      </w:r>
    </w:p>
    <w:p w14:paraId="2F736D7F" w14:textId="28974785" w:rsidR="00453781" w:rsidRPr="00453781" w:rsidRDefault="00453781" w:rsidP="00F926E0">
      <w:pPr>
        <w:pStyle w:val="ListBullet"/>
      </w:pPr>
      <w:r w:rsidRPr="00453781">
        <w:t xml:space="preserve">Systemic events: fever, fatigue, headache, chills, vomiting, </w:t>
      </w:r>
      <w:r w:rsidR="00F926E0" w:rsidRPr="00453781">
        <w:t>diarrhoea</w:t>
      </w:r>
      <w:r w:rsidRPr="00453781">
        <w:t>, new or worsened muscle pain, and new or worsened joint pain</w:t>
      </w:r>
      <w:r w:rsidR="00F926E0">
        <w:t>.</w:t>
      </w:r>
    </w:p>
    <w:p w14:paraId="7A3C611F" w14:textId="0AACF8BC" w:rsidR="00453781" w:rsidRPr="00453781" w:rsidRDefault="00F926E0" w:rsidP="00453781">
      <w:r>
        <w:t xml:space="preserve">Children 6 months to under </w:t>
      </w:r>
      <w:r w:rsidR="00453781" w:rsidRPr="00453781">
        <w:t>2 years of age:</w:t>
      </w:r>
    </w:p>
    <w:p w14:paraId="7966E71B" w14:textId="77777777" w:rsidR="00453781" w:rsidRPr="00453781" w:rsidRDefault="00453781" w:rsidP="00F926E0">
      <w:pPr>
        <w:pStyle w:val="ListBullet"/>
      </w:pPr>
      <w:r w:rsidRPr="00453781">
        <w:t>Local reactions: tenderness, redness, and swelling at the injection site</w:t>
      </w:r>
    </w:p>
    <w:p w14:paraId="1BA7BC7A" w14:textId="359EB819" w:rsidR="00453781" w:rsidRPr="00453781" w:rsidRDefault="00453781" w:rsidP="00453781">
      <w:pPr>
        <w:pStyle w:val="ListBullet"/>
      </w:pPr>
      <w:r w:rsidRPr="00453781">
        <w:t>Systemic events: fever, decreased appetite, drowsiness, and irritability</w:t>
      </w:r>
      <w:r w:rsidR="00F926E0">
        <w:t>.</w:t>
      </w:r>
    </w:p>
    <w:p w14:paraId="0CF65656" w14:textId="1F0DC139" w:rsidR="00453781" w:rsidRPr="00453781" w:rsidRDefault="00453781" w:rsidP="00F926E0">
      <w:pPr>
        <w:pStyle w:val="Heading6"/>
      </w:pPr>
      <w:r w:rsidRPr="00453781">
        <w:t>S</w:t>
      </w:r>
      <w:r w:rsidR="00F926E0">
        <w:t>afety population</w:t>
      </w:r>
    </w:p>
    <w:p w14:paraId="615AD5B1" w14:textId="45C770C2" w:rsidR="00453781" w:rsidRPr="00453781" w:rsidRDefault="00F926E0" w:rsidP="00453781">
      <w:r>
        <w:t>The overall Phase II/III</w:t>
      </w:r>
      <w:r w:rsidR="00453781" w:rsidRPr="00453781">
        <w:t xml:space="preserve"> safety population included 2,750 (1,835 </w:t>
      </w:r>
      <w:r>
        <w:t>Comirnaty</w:t>
      </w:r>
      <w:r w:rsidR="00453781" w:rsidRPr="00453781">
        <w:t>, 915 p</w:t>
      </w:r>
      <w:r>
        <w:t>lacebo) participants aged 2 to under</w:t>
      </w:r>
      <w:r w:rsidR="00453781" w:rsidRPr="00453781">
        <w:t xml:space="preserve"> 5 years, and 1,776 (1,178 </w:t>
      </w:r>
      <w:r>
        <w:t xml:space="preserve">Comirnaty, 598 placebo) participants 6 to </w:t>
      </w:r>
      <w:r w:rsidR="00453781" w:rsidRPr="00453781">
        <w:t xml:space="preserve">23 months of age. Of the 1,835 </w:t>
      </w:r>
      <w:r>
        <w:t>Comirnaty recipients 2 to under 5</w:t>
      </w:r>
      <w:r w:rsidR="00453781" w:rsidRPr="00453781">
        <w:t xml:space="preserve"> years of age, 606 (33.0%) received 3 vaccine doses. Of the 1,178 </w:t>
      </w:r>
      <w:r>
        <w:t>Comirnaty recipients 6 months to under 5 years</w:t>
      </w:r>
      <w:r w:rsidR="00453781" w:rsidRPr="00453781">
        <w:t xml:space="preserve"> of age, 386 (32.8%) received 3 vaccine doses.</w:t>
      </w:r>
    </w:p>
    <w:p w14:paraId="3C0CC9EC" w14:textId="1B9888DE" w:rsidR="00453781" w:rsidRPr="00F926E0" w:rsidRDefault="00453781" w:rsidP="00453781">
      <w:r w:rsidRPr="00453781">
        <w:t>The median duration of blinded follow-up after Dose 3 was 1.4 months (range: 0.0 to 3.</w:t>
      </w:r>
      <w:r w:rsidR="00740ADB">
        <w:t>2 </w:t>
      </w:r>
      <w:r w:rsidR="00F926E0">
        <w:t xml:space="preserve">months) for children 2 to under </w:t>
      </w:r>
      <w:r w:rsidRPr="00453781">
        <w:t>5 years of age, an</w:t>
      </w:r>
      <w:r w:rsidR="00740ADB">
        <w:t>d 1.3 months (range: 0.0 to 3.2 </w:t>
      </w:r>
      <w:r w:rsidRPr="00453781">
        <w:t xml:space="preserve">months) for children 6 </w:t>
      </w:r>
      <w:r w:rsidR="00F926E0">
        <w:t>months to under 2 years of age</w:t>
      </w:r>
      <w:r w:rsidRPr="00453781">
        <w:t>. Combining the blinded and open-label periods, the median duration of follow-up afte</w:t>
      </w:r>
      <w:r w:rsidR="008E6550">
        <w:t>r Dose 3 was 2.1 months (range: </w:t>
      </w:r>
      <w:r w:rsidRPr="00453781">
        <w:t>0.0 to 3.2 months) for both age groups. The median duration of blinded follow-up after Dose 2 to Dose 3 (or data cut-off) was 4.0 months (ran</w:t>
      </w:r>
      <w:r w:rsidR="00740ADB">
        <w:t>ge: 0.0 to 10.4 months) and 6.3 </w:t>
      </w:r>
      <w:r w:rsidRPr="00453781">
        <w:t xml:space="preserve">months (range: 0.1 to 10.4 months) for the older and younger age cohorts respectively and was similar for both the </w:t>
      </w:r>
      <w:r w:rsidR="00F926E0">
        <w:t>Comirnaty vaccine</w:t>
      </w:r>
      <w:r w:rsidRPr="00453781">
        <w:t xml:space="preserve"> and placebo groups. The median duration </w:t>
      </w:r>
      <w:r w:rsidRPr="00453781">
        <w:lastRenderedPageBreak/>
        <w:t xml:space="preserve">of follow-up including both blinded and open-label follow-up was 4.3 months (range: 0.0 to 10.4 months) for the older group and 6.3 months (range: 0.1 to 10.4 months) for the younger group and similar for the </w:t>
      </w:r>
      <w:r w:rsidR="00F926E0">
        <w:t>Comirnaty vaccine and placebo groups.</w:t>
      </w:r>
    </w:p>
    <w:p w14:paraId="51AB35FB" w14:textId="6922108F" w:rsidR="00453781" w:rsidRPr="00453781" w:rsidRDefault="00F926E0" w:rsidP="00F926E0">
      <w:pPr>
        <w:pStyle w:val="Heading6"/>
      </w:pPr>
      <w:r>
        <w:t>Local reactions</w:t>
      </w:r>
    </w:p>
    <w:p w14:paraId="3042B075" w14:textId="579C1604" w:rsidR="00453781" w:rsidRPr="00453781" w:rsidRDefault="00F926E0" w:rsidP="00453781">
      <w:r>
        <w:t xml:space="preserve">For both the 2 to under 5 year </w:t>
      </w:r>
      <w:r w:rsidR="00453781" w:rsidRPr="00453781">
        <w:t>o</w:t>
      </w:r>
      <w:r>
        <w:t>ld cohort, and the 6 months to under</w:t>
      </w:r>
      <w:r w:rsidR="00453781" w:rsidRPr="00453781">
        <w:t xml:space="preserve"> 2 </w:t>
      </w:r>
      <w:r>
        <w:t xml:space="preserve">year old </w:t>
      </w:r>
      <w:r w:rsidR="00453781" w:rsidRPr="00453781">
        <w:t xml:space="preserve">cohort, pain at the injection site was the most frequently reported local reaction within 7 days after each dose, with swelling and redness at the injection site </w:t>
      </w:r>
      <w:r w:rsidR="00D71077">
        <w:t xml:space="preserve">reported much less frequently (see </w:t>
      </w:r>
      <w:r w:rsidR="00D71077">
        <w:fldChar w:fldCharType="begin"/>
      </w:r>
      <w:r w:rsidR="00D71077">
        <w:instrText xml:space="preserve"> REF _Ref113859300 \h </w:instrText>
      </w:r>
      <w:r w:rsidR="00D71077">
        <w:fldChar w:fldCharType="separate"/>
      </w:r>
      <w:r w:rsidR="00145C93">
        <w:t xml:space="preserve">Table </w:t>
      </w:r>
      <w:r w:rsidR="00145C93">
        <w:rPr>
          <w:noProof/>
        </w:rPr>
        <w:t>14</w:t>
      </w:r>
      <w:r w:rsidR="00D71077">
        <w:fldChar w:fldCharType="end"/>
      </w:r>
      <w:r w:rsidR="00D71077">
        <w:fldChar w:fldCharType="begin"/>
      </w:r>
      <w:r w:rsidR="00D71077">
        <w:instrText xml:space="preserve"> REF _Ref113859304 \h </w:instrText>
      </w:r>
      <w:r w:rsidR="00D71077">
        <w:fldChar w:fldCharType="separate"/>
      </w:r>
      <w:r w:rsidR="00145C93">
        <w:t xml:space="preserve">Table </w:t>
      </w:r>
      <w:r w:rsidR="00145C93">
        <w:rPr>
          <w:noProof/>
        </w:rPr>
        <w:t>15</w:t>
      </w:r>
      <w:r w:rsidR="00D71077">
        <w:fldChar w:fldCharType="end"/>
      </w:r>
      <w:r w:rsidR="00D71077">
        <w:t>, below</w:t>
      </w:r>
      <w:r w:rsidR="00453781" w:rsidRPr="00453781">
        <w:t>)</w:t>
      </w:r>
      <w:r w:rsidR="008E6550">
        <w:t>.</w:t>
      </w:r>
      <w:r w:rsidR="00453781" w:rsidRPr="00453781">
        <w:t xml:space="preserve"> Most local reactions were mild or moderate, with severe local reactions reported infrequently after any dose. No Grade 4 local reactions were reported after any dose. The median onset for all local reactions after any dose of </w:t>
      </w:r>
      <w:r w:rsidR="00D71077">
        <w:t>Comirnaty vaccine</w:t>
      </w:r>
      <w:r w:rsidR="00453781" w:rsidRPr="00453781">
        <w:t xml:space="preserve"> 3</w:t>
      </w:r>
      <w:r w:rsidR="00727EE6">
        <w:t xml:space="preserve"> </w:t>
      </w:r>
      <w:proofErr w:type="spellStart"/>
      <w:r w:rsidR="00727EE6">
        <w:t>μg</w:t>
      </w:r>
      <w:proofErr w:type="spellEnd"/>
      <w:r w:rsidR="00D71077">
        <w:t xml:space="preserve"> was one</w:t>
      </w:r>
      <w:r w:rsidR="00453781" w:rsidRPr="00453781">
        <w:t xml:space="preserve"> to 2 days, and all events resolv</w:t>
      </w:r>
      <w:r w:rsidR="00D71077">
        <w:t>ed within a median duration of one</w:t>
      </w:r>
      <w:r w:rsidR="00453781" w:rsidRPr="00453781">
        <w:t xml:space="preserve"> day after onset.</w:t>
      </w:r>
    </w:p>
    <w:p w14:paraId="078B5A01" w14:textId="3F6A37D9" w:rsidR="00F926E0" w:rsidRDefault="00F926E0" w:rsidP="00D71077">
      <w:pPr>
        <w:pStyle w:val="Tabletitle0"/>
      </w:pPr>
      <w:bookmarkStart w:id="78" w:name="_Ref113859300"/>
      <w:r>
        <w:t xml:space="preserve">Table </w:t>
      </w:r>
      <w:r w:rsidR="00582372">
        <w:fldChar w:fldCharType="begin"/>
      </w:r>
      <w:r w:rsidR="00582372">
        <w:instrText xml:space="preserve"> SEQ Table \* ARABIC </w:instrText>
      </w:r>
      <w:r w:rsidR="00582372">
        <w:fldChar w:fldCharType="separate"/>
      </w:r>
      <w:r w:rsidR="00145C93">
        <w:rPr>
          <w:noProof/>
        </w:rPr>
        <w:t>14</w:t>
      </w:r>
      <w:r w:rsidR="00582372">
        <w:rPr>
          <w:noProof/>
        </w:rPr>
        <w:fldChar w:fldCharType="end"/>
      </w:r>
      <w:bookmarkEnd w:id="78"/>
      <w:r w:rsidR="00D71077">
        <w:t>: Incidence of injection site reactions (children 2 to under 5 years of age)</w:t>
      </w:r>
    </w:p>
    <w:p w14:paraId="14005503" w14:textId="665F957C" w:rsidR="00453781" w:rsidRDefault="00453781" w:rsidP="00453781">
      <w:pPr>
        <w:rPr>
          <w:b/>
          <w:bCs/>
        </w:rPr>
      </w:pPr>
      <w:r w:rsidRPr="00453781">
        <w:rPr>
          <w:b/>
          <w:bCs/>
          <w:noProof/>
          <w:lang w:val="en-GB" w:eastAsia="en-GB"/>
        </w:rPr>
        <w:drawing>
          <wp:inline distT="0" distB="0" distL="0" distR="0" wp14:anchorId="44313E20" wp14:editId="76E9B2AD">
            <wp:extent cx="5308600" cy="812971"/>
            <wp:effectExtent l="19050" t="19050" r="25400" b="25400"/>
            <wp:docPr id="10" name="Picture 10" descr="Incidence of injection site reactions (children 2 to under 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313668" cy="813747"/>
                    </a:xfrm>
                    <a:prstGeom prst="rect">
                      <a:avLst/>
                    </a:prstGeom>
                    <a:ln>
                      <a:solidFill>
                        <a:schemeClr val="accent1"/>
                      </a:solidFill>
                    </a:ln>
                  </pic:spPr>
                </pic:pic>
              </a:graphicData>
            </a:graphic>
          </wp:inline>
        </w:drawing>
      </w:r>
    </w:p>
    <w:p w14:paraId="7BF6AADB" w14:textId="1AEB81EF" w:rsidR="00D71077" w:rsidRPr="00453781" w:rsidRDefault="00D71077" w:rsidP="00D71077">
      <w:pPr>
        <w:pStyle w:val="TableDescription"/>
      </w:pPr>
      <w:r>
        <w:t>Note: BNT162b2 refers to Comirnaty vaccine (tozinameran)</w:t>
      </w:r>
    </w:p>
    <w:p w14:paraId="6FD36082" w14:textId="181E212B" w:rsidR="00F926E0" w:rsidRDefault="00F926E0" w:rsidP="00D71077">
      <w:pPr>
        <w:pStyle w:val="Tabletitle0"/>
      </w:pPr>
      <w:bookmarkStart w:id="79" w:name="_Ref113859304"/>
      <w:r>
        <w:t xml:space="preserve">Table </w:t>
      </w:r>
      <w:r w:rsidR="00582372">
        <w:fldChar w:fldCharType="begin"/>
      </w:r>
      <w:r w:rsidR="00582372">
        <w:instrText xml:space="preserve"> SEQ Table \* ARABIC </w:instrText>
      </w:r>
      <w:r w:rsidR="00582372">
        <w:fldChar w:fldCharType="separate"/>
      </w:r>
      <w:r w:rsidR="00145C93">
        <w:rPr>
          <w:noProof/>
        </w:rPr>
        <w:t>15</w:t>
      </w:r>
      <w:r w:rsidR="00582372">
        <w:rPr>
          <w:noProof/>
        </w:rPr>
        <w:fldChar w:fldCharType="end"/>
      </w:r>
      <w:bookmarkEnd w:id="79"/>
      <w:r w:rsidR="00D71077">
        <w:t>: Incidence of injection site reactions (children 6 months to under 2 years of age)</w:t>
      </w:r>
    </w:p>
    <w:p w14:paraId="4203E6AA" w14:textId="515E9A46" w:rsidR="00453781" w:rsidRDefault="00453781" w:rsidP="00453781">
      <w:pPr>
        <w:rPr>
          <w:i/>
          <w:iCs/>
        </w:rPr>
      </w:pPr>
      <w:r w:rsidRPr="00453781">
        <w:rPr>
          <w:i/>
          <w:iCs/>
          <w:noProof/>
          <w:lang w:val="en-GB" w:eastAsia="en-GB"/>
        </w:rPr>
        <w:drawing>
          <wp:inline distT="0" distB="0" distL="0" distR="0" wp14:anchorId="34925BA1" wp14:editId="3B8F7043">
            <wp:extent cx="5289548" cy="771782"/>
            <wp:effectExtent l="19050" t="19050" r="26035" b="28575"/>
            <wp:docPr id="18" name="Picture 18" descr="Incidence of injection site reactions (children 6 months to under 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Wor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301971" cy="773595"/>
                    </a:xfrm>
                    <a:prstGeom prst="rect">
                      <a:avLst/>
                    </a:prstGeom>
                    <a:ln>
                      <a:solidFill>
                        <a:schemeClr val="accent1"/>
                      </a:solidFill>
                    </a:ln>
                  </pic:spPr>
                </pic:pic>
              </a:graphicData>
            </a:graphic>
          </wp:inline>
        </w:drawing>
      </w:r>
    </w:p>
    <w:p w14:paraId="355144ED" w14:textId="2BFFD8CA" w:rsidR="00D71077" w:rsidRPr="00D71077" w:rsidRDefault="00D71077" w:rsidP="00D71077">
      <w:pPr>
        <w:pStyle w:val="TableDescription"/>
      </w:pPr>
      <w:r>
        <w:t>Note: BNT162b2 refers to Comirnaty vaccine (tozinameran)</w:t>
      </w:r>
    </w:p>
    <w:p w14:paraId="2AB4E6B2" w14:textId="35956891" w:rsidR="00453781" w:rsidRPr="00453781" w:rsidRDefault="00453781" w:rsidP="00D71077">
      <w:pPr>
        <w:pStyle w:val="Heading6"/>
      </w:pPr>
      <w:r w:rsidRPr="00453781">
        <w:t>S</w:t>
      </w:r>
      <w:r w:rsidR="00D71077">
        <w:t>ystemic events</w:t>
      </w:r>
    </w:p>
    <w:p w14:paraId="7902F375" w14:textId="2F377E27" w:rsidR="00453781" w:rsidRDefault="00453781" w:rsidP="00453781">
      <w:r w:rsidRPr="00453781">
        <w:t>Fatigue was the most frequently rep</w:t>
      </w:r>
      <w:r w:rsidR="00D71077">
        <w:t xml:space="preserve">orted systemic event in children aged 2 to under </w:t>
      </w:r>
      <w:r w:rsidR="00740ADB">
        <w:t>5 </w:t>
      </w:r>
      <w:r w:rsidRPr="00453781">
        <w:t>years, whilst irritability was most frequent</w:t>
      </w:r>
      <w:r w:rsidR="00D71077">
        <w:t>ly reported in the 6 months to under</w:t>
      </w:r>
      <w:r w:rsidRPr="00453781">
        <w:t xml:space="preserve"> 2 years of age</w:t>
      </w:r>
      <w:r w:rsidR="00D71077">
        <w:t xml:space="preserve"> group</w:t>
      </w:r>
      <w:r w:rsidRPr="00453781">
        <w:t xml:space="preserve">.  Most systemic events were mild or moderate, with no Grade 4 events reported after any dose. The median onset for most systemic events after any dose of </w:t>
      </w:r>
      <w:r w:rsidR="00D71077">
        <w:t>Comirnaty</w:t>
      </w:r>
      <w:r w:rsidRPr="00453781">
        <w:t xml:space="preserve"> </w:t>
      </w:r>
      <w:r w:rsidR="00D71077">
        <w:t xml:space="preserve">vaccine </w:t>
      </w:r>
      <w:r w:rsidRPr="00453781">
        <w:t>3</w:t>
      </w:r>
      <w:r w:rsidR="00D71077">
        <w:t> </w:t>
      </w:r>
      <w:proofErr w:type="spellStart"/>
      <w:r w:rsidR="00727EE6">
        <w:t>μg</w:t>
      </w:r>
      <w:proofErr w:type="spellEnd"/>
      <w:r w:rsidRPr="00453781">
        <w:t xml:space="preserve"> was 2 days (noting that some eve</w:t>
      </w:r>
      <w:r w:rsidR="00740ADB">
        <w:t>nts had median onset of up to 6 </w:t>
      </w:r>
      <w:r w:rsidRPr="00453781">
        <w:t xml:space="preserve">days post-dose, which was similar in </w:t>
      </w:r>
      <w:r w:rsidR="00D71077">
        <w:t>Comirnaty</w:t>
      </w:r>
      <w:r w:rsidRPr="00453781">
        <w:t xml:space="preserve"> and placebo groups), and most events resolv</w:t>
      </w:r>
      <w:r w:rsidR="00D71077">
        <w:t>ed within a median duration of one</w:t>
      </w:r>
      <w:r w:rsidRPr="00453781">
        <w:t xml:space="preserve"> day after onset.</w:t>
      </w:r>
    </w:p>
    <w:p w14:paraId="4ACD1675" w14:textId="1D56BC48" w:rsidR="00D71077" w:rsidRPr="00453781" w:rsidRDefault="00D71077" w:rsidP="00D71077">
      <w:pPr>
        <w:pStyle w:val="Tabletitle0"/>
      </w:pPr>
      <w:r>
        <w:lastRenderedPageBreak/>
        <w:t xml:space="preserve">Table </w:t>
      </w:r>
      <w:r w:rsidR="00582372">
        <w:fldChar w:fldCharType="begin"/>
      </w:r>
      <w:r w:rsidR="00582372">
        <w:instrText xml:space="preserve"> SEQ Table \* ARABIC </w:instrText>
      </w:r>
      <w:r w:rsidR="00582372">
        <w:fldChar w:fldCharType="separate"/>
      </w:r>
      <w:r w:rsidR="00145C93">
        <w:rPr>
          <w:noProof/>
        </w:rPr>
        <w:t>16</w:t>
      </w:r>
      <w:r w:rsidR="00582372">
        <w:rPr>
          <w:noProof/>
        </w:rPr>
        <w:fldChar w:fldCharType="end"/>
      </w:r>
      <w:r>
        <w:t>: Incidence of any systemic adverse reactions (children 2 to under 5 years of age)</w:t>
      </w:r>
    </w:p>
    <w:p w14:paraId="14EB66B8" w14:textId="517805FE" w:rsidR="00453781" w:rsidRDefault="00453781" w:rsidP="00453781">
      <w:r w:rsidRPr="00453781">
        <w:rPr>
          <w:noProof/>
          <w:lang w:val="en-GB" w:eastAsia="en-GB"/>
        </w:rPr>
        <w:drawing>
          <wp:inline distT="0" distB="0" distL="0" distR="0" wp14:anchorId="2DF06ADC" wp14:editId="64CB7D1C">
            <wp:extent cx="5289822" cy="1886047"/>
            <wp:effectExtent l="19050" t="19050" r="25400" b="19050"/>
            <wp:docPr id="12" name="Picture 12" descr="Incidence of any systemic adverse reactions (children 2 to under 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289822" cy="1886047"/>
                    </a:xfrm>
                    <a:prstGeom prst="rect">
                      <a:avLst/>
                    </a:prstGeom>
                    <a:ln>
                      <a:solidFill>
                        <a:schemeClr val="accent1"/>
                      </a:solidFill>
                    </a:ln>
                  </pic:spPr>
                </pic:pic>
              </a:graphicData>
            </a:graphic>
          </wp:inline>
        </w:drawing>
      </w:r>
    </w:p>
    <w:p w14:paraId="048AC010" w14:textId="696B6A64" w:rsidR="00740ADB" w:rsidRDefault="00740ADB" w:rsidP="00740ADB">
      <w:pPr>
        <w:pStyle w:val="TableDescription"/>
      </w:pPr>
      <w:r>
        <w:t>Note: BNT162b2 refers to Comirnaty vaccine (tozinameran)</w:t>
      </w:r>
    </w:p>
    <w:p w14:paraId="0449BB54" w14:textId="62AEAEC9" w:rsidR="00D71077" w:rsidRPr="00453781" w:rsidRDefault="00D71077" w:rsidP="00D71077">
      <w:pPr>
        <w:pStyle w:val="Tabletitle0"/>
      </w:pPr>
      <w:r>
        <w:t xml:space="preserve">Table </w:t>
      </w:r>
      <w:r w:rsidR="00582372">
        <w:fldChar w:fldCharType="begin"/>
      </w:r>
      <w:r w:rsidR="00582372">
        <w:instrText xml:space="preserve"> SEQ Table \* ARABIC </w:instrText>
      </w:r>
      <w:r w:rsidR="00582372">
        <w:fldChar w:fldCharType="separate"/>
      </w:r>
      <w:r w:rsidR="00145C93">
        <w:rPr>
          <w:noProof/>
        </w:rPr>
        <w:t>17</w:t>
      </w:r>
      <w:r w:rsidR="00582372">
        <w:rPr>
          <w:noProof/>
        </w:rPr>
        <w:fldChar w:fldCharType="end"/>
      </w:r>
      <w:r>
        <w:t>: Incidence of any systemic adverse reactions (children 6 months to under 2 years of age)</w:t>
      </w:r>
    </w:p>
    <w:p w14:paraId="470B5F42" w14:textId="17F16D4B" w:rsidR="00453781" w:rsidRDefault="00453781" w:rsidP="00453781">
      <w:pPr>
        <w:rPr>
          <w:i/>
          <w:iCs/>
        </w:rPr>
      </w:pPr>
      <w:r w:rsidRPr="00453781">
        <w:rPr>
          <w:i/>
          <w:iCs/>
          <w:noProof/>
          <w:lang w:val="en-GB" w:eastAsia="en-GB"/>
        </w:rPr>
        <w:drawing>
          <wp:inline distT="0" distB="0" distL="0" distR="0" wp14:anchorId="6E2AADE3" wp14:editId="55EA2F0A">
            <wp:extent cx="5335545" cy="1250950"/>
            <wp:effectExtent l="19050" t="19050" r="17780" b="25400"/>
            <wp:docPr id="24" name="Picture 24" descr="Incidence of any systemic adverse reactions (children 6 months to under 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337770" cy="1251472"/>
                    </a:xfrm>
                    <a:prstGeom prst="rect">
                      <a:avLst/>
                    </a:prstGeom>
                    <a:ln>
                      <a:solidFill>
                        <a:schemeClr val="accent1"/>
                      </a:solidFill>
                    </a:ln>
                  </pic:spPr>
                </pic:pic>
              </a:graphicData>
            </a:graphic>
          </wp:inline>
        </w:drawing>
      </w:r>
    </w:p>
    <w:p w14:paraId="23FA8DD8" w14:textId="57439E2D" w:rsidR="00740ADB" w:rsidRPr="00740ADB" w:rsidRDefault="00740ADB" w:rsidP="00740ADB">
      <w:pPr>
        <w:pStyle w:val="TableDescription"/>
      </w:pPr>
      <w:r>
        <w:t>Note: BNT162b2 refers to Comirnaty vaccine (tozinameran)</w:t>
      </w:r>
    </w:p>
    <w:p w14:paraId="1A524A09" w14:textId="5E16F040" w:rsidR="00453781" w:rsidRPr="00453781" w:rsidRDefault="00D71077" w:rsidP="00D71077">
      <w:pPr>
        <w:pStyle w:val="Heading6"/>
      </w:pPr>
      <w:r>
        <w:t>Adverse e</w:t>
      </w:r>
      <w:r w:rsidR="00453781" w:rsidRPr="00453781">
        <w:t>vents</w:t>
      </w:r>
    </w:p>
    <w:p w14:paraId="61EEF3B0" w14:textId="594733BC" w:rsidR="00453781" w:rsidRPr="00453781" w:rsidRDefault="00453781" w:rsidP="00453781">
      <w:r w:rsidRPr="00453781">
        <w:t>In</w:t>
      </w:r>
      <w:r w:rsidR="00D71077">
        <w:t xml:space="preserve"> the children aged 2 years to under </w:t>
      </w:r>
      <w:r w:rsidRPr="00453781">
        <w:t>5 years, (</w:t>
      </w:r>
      <w:r w:rsidR="009C713F">
        <w:t xml:space="preserve">see </w:t>
      </w:r>
      <w:r w:rsidR="009C713F">
        <w:fldChar w:fldCharType="begin"/>
      </w:r>
      <w:r w:rsidR="009C713F">
        <w:instrText xml:space="preserve"> REF _Ref113860426 \h </w:instrText>
      </w:r>
      <w:r w:rsidR="009C713F">
        <w:fldChar w:fldCharType="separate"/>
      </w:r>
      <w:r w:rsidR="00145C93">
        <w:t xml:space="preserve">Table </w:t>
      </w:r>
      <w:r w:rsidR="00145C93">
        <w:rPr>
          <w:noProof/>
        </w:rPr>
        <w:t>18</w:t>
      </w:r>
      <w:r w:rsidR="009C713F">
        <w:fldChar w:fldCharType="end"/>
      </w:r>
      <w:r w:rsidRPr="00453781">
        <w:t>) the proport</w:t>
      </w:r>
      <w:r w:rsidR="00F539D0">
        <w:t>ions of participants with any adverse events</w:t>
      </w:r>
      <w:r w:rsidRPr="00453781">
        <w:t xml:space="preserve"> were similar in the </w:t>
      </w:r>
      <w:r w:rsidR="00F539D0">
        <w:t>Comirnaty vaccine</w:t>
      </w:r>
      <w:r w:rsidRPr="00453781">
        <w:t xml:space="preserve"> (18.7%) and placebo (18.7%) groups. Any related </w:t>
      </w:r>
      <w:r w:rsidR="00F539D0">
        <w:t>adverse events, any severe adverse event</w:t>
      </w:r>
      <w:r w:rsidRPr="00453781">
        <w:t xml:space="preserve">s, and any </w:t>
      </w:r>
      <w:r w:rsidR="00F539D0">
        <w:t>serious adverse events</w:t>
      </w:r>
      <w:r w:rsidRPr="00453781">
        <w:t xml:space="preserve"> were reported across the </w:t>
      </w:r>
      <w:r w:rsidR="00F539D0">
        <w:t>Comirnaty vaccine</w:t>
      </w:r>
      <w:r w:rsidRPr="00453781">
        <w:t xml:space="preserve"> and placebo groups by ≤</w:t>
      </w:r>
      <w:r w:rsidR="00F539D0">
        <w:t> </w:t>
      </w:r>
      <w:r w:rsidRPr="00453781">
        <w:t>2.0%, ≤</w:t>
      </w:r>
      <w:r w:rsidR="00F539D0">
        <w:t> </w:t>
      </w:r>
      <w:r w:rsidRPr="00453781">
        <w:t>0.7%, and ≤</w:t>
      </w:r>
      <w:r w:rsidR="00F539D0">
        <w:t> </w:t>
      </w:r>
      <w:r w:rsidRPr="00453781">
        <w:t>0.9% of participants, respectively.</w:t>
      </w:r>
    </w:p>
    <w:p w14:paraId="7B4ADEAE" w14:textId="3E460067" w:rsidR="00453781" w:rsidRPr="00F539D0" w:rsidRDefault="00F539D0" w:rsidP="00453781">
      <w:r>
        <w:t>In children aged 6 months to under</w:t>
      </w:r>
      <w:r w:rsidR="00453781" w:rsidRPr="00453781">
        <w:t xml:space="preserve"> 2 years, proportions of participants with any </w:t>
      </w:r>
      <w:r>
        <w:t>adverse event</w:t>
      </w:r>
      <w:r w:rsidR="00453781" w:rsidRPr="00453781">
        <w:t xml:space="preserve"> were similar in the </w:t>
      </w:r>
      <w:r>
        <w:t>Comirnaty vaccine</w:t>
      </w:r>
      <w:r w:rsidR="00453781" w:rsidRPr="00453781">
        <w:t xml:space="preserve"> (30</w:t>
      </w:r>
      <w:r>
        <w:t>.1%) and placebo (27.1%) groups</w:t>
      </w:r>
      <w:r w:rsidR="00453781" w:rsidRPr="00453781">
        <w:t xml:space="preserve"> (</w:t>
      </w:r>
      <w:r w:rsidR="009C713F">
        <w:t xml:space="preserve">see </w:t>
      </w:r>
      <w:r w:rsidR="009C713F">
        <w:fldChar w:fldCharType="begin"/>
      </w:r>
      <w:r w:rsidR="009C713F">
        <w:instrText xml:space="preserve"> REF _Ref113860437 \h </w:instrText>
      </w:r>
      <w:r w:rsidR="009C713F">
        <w:fldChar w:fldCharType="separate"/>
      </w:r>
      <w:r w:rsidR="00145C93">
        <w:t xml:space="preserve">Table </w:t>
      </w:r>
      <w:r w:rsidR="00145C93">
        <w:rPr>
          <w:noProof/>
        </w:rPr>
        <w:t>19</w:t>
      </w:r>
      <w:r w:rsidR="009C713F">
        <w:fldChar w:fldCharType="end"/>
      </w:r>
      <w:r>
        <w:t>, below</w:t>
      </w:r>
      <w:r w:rsidR="00453781" w:rsidRPr="00453781">
        <w:t>)</w:t>
      </w:r>
      <w:r>
        <w:t>. Any related adverse events, any severe adverse events, and any serious adverse events</w:t>
      </w:r>
      <w:r w:rsidR="00453781" w:rsidRPr="00453781">
        <w:t xml:space="preserve"> were reported across the </w:t>
      </w:r>
      <w:r>
        <w:t>Comirnaty vaccine</w:t>
      </w:r>
      <w:r w:rsidR="00453781" w:rsidRPr="00453781">
        <w:t xml:space="preserve"> and placebo groups by ≤</w:t>
      </w:r>
      <w:r>
        <w:t> </w:t>
      </w:r>
      <w:r w:rsidR="00453781" w:rsidRPr="00453781">
        <w:t>4.7%, ≤</w:t>
      </w:r>
      <w:r>
        <w:t> </w:t>
      </w:r>
      <w:r w:rsidR="00453781" w:rsidRPr="00453781">
        <w:t>1.7%, and ≤</w:t>
      </w:r>
      <w:r>
        <w:t> </w:t>
      </w:r>
      <w:r w:rsidR="00453781" w:rsidRPr="00453781">
        <w:t>2.3%</w:t>
      </w:r>
      <w:r>
        <w:t xml:space="preserve"> of participants, respectively.</w:t>
      </w:r>
    </w:p>
    <w:p w14:paraId="653A5C03" w14:textId="4FE37A9E" w:rsidR="009C713F" w:rsidRDefault="009C713F" w:rsidP="009C713F">
      <w:pPr>
        <w:pStyle w:val="Tabletitle0"/>
      </w:pPr>
      <w:bookmarkStart w:id="80" w:name="_Ref113860426"/>
      <w:r>
        <w:lastRenderedPageBreak/>
        <w:t xml:space="preserve">Table </w:t>
      </w:r>
      <w:r w:rsidR="00582372">
        <w:fldChar w:fldCharType="begin"/>
      </w:r>
      <w:r w:rsidR="00582372">
        <w:instrText xml:space="preserve"> SEQ Table \* ARABIC </w:instrText>
      </w:r>
      <w:r w:rsidR="00582372">
        <w:fldChar w:fldCharType="separate"/>
      </w:r>
      <w:r w:rsidR="00145C93">
        <w:rPr>
          <w:noProof/>
        </w:rPr>
        <w:t>18</w:t>
      </w:r>
      <w:r w:rsidR="00582372">
        <w:rPr>
          <w:noProof/>
        </w:rPr>
        <w:fldChar w:fldCharType="end"/>
      </w:r>
      <w:bookmarkEnd w:id="80"/>
      <w:r>
        <w:t xml:space="preserve">: Study C4591007 (Phase II/III, children 2 to under 5 years of age); </w:t>
      </w:r>
      <w:r w:rsidR="00740ADB">
        <w:t>Number </w:t>
      </w:r>
      <w:r w:rsidRPr="009C713F">
        <w:t>(%) of p</w:t>
      </w:r>
      <w:r>
        <w:t>articipants reporting at least one adverse event from Dose 1 to one month after D</w:t>
      </w:r>
      <w:r w:rsidRPr="009C713F">
        <w:t>ose 3</w:t>
      </w:r>
      <w:r>
        <w:t xml:space="preserve"> (</w:t>
      </w:r>
      <w:r w:rsidRPr="009C713F">
        <w:t>blinded placebo-controlled follow-up</w:t>
      </w:r>
      <w:r>
        <w:t>, safety population)</w:t>
      </w:r>
    </w:p>
    <w:p w14:paraId="7AD1C90C" w14:textId="4EE05D97" w:rsidR="00453781" w:rsidRDefault="00453781" w:rsidP="00453781">
      <w:r w:rsidRPr="00453781">
        <w:rPr>
          <w:b/>
          <w:bCs/>
          <w:noProof/>
          <w:lang w:val="en-GB" w:eastAsia="en-GB"/>
        </w:rPr>
        <w:drawing>
          <wp:inline distT="0" distB="0" distL="0" distR="0" wp14:anchorId="09F6BBE8" wp14:editId="7346FA97">
            <wp:extent cx="5085608" cy="3130278"/>
            <wp:effectExtent l="19050" t="19050" r="20320" b="13335"/>
            <wp:docPr id="15" name="Picture 15" descr="Study C4591007 (Phase II/III, children 2 to under 5 years of age); Number (%) of participants reporting at least one adverse event from Dose 1 to one month after Dose 3 (blinded placebo-controlled follow-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rotWithShape="1">
                    <a:blip r:embed="rId42">
                      <a:extLst>
                        <a:ext uri="{28A0092B-C50C-407E-A947-70E740481C1C}">
                          <a14:useLocalDpi xmlns:a14="http://schemas.microsoft.com/office/drawing/2010/main" val="0"/>
                        </a:ext>
                      </a:extLst>
                    </a:blip>
                    <a:srcRect b="18222"/>
                    <a:stretch/>
                  </pic:blipFill>
                  <pic:spPr bwMode="auto">
                    <a:xfrm>
                      <a:off x="0" y="0"/>
                      <a:ext cx="5117234" cy="3149744"/>
                    </a:xfrm>
                    <a:prstGeom prst="rect">
                      <a:avLst/>
                    </a:prstGeom>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734D37" w14:textId="04B6F0B3" w:rsidR="00740ADB" w:rsidRDefault="00740ADB" w:rsidP="00740ADB">
      <w:pPr>
        <w:pStyle w:val="TableDescription"/>
      </w:pPr>
      <w:r>
        <w:t>a. N = number of participants in the specified group. This value is the denominator for the percentage calculations.</w:t>
      </w:r>
    </w:p>
    <w:p w14:paraId="793CA8B7" w14:textId="5599E133" w:rsidR="00740ADB" w:rsidRDefault="00740ADB" w:rsidP="00740ADB">
      <w:pPr>
        <w:pStyle w:val="TableDescription"/>
      </w:pPr>
      <w:r>
        <w:t>b. n = number of participants reporting at least one occurrence of the specified event category. For ‘any adverse event’, n = the number of participants reporting at least one occurrence of any adverse event.</w:t>
      </w:r>
    </w:p>
    <w:p w14:paraId="0B6132AE" w14:textId="744109A9" w:rsidR="00740ADB" w:rsidRDefault="00740ADB" w:rsidP="00740ADB">
      <w:pPr>
        <w:pStyle w:val="TableDescription"/>
      </w:pPr>
      <w:r>
        <w:t>c. Assessed by the investigator as related to the study intervention.</w:t>
      </w:r>
    </w:p>
    <w:p w14:paraId="72827F43" w14:textId="43B2C669" w:rsidR="009C713F" w:rsidRPr="00453781" w:rsidRDefault="009C713F" w:rsidP="009C713F">
      <w:pPr>
        <w:pStyle w:val="Tabletitle0"/>
      </w:pPr>
      <w:bookmarkStart w:id="81" w:name="_Ref113860437"/>
      <w:r>
        <w:t xml:space="preserve">Table </w:t>
      </w:r>
      <w:r w:rsidR="00582372">
        <w:fldChar w:fldCharType="begin"/>
      </w:r>
      <w:r w:rsidR="00582372">
        <w:instrText xml:space="preserve"> SEQ Table \* ARABIC </w:instrText>
      </w:r>
      <w:r w:rsidR="00582372">
        <w:fldChar w:fldCharType="separate"/>
      </w:r>
      <w:r w:rsidR="00145C93">
        <w:rPr>
          <w:noProof/>
        </w:rPr>
        <w:t>19</w:t>
      </w:r>
      <w:r w:rsidR="00582372">
        <w:rPr>
          <w:noProof/>
        </w:rPr>
        <w:fldChar w:fldCharType="end"/>
      </w:r>
      <w:bookmarkEnd w:id="81"/>
      <w:r>
        <w:t xml:space="preserve">: Study C4591007 (Phase II/III, children 6 months to under 2 years of age); </w:t>
      </w:r>
      <w:r w:rsidRPr="009C713F">
        <w:t>Number (%) of p</w:t>
      </w:r>
      <w:r>
        <w:t>articipants reporting at least one adverse event from Dose 1 to one month after D</w:t>
      </w:r>
      <w:r w:rsidRPr="009C713F">
        <w:t>ose 3</w:t>
      </w:r>
      <w:r>
        <w:t xml:space="preserve"> (</w:t>
      </w:r>
      <w:r w:rsidRPr="009C713F">
        <w:t>blinded placebo-controlled follow-up</w:t>
      </w:r>
      <w:r>
        <w:t>, safety population)</w:t>
      </w:r>
    </w:p>
    <w:p w14:paraId="23B883C7" w14:textId="658EC397" w:rsidR="00453781" w:rsidRDefault="00453781" w:rsidP="00453781">
      <w:r w:rsidRPr="00453781">
        <w:rPr>
          <w:noProof/>
          <w:lang w:val="en-GB" w:eastAsia="en-GB"/>
        </w:rPr>
        <w:drawing>
          <wp:inline distT="0" distB="0" distL="0" distR="0" wp14:anchorId="0707F015" wp14:editId="28A7E9C5">
            <wp:extent cx="5097365" cy="3062959"/>
            <wp:effectExtent l="19050" t="19050" r="27305" b="23495"/>
            <wp:docPr id="27" name="Picture 27" descr="Study C4591007 (Phase II/III, children 6 months to under 2 years of age); Number (%) of participants reporting at least one adverse event from Dose 1 to one month after Dose 3 (blinded placebo-controlled follow-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rotWithShape="1">
                    <a:blip r:embed="rId43">
                      <a:extLst>
                        <a:ext uri="{28A0092B-C50C-407E-A947-70E740481C1C}">
                          <a14:useLocalDpi xmlns:a14="http://schemas.microsoft.com/office/drawing/2010/main" val="0"/>
                        </a:ext>
                      </a:extLst>
                    </a:blip>
                    <a:srcRect b="19285"/>
                    <a:stretch/>
                  </pic:blipFill>
                  <pic:spPr bwMode="auto">
                    <a:xfrm>
                      <a:off x="0" y="0"/>
                      <a:ext cx="5130643" cy="3082955"/>
                    </a:xfrm>
                    <a:prstGeom prst="rect">
                      <a:avLst/>
                    </a:prstGeom>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857244" w14:textId="77777777" w:rsidR="002B259B" w:rsidRDefault="002B259B" w:rsidP="002B259B">
      <w:pPr>
        <w:pStyle w:val="TableDescription"/>
      </w:pPr>
      <w:r>
        <w:t>a. N = number of participants in the specified group. This value is the denominator for the percentage calculations.</w:t>
      </w:r>
    </w:p>
    <w:p w14:paraId="507D75BE" w14:textId="77777777" w:rsidR="002B259B" w:rsidRDefault="002B259B" w:rsidP="002B259B">
      <w:pPr>
        <w:pStyle w:val="TableDescription"/>
      </w:pPr>
      <w:r>
        <w:lastRenderedPageBreak/>
        <w:t>b. n = number of participants reporting at least one occurrence of the specified event category. For ‘any adverse event’, n = the number of participants reporting at least one occurrence of any adverse event.</w:t>
      </w:r>
    </w:p>
    <w:p w14:paraId="30F2610E" w14:textId="5D8AB82C" w:rsidR="002B259B" w:rsidRPr="00453781" w:rsidRDefault="002B259B" w:rsidP="002B259B">
      <w:pPr>
        <w:pStyle w:val="TableDescription"/>
      </w:pPr>
      <w:r>
        <w:t>c. Assessed by the investigator as related to the study intervention.</w:t>
      </w:r>
    </w:p>
    <w:p w14:paraId="78A41D5D" w14:textId="533CA9B4" w:rsidR="00453781" w:rsidRPr="00453781" w:rsidRDefault="00453781" w:rsidP="00453781">
      <w:r w:rsidRPr="00453781">
        <w:t xml:space="preserve">There were very few study withdrawals in either age cohort in both </w:t>
      </w:r>
      <w:r w:rsidR="00F539D0">
        <w:t>Comirnaty vaccine and</w:t>
      </w:r>
      <w:r w:rsidRPr="00453781">
        <w:t xml:space="preserve"> placebo groups.  No study participants died. Immediate </w:t>
      </w:r>
      <w:r w:rsidR="00F539D0">
        <w:t>adverse events</w:t>
      </w:r>
      <w:r w:rsidRPr="00453781">
        <w:t xml:space="preserve"> reported within 30 minutes of vaccination were low in frequency after any dose (≤</w:t>
      </w:r>
      <w:r w:rsidR="00F539D0">
        <w:t xml:space="preserve"> 0.3% for 2 to under </w:t>
      </w:r>
      <w:proofErr w:type="gramStart"/>
      <w:r w:rsidR="00F539D0">
        <w:t xml:space="preserve">5 year </w:t>
      </w:r>
      <w:proofErr w:type="spellStart"/>
      <w:r w:rsidR="00F539D0">
        <w:t>olds</w:t>
      </w:r>
      <w:proofErr w:type="spellEnd"/>
      <w:proofErr w:type="gramEnd"/>
      <w:r w:rsidR="00F539D0">
        <w:t>;</w:t>
      </w:r>
      <w:r w:rsidRPr="00453781">
        <w:t xml:space="preserve"> ≤ 0.5% </w:t>
      </w:r>
      <w:r w:rsidR="00F539D0">
        <w:t>for 6</w:t>
      </w:r>
      <w:r w:rsidRPr="00453781">
        <w:t xml:space="preserve"> months to</w:t>
      </w:r>
      <w:r w:rsidR="00F539D0">
        <w:t xml:space="preserve"> under</w:t>
      </w:r>
      <w:r w:rsidRPr="00453781">
        <w:t xml:space="preserve"> 2 year</w:t>
      </w:r>
      <w:r w:rsidR="00F539D0">
        <w:t xml:space="preserve"> </w:t>
      </w:r>
      <w:proofErr w:type="spellStart"/>
      <w:r w:rsidR="00F539D0">
        <w:t>olds</w:t>
      </w:r>
      <w:proofErr w:type="spellEnd"/>
      <w:r w:rsidRPr="00453781">
        <w:t xml:space="preserve">) of </w:t>
      </w:r>
      <w:bookmarkStart w:id="82" w:name="_Hlk112698316"/>
      <w:r w:rsidR="00F539D0">
        <w:t>Comirnaty vaccine</w:t>
      </w:r>
      <w:r w:rsidRPr="00453781">
        <w:t xml:space="preserve"> or placebo</w:t>
      </w:r>
      <w:bookmarkEnd w:id="82"/>
      <w:r w:rsidR="00F539D0">
        <w:t xml:space="preserve"> treated participants</w:t>
      </w:r>
      <w:r w:rsidRPr="00453781">
        <w:t xml:space="preserve">. No immediate events of anaphylaxis were reported after any vaccination. Severe </w:t>
      </w:r>
      <w:r w:rsidR="00F539D0">
        <w:t>adverse events</w:t>
      </w:r>
      <w:r w:rsidRPr="00453781">
        <w:t xml:space="preserve"> were reported infrequently. Most of the events considered as severe were unrelated </w:t>
      </w:r>
      <w:r w:rsidR="00F539D0">
        <w:t>serious adverse events</w:t>
      </w:r>
      <w:r w:rsidRPr="00453781">
        <w:t>.</w:t>
      </w:r>
    </w:p>
    <w:p w14:paraId="7A1AE3D2" w14:textId="54604E40" w:rsidR="00453781" w:rsidRPr="00453781" w:rsidRDefault="00F539D0" w:rsidP="00F539D0">
      <w:pPr>
        <w:pStyle w:val="Heading6"/>
      </w:pPr>
      <w:r>
        <w:t>Adverse events of special i</w:t>
      </w:r>
      <w:r w:rsidR="00453781" w:rsidRPr="00453781">
        <w:t>nterest</w:t>
      </w:r>
    </w:p>
    <w:p w14:paraId="74A2F4CF" w14:textId="77777777" w:rsidR="00453781" w:rsidRPr="00453781" w:rsidRDefault="00453781" w:rsidP="00453781">
      <w:r w:rsidRPr="00453781">
        <w:t>There were no cases reported in either age group as of the data cut-off date of myocarditis/pericarditis, Bell’s palsy (or facial paralysis/paresis), or vaccine related anaphylaxis.</w:t>
      </w:r>
    </w:p>
    <w:p w14:paraId="2A969D6A" w14:textId="4E781F7E" w:rsidR="00453781" w:rsidRPr="00453781" w:rsidRDefault="00453781" w:rsidP="00453781">
      <w:bookmarkStart w:id="83" w:name="_Hlk112699353"/>
      <w:r w:rsidRPr="00453781">
        <w:t>Lymphadenopathy</w:t>
      </w:r>
      <w:bookmarkEnd w:id="83"/>
      <w:r w:rsidR="00F539D0">
        <w:t xml:space="preserve"> (swollen lymph nodes) was reported by one</w:t>
      </w:r>
      <w:r w:rsidRPr="00453781">
        <w:t xml:space="preserve"> participant </w:t>
      </w:r>
      <w:bookmarkStart w:id="84" w:name="_Hlk112699303"/>
      <w:r w:rsidRPr="00453781">
        <w:t xml:space="preserve">in the </w:t>
      </w:r>
      <w:r w:rsidR="00F539D0">
        <w:t>Comirnaty vaccine</w:t>
      </w:r>
      <w:r w:rsidRPr="00453781">
        <w:t xml:space="preserve"> group </w:t>
      </w:r>
      <w:bookmarkEnd w:id="84"/>
      <w:r w:rsidR="00F539D0">
        <w:t xml:space="preserve">in the 2 to under </w:t>
      </w:r>
      <w:proofErr w:type="gramStart"/>
      <w:r w:rsidR="00F539D0">
        <w:t xml:space="preserve">5 </w:t>
      </w:r>
      <w:r w:rsidRPr="00453781">
        <w:t>year</w:t>
      </w:r>
      <w:r w:rsidR="00F539D0">
        <w:t xml:space="preserve"> </w:t>
      </w:r>
      <w:r w:rsidRPr="00453781">
        <w:t>old</w:t>
      </w:r>
      <w:proofErr w:type="gramEnd"/>
      <w:r w:rsidRPr="00453781">
        <w:t xml:space="preserve"> cohort, and 2 participants in the </w:t>
      </w:r>
      <w:r w:rsidR="00F539D0">
        <w:t>Comirnaty vaccine</w:t>
      </w:r>
      <w:r w:rsidRPr="00453781">
        <w:t xml:space="preserve"> group in the younger cohort. No lymphadenopathy was reported in the placebo group.</w:t>
      </w:r>
    </w:p>
    <w:p w14:paraId="6F21BADB" w14:textId="1F77D540" w:rsidR="00453781" w:rsidRPr="00453781" w:rsidRDefault="00453781" w:rsidP="00453781">
      <w:r w:rsidRPr="00453781">
        <w:t xml:space="preserve">Two events of appendicitis were reported, both </w:t>
      </w:r>
      <w:r w:rsidR="00F539D0">
        <w:t xml:space="preserve">events </w:t>
      </w:r>
      <w:r w:rsidRPr="00453781">
        <w:t xml:space="preserve">in the </w:t>
      </w:r>
      <w:r w:rsidR="00F539D0">
        <w:t>Comirnaty vaccine</w:t>
      </w:r>
      <w:r w:rsidRPr="00453781">
        <w:t xml:space="preserve"> group in the older cohort, both reported as </w:t>
      </w:r>
      <w:r w:rsidR="00F539D0">
        <w:t>serious adverse events that were unrelated to the vaccine.</w:t>
      </w:r>
      <w:r w:rsidRPr="00453781">
        <w:t xml:space="preserve"> Rashe</w:t>
      </w:r>
      <w:r w:rsidR="00F539D0">
        <w:t xml:space="preserve">s were reported infrequently </w:t>
      </w:r>
      <w:r w:rsidRPr="00453781">
        <w:t>for all groups</w:t>
      </w:r>
      <w:r w:rsidR="00F539D0">
        <w:t>, both vaccine and placebo treated groups, and in both age groups</w:t>
      </w:r>
      <w:r w:rsidRPr="00453781">
        <w:t xml:space="preserve">. Convulsions were infrequent, and at the same incidence in the </w:t>
      </w:r>
      <w:r w:rsidR="00F539D0">
        <w:t>vaccine</w:t>
      </w:r>
      <w:r w:rsidRPr="00453781">
        <w:t xml:space="preserve"> and placebo groups.</w:t>
      </w:r>
    </w:p>
    <w:p w14:paraId="7C0A4B1B" w14:textId="77777777" w:rsidR="00453781" w:rsidRPr="00453781" w:rsidRDefault="00453781" w:rsidP="00F539D0">
      <w:pPr>
        <w:pStyle w:val="Heading6"/>
      </w:pPr>
      <w:r w:rsidRPr="00453781">
        <w:t>Conclusions on safety</w:t>
      </w:r>
    </w:p>
    <w:p w14:paraId="31F04C36" w14:textId="5BB41167" w:rsidR="00453781" w:rsidRPr="00453781" w:rsidRDefault="00453781" w:rsidP="00453781">
      <w:r w:rsidRPr="00453781">
        <w:t xml:space="preserve">The observed </w:t>
      </w:r>
      <w:r w:rsidR="00F539D0">
        <w:t>adverse event</w:t>
      </w:r>
      <w:r w:rsidRPr="00453781">
        <w:t xml:space="preserve"> profile in this study did not suggest any serious safety concerns for </w:t>
      </w:r>
      <w:r w:rsidR="00F539D0">
        <w:t>Comirnaty vaccine</w:t>
      </w:r>
      <w:r w:rsidRPr="00453781">
        <w:t xml:space="preserve"> administered as three doses at the 3</w:t>
      </w:r>
      <w:r w:rsidR="00727EE6">
        <w:t xml:space="preserve"> </w:t>
      </w:r>
      <w:proofErr w:type="spellStart"/>
      <w:r w:rsidR="00727EE6">
        <w:t>μg</w:t>
      </w:r>
      <w:proofErr w:type="spellEnd"/>
      <w:r w:rsidRPr="00453781">
        <w:t xml:space="preserve"> dose level in children </w:t>
      </w:r>
      <w:r w:rsidR="00F539D0">
        <w:t xml:space="preserve">from 6 months to under </w:t>
      </w:r>
      <w:r w:rsidRPr="00453781">
        <w:t xml:space="preserve">5 years of age. Many </w:t>
      </w:r>
      <w:r w:rsidR="00F539D0">
        <w:t>adverse events reported up to one </w:t>
      </w:r>
      <w:r w:rsidRPr="00453781">
        <w:t xml:space="preserve">month after Dose 3 were consistent with reactogenicity events, or other infections or illnesses that are expected to be observed in a paediatric general population. Few </w:t>
      </w:r>
      <w:r w:rsidR="00F539D0">
        <w:t>serious adverse events</w:t>
      </w:r>
      <w:r w:rsidRPr="00453781">
        <w:t xml:space="preserve"> </w:t>
      </w:r>
      <w:r w:rsidR="00F539D0">
        <w:t>or adverse events leading to withdrawal</w:t>
      </w:r>
      <w:r w:rsidRPr="00453781">
        <w:t xml:space="preserve"> were reported</w:t>
      </w:r>
      <w:r w:rsidR="00F539D0">
        <w:t>; and there were zero deaths</w:t>
      </w:r>
      <w:r w:rsidRPr="00453781">
        <w:t xml:space="preserve">. There were few </w:t>
      </w:r>
      <w:r w:rsidR="00F539D0">
        <w:t>adverse events</w:t>
      </w:r>
      <w:r w:rsidRPr="00453781">
        <w:t xml:space="preserve"> of clinical interest reported, and no cases were observed of vaccine-associated anaphylaxis or myocarditis/pericarditis.</w:t>
      </w:r>
    </w:p>
    <w:p w14:paraId="2A4C64D1" w14:textId="347CD155" w:rsidR="008E7846" w:rsidRDefault="00386150" w:rsidP="007B6132">
      <w:pPr>
        <w:pStyle w:val="Heading3"/>
        <w:rPr>
          <w:lang w:eastAsia="en-AU"/>
        </w:rPr>
      </w:pPr>
      <w:bookmarkStart w:id="85" w:name="_Toc314842514"/>
      <w:bookmarkStart w:id="86" w:name="_Toc116380313"/>
      <w:r>
        <w:rPr>
          <w:lang w:eastAsia="en-AU"/>
        </w:rPr>
        <w:t>Risk m</w:t>
      </w:r>
      <w:r w:rsidR="008E7846">
        <w:rPr>
          <w:lang w:eastAsia="en-AU"/>
        </w:rPr>
        <w:t xml:space="preserve">anagement </w:t>
      </w:r>
      <w:r>
        <w:rPr>
          <w:lang w:eastAsia="en-AU"/>
        </w:rPr>
        <w:t>p</w:t>
      </w:r>
      <w:r w:rsidR="008E7846">
        <w:rPr>
          <w:lang w:eastAsia="en-AU"/>
        </w:rPr>
        <w:t>lan</w:t>
      </w:r>
      <w:bookmarkEnd w:id="85"/>
      <w:bookmarkEnd w:id="86"/>
    </w:p>
    <w:p w14:paraId="7508C770" w14:textId="792F3FF6" w:rsidR="00A00232" w:rsidRDefault="00A00232" w:rsidP="00A00232">
      <w:pPr>
        <w:rPr>
          <w:lang w:eastAsia="en-AU"/>
        </w:rPr>
      </w:pPr>
      <w:r>
        <w:rPr>
          <w:lang w:eastAsia="en-AU"/>
        </w:rPr>
        <w:t>The sponsor has applied to extend the indications of Comirnaty (tozinameran) COVID-19 vaccine to include the use of this vaccine for individuals 6 months of age and older, through the provisional approval pathway. Comirnaty is currently approved to be used in individuals 5 years of age and older. The current submission also seeks approval to introduce a new strength, of 3 µg/0.2 mL dose, to be used in the 6 months to under 5 years of age group. Currently approved strengths are 30 µg/0.3 mL dose and 10 µg/0.2 mL dose.</w:t>
      </w:r>
    </w:p>
    <w:p w14:paraId="337779E7" w14:textId="2627F4BE" w:rsidR="00A00232" w:rsidRPr="00A00232" w:rsidRDefault="00A00232" w:rsidP="00A00232">
      <w:pPr>
        <w:rPr>
          <w:lang w:eastAsia="en-AU"/>
        </w:rPr>
      </w:pPr>
      <w:r>
        <w:rPr>
          <w:lang w:eastAsia="en-AU"/>
        </w:rPr>
        <w:t>In support of this submission, the sponsor provided EU-risk management plan (RMP) version 5.1 (date 1 July 2022; data lock point (DLP) 6 months to under</w:t>
      </w:r>
      <w:r w:rsidR="002B259B">
        <w:rPr>
          <w:lang w:eastAsia="en-AU"/>
        </w:rPr>
        <w:t xml:space="preserve"> </w:t>
      </w:r>
      <w:r>
        <w:rPr>
          <w:lang w:eastAsia="en-AU"/>
        </w:rPr>
        <w:t>5 years (primary series: 16 July 2021 (Phase I), 29 April 2022 (Phase II/III); 29 April 2022 (sponsor clinical database, Study C4591007 Phase II/III) 15 April 2022 (sponsor safety database, non-CT dataset), and Australian-specific annex (ASA) version 0.5 (date 16 August 2022).</w:t>
      </w:r>
    </w:p>
    <w:p w14:paraId="3FD3BA79" w14:textId="78FCCF80" w:rsidR="0074163C" w:rsidRDefault="0074163C" w:rsidP="0074163C">
      <w:bookmarkStart w:id="87" w:name="_Toc247691531"/>
      <w:bookmarkStart w:id="88" w:name="_Toc314842515"/>
      <w:bookmarkStart w:id="89" w:name="_Toc196046505"/>
      <w:bookmarkStart w:id="90" w:name="_Toc196046949"/>
      <w:r>
        <w:t>The summary of safety concerns and their associated risk monitoring and mitigation strat</w:t>
      </w:r>
      <w:r w:rsidR="00011418">
        <w:t xml:space="preserve">egies are summarised in </w:t>
      </w:r>
      <w:r w:rsidR="00011418">
        <w:fldChar w:fldCharType="begin"/>
      </w:r>
      <w:r w:rsidR="00011418">
        <w:instrText xml:space="preserve"> REF _Ref97629131 \h </w:instrText>
      </w:r>
      <w:r w:rsidR="00011418">
        <w:fldChar w:fldCharType="separate"/>
      </w:r>
      <w:r w:rsidR="00145C93">
        <w:t xml:space="preserve">Table </w:t>
      </w:r>
      <w:r w:rsidR="00145C93">
        <w:rPr>
          <w:noProof/>
        </w:rPr>
        <w:t>20</w:t>
      </w:r>
      <w:r w:rsidR="00011418">
        <w:fldChar w:fldCharType="end"/>
      </w:r>
      <w:r w:rsidR="00011418">
        <w:t>, below</w:t>
      </w:r>
      <w:r>
        <w:t xml:space="preserve">. Further information regarding </w:t>
      </w:r>
      <w:r w:rsidR="00CC5044">
        <w:t>the TGA</w:t>
      </w:r>
      <w:r w:rsidR="00BF7063">
        <w:t>’</w:t>
      </w:r>
      <w:r w:rsidR="00CC5044">
        <w:t xml:space="preserve">s </w:t>
      </w:r>
      <w:r w:rsidR="00CC5044">
        <w:lastRenderedPageBreak/>
        <w:t>r</w:t>
      </w:r>
      <w:r>
        <w:t xml:space="preserve">isk management approach can be found in </w:t>
      </w:r>
      <w:hyperlink r:id="rId44" w:history="1">
        <w:r w:rsidRPr="0023444E">
          <w:rPr>
            <w:rStyle w:val="Hyperlink"/>
          </w:rPr>
          <w:t>risk management plans for medicines and biologicals</w:t>
        </w:r>
      </w:hyperlink>
      <w:r>
        <w:t xml:space="preserve"> and </w:t>
      </w:r>
      <w:hyperlink r:id="rId45" w:history="1">
        <w:r w:rsidRPr="0023444E">
          <w:rPr>
            <w:rStyle w:val="Hyperlink"/>
          </w:rPr>
          <w:t>the TGA's risk management approach</w:t>
        </w:r>
      </w:hyperlink>
      <w:r>
        <w:t>.</w:t>
      </w:r>
    </w:p>
    <w:p w14:paraId="38A57957" w14:textId="40A9BEC2" w:rsidR="0074163C" w:rsidRDefault="0074163C" w:rsidP="0074163C">
      <w:pPr>
        <w:pStyle w:val="TableTitle"/>
      </w:pPr>
      <w:bookmarkStart w:id="91" w:name="_Ref97629131"/>
      <w:r>
        <w:t xml:space="preserve">Table </w:t>
      </w:r>
      <w:r w:rsidR="00582372">
        <w:fldChar w:fldCharType="begin"/>
      </w:r>
      <w:r w:rsidR="00582372">
        <w:instrText xml:space="preserve"> SEQ Table \* ARABIC </w:instrText>
      </w:r>
      <w:r w:rsidR="00582372">
        <w:fldChar w:fldCharType="separate"/>
      </w:r>
      <w:r w:rsidR="00145C93">
        <w:rPr>
          <w:noProof/>
        </w:rPr>
        <w:t>20</w:t>
      </w:r>
      <w:r w:rsidR="00582372">
        <w:rPr>
          <w:noProof/>
        </w:rPr>
        <w:fldChar w:fldCharType="end"/>
      </w:r>
      <w:bookmarkEnd w:id="91"/>
      <w:r>
        <w:t>: Summary of safety concerns</w:t>
      </w:r>
    </w:p>
    <w:tbl>
      <w:tblPr>
        <w:tblStyle w:val="TableTGAblue"/>
        <w:tblW w:w="8900" w:type="dxa"/>
        <w:tblLayout w:type="fixed"/>
        <w:tblLook w:val="04A0" w:firstRow="1" w:lastRow="0" w:firstColumn="1" w:lastColumn="0" w:noHBand="0" w:noVBand="1"/>
      </w:tblPr>
      <w:tblGrid>
        <w:gridCol w:w="1327"/>
        <w:gridCol w:w="3433"/>
        <w:gridCol w:w="900"/>
        <w:gridCol w:w="1170"/>
        <w:gridCol w:w="900"/>
        <w:gridCol w:w="1170"/>
      </w:tblGrid>
      <w:tr w:rsidR="00011418" w:rsidRPr="00011418" w14:paraId="1CCF535B" w14:textId="77777777" w:rsidTr="000D2C75">
        <w:trPr>
          <w:cnfStyle w:val="100000000000" w:firstRow="1" w:lastRow="0" w:firstColumn="0" w:lastColumn="0" w:oddVBand="0" w:evenVBand="0" w:oddHBand="0" w:evenHBand="0" w:firstRowFirstColumn="0" w:firstRowLastColumn="0" w:lastRowFirstColumn="0" w:lastRowLastColumn="0"/>
          <w:trHeight w:val="131"/>
        </w:trPr>
        <w:tc>
          <w:tcPr>
            <w:tcW w:w="4760" w:type="dxa"/>
            <w:gridSpan w:val="2"/>
            <w:vMerge w:val="restart"/>
            <w:tcBorders>
              <w:top w:val="single" w:sz="4" w:space="0" w:color="auto"/>
              <w:left w:val="single" w:sz="4" w:space="0" w:color="auto"/>
              <w:bottom w:val="single" w:sz="4" w:space="0" w:color="auto"/>
              <w:right w:val="single" w:sz="4" w:space="0" w:color="auto"/>
            </w:tcBorders>
          </w:tcPr>
          <w:p w14:paraId="3B1944D2" w14:textId="77777777" w:rsidR="00011418" w:rsidRPr="000D2C75" w:rsidRDefault="00011418" w:rsidP="00011418">
            <w:pPr>
              <w:ind w:left="0" w:right="0"/>
              <w:rPr>
                <w:sz w:val="20"/>
              </w:rPr>
            </w:pPr>
            <w:r w:rsidRPr="000D2C75">
              <w:rPr>
                <w:sz w:val="20"/>
              </w:rPr>
              <w:t>Summary of safety concerns</w:t>
            </w:r>
          </w:p>
        </w:tc>
        <w:tc>
          <w:tcPr>
            <w:tcW w:w="2070" w:type="dxa"/>
            <w:gridSpan w:val="2"/>
            <w:tcBorders>
              <w:top w:val="single" w:sz="4" w:space="0" w:color="auto"/>
              <w:left w:val="single" w:sz="4" w:space="0" w:color="auto"/>
              <w:bottom w:val="single" w:sz="4" w:space="0" w:color="auto"/>
              <w:right w:val="single" w:sz="4" w:space="0" w:color="auto"/>
            </w:tcBorders>
          </w:tcPr>
          <w:p w14:paraId="53721005" w14:textId="77777777" w:rsidR="00011418" w:rsidRPr="000D2C75" w:rsidRDefault="00011418" w:rsidP="00011418">
            <w:pPr>
              <w:ind w:left="0" w:right="0"/>
              <w:rPr>
                <w:sz w:val="20"/>
              </w:rPr>
            </w:pPr>
            <w:r w:rsidRPr="000D2C75">
              <w:rPr>
                <w:sz w:val="20"/>
              </w:rPr>
              <w:t>Pharmacovigilance</w:t>
            </w:r>
          </w:p>
        </w:tc>
        <w:tc>
          <w:tcPr>
            <w:tcW w:w="2070" w:type="dxa"/>
            <w:gridSpan w:val="2"/>
            <w:tcBorders>
              <w:top w:val="single" w:sz="4" w:space="0" w:color="auto"/>
              <w:left w:val="single" w:sz="4" w:space="0" w:color="auto"/>
              <w:bottom w:val="single" w:sz="4" w:space="0" w:color="auto"/>
              <w:right w:val="single" w:sz="4" w:space="0" w:color="auto"/>
            </w:tcBorders>
          </w:tcPr>
          <w:p w14:paraId="59DD6096" w14:textId="77777777" w:rsidR="00011418" w:rsidRPr="000D2C75" w:rsidRDefault="00011418" w:rsidP="00011418">
            <w:pPr>
              <w:ind w:left="0" w:right="0"/>
              <w:rPr>
                <w:sz w:val="20"/>
              </w:rPr>
            </w:pPr>
            <w:r w:rsidRPr="000D2C75">
              <w:rPr>
                <w:sz w:val="20"/>
              </w:rPr>
              <w:t>Risk Minimisation</w:t>
            </w:r>
          </w:p>
        </w:tc>
      </w:tr>
      <w:tr w:rsidR="00011418" w:rsidRPr="00011418" w14:paraId="2AD8C846" w14:textId="77777777" w:rsidTr="000D2C75">
        <w:trPr>
          <w:trHeight w:val="150"/>
        </w:trPr>
        <w:tc>
          <w:tcPr>
            <w:tcW w:w="4760" w:type="dxa"/>
            <w:gridSpan w:val="2"/>
            <w:vMerge/>
            <w:tcBorders>
              <w:top w:val="single" w:sz="4" w:space="0" w:color="auto"/>
              <w:left w:val="single" w:sz="4" w:space="0" w:color="auto"/>
              <w:bottom w:val="single" w:sz="4" w:space="0" w:color="auto"/>
              <w:right w:val="single" w:sz="4" w:space="0" w:color="auto"/>
            </w:tcBorders>
            <w:shd w:val="clear" w:color="auto" w:fill="006DA7"/>
          </w:tcPr>
          <w:p w14:paraId="58BD7D02" w14:textId="77777777" w:rsidR="00011418" w:rsidRPr="000D2C75" w:rsidRDefault="00011418" w:rsidP="00011418">
            <w:pPr>
              <w:ind w:left="0" w:right="0"/>
              <w:rPr>
                <w:color w:val="FFFFFF" w:themeColor="background1"/>
                <w:sz w:val="20"/>
              </w:rPr>
            </w:pPr>
          </w:p>
        </w:tc>
        <w:tc>
          <w:tcPr>
            <w:tcW w:w="900" w:type="dxa"/>
            <w:tcBorders>
              <w:top w:val="single" w:sz="4" w:space="0" w:color="auto"/>
              <w:left w:val="single" w:sz="4" w:space="0" w:color="auto"/>
              <w:bottom w:val="single" w:sz="4" w:space="0" w:color="auto"/>
              <w:right w:val="single" w:sz="4" w:space="0" w:color="auto"/>
            </w:tcBorders>
            <w:shd w:val="clear" w:color="auto" w:fill="006DA7"/>
          </w:tcPr>
          <w:p w14:paraId="7871A358" w14:textId="77777777" w:rsidR="00011418" w:rsidRPr="000D2C75" w:rsidRDefault="00011418" w:rsidP="00011418">
            <w:pPr>
              <w:ind w:left="0" w:right="0"/>
              <w:rPr>
                <w:color w:val="FFFFFF" w:themeColor="background1"/>
                <w:sz w:val="20"/>
              </w:rPr>
            </w:pPr>
            <w:r w:rsidRPr="000D2C75">
              <w:rPr>
                <w:color w:val="FFFFFF" w:themeColor="background1"/>
                <w:sz w:val="20"/>
              </w:rPr>
              <w:t>Routine</w:t>
            </w:r>
          </w:p>
        </w:tc>
        <w:tc>
          <w:tcPr>
            <w:tcW w:w="1170" w:type="dxa"/>
            <w:tcBorders>
              <w:top w:val="single" w:sz="4" w:space="0" w:color="auto"/>
              <w:left w:val="single" w:sz="4" w:space="0" w:color="auto"/>
              <w:bottom w:val="single" w:sz="4" w:space="0" w:color="auto"/>
              <w:right w:val="single" w:sz="4" w:space="0" w:color="auto"/>
            </w:tcBorders>
            <w:shd w:val="clear" w:color="auto" w:fill="006DA7"/>
          </w:tcPr>
          <w:p w14:paraId="3A945D35" w14:textId="77777777" w:rsidR="00011418" w:rsidRPr="000D2C75" w:rsidRDefault="00011418" w:rsidP="00011418">
            <w:pPr>
              <w:ind w:left="0" w:right="0"/>
              <w:rPr>
                <w:color w:val="FFFFFF" w:themeColor="background1"/>
                <w:sz w:val="20"/>
              </w:rPr>
            </w:pPr>
            <w:r w:rsidRPr="000D2C75">
              <w:rPr>
                <w:color w:val="FFFFFF" w:themeColor="background1"/>
                <w:sz w:val="20"/>
              </w:rPr>
              <w:t>Additional</w:t>
            </w:r>
          </w:p>
        </w:tc>
        <w:tc>
          <w:tcPr>
            <w:tcW w:w="900" w:type="dxa"/>
            <w:tcBorders>
              <w:top w:val="single" w:sz="4" w:space="0" w:color="auto"/>
              <w:left w:val="single" w:sz="4" w:space="0" w:color="auto"/>
              <w:bottom w:val="single" w:sz="4" w:space="0" w:color="auto"/>
              <w:right w:val="single" w:sz="4" w:space="0" w:color="auto"/>
            </w:tcBorders>
            <w:shd w:val="clear" w:color="auto" w:fill="006DA7"/>
          </w:tcPr>
          <w:p w14:paraId="68C88601" w14:textId="77777777" w:rsidR="00011418" w:rsidRPr="000D2C75" w:rsidRDefault="00011418" w:rsidP="00011418">
            <w:pPr>
              <w:ind w:left="0" w:right="0"/>
              <w:rPr>
                <w:color w:val="FFFFFF" w:themeColor="background1"/>
                <w:sz w:val="20"/>
              </w:rPr>
            </w:pPr>
            <w:r w:rsidRPr="000D2C75">
              <w:rPr>
                <w:color w:val="FFFFFF" w:themeColor="background1"/>
                <w:sz w:val="20"/>
              </w:rPr>
              <w:t>Routine</w:t>
            </w:r>
          </w:p>
        </w:tc>
        <w:tc>
          <w:tcPr>
            <w:tcW w:w="1170" w:type="dxa"/>
            <w:tcBorders>
              <w:top w:val="single" w:sz="4" w:space="0" w:color="auto"/>
              <w:left w:val="single" w:sz="4" w:space="0" w:color="auto"/>
              <w:bottom w:val="single" w:sz="4" w:space="0" w:color="auto"/>
              <w:right w:val="single" w:sz="4" w:space="0" w:color="auto"/>
            </w:tcBorders>
            <w:shd w:val="clear" w:color="auto" w:fill="006DA7"/>
          </w:tcPr>
          <w:p w14:paraId="6FC9C6B4" w14:textId="77777777" w:rsidR="00011418" w:rsidRPr="000D2C75" w:rsidRDefault="00011418" w:rsidP="00011418">
            <w:pPr>
              <w:ind w:left="0" w:right="0"/>
              <w:rPr>
                <w:color w:val="FFFFFF" w:themeColor="background1"/>
                <w:sz w:val="20"/>
              </w:rPr>
            </w:pPr>
            <w:r w:rsidRPr="000D2C75">
              <w:rPr>
                <w:color w:val="FFFFFF" w:themeColor="background1"/>
                <w:sz w:val="20"/>
              </w:rPr>
              <w:t>Additional</w:t>
            </w:r>
          </w:p>
        </w:tc>
      </w:tr>
      <w:tr w:rsidR="00011418" w:rsidRPr="00011418" w14:paraId="5CAF7B2C" w14:textId="77777777" w:rsidTr="000D2C75">
        <w:trPr>
          <w:trHeight w:val="94"/>
        </w:trPr>
        <w:tc>
          <w:tcPr>
            <w:tcW w:w="1327" w:type="dxa"/>
            <w:tcBorders>
              <w:top w:val="single" w:sz="4" w:space="0" w:color="auto"/>
            </w:tcBorders>
          </w:tcPr>
          <w:p w14:paraId="5987FA06" w14:textId="77777777" w:rsidR="00011418" w:rsidRPr="00011418" w:rsidRDefault="00011418" w:rsidP="00011418">
            <w:pPr>
              <w:ind w:left="0" w:right="0"/>
              <w:rPr>
                <w:b/>
                <w:sz w:val="20"/>
              </w:rPr>
            </w:pPr>
            <w:r w:rsidRPr="00011418">
              <w:rPr>
                <w:b/>
                <w:sz w:val="20"/>
              </w:rPr>
              <w:t>Important identified risks</w:t>
            </w:r>
          </w:p>
        </w:tc>
        <w:tc>
          <w:tcPr>
            <w:tcW w:w="3433" w:type="dxa"/>
            <w:tcBorders>
              <w:top w:val="single" w:sz="4" w:space="0" w:color="auto"/>
            </w:tcBorders>
          </w:tcPr>
          <w:p w14:paraId="508F94CA" w14:textId="77777777" w:rsidR="00011418" w:rsidRPr="00011418" w:rsidRDefault="00011418" w:rsidP="00011418">
            <w:pPr>
              <w:ind w:left="0" w:right="0"/>
              <w:rPr>
                <w:sz w:val="20"/>
              </w:rPr>
            </w:pPr>
            <w:r w:rsidRPr="00011418">
              <w:rPr>
                <w:sz w:val="20"/>
              </w:rPr>
              <w:t>Myocarditis and pericarditis</w:t>
            </w:r>
          </w:p>
        </w:tc>
        <w:tc>
          <w:tcPr>
            <w:tcW w:w="900" w:type="dxa"/>
            <w:tcBorders>
              <w:top w:val="single" w:sz="4" w:space="0" w:color="auto"/>
            </w:tcBorders>
          </w:tcPr>
          <w:p w14:paraId="2F4BF6B4" w14:textId="77777777" w:rsidR="00011418" w:rsidRPr="00011418" w:rsidRDefault="00011418" w:rsidP="002B259B">
            <w:pPr>
              <w:ind w:left="0" w:right="0"/>
              <w:jc w:val="center"/>
              <w:rPr>
                <w:sz w:val="20"/>
              </w:rPr>
            </w:pPr>
            <w:r w:rsidRPr="00011418">
              <w:rPr>
                <w:sz w:val="20"/>
              </w:rPr>
              <w:sym w:font="Wingdings" w:char="F0FC"/>
            </w:r>
          </w:p>
        </w:tc>
        <w:tc>
          <w:tcPr>
            <w:tcW w:w="1170" w:type="dxa"/>
            <w:tcBorders>
              <w:top w:val="single" w:sz="4" w:space="0" w:color="auto"/>
            </w:tcBorders>
          </w:tcPr>
          <w:p w14:paraId="104431C2" w14:textId="77777777" w:rsidR="00011418" w:rsidRPr="00011418" w:rsidRDefault="00011418" w:rsidP="002B259B">
            <w:pPr>
              <w:ind w:left="0" w:right="0"/>
              <w:jc w:val="center"/>
              <w:rPr>
                <w:sz w:val="20"/>
              </w:rPr>
            </w:pPr>
            <w:r w:rsidRPr="00011418">
              <w:rPr>
                <w:sz w:val="20"/>
              </w:rPr>
              <w:sym w:font="Wingdings" w:char="F0FC"/>
            </w:r>
            <w:r w:rsidRPr="00011418">
              <w:rPr>
                <w:sz w:val="20"/>
              </w:rPr>
              <w:t>*</w:t>
            </w:r>
          </w:p>
        </w:tc>
        <w:tc>
          <w:tcPr>
            <w:tcW w:w="900" w:type="dxa"/>
            <w:tcBorders>
              <w:top w:val="single" w:sz="4" w:space="0" w:color="auto"/>
            </w:tcBorders>
          </w:tcPr>
          <w:p w14:paraId="23359534" w14:textId="77777777" w:rsidR="00011418" w:rsidRPr="00011418" w:rsidRDefault="00011418" w:rsidP="002B259B">
            <w:pPr>
              <w:ind w:left="0" w:right="0"/>
              <w:jc w:val="center"/>
              <w:rPr>
                <w:sz w:val="20"/>
              </w:rPr>
            </w:pPr>
            <w:r w:rsidRPr="00011418">
              <w:rPr>
                <w:sz w:val="20"/>
              </w:rPr>
              <w:sym w:font="Wingdings" w:char="F0FC"/>
            </w:r>
          </w:p>
        </w:tc>
        <w:tc>
          <w:tcPr>
            <w:tcW w:w="1170" w:type="dxa"/>
            <w:tcBorders>
              <w:top w:val="single" w:sz="4" w:space="0" w:color="auto"/>
            </w:tcBorders>
          </w:tcPr>
          <w:p w14:paraId="59A9A86E" w14:textId="77777777" w:rsidR="00011418" w:rsidRPr="00011418" w:rsidRDefault="00011418" w:rsidP="002B259B">
            <w:pPr>
              <w:ind w:left="0" w:right="0"/>
              <w:jc w:val="center"/>
              <w:rPr>
                <w:sz w:val="20"/>
              </w:rPr>
            </w:pPr>
            <w:r w:rsidRPr="00011418">
              <w:rPr>
                <w:sz w:val="20"/>
              </w:rPr>
              <w:t>–</w:t>
            </w:r>
          </w:p>
        </w:tc>
      </w:tr>
      <w:tr w:rsidR="00011418" w:rsidRPr="00011418" w14:paraId="3DC5EC14" w14:textId="77777777" w:rsidTr="00011418">
        <w:trPr>
          <w:trHeight w:val="159"/>
        </w:trPr>
        <w:tc>
          <w:tcPr>
            <w:tcW w:w="1327" w:type="dxa"/>
          </w:tcPr>
          <w:p w14:paraId="53152073" w14:textId="77777777" w:rsidR="00011418" w:rsidRPr="00011418" w:rsidRDefault="00011418" w:rsidP="00011418">
            <w:pPr>
              <w:ind w:left="0" w:right="0"/>
              <w:rPr>
                <w:b/>
                <w:sz w:val="20"/>
              </w:rPr>
            </w:pPr>
            <w:r w:rsidRPr="00011418">
              <w:rPr>
                <w:b/>
                <w:sz w:val="20"/>
              </w:rPr>
              <w:t>Important potential risks</w:t>
            </w:r>
          </w:p>
        </w:tc>
        <w:tc>
          <w:tcPr>
            <w:tcW w:w="3433" w:type="dxa"/>
          </w:tcPr>
          <w:p w14:paraId="6C8AB0F8" w14:textId="77777777" w:rsidR="00011418" w:rsidRPr="00011418" w:rsidRDefault="00011418" w:rsidP="00011418">
            <w:pPr>
              <w:ind w:left="0" w:right="0"/>
              <w:rPr>
                <w:sz w:val="20"/>
              </w:rPr>
            </w:pPr>
            <w:r w:rsidRPr="00011418">
              <w:rPr>
                <w:sz w:val="20"/>
              </w:rPr>
              <w:t>Vaccine-associated enhanced disease (VAED) including Vaccine-associated enhanced respiratory disease (VAERD)</w:t>
            </w:r>
          </w:p>
        </w:tc>
        <w:tc>
          <w:tcPr>
            <w:tcW w:w="900" w:type="dxa"/>
          </w:tcPr>
          <w:p w14:paraId="1FB40817" w14:textId="77777777" w:rsidR="00011418" w:rsidRPr="00011418" w:rsidRDefault="00011418" w:rsidP="002B259B">
            <w:pPr>
              <w:ind w:left="0" w:right="0"/>
              <w:jc w:val="center"/>
              <w:rPr>
                <w:sz w:val="20"/>
              </w:rPr>
            </w:pPr>
            <w:r w:rsidRPr="00011418">
              <w:rPr>
                <w:sz w:val="20"/>
              </w:rPr>
              <w:sym w:font="Wingdings" w:char="F0FC"/>
            </w:r>
            <w:r w:rsidRPr="00011418">
              <w:rPr>
                <w:sz w:val="20"/>
              </w:rPr>
              <w:t>†</w:t>
            </w:r>
          </w:p>
        </w:tc>
        <w:tc>
          <w:tcPr>
            <w:tcW w:w="1170" w:type="dxa"/>
          </w:tcPr>
          <w:p w14:paraId="58A726B5" w14:textId="77777777" w:rsidR="00011418" w:rsidRPr="00011418" w:rsidRDefault="00011418" w:rsidP="002B259B">
            <w:pPr>
              <w:ind w:left="0" w:right="0"/>
              <w:jc w:val="center"/>
              <w:rPr>
                <w:sz w:val="20"/>
              </w:rPr>
            </w:pPr>
            <w:r w:rsidRPr="00011418">
              <w:rPr>
                <w:sz w:val="20"/>
              </w:rPr>
              <w:sym w:font="Wingdings" w:char="F0FC"/>
            </w:r>
            <w:r w:rsidRPr="00011418">
              <w:rPr>
                <w:sz w:val="20"/>
              </w:rPr>
              <w:t>*</w:t>
            </w:r>
          </w:p>
        </w:tc>
        <w:tc>
          <w:tcPr>
            <w:tcW w:w="900" w:type="dxa"/>
          </w:tcPr>
          <w:p w14:paraId="1F84CB1E" w14:textId="77777777" w:rsidR="00011418" w:rsidRPr="00011418" w:rsidRDefault="00011418" w:rsidP="002B259B">
            <w:pPr>
              <w:ind w:left="0" w:right="0"/>
              <w:jc w:val="center"/>
              <w:rPr>
                <w:sz w:val="20"/>
              </w:rPr>
            </w:pPr>
            <w:r w:rsidRPr="00011418">
              <w:rPr>
                <w:sz w:val="20"/>
              </w:rPr>
              <w:t>–</w:t>
            </w:r>
          </w:p>
        </w:tc>
        <w:tc>
          <w:tcPr>
            <w:tcW w:w="1170" w:type="dxa"/>
          </w:tcPr>
          <w:p w14:paraId="4470FDD0" w14:textId="77777777" w:rsidR="00011418" w:rsidRPr="00011418" w:rsidRDefault="00011418" w:rsidP="002B259B">
            <w:pPr>
              <w:ind w:left="0" w:right="0"/>
              <w:jc w:val="center"/>
              <w:rPr>
                <w:sz w:val="20"/>
              </w:rPr>
            </w:pPr>
            <w:r w:rsidRPr="00011418">
              <w:rPr>
                <w:sz w:val="20"/>
              </w:rPr>
              <w:t>–</w:t>
            </w:r>
          </w:p>
        </w:tc>
      </w:tr>
      <w:tr w:rsidR="00011418" w:rsidRPr="00011418" w14:paraId="2BE6932E" w14:textId="77777777" w:rsidTr="00011418">
        <w:trPr>
          <w:trHeight w:val="178"/>
        </w:trPr>
        <w:tc>
          <w:tcPr>
            <w:tcW w:w="1327" w:type="dxa"/>
            <w:vMerge w:val="restart"/>
          </w:tcPr>
          <w:p w14:paraId="6CFE9B19" w14:textId="77777777" w:rsidR="00011418" w:rsidRPr="00011418" w:rsidRDefault="00011418" w:rsidP="00011418">
            <w:pPr>
              <w:ind w:left="0" w:right="0"/>
              <w:rPr>
                <w:b/>
                <w:sz w:val="20"/>
              </w:rPr>
            </w:pPr>
            <w:r w:rsidRPr="00011418">
              <w:rPr>
                <w:b/>
                <w:sz w:val="20"/>
              </w:rPr>
              <w:t>Missing information</w:t>
            </w:r>
          </w:p>
        </w:tc>
        <w:tc>
          <w:tcPr>
            <w:tcW w:w="3433" w:type="dxa"/>
          </w:tcPr>
          <w:p w14:paraId="7E90F422" w14:textId="77777777" w:rsidR="00011418" w:rsidRPr="00011418" w:rsidRDefault="00011418" w:rsidP="00011418">
            <w:pPr>
              <w:ind w:left="0" w:right="0"/>
              <w:rPr>
                <w:sz w:val="20"/>
              </w:rPr>
            </w:pPr>
            <w:r w:rsidRPr="00011418">
              <w:rPr>
                <w:sz w:val="20"/>
              </w:rPr>
              <w:t>Use in pregnancy and while breast feeding</w:t>
            </w:r>
          </w:p>
        </w:tc>
        <w:tc>
          <w:tcPr>
            <w:tcW w:w="900" w:type="dxa"/>
          </w:tcPr>
          <w:p w14:paraId="19F2A57B"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0CC30D2B" w14:textId="77777777" w:rsidR="00011418" w:rsidRPr="00011418" w:rsidRDefault="00011418" w:rsidP="002B259B">
            <w:pPr>
              <w:ind w:left="0" w:right="0"/>
              <w:jc w:val="center"/>
              <w:rPr>
                <w:sz w:val="20"/>
              </w:rPr>
            </w:pPr>
            <w:r w:rsidRPr="00011418">
              <w:rPr>
                <w:sz w:val="20"/>
              </w:rPr>
              <w:sym w:font="Wingdings" w:char="F0FC"/>
            </w:r>
            <w:r w:rsidRPr="00011418">
              <w:rPr>
                <w:sz w:val="20"/>
              </w:rPr>
              <w:t>*≠</w:t>
            </w:r>
          </w:p>
        </w:tc>
        <w:tc>
          <w:tcPr>
            <w:tcW w:w="900" w:type="dxa"/>
          </w:tcPr>
          <w:p w14:paraId="31DCE7EA"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02B9C5D1" w14:textId="77777777" w:rsidR="00011418" w:rsidRPr="00011418" w:rsidRDefault="00011418" w:rsidP="002B259B">
            <w:pPr>
              <w:ind w:left="0" w:right="0"/>
              <w:jc w:val="center"/>
              <w:rPr>
                <w:sz w:val="20"/>
              </w:rPr>
            </w:pPr>
            <w:r w:rsidRPr="00011418">
              <w:rPr>
                <w:sz w:val="20"/>
              </w:rPr>
              <w:t>–</w:t>
            </w:r>
          </w:p>
        </w:tc>
      </w:tr>
      <w:tr w:rsidR="00011418" w:rsidRPr="00011418" w14:paraId="05C47D71" w14:textId="77777777" w:rsidTr="00011418">
        <w:trPr>
          <w:trHeight w:val="103"/>
        </w:trPr>
        <w:tc>
          <w:tcPr>
            <w:tcW w:w="1327" w:type="dxa"/>
            <w:vMerge/>
          </w:tcPr>
          <w:p w14:paraId="47A924A7" w14:textId="77777777" w:rsidR="00011418" w:rsidRPr="00011418" w:rsidRDefault="00011418" w:rsidP="00011418">
            <w:pPr>
              <w:ind w:left="0" w:right="0"/>
              <w:rPr>
                <w:sz w:val="20"/>
              </w:rPr>
            </w:pPr>
          </w:p>
        </w:tc>
        <w:tc>
          <w:tcPr>
            <w:tcW w:w="3433" w:type="dxa"/>
          </w:tcPr>
          <w:p w14:paraId="3EEFFC73" w14:textId="77777777" w:rsidR="00011418" w:rsidRPr="00011418" w:rsidRDefault="00011418" w:rsidP="00011418">
            <w:pPr>
              <w:ind w:left="0" w:right="0"/>
              <w:rPr>
                <w:sz w:val="20"/>
              </w:rPr>
            </w:pPr>
            <w:r w:rsidRPr="00011418">
              <w:rPr>
                <w:sz w:val="20"/>
              </w:rPr>
              <w:t>Use in immunocompromised patients</w:t>
            </w:r>
          </w:p>
        </w:tc>
        <w:tc>
          <w:tcPr>
            <w:tcW w:w="900" w:type="dxa"/>
          </w:tcPr>
          <w:p w14:paraId="17B4A331"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07E5595C" w14:textId="77777777" w:rsidR="00011418" w:rsidRPr="00011418" w:rsidRDefault="00011418" w:rsidP="002B259B">
            <w:pPr>
              <w:ind w:left="0" w:right="0"/>
              <w:jc w:val="center"/>
              <w:rPr>
                <w:sz w:val="20"/>
              </w:rPr>
            </w:pPr>
            <w:r w:rsidRPr="00011418">
              <w:rPr>
                <w:sz w:val="20"/>
              </w:rPr>
              <w:sym w:font="Wingdings" w:char="F0FC"/>
            </w:r>
            <w:r w:rsidRPr="00011418">
              <w:rPr>
                <w:sz w:val="20"/>
              </w:rPr>
              <w:t>*</w:t>
            </w:r>
          </w:p>
        </w:tc>
        <w:tc>
          <w:tcPr>
            <w:tcW w:w="900" w:type="dxa"/>
          </w:tcPr>
          <w:p w14:paraId="04A1C7A3"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4D7467F2" w14:textId="77777777" w:rsidR="00011418" w:rsidRPr="00011418" w:rsidRDefault="00011418" w:rsidP="002B259B">
            <w:pPr>
              <w:ind w:left="0" w:right="0"/>
              <w:jc w:val="center"/>
              <w:rPr>
                <w:sz w:val="20"/>
              </w:rPr>
            </w:pPr>
            <w:r w:rsidRPr="00011418">
              <w:rPr>
                <w:sz w:val="20"/>
              </w:rPr>
              <w:t>–</w:t>
            </w:r>
          </w:p>
        </w:tc>
      </w:tr>
      <w:tr w:rsidR="00011418" w:rsidRPr="00011418" w14:paraId="7C83F4D9" w14:textId="77777777" w:rsidTr="00011418">
        <w:trPr>
          <w:trHeight w:val="103"/>
        </w:trPr>
        <w:tc>
          <w:tcPr>
            <w:tcW w:w="1327" w:type="dxa"/>
            <w:vMerge/>
          </w:tcPr>
          <w:p w14:paraId="5E0D1950" w14:textId="77777777" w:rsidR="00011418" w:rsidRPr="00011418" w:rsidRDefault="00011418" w:rsidP="00011418">
            <w:pPr>
              <w:ind w:left="0" w:right="0"/>
              <w:rPr>
                <w:sz w:val="20"/>
              </w:rPr>
            </w:pPr>
          </w:p>
        </w:tc>
        <w:tc>
          <w:tcPr>
            <w:tcW w:w="3433" w:type="dxa"/>
          </w:tcPr>
          <w:p w14:paraId="3790F3EB" w14:textId="77777777" w:rsidR="00011418" w:rsidRPr="00011418" w:rsidRDefault="00011418" w:rsidP="00011418">
            <w:pPr>
              <w:ind w:left="0" w:right="0"/>
              <w:rPr>
                <w:sz w:val="20"/>
              </w:rPr>
            </w:pPr>
            <w:r w:rsidRPr="00011418">
              <w:rPr>
                <w:sz w:val="20"/>
              </w:rPr>
              <w:t>Use in frail patients with co-morbidities (</w:t>
            </w:r>
            <w:proofErr w:type="gramStart"/>
            <w:r w:rsidRPr="00011418">
              <w:rPr>
                <w:sz w:val="20"/>
              </w:rPr>
              <w:t>e.g.</w:t>
            </w:r>
            <w:proofErr w:type="gramEnd"/>
            <w:r w:rsidRPr="00011418">
              <w:rPr>
                <w:sz w:val="20"/>
              </w:rPr>
              <w:t xml:space="preserve"> chronic obstructive pulmonary disease (COPD), diabetes, chronic neurological disease, cardiovascular disorders)</w:t>
            </w:r>
          </w:p>
        </w:tc>
        <w:tc>
          <w:tcPr>
            <w:tcW w:w="900" w:type="dxa"/>
          </w:tcPr>
          <w:p w14:paraId="4EEA60C0"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108E928D" w14:textId="77777777" w:rsidR="00011418" w:rsidRPr="00011418" w:rsidRDefault="00011418" w:rsidP="002B259B">
            <w:pPr>
              <w:ind w:left="0" w:right="0"/>
              <w:jc w:val="center"/>
              <w:rPr>
                <w:sz w:val="20"/>
              </w:rPr>
            </w:pPr>
            <w:r w:rsidRPr="00011418">
              <w:rPr>
                <w:sz w:val="20"/>
              </w:rPr>
              <w:sym w:font="Wingdings" w:char="F0FC"/>
            </w:r>
            <w:r w:rsidRPr="00011418">
              <w:rPr>
                <w:sz w:val="20"/>
              </w:rPr>
              <w:t>*</w:t>
            </w:r>
          </w:p>
        </w:tc>
        <w:tc>
          <w:tcPr>
            <w:tcW w:w="900" w:type="dxa"/>
          </w:tcPr>
          <w:p w14:paraId="4898D4CF"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2A28DBC6" w14:textId="77777777" w:rsidR="00011418" w:rsidRPr="00011418" w:rsidRDefault="00011418" w:rsidP="002B259B">
            <w:pPr>
              <w:ind w:left="0" w:right="0"/>
              <w:jc w:val="center"/>
              <w:rPr>
                <w:sz w:val="20"/>
              </w:rPr>
            </w:pPr>
            <w:r w:rsidRPr="00011418">
              <w:rPr>
                <w:sz w:val="20"/>
              </w:rPr>
              <w:t>–</w:t>
            </w:r>
          </w:p>
        </w:tc>
      </w:tr>
      <w:tr w:rsidR="00011418" w:rsidRPr="00011418" w14:paraId="648612E5" w14:textId="77777777" w:rsidTr="00011418">
        <w:trPr>
          <w:trHeight w:val="103"/>
        </w:trPr>
        <w:tc>
          <w:tcPr>
            <w:tcW w:w="1327" w:type="dxa"/>
            <w:vMerge/>
          </w:tcPr>
          <w:p w14:paraId="6D551254" w14:textId="77777777" w:rsidR="00011418" w:rsidRPr="00011418" w:rsidRDefault="00011418" w:rsidP="00011418">
            <w:pPr>
              <w:ind w:left="0" w:right="0"/>
              <w:rPr>
                <w:sz w:val="20"/>
              </w:rPr>
            </w:pPr>
          </w:p>
        </w:tc>
        <w:tc>
          <w:tcPr>
            <w:tcW w:w="3433" w:type="dxa"/>
          </w:tcPr>
          <w:p w14:paraId="73AD1720" w14:textId="77777777" w:rsidR="00011418" w:rsidRPr="00011418" w:rsidRDefault="00011418" w:rsidP="00011418">
            <w:pPr>
              <w:ind w:left="0" w:right="0"/>
              <w:rPr>
                <w:sz w:val="20"/>
              </w:rPr>
            </w:pPr>
            <w:r w:rsidRPr="00011418">
              <w:rPr>
                <w:sz w:val="20"/>
              </w:rPr>
              <w:t>Use in patients with autoimmune or inflammatory disorders</w:t>
            </w:r>
          </w:p>
        </w:tc>
        <w:tc>
          <w:tcPr>
            <w:tcW w:w="900" w:type="dxa"/>
          </w:tcPr>
          <w:p w14:paraId="525D1525"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58010348" w14:textId="77777777" w:rsidR="00011418" w:rsidRPr="00011418" w:rsidRDefault="00011418" w:rsidP="002B259B">
            <w:pPr>
              <w:ind w:left="0" w:right="0"/>
              <w:jc w:val="center"/>
              <w:rPr>
                <w:sz w:val="20"/>
              </w:rPr>
            </w:pPr>
            <w:r w:rsidRPr="00011418">
              <w:rPr>
                <w:sz w:val="20"/>
              </w:rPr>
              <w:sym w:font="Wingdings" w:char="F0FC"/>
            </w:r>
            <w:r w:rsidRPr="00011418">
              <w:rPr>
                <w:sz w:val="20"/>
              </w:rPr>
              <w:t>*</w:t>
            </w:r>
          </w:p>
        </w:tc>
        <w:tc>
          <w:tcPr>
            <w:tcW w:w="900" w:type="dxa"/>
          </w:tcPr>
          <w:p w14:paraId="39E7CF00" w14:textId="77777777" w:rsidR="00011418" w:rsidRPr="00011418" w:rsidRDefault="00011418" w:rsidP="002B259B">
            <w:pPr>
              <w:ind w:left="0" w:right="0"/>
              <w:jc w:val="center"/>
              <w:rPr>
                <w:sz w:val="20"/>
              </w:rPr>
            </w:pPr>
            <w:r w:rsidRPr="00011418">
              <w:rPr>
                <w:sz w:val="20"/>
              </w:rPr>
              <w:t>–</w:t>
            </w:r>
          </w:p>
        </w:tc>
        <w:tc>
          <w:tcPr>
            <w:tcW w:w="1170" w:type="dxa"/>
          </w:tcPr>
          <w:p w14:paraId="0CFD17C8" w14:textId="77777777" w:rsidR="00011418" w:rsidRPr="00011418" w:rsidRDefault="00011418" w:rsidP="002B259B">
            <w:pPr>
              <w:ind w:left="0" w:right="0"/>
              <w:jc w:val="center"/>
              <w:rPr>
                <w:sz w:val="20"/>
              </w:rPr>
            </w:pPr>
            <w:r w:rsidRPr="00011418">
              <w:rPr>
                <w:sz w:val="20"/>
              </w:rPr>
              <w:t>–</w:t>
            </w:r>
          </w:p>
        </w:tc>
      </w:tr>
      <w:tr w:rsidR="00011418" w:rsidRPr="00011418" w14:paraId="02771A57" w14:textId="77777777" w:rsidTr="00011418">
        <w:trPr>
          <w:trHeight w:val="103"/>
        </w:trPr>
        <w:tc>
          <w:tcPr>
            <w:tcW w:w="1327" w:type="dxa"/>
            <w:vMerge/>
          </w:tcPr>
          <w:p w14:paraId="068FC0B9" w14:textId="77777777" w:rsidR="00011418" w:rsidRPr="00011418" w:rsidRDefault="00011418" w:rsidP="00011418">
            <w:pPr>
              <w:ind w:left="0" w:right="0"/>
              <w:rPr>
                <w:sz w:val="20"/>
              </w:rPr>
            </w:pPr>
          </w:p>
        </w:tc>
        <w:tc>
          <w:tcPr>
            <w:tcW w:w="3433" w:type="dxa"/>
          </w:tcPr>
          <w:p w14:paraId="53E13167" w14:textId="77777777" w:rsidR="00011418" w:rsidRPr="00011418" w:rsidRDefault="00011418" w:rsidP="00011418">
            <w:pPr>
              <w:ind w:left="0" w:right="0"/>
              <w:rPr>
                <w:sz w:val="20"/>
              </w:rPr>
            </w:pPr>
            <w:r w:rsidRPr="00011418">
              <w:rPr>
                <w:sz w:val="20"/>
              </w:rPr>
              <w:t>Interaction with other vaccines</w:t>
            </w:r>
          </w:p>
        </w:tc>
        <w:tc>
          <w:tcPr>
            <w:tcW w:w="900" w:type="dxa"/>
          </w:tcPr>
          <w:p w14:paraId="01311F1A"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5482E463" w14:textId="77777777" w:rsidR="00011418" w:rsidRPr="00011418" w:rsidRDefault="00011418" w:rsidP="002B259B">
            <w:pPr>
              <w:ind w:left="0" w:right="0"/>
              <w:jc w:val="center"/>
              <w:rPr>
                <w:sz w:val="20"/>
              </w:rPr>
            </w:pPr>
            <w:r w:rsidRPr="00011418">
              <w:rPr>
                <w:sz w:val="20"/>
              </w:rPr>
              <w:sym w:font="Wingdings" w:char="F0FC"/>
            </w:r>
            <w:r w:rsidRPr="00011418">
              <w:rPr>
                <w:sz w:val="20"/>
              </w:rPr>
              <w:t>*</w:t>
            </w:r>
          </w:p>
        </w:tc>
        <w:tc>
          <w:tcPr>
            <w:tcW w:w="900" w:type="dxa"/>
          </w:tcPr>
          <w:p w14:paraId="3C808FCB"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2B193E48" w14:textId="77777777" w:rsidR="00011418" w:rsidRPr="00011418" w:rsidRDefault="00011418" w:rsidP="002B259B">
            <w:pPr>
              <w:ind w:left="0" w:right="0"/>
              <w:jc w:val="center"/>
              <w:rPr>
                <w:sz w:val="20"/>
              </w:rPr>
            </w:pPr>
            <w:r w:rsidRPr="00011418">
              <w:rPr>
                <w:sz w:val="20"/>
              </w:rPr>
              <w:t>–</w:t>
            </w:r>
          </w:p>
        </w:tc>
      </w:tr>
      <w:tr w:rsidR="00011418" w:rsidRPr="00011418" w14:paraId="554269AD" w14:textId="77777777" w:rsidTr="00011418">
        <w:trPr>
          <w:trHeight w:val="140"/>
        </w:trPr>
        <w:tc>
          <w:tcPr>
            <w:tcW w:w="1327" w:type="dxa"/>
            <w:vMerge/>
          </w:tcPr>
          <w:p w14:paraId="2E3A2857" w14:textId="77777777" w:rsidR="00011418" w:rsidRPr="00011418" w:rsidRDefault="00011418" w:rsidP="00011418">
            <w:pPr>
              <w:ind w:left="0" w:right="0"/>
              <w:rPr>
                <w:sz w:val="20"/>
              </w:rPr>
            </w:pPr>
          </w:p>
        </w:tc>
        <w:tc>
          <w:tcPr>
            <w:tcW w:w="3433" w:type="dxa"/>
          </w:tcPr>
          <w:p w14:paraId="082A55F2" w14:textId="77777777" w:rsidR="00011418" w:rsidRPr="00011418" w:rsidRDefault="00011418" w:rsidP="00011418">
            <w:pPr>
              <w:ind w:left="0" w:right="0"/>
              <w:rPr>
                <w:sz w:val="20"/>
              </w:rPr>
            </w:pPr>
            <w:r w:rsidRPr="00011418">
              <w:rPr>
                <w:sz w:val="20"/>
              </w:rPr>
              <w:t>Long term safety data</w:t>
            </w:r>
          </w:p>
        </w:tc>
        <w:tc>
          <w:tcPr>
            <w:tcW w:w="900" w:type="dxa"/>
          </w:tcPr>
          <w:p w14:paraId="5B2FE234" w14:textId="77777777" w:rsidR="00011418" w:rsidRPr="00011418" w:rsidRDefault="00011418" w:rsidP="002B259B">
            <w:pPr>
              <w:ind w:left="0" w:right="0"/>
              <w:jc w:val="center"/>
              <w:rPr>
                <w:sz w:val="20"/>
              </w:rPr>
            </w:pPr>
            <w:r w:rsidRPr="00011418">
              <w:rPr>
                <w:sz w:val="20"/>
              </w:rPr>
              <w:sym w:font="Wingdings" w:char="F0FC"/>
            </w:r>
          </w:p>
        </w:tc>
        <w:tc>
          <w:tcPr>
            <w:tcW w:w="1170" w:type="dxa"/>
          </w:tcPr>
          <w:p w14:paraId="5705D50F" w14:textId="77777777" w:rsidR="00011418" w:rsidRPr="00011418" w:rsidRDefault="00011418" w:rsidP="002B259B">
            <w:pPr>
              <w:ind w:left="0" w:right="0"/>
              <w:jc w:val="center"/>
              <w:rPr>
                <w:sz w:val="20"/>
              </w:rPr>
            </w:pPr>
            <w:r w:rsidRPr="00011418">
              <w:rPr>
                <w:sz w:val="20"/>
              </w:rPr>
              <w:sym w:font="Wingdings" w:char="F0FC"/>
            </w:r>
            <w:r w:rsidRPr="00011418">
              <w:rPr>
                <w:sz w:val="20"/>
              </w:rPr>
              <w:t>*</w:t>
            </w:r>
          </w:p>
        </w:tc>
        <w:tc>
          <w:tcPr>
            <w:tcW w:w="900" w:type="dxa"/>
          </w:tcPr>
          <w:p w14:paraId="15CB7712" w14:textId="77777777" w:rsidR="00011418" w:rsidRPr="00011418" w:rsidRDefault="00011418" w:rsidP="002B259B">
            <w:pPr>
              <w:ind w:left="0" w:right="0"/>
              <w:jc w:val="center"/>
              <w:rPr>
                <w:sz w:val="20"/>
              </w:rPr>
            </w:pPr>
            <w:r w:rsidRPr="00011418">
              <w:rPr>
                <w:sz w:val="20"/>
              </w:rPr>
              <w:t>–</w:t>
            </w:r>
          </w:p>
        </w:tc>
        <w:tc>
          <w:tcPr>
            <w:tcW w:w="1170" w:type="dxa"/>
          </w:tcPr>
          <w:p w14:paraId="39A3A01E" w14:textId="77777777" w:rsidR="00011418" w:rsidRPr="00011418" w:rsidRDefault="00011418" w:rsidP="002B259B">
            <w:pPr>
              <w:ind w:left="0" w:right="0"/>
              <w:jc w:val="center"/>
              <w:rPr>
                <w:sz w:val="20"/>
              </w:rPr>
            </w:pPr>
            <w:r w:rsidRPr="00011418">
              <w:rPr>
                <w:sz w:val="20"/>
              </w:rPr>
              <w:t>–</w:t>
            </w:r>
          </w:p>
        </w:tc>
      </w:tr>
    </w:tbl>
    <w:p w14:paraId="182C2E88" w14:textId="0701E6A6" w:rsidR="00011418" w:rsidRDefault="00011418" w:rsidP="00011418">
      <w:pPr>
        <w:pStyle w:val="TableDescription"/>
      </w:pPr>
      <w:r>
        <w:t>†</w:t>
      </w:r>
      <w:r w:rsidR="008E6550">
        <w:t xml:space="preserve"> Data capture Aid (a</w:t>
      </w:r>
      <w:r>
        <w:t>dverse drug reaction follow-up forms)</w:t>
      </w:r>
    </w:p>
    <w:p w14:paraId="7201D448" w14:textId="6153326E" w:rsidR="00011418" w:rsidRDefault="00011418" w:rsidP="00011418">
      <w:pPr>
        <w:pStyle w:val="TableDescription"/>
      </w:pPr>
      <w:r>
        <w:t>*</w:t>
      </w:r>
      <w:r w:rsidR="008E6550">
        <w:t xml:space="preserve"> </w:t>
      </w:r>
      <w:r>
        <w:t>Clinical trial</w:t>
      </w:r>
    </w:p>
    <w:p w14:paraId="275E8469" w14:textId="4A81ABC7" w:rsidR="00011418" w:rsidRDefault="00011418" w:rsidP="00011418">
      <w:pPr>
        <w:pStyle w:val="TableDescription"/>
      </w:pPr>
      <w:r>
        <w:t>≠</w:t>
      </w:r>
      <w:r w:rsidR="008E6550">
        <w:t> Post-authorisation safety study (</w:t>
      </w:r>
      <w:r>
        <w:t>PASS</w:t>
      </w:r>
      <w:r w:rsidR="008E6550">
        <w:t>)</w:t>
      </w:r>
    </w:p>
    <w:p w14:paraId="5A7F2172" w14:textId="763ED957" w:rsidR="007267D6" w:rsidRDefault="007267D6" w:rsidP="007267D6">
      <w:r>
        <w:t>Only routine risk minimisation measures are proposed by the sponsor. This approach was deemed acceptable during the previous evaluations. The changes proposed by the current submission are not expected to require additional risk minimisation measures as part of the RMP.</w:t>
      </w:r>
    </w:p>
    <w:p w14:paraId="5A3308B9" w14:textId="1F6F6A89" w:rsidR="007267D6" w:rsidRDefault="007267D6" w:rsidP="007267D6">
      <w:r>
        <w:t xml:space="preserve">The summary of safety concerns is the same as the safety summary that was evaluated and considered acceptable for the previous </w:t>
      </w:r>
      <w:r w:rsidRPr="000D2C75">
        <w:t>submission PM-2022-02476-1-2</w:t>
      </w:r>
      <w:r>
        <w:t>,</w:t>
      </w:r>
      <w:r w:rsidR="000D2C75">
        <w:rPr>
          <w:rStyle w:val="FootnoteReference"/>
        </w:rPr>
        <w:footnoteReference w:id="39"/>
      </w:r>
      <w:r>
        <w:t xml:space="preserve"> apart from the risk of anaphylaxis. Previously, anaphylaxis was included in the safety summary as an important identified risk. The following reason has been proposed ‘</w:t>
      </w:r>
      <w:r w:rsidRPr="007267D6">
        <w:rPr>
          <w:i/>
        </w:rPr>
        <w:t>anaphylaxis is a known risk of vaccines that is understood by HCPs [healthcare professionals] who administer vaccines and patients and does not considerably impact the benefit/risk profile of the vaccine’</w:t>
      </w:r>
      <w:r w:rsidR="00FD7ED3">
        <w:rPr>
          <w:i/>
        </w:rPr>
        <w:t>.</w:t>
      </w:r>
      <w:r>
        <w:t xml:space="preserve"> This is deemed acceptable from an RMP perspective and by the Delegate.</w:t>
      </w:r>
    </w:p>
    <w:p w14:paraId="1EFFCF49" w14:textId="7E055E23" w:rsidR="007267D6" w:rsidRDefault="007267D6" w:rsidP="007267D6">
      <w:r>
        <w:lastRenderedPageBreak/>
        <w:t>Routine pharmacovigilance includes the submission of monthly summary safety reports for the first 6 months, post registration, and thereafter at intervals specified by the TGA. The pharmacovigilance plan was deemed acceptable during previous evaluations and continues to be acceptable for the current submission.</w:t>
      </w:r>
    </w:p>
    <w:p w14:paraId="29847A83" w14:textId="77777777" w:rsidR="008E7846" w:rsidRDefault="00AA0ED0" w:rsidP="008E7846">
      <w:pPr>
        <w:pStyle w:val="Heading3"/>
      </w:pPr>
      <w:bookmarkStart w:id="92" w:name="_Toc116380314"/>
      <w:r>
        <w:t>Risk-benefit a</w:t>
      </w:r>
      <w:r w:rsidR="008E7846">
        <w:t>nalysis</w:t>
      </w:r>
      <w:bookmarkEnd w:id="87"/>
      <w:bookmarkEnd w:id="88"/>
      <w:bookmarkEnd w:id="92"/>
    </w:p>
    <w:p w14:paraId="5A5CB168" w14:textId="2CC86932" w:rsidR="0074163C" w:rsidRDefault="0074163C" w:rsidP="0074163C">
      <w:pPr>
        <w:pStyle w:val="Heading4"/>
      </w:pPr>
      <w:bookmarkStart w:id="93" w:name="_Toc98931932"/>
      <w:r>
        <w:t>Delegate’s considerations</w:t>
      </w:r>
      <w:bookmarkEnd w:id="93"/>
    </w:p>
    <w:p w14:paraId="0D22BF11" w14:textId="2AC75903" w:rsidR="003E5BA8" w:rsidRDefault="003E5BA8" w:rsidP="003E5BA8">
      <w:r>
        <w:t xml:space="preserve">Comirnaty (tozinameran, formerly BNT162b2) is an mRNA vaccine, provisionally approved by TGA on 25 January 2021 for active immunisation to prevent COVID-19, in individuals 16 years of age and over </w:t>
      </w:r>
      <w:proofErr w:type="gramStart"/>
      <w:r>
        <w:t>on the basis of</w:t>
      </w:r>
      <w:proofErr w:type="gramEnd"/>
      <w:r>
        <w:t xml:space="preserve"> short-term efficacy and safety data. Since then, there has been expansion into younger populations. A provisional determination for expansion into the paediatric population aged 6 months to under 5 years occurred on 22 June 2022. The sponsor has now submitted the data to support the indication extension to include the paediatric group, aged 6 months to under 5 years old. The submitted data include immunogenicity, efficacy, and safety analysis for infants aged 6 months to under 5 years of age from Study C4591007 to a data cut-off date of 29 April 2022.</w:t>
      </w:r>
    </w:p>
    <w:p w14:paraId="0908B443" w14:textId="59964E18" w:rsidR="003E5BA8" w:rsidRDefault="003E5BA8" w:rsidP="003E5BA8">
      <w:r>
        <w:t>To infer efficacy in children, the most relevant objective of primary interest is the immunogenicity objective in which the neutralising antibody response is bridged to the clinical efficacy demonstrated in adults. The primary clinical efficacy objective which aims to demonstrate efficacy against COVID-19 is considered of supportive value, given these analyses were not powered for. These objectives and measures are acceptable for the study of COVID-19 vaccination in the paediatric population.</w:t>
      </w:r>
    </w:p>
    <w:p w14:paraId="1F786D32" w14:textId="3F211C7E" w:rsidR="003E5BA8" w:rsidRDefault="003E5BA8" w:rsidP="003E5BA8">
      <w:proofErr w:type="spellStart"/>
      <w:r>
        <w:t>Immunobridging</w:t>
      </w:r>
      <w:proofErr w:type="spellEnd"/>
      <w:r>
        <w:t xml:space="preserve"> was based on neutralising antibody levels for SARS-CoV-2 wild-type virus. There is currently no serological correlate of protection for COVID-19. However, given neutralising antibodies are crucial for protection, </w:t>
      </w:r>
      <w:proofErr w:type="spellStart"/>
      <w:r>
        <w:t>immunobridging</w:t>
      </w:r>
      <w:proofErr w:type="spellEnd"/>
      <w:r>
        <w:t xml:space="preserve"> based on this marker to a population where efficacy has been demonstrated is a reasonable strategy for evaluating efficacy in children.</w:t>
      </w:r>
    </w:p>
    <w:p w14:paraId="362765B8" w14:textId="7F67245E" w:rsidR="003E5BA8" w:rsidRDefault="008344EC" w:rsidP="008344EC">
      <w:pPr>
        <w:pStyle w:val="Heading5"/>
      </w:pPr>
      <w:r>
        <w:t>Study C4591007 overview</w:t>
      </w:r>
      <w:r w:rsidR="003E5BA8">
        <w:t xml:space="preserve"> </w:t>
      </w:r>
    </w:p>
    <w:p w14:paraId="20761FA2" w14:textId="3B2988C8" w:rsidR="003E5BA8" w:rsidRDefault="003E5BA8" w:rsidP="003E5BA8">
      <w:r>
        <w:t>Study C4591007 is an ongoing paediatric study in healthy child</w:t>
      </w:r>
      <w:r w:rsidR="0003601B">
        <w:t>ren from 6 months up to 12 </w:t>
      </w:r>
      <w:r>
        <w:t xml:space="preserve">years of age. </w:t>
      </w:r>
      <w:r w:rsidR="008F15EF">
        <w:t>The sponsor</w:t>
      </w:r>
      <w:r>
        <w:t xml:space="preserve"> has submitted the short-term </w:t>
      </w:r>
      <w:r w:rsidR="0003601B">
        <w:t>results from the pivotal Phase I</w:t>
      </w:r>
      <w:r>
        <w:t xml:space="preserve"> and </w:t>
      </w:r>
      <w:r w:rsidR="0003601B">
        <w:t>Phase II/III S</w:t>
      </w:r>
      <w:r>
        <w:t xml:space="preserve">tudy C4591007, to support the extension of indication to </w:t>
      </w:r>
      <w:r w:rsidR="0003601B">
        <w:t xml:space="preserve">Comirnaty </w:t>
      </w:r>
      <w:r>
        <w:t xml:space="preserve">(tozinameran) COVID-19 vaccine for use in children aged 6 months </w:t>
      </w:r>
      <w:r w:rsidR="0003601B">
        <w:t>to under</w:t>
      </w:r>
      <w:r>
        <w:t xml:space="preserve"> 5 years of age. The submitted pivotal study has an overall good study design, including representative study population (in the geographical study location context) and acceptable statistical considerations. </w:t>
      </w:r>
      <w:r w:rsidR="0003601B">
        <w:t>The sponsor</w:t>
      </w:r>
      <w:r>
        <w:t xml:space="preserve"> has previously submitted data from t</w:t>
      </w:r>
      <w:r w:rsidR="0003601B">
        <w:t xml:space="preserve">he </w:t>
      </w:r>
      <w:proofErr w:type="gramStart"/>
      <w:r w:rsidR="0003601B">
        <w:t xml:space="preserve">5 to 12 year </w:t>
      </w:r>
      <w:r>
        <w:t>old</w:t>
      </w:r>
      <w:proofErr w:type="gramEnd"/>
      <w:r>
        <w:t xml:space="preserve"> age group from this study</w:t>
      </w:r>
      <w:r w:rsidR="00FD7ED3">
        <w:t>.</w:t>
      </w:r>
    </w:p>
    <w:p w14:paraId="6EA850E2" w14:textId="327EF14F" w:rsidR="003E5BA8" w:rsidRDefault="0003601B" w:rsidP="003E5BA8">
      <w:r>
        <w:t xml:space="preserve">For individuals under </w:t>
      </w:r>
      <w:r w:rsidR="003E5BA8">
        <w:t>5 years of age, safety and immunogenicity</w:t>
      </w:r>
      <w:r>
        <w:t xml:space="preserve"> data led to the selection of 3 </w:t>
      </w:r>
      <w:proofErr w:type="spellStart"/>
      <w:r w:rsidR="003E5BA8">
        <w:t>μg</w:t>
      </w:r>
      <w:proofErr w:type="spellEnd"/>
      <w:r w:rsidR="003E5BA8">
        <w:t xml:space="preserve"> to balance the best observed tolerability and r</w:t>
      </w:r>
      <w:r>
        <w:t>obust immune responses. A three</w:t>
      </w:r>
      <w:r>
        <w:noBreakHyphen/>
        <w:t xml:space="preserve">dose regimen for children under </w:t>
      </w:r>
      <w:r w:rsidR="003E5BA8">
        <w:t>5 years of age was informed by clinical study and real-world data showing a third dose was likely necessary to provide a high level of protection against Omicron variants.</w:t>
      </w:r>
    </w:p>
    <w:p w14:paraId="4A33CF6F" w14:textId="0097C612" w:rsidR="003E5BA8" w:rsidRDefault="003E5BA8" w:rsidP="003E5BA8">
      <w:r>
        <w:t>Based on the data provided by the sponsor in the current submission, to support the COVID-19 vaccine (</w:t>
      </w:r>
      <w:r w:rsidR="0003601B">
        <w:t xml:space="preserve">Comirnaty) for use in 6 months to under </w:t>
      </w:r>
      <w:r>
        <w:t>5 years age, a robust immunogenicity response was shown in the target age group. Immunogenicity response was consistent across relevant subgroups.</w:t>
      </w:r>
    </w:p>
    <w:p w14:paraId="40A9AD5E" w14:textId="27C66184" w:rsidR="003E5BA8" w:rsidRDefault="003E5BA8" w:rsidP="003E5BA8">
      <w:r>
        <w:t xml:space="preserve">Overall, </w:t>
      </w:r>
      <w:r w:rsidR="0003601B">
        <w:t xml:space="preserve">Comirnaty </w:t>
      </w:r>
      <w:r>
        <w:t>appear</w:t>
      </w:r>
      <w:r w:rsidR="0003601B">
        <w:t>s safe in children 6 months to under</w:t>
      </w:r>
      <w:r>
        <w:t xml:space="preserve"> 5 years </w:t>
      </w:r>
      <w:r w:rsidR="0003601B">
        <w:t xml:space="preserve">of age </w:t>
      </w:r>
      <w:r>
        <w:t>with no major safety related issues reported during the study.</w:t>
      </w:r>
    </w:p>
    <w:p w14:paraId="486CB309" w14:textId="77777777" w:rsidR="003E5BA8" w:rsidRDefault="003E5BA8" w:rsidP="0003601B">
      <w:pPr>
        <w:pStyle w:val="Heading5"/>
      </w:pPr>
      <w:r>
        <w:lastRenderedPageBreak/>
        <w:t>Immunogenicity</w:t>
      </w:r>
    </w:p>
    <w:p w14:paraId="0D1D297A" w14:textId="52873343" w:rsidR="003E5BA8" w:rsidRDefault="003E5BA8" w:rsidP="003E5BA8">
      <w:r>
        <w:t>In the pivotal Stud</w:t>
      </w:r>
      <w:r w:rsidR="0003601B">
        <w:t>y C4591007, SARS-CoV-2 neutralis</w:t>
      </w:r>
      <w:r>
        <w:t>ing G</w:t>
      </w:r>
      <w:r w:rsidR="0003601B">
        <w:t xml:space="preserve">MTs and </w:t>
      </w:r>
      <w:proofErr w:type="spellStart"/>
      <w:r w:rsidR="0003601B">
        <w:t>seroresponse</w:t>
      </w:r>
      <w:proofErr w:type="spellEnd"/>
      <w:r w:rsidR="0003601B">
        <w:t xml:space="preserve"> rates at </w:t>
      </w:r>
      <w:proofErr w:type="gramStart"/>
      <w:r w:rsidR="0003601B">
        <w:t xml:space="preserve">one </w:t>
      </w:r>
      <w:r>
        <w:t>month</w:t>
      </w:r>
      <w:proofErr w:type="gramEnd"/>
      <w:r>
        <w:t xml:space="preserve"> post-Dose 2 and 3 were assessed against the reference wild</w:t>
      </w:r>
      <w:r w:rsidR="0003601B">
        <w:t>-</w:t>
      </w:r>
      <w:r>
        <w:t xml:space="preserve">type strain in the evaluable immunogenicity population without evidence of prior SARS-CoV-2 infection and compared to participants </w:t>
      </w:r>
      <w:r w:rsidR="0003601B">
        <w:t xml:space="preserve">between 16 and </w:t>
      </w:r>
      <w:r>
        <w:t>25 years of a</w:t>
      </w:r>
      <w:r w:rsidR="0003601B">
        <w:t>ge randomly selected from Study </w:t>
      </w:r>
      <w:r>
        <w:t>C4591001.</w:t>
      </w:r>
    </w:p>
    <w:p w14:paraId="32CCF28E" w14:textId="3813BC40" w:rsidR="003E5BA8" w:rsidRDefault="003E5BA8" w:rsidP="003E5BA8">
      <w:proofErr w:type="spellStart"/>
      <w:r>
        <w:t>Immunobridging</w:t>
      </w:r>
      <w:proofErr w:type="spellEnd"/>
      <w:r>
        <w:t xml:space="preserve"> </w:t>
      </w:r>
      <w:r w:rsidR="0003601B">
        <w:t>success criteria were met post-Dose 3 for both 6 months to under 2 </w:t>
      </w:r>
      <w:r>
        <w:t>years of ag</w:t>
      </w:r>
      <w:r w:rsidR="0003601B">
        <w:t>e (</w:t>
      </w:r>
      <w:r>
        <w:t>82</w:t>
      </w:r>
      <w:r w:rsidR="0003601B">
        <w:t xml:space="preserve"> participants) and 2 to under 5 year of age (</w:t>
      </w:r>
      <w:r>
        <w:t>143</w:t>
      </w:r>
      <w:r w:rsidR="0003601B">
        <w:t xml:space="preserve"> participants) and post</w:t>
      </w:r>
      <w:r w:rsidR="0003601B">
        <w:noBreakHyphen/>
        <w:t xml:space="preserve">Dose 2 for 6 months to under 2 years of age (245 participants) groups. For the 2 to under </w:t>
      </w:r>
      <w:r>
        <w:t xml:space="preserve">5 years of age group post Dose 2, while the primary </w:t>
      </w:r>
      <w:proofErr w:type="spellStart"/>
      <w:r>
        <w:t>seroresponse</w:t>
      </w:r>
      <w:proofErr w:type="spellEnd"/>
      <w:r>
        <w:t xml:space="preserve"> endpoint was met, the primary GMR endpoint was not met, therefore </w:t>
      </w:r>
      <w:proofErr w:type="spellStart"/>
      <w:r>
        <w:t>immun</w:t>
      </w:r>
      <w:r w:rsidR="0003601B">
        <w:t>obridging</w:t>
      </w:r>
      <w:proofErr w:type="spellEnd"/>
      <w:r w:rsidR="0003601B">
        <w:t xml:space="preserve"> criteria were not met.</w:t>
      </w:r>
    </w:p>
    <w:p w14:paraId="7B820521" w14:textId="575B1B26" w:rsidR="003E5BA8" w:rsidRDefault="003E5BA8" w:rsidP="003E5BA8">
      <w:r>
        <w:t>The emergence of the highly transmissible Omicron va</w:t>
      </w:r>
      <w:r w:rsidR="0003601B">
        <w:t>riant of SARS-CoV-2 in December </w:t>
      </w:r>
      <w:r>
        <w:t xml:space="preserve">2021 resulted in several waves of COVID-19 cases in many parts of the world including Australia and has coincided with a rapid increase in </w:t>
      </w:r>
      <w:r w:rsidR="0003601B">
        <w:t>COVID-19-associated hospitalis</w:t>
      </w:r>
      <w:r>
        <w:t xml:space="preserve">ations among all age groups, including children 6 months through 4 years of age. The confirmed COVID-19 cases in Study C4591007 occurring at least 7 days post-Dose 3 were noted to be during which time of predominant circulation of the Omicron </w:t>
      </w:r>
      <w:r w:rsidR="0003601B">
        <w:t xml:space="preserve">variant of SARS-CoV-2 (February to April 2022). </w:t>
      </w:r>
      <w:r>
        <w:t>In the descriptive im</w:t>
      </w:r>
      <w:r w:rsidR="0003601B">
        <w:t>munogenicity analyses, neutralis</w:t>
      </w:r>
      <w:r>
        <w:t>ing antibody GMTs against the reference (wild</w:t>
      </w:r>
      <w:r w:rsidR="0003601B">
        <w:t>-</w:t>
      </w:r>
      <w:r>
        <w:t>type) strain and Delta varia</w:t>
      </w:r>
      <w:r w:rsidR="0003601B">
        <w:t>nt of SARS-CoV-2 were similar. However, neutralis</w:t>
      </w:r>
      <w:r>
        <w:t>ing antibody GMTs again</w:t>
      </w:r>
      <w:r w:rsidR="0003601B">
        <w:t xml:space="preserve">st Omicron variant were lower. </w:t>
      </w:r>
      <w:r>
        <w:t>There was an observed 6.9-fold increase in Delta and 5.9-fo</w:t>
      </w:r>
      <w:r w:rsidR="0003601B">
        <w:t>ld increase in Omicron neutralis</w:t>
      </w:r>
      <w:r>
        <w:t>in</w:t>
      </w:r>
      <w:r w:rsidR="0003601B">
        <w:t xml:space="preserve">g titres from before Dose 3 to </w:t>
      </w:r>
      <w:proofErr w:type="gramStart"/>
      <w:r w:rsidR="0003601B">
        <w:t xml:space="preserve">one </w:t>
      </w:r>
      <w:r>
        <w:t>month</w:t>
      </w:r>
      <w:proofErr w:type="gramEnd"/>
      <w:r>
        <w:t xml:space="preserve"> post-Dose 3</w:t>
      </w:r>
      <w:r w:rsidR="0003601B">
        <w:t>.</w:t>
      </w:r>
    </w:p>
    <w:p w14:paraId="460BB122" w14:textId="77777777" w:rsidR="003E5BA8" w:rsidRDefault="003E5BA8" w:rsidP="003E5BA8">
      <w:r>
        <w:t>The duration of immune persistence is not known, due to the short follow up period.</w:t>
      </w:r>
    </w:p>
    <w:p w14:paraId="49973FCA" w14:textId="77777777" w:rsidR="003E5BA8" w:rsidRDefault="003E5BA8" w:rsidP="0003601B">
      <w:pPr>
        <w:pStyle w:val="Heading5"/>
      </w:pPr>
      <w:r>
        <w:t>Efficacy</w:t>
      </w:r>
    </w:p>
    <w:p w14:paraId="4A770B70" w14:textId="76FE46CC" w:rsidR="003E5BA8" w:rsidRDefault="003E5BA8" w:rsidP="003E5BA8">
      <w:r>
        <w:t>COVID-19 cases occurri</w:t>
      </w:r>
      <w:r w:rsidR="0003601B">
        <w:t>ng at least 7 days post-Dose 3</w:t>
      </w:r>
      <w:r>
        <w:t xml:space="preserve"> included 3 COVID-19 cas</w:t>
      </w:r>
      <w:r w:rsidR="0003601B">
        <w:t xml:space="preserve">es in participants 6 months to under </w:t>
      </w:r>
      <w:r>
        <w:t xml:space="preserve">2 years of age, with one COVID-19 case in the </w:t>
      </w:r>
      <w:r w:rsidR="0003601B">
        <w:t>Comirnaty group (</w:t>
      </w:r>
      <w:r>
        <w:t>386</w:t>
      </w:r>
      <w:r w:rsidR="0003601B">
        <w:t xml:space="preserve"> participants</w:t>
      </w:r>
      <w:r>
        <w:t>) compar</w:t>
      </w:r>
      <w:r w:rsidR="0003601B">
        <w:t>ed to 2 in the placebo group (</w:t>
      </w:r>
      <w:r>
        <w:t>184</w:t>
      </w:r>
      <w:r w:rsidR="0003601B">
        <w:t xml:space="preserve"> participants</w:t>
      </w:r>
      <w:r>
        <w:t xml:space="preserve">), corresponding to an estimated </w:t>
      </w:r>
      <w:r w:rsidR="0003601B">
        <w:t>vaccine efficacy</w:t>
      </w:r>
      <w:r>
        <w:t xml:space="preserve"> of 75.6% </w:t>
      </w:r>
      <w:r w:rsidR="0003601B">
        <w:t>(95% CI: −369.1%, 99.6%), and 7 </w:t>
      </w:r>
      <w:r>
        <w:t>C</w:t>
      </w:r>
      <w:r w:rsidR="0003601B">
        <w:t>OVID-19 cases in participants 2 to under 5</w:t>
      </w:r>
      <w:r>
        <w:t xml:space="preserve"> years of age, with 2 cases in the </w:t>
      </w:r>
      <w:r w:rsidR="0003601B">
        <w:t>Comirnaty</w:t>
      </w:r>
      <w:r>
        <w:t xml:space="preserve"> group (606</w:t>
      </w:r>
      <w:r w:rsidR="0003601B">
        <w:t xml:space="preserve"> participants) and 5 in the placebo group (</w:t>
      </w:r>
      <w:r>
        <w:t>280</w:t>
      </w:r>
      <w:r w:rsidR="0003601B">
        <w:t xml:space="preserve"> participants</w:t>
      </w:r>
      <w:r>
        <w:t xml:space="preserve">), corresponding to an estimated </w:t>
      </w:r>
      <w:r w:rsidR="0003601B">
        <w:t>vaccine efficacy</w:t>
      </w:r>
      <w:r>
        <w:t xml:space="preserve"> of 82.4% (95% CI: −7.6%, 98.3%).</w:t>
      </w:r>
    </w:p>
    <w:p w14:paraId="53FEA679" w14:textId="2FDBAC71" w:rsidR="003E5BA8" w:rsidRDefault="0003601B" w:rsidP="003E5BA8">
      <w:r>
        <w:t>Interpretation of vaccine efficacy</w:t>
      </w:r>
      <w:r w:rsidR="003E5BA8">
        <w:t xml:space="preserve"> in Study C4591007 should be approached with caution due to the low number of COVID-19 cases accrued to date. Protection against asymptomatic infection, or impact on viral transmission offered by the vaccine in children is not known.</w:t>
      </w:r>
    </w:p>
    <w:p w14:paraId="6B45412D" w14:textId="77777777" w:rsidR="003E5BA8" w:rsidRDefault="003E5BA8" w:rsidP="0003601B">
      <w:pPr>
        <w:pStyle w:val="Heading5"/>
      </w:pPr>
      <w:r>
        <w:t>Safety</w:t>
      </w:r>
    </w:p>
    <w:p w14:paraId="5AE257A7" w14:textId="42B9FF0B" w:rsidR="003E5BA8" w:rsidRDefault="003E5BA8" w:rsidP="003E5BA8">
      <w:r>
        <w:t xml:space="preserve">The observed adverse event profile in this study did not suggest any serious safety concerns for </w:t>
      </w:r>
      <w:r w:rsidR="0003601B">
        <w:t>Comirnaty</w:t>
      </w:r>
      <w:r>
        <w:t xml:space="preserve"> admin</w:t>
      </w:r>
      <w:r w:rsidR="0003601B">
        <w:t xml:space="preserve">istered as three doses at the 3 </w:t>
      </w:r>
      <w:proofErr w:type="spellStart"/>
      <w:r w:rsidR="0003601B">
        <w:t>μg</w:t>
      </w:r>
      <w:proofErr w:type="spellEnd"/>
      <w:r w:rsidR="0003601B">
        <w:t xml:space="preserve"> dose level in children 6 months to under </w:t>
      </w:r>
      <w:r>
        <w:t xml:space="preserve">5 years of age. Many </w:t>
      </w:r>
      <w:r w:rsidR="0003601B">
        <w:t>adverse events reported up to one</w:t>
      </w:r>
      <w:r>
        <w:t xml:space="preserve"> month after Dose 3 were consistent with reactogenicity events, or other infections or illnesses that are expected to be observed in a paediatric general population. Few </w:t>
      </w:r>
      <w:r w:rsidR="0003601B">
        <w:t>serious adverse events</w:t>
      </w:r>
      <w:r>
        <w:t xml:space="preserve"> or </w:t>
      </w:r>
      <w:r w:rsidR="0003601B">
        <w:t>adverse events</w:t>
      </w:r>
      <w:r>
        <w:t xml:space="preserve"> leading to withdrawal, and no deaths, were reported. There were few </w:t>
      </w:r>
      <w:r w:rsidR="0003601B">
        <w:t xml:space="preserve">adverse events </w:t>
      </w:r>
      <w:r>
        <w:t>of clinical interest reported, and no cases were observed of vaccine-associated anaphylaxis or myocarditis/pericarditis, and no deaths were reported.</w:t>
      </w:r>
    </w:p>
    <w:p w14:paraId="384988B2" w14:textId="433DAB26" w:rsidR="003E5BA8" w:rsidRDefault="003E5BA8" w:rsidP="003E5BA8">
      <w:r>
        <w:t xml:space="preserve">Overall, the current safety data presented is reassuring but limited in terms of numbers and length of follow-up.  Of the 1,178 </w:t>
      </w:r>
      <w:r w:rsidR="0003601B">
        <w:t>Comirnaty</w:t>
      </w:r>
      <w:r>
        <w:t xml:space="preserve"> recipients 6 months to 2 years of age, only 386 (32.8%) received 3 vaccine doses and of the 1,835 </w:t>
      </w:r>
      <w:r w:rsidR="0003601B">
        <w:t>Comirnaty recipients 2 to under 5 </w:t>
      </w:r>
      <w:r>
        <w:t>years of age, only 606 (33.0%) received 3 vaccine doses.  The median duration of blinded follow-up was 1.3 (</w:t>
      </w:r>
      <w:r w:rsidR="0003601B">
        <w:t xml:space="preserve">range: </w:t>
      </w:r>
      <w:r>
        <w:t>0</w:t>
      </w:r>
      <w:r w:rsidR="0003601B">
        <w:t xml:space="preserve"> to</w:t>
      </w:r>
      <w:r>
        <w:t xml:space="preserve"> 3.2 months) for participants </w:t>
      </w:r>
      <w:r w:rsidR="0003601B">
        <w:t xml:space="preserve">between </w:t>
      </w:r>
      <w:r>
        <w:t>6</w:t>
      </w:r>
      <w:r w:rsidR="0049513F">
        <w:t xml:space="preserve"> months and under </w:t>
      </w:r>
      <w:r w:rsidR="0049513F">
        <w:lastRenderedPageBreak/>
        <w:t>2 </w:t>
      </w:r>
      <w:r w:rsidR="0003601B">
        <w:t>years of age</w:t>
      </w:r>
      <w:r>
        <w:t xml:space="preserve"> and 1.4 months (</w:t>
      </w:r>
      <w:r w:rsidR="0003601B">
        <w:t>range: 1 to</w:t>
      </w:r>
      <w:r>
        <w:t xml:space="preserve"> 3.2 months) for participants </w:t>
      </w:r>
      <w:r w:rsidR="0003601B">
        <w:t xml:space="preserve">from 2 to under </w:t>
      </w:r>
      <w:r w:rsidR="0049513F">
        <w:t>5 </w:t>
      </w:r>
      <w:r>
        <w:t>years of age after Dose 3. The median duration of combined blinded and unblinded follow-up after Dose 3 was 2.1 months for each age group.  Therefore, rarer adverse events (such as myocarditis/pericarditis) or those that require longer follow-up may potentially have been missed in the current safet</w:t>
      </w:r>
      <w:r w:rsidR="0049513F">
        <w:t>y profile determined from Study </w:t>
      </w:r>
      <w:r>
        <w:t>C4591007.</w:t>
      </w:r>
    </w:p>
    <w:p w14:paraId="780DE522" w14:textId="612B7E12" w:rsidR="003E5BA8" w:rsidRDefault="003E5BA8" w:rsidP="0003601B">
      <w:pPr>
        <w:pStyle w:val="Heading5"/>
      </w:pPr>
      <w:r>
        <w:t>Data limitations and uncertainties</w:t>
      </w:r>
    </w:p>
    <w:p w14:paraId="5C907033" w14:textId="26C91CFF" w:rsidR="00791FB9" w:rsidRPr="00791FB9" w:rsidRDefault="00791FB9" w:rsidP="00791FB9">
      <w:r>
        <w:t>The Delegate noted the following data limitations and uncertainties:</w:t>
      </w:r>
    </w:p>
    <w:p w14:paraId="481C4CB3" w14:textId="36FF4A3A" w:rsidR="003E5BA8" w:rsidRDefault="003E5BA8" w:rsidP="00273991">
      <w:pPr>
        <w:pStyle w:val="ListBullet"/>
      </w:pPr>
      <w:r>
        <w:t xml:space="preserve">The number of infants studied may not detect less </w:t>
      </w:r>
      <w:r w:rsidR="008F319A">
        <w:t>common and rare adverse events</w:t>
      </w:r>
      <w:r>
        <w:t xml:space="preserve"> </w:t>
      </w:r>
    </w:p>
    <w:p w14:paraId="00B758E8" w14:textId="3CD2C20A" w:rsidR="003E5BA8" w:rsidRDefault="003E5BA8" w:rsidP="00273991">
      <w:pPr>
        <w:pStyle w:val="ListBullet"/>
      </w:pPr>
      <w:r>
        <w:t>The longer-term safety is unknown given the limited duration of follow up to date</w:t>
      </w:r>
    </w:p>
    <w:p w14:paraId="14DA62A6" w14:textId="715CEC41" w:rsidR="003E5BA8" w:rsidRDefault="008F319A" w:rsidP="008F319A">
      <w:pPr>
        <w:pStyle w:val="ListBullet"/>
      </w:pPr>
      <w:r>
        <w:t>Data on vaccine efficacy</w:t>
      </w:r>
      <w:r w:rsidR="003E5BA8">
        <w:t xml:space="preserve"> to prevent asy</w:t>
      </w:r>
      <w:r>
        <w:t>mptomatic infection are lacking</w:t>
      </w:r>
    </w:p>
    <w:p w14:paraId="19072DC9" w14:textId="3A366A4A" w:rsidR="003E5BA8" w:rsidRDefault="003E5BA8" w:rsidP="008F319A">
      <w:pPr>
        <w:pStyle w:val="ListBullet"/>
      </w:pPr>
      <w:r>
        <w:t>The impact on transmission is unknown</w:t>
      </w:r>
    </w:p>
    <w:p w14:paraId="19126CDD" w14:textId="4873C617" w:rsidR="008F319A" w:rsidRDefault="003E5BA8" w:rsidP="003E5BA8">
      <w:pPr>
        <w:pStyle w:val="ListBullet"/>
      </w:pPr>
      <w:r>
        <w:t xml:space="preserve">There are no data available on the interchangeability of </w:t>
      </w:r>
      <w:r w:rsidR="008F319A">
        <w:t>Comirnaty with other COVID</w:t>
      </w:r>
      <w:r w:rsidR="008F319A">
        <w:noBreakHyphen/>
      </w:r>
      <w:r>
        <w:t xml:space="preserve">19 vaccines to </w:t>
      </w:r>
      <w:r w:rsidR="008F319A">
        <w:t>complete the vaccination series</w:t>
      </w:r>
    </w:p>
    <w:p w14:paraId="08DC2179" w14:textId="77777777" w:rsidR="008F319A" w:rsidRDefault="003E5BA8" w:rsidP="003E5BA8">
      <w:pPr>
        <w:pStyle w:val="ListBullet"/>
      </w:pPr>
      <w:r>
        <w:t xml:space="preserve">Duration of protection of Comirnaty is uncertain due to limited follow-up duration </w:t>
      </w:r>
    </w:p>
    <w:p w14:paraId="2A25DEC3" w14:textId="6C18A76E" w:rsidR="003E5BA8" w:rsidRDefault="003E5BA8" w:rsidP="003E5BA8">
      <w:pPr>
        <w:pStyle w:val="ListBullet"/>
      </w:pPr>
      <w:r>
        <w:t>Lack of immunogenicity and safety data in immunocompromised patients or children with background autoimmune disease.</w:t>
      </w:r>
    </w:p>
    <w:p w14:paraId="744EDF11" w14:textId="15B16467" w:rsidR="003E5BA8" w:rsidRPr="003E5BA8" w:rsidRDefault="003E5BA8" w:rsidP="003E5BA8">
      <w:r>
        <w:t xml:space="preserve">These limitations are </w:t>
      </w:r>
      <w:proofErr w:type="gramStart"/>
      <w:r>
        <w:t>similar to</w:t>
      </w:r>
      <w:proofErr w:type="gramEnd"/>
      <w:r>
        <w:t xml:space="preserve"> those identified in previous Comirnaty submissions, and in other COVID-19 vaccination submissions for adults and children. The submitted efficacy and safety data is short term at this stage, but the data have fulfilled the</w:t>
      </w:r>
      <w:r w:rsidR="008F319A">
        <w:t xml:space="preserve"> requirement as set out in the ‘</w:t>
      </w:r>
      <w:hyperlink r:id="rId46" w:history="1">
        <w:r w:rsidR="008F319A">
          <w:rPr>
            <w:rStyle w:val="Hyperlink"/>
          </w:rPr>
          <w:t xml:space="preserve">Access Consortium statement on COVID-19 vaccines evidence </w:t>
        </w:r>
      </w:hyperlink>
      <w:r w:rsidR="008F319A">
        <w:t xml:space="preserve">‘ as </w:t>
      </w:r>
      <w:r w:rsidR="00791FB9">
        <w:t xml:space="preserve">has been </w:t>
      </w:r>
      <w:r w:rsidR="008F319A">
        <w:t>available on the TGA website since 4 December 2020.</w:t>
      </w:r>
    </w:p>
    <w:p w14:paraId="1C8F5B23" w14:textId="4CCAB3A9" w:rsidR="0074163C" w:rsidRDefault="008F319A" w:rsidP="008F319A">
      <w:pPr>
        <w:pStyle w:val="Heading5"/>
      </w:pPr>
      <w:r>
        <w:t>Conclusion</w:t>
      </w:r>
    </w:p>
    <w:p w14:paraId="1AF09CDB" w14:textId="3DC8324F" w:rsidR="008F319A" w:rsidRDefault="008F319A" w:rsidP="008F319A">
      <w:r>
        <w:t>From the currently available data, it can be</w:t>
      </w:r>
      <w:r w:rsidR="0049513F">
        <w:t xml:space="preserve"> concluded that a </w:t>
      </w:r>
      <w:proofErr w:type="gramStart"/>
      <w:r w:rsidR="0049513F">
        <w:t xml:space="preserve">3 </w:t>
      </w:r>
      <w:r>
        <w:t>vaccine</w:t>
      </w:r>
      <w:proofErr w:type="gramEnd"/>
      <w:r>
        <w:t xml:space="preserve"> course of Comirnaty (tozinameran) COVID-19 vaccine is efficacious in protecting individuals from 6 months to under 5 years of age against symptomatic COVID-19 based on non-inferior immune responses, which is supported by descriptive efficacy analyses. The safety profile is acceptable, and no new safet</w:t>
      </w:r>
      <w:r w:rsidR="0049513F">
        <w:t>y signals have been identified.</w:t>
      </w:r>
    </w:p>
    <w:p w14:paraId="1BBE2E90" w14:textId="02DC1B53" w:rsidR="008F319A" w:rsidRDefault="008F319A" w:rsidP="008F319A">
      <w:pPr>
        <w:pStyle w:val="Heading4"/>
      </w:pPr>
      <w:r>
        <w:t>Proposed action</w:t>
      </w:r>
    </w:p>
    <w:p w14:paraId="6A0D1C35" w14:textId="294FC0C3" w:rsidR="008F319A" w:rsidRDefault="008F319A" w:rsidP="008F319A">
      <w:r>
        <w:t>Considering the public health need and noting the high short-term efficacy with acceptable safety demonstrated</w:t>
      </w:r>
      <w:r w:rsidR="008F15EF">
        <w:t xml:space="preserve"> in the submitted studies, the D</w:t>
      </w:r>
      <w:r>
        <w:t>elegate is of the view that provisional registration of Comirnaty is appropriate for the use of this vaccine to prevent COVID-19 disease caused by SARS-CoV-2 virus in individuals aged from 6 months to under 5 years of age. The longer-term efficacy and safety data are to be submitted to the TGA for evaluation before a full registration can be considered.</w:t>
      </w:r>
    </w:p>
    <w:p w14:paraId="6F3932DE" w14:textId="574FBE98" w:rsidR="008F319A" w:rsidRDefault="008F319A" w:rsidP="008F319A">
      <w:r>
        <w:t>Pending the advice from the Advisory Committee on Vaccines (ACV) and further review of the Product Information (PI)</w:t>
      </w:r>
      <w:r w:rsidR="00653BE5">
        <w:t>, the D</w:t>
      </w:r>
      <w:r>
        <w:t>elegate proposes the provisional approval of this vac</w:t>
      </w:r>
      <w:r w:rsidR="00653BE5">
        <w:t>cine for the indication below:</w:t>
      </w:r>
    </w:p>
    <w:p w14:paraId="317B6A83" w14:textId="77777777" w:rsidR="00653BE5" w:rsidRDefault="008F319A" w:rsidP="00653BE5">
      <w:pPr>
        <w:ind w:left="720"/>
        <w:rPr>
          <w:i/>
        </w:rPr>
      </w:pPr>
      <w:r w:rsidRPr="00653BE5">
        <w:rPr>
          <w:i/>
        </w:rPr>
        <w:t>Active immunisation to prevent coronavirus disease 2019 (COVID-19) caused by SARS-CoV-2, in individuals 6 months of age and older. The use of this vaccine should be in accordance</w:t>
      </w:r>
      <w:r w:rsidR="00653BE5">
        <w:rPr>
          <w:i/>
        </w:rPr>
        <w:t xml:space="preserve"> with official recommendations.</w:t>
      </w:r>
    </w:p>
    <w:p w14:paraId="7A725FD0" w14:textId="0046A6D8" w:rsidR="008F319A" w:rsidRPr="00653BE5" w:rsidRDefault="008F319A" w:rsidP="00653BE5">
      <w:pPr>
        <w:ind w:left="720"/>
        <w:rPr>
          <w:i/>
        </w:rPr>
      </w:pPr>
      <w:r w:rsidRPr="00653BE5">
        <w:rPr>
          <w:i/>
        </w:rPr>
        <w:t xml:space="preserve">The decision has been made </w:t>
      </w:r>
      <w:proofErr w:type="gramStart"/>
      <w:r w:rsidRPr="00653BE5">
        <w:rPr>
          <w:i/>
        </w:rPr>
        <w:t>on the basis of</w:t>
      </w:r>
      <w:proofErr w:type="gramEnd"/>
      <w:r w:rsidRPr="00653BE5">
        <w:rPr>
          <w:i/>
        </w:rPr>
        <w:t xml:space="preserve"> short-term efficacy and safety data. Continued approval depends on the evidence of longer-term efficacy and safety from ongoing clinical trials and post market assessment</w:t>
      </w:r>
      <w:r>
        <w:t>.</w:t>
      </w:r>
    </w:p>
    <w:p w14:paraId="2E03A92A" w14:textId="77777777" w:rsidR="0074163C" w:rsidRPr="00F73346" w:rsidRDefault="0074163C" w:rsidP="0074163C">
      <w:pPr>
        <w:pStyle w:val="Heading4"/>
      </w:pPr>
      <w:bookmarkStart w:id="94" w:name="_Toc98931936"/>
      <w:bookmarkStart w:id="95" w:name="_Toc247691532"/>
      <w:bookmarkStart w:id="96" w:name="_Toc314842516"/>
      <w:bookmarkEnd w:id="46"/>
      <w:bookmarkEnd w:id="89"/>
      <w:bookmarkEnd w:id="90"/>
      <w:r w:rsidRPr="00F73346">
        <w:lastRenderedPageBreak/>
        <w:t>Advisory Committee considerations</w:t>
      </w:r>
      <w:bookmarkEnd w:id="94"/>
    </w:p>
    <w:p w14:paraId="5D7D7ACF" w14:textId="51658F05" w:rsidR="0074163C" w:rsidRDefault="0074163C" w:rsidP="0074163C">
      <w:pPr>
        <w:rPr>
          <w:bCs/>
        </w:rPr>
      </w:pPr>
      <w:r w:rsidRPr="00456765">
        <w:rPr>
          <w:bCs/>
        </w:rPr>
        <w:t xml:space="preserve">The </w:t>
      </w:r>
      <w:hyperlink r:id="rId47"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31DD4D23" w14:textId="5F23B238" w:rsidR="0074163C" w:rsidRDefault="0074163C" w:rsidP="0074163C">
      <w:pPr>
        <w:pStyle w:val="Heading5"/>
      </w:pPr>
      <w:r w:rsidRPr="00F73346">
        <w:t>Specific advice to the Delegate</w:t>
      </w:r>
    </w:p>
    <w:p w14:paraId="5A7262F5" w14:textId="67A1CC96" w:rsidR="00653BE5" w:rsidRDefault="00653BE5" w:rsidP="00653BE5">
      <w:pPr>
        <w:pStyle w:val="Numberbullet0"/>
        <w:numPr>
          <w:ilvl w:val="0"/>
          <w:numId w:val="41"/>
        </w:numPr>
        <w:rPr>
          <w:b/>
          <w:i/>
        </w:rPr>
      </w:pPr>
      <w:r w:rsidRPr="00653BE5">
        <w:rPr>
          <w:b/>
          <w:i/>
        </w:rPr>
        <w:t xml:space="preserve">Does </w:t>
      </w:r>
      <w:r w:rsidR="00743376">
        <w:rPr>
          <w:b/>
          <w:i/>
        </w:rPr>
        <w:t xml:space="preserve">the </w:t>
      </w:r>
      <w:r w:rsidRPr="00653BE5">
        <w:rPr>
          <w:b/>
          <w:i/>
        </w:rPr>
        <w:t xml:space="preserve">ACV consider that there is a favourable benefit-risk balance for the extension of provisional registration to individuals </w:t>
      </w:r>
      <w:r>
        <w:rPr>
          <w:b/>
          <w:i/>
        </w:rPr>
        <w:t xml:space="preserve">from 6 months to </w:t>
      </w:r>
      <w:r w:rsidR="00743376">
        <w:rPr>
          <w:b/>
          <w:i/>
        </w:rPr>
        <w:t>less than 5 years of age?</w:t>
      </w:r>
    </w:p>
    <w:p w14:paraId="1EA43C77" w14:textId="77777777" w:rsidR="00743376" w:rsidRPr="00743376" w:rsidRDefault="00743376" w:rsidP="00743376">
      <w:r w:rsidRPr="00743376">
        <w:t>The ACV advised that there is a favourable benefit-risk balance to individuals 6 months to less than 5 years of age. This is based on immunogenicity and preliminary efficacy and safety data from the administration of Comirnaty, compared with the rare risk of hospitalisation and serious outcomes in this age group.</w:t>
      </w:r>
    </w:p>
    <w:p w14:paraId="1DB060B2" w14:textId="456A9A8A" w:rsidR="00743376" w:rsidRPr="00743376" w:rsidRDefault="00743376" w:rsidP="00743376">
      <w:r w:rsidRPr="00743376">
        <w:t xml:space="preserve">The ACV was of the view that the greatest benefit is anticipated to be in infants and children who are at high risk of </w:t>
      </w:r>
      <w:r>
        <w:t>developing severe disease (that is,</w:t>
      </w:r>
      <w:r w:rsidRPr="00743376">
        <w:t xml:space="preserve"> children with severe immunocompromise or significant respiratory/cardiac disease). The ACV further advised that the use of this vaccine should be in line with official guidelines, such as developed by the Australian Technical Advisory Group on Immunisation (ATAGI).</w:t>
      </w:r>
    </w:p>
    <w:p w14:paraId="459F4474" w14:textId="42E4EC80" w:rsidR="00743376" w:rsidRPr="00743376" w:rsidRDefault="00743376" w:rsidP="00743376">
      <w:r w:rsidRPr="00743376">
        <w:t>The ACV noted that the study was not powered to detect rare events such as myocarditis and was supportive of robust post-marketing safety monitoring.</w:t>
      </w:r>
    </w:p>
    <w:p w14:paraId="714B2FC9" w14:textId="0F578070" w:rsidR="00653BE5" w:rsidRDefault="00653BE5" w:rsidP="00653BE5">
      <w:pPr>
        <w:pStyle w:val="Numberbullet0"/>
        <w:numPr>
          <w:ilvl w:val="0"/>
          <w:numId w:val="41"/>
        </w:numPr>
        <w:rPr>
          <w:b/>
          <w:i/>
        </w:rPr>
      </w:pPr>
      <w:r w:rsidRPr="00653BE5">
        <w:rPr>
          <w:b/>
          <w:i/>
        </w:rPr>
        <w:t>Does the ACV have any advice of the 3-dosing schedule as a primary vaccination course in these age groups?</w:t>
      </w:r>
    </w:p>
    <w:p w14:paraId="75188BCE" w14:textId="77777777" w:rsidR="00743376" w:rsidRDefault="00743376" w:rsidP="00743376">
      <w:r>
        <w:t>The ACV advised that the basis for inclusion of a third dose in this primary schedule was appropriately justified in the application.</w:t>
      </w:r>
    </w:p>
    <w:p w14:paraId="49B84CF4" w14:textId="35B3D8E4" w:rsidR="00743376" w:rsidRDefault="00743376" w:rsidP="00743376">
      <w:r>
        <w:t xml:space="preserve">The ACV noted that geometric mean titres (GMTs) from the </w:t>
      </w:r>
      <w:proofErr w:type="spellStart"/>
      <w:r>
        <w:t>immunobridging</w:t>
      </w:r>
      <w:proofErr w:type="spellEnd"/>
      <w:r>
        <w:t xml:space="preserve"> subset showed similar (or higher) responses to those achieved in young adults. However, this is not entirely predictive of level of protection.</w:t>
      </w:r>
    </w:p>
    <w:p w14:paraId="3E6D14DE" w14:textId="77777777" w:rsidR="00743376" w:rsidRDefault="00743376" w:rsidP="00743376">
      <w:r>
        <w:t>The ACV noted that the completion rate of a 3-dose primary series may be low. The ACV advised that ongoing studies that are used to provide efficacy estimates should separately address efficacy following 1, 2 and 3 doses.</w:t>
      </w:r>
    </w:p>
    <w:p w14:paraId="79C65586" w14:textId="77777777" w:rsidR="00743376" w:rsidRDefault="00743376" w:rsidP="00743376">
      <w:r>
        <w:t>The ACV noted that a not insignificant proportion of Australian children will have had COVID-19 before receiving vaccination.</w:t>
      </w:r>
    </w:p>
    <w:p w14:paraId="48CBDD75" w14:textId="77777777" w:rsidR="00743376" w:rsidRDefault="00743376" w:rsidP="00743376">
      <w:r>
        <w:t>The ACV noted that each vaccination is an opportunity for a medication error to occur (such as incorrect dose or product), and so a 3-dose regimen provides a greater challenge to quality use of medicines than a 2-dose regimen.</w:t>
      </w:r>
    </w:p>
    <w:p w14:paraId="2AE6F293" w14:textId="4FFB9B02" w:rsidR="00743376" w:rsidRPr="00743376" w:rsidRDefault="00743376" w:rsidP="00743376">
      <w:pPr>
        <w:rPr>
          <w:b/>
        </w:rPr>
      </w:pPr>
      <w:r>
        <w:t>The ACV highlighted the potential for administration of a COVID-19 vaccine to disrupt the well-established early childhood vaccination schedules for other childhood diseases. In the absence of co-administration trials, studies monitoring potential interactions should be undertaken.</w:t>
      </w:r>
    </w:p>
    <w:p w14:paraId="777909E6" w14:textId="0DF5F0B5" w:rsidR="00653BE5" w:rsidRPr="00743376" w:rsidRDefault="00653BE5" w:rsidP="00653BE5">
      <w:pPr>
        <w:pStyle w:val="Numberbullet0"/>
        <w:numPr>
          <w:ilvl w:val="0"/>
          <w:numId w:val="41"/>
        </w:numPr>
      </w:pPr>
      <w:r w:rsidRPr="00743376">
        <w:rPr>
          <w:b/>
          <w:i/>
        </w:rPr>
        <w:t>The committee is also requested to provide advice on any other issues that may be relevant to a</w:t>
      </w:r>
      <w:r w:rsidRPr="00653BE5">
        <w:rPr>
          <w:b/>
          <w:i/>
        </w:rPr>
        <w:t xml:space="preserve"> decision on </w:t>
      </w:r>
      <w:proofErr w:type="gramStart"/>
      <w:r w:rsidRPr="00653BE5">
        <w:rPr>
          <w:b/>
          <w:i/>
        </w:rPr>
        <w:t>whether or not</w:t>
      </w:r>
      <w:proofErr w:type="gramEnd"/>
      <w:r w:rsidRPr="00653BE5">
        <w:rPr>
          <w:b/>
          <w:i/>
        </w:rPr>
        <w:t xml:space="preserve"> to approve this application</w:t>
      </w:r>
    </w:p>
    <w:p w14:paraId="0C678D5E" w14:textId="77777777" w:rsidR="00743376" w:rsidRDefault="00743376" w:rsidP="00743376">
      <w:r>
        <w:t>The ACV noted confusion and medication errors are likely to occur in Australia, and have already been observed in the USA, due to multiple formulations with the same brand names being available concurrently. The ACV strongly emphasised the importance of having robust guidance, labelling, training, communications, and a range of other strategies to clearly convey product differences to both providers and consumers. The ACV highlighted that such risk mitigation strategies will be important to ensure safe program delivery. Further, planning for ascertainment of medication errors is also necessary.</w:t>
      </w:r>
    </w:p>
    <w:p w14:paraId="2F1FFC0A" w14:textId="7BA6F608" w:rsidR="00743376" w:rsidRPr="00743376" w:rsidRDefault="00743376" w:rsidP="00743376">
      <w:r>
        <w:lastRenderedPageBreak/>
        <w:t>The ACV noted that there was no dose-ranging data available to inform the counselling of parent/carer if a child is administered an overdose of vaccine.</w:t>
      </w:r>
    </w:p>
    <w:p w14:paraId="1B4F8CBA" w14:textId="637C2B00" w:rsidR="0074163C" w:rsidRDefault="0074163C" w:rsidP="0074163C">
      <w:pPr>
        <w:pStyle w:val="Heading5"/>
      </w:pPr>
      <w:r w:rsidRPr="00F73346">
        <w:t>Conclusion</w:t>
      </w:r>
    </w:p>
    <w:p w14:paraId="59F00308" w14:textId="408DFD1F" w:rsidR="00C04240" w:rsidRDefault="00C04240" w:rsidP="00C04240">
      <w:r>
        <w:t>The ACV considered this product to have an overall positive benefit-risk profile for the following indication:</w:t>
      </w:r>
    </w:p>
    <w:p w14:paraId="67B1241E" w14:textId="005A96FC" w:rsidR="00C04240" w:rsidRPr="00C04240" w:rsidRDefault="00C04240" w:rsidP="00C04240">
      <w:pPr>
        <w:ind w:left="720"/>
        <w:rPr>
          <w:i/>
        </w:rPr>
      </w:pPr>
      <w:r w:rsidRPr="00C04240">
        <w:rPr>
          <w:i/>
        </w:rPr>
        <w:t>Comirnaty (tozinameran) COVID-19 Vaccine has provisional approval for the indication below:</w:t>
      </w:r>
    </w:p>
    <w:p w14:paraId="11C3876A" w14:textId="77777777" w:rsidR="00C04240" w:rsidRPr="00C04240" w:rsidRDefault="00C04240" w:rsidP="00C04240">
      <w:pPr>
        <w:ind w:left="720"/>
        <w:rPr>
          <w:i/>
        </w:rPr>
      </w:pPr>
      <w:r w:rsidRPr="00C04240">
        <w:rPr>
          <w:i/>
        </w:rPr>
        <w:t>Active immunisation to prevent coronavirus disease 2019 (COVID-19) caused by SARS-CoV-2, in individuals 6 months of age and older.</w:t>
      </w:r>
    </w:p>
    <w:p w14:paraId="152EB24C" w14:textId="77777777" w:rsidR="00C04240" w:rsidRPr="00C04240" w:rsidRDefault="00C04240" w:rsidP="00C04240">
      <w:pPr>
        <w:ind w:left="720"/>
        <w:rPr>
          <w:i/>
        </w:rPr>
      </w:pPr>
      <w:r w:rsidRPr="00C04240">
        <w:rPr>
          <w:i/>
        </w:rPr>
        <w:t>The use of this vaccine should be in accordance with official recommendations.</w:t>
      </w:r>
    </w:p>
    <w:p w14:paraId="2D8A8A39" w14:textId="3B7AB758" w:rsidR="00743376" w:rsidRPr="00C04240" w:rsidRDefault="00C04240" w:rsidP="00C04240">
      <w:pPr>
        <w:ind w:left="720"/>
        <w:rPr>
          <w:i/>
        </w:rPr>
      </w:pPr>
      <w:r w:rsidRPr="00C04240">
        <w:rPr>
          <w:i/>
        </w:rPr>
        <w:t xml:space="preserve">The decision has been made on the basis of </w:t>
      </w:r>
      <w:proofErr w:type="gramStart"/>
      <w:r w:rsidRPr="00C04240">
        <w:rPr>
          <w:i/>
        </w:rPr>
        <w:t>short term</w:t>
      </w:r>
      <w:proofErr w:type="gramEnd"/>
      <w:r w:rsidRPr="00C04240">
        <w:rPr>
          <w:i/>
        </w:rPr>
        <w:t xml:space="preserve"> efficacy and safety data. Continued approval depends on the evidence of </w:t>
      </w:r>
      <w:proofErr w:type="gramStart"/>
      <w:r w:rsidRPr="00C04240">
        <w:rPr>
          <w:i/>
        </w:rPr>
        <w:t>longer term</w:t>
      </w:r>
      <w:proofErr w:type="gramEnd"/>
      <w:r w:rsidRPr="00C04240">
        <w:rPr>
          <w:i/>
        </w:rPr>
        <w:t xml:space="preserve"> efficacy and safety from ongoing clinical trials and post-market assessment.</w:t>
      </w:r>
    </w:p>
    <w:p w14:paraId="7FDC6C24" w14:textId="77777777" w:rsidR="008E7846" w:rsidRPr="002E238E" w:rsidRDefault="008E7846" w:rsidP="00D212F3">
      <w:pPr>
        <w:pStyle w:val="Heading2"/>
      </w:pPr>
      <w:bookmarkStart w:id="97" w:name="_Toc116380315"/>
      <w:r>
        <w:t>Outcome</w:t>
      </w:r>
      <w:bookmarkEnd w:id="95"/>
      <w:bookmarkEnd w:id="96"/>
      <w:bookmarkEnd w:id="97"/>
    </w:p>
    <w:p w14:paraId="4946E842" w14:textId="222DEFA8" w:rsidR="000D2C75" w:rsidRDefault="000D2C75" w:rsidP="000D2C75">
      <w:bookmarkStart w:id="98" w:name="_Toc247691533"/>
      <w:bookmarkStart w:id="99" w:name="_Toc314842517"/>
      <w:r>
        <w:t>Based on a review of quality, safety, and efficacy, the TGA approved the registration of Comirnaty (tozinameran</w:t>
      </w:r>
      <w:r w:rsidRPr="00250271">
        <w:t xml:space="preserve">) </w:t>
      </w:r>
      <w:r w:rsidRPr="0092761A">
        <w:rPr>
          <w:lang w:eastAsia="en-AU"/>
        </w:rPr>
        <w:t>3 µg/0.2 mL</w:t>
      </w:r>
      <w:r w:rsidRPr="00250271">
        <w:t xml:space="preserve">, </w:t>
      </w:r>
      <w:r>
        <w:t>concentrated suspension for injection, multidose vial, indicated for the following extension of indications and change in dose regime:</w:t>
      </w:r>
    </w:p>
    <w:p w14:paraId="4049078A" w14:textId="47585126" w:rsidR="000D2C75" w:rsidRPr="0073545B" w:rsidRDefault="000D2C75" w:rsidP="000D2C75">
      <w:pPr>
        <w:ind w:left="720"/>
        <w:rPr>
          <w:i/>
          <w:iCs/>
        </w:rPr>
      </w:pPr>
      <w:r w:rsidRPr="0073545B">
        <w:rPr>
          <w:i/>
          <w:iCs/>
        </w:rPr>
        <w:t>Comirnaty (tozinameran) COVID-19 Vaccine has provisional approval for the indication below:</w:t>
      </w:r>
    </w:p>
    <w:p w14:paraId="4CB3119F" w14:textId="77777777" w:rsidR="000D2C75" w:rsidRPr="0073545B" w:rsidRDefault="000D2C75" w:rsidP="000D2C75">
      <w:pPr>
        <w:ind w:left="720"/>
        <w:rPr>
          <w:i/>
          <w:iCs/>
        </w:rPr>
      </w:pPr>
      <w:r w:rsidRPr="0073545B">
        <w:rPr>
          <w:i/>
          <w:iCs/>
        </w:rPr>
        <w:t xml:space="preserve">Active immunisation to prevent coronavirus disease 2019 (COVID-19) caused by SARS-CoV-2, in individuals 6 months of age and older. </w:t>
      </w:r>
    </w:p>
    <w:p w14:paraId="0CB7EE76" w14:textId="77777777" w:rsidR="000D2C75" w:rsidRPr="0073545B" w:rsidRDefault="000D2C75" w:rsidP="000D2C75">
      <w:pPr>
        <w:ind w:left="720"/>
        <w:rPr>
          <w:i/>
          <w:iCs/>
        </w:rPr>
      </w:pPr>
      <w:r w:rsidRPr="0073545B">
        <w:rPr>
          <w:i/>
          <w:iCs/>
        </w:rPr>
        <w:t xml:space="preserve">The use of this vaccine should be in accordance with official recommendations. </w:t>
      </w:r>
    </w:p>
    <w:p w14:paraId="0743D559" w14:textId="77777777" w:rsidR="000D2C75" w:rsidRDefault="000D2C75" w:rsidP="000D2C75">
      <w:pPr>
        <w:ind w:left="720"/>
      </w:pPr>
      <w:r w:rsidRPr="0073545B">
        <w:rPr>
          <w:i/>
          <w:iCs/>
        </w:rPr>
        <w:t xml:space="preserve">The decision has been made on the basis of </w:t>
      </w:r>
      <w:proofErr w:type="gramStart"/>
      <w:r w:rsidRPr="0073545B">
        <w:rPr>
          <w:i/>
          <w:iCs/>
        </w:rPr>
        <w:t>short term</w:t>
      </w:r>
      <w:proofErr w:type="gramEnd"/>
      <w:r w:rsidRPr="0073545B">
        <w:rPr>
          <w:i/>
          <w:iCs/>
        </w:rPr>
        <w:t xml:space="preserve"> efficacy and safety data. Continued approval depends on the evidence of </w:t>
      </w:r>
      <w:proofErr w:type="gramStart"/>
      <w:r w:rsidRPr="0073545B">
        <w:rPr>
          <w:i/>
          <w:iCs/>
        </w:rPr>
        <w:t>longer term</w:t>
      </w:r>
      <w:proofErr w:type="gramEnd"/>
      <w:r w:rsidRPr="0073545B">
        <w:rPr>
          <w:i/>
          <w:iCs/>
        </w:rPr>
        <w:t xml:space="preserve"> efficacy and safety from ongoing clinical trials and post-market assessment.</w:t>
      </w:r>
    </w:p>
    <w:p w14:paraId="505C7ED0" w14:textId="48A1AFC8" w:rsidR="000D2C75" w:rsidRPr="00D23139" w:rsidRDefault="000D2C75" w:rsidP="000D2C75">
      <w:r>
        <w:t xml:space="preserve">The above </w:t>
      </w:r>
      <w:r w:rsidRPr="00C105CF">
        <w:t xml:space="preserve">extension of indications </w:t>
      </w:r>
      <w:proofErr w:type="gramStart"/>
      <w:r>
        <w:t>are</w:t>
      </w:r>
      <w:proofErr w:type="gramEnd"/>
      <w:r>
        <w:t xml:space="preserve"> inclusive of the previous approved indications.</w:t>
      </w:r>
    </w:p>
    <w:p w14:paraId="58458192" w14:textId="77777777" w:rsidR="00D23139" w:rsidRPr="00D23139" w:rsidRDefault="00D23139" w:rsidP="00D212F3">
      <w:pPr>
        <w:pStyle w:val="Heading3"/>
      </w:pPr>
      <w:bookmarkStart w:id="100" w:name="_Toc116380316"/>
      <w:r w:rsidRPr="00D23139">
        <w:t>Specific conditions of registration applying to these goods</w:t>
      </w:r>
      <w:bookmarkEnd w:id="100"/>
    </w:p>
    <w:p w14:paraId="44C34665" w14:textId="77777777" w:rsidR="000D2C75" w:rsidRPr="0047648A" w:rsidRDefault="000D2C75" w:rsidP="000D2C75">
      <w:r w:rsidRPr="0047648A">
        <w:t xml:space="preserve">[The Delegate of the Secretary of the Department of Health imposed the following conditions in relation to the new </w:t>
      </w:r>
      <w:r>
        <w:t>Comirnaty</w:t>
      </w:r>
      <w:r w:rsidRPr="0047648A">
        <w:t xml:space="preserve"> medicine:]</w:t>
      </w:r>
    </w:p>
    <w:p w14:paraId="127075D9" w14:textId="77777777" w:rsidR="000D2C75" w:rsidRPr="00672162" w:rsidRDefault="000D2C75" w:rsidP="000D2C75">
      <w:pPr>
        <w:pStyle w:val="ListBullet"/>
        <w:numPr>
          <w:ilvl w:val="0"/>
          <w:numId w:val="3"/>
        </w:numPr>
      </w:pPr>
      <w:r w:rsidRPr="00672162">
        <w:t>conditions applicable to all registered therapeutic goods as specified in the document</w:t>
      </w:r>
      <w:r>
        <w:t xml:space="preserve"> </w:t>
      </w:r>
      <w:r w:rsidRPr="00672162">
        <w:t>Standard Conditions Applying to Registered or Listed Therapeutic Goods under Section 28 of</w:t>
      </w:r>
      <w:r>
        <w:t xml:space="preserve"> </w:t>
      </w:r>
      <w:r w:rsidRPr="00672162">
        <w:t xml:space="preserve">the Therapeutic Goods Act 1989 effective 1 July 1995, with the exception of Condition </w:t>
      </w:r>
      <w:proofErr w:type="gramStart"/>
      <w:r w:rsidRPr="00672162">
        <w:t>11;</w:t>
      </w:r>
      <w:proofErr w:type="gramEnd"/>
    </w:p>
    <w:p w14:paraId="7F65C18C" w14:textId="77777777" w:rsidR="000D2C75" w:rsidRPr="00672162" w:rsidRDefault="000D2C75" w:rsidP="000D2C75">
      <w:pPr>
        <w:pStyle w:val="ListBullet"/>
        <w:numPr>
          <w:ilvl w:val="0"/>
          <w:numId w:val="3"/>
        </w:numPr>
      </w:pPr>
      <w:r w:rsidRPr="00672162">
        <w:t>conditions applicable to specific classes of registered therapeutic goods as specified in the</w:t>
      </w:r>
      <w:r>
        <w:t xml:space="preserve"> </w:t>
      </w:r>
      <w:r w:rsidRPr="00672162">
        <w:t>Standard Conditions Applying to Registered or Listed Therapeutic Goods under Section 28 of</w:t>
      </w:r>
      <w:r>
        <w:t xml:space="preserve"> </w:t>
      </w:r>
      <w:r w:rsidRPr="00672162">
        <w:t xml:space="preserve">the Therapeutic Goods Act 1989 effective 1 July </w:t>
      </w:r>
      <w:proofErr w:type="gramStart"/>
      <w:r w:rsidRPr="00672162">
        <w:t>1995;</w:t>
      </w:r>
      <w:proofErr w:type="gramEnd"/>
      <w:r w:rsidRPr="00672162">
        <w:t xml:space="preserve"> and</w:t>
      </w:r>
    </w:p>
    <w:p w14:paraId="7DBF0F24" w14:textId="77777777" w:rsidR="000D2C75" w:rsidRPr="00672162" w:rsidRDefault="000D2C75" w:rsidP="000D2C75">
      <w:pPr>
        <w:pStyle w:val="ListBullet"/>
        <w:numPr>
          <w:ilvl w:val="0"/>
          <w:numId w:val="3"/>
        </w:numPr>
      </w:pPr>
      <w:r w:rsidRPr="00672162">
        <w:t xml:space="preserve">subject to </w:t>
      </w:r>
      <w:r>
        <w:t>[the paragraph below]</w:t>
      </w:r>
      <w:r w:rsidRPr="00672162">
        <w:t>, all conditions that have previously been imposed on the</w:t>
      </w:r>
      <w:r>
        <w:t xml:space="preserve"> </w:t>
      </w:r>
      <w:r w:rsidRPr="00672162">
        <w:t xml:space="preserve">provisional registration of the </w:t>
      </w:r>
      <w:r>
        <w:t>e</w:t>
      </w:r>
      <w:r w:rsidRPr="00672162">
        <w:t xml:space="preserve">xisting </w:t>
      </w:r>
      <w:r>
        <w:t>Comirnaty</w:t>
      </w:r>
      <w:r w:rsidRPr="00E7244E">
        <w:t xml:space="preserve"> medicine</w:t>
      </w:r>
      <w:r w:rsidRPr="00672162">
        <w:t>, as in force at the date of</w:t>
      </w:r>
      <w:r>
        <w:t xml:space="preserve"> </w:t>
      </w:r>
      <w:r w:rsidRPr="00672162">
        <w:t xml:space="preserve">this </w:t>
      </w:r>
      <w:proofErr w:type="gramStart"/>
      <w:r w:rsidRPr="00672162">
        <w:t>decision;</w:t>
      </w:r>
      <w:proofErr w:type="gramEnd"/>
    </w:p>
    <w:p w14:paraId="25B4DEE0" w14:textId="77777777" w:rsidR="000D2C75" w:rsidRPr="00672162" w:rsidRDefault="000D2C75" w:rsidP="000D2C75">
      <w:pPr>
        <w:pStyle w:val="ListBullet"/>
        <w:numPr>
          <w:ilvl w:val="0"/>
          <w:numId w:val="3"/>
        </w:numPr>
      </w:pPr>
      <w:r w:rsidRPr="00672162">
        <w:t xml:space="preserve">the RMP condition of the provisional registration decision relating to the </w:t>
      </w:r>
      <w:r>
        <w:t>e</w:t>
      </w:r>
      <w:r w:rsidRPr="00672162">
        <w:t>xisting</w:t>
      </w:r>
      <w:r>
        <w:t xml:space="preserve"> Comirnaty</w:t>
      </w:r>
      <w:r w:rsidRPr="00E7244E">
        <w:t xml:space="preserve"> medicines</w:t>
      </w:r>
      <w:r w:rsidRPr="00672162">
        <w:t xml:space="preserve">, varied </w:t>
      </w:r>
      <w:r w:rsidRPr="00336090">
        <w:t xml:space="preserve">as underlined </w:t>
      </w:r>
      <w:r w:rsidRPr="00672162">
        <w:t>below:</w:t>
      </w:r>
    </w:p>
    <w:p w14:paraId="26D70886" w14:textId="6B54B04C" w:rsidR="000D2C75" w:rsidRPr="0095451A" w:rsidRDefault="000D2C75" w:rsidP="000D2C75">
      <w:pPr>
        <w:ind w:left="720"/>
        <w:rPr>
          <w:i/>
          <w:iCs/>
        </w:rPr>
      </w:pPr>
      <w:r w:rsidRPr="0095451A">
        <w:rPr>
          <w:i/>
          <w:iCs/>
        </w:rPr>
        <w:lastRenderedPageBreak/>
        <w:t xml:space="preserve">The Comirnaty COVID-19 Vaccine EU-Risk Management Plan (RMP) (version 5.1, date 1 July 2022; DLP (6 months to 5 </w:t>
      </w:r>
      <w:proofErr w:type="spellStart"/>
      <w:r w:rsidRPr="0095451A">
        <w:rPr>
          <w:i/>
          <w:iCs/>
        </w:rPr>
        <w:t>yrs</w:t>
      </w:r>
      <w:proofErr w:type="spellEnd"/>
      <w:r w:rsidRPr="0095451A">
        <w:rPr>
          <w:i/>
          <w:iCs/>
        </w:rPr>
        <w:t>) – Clinical trial exposure: 16 July 2021 (Phase 1) 29 April 2022 (Phase 2/3); Details of important risks: 29 April 2022 (Pfizer Clinical Database – Study C4591007 Phase 2/3) 15 April 2022 (Pfizer Safety Database, non-CT dataset), with Australian Specific Annex (version 0.6, dated 6</w:t>
      </w:r>
      <w:r w:rsidR="00430DAE">
        <w:rPr>
          <w:i/>
          <w:iCs/>
        </w:rPr>
        <w:t> </w:t>
      </w:r>
      <w:r w:rsidRPr="0095451A">
        <w:rPr>
          <w:i/>
          <w:iCs/>
        </w:rPr>
        <w:t>September 2022), included with submission number PM-2022-03129-1-2, and any subsequent revisions, as agreed with the TGA will be implemented in Australia.</w:t>
      </w:r>
    </w:p>
    <w:p w14:paraId="226ECBA8" w14:textId="77777777" w:rsidR="000D2C75" w:rsidRPr="0095451A" w:rsidRDefault="000D2C75" w:rsidP="000D2C75">
      <w:pPr>
        <w:ind w:left="720"/>
        <w:rPr>
          <w:i/>
          <w:iCs/>
        </w:rPr>
      </w:pPr>
      <w:r w:rsidRPr="0095451A">
        <w:rPr>
          <w:i/>
          <w:iCs/>
        </w:rPr>
        <w:t>An obligatory component of risk management plans is routine pharmacovigilance. Routine pharmacovigilance includes the submission of periodic safety update reports (PSURs).</w:t>
      </w:r>
    </w:p>
    <w:p w14:paraId="0F87B0BE" w14:textId="5B536BDC" w:rsidR="000D2C75" w:rsidRPr="0095451A" w:rsidRDefault="000D2C75" w:rsidP="000D2C75">
      <w:pPr>
        <w:ind w:left="720"/>
        <w:rPr>
          <w:i/>
          <w:iCs/>
        </w:rPr>
      </w:pPr>
      <w:r w:rsidRPr="0095451A">
        <w:rPr>
          <w:i/>
          <w:iCs/>
        </w:rPr>
        <w:t>Unless agreed separately between the supplier who is the recipient of the approval and the TGA, the first report must be submitted to TGA no later than 15 calendar months after the date of t</w:t>
      </w:r>
      <w:r>
        <w:rPr>
          <w:i/>
          <w:iCs/>
        </w:rPr>
        <w:t>he</w:t>
      </w:r>
      <w:r w:rsidRPr="0095451A">
        <w:rPr>
          <w:i/>
          <w:iCs/>
        </w:rPr>
        <w:t xml:space="preserve"> approval letter. The subsequent reports must be submitted no less frequently than annually from the date of the first submitted report until the period covered by such reports is not less than three years from the date of th</w:t>
      </w:r>
      <w:r>
        <w:rPr>
          <w:i/>
          <w:iCs/>
        </w:rPr>
        <w:t>e</w:t>
      </w:r>
      <w:r w:rsidRPr="0095451A">
        <w:rPr>
          <w:i/>
          <w:iCs/>
        </w:rPr>
        <w:t xml:space="preserve"> approval letter, or the entire period of provisional registration, whichever is longer.</w:t>
      </w:r>
    </w:p>
    <w:p w14:paraId="63943227" w14:textId="3628EE86" w:rsidR="000D2C75" w:rsidRPr="0095451A" w:rsidRDefault="000D2C75" w:rsidP="000D2C75">
      <w:pPr>
        <w:ind w:left="720"/>
        <w:rPr>
          <w:i/>
          <w:iCs/>
        </w:rPr>
      </w:pPr>
      <w:r w:rsidRPr="0095451A">
        <w:rPr>
          <w:i/>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754E6CC" w14:textId="77777777" w:rsidR="000D2C75" w:rsidRDefault="000D2C75" w:rsidP="000D2C75">
      <w:pPr>
        <w:ind w:left="720"/>
        <w:rPr>
          <w:i/>
          <w:iCs/>
        </w:rPr>
      </w:pPr>
      <w:r w:rsidRPr="0095451A">
        <w:rPr>
          <w:i/>
          <w:iCs/>
        </w:rPr>
        <w:t>Tozinameran (Comirnaty COVID-19 Vaccine) is to be included in the Black Triangle Scheme. The PI and CMI for Comirnaty COVID-19 Vaccine must include the black triangle symbol and mandatory accompanying text for five years, or the product’s entire period of provisional registration, whichever is longer.</w:t>
      </w:r>
    </w:p>
    <w:p w14:paraId="1F26F7C7" w14:textId="0973AFB8" w:rsidR="000D2C75" w:rsidRDefault="000D2C75" w:rsidP="000D2C75">
      <w:pPr>
        <w:pStyle w:val="ListBullet"/>
        <w:numPr>
          <w:ilvl w:val="0"/>
          <w:numId w:val="3"/>
        </w:numPr>
      </w:pPr>
      <w:r>
        <w:t>the following additional conditions:</w:t>
      </w:r>
    </w:p>
    <w:p w14:paraId="34FC54B3" w14:textId="57CC2D3F" w:rsidR="000D2C75" w:rsidRDefault="000D2C75" w:rsidP="000D2C75">
      <w:pPr>
        <w:pStyle w:val="ListBullet2"/>
        <w:numPr>
          <w:ilvl w:val="1"/>
          <w:numId w:val="3"/>
        </w:numPr>
      </w:pPr>
      <w:r>
        <w:t>Submit safety analysis at 6 months post Dose 2 from Phase I, II/III study when available.</w:t>
      </w:r>
    </w:p>
    <w:p w14:paraId="4F4A34D6" w14:textId="00DA0757" w:rsidR="000D2C75" w:rsidRDefault="000D2C75" w:rsidP="000D2C75">
      <w:pPr>
        <w:pStyle w:val="ListBullet2"/>
        <w:numPr>
          <w:ilvl w:val="1"/>
          <w:numId w:val="3"/>
        </w:numPr>
      </w:pPr>
      <w:r>
        <w:t>Submit the final clinical study report for Study C4591007 when ready</w:t>
      </w:r>
      <w:r w:rsidR="00273991">
        <w:t>.</w:t>
      </w:r>
    </w:p>
    <w:p w14:paraId="6CD9DF77" w14:textId="77777777" w:rsidR="000D2C75" w:rsidRDefault="000D2C75" w:rsidP="000D2C75">
      <w:pPr>
        <w:pStyle w:val="ListBullet"/>
        <w:numPr>
          <w:ilvl w:val="0"/>
          <w:numId w:val="0"/>
        </w:numPr>
        <w:ind w:left="360"/>
      </w:pPr>
      <w:r>
        <w:t>As part of the standard conditions of registration applying to all registered therapeutic goods, it should be noted that, no changes can be made to the goods without the prior approval of the Secretary.</w:t>
      </w:r>
    </w:p>
    <w:p w14:paraId="7D5EBD61" w14:textId="77777777" w:rsidR="000D2C75" w:rsidRPr="0095451A" w:rsidRDefault="000D2C75" w:rsidP="000D2C75">
      <w:pPr>
        <w:pStyle w:val="ListBullet"/>
        <w:numPr>
          <w:ilvl w:val="0"/>
          <w:numId w:val="0"/>
        </w:numPr>
        <w:ind w:left="360"/>
      </w:pPr>
      <w:r>
        <w:t>Under paragraph 30(2)(c) of the Act [Therapeutic Goods Act], refusal or failure to comply with a condition of registration to which inclusion of the new medicines in the ARTG is subject may result in the suspension or cancellation of registration.</w:t>
      </w:r>
    </w:p>
    <w:p w14:paraId="068F0368" w14:textId="77777777" w:rsidR="008E7846" w:rsidRDefault="00A80B5B" w:rsidP="00D23139">
      <w:pPr>
        <w:pStyle w:val="Heading2"/>
      </w:pPr>
      <w:bookmarkStart w:id="101" w:name="_Toc116380317"/>
      <w:r>
        <w:t xml:space="preserve">Attachment 1. </w:t>
      </w:r>
      <w:r w:rsidR="008E7846">
        <w:t xml:space="preserve">Product </w:t>
      </w:r>
      <w:r w:rsidR="00AA0ED0">
        <w:t>I</w:t>
      </w:r>
      <w:r w:rsidR="008E7846">
        <w:t>nformation</w:t>
      </w:r>
      <w:bookmarkEnd w:id="98"/>
      <w:bookmarkEnd w:id="99"/>
      <w:bookmarkEnd w:id="101"/>
    </w:p>
    <w:p w14:paraId="6D47008E" w14:textId="357E942B" w:rsidR="000D2C75" w:rsidRDefault="000D2C75" w:rsidP="000D2C75">
      <w:r w:rsidRPr="002B3624">
        <w:t xml:space="preserve">The </w:t>
      </w:r>
      <w:r>
        <w:t>PI</w:t>
      </w:r>
      <w:r w:rsidRPr="002B3624">
        <w:t xml:space="preserve"> for </w:t>
      </w:r>
      <w:r>
        <w:t xml:space="preserve">Comirnaty approved with the submission which is described in </w:t>
      </w:r>
      <w:r w:rsidRPr="002B3624">
        <w:t xml:space="preserve">this </w:t>
      </w:r>
      <w:proofErr w:type="spellStart"/>
      <w:r w:rsidRPr="002B3624">
        <w:t>AusPAR</w:t>
      </w:r>
      <w:proofErr w:type="spellEnd"/>
      <w:r w:rsidRPr="002B3624">
        <w:t xml:space="preserve"> is at Attachment 1.</w:t>
      </w:r>
      <w:r>
        <w:t xml:space="preserve"> </w:t>
      </w:r>
      <w:r w:rsidRPr="00940A89">
        <w:t xml:space="preserve">For the most recent </w:t>
      </w:r>
      <w:r>
        <w:t>PI,</w:t>
      </w:r>
      <w:r w:rsidRPr="00940A89">
        <w:t xml:space="preserve"> ple</w:t>
      </w:r>
      <w:r>
        <w:t xml:space="preserve">ase refer to the TGA </w:t>
      </w:r>
      <w:hyperlink r:id="rId48" w:history="1">
        <w:r w:rsidRPr="008A698E">
          <w:rPr>
            <w:rStyle w:val="Hyperlink"/>
          </w:rPr>
          <w:t>PI/CMI search facility</w:t>
        </w:r>
        <w:r w:rsidRPr="00EB36D6">
          <w:rPr>
            <w:rStyle w:val="Hyperlink"/>
            <w:color w:val="auto"/>
            <w:u w:val="none"/>
          </w:rPr>
          <w:t>.</w:t>
        </w:r>
      </w:hyperlink>
    </w:p>
    <w:p w14:paraId="783FF444" w14:textId="57727EDF" w:rsidR="00C80137" w:rsidRPr="00B36888" w:rsidRDefault="00C80137" w:rsidP="00B36888">
      <w:pPr>
        <w:rPr>
          <w:iCs/>
          <w:color w:val="007099"/>
        </w:rPr>
        <w:sectPr w:rsidR="00C80137" w:rsidRPr="00B36888" w:rsidSect="00B452CE">
          <w:headerReference w:type="even" r:id="rId49"/>
          <w:headerReference w:type="default" r:id="rId50"/>
          <w:headerReference w:type="first" r:id="rId51"/>
          <w:footerReference w:type="first" r:id="rId5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ED4D41A" w14:textId="77777777" w:rsidTr="00A05FA4">
        <w:trPr>
          <w:trHeight w:hRule="exact" w:val="704"/>
        </w:trPr>
        <w:tc>
          <w:tcPr>
            <w:tcW w:w="9175" w:type="dxa"/>
          </w:tcPr>
          <w:p w14:paraId="488AC5D8" w14:textId="77777777" w:rsidR="001C32CD" w:rsidRPr="00487162" w:rsidRDefault="001C32CD" w:rsidP="00A05FA4">
            <w:pPr>
              <w:pStyle w:val="TGASignoff"/>
            </w:pPr>
            <w:r w:rsidRPr="00487162">
              <w:lastRenderedPageBreak/>
              <w:t>Therapeutic Goods Administration</w:t>
            </w:r>
          </w:p>
        </w:tc>
      </w:tr>
      <w:tr w:rsidR="001C32CD" w:rsidRPr="004C239D" w14:paraId="4CE49654" w14:textId="77777777" w:rsidTr="00A05FA4">
        <w:trPr>
          <w:trHeight w:val="1221"/>
        </w:trPr>
        <w:tc>
          <w:tcPr>
            <w:tcW w:w="9175" w:type="dxa"/>
            <w:tcMar>
              <w:top w:w="28" w:type="dxa"/>
            </w:tcMar>
          </w:tcPr>
          <w:p w14:paraId="15D99AC0" w14:textId="77777777" w:rsidR="001C32CD" w:rsidRPr="00487162" w:rsidRDefault="001C32CD" w:rsidP="00A05FA4">
            <w:pPr>
              <w:pStyle w:val="Address"/>
            </w:pPr>
            <w:r w:rsidRPr="00487162">
              <w:t>PO Box 100 Woden ACT 2606 Australia</w:t>
            </w:r>
          </w:p>
          <w:p w14:paraId="58127F28" w14:textId="54071035" w:rsidR="001C32CD" w:rsidRPr="00487162" w:rsidRDefault="001C32CD" w:rsidP="00A05FA4">
            <w:pPr>
              <w:pStyle w:val="Address"/>
            </w:pPr>
            <w:r w:rsidRPr="00487162">
              <w:t xml:space="preserve">Email: </w:t>
            </w:r>
            <w:hyperlink r:id="rId53"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58A4FF57" w14:textId="2E05B23F" w:rsidR="001C32CD" w:rsidRPr="004C239D" w:rsidRDefault="00E875E8" w:rsidP="00A05FA4">
            <w:pPr>
              <w:pStyle w:val="Address"/>
              <w:spacing w:line="260" w:lineRule="atLeast"/>
              <w:rPr>
                <w:b/>
                <w:color w:val="0000FF"/>
                <w:u w:val="single"/>
              </w:rPr>
            </w:pPr>
            <w:hyperlink r:id="rId54" w:history="1">
              <w:r w:rsidR="007C6B9B" w:rsidRPr="007C6B9B">
                <w:rPr>
                  <w:rStyle w:val="Hyperlink"/>
                  <w:b/>
                </w:rPr>
                <w:t>https://www.tga.gov.au</w:t>
              </w:r>
            </w:hyperlink>
          </w:p>
        </w:tc>
      </w:tr>
    </w:tbl>
    <w:p w14:paraId="7867F9AA" w14:textId="77777777" w:rsidR="00774E1D" w:rsidRPr="008A5E0B" w:rsidRDefault="00774E1D" w:rsidP="004C239D"/>
    <w:sectPr w:rsidR="00774E1D" w:rsidRPr="008A5E0B" w:rsidSect="001C32CD">
      <w:headerReference w:type="even" r:id="rId55"/>
      <w:headerReference w:type="default" r:id="rId56"/>
      <w:footerReference w:type="default" r:id="rId57"/>
      <w:headerReference w:type="first" r:id="rId58"/>
      <w:footerReference w:type="first" r:id="rId5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01CBD" w14:textId="77777777" w:rsidR="008677B0" w:rsidRDefault="008677B0" w:rsidP="00C40A36">
      <w:pPr>
        <w:spacing w:after="0"/>
      </w:pPr>
      <w:r>
        <w:separator/>
      </w:r>
    </w:p>
  </w:endnote>
  <w:endnote w:type="continuationSeparator" w:id="0">
    <w:p w14:paraId="5D0B1524" w14:textId="77777777" w:rsidR="008677B0" w:rsidRDefault="008677B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677B0" w:rsidRPr="00487162" w14:paraId="555099F7" w14:textId="77777777" w:rsidTr="00DB750B">
      <w:trPr>
        <w:trHeight w:val="269"/>
      </w:trPr>
      <w:tc>
        <w:tcPr>
          <w:tcW w:w="7371" w:type="dxa"/>
          <w:tcMar>
            <w:top w:w="142" w:type="dxa"/>
            <w:bottom w:w="0" w:type="dxa"/>
          </w:tcMar>
        </w:tcPr>
        <w:p w14:paraId="6DB10EA4" w14:textId="41A42AE0" w:rsidR="008677B0" w:rsidRPr="00487162" w:rsidRDefault="008677B0" w:rsidP="00F328E8">
          <w:pPr>
            <w:pStyle w:val="Footer"/>
          </w:pPr>
          <w:proofErr w:type="spellStart"/>
          <w:r w:rsidRPr="00487162">
            <w:t>AusPA</w:t>
          </w:r>
          <w:r>
            <w:t>R</w:t>
          </w:r>
          <w:proofErr w:type="spellEnd"/>
          <w:r>
            <w:t xml:space="preserve"> - Comirnaty </w:t>
          </w:r>
          <w:r w:rsidRPr="00460036">
            <w:t xml:space="preserve">– </w:t>
          </w:r>
          <w:r>
            <w:t>tozinameran</w:t>
          </w:r>
          <w:r w:rsidRPr="00460036">
            <w:t xml:space="preserve"> </w:t>
          </w:r>
          <w:r>
            <w:t>– Pfizer Australia Pty Ltd PM-2022-03129-1-2</w:t>
          </w:r>
          <w:r>
            <w:br/>
          </w:r>
          <w:r w:rsidR="00582372">
            <w:t>FINAL</w:t>
          </w:r>
          <w:r w:rsidRPr="00487162">
            <w:t xml:space="preserve"> </w:t>
          </w:r>
          <w:r w:rsidR="00582372">
            <w:t>11 October 2022</w:t>
          </w:r>
        </w:p>
      </w:tc>
      <w:tc>
        <w:tcPr>
          <w:tcW w:w="1490" w:type="dxa"/>
          <w:tcMar>
            <w:top w:w="142" w:type="dxa"/>
            <w:bottom w:w="0" w:type="dxa"/>
          </w:tcMar>
        </w:tcPr>
        <w:p w14:paraId="3C8BABF5" w14:textId="3B074DCA" w:rsidR="008677B0" w:rsidRPr="00487162" w:rsidRDefault="008677B0" w:rsidP="00DB750B">
          <w:pPr>
            <w:pStyle w:val="Footer"/>
            <w:jc w:val="right"/>
          </w:pPr>
          <w:r w:rsidRPr="00487162">
            <w:t xml:space="preserve">Page </w:t>
          </w:r>
          <w:r>
            <w:fldChar w:fldCharType="begin"/>
          </w:r>
          <w:r>
            <w:instrText xml:space="preserve"> PAGE  \* Arabic </w:instrText>
          </w:r>
          <w:r>
            <w:fldChar w:fldCharType="separate"/>
          </w:r>
          <w:r w:rsidR="00E10730">
            <w:rPr>
              <w:noProof/>
            </w:rPr>
            <w:t>6</w:t>
          </w:r>
          <w:r>
            <w:fldChar w:fldCharType="end"/>
          </w:r>
          <w:r w:rsidRPr="00487162">
            <w:t xml:space="preserve"> of </w:t>
          </w:r>
          <w:r w:rsidR="00582372">
            <w:fldChar w:fldCharType="begin"/>
          </w:r>
          <w:r w:rsidR="00582372">
            <w:instrText xml:space="preserve"> NUMPAGES  \* Arabic </w:instrText>
          </w:r>
          <w:r w:rsidR="00582372">
            <w:fldChar w:fldCharType="separate"/>
          </w:r>
          <w:r w:rsidR="00E10730">
            <w:rPr>
              <w:noProof/>
            </w:rPr>
            <w:t>54</w:t>
          </w:r>
          <w:r w:rsidR="00582372">
            <w:rPr>
              <w:noProof/>
            </w:rPr>
            <w:fldChar w:fldCharType="end"/>
          </w:r>
        </w:p>
      </w:tc>
    </w:tr>
  </w:tbl>
  <w:p w14:paraId="102F68E8" w14:textId="77777777" w:rsidR="008677B0" w:rsidRDefault="008677B0"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677B0" w:rsidRPr="00487162" w14:paraId="0E0C6D69" w14:textId="77777777" w:rsidTr="00E45619">
      <w:trPr>
        <w:trHeight w:val="269"/>
      </w:trPr>
      <w:tc>
        <w:tcPr>
          <w:tcW w:w="4519" w:type="dxa"/>
          <w:tcBorders>
            <w:top w:val="single" w:sz="4" w:space="0" w:color="auto"/>
          </w:tcBorders>
          <w:tcMar>
            <w:top w:w="142" w:type="dxa"/>
            <w:bottom w:w="0" w:type="dxa"/>
          </w:tcMar>
        </w:tcPr>
        <w:p w14:paraId="06E4A023" w14:textId="77777777" w:rsidR="008677B0" w:rsidRPr="00487162" w:rsidRDefault="008677B0" w:rsidP="00FE1DEE">
          <w:pPr>
            <w:pStyle w:val="Footer"/>
          </w:pPr>
          <w:r w:rsidRPr="00487162">
            <w:t>Document title, Part #, Section # - Section title</w:t>
          </w:r>
        </w:p>
        <w:p w14:paraId="0BE01019" w14:textId="77777777" w:rsidR="008677B0" w:rsidRPr="00487162" w:rsidRDefault="008677B0" w:rsidP="00FE1DEE">
          <w:pPr>
            <w:pStyle w:val="Footer"/>
          </w:pPr>
          <w:r w:rsidRPr="00487162">
            <w:t>V1.0 October 2010</w:t>
          </w:r>
        </w:p>
      </w:tc>
      <w:tc>
        <w:tcPr>
          <w:tcW w:w="4342" w:type="dxa"/>
          <w:tcBorders>
            <w:top w:val="single" w:sz="4" w:space="0" w:color="auto"/>
          </w:tcBorders>
          <w:tcMar>
            <w:top w:w="142" w:type="dxa"/>
            <w:bottom w:w="0" w:type="dxa"/>
          </w:tcMar>
        </w:tcPr>
        <w:p w14:paraId="2DD63718" w14:textId="77777777" w:rsidR="008677B0" w:rsidRPr="00487162" w:rsidRDefault="008677B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82372">
            <w:fldChar w:fldCharType="begin"/>
          </w:r>
          <w:r w:rsidR="00582372">
            <w:instrText xml:space="preserve"> NUMPAGES  </w:instrText>
          </w:r>
          <w:r w:rsidR="00582372">
            <w:fldChar w:fldCharType="separate"/>
          </w:r>
          <w:r>
            <w:rPr>
              <w:noProof/>
            </w:rPr>
            <w:t>21</w:t>
          </w:r>
          <w:r w:rsidR="00582372">
            <w:rPr>
              <w:noProof/>
            </w:rPr>
            <w:fldChar w:fldCharType="end"/>
          </w:r>
        </w:p>
      </w:tc>
    </w:tr>
  </w:tbl>
  <w:p w14:paraId="0DCE18E2" w14:textId="77777777" w:rsidR="008677B0" w:rsidRDefault="008677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F14A" w14:textId="77777777" w:rsidR="008677B0" w:rsidRPr="001C32CD" w:rsidRDefault="008677B0"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677B0" w14:paraId="78527175" w14:textId="77777777" w:rsidTr="0010601F">
      <w:trPr>
        <w:trHeight w:val="108"/>
      </w:trPr>
      <w:tc>
        <w:tcPr>
          <w:tcW w:w="8875" w:type="dxa"/>
          <w:gridSpan w:val="2"/>
          <w:tcBorders>
            <w:bottom w:val="single" w:sz="4" w:space="0" w:color="auto"/>
          </w:tcBorders>
          <w:tcMar>
            <w:right w:w="284" w:type="dxa"/>
          </w:tcMar>
        </w:tcPr>
        <w:p w14:paraId="6A4CD745" w14:textId="77777777" w:rsidR="008677B0" w:rsidRDefault="008677B0" w:rsidP="006E08B3">
          <w:pPr>
            <w:pStyle w:val="Heading3"/>
          </w:pPr>
          <w:r>
            <w:t>Copyright</w:t>
          </w:r>
        </w:p>
        <w:p w14:paraId="20EB6250" w14:textId="77777777" w:rsidR="008677B0" w:rsidRDefault="008677B0" w:rsidP="006E08B3">
          <w:r>
            <w:rPr>
              <w:rFonts w:cs="Arial"/>
            </w:rPr>
            <w:t>©</w:t>
          </w:r>
          <w:r>
            <w:t xml:space="preserve"> Commonwealth of Australia [add year]</w:t>
          </w:r>
        </w:p>
        <w:p w14:paraId="01274E4A" w14:textId="77777777" w:rsidR="008677B0" w:rsidRDefault="008677B0" w:rsidP="006E08B3"/>
        <w:p w14:paraId="5BF31B56" w14:textId="77777777" w:rsidR="008677B0" w:rsidRDefault="008677B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86CA3C3" w14:textId="77777777" w:rsidR="008677B0" w:rsidRDefault="008677B0" w:rsidP="006E08B3"/>
        <w:p w14:paraId="1AD335E7" w14:textId="77777777" w:rsidR="008677B0" w:rsidRDefault="008677B0" w:rsidP="006E08B3">
          <w:pPr>
            <w:pStyle w:val="Heading3"/>
          </w:pPr>
          <w:r>
            <w:t>Confidentiality</w:t>
          </w:r>
        </w:p>
        <w:p w14:paraId="33C78C07" w14:textId="77777777" w:rsidR="008677B0" w:rsidRDefault="008677B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953A95C" w14:textId="77777777" w:rsidR="008677B0" w:rsidRDefault="008677B0" w:rsidP="006E08B3"/>
        <w:p w14:paraId="6994E677" w14:textId="77777777" w:rsidR="008677B0" w:rsidRDefault="008677B0" w:rsidP="006E08B3">
          <w:r>
            <w:t>For submission made by individuals, all personal details, other than your name, will be removed from your submission before it is published on the TGA’s Internet site.</w:t>
          </w:r>
        </w:p>
        <w:p w14:paraId="105A5E57" w14:textId="77777777" w:rsidR="008677B0" w:rsidRDefault="008677B0" w:rsidP="006E08B3"/>
        <w:p w14:paraId="75E1F3CA" w14:textId="77777777" w:rsidR="008677B0" w:rsidRDefault="008677B0" w:rsidP="006E08B3">
          <w:r>
            <w:t>In addition, a list of parties making submissions will be published. If you do not wish to be identified with your submission you must specifically request this in the space provided in the submission coversheet.</w:t>
          </w:r>
        </w:p>
      </w:tc>
    </w:tr>
    <w:tr w:rsidR="008677B0" w14:paraId="122B9DAE" w14:textId="77777777" w:rsidTr="0010601F">
      <w:trPr>
        <w:trHeight w:val="417"/>
      </w:trPr>
      <w:tc>
        <w:tcPr>
          <w:tcW w:w="4519" w:type="dxa"/>
          <w:tcBorders>
            <w:top w:val="single" w:sz="4" w:space="0" w:color="auto"/>
          </w:tcBorders>
          <w:tcMar>
            <w:top w:w="142" w:type="dxa"/>
            <w:bottom w:w="0" w:type="dxa"/>
          </w:tcMar>
        </w:tcPr>
        <w:p w14:paraId="0DD7970F" w14:textId="77777777" w:rsidR="008677B0" w:rsidRDefault="008677B0" w:rsidP="006E08B3">
          <w:r>
            <w:t>Document title, Part #, Section # - Section title</w:t>
          </w:r>
        </w:p>
        <w:p w14:paraId="22CAD02D" w14:textId="77777777" w:rsidR="008677B0" w:rsidRDefault="008677B0" w:rsidP="006E08B3">
          <w:r>
            <w:t>V1.0 October 2010</w:t>
          </w:r>
        </w:p>
      </w:tc>
      <w:tc>
        <w:tcPr>
          <w:tcW w:w="4356" w:type="dxa"/>
          <w:tcBorders>
            <w:top w:val="single" w:sz="4" w:space="0" w:color="auto"/>
          </w:tcBorders>
          <w:tcMar>
            <w:top w:w="142" w:type="dxa"/>
            <w:bottom w:w="0" w:type="dxa"/>
          </w:tcMar>
        </w:tcPr>
        <w:p w14:paraId="59A10AE3" w14:textId="77777777" w:rsidR="008677B0" w:rsidRDefault="008677B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82372">
            <w:fldChar w:fldCharType="begin"/>
          </w:r>
          <w:r w:rsidR="00582372">
            <w:instrText xml:space="preserve"> NUMPAGES  \* Arabic </w:instrText>
          </w:r>
          <w:r w:rsidR="00582372">
            <w:fldChar w:fldCharType="separate"/>
          </w:r>
          <w:r>
            <w:rPr>
              <w:noProof/>
            </w:rPr>
            <w:t>21</w:t>
          </w:r>
          <w:r w:rsidR="00582372">
            <w:rPr>
              <w:noProof/>
            </w:rPr>
            <w:fldChar w:fldCharType="end"/>
          </w:r>
          <w:r>
            <w:t xml:space="preserve">  </w:t>
          </w:r>
        </w:p>
      </w:tc>
    </w:tr>
  </w:tbl>
  <w:p w14:paraId="2E4CCF50" w14:textId="77777777" w:rsidR="008677B0" w:rsidRDefault="008677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DD93A" w14:textId="77777777" w:rsidR="008677B0" w:rsidRDefault="008677B0" w:rsidP="00C40A36">
      <w:pPr>
        <w:spacing w:after="0"/>
      </w:pPr>
      <w:r>
        <w:separator/>
      </w:r>
    </w:p>
  </w:footnote>
  <w:footnote w:type="continuationSeparator" w:id="0">
    <w:p w14:paraId="26039A97" w14:textId="77777777" w:rsidR="008677B0" w:rsidRDefault="008677B0" w:rsidP="00C40A36">
      <w:pPr>
        <w:spacing w:after="0"/>
      </w:pPr>
      <w:r>
        <w:continuationSeparator/>
      </w:r>
    </w:p>
  </w:footnote>
  <w:footnote w:id="1">
    <w:p w14:paraId="77AC9231" w14:textId="1E60780D" w:rsidR="008677B0" w:rsidRPr="00333270" w:rsidRDefault="008677B0">
      <w:pPr>
        <w:pStyle w:val="FootnoteText"/>
        <w:rPr>
          <w:lang w:val="en-GB"/>
        </w:rPr>
      </w:pPr>
      <w:r>
        <w:rPr>
          <w:rStyle w:val="FootnoteReference"/>
        </w:rPr>
        <w:footnoteRef/>
      </w:r>
      <w:r>
        <w:t xml:space="preserve"> </w:t>
      </w:r>
      <w:r w:rsidRPr="00333270">
        <w:t>World Health Organization (2020) WHO Director-General speeches: WHO Director-General's opening remarks at the media briefing on COVID-19 - 11 March 2020. Available from the WHO website.</w:t>
      </w:r>
    </w:p>
  </w:footnote>
  <w:footnote w:id="2">
    <w:p w14:paraId="33900233" w14:textId="70AAAA49" w:rsidR="008677B0" w:rsidRPr="00F328E8" w:rsidRDefault="008677B0">
      <w:pPr>
        <w:pStyle w:val="FootnoteText"/>
        <w:rPr>
          <w:lang w:val="en-GB"/>
        </w:rPr>
      </w:pPr>
      <w:r>
        <w:rPr>
          <w:rStyle w:val="FootnoteReference"/>
        </w:rPr>
        <w:footnoteRef/>
      </w:r>
      <w:r>
        <w:t xml:space="preserve"> </w:t>
      </w:r>
      <w:r>
        <w:rPr>
          <w:lang w:val="en-GB"/>
        </w:rPr>
        <w:t xml:space="preserve">WHO COVID-19 (coronavirus) dashboard. World Health Organization. Available at: </w:t>
      </w:r>
      <w:hyperlink r:id="rId1" w:history="1">
        <w:r w:rsidRPr="00710417">
          <w:rPr>
            <w:rStyle w:val="Hyperlink"/>
            <w:lang w:val="en-GB"/>
          </w:rPr>
          <w:t>https://covid19.who.int/</w:t>
        </w:r>
      </w:hyperlink>
      <w:r>
        <w:rPr>
          <w:lang w:val="en-GB"/>
        </w:rPr>
        <w:t xml:space="preserve"> </w:t>
      </w:r>
    </w:p>
  </w:footnote>
  <w:footnote w:id="3">
    <w:p w14:paraId="0B4715B3" w14:textId="7B2DBBE3" w:rsidR="008677B0" w:rsidRPr="004C3F8F" w:rsidRDefault="008677B0">
      <w:pPr>
        <w:pStyle w:val="FootnoteText"/>
        <w:rPr>
          <w:lang w:val="en-GB"/>
        </w:rPr>
      </w:pPr>
      <w:r>
        <w:rPr>
          <w:rStyle w:val="FootnoteReference"/>
        </w:rPr>
        <w:footnoteRef/>
      </w:r>
      <w:r>
        <w:t xml:space="preserve"> Coronavirus (COVID-19) case numbers and statistics. Australian Government Department of Health and Aged Care. Available at: </w:t>
      </w:r>
      <w:hyperlink r:id="rId2" w:history="1">
        <w:r w:rsidRPr="00710417">
          <w:rPr>
            <w:rStyle w:val="Hyperlink"/>
          </w:rPr>
          <w:t>https://www.health.gov.au/health-alerts/covid-19/case-numbers-and-statistics</w:t>
        </w:r>
      </w:hyperlink>
      <w:r>
        <w:t xml:space="preserve"> </w:t>
      </w:r>
    </w:p>
  </w:footnote>
  <w:footnote w:id="4">
    <w:p w14:paraId="4CF6CB5E" w14:textId="59807B3D" w:rsidR="008677B0" w:rsidRPr="004C3F8F" w:rsidRDefault="008677B0">
      <w:pPr>
        <w:pStyle w:val="FootnoteText"/>
        <w:rPr>
          <w:lang w:val="en-GB"/>
        </w:rPr>
      </w:pPr>
      <w:r>
        <w:rPr>
          <w:rStyle w:val="FootnoteReference"/>
        </w:rPr>
        <w:footnoteRef/>
      </w:r>
      <w:r>
        <w:t xml:space="preserve"> </w:t>
      </w:r>
      <w:r w:rsidRPr="004C3F8F">
        <w:t>Marks KJ, Whitaker M, Agathis NT, et al. Hospitalization of Infants and Children Aged 0–4 Years with</w:t>
      </w:r>
      <w:r>
        <w:t xml:space="preserve"> Laboratory-Confirmed COVID-19.</w:t>
      </w:r>
      <w:r w:rsidRPr="004C3F8F">
        <w:t xml:space="preserve"> COVID-NET, 14 </w:t>
      </w:r>
      <w:r>
        <w:t xml:space="preserve">US states, March 2020 to </w:t>
      </w:r>
      <w:r w:rsidRPr="004C3F8F">
        <w:t xml:space="preserve">February 2022. </w:t>
      </w:r>
      <w:r w:rsidRPr="00D836E6">
        <w:rPr>
          <w:i/>
        </w:rPr>
        <w:t xml:space="preserve">MMWR </w:t>
      </w:r>
      <w:proofErr w:type="spellStart"/>
      <w:r w:rsidRPr="00D836E6">
        <w:rPr>
          <w:i/>
        </w:rPr>
        <w:t>Morb</w:t>
      </w:r>
      <w:proofErr w:type="spellEnd"/>
      <w:r w:rsidRPr="00D836E6">
        <w:rPr>
          <w:i/>
        </w:rPr>
        <w:t xml:space="preserve"> Mortal </w:t>
      </w:r>
      <w:proofErr w:type="spellStart"/>
      <w:r w:rsidRPr="00D836E6">
        <w:rPr>
          <w:i/>
        </w:rPr>
        <w:t>Wkly</w:t>
      </w:r>
      <w:proofErr w:type="spellEnd"/>
      <w:r w:rsidRPr="00D836E6">
        <w:rPr>
          <w:i/>
        </w:rPr>
        <w:t xml:space="preserve"> Rep</w:t>
      </w:r>
      <w:r w:rsidRPr="004C3F8F">
        <w:t xml:space="preserve"> </w:t>
      </w:r>
      <w:proofErr w:type="gramStart"/>
      <w:r w:rsidRPr="004C3F8F">
        <w:t>2022;71:429</w:t>
      </w:r>
      <w:proofErr w:type="gramEnd"/>
      <w:r w:rsidRPr="004C3F8F">
        <w:t>–436.</w:t>
      </w:r>
    </w:p>
  </w:footnote>
  <w:footnote w:id="5">
    <w:p w14:paraId="6B66697C" w14:textId="00DE3CD4" w:rsidR="008677B0" w:rsidRPr="00D836E6" w:rsidRDefault="008677B0">
      <w:pPr>
        <w:pStyle w:val="FootnoteText"/>
      </w:pPr>
      <w:r>
        <w:rPr>
          <w:rStyle w:val="FootnoteReference"/>
        </w:rPr>
        <w:footnoteRef/>
      </w:r>
      <w:r>
        <w:t xml:space="preserve"> National Notifiable Diseases Surveillance System (NNDSS). Australian Government Department of Health and Aged Care. Available at: </w:t>
      </w:r>
      <w:hyperlink r:id="rId3" w:history="1">
        <w:r w:rsidRPr="00710417">
          <w:rPr>
            <w:rStyle w:val="Hyperlink"/>
          </w:rPr>
          <w:t>https://www.health.gov.au/initiatives-and-programs/nndss</w:t>
        </w:r>
      </w:hyperlink>
      <w:r>
        <w:t xml:space="preserve"> </w:t>
      </w:r>
    </w:p>
  </w:footnote>
  <w:footnote w:id="6">
    <w:p w14:paraId="44CED681" w14:textId="166B6A6A" w:rsidR="008677B0" w:rsidRPr="00773FD2" w:rsidRDefault="008677B0">
      <w:pPr>
        <w:pStyle w:val="FootnoteText"/>
        <w:rPr>
          <w:lang w:val="en-GB"/>
        </w:rPr>
      </w:pPr>
      <w:r>
        <w:rPr>
          <w:rStyle w:val="FootnoteReference"/>
        </w:rPr>
        <w:footnoteRef/>
      </w:r>
      <w:r>
        <w:t xml:space="preserve"> Provisional COVID-19 Deaths: Focus on Ages 0-18 (Data). </w:t>
      </w:r>
      <w:proofErr w:type="spellStart"/>
      <w:r>
        <w:t>Centers</w:t>
      </w:r>
      <w:proofErr w:type="spellEnd"/>
      <w:r>
        <w:t xml:space="preserve"> for Disease Control and Prevention. USA. </w:t>
      </w:r>
      <w:hyperlink r:id="rId4" w:history="1">
        <w:r w:rsidRPr="00710417">
          <w:rPr>
            <w:rStyle w:val="Hyperlink"/>
          </w:rPr>
          <w:t>https://data.cdc.gov/NCHS/Provisional-COVID-19-Deaths-Focus-on-Ages-0-18-Yea/nr4s-juj3</w:t>
        </w:r>
      </w:hyperlink>
      <w:r>
        <w:t xml:space="preserve"> </w:t>
      </w:r>
    </w:p>
  </w:footnote>
  <w:footnote w:id="7">
    <w:p w14:paraId="3E313594" w14:textId="374CFC95" w:rsidR="008677B0" w:rsidRPr="00773FD2" w:rsidRDefault="008677B0">
      <w:pPr>
        <w:pStyle w:val="FootnoteText"/>
        <w:rPr>
          <w:lang w:val="en-GB"/>
        </w:rPr>
      </w:pPr>
      <w:r>
        <w:rPr>
          <w:rStyle w:val="FootnoteReference"/>
        </w:rPr>
        <w:footnoteRef/>
      </w:r>
      <w:r>
        <w:t xml:space="preserve"> </w:t>
      </w:r>
      <w:proofErr w:type="spellStart"/>
      <w:r w:rsidRPr="00773FD2">
        <w:t>Osmanov</w:t>
      </w:r>
      <w:proofErr w:type="spellEnd"/>
      <w:r w:rsidRPr="00773FD2">
        <w:t xml:space="preserve"> IM, </w:t>
      </w:r>
      <w:proofErr w:type="spellStart"/>
      <w:r w:rsidRPr="00773FD2">
        <w:t>Spiridonova</w:t>
      </w:r>
      <w:proofErr w:type="spellEnd"/>
      <w:r w:rsidRPr="00773FD2">
        <w:t xml:space="preserve"> E, </w:t>
      </w:r>
      <w:proofErr w:type="spellStart"/>
      <w:r w:rsidRPr="00773FD2">
        <w:t>Bobkova</w:t>
      </w:r>
      <w:proofErr w:type="spellEnd"/>
      <w:r w:rsidRPr="00773FD2">
        <w:t xml:space="preserve"> P, et al. Risk factors for post-COVID-19 condition in previously hospitalised children using the ISARIC Global follow-up protocol: a prospective cohort study. Eur Respir J. 2022;59(2):2101341</w:t>
      </w:r>
    </w:p>
  </w:footnote>
  <w:footnote w:id="8">
    <w:p w14:paraId="4F055C1E" w14:textId="7F9A44A9" w:rsidR="008677B0" w:rsidRPr="00B92531" w:rsidRDefault="008677B0">
      <w:pPr>
        <w:pStyle w:val="FootnoteText"/>
        <w:rPr>
          <w:lang w:val="en-GB"/>
        </w:rPr>
      </w:pPr>
      <w:r>
        <w:rPr>
          <w:rStyle w:val="FootnoteReference"/>
        </w:rPr>
        <w:footnoteRef/>
      </w:r>
      <w:r>
        <w:t xml:space="preserve"> CDC COVID Data Tracker: Multisystem Inflammatory Syndrome in Children (MIS-C) </w:t>
      </w:r>
      <w:hyperlink r:id="rId5" w:anchor="mis-national-surveillance" w:history="1">
        <w:r w:rsidRPr="00710417">
          <w:rPr>
            <w:rStyle w:val="Hyperlink"/>
          </w:rPr>
          <w:t>https://covid.cdc.gov/covid-data-tracker/#mis-national-surveillance</w:t>
        </w:r>
      </w:hyperlink>
      <w:r>
        <w:t xml:space="preserve"> </w:t>
      </w:r>
    </w:p>
  </w:footnote>
  <w:footnote w:id="9">
    <w:p w14:paraId="42A8AD82" w14:textId="280FD3C6" w:rsidR="008677B0" w:rsidRPr="00B92531" w:rsidRDefault="008677B0">
      <w:pPr>
        <w:pStyle w:val="FootnoteText"/>
        <w:rPr>
          <w:lang w:val="en-GB"/>
        </w:rPr>
      </w:pPr>
      <w:r>
        <w:rPr>
          <w:rStyle w:val="FootnoteReference"/>
        </w:rPr>
        <w:footnoteRef/>
      </w:r>
      <w:r>
        <w:t xml:space="preserve"> P</w:t>
      </w:r>
      <w:r w:rsidRPr="00B92531">
        <w:t xml:space="preserve">aediatric inflammatory multisystem syndrome </w:t>
      </w:r>
      <w:r>
        <w:t xml:space="preserve">(PIMS-TS) in Australia; case data. Paediatric Active Enhanced Disease Surveillance. Available at: </w:t>
      </w:r>
      <w:hyperlink r:id="rId6" w:history="1">
        <w:r w:rsidRPr="00710417">
          <w:rPr>
            <w:rStyle w:val="Hyperlink"/>
          </w:rPr>
          <w:t>https://paeds.org.au/pims-ts/paeds-pims-ts-case-data</w:t>
        </w:r>
      </w:hyperlink>
      <w:r>
        <w:t xml:space="preserve"> </w:t>
      </w:r>
    </w:p>
  </w:footnote>
  <w:footnote w:id="10">
    <w:p w14:paraId="538F85F4" w14:textId="60D88249" w:rsidR="008677B0" w:rsidRPr="00512530" w:rsidRDefault="008677B0">
      <w:pPr>
        <w:pStyle w:val="FootnoteText"/>
        <w:rPr>
          <w:lang w:val="en-GB"/>
        </w:rPr>
      </w:pPr>
      <w:r>
        <w:rPr>
          <w:rStyle w:val="FootnoteReference"/>
        </w:rPr>
        <w:footnoteRef/>
      </w:r>
      <w:r>
        <w:t xml:space="preserve"> </w:t>
      </w:r>
      <w:r w:rsidRPr="00512530">
        <w:t xml:space="preserve">Barrett CE, Koyama AK, Alvarez P, et al. Risk for newly diagnosed diabetes &gt;30 </w:t>
      </w:r>
      <w:proofErr w:type="spellStart"/>
      <w:r w:rsidRPr="00512530">
        <w:t>daysafter</w:t>
      </w:r>
      <w:proofErr w:type="spellEnd"/>
      <w:r w:rsidRPr="00512530">
        <w:t xml:space="preserve"> SARS-CoV-2 infection among persons aged &lt;18 Years – United States, March 1,2020-June 28, 2021. MMWR </w:t>
      </w:r>
      <w:proofErr w:type="spellStart"/>
      <w:r w:rsidRPr="00512530">
        <w:t>Morb</w:t>
      </w:r>
      <w:proofErr w:type="spellEnd"/>
      <w:r w:rsidRPr="00512530">
        <w:t xml:space="preserve"> Mortal </w:t>
      </w:r>
      <w:proofErr w:type="spellStart"/>
      <w:r w:rsidRPr="00512530">
        <w:t>Wkly</w:t>
      </w:r>
      <w:proofErr w:type="spellEnd"/>
      <w:r w:rsidRPr="00512530">
        <w:t xml:space="preserve"> Rep. 2022;71(2):59-65</w:t>
      </w:r>
    </w:p>
  </w:footnote>
  <w:footnote w:id="11">
    <w:p w14:paraId="472B4DC5" w14:textId="2271C14F" w:rsidR="008677B0" w:rsidRPr="00512530" w:rsidRDefault="008677B0">
      <w:pPr>
        <w:pStyle w:val="FootnoteText"/>
        <w:rPr>
          <w:lang w:val="en-GB"/>
        </w:rPr>
      </w:pPr>
      <w:r>
        <w:rPr>
          <w:rStyle w:val="FootnoteReference"/>
        </w:rPr>
        <w:footnoteRef/>
      </w:r>
      <w:r>
        <w:t xml:space="preserve"> </w:t>
      </w:r>
      <w:proofErr w:type="spellStart"/>
      <w:r w:rsidRPr="00512530">
        <w:t>Theberath</w:t>
      </w:r>
      <w:proofErr w:type="spellEnd"/>
      <w:r w:rsidRPr="00512530">
        <w:t xml:space="preserve"> M, Bauer D, Chen W, et al. Effects of COVID-19 pandemic on mental health of children and adolescents: A systematic review of survey studies. SAGE Open Med. </w:t>
      </w:r>
      <w:proofErr w:type="gramStart"/>
      <w:r w:rsidRPr="00512530">
        <w:t>2022;10:20503121221086712</w:t>
      </w:r>
      <w:proofErr w:type="gramEnd"/>
      <w:r w:rsidRPr="00512530">
        <w:t>.</w:t>
      </w:r>
    </w:p>
  </w:footnote>
  <w:footnote w:id="12">
    <w:p w14:paraId="27B9A744" w14:textId="29A74CA9" w:rsidR="008677B0" w:rsidRDefault="008677B0" w:rsidP="00956BE5">
      <w:pPr>
        <w:pStyle w:val="FootnoteText"/>
      </w:pPr>
      <w:r>
        <w:rPr>
          <w:rStyle w:val="FootnoteReference"/>
        </w:rPr>
        <w:footnoteRef/>
      </w:r>
      <w:r>
        <w:t xml:space="preserve"> Available at: </w:t>
      </w:r>
      <w:hyperlink r:id="rId7" w:history="1">
        <w:r w:rsidRPr="00920BA9">
          <w:rPr>
            <w:rStyle w:val="Hyperlink"/>
          </w:rPr>
          <w:t>COVID-19 vaccine: Provisional registrations | Therapeutic Goods Administration (TGA)</w:t>
        </w:r>
      </w:hyperlink>
      <w:r>
        <w:t>.</w:t>
      </w:r>
    </w:p>
  </w:footnote>
  <w:footnote w:id="13">
    <w:p w14:paraId="1852A9DB" w14:textId="77777777" w:rsidR="008677B0" w:rsidRPr="008C1E85" w:rsidRDefault="008677B0" w:rsidP="00956BE5">
      <w:pPr>
        <w:pStyle w:val="FootnoteText"/>
      </w:pPr>
      <w:r w:rsidRPr="008C1E85">
        <w:rPr>
          <w:rStyle w:val="FootnoteReference"/>
        </w:rPr>
        <w:footnoteRef/>
      </w:r>
      <w:r w:rsidRPr="008C1E85">
        <w:t xml:space="preserve"> As part of the </w:t>
      </w:r>
      <w:r w:rsidRPr="008C1E85">
        <w:rPr>
          <w:b/>
          <w:bCs/>
        </w:rPr>
        <w:t>provisional approval pathway</w:t>
      </w:r>
      <w:r w:rsidRPr="008C1E85">
        <w:t xml:space="preserve">, the provisional registration process will allow certain medicines to be provisionally registered in the Australian Register of Therapeutic Goods (ARTG) for a limited duration. These medicines are registered </w:t>
      </w:r>
      <w:proofErr w:type="gramStart"/>
      <w:r w:rsidRPr="008C1E85">
        <w:t>on the basis of</w:t>
      </w:r>
      <w:proofErr w:type="gramEnd"/>
      <w:r w:rsidRPr="008C1E85">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364AFB58" w14:textId="77777777" w:rsidR="008677B0" w:rsidRPr="008C1E85" w:rsidRDefault="008677B0" w:rsidP="00956BE5">
      <w:pPr>
        <w:pStyle w:val="FootnoteText"/>
      </w:pPr>
      <w:r w:rsidRPr="008C1E85">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4">
    <w:p w14:paraId="75992F10" w14:textId="77777777" w:rsidR="008677B0" w:rsidRPr="008C1E85" w:rsidRDefault="008677B0" w:rsidP="00956BE5">
      <w:pPr>
        <w:pStyle w:val="FootnoteText"/>
      </w:pPr>
      <w:r w:rsidRPr="008C1E85">
        <w:rPr>
          <w:rStyle w:val="FootnoteReference"/>
        </w:rPr>
        <w:footnoteRef/>
      </w:r>
      <w:r w:rsidRPr="008C1E85">
        <w:t xml:space="preserve"> Tozinameran, the active ingredient in the Comirnaty COVID-19 Vaccine was previously registered in Australia and overseas by the provisional drug name BNT162b2. Both the International non-proprietary name (INN) and the Australian Approved Name (AAN) is accepted as being tozinameran, and it is therefore referred to as Comirnaty (tozinameran) COVID-19 vaccine throughout this </w:t>
      </w:r>
      <w:proofErr w:type="spellStart"/>
      <w:r w:rsidRPr="008C1E85">
        <w:t>AusPAR</w:t>
      </w:r>
      <w:proofErr w:type="spellEnd"/>
      <w:r w:rsidRPr="008C1E85">
        <w:t xml:space="preserve">. This </w:t>
      </w:r>
      <w:proofErr w:type="gramStart"/>
      <w:r w:rsidRPr="008C1E85">
        <w:t>is in contrast to</w:t>
      </w:r>
      <w:proofErr w:type="gramEnd"/>
      <w:r w:rsidRPr="008C1E85">
        <w:t xml:space="preserve"> the use of BNT162b2 as the name of the active ingredient in earlier </w:t>
      </w:r>
      <w:proofErr w:type="spellStart"/>
      <w:r w:rsidRPr="008C1E85">
        <w:t>AusPARs</w:t>
      </w:r>
      <w:proofErr w:type="spellEnd"/>
      <w:r w:rsidRPr="008C1E85">
        <w:t>. The change is in name only; the composition of the active ingredient is unchanged in any way.</w:t>
      </w:r>
    </w:p>
  </w:footnote>
  <w:footnote w:id="15">
    <w:p w14:paraId="10AF7FB0" w14:textId="77777777" w:rsidR="008677B0" w:rsidRPr="008C1E85" w:rsidRDefault="008677B0" w:rsidP="00956BE5">
      <w:pPr>
        <w:pStyle w:val="FootnoteText"/>
      </w:pPr>
      <w:r w:rsidRPr="008C1E85">
        <w:rPr>
          <w:rStyle w:val="FootnoteReference"/>
        </w:rPr>
        <w:footnoteRef/>
      </w:r>
      <w:r w:rsidRPr="008C1E85">
        <w:t xml:space="preserve"> Comirnaty was first registered on the ARTG on 25 January 2021 (ARTG number: 346290).</w:t>
      </w:r>
    </w:p>
  </w:footnote>
  <w:footnote w:id="16">
    <w:p w14:paraId="37C2349E" w14:textId="77777777" w:rsidR="008677B0" w:rsidRPr="008C1E85" w:rsidRDefault="008677B0" w:rsidP="00956BE5">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Comirnaty (BNT162b2 (mRNA)) new biological entity, published on 25 January 2021. Available at: </w:t>
      </w:r>
      <w:hyperlink r:id="rId8" w:history="1">
        <w:r w:rsidRPr="008C1E85">
          <w:rPr>
            <w:rStyle w:val="Hyperlink"/>
          </w:rPr>
          <w:t>https://www.tga.gov.au/auspar/auspar-bnt162b2-mrna-comirnaty</w:t>
        </w:r>
      </w:hyperlink>
      <w:r w:rsidRPr="008C1E85">
        <w:rPr>
          <w:rStyle w:val="Hyperlink"/>
          <w:color w:val="000000" w:themeColor="text1"/>
          <w:u w:val="none"/>
        </w:rPr>
        <w:t>.</w:t>
      </w:r>
    </w:p>
  </w:footnote>
  <w:footnote w:id="17">
    <w:p w14:paraId="30695549" w14:textId="77777777" w:rsidR="008677B0" w:rsidRPr="008C1E85" w:rsidRDefault="008677B0" w:rsidP="00956BE5">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Comirnaty (BNT162b2 (mRNA)) extension of indications, published on 23 July 2021. Available at: </w:t>
      </w:r>
      <w:hyperlink r:id="rId9" w:history="1">
        <w:r w:rsidRPr="008C1E85">
          <w:rPr>
            <w:rStyle w:val="Hyperlink"/>
          </w:rPr>
          <w:t>https://www.tga.gov.au/auspar/auspar-bnt162b2-mrna</w:t>
        </w:r>
      </w:hyperlink>
      <w:r w:rsidRPr="008C1E85">
        <w:rPr>
          <w:rStyle w:val="Hyperlink"/>
          <w:color w:val="000000" w:themeColor="text1"/>
          <w:u w:val="none"/>
        </w:rPr>
        <w:t>.</w:t>
      </w:r>
    </w:p>
  </w:footnote>
  <w:footnote w:id="18">
    <w:p w14:paraId="0EA53EFB" w14:textId="70D347E9" w:rsidR="008677B0" w:rsidRPr="00C53332" w:rsidRDefault="008677B0">
      <w:pPr>
        <w:pStyle w:val="FootnoteText"/>
        <w:rPr>
          <w:lang w:val="en-GB"/>
        </w:rPr>
      </w:pPr>
      <w:r>
        <w:rPr>
          <w:rStyle w:val="FootnoteReference"/>
        </w:rPr>
        <w:footnoteRef/>
      </w:r>
      <w:r>
        <w:t xml:space="preserve"> </w:t>
      </w:r>
      <w:proofErr w:type="spellStart"/>
      <w:r>
        <w:t>AusPAR</w:t>
      </w:r>
      <w:proofErr w:type="spellEnd"/>
      <w:r>
        <w:t xml:space="preserve"> for Comirnaty (tozinameran) extension of indications, published on 1 November 2021.</w:t>
      </w:r>
      <w:r>
        <w:br/>
        <w:t xml:space="preserve">Available at: </w:t>
      </w:r>
      <w:hyperlink r:id="rId10" w:history="1">
        <w:r w:rsidRPr="007B1765">
          <w:rPr>
            <w:rStyle w:val="Hyperlink"/>
          </w:rPr>
          <w:t>https://www.tga.gov.au/resources/auspar/auspar-bnt162b2-mrna-0</w:t>
        </w:r>
      </w:hyperlink>
      <w:r>
        <w:t xml:space="preserve"> </w:t>
      </w:r>
    </w:p>
  </w:footnote>
  <w:footnote w:id="19">
    <w:p w14:paraId="53F99AB9" w14:textId="77777777" w:rsidR="008677B0" w:rsidRPr="008C1E85" w:rsidRDefault="008677B0" w:rsidP="00956BE5">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Comirnaty (tozinameran) extension of indications; change to formulation (excipients), published on 13 December 2021. Available at: </w:t>
      </w:r>
      <w:hyperlink r:id="rId11" w:history="1">
        <w:r w:rsidRPr="008C1E85">
          <w:rPr>
            <w:rStyle w:val="Hyperlink"/>
          </w:rPr>
          <w:t>https://www.tga.gov.au/auspar/auspar-tozinameran-mrna-covid-19-vaccine</w:t>
        </w:r>
      </w:hyperlink>
      <w:r w:rsidRPr="008C1E85">
        <w:rPr>
          <w:rStyle w:val="Hyperlink"/>
          <w:u w:val="none"/>
        </w:rPr>
        <w:t>.</w:t>
      </w:r>
    </w:p>
  </w:footnote>
  <w:footnote w:id="20">
    <w:p w14:paraId="5931A66C" w14:textId="3619C49B" w:rsidR="008677B0" w:rsidRPr="00F125CA" w:rsidRDefault="008677B0">
      <w:pPr>
        <w:pStyle w:val="FootnoteText"/>
        <w:rPr>
          <w:lang w:val="en-GB"/>
        </w:rPr>
      </w:pPr>
      <w:r>
        <w:rPr>
          <w:rStyle w:val="FootnoteReference"/>
        </w:rPr>
        <w:footnoteRef/>
      </w:r>
      <w:r>
        <w:t xml:space="preserve"> </w:t>
      </w:r>
      <w:proofErr w:type="spellStart"/>
      <w:r w:rsidRPr="00F125CA">
        <w:t>AusPAR</w:t>
      </w:r>
      <w:proofErr w:type="spellEnd"/>
      <w:r w:rsidRPr="00F125CA">
        <w:t xml:space="preserve"> for Comirnaty (tozinameran) major variation (change of dose regimen), published on 8 February 2022. Available at: https://www.tga.gov.au/resources/auspar/auspar-tozinameran</w:t>
      </w:r>
    </w:p>
  </w:footnote>
  <w:footnote w:id="21">
    <w:p w14:paraId="39575B02" w14:textId="4BC4387A" w:rsidR="008677B0" w:rsidRPr="00F125CA" w:rsidRDefault="008677B0">
      <w:pPr>
        <w:pStyle w:val="FootnoteText"/>
        <w:rPr>
          <w:lang w:val="en-GB"/>
        </w:rPr>
      </w:pPr>
      <w:r>
        <w:rPr>
          <w:rStyle w:val="FootnoteReference"/>
        </w:rPr>
        <w:footnoteRef/>
      </w:r>
      <w:r>
        <w:t xml:space="preserve"> </w:t>
      </w:r>
      <w:proofErr w:type="spellStart"/>
      <w:r>
        <w:t>AusPAR</w:t>
      </w:r>
      <w:proofErr w:type="spellEnd"/>
      <w:r>
        <w:t xml:space="preserve"> for Comirnaty (tozinameran) major variation (change of dose regimen), published on 12 April 2022. Available at: </w:t>
      </w:r>
      <w:hyperlink r:id="rId12" w:history="1">
        <w:r w:rsidRPr="007B1765">
          <w:rPr>
            <w:rStyle w:val="Hyperlink"/>
          </w:rPr>
          <w:t>https://www.tga.gov.au/resources/auspar/auspar-tozinameran-0</w:t>
        </w:r>
      </w:hyperlink>
      <w:r>
        <w:t xml:space="preserve"> </w:t>
      </w:r>
    </w:p>
  </w:footnote>
  <w:footnote w:id="22">
    <w:p w14:paraId="29B196CE" w14:textId="77777777" w:rsidR="008677B0" w:rsidRPr="008C1E85" w:rsidRDefault="008677B0" w:rsidP="00956BE5">
      <w:pPr>
        <w:pStyle w:val="FootnoteText"/>
      </w:pPr>
      <w:r w:rsidRPr="008C1E85">
        <w:rPr>
          <w:rStyle w:val="FootnoteReference"/>
        </w:rPr>
        <w:footnoteRef/>
      </w:r>
      <w:r w:rsidRPr="008C1E85">
        <w:t xml:space="preserve"> COVID-19 Vaccine AstraZeneca was first registered on the ARTG on 16 February 2021 (ARTG number: 349072).</w:t>
      </w:r>
    </w:p>
  </w:footnote>
  <w:footnote w:id="23">
    <w:p w14:paraId="1CF33062" w14:textId="77777777" w:rsidR="008677B0" w:rsidRPr="008C1E85" w:rsidRDefault="008677B0" w:rsidP="00956BE5">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COVID-19 Vaccine AstraZeneca (ChAdOx1-S) new biological entity, published on 16 February 2021. Available at: </w:t>
      </w:r>
      <w:hyperlink r:id="rId13" w:history="1">
        <w:r w:rsidRPr="008C1E85">
          <w:rPr>
            <w:rStyle w:val="Hyperlink"/>
          </w:rPr>
          <w:t>https://www.tga.gov.au/auspar/auspar-chadox1-s</w:t>
        </w:r>
      </w:hyperlink>
      <w:r w:rsidRPr="008C1E85">
        <w:rPr>
          <w:rStyle w:val="Hyperlink"/>
          <w:u w:val="none"/>
        </w:rPr>
        <w:t>.</w:t>
      </w:r>
    </w:p>
  </w:footnote>
  <w:footnote w:id="24">
    <w:p w14:paraId="3893E762" w14:textId="77777777" w:rsidR="008677B0" w:rsidRPr="008C1E85" w:rsidRDefault="008677B0" w:rsidP="00956BE5">
      <w:pPr>
        <w:pStyle w:val="FootnoteText"/>
      </w:pPr>
      <w:r w:rsidRPr="008C1E85">
        <w:rPr>
          <w:rStyle w:val="FootnoteReference"/>
        </w:rPr>
        <w:footnoteRef/>
      </w:r>
      <w:r w:rsidRPr="008C1E85">
        <w:t xml:space="preserve"> COVID-19 Vaccine Janssen was first registered on the ARTG on 25 June 2021 (ARTG number: 350150).</w:t>
      </w:r>
    </w:p>
  </w:footnote>
  <w:footnote w:id="25">
    <w:p w14:paraId="1D2074E5" w14:textId="77777777" w:rsidR="008677B0" w:rsidRPr="008C1E85" w:rsidRDefault="008677B0" w:rsidP="00956BE5">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COVID-19 Vaccine Janssen (Ad26.COV</w:t>
      </w:r>
      <w:proofErr w:type="gramStart"/>
      <w:r w:rsidRPr="008C1E85">
        <w:t>2.S</w:t>
      </w:r>
      <w:proofErr w:type="gramEnd"/>
      <w:r w:rsidRPr="008C1E85">
        <w:t xml:space="preserve">) new biological entity, published on 25 June 2021. Available at: </w:t>
      </w:r>
      <w:hyperlink r:id="rId14" w:history="1">
        <w:r w:rsidRPr="008C1E85">
          <w:rPr>
            <w:rStyle w:val="Hyperlink"/>
          </w:rPr>
          <w:t>https://www.tga.gov.au/auspar/auspar-ad26cov2s</w:t>
        </w:r>
      </w:hyperlink>
      <w:r w:rsidRPr="008C1E85">
        <w:rPr>
          <w:rStyle w:val="Hyperlink"/>
          <w:color w:val="000000" w:themeColor="text1"/>
          <w:u w:val="none"/>
        </w:rPr>
        <w:t>.</w:t>
      </w:r>
    </w:p>
  </w:footnote>
  <w:footnote w:id="26">
    <w:p w14:paraId="013123F3" w14:textId="77777777" w:rsidR="008677B0" w:rsidRPr="008C1E85" w:rsidRDefault="008677B0" w:rsidP="00956BE5">
      <w:pPr>
        <w:pStyle w:val="FootnoteText"/>
      </w:pPr>
      <w:r w:rsidRPr="008C1E85">
        <w:rPr>
          <w:rStyle w:val="FootnoteReference"/>
        </w:rPr>
        <w:footnoteRef/>
      </w:r>
      <w:r w:rsidRPr="008C1E85">
        <w:t xml:space="preserve"> </w:t>
      </w:r>
      <w:proofErr w:type="spellStart"/>
      <w:r w:rsidRPr="008C1E85">
        <w:t>Spikevax</w:t>
      </w:r>
      <w:proofErr w:type="spellEnd"/>
      <w:r w:rsidRPr="008C1E85">
        <w:t xml:space="preserve"> was first registered on the ARTG on 9 August 2021 (ARTG number: 370599).</w:t>
      </w:r>
    </w:p>
  </w:footnote>
  <w:footnote w:id="27">
    <w:p w14:paraId="553CE1F1" w14:textId="77777777" w:rsidR="008677B0" w:rsidRPr="008C1E85" w:rsidRDefault="008677B0" w:rsidP="00956BE5">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w:t>
      </w:r>
      <w:proofErr w:type="spellStart"/>
      <w:r w:rsidRPr="008C1E85">
        <w:t>Spikevax</w:t>
      </w:r>
      <w:proofErr w:type="spellEnd"/>
      <w:r w:rsidRPr="008C1E85">
        <w:t xml:space="preserve"> (</w:t>
      </w:r>
      <w:proofErr w:type="spellStart"/>
      <w:r w:rsidRPr="008C1E85">
        <w:t>elasomeran</w:t>
      </w:r>
      <w:proofErr w:type="spellEnd"/>
      <w:r w:rsidRPr="008C1E85">
        <w:t xml:space="preserve">) new biological entity, adult indication, published on 9 August 2021. Available at: </w:t>
      </w:r>
      <w:hyperlink r:id="rId15" w:history="1">
        <w:r w:rsidRPr="008C1E85">
          <w:rPr>
            <w:rStyle w:val="Hyperlink"/>
          </w:rPr>
          <w:t>https://www.tga.gov.au/auspar/auspar-elasomeran</w:t>
        </w:r>
      </w:hyperlink>
      <w:r w:rsidRPr="008C1E85">
        <w:rPr>
          <w:rStyle w:val="Hyperlink"/>
          <w:color w:val="000000" w:themeColor="text1"/>
          <w:u w:val="none"/>
        </w:rPr>
        <w:t>.</w:t>
      </w:r>
    </w:p>
  </w:footnote>
  <w:footnote w:id="28">
    <w:p w14:paraId="1BB4AB07" w14:textId="77777777" w:rsidR="008677B0" w:rsidRPr="008C1E85" w:rsidRDefault="008677B0" w:rsidP="00956BE5">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w:t>
      </w:r>
      <w:proofErr w:type="spellStart"/>
      <w:r w:rsidRPr="008C1E85">
        <w:t>Spikevax</w:t>
      </w:r>
      <w:proofErr w:type="spellEnd"/>
      <w:r w:rsidRPr="008C1E85">
        <w:t xml:space="preserve"> (</w:t>
      </w:r>
      <w:proofErr w:type="spellStart"/>
      <w:r w:rsidRPr="008C1E85">
        <w:t>elasomeran</w:t>
      </w:r>
      <w:proofErr w:type="spellEnd"/>
      <w:r w:rsidRPr="008C1E85">
        <w:t xml:space="preserve">) new biological entity, paediatric indication, published on 4 September 2021. Available at: </w:t>
      </w:r>
      <w:hyperlink r:id="rId16" w:history="1">
        <w:r w:rsidRPr="008C1E85">
          <w:rPr>
            <w:rStyle w:val="Hyperlink"/>
          </w:rPr>
          <w:t>https://www.tga.gov.au/auspar/auspar-elasomeran-0</w:t>
        </w:r>
      </w:hyperlink>
      <w:r w:rsidRPr="008C1E85">
        <w:rPr>
          <w:rStyle w:val="Hyperlink"/>
          <w:color w:val="000000" w:themeColor="text1"/>
          <w:u w:val="none"/>
        </w:rPr>
        <w:t>.</w:t>
      </w:r>
    </w:p>
  </w:footnote>
  <w:footnote w:id="29">
    <w:p w14:paraId="7D11EDA0" w14:textId="77777777" w:rsidR="008677B0" w:rsidRDefault="008677B0" w:rsidP="00956BE5">
      <w:pPr>
        <w:pStyle w:val="FootnoteText"/>
      </w:pPr>
      <w:r>
        <w:rPr>
          <w:rStyle w:val="FootnoteReference"/>
        </w:rPr>
        <w:footnoteRef/>
      </w:r>
      <w:r>
        <w:t xml:space="preserve"> </w:t>
      </w:r>
      <w:proofErr w:type="spellStart"/>
      <w:r w:rsidRPr="00A646B0">
        <w:t>AusPAR</w:t>
      </w:r>
      <w:proofErr w:type="spellEnd"/>
      <w:r w:rsidRPr="00A646B0">
        <w:t xml:space="preserve"> for </w:t>
      </w:r>
      <w:proofErr w:type="spellStart"/>
      <w:r w:rsidRPr="00A646B0">
        <w:t>Spikevax</w:t>
      </w:r>
      <w:proofErr w:type="spellEnd"/>
      <w:r w:rsidRPr="00A646B0">
        <w:t xml:space="preserve"> (</w:t>
      </w:r>
      <w:proofErr w:type="spellStart"/>
      <w:r w:rsidRPr="00A646B0">
        <w:t>elasomeran</w:t>
      </w:r>
      <w:proofErr w:type="spellEnd"/>
      <w:r w:rsidRPr="00A646B0">
        <w:t xml:space="preserve">) </w:t>
      </w:r>
      <w:r>
        <w:t>e</w:t>
      </w:r>
      <w:r w:rsidRPr="00A646B0">
        <w:t xml:space="preserve">xtension of indications, published on 23 February 2022. Available at: </w:t>
      </w:r>
      <w:hyperlink r:id="rId17" w:history="1">
        <w:r w:rsidRPr="001D4685">
          <w:rPr>
            <w:rStyle w:val="Hyperlink"/>
          </w:rPr>
          <w:t>https://www.tga.gov.au/auspar/auspar-elasomeran-1</w:t>
        </w:r>
      </w:hyperlink>
      <w:r>
        <w:t>.</w:t>
      </w:r>
    </w:p>
  </w:footnote>
  <w:footnote w:id="30">
    <w:p w14:paraId="33D61B45" w14:textId="1147FAE7" w:rsidR="008677B0" w:rsidRDefault="008677B0" w:rsidP="00956BE5">
      <w:pPr>
        <w:pStyle w:val="FootnoteText"/>
      </w:pPr>
      <w:r>
        <w:rPr>
          <w:rStyle w:val="FootnoteReference"/>
        </w:rPr>
        <w:footnoteRef/>
      </w:r>
      <w:r>
        <w:t xml:space="preserve"> </w:t>
      </w:r>
      <w:proofErr w:type="spellStart"/>
      <w:r w:rsidRPr="00A646B0">
        <w:t>AusPAR</w:t>
      </w:r>
      <w:proofErr w:type="spellEnd"/>
      <w:r w:rsidRPr="00A646B0">
        <w:t xml:space="preserve"> for </w:t>
      </w:r>
      <w:proofErr w:type="spellStart"/>
      <w:r w:rsidRPr="00A646B0">
        <w:t>Spikevax</w:t>
      </w:r>
      <w:proofErr w:type="spellEnd"/>
      <w:r w:rsidRPr="00A646B0">
        <w:t xml:space="preserve"> (</w:t>
      </w:r>
      <w:proofErr w:type="spellStart"/>
      <w:r w:rsidRPr="00A646B0">
        <w:t>elasomeran</w:t>
      </w:r>
      <w:proofErr w:type="spellEnd"/>
      <w:r w:rsidRPr="00A646B0">
        <w:t xml:space="preserve">) </w:t>
      </w:r>
      <w:r>
        <w:t>e</w:t>
      </w:r>
      <w:r w:rsidRPr="00A646B0">
        <w:t>xtension of indications</w:t>
      </w:r>
      <w:r>
        <w:t xml:space="preserve"> and major variation, paediatric indication for 6 months of age and above, published on 4 August 2022. Available at </w:t>
      </w:r>
      <w:hyperlink r:id="rId18" w:history="1">
        <w:r w:rsidRPr="00710417">
          <w:rPr>
            <w:rStyle w:val="Hyperlink"/>
          </w:rPr>
          <w:t>https://www.tga.gov.au/auspar/auspar-elasomeran-2</w:t>
        </w:r>
      </w:hyperlink>
      <w:r>
        <w:t xml:space="preserve"> </w:t>
      </w:r>
    </w:p>
  </w:footnote>
  <w:footnote w:id="31">
    <w:p w14:paraId="3175C259" w14:textId="58B9513D" w:rsidR="008677B0" w:rsidRPr="00AB13E5" w:rsidRDefault="008677B0">
      <w:pPr>
        <w:pStyle w:val="FootnoteText"/>
        <w:rPr>
          <w:lang w:val="en-GB"/>
        </w:rPr>
      </w:pPr>
      <w:r>
        <w:rPr>
          <w:rStyle w:val="FootnoteReference"/>
        </w:rPr>
        <w:footnoteRef/>
      </w:r>
      <w:r>
        <w:t xml:space="preserve"> </w:t>
      </w:r>
      <w:proofErr w:type="spellStart"/>
      <w:r>
        <w:t>AusPAR</w:t>
      </w:r>
      <w:proofErr w:type="spellEnd"/>
      <w:r>
        <w:t xml:space="preserve"> for </w:t>
      </w:r>
      <w:proofErr w:type="spellStart"/>
      <w:r w:rsidRPr="00AB13E5">
        <w:t>Spikevax</w:t>
      </w:r>
      <w:proofErr w:type="spellEnd"/>
      <w:r w:rsidRPr="00AB13E5">
        <w:t xml:space="preserve"> Bivalent Original/Omicron</w:t>
      </w:r>
      <w:r>
        <w:t xml:space="preserve"> (</w:t>
      </w:r>
      <w:proofErr w:type="spellStart"/>
      <w:r w:rsidRPr="00AB13E5">
        <w:t>elasomeran</w:t>
      </w:r>
      <w:proofErr w:type="spellEnd"/>
      <w:r w:rsidRPr="00AB13E5">
        <w:t xml:space="preserve"> and </w:t>
      </w:r>
      <w:proofErr w:type="spellStart"/>
      <w:r w:rsidRPr="00AB13E5">
        <w:t>imelasomeran</w:t>
      </w:r>
      <w:proofErr w:type="spellEnd"/>
      <w:r>
        <w:t xml:space="preserve">). Available at: </w:t>
      </w:r>
      <w:r w:rsidRPr="00AB13E5">
        <w:t>https://www.tga.gov.au/resources/auspar/auspar-spikevax-bivalent-originalomicron</w:t>
      </w:r>
      <w:r>
        <w:t xml:space="preserve"> </w:t>
      </w:r>
    </w:p>
  </w:footnote>
  <w:footnote w:id="32">
    <w:p w14:paraId="37E1018E" w14:textId="77777777" w:rsidR="008677B0" w:rsidRDefault="008677B0" w:rsidP="00956BE5">
      <w:pPr>
        <w:pStyle w:val="FootnoteText"/>
      </w:pPr>
      <w:r>
        <w:rPr>
          <w:rStyle w:val="FootnoteReference"/>
        </w:rPr>
        <w:footnoteRef/>
      </w:r>
      <w:r>
        <w:t xml:space="preserve"> </w:t>
      </w:r>
      <w:proofErr w:type="spellStart"/>
      <w:r w:rsidRPr="00A646B0">
        <w:t>Nuvaxovid</w:t>
      </w:r>
      <w:proofErr w:type="spellEnd"/>
      <w:r>
        <w:t xml:space="preserve"> was first registered on the ARTG on </w:t>
      </w:r>
      <w:r w:rsidRPr="00A646B0">
        <w:t>20 January 2022</w:t>
      </w:r>
      <w:r>
        <w:t xml:space="preserve"> (ARTG number: </w:t>
      </w:r>
      <w:r w:rsidRPr="00A646B0">
        <w:t>355139</w:t>
      </w:r>
      <w:r>
        <w:t>).</w:t>
      </w:r>
    </w:p>
  </w:footnote>
  <w:footnote w:id="33">
    <w:p w14:paraId="4E05761B" w14:textId="77777777" w:rsidR="008677B0" w:rsidRDefault="008677B0" w:rsidP="00956BE5">
      <w:pPr>
        <w:pStyle w:val="FootnoteText"/>
      </w:pPr>
      <w:r>
        <w:rPr>
          <w:rStyle w:val="FootnoteReference"/>
        </w:rPr>
        <w:footnoteRef/>
      </w:r>
      <w:r>
        <w:t xml:space="preserve"> </w:t>
      </w:r>
      <w:proofErr w:type="spellStart"/>
      <w:r w:rsidRPr="001031B5">
        <w:t>AusPAR</w:t>
      </w:r>
      <w:proofErr w:type="spellEnd"/>
      <w:r w:rsidRPr="001031B5">
        <w:t xml:space="preserve"> for </w:t>
      </w:r>
      <w:proofErr w:type="spellStart"/>
      <w:r w:rsidRPr="00A646B0">
        <w:t>Nuvaxovid</w:t>
      </w:r>
      <w:proofErr w:type="spellEnd"/>
      <w:r>
        <w:t xml:space="preserve"> </w:t>
      </w:r>
      <w:r w:rsidRPr="001031B5">
        <w:t>(SARS-CoV-2 recombinant spike</w:t>
      </w:r>
      <w:r>
        <w:t xml:space="preserve"> protein</w:t>
      </w:r>
      <w:r w:rsidRPr="001031B5">
        <w:t xml:space="preserve"> with Matrix-M adjuvant) new biological entity, published on 21 January 2022. Available at</w:t>
      </w:r>
      <w:r>
        <w:t xml:space="preserve">: </w:t>
      </w:r>
      <w:hyperlink r:id="rId19" w:history="1">
        <w:r w:rsidRPr="001D4685">
          <w:rPr>
            <w:rStyle w:val="Hyperlink"/>
          </w:rPr>
          <w:t>https://www.tga.gov.au/auspar/auspar-sars-cov-2-rs-matrix-m-adjuvant</w:t>
        </w:r>
      </w:hyperlink>
      <w:r>
        <w:t>.</w:t>
      </w:r>
    </w:p>
  </w:footnote>
  <w:footnote w:id="34">
    <w:p w14:paraId="4290DBA0" w14:textId="77777777" w:rsidR="008677B0" w:rsidRDefault="008677B0" w:rsidP="00956BE5">
      <w:pPr>
        <w:pStyle w:val="FootnoteText"/>
      </w:pPr>
      <w:r>
        <w:rPr>
          <w:rStyle w:val="FootnoteReference"/>
        </w:rPr>
        <w:footnoteRef/>
      </w:r>
      <w:r>
        <w:t xml:space="preserve"> </w:t>
      </w:r>
      <w:proofErr w:type="spellStart"/>
      <w:r>
        <w:t>AusPAR</w:t>
      </w:r>
      <w:proofErr w:type="spellEnd"/>
      <w:r>
        <w:t xml:space="preserve"> for </w:t>
      </w:r>
      <w:proofErr w:type="spellStart"/>
      <w:r>
        <w:t>Nuavxovid</w:t>
      </w:r>
      <w:proofErr w:type="spellEnd"/>
      <w:r>
        <w:t xml:space="preserve"> (</w:t>
      </w:r>
      <w:r w:rsidRPr="001031B5">
        <w:t>SARS-CoV-2 recombinant spike</w:t>
      </w:r>
      <w:r>
        <w:t xml:space="preserve"> protein</w:t>
      </w:r>
      <w:r w:rsidRPr="001031B5">
        <w:t xml:space="preserve"> with Matrix-M adjuvant) </w:t>
      </w:r>
      <w:r>
        <w:t xml:space="preserve">extension of indications, published on 29 July 2022. Available at </w:t>
      </w:r>
      <w:hyperlink r:id="rId20" w:history="1">
        <w:r w:rsidRPr="00544624">
          <w:rPr>
            <w:rStyle w:val="Hyperlink"/>
          </w:rPr>
          <w:t>https://www.tga.gov.au/auspar/auspar-sars-cov-2-rs-matrix-m-adjuvant-nvx-cov2373</w:t>
        </w:r>
      </w:hyperlink>
      <w:r>
        <w:t xml:space="preserve"> </w:t>
      </w:r>
    </w:p>
  </w:footnote>
  <w:footnote w:id="35">
    <w:p w14:paraId="087B1E9C" w14:textId="450CD1E9" w:rsidR="008677B0" w:rsidRPr="00E90CF7" w:rsidRDefault="008677B0">
      <w:pPr>
        <w:pStyle w:val="FootnoteText"/>
        <w:rPr>
          <w:lang w:val="en-GB"/>
        </w:rPr>
      </w:pPr>
      <w:r>
        <w:rPr>
          <w:rStyle w:val="FootnoteReference"/>
        </w:rPr>
        <w:footnoteRef/>
      </w:r>
      <w:r>
        <w:t xml:space="preserve"> </w:t>
      </w:r>
    </w:p>
  </w:footnote>
  <w:footnote w:id="36">
    <w:p w14:paraId="5E5B88E9" w14:textId="190A3AD1" w:rsidR="008677B0" w:rsidRPr="00B1210D" w:rsidRDefault="008677B0">
      <w:pPr>
        <w:pStyle w:val="FootnoteText"/>
        <w:rPr>
          <w:lang w:val="en-GB"/>
        </w:rPr>
      </w:pPr>
      <w:r>
        <w:rPr>
          <w:rStyle w:val="FootnoteReference"/>
        </w:rPr>
        <w:footnoteRef/>
      </w:r>
      <w:r>
        <w:t xml:space="preserve"> International Council for Harmonisation (</w:t>
      </w:r>
      <w:r w:rsidRPr="00B1210D">
        <w:t>ICH</w:t>
      </w:r>
      <w:r>
        <w:t>)</w:t>
      </w:r>
      <w:r w:rsidRPr="00B1210D">
        <w:t xml:space="preserve"> Guideline Q8 (R2) on Pharmaceutical Development (EMA/CHMP/ICH/167068/2004) </w:t>
      </w:r>
      <w:hyperlink r:id="rId21" w:history="1">
        <w:r w:rsidRPr="00B43D1B">
          <w:rPr>
            <w:rStyle w:val="Hyperlink"/>
          </w:rPr>
          <w:t>https://www.ema.europa.eu/en/documents/scientific-guideline/international-conference-harmonisation-technical-requirements-registration-pharmaceuticals-human-use_en-11.pdf</w:t>
        </w:r>
      </w:hyperlink>
      <w:r>
        <w:t xml:space="preserve"> </w:t>
      </w:r>
    </w:p>
  </w:footnote>
  <w:footnote w:id="37">
    <w:p w14:paraId="0A27CBBD" w14:textId="14623DC2" w:rsidR="008677B0" w:rsidRPr="00CC2EAB" w:rsidRDefault="008677B0">
      <w:pPr>
        <w:pStyle w:val="FootnoteText"/>
        <w:rPr>
          <w:lang w:val="en-GB"/>
        </w:rPr>
      </w:pPr>
      <w:r>
        <w:rPr>
          <w:rStyle w:val="FootnoteReference"/>
        </w:rPr>
        <w:footnoteRef/>
      </w:r>
      <w:r>
        <w:t xml:space="preserve"> International Council for Harmonisation (ICH) Q5C (Quality of biotechnological product: Stability testing of biotechnological/biological products</w:t>
      </w:r>
    </w:p>
  </w:footnote>
  <w:footnote w:id="38">
    <w:p w14:paraId="1374661E" w14:textId="77777777" w:rsidR="008677B0" w:rsidRDefault="008677B0" w:rsidP="008E6550">
      <w:pPr>
        <w:pStyle w:val="FootnoteText"/>
      </w:pPr>
      <w:r>
        <w:rPr>
          <w:rStyle w:val="FootnoteReference"/>
        </w:rPr>
        <w:footnoteRef/>
      </w:r>
      <w:r>
        <w:t xml:space="preserve"> Food and Drug Administration (FDA). Toxicity Grading Scale for Healthy Adult and Adolescent</w:t>
      </w:r>
    </w:p>
    <w:p w14:paraId="737E50C8" w14:textId="77777777" w:rsidR="008677B0" w:rsidRDefault="008677B0" w:rsidP="008E6550">
      <w:pPr>
        <w:pStyle w:val="FootnoteText"/>
      </w:pPr>
      <w:r>
        <w:t>Volunteers Enrolled in Preventive Vaccine Clinical Trial. Guidance for Industry. September 2007.</w:t>
      </w:r>
    </w:p>
    <w:p w14:paraId="742007BD" w14:textId="4FEDF839" w:rsidR="008677B0" w:rsidRPr="008E6550" w:rsidRDefault="008677B0" w:rsidP="008E6550">
      <w:pPr>
        <w:pStyle w:val="FootnoteText"/>
        <w:rPr>
          <w:lang w:val="en-GB"/>
        </w:rPr>
      </w:pPr>
      <w:r>
        <w:t xml:space="preserve">Available from: </w:t>
      </w:r>
      <w:hyperlink r:id="rId22" w:history="1">
        <w:r w:rsidRPr="00153D18">
          <w:rPr>
            <w:rStyle w:val="Hyperlink"/>
          </w:rPr>
          <w:t>https://www.fda.gov/media/73679/download</w:t>
        </w:r>
      </w:hyperlink>
      <w:r>
        <w:t>.</w:t>
      </w:r>
    </w:p>
  </w:footnote>
  <w:footnote w:id="39">
    <w:p w14:paraId="1056C378" w14:textId="68F9BABB" w:rsidR="008677B0" w:rsidRPr="00145C93" w:rsidRDefault="008677B0">
      <w:pPr>
        <w:pStyle w:val="FootnoteText"/>
        <w:rPr>
          <w:lang w:val="en-GB"/>
        </w:rPr>
      </w:pPr>
      <w:r>
        <w:rPr>
          <w:rStyle w:val="FootnoteReference"/>
        </w:rPr>
        <w:footnoteRef/>
      </w:r>
      <w:r>
        <w:t xml:space="preserve"> </w:t>
      </w:r>
      <w:proofErr w:type="spellStart"/>
      <w:r w:rsidR="00145C93">
        <w:t>AusPAR</w:t>
      </w:r>
      <w:proofErr w:type="spellEnd"/>
      <w:r w:rsidR="00145C93">
        <w:t xml:space="preserve"> for Comirnaty (tozinameran) major variation (change of dose regimen), published on 10 October 2022. Available at: </w:t>
      </w:r>
      <w:r w:rsidR="00145C93" w:rsidRPr="00145C93">
        <w:t>https://www.tga.gov.au/resources/auspar/auspar-comirnaty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B242" w14:textId="77777777" w:rsidR="008677B0" w:rsidRDefault="008677B0"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EF9C" w14:textId="77777777" w:rsidR="008677B0" w:rsidRDefault="008677B0">
    <w:pPr>
      <w:rPr>
        <w:noProof/>
        <w:lang w:eastAsia="en-AU"/>
      </w:rPr>
    </w:pPr>
    <w:r w:rsidRPr="00347824">
      <w:rPr>
        <w:noProof/>
        <w:lang w:val="en-GB" w:eastAsia="en-GB"/>
      </w:rPr>
      <w:drawing>
        <wp:anchor distT="0" distB="0" distL="114300" distR="114300" simplePos="0" relativeHeight="251659264" behindDoc="1" locked="0" layoutInCell="1" allowOverlap="1" wp14:anchorId="1D813907" wp14:editId="0175788B">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0495" w14:textId="77777777" w:rsidR="008677B0" w:rsidRDefault="008677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3653" w14:textId="77777777" w:rsidR="008677B0" w:rsidRDefault="008677B0">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04EE" w14:textId="77777777" w:rsidR="008677B0" w:rsidRDefault="008677B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76FD" w14:textId="77777777" w:rsidR="008677B0" w:rsidRDefault="008677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E094" w14:textId="77777777" w:rsidR="008677B0" w:rsidRDefault="008677B0"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229F" w14:textId="77777777" w:rsidR="008677B0" w:rsidRDefault="008677B0" w:rsidP="006E08B3">
    <w:r>
      <w:t>Therapeutic Goods Administration</w:t>
    </w:r>
  </w:p>
  <w:p w14:paraId="633F256C" w14:textId="77777777" w:rsidR="008677B0" w:rsidRDefault="008677B0"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55EF6EA"/>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C3A6322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8F23CA"/>
    <w:multiLevelType w:val="hybridMultilevel"/>
    <w:tmpl w:val="C3E2710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10053F11"/>
    <w:multiLevelType w:val="multilevel"/>
    <w:tmpl w:val="D3FE448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0A85940"/>
    <w:multiLevelType w:val="hybridMultilevel"/>
    <w:tmpl w:val="6520EB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BE2EDB"/>
    <w:multiLevelType w:val="hybridMultilevel"/>
    <w:tmpl w:val="2CE0178C"/>
    <w:lvl w:ilvl="0" w:tplc="2214A5A6">
      <w:start w:val="6"/>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27399F"/>
    <w:multiLevelType w:val="hybridMultilevel"/>
    <w:tmpl w:val="77F0D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B70F1C"/>
    <w:multiLevelType w:val="hybridMultilevel"/>
    <w:tmpl w:val="E58E4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EBA62B8"/>
    <w:multiLevelType w:val="hybridMultilevel"/>
    <w:tmpl w:val="0538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6C2F83"/>
    <w:multiLevelType w:val="hybridMultilevel"/>
    <w:tmpl w:val="CC186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9B61AAB"/>
    <w:multiLevelType w:val="hybridMultilevel"/>
    <w:tmpl w:val="A1B4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8"/>
  </w:num>
  <w:num w:numId="29">
    <w:abstractNumId w:val="7"/>
  </w:num>
  <w:num w:numId="30">
    <w:abstractNumId w:val="11"/>
  </w:num>
  <w:num w:numId="31">
    <w:abstractNumId w:val="4"/>
  </w:num>
  <w:num w:numId="32">
    <w:abstractNumId w:val="15"/>
  </w:num>
  <w:num w:numId="33">
    <w:abstractNumId w:val="12"/>
  </w:num>
  <w:num w:numId="34">
    <w:abstractNumId w:val="13"/>
  </w:num>
  <w:num w:numId="35">
    <w:abstractNumId w:val="5"/>
  </w:num>
  <w:num w:numId="36">
    <w:abstractNumId w:val="10"/>
  </w:num>
  <w:num w:numId="37">
    <w:abstractNumId w:val="16"/>
  </w:num>
  <w:num w:numId="38">
    <w:abstractNumId w:val="9"/>
  </w:num>
  <w:num w:numId="39">
    <w:abstractNumId w:val="19"/>
  </w:num>
  <w:num w:numId="40">
    <w:abstractNumId w:val="17"/>
  </w:num>
  <w:num w:numId="41">
    <w:abstractNumId w:val="6"/>
    <w:lvlOverride w:ilvl="0">
      <w:startOverride w:val="1"/>
      <w:lvl w:ilvl="0">
        <w:start w:val="1"/>
        <w:numFmt w:val="decimal"/>
        <w:pStyle w:val="Numberbullet0"/>
        <w:lvlText w:val="%1."/>
        <w:lvlJc w:val="left"/>
        <w:pPr>
          <w:ind w:left="425" w:hanging="425"/>
        </w:pPr>
        <w:rPr>
          <w:rFonts w:ascii="Cambria" w:hAnsi="Cambria" w:hint="default"/>
          <w:b/>
        </w:rPr>
      </w:lvl>
    </w:lvlOverride>
    <w:lvlOverride w:ilvl="1">
      <w:startOverride w:val="1"/>
      <w:lvl w:ilvl="1">
        <w:start w:val="1"/>
        <w:numFmt w:val="decimal"/>
        <w:pStyle w:val="Numberbullet2"/>
        <w:lvlText w:val=""/>
        <w:lvlJc w:val="left"/>
      </w:lvl>
    </w:lvlOverride>
    <w:lvlOverride w:ilvl="2">
      <w:startOverride w:val="1"/>
      <w:lvl w:ilvl="2">
        <w:start w:val="1"/>
        <w:numFmt w:val="decimal"/>
        <w:pStyle w:val="Numberbullet3"/>
        <w:lvlText w:val=""/>
        <w:lvlJc w:val="left"/>
      </w:lvl>
    </w:lvlOverride>
    <w:lvlOverride w:ilvl="3">
      <w:startOverride w:val="1"/>
      <w:lvl w:ilvl="3">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91"/>
    <w:rsid w:val="00002031"/>
    <w:rsid w:val="00004734"/>
    <w:rsid w:val="00006B22"/>
    <w:rsid w:val="00006FAB"/>
    <w:rsid w:val="00011418"/>
    <w:rsid w:val="0001276A"/>
    <w:rsid w:val="000246AE"/>
    <w:rsid w:val="00025C67"/>
    <w:rsid w:val="00030604"/>
    <w:rsid w:val="00031C61"/>
    <w:rsid w:val="00035D9A"/>
    <w:rsid w:val="0003601B"/>
    <w:rsid w:val="00044772"/>
    <w:rsid w:val="0004541C"/>
    <w:rsid w:val="0005559E"/>
    <w:rsid w:val="000604D6"/>
    <w:rsid w:val="00061A46"/>
    <w:rsid w:val="000734D8"/>
    <w:rsid w:val="00077775"/>
    <w:rsid w:val="00090471"/>
    <w:rsid w:val="00096AA7"/>
    <w:rsid w:val="000A3AED"/>
    <w:rsid w:val="000A6807"/>
    <w:rsid w:val="000A7044"/>
    <w:rsid w:val="000B3532"/>
    <w:rsid w:val="000B3A75"/>
    <w:rsid w:val="000C00C2"/>
    <w:rsid w:val="000C231C"/>
    <w:rsid w:val="000C690F"/>
    <w:rsid w:val="000D1295"/>
    <w:rsid w:val="000D2C75"/>
    <w:rsid w:val="000D391B"/>
    <w:rsid w:val="000D3D6D"/>
    <w:rsid w:val="000D4FC7"/>
    <w:rsid w:val="000E6196"/>
    <w:rsid w:val="000F1D05"/>
    <w:rsid w:val="000F4869"/>
    <w:rsid w:val="000F5B42"/>
    <w:rsid w:val="000F6E6F"/>
    <w:rsid w:val="0010601F"/>
    <w:rsid w:val="0010788A"/>
    <w:rsid w:val="00107A31"/>
    <w:rsid w:val="00110EA5"/>
    <w:rsid w:val="00112F56"/>
    <w:rsid w:val="00117C1F"/>
    <w:rsid w:val="00122C2E"/>
    <w:rsid w:val="00124ACD"/>
    <w:rsid w:val="00125318"/>
    <w:rsid w:val="001305A2"/>
    <w:rsid w:val="00133238"/>
    <w:rsid w:val="00133A1B"/>
    <w:rsid w:val="00140FFC"/>
    <w:rsid w:val="0014197B"/>
    <w:rsid w:val="001447CD"/>
    <w:rsid w:val="00145C93"/>
    <w:rsid w:val="001516B1"/>
    <w:rsid w:val="00154EBB"/>
    <w:rsid w:val="00156316"/>
    <w:rsid w:val="00161181"/>
    <w:rsid w:val="00161D56"/>
    <w:rsid w:val="00162D14"/>
    <w:rsid w:val="00163780"/>
    <w:rsid w:val="00165389"/>
    <w:rsid w:val="0017693F"/>
    <w:rsid w:val="00177126"/>
    <w:rsid w:val="0018110E"/>
    <w:rsid w:val="00181684"/>
    <w:rsid w:val="00184075"/>
    <w:rsid w:val="001843C6"/>
    <w:rsid w:val="001848FA"/>
    <w:rsid w:val="001850E0"/>
    <w:rsid w:val="00185407"/>
    <w:rsid w:val="0018760D"/>
    <w:rsid w:val="0019095C"/>
    <w:rsid w:val="001A03AF"/>
    <w:rsid w:val="001A2158"/>
    <w:rsid w:val="001A525F"/>
    <w:rsid w:val="001A5A00"/>
    <w:rsid w:val="001A66B8"/>
    <w:rsid w:val="001A7902"/>
    <w:rsid w:val="001B09F9"/>
    <w:rsid w:val="001B1DA4"/>
    <w:rsid w:val="001B29EF"/>
    <w:rsid w:val="001B3A0D"/>
    <w:rsid w:val="001B5C90"/>
    <w:rsid w:val="001B6448"/>
    <w:rsid w:val="001C32CD"/>
    <w:rsid w:val="001D2984"/>
    <w:rsid w:val="001D6AC0"/>
    <w:rsid w:val="001E07CF"/>
    <w:rsid w:val="001E359E"/>
    <w:rsid w:val="001E492F"/>
    <w:rsid w:val="001E5818"/>
    <w:rsid w:val="001E59F1"/>
    <w:rsid w:val="001F0AD7"/>
    <w:rsid w:val="001F2CEE"/>
    <w:rsid w:val="001F49EB"/>
    <w:rsid w:val="001F5F72"/>
    <w:rsid w:val="001F6CBA"/>
    <w:rsid w:val="00201D4E"/>
    <w:rsid w:val="002076C9"/>
    <w:rsid w:val="00220B8A"/>
    <w:rsid w:val="002257F3"/>
    <w:rsid w:val="002314EA"/>
    <w:rsid w:val="00233456"/>
    <w:rsid w:val="002339A5"/>
    <w:rsid w:val="00250271"/>
    <w:rsid w:val="00250F35"/>
    <w:rsid w:val="00251D8E"/>
    <w:rsid w:val="002547BE"/>
    <w:rsid w:val="00257848"/>
    <w:rsid w:val="002578E8"/>
    <w:rsid w:val="0027084A"/>
    <w:rsid w:val="00271E85"/>
    <w:rsid w:val="00272634"/>
    <w:rsid w:val="00273991"/>
    <w:rsid w:val="002748AB"/>
    <w:rsid w:val="00280265"/>
    <w:rsid w:val="00286434"/>
    <w:rsid w:val="00286C59"/>
    <w:rsid w:val="00291957"/>
    <w:rsid w:val="00292365"/>
    <w:rsid w:val="002942D1"/>
    <w:rsid w:val="0029501A"/>
    <w:rsid w:val="002A3721"/>
    <w:rsid w:val="002B1638"/>
    <w:rsid w:val="002B259B"/>
    <w:rsid w:val="002B3624"/>
    <w:rsid w:val="002C44DC"/>
    <w:rsid w:val="002D0952"/>
    <w:rsid w:val="002D7AEE"/>
    <w:rsid w:val="002E40B3"/>
    <w:rsid w:val="002E4C9A"/>
    <w:rsid w:val="002F11F8"/>
    <w:rsid w:val="002F3F56"/>
    <w:rsid w:val="002F44B5"/>
    <w:rsid w:val="002F5122"/>
    <w:rsid w:val="003100E2"/>
    <w:rsid w:val="00310311"/>
    <w:rsid w:val="00311AC0"/>
    <w:rsid w:val="003176FC"/>
    <w:rsid w:val="00324E45"/>
    <w:rsid w:val="0032583B"/>
    <w:rsid w:val="00327883"/>
    <w:rsid w:val="00332715"/>
    <w:rsid w:val="00333270"/>
    <w:rsid w:val="00335504"/>
    <w:rsid w:val="003368E3"/>
    <w:rsid w:val="00340C18"/>
    <w:rsid w:val="003442FD"/>
    <w:rsid w:val="00347824"/>
    <w:rsid w:val="00350567"/>
    <w:rsid w:val="003521E8"/>
    <w:rsid w:val="00355B7F"/>
    <w:rsid w:val="00357736"/>
    <w:rsid w:val="00370CE3"/>
    <w:rsid w:val="003728F3"/>
    <w:rsid w:val="003735BC"/>
    <w:rsid w:val="003738ED"/>
    <w:rsid w:val="0037496E"/>
    <w:rsid w:val="00383221"/>
    <w:rsid w:val="00386150"/>
    <w:rsid w:val="00386623"/>
    <w:rsid w:val="003874CE"/>
    <w:rsid w:val="00390900"/>
    <w:rsid w:val="003A5888"/>
    <w:rsid w:val="003A7F6C"/>
    <w:rsid w:val="003B4D60"/>
    <w:rsid w:val="003B7E39"/>
    <w:rsid w:val="003C58DC"/>
    <w:rsid w:val="003D1E62"/>
    <w:rsid w:val="003E0B99"/>
    <w:rsid w:val="003E156B"/>
    <w:rsid w:val="003E2486"/>
    <w:rsid w:val="003E3208"/>
    <w:rsid w:val="003E3C55"/>
    <w:rsid w:val="003E5BA8"/>
    <w:rsid w:val="003F0B04"/>
    <w:rsid w:val="0040134E"/>
    <w:rsid w:val="004044FC"/>
    <w:rsid w:val="00412566"/>
    <w:rsid w:val="00420B47"/>
    <w:rsid w:val="00421C56"/>
    <w:rsid w:val="00430DAE"/>
    <w:rsid w:val="004322B7"/>
    <w:rsid w:val="004334C7"/>
    <w:rsid w:val="00440A2D"/>
    <w:rsid w:val="00441C3F"/>
    <w:rsid w:val="00444D1A"/>
    <w:rsid w:val="0045186A"/>
    <w:rsid w:val="00453781"/>
    <w:rsid w:val="00454BDC"/>
    <w:rsid w:val="00455444"/>
    <w:rsid w:val="004564A7"/>
    <w:rsid w:val="00456765"/>
    <w:rsid w:val="00456C48"/>
    <w:rsid w:val="00460036"/>
    <w:rsid w:val="004617BF"/>
    <w:rsid w:val="00463658"/>
    <w:rsid w:val="004637A0"/>
    <w:rsid w:val="0047135E"/>
    <w:rsid w:val="004722CC"/>
    <w:rsid w:val="00476077"/>
    <w:rsid w:val="00481E0B"/>
    <w:rsid w:val="00486815"/>
    <w:rsid w:val="00490483"/>
    <w:rsid w:val="004936E4"/>
    <w:rsid w:val="00494E60"/>
    <w:rsid w:val="0049513F"/>
    <w:rsid w:val="004958BF"/>
    <w:rsid w:val="00497487"/>
    <w:rsid w:val="004A25BA"/>
    <w:rsid w:val="004A2771"/>
    <w:rsid w:val="004A6189"/>
    <w:rsid w:val="004A7390"/>
    <w:rsid w:val="004B7B76"/>
    <w:rsid w:val="004C239D"/>
    <w:rsid w:val="004C2B1B"/>
    <w:rsid w:val="004C2DCA"/>
    <w:rsid w:val="004C3F8F"/>
    <w:rsid w:val="004C4650"/>
    <w:rsid w:val="004C4FBE"/>
    <w:rsid w:val="004C61D2"/>
    <w:rsid w:val="004E104B"/>
    <w:rsid w:val="004F0C4A"/>
    <w:rsid w:val="004F0F38"/>
    <w:rsid w:val="004F47D6"/>
    <w:rsid w:val="00500337"/>
    <w:rsid w:val="00501921"/>
    <w:rsid w:val="00505417"/>
    <w:rsid w:val="00512530"/>
    <w:rsid w:val="0051290C"/>
    <w:rsid w:val="0052149B"/>
    <w:rsid w:val="00523A21"/>
    <w:rsid w:val="00530354"/>
    <w:rsid w:val="005319CF"/>
    <w:rsid w:val="00531D3D"/>
    <w:rsid w:val="0053625B"/>
    <w:rsid w:val="005434C6"/>
    <w:rsid w:val="00543B39"/>
    <w:rsid w:val="00545CDB"/>
    <w:rsid w:val="00546154"/>
    <w:rsid w:val="00550096"/>
    <w:rsid w:val="00555280"/>
    <w:rsid w:val="00557FF9"/>
    <w:rsid w:val="00562327"/>
    <w:rsid w:val="005634F4"/>
    <w:rsid w:val="005711D5"/>
    <w:rsid w:val="0057471D"/>
    <w:rsid w:val="00576378"/>
    <w:rsid w:val="00577130"/>
    <w:rsid w:val="00577945"/>
    <w:rsid w:val="00577E38"/>
    <w:rsid w:val="00582372"/>
    <w:rsid w:val="00585322"/>
    <w:rsid w:val="005857C6"/>
    <w:rsid w:val="00592F6E"/>
    <w:rsid w:val="00593AD1"/>
    <w:rsid w:val="005A68B6"/>
    <w:rsid w:val="005A79F5"/>
    <w:rsid w:val="005C369C"/>
    <w:rsid w:val="005C494B"/>
    <w:rsid w:val="005C5570"/>
    <w:rsid w:val="005C5B66"/>
    <w:rsid w:val="005C79A4"/>
    <w:rsid w:val="005D1ABF"/>
    <w:rsid w:val="005D5442"/>
    <w:rsid w:val="005F4C33"/>
    <w:rsid w:val="0060388E"/>
    <w:rsid w:val="00603F32"/>
    <w:rsid w:val="00605AD4"/>
    <w:rsid w:val="006136D7"/>
    <w:rsid w:val="006221AA"/>
    <w:rsid w:val="006252FC"/>
    <w:rsid w:val="00625A6E"/>
    <w:rsid w:val="00630691"/>
    <w:rsid w:val="00632398"/>
    <w:rsid w:val="00633B43"/>
    <w:rsid w:val="00634EBF"/>
    <w:rsid w:val="00636D20"/>
    <w:rsid w:val="0064017B"/>
    <w:rsid w:val="00640FC3"/>
    <w:rsid w:val="00642020"/>
    <w:rsid w:val="006430EE"/>
    <w:rsid w:val="00643CE5"/>
    <w:rsid w:val="0065337B"/>
    <w:rsid w:val="00653BE5"/>
    <w:rsid w:val="00654116"/>
    <w:rsid w:val="0065419D"/>
    <w:rsid w:val="00657974"/>
    <w:rsid w:val="006603BC"/>
    <w:rsid w:val="006604D8"/>
    <w:rsid w:val="00664A5B"/>
    <w:rsid w:val="0066735C"/>
    <w:rsid w:val="006763D2"/>
    <w:rsid w:val="00680C08"/>
    <w:rsid w:val="00686E1F"/>
    <w:rsid w:val="006901BA"/>
    <w:rsid w:val="006916A0"/>
    <w:rsid w:val="006931B1"/>
    <w:rsid w:val="00697A77"/>
    <w:rsid w:val="006A0E56"/>
    <w:rsid w:val="006A15C0"/>
    <w:rsid w:val="006A22F2"/>
    <w:rsid w:val="006A58A8"/>
    <w:rsid w:val="006C3E2A"/>
    <w:rsid w:val="006C642F"/>
    <w:rsid w:val="006D03E5"/>
    <w:rsid w:val="006D3051"/>
    <w:rsid w:val="006D5D3E"/>
    <w:rsid w:val="006E08B3"/>
    <w:rsid w:val="006E7D4A"/>
    <w:rsid w:val="006F0898"/>
    <w:rsid w:val="006F17AC"/>
    <w:rsid w:val="006F25B8"/>
    <w:rsid w:val="006F389A"/>
    <w:rsid w:val="006F572E"/>
    <w:rsid w:val="006F6382"/>
    <w:rsid w:val="00701E98"/>
    <w:rsid w:val="007046D6"/>
    <w:rsid w:val="00705DB0"/>
    <w:rsid w:val="007069D4"/>
    <w:rsid w:val="0072292E"/>
    <w:rsid w:val="00722B57"/>
    <w:rsid w:val="007267D6"/>
    <w:rsid w:val="00727EE6"/>
    <w:rsid w:val="00730F8A"/>
    <w:rsid w:val="00735A8C"/>
    <w:rsid w:val="00740ADB"/>
    <w:rsid w:val="0074163C"/>
    <w:rsid w:val="0074253D"/>
    <w:rsid w:val="00743376"/>
    <w:rsid w:val="007434B3"/>
    <w:rsid w:val="00744121"/>
    <w:rsid w:val="0074429B"/>
    <w:rsid w:val="00746757"/>
    <w:rsid w:val="0075587F"/>
    <w:rsid w:val="007615BC"/>
    <w:rsid w:val="00762F05"/>
    <w:rsid w:val="007649E5"/>
    <w:rsid w:val="007652FF"/>
    <w:rsid w:val="007703EF"/>
    <w:rsid w:val="00770CAC"/>
    <w:rsid w:val="00770EF1"/>
    <w:rsid w:val="0077131A"/>
    <w:rsid w:val="00773EF7"/>
    <w:rsid w:val="00773FD2"/>
    <w:rsid w:val="00774E1D"/>
    <w:rsid w:val="007765D8"/>
    <w:rsid w:val="0077675A"/>
    <w:rsid w:val="00780355"/>
    <w:rsid w:val="00781390"/>
    <w:rsid w:val="007819FD"/>
    <w:rsid w:val="00785717"/>
    <w:rsid w:val="00785721"/>
    <w:rsid w:val="00791FB9"/>
    <w:rsid w:val="00793A59"/>
    <w:rsid w:val="007A3875"/>
    <w:rsid w:val="007A46F5"/>
    <w:rsid w:val="007A6505"/>
    <w:rsid w:val="007B6132"/>
    <w:rsid w:val="007B6E9F"/>
    <w:rsid w:val="007C0951"/>
    <w:rsid w:val="007C1216"/>
    <w:rsid w:val="007C1AF7"/>
    <w:rsid w:val="007C2C6A"/>
    <w:rsid w:val="007C2E89"/>
    <w:rsid w:val="007C30D7"/>
    <w:rsid w:val="007C6B9B"/>
    <w:rsid w:val="007D191E"/>
    <w:rsid w:val="007D53B6"/>
    <w:rsid w:val="007E396D"/>
    <w:rsid w:val="007F30BF"/>
    <w:rsid w:val="00801262"/>
    <w:rsid w:val="00804D99"/>
    <w:rsid w:val="00805D27"/>
    <w:rsid w:val="00806DCB"/>
    <w:rsid w:val="008110BC"/>
    <w:rsid w:val="00821776"/>
    <w:rsid w:val="008321F5"/>
    <w:rsid w:val="00832369"/>
    <w:rsid w:val="00833ED8"/>
    <w:rsid w:val="008344EC"/>
    <w:rsid w:val="00834660"/>
    <w:rsid w:val="00836BC2"/>
    <w:rsid w:val="008439B3"/>
    <w:rsid w:val="0085156D"/>
    <w:rsid w:val="00852B28"/>
    <w:rsid w:val="0085641B"/>
    <w:rsid w:val="00857136"/>
    <w:rsid w:val="00862972"/>
    <w:rsid w:val="00865B03"/>
    <w:rsid w:val="00867028"/>
    <w:rsid w:val="008677B0"/>
    <w:rsid w:val="00875A6B"/>
    <w:rsid w:val="00885B11"/>
    <w:rsid w:val="00886D15"/>
    <w:rsid w:val="00887DD8"/>
    <w:rsid w:val="00891BA9"/>
    <w:rsid w:val="00896018"/>
    <w:rsid w:val="008960DD"/>
    <w:rsid w:val="008961C2"/>
    <w:rsid w:val="0089635C"/>
    <w:rsid w:val="008A2B9D"/>
    <w:rsid w:val="008A3D9F"/>
    <w:rsid w:val="008A5A2F"/>
    <w:rsid w:val="008A5E0B"/>
    <w:rsid w:val="008A6D59"/>
    <w:rsid w:val="008B4B03"/>
    <w:rsid w:val="008B596F"/>
    <w:rsid w:val="008C159F"/>
    <w:rsid w:val="008C1623"/>
    <w:rsid w:val="008C1850"/>
    <w:rsid w:val="008C51A9"/>
    <w:rsid w:val="008E0DB0"/>
    <w:rsid w:val="008E5446"/>
    <w:rsid w:val="008E6550"/>
    <w:rsid w:val="008E7846"/>
    <w:rsid w:val="008F02E5"/>
    <w:rsid w:val="008F15EF"/>
    <w:rsid w:val="008F1CCC"/>
    <w:rsid w:val="008F2967"/>
    <w:rsid w:val="008F319A"/>
    <w:rsid w:val="008F6943"/>
    <w:rsid w:val="00902A21"/>
    <w:rsid w:val="0091523F"/>
    <w:rsid w:val="00920330"/>
    <w:rsid w:val="009219D7"/>
    <w:rsid w:val="00922D53"/>
    <w:rsid w:val="00923B70"/>
    <w:rsid w:val="00924482"/>
    <w:rsid w:val="00930237"/>
    <w:rsid w:val="00937C17"/>
    <w:rsid w:val="00940A89"/>
    <w:rsid w:val="00941F77"/>
    <w:rsid w:val="00946EA5"/>
    <w:rsid w:val="00954E3E"/>
    <w:rsid w:val="009556D7"/>
    <w:rsid w:val="00956BE5"/>
    <w:rsid w:val="00960520"/>
    <w:rsid w:val="00962845"/>
    <w:rsid w:val="00963C08"/>
    <w:rsid w:val="00966CBB"/>
    <w:rsid w:val="009752A5"/>
    <w:rsid w:val="00984A13"/>
    <w:rsid w:val="0098585A"/>
    <w:rsid w:val="009A0C14"/>
    <w:rsid w:val="009A4CED"/>
    <w:rsid w:val="009A690D"/>
    <w:rsid w:val="009B1D12"/>
    <w:rsid w:val="009B416B"/>
    <w:rsid w:val="009B4CC8"/>
    <w:rsid w:val="009C4BD5"/>
    <w:rsid w:val="009C713F"/>
    <w:rsid w:val="009D7B77"/>
    <w:rsid w:val="009E0BB0"/>
    <w:rsid w:val="009E2903"/>
    <w:rsid w:val="009E3FBB"/>
    <w:rsid w:val="009E5A87"/>
    <w:rsid w:val="009F2673"/>
    <w:rsid w:val="009F7353"/>
    <w:rsid w:val="00A00232"/>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60BAD"/>
    <w:rsid w:val="00A77F87"/>
    <w:rsid w:val="00A80B5B"/>
    <w:rsid w:val="00A84E36"/>
    <w:rsid w:val="00A86754"/>
    <w:rsid w:val="00A964D1"/>
    <w:rsid w:val="00A973E7"/>
    <w:rsid w:val="00AA0ED0"/>
    <w:rsid w:val="00AB13E5"/>
    <w:rsid w:val="00AC2B40"/>
    <w:rsid w:val="00AC2BB2"/>
    <w:rsid w:val="00AC2C3C"/>
    <w:rsid w:val="00AC512D"/>
    <w:rsid w:val="00AC5771"/>
    <w:rsid w:val="00AD0083"/>
    <w:rsid w:val="00AD0793"/>
    <w:rsid w:val="00AD3935"/>
    <w:rsid w:val="00AD72E3"/>
    <w:rsid w:val="00AE50AD"/>
    <w:rsid w:val="00AE65EB"/>
    <w:rsid w:val="00AE67A7"/>
    <w:rsid w:val="00AF1D94"/>
    <w:rsid w:val="00AF2313"/>
    <w:rsid w:val="00AF60C5"/>
    <w:rsid w:val="00B009C6"/>
    <w:rsid w:val="00B01548"/>
    <w:rsid w:val="00B11112"/>
    <w:rsid w:val="00B1210D"/>
    <w:rsid w:val="00B130C5"/>
    <w:rsid w:val="00B13EBD"/>
    <w:rsid w:val="00B1406F"/>
    <w:rsid w:val="00B21D29"/>
    <w:rsid w:val="00B25034"/>
    <w:rsid w:val="00B25808"/>
    <w:rsid w:val="00B33588"/>
    <w:rsid w:val="00B33863"/>
    <w:rsid w:val="00B35AD6"/>
    <w:rsid w:val="00B36680"/>
    <w:rsid w:val="00B36888"/>
    <w:rsid w:val="00B37D17"/>
    <w:rsid w:val="00B4175E"/>
    <w:rsid w:val="00B41C85"/>
    <w:rsid w:val="00B43821"/>
    <w:rsid w:val="00B452CE"/>
    <w:rsid w:val="00B5133B"/>
    <w:rsid w:val="00B54C25"/>
    <w:rsid w:val="00B76B91"/>
    <w:rsid w:val="00B76C7F"/>
    <w:rsid w:val="00B7780F"/>
    <w:rsid w:val="00B77EB1"/>
    <w:rsid w:val="00B811C6"/>
    <w:rsid w:val="00B855B0"/>
    <w:rsid w:val="00B92531"/>
    <w:rsid w:val="00B92E08"/>
    <w:rsid w:val="00BA2998"/>
    <w:rsid w:val="00BA3C11"/>
    <w:rsid w:val="00BB0B78"/>
    <w:rsid w:val="00BB2F30"/>
    <w:rsid w:val="00BB75D6"/>
    <w:rsid w:val="00BC622A"/>
    <w:rsid w:val="00BE0A78"/>
    <w:rsid w:val="00BE6542"/>
    <w:rsid w:val="00BE79F0"/>
    <w:rsid w:val="00BF046D"/>
    <w:rsid w:val="00BF1190"/>
    <w:rsid w:val="00BF3774"/>
    <w:rsid w:val="00BF5D04"/>
    <w:rsid w:val="00BF7063"/>
    <w:rsid w:val="00C009AA"/>
    <w:rsid w:val="00C04240"/>
    <w:rsid w:val="00C1164D"/>
    <w:rsid w:val="00C16861"/>
    <w:rsid w:val="00C34133"/>
    <w:rsid w:val="00C346AB"/>
    <w:rsid w:val="00C404A6"/>
    <w:rsid w:val="00C40A36"/>
    <w:rsid w:val="00C42E35"/>
    <w:rsid w:val="00C44419"/>
    <w:rsid w:val="00C45E7B"/>
    <w:rsid w:val="00C471B1"/>
    <w:rsid w:val="00C513AD"/>
    <w:rsid w:val="00C525A2"/>
    <w:rsid w:val="00C52E24"/>
    <w:rsid w:val="00C53332"/>
    <w:rsid w:val="00C5509B"/>
    <w:rsid w:val="00C61BD8"/>
    <w:rsid w:val="00C6316B"/>
    <w:rsid w:val="00C634A9"/>
    <w:rsid w:val="00C64586"/>
    <w:rsid w:val="00C70A36"/>
    <w:rsid w:val="00C70D53"/>
    <w:rsid w:val="00C73D0B"/>
    <w:rsid w:val="00C74F5C"/>
    <w:rsid w:val="00C772FF"/>
    <w:rsid w:val="00C80137"/>
    <w:rsid w:val="00C801AF"/>
    <w:rsid w:val="00C80256"/>
    <w:rsid w:val="00C94CD4"/>
    <w:rsid w:val="00C9747E"/>
    <w:rsid w:val="00CA4673"/>
    <w:rsid w:val="00CA7137"/>
    <w:rsid w:val="00CB6BC0"/>
    <w:rsid w:val="00CB74BD"/>
    <w:rsid w:val="00CC15D0"/>
    <w:rsid w:val="00CC1B7C"/>
    <w:rsid w:val="00CC2EAB"/>
    <w:rsid w:val="00CC5044"/>
    <w:rsid w:val="00CC727F"/>
    <w:rsid w:val="00CE7058"/>
    <w:rsid w:val="00CF15C3"/>
    <w:rsid w:val="00CF2B6F"/>
    <w:rsid w:val="00CF2F3E"/>
    <w:rsid w:val="00CF58B6"/>
    <w:rsid w:val="00CF5DAD"/>
    <w:rsid w:val="00CF668A"/>
    <w:rsid w:val="00CF6E4C"/>
    <w:rsid w:val="00D0062D"/>
    <w:rsid w:val="00D017ED"/>
    <w:rsid w:val="00D040D3"/>
    <w:rsid w:val="00D04C65"/>
    <w:rsid w:val="00D153D8"/>
    <w:rsid w:val="00D201D2"/>
    <w:rsid w:val="00D20DF4"/>
    <w:rsid w:val="00D212F3"/>
    <w:rsid w:val="00D224FE"/>
    <w:rsid w:val="00D23139"/>
    <w:rsid w:val="00D37DA5"/>
    <w:rsid w:val="00D425BB"/>
    <w:rsid w:val="00D453FA"/>
    <w:rsid w:val="00D56348"/>
    <w:rsid w:val="00D57AFC"/>
    <w:rsid w:val="00D6493E"/>
    <w:rsid w:val="00D677EE"/>
    <w:rsid w:val="00D71077"/>
    <w:rsid w:val="00D7195D"/>
    <w:rsid w:val="00D72CBA"/>
    <w:rsid w:val="00D7301E"/>
    <w:rsid w:val="00D836E6"/>
    <w:rsid w:val="00D83AE1"/>
    <w:rsid w:val="00D854AC"/>
    <w:rsid w:val="00D855D4"/>
    <w:rsid w:val="00D902C9"/>
    <w:rsid w:val="00D93466"/>
    <w:rsid w:val="00D95D43"/>
    <w:rsid w:val="00DA1124"/>
    <w:rsid w:val="00DA25FC"/>
    <w:rsid w:val="00DA4A3D"/>
    <w:rsid w:val="00DA64CB"/>
    <w:rsid w:val="00DB06B8"/>
    <w:rsid w:val="00DB6124"/>
    <w:rsid w:val="00DB750B"/>
    <w:rsid w:val="00DB75B7"/>
    <w:rsid w:val="00DC0A2F"/>
    <w:rsid w:val="00DC1948"/>
    <w:rsid w:val="00DC56DD"/>
    <w:rsid w:val="00DC655F"/>
    <w:rsid w:val="00DC6E02"/>
    <w:rsid w:val="00DD28CD"/>
    <w:rsid w:val="00DE02AE"/>
    <w:rsid w:val="00DE39D1"/>
    <w:rsid w:val="00DF1D7F"/>
    <w:rsid w:val="00DF4BE4"/>
    <w:rsid w:val="00DF7C6F"/>
    <w:rsid w:val="00E02382"/>
    <w:rsid w:val="00E02FB4"/>
    <w:rsid w:val="00E10730"/>
    <w:rsid w:val="00E13FC7"/>
    <w:rsid w:val="00E146C7"/>
    <w:rsid w:val="00E170E9"/>
    <w:rsid w:val="00E20571"/>
    <w:rsid w:val="00E2314A"/>
    <w:rsid w:val="00E235F7"/>
    <w:rsid w:val="00E23659"/>
    <w:rsid w:val="00E239D4"/>
    <w:rsid w:val="00E239F7"/>
    <w:rsid w:val="00E26130"/>
    <w:rsid w:val="00E27A8C"/>
    <w:rsid w:val="00E33D42"/>
    <w:rsid w:val="00E40B22"/>
    <w:rsid w:val="00E44ED1"/>
    <w:rsid w:val="00E45619"/>
    <w:rsid w:val="00E4588F"/>
    <w:rsid w:val="00E46CB7"/>
    <w:rsid w:val="00E46DA3"/>
    <w:rsid w:val="00E51BB1"/>
    <w:rsid w:val="00E55CB0"/>
    <w:rsid w:val="00E624A5"/>
    <w:rsid w:val="00E64BA4"/>
    <w:rsid w:val="00E7344E"/>
    <w:rsid w:val="00E82665"/>
    <w:rsid w:val="00E875E8"/>
    <w:rsid w:val="00E90CF7"/>
    <w:rsid w:val="00EA21D5"/>
    <w:rsid w:val="00EB0798"/>
    <w:rsid w:val="00EB36D6"/>
    <w:rsid w:val="00EB3ADE"/>
    <w:rsid w:val="00EB40AD"/>
    <w:rsid w:val="00EB586E"/>
    <w:rsid w:val="00EB5FC8"/>
    <w:rsid w:val="00EC463D"/>
    <w:rsid w:val="00EC7A85"/>
    <w:rsid w:val="00ED2922"/>
    <w:rsid w:val="00ED3CAD"/>
    <w:rsid w:val="00ED5A41"/>
    <w:rsid w:val="00EE1DE8"/>
    <w:rsid w:val="00EE27C2"/>
    <w:rsid w:val="00EF37F0"/>
    <w:rsid w:val="00EF4BAD"/>
    <w:rsid w:val="00EF59DC"/>
    <w:rsid w:val="00EF77A5"/>
    <w:rsid w:val="00F033EC"/>
    <w:rsid w:val="00F04F68"/>
    <w:rsid w:val="00F125CA"/>
    <w:rsid w:val="00F12670"/>
    <w:rsid w:val="00F14B27"/>
    <w:rsid w:val="00F3148D"/>
    <w:rsid w:val="00F325C5"/>
    <w:rsid w:val="00F328E8"/>
    <w:rsid w:val="00F32FE0"/>
    <w:rsid w:val="00F35298"/>
    <w:rsid w:val="00F432B5"/>
    <w:rsid w:val="00F47333"/>
    <w:rsid w:val="00F47E37"/>
    <w:rsid w:val="00F539D0"/>
    <w:rsid w:val="00F53C07"/>
    <w:rsid w:val="00F54B65"/>
    <w:rsid w:val="00F63DBF"/>
    <w:rsid w:val="00F640B6"/>
    <w:rsid w:val="00F657BF"/>
    <w:rsid w:val="00F664E8"/>
    <w:rsid w:val="00F66DF2"/>
    <w:rsid w:val="00F7264D"/>
    <w:rsid w:val="00F728C6"/>
    <w:rsid w:val="00F80E40"/>
    <w:rsid w:val="00F848D9"/>
    <w:rsid w:val="00F926E0"/>
    <w:rsid w:val="00F931CE"/>
    <w:rsid w:val="00FA4BBA"/>
    <w:rsid w:val="00FA5069"/>
    <w:rsid w:val="00FA5B82"/>
    <w:rsid w:val="00FA639E"/>
    <w:rsid w:val="00FC1FCA"/>
    <w:rsid w:val="00FC25E4"/>
    <w:rsid w:val="00FC3AF6"/>
    <w:rsid w:val="00FC4AAD"/>
    <w:rsid w:val="00FC4EF7"/>
    <w:rsid w:val="00FD0824"/>
    <w:rsid w:val="00FD119B"/>
    <w:rsid w:val="00FD1EDC"/>
    <w:rsid w:val="00FD7ED3"/>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91A8FA9"/>
  <w15:docId w15:val="{50DE88AA-4613-45EC-866F-68F9759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E0DB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NormalWeb">
    <w:name w:val="Normal (Web)"/>
    <w:basedOn w:val="Normal"/>
    <w:uiPriority w:val="99"/>
    <w:semiHidden/>
    <w:unhideWhenUsed/>
    <w:rsid w:val="007C2E89"/>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Standard">
    <w:name w:val="Standard"/>
    <w:basedOn w:val="Normal"/>
    <w:link w:val="StandardChar"/>
    <w:qFormat/>
    <w:rsid w:val="00C61BD8"/>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C61BD8"/>
    <w:rPr>
      <w:rFonts w:ascii="Cambria" w:eastAsia="Times New Roman" w:hAnsi="Cambria" w:cs="Times New Roman"/>
      <w:snapToGrid w:val="0"/>
      <w:kern w:val="16"/>
      <w:szCs w:val="24"/>
    </w:rPr>
  </w:style>
  <w:style w:type="character" w:customStyle="1" w:styleId="TabletextChar">
    <w:name w:val="Table text Char"/>
    <w:basedOn w:val="DefaultParagraphFont"/>
    <w:link w:val="Tabletext"/>
    <w:rsid w:val="00A86754"/>
    <w:rPr>
      <w:rFonts w:ascii="Cambria" w:eastAsia="Cambria" w:hAnsi="Cambria" w:cs="Times New Roman"/>
      <w:sz w:val="19"/>
    </w:rPr>
  </w:style>
  <w:style w:type="paragraph" w:customStyle="1" w:styleId="TableHeader">
    <w:name w:val="Table Header"/>
    <w:basedOn w:val="Normal"/>
    <w:rsid w:val="00A86754"/>
    <w:pPr>
      <w:keepNext/>
      <w:keepLines/>
      <w:widowControl w:val="0"/>
      <w:spacing w:before="60" w:after="60" w:line="200" w:lineRule="exact"/>
      <w:jc w:val="center"/>
    </w:pPr>
    <w:rPr>
      <w:rFonts w:eastAsia="MS Mincho" w:cstheme="minorBidi"/>
      <w:b/>
      <w:kern w:val="2"/>
      <w:sz w:val="20"/>
      <w:szCs w:val="19"/>
    </w:rPr>
  </w:style>
  <w:style w:type="table" w:customStyle="1" w:styleId="TableTGA21">
    <w:name w:val="Table TGA 21"/>
    <w:basedOn w:val="TableNormal"/>
    <w:uiPriority w:val="99"/>
    <w:rsid w:val="00A86754"/>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ListParagraph">
    <w:name w:val="List Paragraph"/>
    <w:basedOn w:val="Normal"/>
    <w:uiPriority w:val="34"/>
    <w:rsid w:val="00740ADB"/>
    <w:pPr>
      <w:ind w:left="720"/>
      <w:contextualSpacing/>
    </w:pPr>
  </w:style>
  <w:style w:type="character" w:customStyle="1" w:styleId="UnresolvedMention2">
    <w:name w:val="Unresolved Mention2"/>
    <w:basedOn w:val="DefaultParagraphFont"/>
    <w:uiPriority w:val="99"/>
    <w:semiHidden/>
    <w:unhideWhenUsed/>
    <w:rsid w:val="009A0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36619486">
      <w:bodyDiv w:val="1"/>
      <w:marLeft w:val="0"/>
      <w:marRight w:val="0"/>
      <w:marTop w:val="0"/>
      <w:marBottom w:val="0"/>
      <w:divBdr>
        <w:top w:val="none" w:sz="0" w:space="0" w:color="auto"/>
        <w:left w:val="none" w:sz="0" w:space="0" w:color="auto"/>
        <w:bottom w:val="none" w:sz="0" w:space="0" w:color="auto"/>
        <w:right w:val="none" w:sz="0" w:space="0" w:color="auto"/>
      </w:divBdr>
    </w:div>
    <w:div w:id="349257364">
      <w:bodyDiv w:val="1"/>
      <w:marLeft w:val="0"/>
      <w:marRight w:val="0"/>
      <w:marTop w:val="0"/>
      <w:marBottom w:val="0"/>
      <w:divBdr>
        <w:top w:val="none" w:sz="0" w:space="0" w:color="auto"/>
        <w:left w:val="none" w:sz="0" w:space="0" w:color="auto"/>
        <w:bottom w:val="none" w:sz="0" w:space="0" w:color="auto"/>
        <w:right w:val="none" w:sz="0" w:space="0" w:color="auto"/>
      </w:divBdr>
    </w:div>
    <w:div w:id="787774983">
      <w:bodyDiv w:val="1"/>
      <w:marLeft w:val="0"/>
      <w:marRight w:val="0"/>
      <w:marTop w:val="0"/>
      <w:marBottom w:val="0"/>
      <w:divBdr>
        <w:top w:val="none" w:sz="0" w:space="0" w:color="auto"/>
        <w:left w:val="none" w:sz="0" w:space="0" w:color="auto"/>
        <w:bottom w:val="none" w:sz="0" w:space="0" w:color="auto"/>
        <w:right w:val="none" w:sz="0" w:space="0" w:color="auto"/>
      </w:divBdr>
    </w:div>
    <w:div w:id="1185484234">
      <w:bodyDiv w:val="1"/>
      <w:marLeft w:val="0"/>
      <w:marRight w:val="0"/>
      <w:marTop w:val="0"/>
      <w:marBottom w:val="0"/>
      <w:divBdr>
        <w:top w:val="none" w:sz="0" w:space="0" w:color="auto"/>
        <w:left w:val="none" w:sz="0" w:space="0" w:color="auto"/>
        <w:bottom w:val="none" w:sz="0" w:space="0" w:color="auto"/>
        <w:right w:val="none" w:sz="0" w:space="0" w:color="auto"/>
      </w:divBdr>
      <w:divsChild>
        <w:div w:id="657071799">
          <w:marLeft w:val="0"/>
          <w:marRight w:val="0"/>
          <w:marTop w:val="0"/>
          <w:marBottom w:val="0"/>
          <w:divBdr>
            <w:top w:val="none" w:sz="0" w:space="0" w:color="auto"/>
            <w:left w:val="none" w:sz="0" w:space="0" w:color="auto"/>
            <w:bottom w:val="none" w:sz="0" w:space="0" w:color="auto"/>
            <w:right w:val="none" w:sz="0" w:space="0" w:color="auto"/>
          </w:divBdr>
        </w:div>
        <w:div w:id="2035840157">
          <w:marLeft w:val="0"/>
          <w:marRight w:val="0"/>
          <w:marTop w:val="0"/>
          <w:marBottom w:val="0"/>
          <w:divBdr>
            <w:top w:val="none" w:sz="0" w:space="0" w:color="auto"/>
            <w:left w:val="none" w:sz="0" w:space="0" w:color="auto"/>
            <w:bottom w:val="none" w:sz="0" w:space="0" w:color="auto"/>
            <w:right w:val="none" w:sz="0" w:space="0" w:color="auto"/>
          </w:divBdr>
          <w:divsChild>
            <w:div w:id="1742171767">
              <w:marLeft w:val="0"/>
              <w:marRight w:val="0"/>
              <w:marTop w:val="0"/>
              <w:marBottom w:val="0"/>
              <w:divBdr>
                <w:top w:val="none" w:sz="0" w:space="0" w:color="auto"/>
                <w:left w:val="none" w:sz="0" w:space="0" w:color="auto"/>
                <w:bottom w:val="none" w:sz="0" w:space="0" w:color="auto"/>
                <w:right w:val="none" w:sz="0" w:space="0" w:color="auto"/>
              </w:divBdr>
              <w:divsChild>
                <w:div w:id="15230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5565">
      <w:bodyDiv w:val="1"/>
      <w:marLeft w:val="0"/>
      <w:marRight w:val="0"/>
      <w:marTop w:val="0"/>
      <w:marBottom w:val="0"/>
      <w:divBdr>
        <w:top w:val="none" w:sz="0" w:space="0" w:color="auto"/>
        <w:left w:val="none" w:sz="0" w:space="0" w:color="auto"/>
        <w:bottom w:val="none" w:sz="0" w:space="0" w:color="auto"/>
        <w:right w:val="none" w:sz="0" w:space="0" w:color="auto"/>
      </w:divBdr>
    </w:div>
    <w:div w:id="1553349249">
      <w:bodyDiv w:val="1"/>
      <w:marLeft w:val="0"/>
      <w:marRight w:val="0"/>
      <w:marTop w:val="0"/>
      <w:marBottom w:val="0"/>
      <w:divBdr>
        <w:top w:val="none" w:sz="0" w:space="0" w:color="auto"/>
        <w:left w:val="none" w:sz="0" w:space="0" w:color="auto"/>
        <w:bottom w:val="none" w:sz="0" w:space="0" w:color="auto"/>
        <w:right w:val="none" w:sz="0" w:space="0" w:color="auto"/>
      </w:divBdr>
    </w:div>
    <w:div w:id="1616643009">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12083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ma.europa.eu/en/documents/other/ema-considerations-covid-19-vaccine-approval_en.pdf" TargetMode="External"/><Relationship Id="rId26" Type="http://schemas.openxmlformats.org/officeDocument/2006/relationships/image" Target="media/image5.tmp"/><Relationship Id="rId39" Type="http://schemas.openxmlformats.org/officeDocument/2006/relationships/image" Target="media/image18.tmp"/><Relationship Id="rId21" Type="http://schemas.openxmlformats.org/officeDocument/2006/relationships/hyperlink" Target="https://www.fda.gov/media/137926/download" TargetMode="External"/><Relationship Id="rId34" Type="http://schemas.openxmlformats.org/officeDocument/2006/relationships/image" Target="media/image13.tmp"/><Relationship Id="rId42" Type="http://schemas.openxmlformats.org/officeDocument/2006/relationships/image" Target="media/image21.tmp"/><Relationship Id="rId47" Type="http://schemas.openxmlformats.org/officeDocument/2006/relationships/hyperlink" Target="https://www.tga.gov.au/committee/advisory-committee-vaccines-acv" TargetMode="External"/><Relationship Id="rId50" Type="http://schemas.openxmlformats.org/officeDocument/2006/relationships/header" Target="header4.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access-consortium-statement-covid-19-vaccines-evidence" TargetMode="External"/><Relationship Id="rId20" Type="http://schemas.openxmlformats.org/officeDocument/2006/relationships/hyperlink" Target="https://www.fda.gov/media/142749/download" TargetMode="External"/><Relationship Id="rId29" Type="http://schemas.openxmlformats.org/officeDocument/2006/relationships/image" Target="media/image8.tmp"/><Relationship Id="rId41" Type="http://schemas.openxmlformats.org/officeDocument/2006/relationships/image" Target="media/image20.tmp"/><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tmp"/><Relationship Id="rId32" Type="http://schemas.openxmlformats.org/officeDocument/2006/relationships/image" Target="media/image11.tmp"/><Relationship Id="rId37" Type="http://schemas.openxmlformats.org/officeDocument/2006/relationships/image" Target="media/image16.tmp"/><Relationship Id="rId40" Type="http://schemas.openxmlformats.org/officeDocument/2006/relationships/image" Target="media/image19.tmp"/><Relationship Id="rId45" Type="http://schemas.openxmlformats.org/officeDocument/2006/relationships/hyperlink" Target="https://www.tga.gov.au/tgas-risk-management-approach" TargetMode="External"/><Relationship Id="rId53" Type="http://schemas.openxmlformats.org/officeDocument/2006/relationships/hyperlink" Target="mailto:info@tga.gov.au" TargetMode="External"/><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2.tmp"/><Relationship Id="rId28" Type="http://schemas.openxmlformats.org/officeDocument/2006/relationships/image" Target="media/image7.tmp"/><Relationship Id="rId36" Type="http://schemas.openxmlformats.org/officeDocument/2006/relationships/image" Target="media/image15.tmp"/><Relationship Id="rId49" Type="http://schemas.openxmlformats.org/officeDocument/2006/relationships/header" Target="header3.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hyperlink" Target="https://www.fda.gov/media/139638/download" TargetMode="External"/><Relationship Id="rId31" Type="http://schemas.openxmlformats.org/officeDocument/2006/relationships/image" Target="media/image10.tmp"/><Relationship Id="rId44" Type="http://schemas.openxmlformats.org/officeDocument/2006/relationships/hyperlink" Target="https://www.tga.gov.au/publication/risk-management-plans-medicines-and-biologicals" TargetMode="External"/><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hyperlink" Target="https://www.who.int/docs/default-source/blue-print/working-group-for-vaccine-evaluation-(4th-consultation)/ap1-guidelines-online-consultation.pdf" TargetMode="External"/><Relationship Id="rId27" Type="http://schemas.openxmlformats.org/officeDocument/2006/relationships/image" Target="media/image6.tmp"/><Relationship Id="rId30" Type="http://schemas.openxmlformats.org/officeDocument/2006/relationships/image" Target="media/image9.tmp"/><Relationship Id="rId35" Type="http://schemas.openxmlformats.org/officeDocument/2006/relationships/image" Target="media/image14.tmp"/><Relationship Id="rId43" Type="http://schemas.openxmlformats.org/officeDocument/2006/relationships/image" Target="media/image22.tmp"/><Relationship Id="rId48" Type="http://schemas.openxmlformats.org/officeDocument/2006/relationships/hyperlink" Target="https://www.tga.gov.au/picmi-search-facility" TargetMode="External"/><Relationship Id="rId56" Type="http://schemas.openxmlformats.org/officeDocument/2006/relationships/header" Target="header7.xml"/><Relationship Id="rId8" Type="http://schemas.openxmlformats.org/officeDocument/2006/relationships/hyperlink" Target="https://www.tga.gov.au"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ema.europa.eu/en/documents/scientific-guideline/guideline-clinical-evaluation-new-vaccines_en.pdf" TargetMode="External"/><Relationship Id="rId25" Type="http://schemas.openxmlformats.org/officeDocument/2006/relationships/image" Target="media/image4.tmp"/><Relationship Id="rId33" Type="http://schemas.openxmlformats.org/officeDocument/2006/relationships/image" Target="media/image12.tmp"/><Relationship Id="rId38" Type="http://schemas.openxmlformats.org/officeDocument/2006/relationships/image" Target="media/image17.tmp"/><Relationship Id="rId46" Type="http://schemas.openxmlformats.org/officeDocument/2006/relationships/hyperlink" Target="https://www.tga.gov.au/access-consortium-statement-covid-19-vaccines-evidence" TargetMode="External"/><Relationship Id="rId59"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bnt162b2-mrna-comirnaty" TargetMode="External"/><Relationship Id="rId13" Type="http://schemas.openxmlformats.org/officeDocument/2006/relationships/hyperlink" Target="https://www.tga.gov.au/auspar/auspar-chadox1-s" TargetMode="External"/><Relationship Id="rId18" Type="http://schemas.openxmlformats.org/officeDocument/2006/relationships/hyperlink" Target="https://www.tga.gov.au/auspar/auspar-elasomeran-2" TargetMode="External"/><Relationship Id="rId3" Type="http://schemas.openxmlformats.org/officeDocument/2006/relationships/hyperlink" Target="https://www.health.gov.au/initiatives-and-programs/nndss" TargetMode="External"/><Relationship Id="rId21" Type="http://schemas.openxmlformats.org/officeDocument/2006/relationships/hyperlink" Target="https://www.ema.europa.eu/en/documents/scientific-guideline/international-conference-harmonisation-technical-requirements-registration-pharmaceuticals-human-use_en-11.pdf" TargetMode="External"/><Relationship Id="rId7" Type="http://schemas.openxmlformats.org/officeDocument/2006/relationships/hyperlink" Target="https://www.tga.gov.au/covid-19-vaccine-provisional-registrations" TargetMode="External"/><Relationship Id="rId12" Type="http://schemas.openxmlformats.org/officeDocument/2006/relationships/hyperlink" Target="https://www.tga.gov.au/resources/auspar/auspar-tozinameran-0" TargetMode="External"/><Relationship Id="rId17" Type="http://schemas.openxmlformats.org/officeDocument/2006/relationships/hyperlink" Target="https://www.tga.gov.au/auspar/auspar-elasomeran-1" TargetMode="External"/><Relationship Id="rId2" Type="http://schemas.openxmlformats.org/officeDocument/2006/relationships/hyperlink" Target="https://www.health.gov.au/health-alerts/covid-19/case-numbers-and-statistics" TargetMode="External"/><Relationship Id="rId16" Type="http://schemas.openxmlformats.org/officeDocument/2006/relationships/hyperlink" Target="https://www.tga.gov.au/auspar/auspar-elasomeran-0" TargetMode="External"/><Relationship Id="rId20" Type="http://schemas.openxmlformats.org/officeDocument/2006/relationships/hyperlink" Target="https://www.tga.gov.au/auspar/auspar-sars-cov-2-rs-matrix-m-adjuvant-nvx-cov2373" TargetMode="External"/><Relationship Id="rId1" Type="http://schemas.openxmlformats.org/officeDocument/2006/relationships/hyperlink" Target="https://covid19.who.int/" TargetMode="External"/><Relationship Id="rId6" Type="http://schemas.openxmlformats.org/officeDocument/2006/relationships/hyperlink" Target="https://paeds.org.au/pims-ts/paeds-pims-ts-case-data" TargetMode="External"/><Relationship Id="rId11" Type="http://schemas.openxmlformats.org/officeDocument/2006/relationships/hyperlink" Target="https://www.tga.gov.au/auspar/auspar-tozinameran-mrna-covid-19-vaccine" TargetMode="External"/><Relationship Id="rId5" Type="http://schemas.openxmlformats.org/officeDocument/2006/relationships/hyperlink" Target="https://covid.cdc.gov/covid-data-tracker/" TargetMode="External"/><Relationship Id="rId15" Type="http://schemas.openxmlformats.org/officeDocument/2006/relationships/hyperlink" Target="https://www.tga.gov.au/auspar/auspar-elasomeran" TargetMode="External"/><Relationship Id="rId10" Type="http://schemas.openxmlformats.org/officeDocument/2006/relationships/hyperlink" Target="https://www.tga.gov.au/resources/auspar/auspar-bnt162b2-mrna-0" TargetMode="External"/><Relationship Id="rId19" Type="http://schemas.openxmlformats.org/officeDocument/2006/relationships/hyperlink" Target="https://www.tga.gov.au/auspar/auspar-sars-cov-2-rs-matrix-m-adjuvant" TargetMode="External"/><Relationship Id="rId4" Type="http://schemas.openxmlformats.org/officeDocument/2006/relationships/hyperlink" Target="https://data.cdc.gov/NCHS/Provisional-COVID-19-Deaths-Focus-on-Ages-0-18-Yea/nr4s-juj3" TargetMode="External"/><Relationship Id="rId9" Type="http://schemas.openxmlformats.org/officeDocument/2006/relationships/hyperlink" Target="https://www.tga.gov.au/auspar/auspar-bnt162b2-mrna" TargetMode="External"/><Relationship Id="rId14" Type="http://schemas.openxmlformats.org/officeDocument/2006/relationships/hyperlink" Target="https://www.tga.gov.au/auspar/auspar-ad26cov2s" TargetMode="External"/><Relationship Id="rId22" Type="http://schemas.openxmlformats.org/officeDocument/2006/relationships/hyperlink" Target="https://www.fda.gov/media/73679/downlo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1028\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7669C-6835-4FDC-A714-944A761E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2</TotalTime>
  <Pages>54</Pages>
  <Words>18236</Words>
  <Characters>103948</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121941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Comirnaty COVID-19 Vaccine</dc:title>
  <dc:subject>prescription medicine regulation</dc:subject>
  <dc:creator>Therapeutic Goods Administration</dc:creator>
  <cp:keywords/>
  <dc:description/>
  <cp:lastModifiedBy>KOLARIK-O'REILLY, Kristy</cp:lastModifiedBy>
  <cp:revision>2</cp:revision>
  <cp:lastPrinted>2019-08-14T04:30:00Z</cp:lastPrinted>
  <dcterms:created xsi:type="dcterms:W3CDTF">2022-10-12T04:52:00Z</dcterms:created>
  <dcterms:modified xsi:type="dcterms:W3CDTF">2022-10-12T04:52:00Z</dcterms:modified>
  <cp:category/>
</cp:coreProperties>
</file>