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2F7A" w14:textId="6E2D3E84" w:rsidR="00CD4F7F" w:rsidRPr="005B69F6" w:rsidRDefault="007308AF" w:rsidP="00CD4F7F">
      <w:pPr>
        <w:tabs>
          <w:tab w:val="left" w:pos="284"/>
        </w:tabs>
        <w:spacing w:after="480"/>
        <w:rPr>
          <w:rFonts w:ascii="Arial" w:hAnsi="Arial" w:cs="Arial"/>
          <w:sz w:val="20"/>
          <w:szCs w:val="20"/>
        </w:rPr>
      </w:pPr>
      <w:r w:rsidRPr="00CD4F7F">
        <w:rPr>
          <w:rFonts w:ascii="Arial" w:eastAsia="Calibri" w:hAnsi="Arial" w:cs="Arial"/>
          <w:noProof/>
          <w:sz w:val="20"/>
          <w:szCs w:val="20"/>
          <w:lang w:eastAsia="en-AU"/>
        </w:rPr>
        <mc:AlternateContent>
          <mc:Choice Requires="wps">
            <w:drawing>
              <wp:inline distT="0" distB="0" distL="0" distR="0" wp14:anchorId="0D890D0B" wp14:editId="5DC61864">
                <wp:extent cx="252095" cy="320722"/>
                <wp:effectExtent l="0" t="0" r="0" b="31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20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99ED" w14:textId="77777777" w:rsidR="002C4877" w:rsidRPr="00BE2A26" w:rsidRDefault="002C4877" w:rsidP="007308AF">
                            <w:pPr>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0D890D0B" id="_x0000_t202" coordsize="21600,21600" o:spt="202" path="m,l,21600r21600,l21600,xe">
                <v:stroke joinstyle="miter"/>
                <v:path gradientshapeok="t" o:connecttype="rect"/>
              </v:shapetype>
              <v:shape id="Text Box 10" o:spid="_x0000_s1026" type="#_x0000_t202" style="width:19.8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" stroked="f">
                <v:textbox inset="0,0,0,0">
                  <w:txbxContent>
                    <w:p w14:paraId="2FBA99ED" w14:textId="77777777" w:rsidR="002C4877" w:rsidRPr="00BE2A26" w:rsidRDefault="002C4877" w:rsidP="007308AF">
                      <w:pPr>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Pr="00CD4F7F">
        <w:rPr>
          <w:rFonts w:ascii="Arial" w:hAnsi="Arial" w:cs="Arial"/>
          <w:sz w:val="20"/>
          <w:szCs w:val="20"/>
        </w:rPr>
        <w:t>This medicinal product is subject to additional monitoring in Australia. This will allow quick identification of new safety information. Healthcare professionals are asked to report any suspected adve</w:t>
      </w:r>
      <w:r w:rsidRPr="005B69F6">
        <w:rPr>
          <w:rFonts w:ascii="Arial" w:hAnsi="Arial" w:cs="Arial"/>
          <w:sz w:val="20"/>
          <w:szCs w:val="20"/>
        </w:rPr>
        <w:t xml:space="preserve">rse events at </w:t>
      </w:r>
      <w:hyperlink r:id="rId12" w:history="1">
        <w:r w:rsidRPr="005B69F6">
          <w:rPr>
            <w:rStyle w:val="Hyperlink"/>
            <w:rFonts w:ascii="Arial" w:hAnsi="Arial" w:cs="Arial"/>
            <w:sz w:val="20"/>
            <w:szCs w:val="20"/>
          </w:rPr>
          <w:t>www.tga.gov.au/reporting-problems</w:t>
        </w:r>
      </w:hyperlink>
      <w:r w:rsidRPr="005B69F6">
        <w:rPr>
          <w:rFonts w:ascii="Arial" w:hAnsi="Arial" w:cs="Arial"/>
          <w:sz w:val="20"/>
          <w:szCs w:val="20"/>
        </w:rPr>
        <w:t>.</w:t>
      </w:r>
    </w:p>
    <w:p w14:paraId="403A9A9C" w14:textId="56000AC6" w:rsidR="00A852D2" w:rsidRPr="005B69F6" w:rsidRDefault="00B409FF" w:rsidP="0019693E">
      <w:pPr>
        <w:pStyle w:val="Heading1"/>
        <w:ind w:left="0" w:firstLine="0"/>
        <w:rPr>
          <w:rFonts w:cs="Arial"/>
          <w:spacing w:val="-1"/>
          <w:sz w:val="20"/>
          <w:szCs w:val="20"/>
        </w:rPr>
      </w:pPr>
      <w:r w:rsidRPr="005B69F6">
        <w:rPr>
          <w:rFonts w:cs="Arial"/>
          <w:spacing w:val="-1"/>
          <w:sz w:val="20"/>
          <w:szCs w:val="20"/>
        </w:rPr>
        <w:t>AUSTRALIAN</w:t>
      </w:r>
      <w:r w:rsidRPr="005B69F6">
        <w:rPr>
          <w:rFonts w:cs="Arial"/>
          <w:spacing w:val="-8"/>
          <w:sz w:val="20"/>
          <w:szCs w:val="20"/>
        </w:rPr>
        <w:t xml:space="preserve"> </w:t>
      </w:r>
      <w:r w:rsidRPr="005B69F6">
        <w:rPr>
          <w:rFonts w:cs="Arial"/>
          <w:spacing w:val="-1"/>
          <w:sz w:val="20"/>
          <w:szCs w:val="20"/>
        </w:rPr>
        <w:t>PRODUCT</w:t>
      </w:r>
      <w:r w:rsidRPr="005B69F6">
        <w:rPr>
          <w:rFonts w:cs="Arial"/>
          <w:spacing w:val="-7"/>
          <w:sz w:val="20"/>
          <w:szCs w:val="20"/>
        </w:rPr>
        <w:t xml:space="preserve"> </w:t>
      </w:r>
      <w:r w:rsidRPr="005B69F6">
        <w:rPr>
          <w:rFonts w:cs="Arial"/>
          <w:spacing w:val="-1"/>
          <w:sz w:val="20"/>
          <w:szCs w:val="20"/>
        </w:rPr>
        <w:t>INFORMATION</w:t>
      </w:r>
      <w:r w:rsidR="006C3745" w:rsidRPr="005B69F6">
        <w:rPr>
          <w:rFonts w:cs="Arial"/>
          <w:spacing w:val="-1"/>
          <w:sz w:val="20"/>
          <w:szCs w:val="20"/>
        </w:rPr>
        <w:t xml:space="preserve"> – </w:t>
      </w:r>
      <w:r w:rsidR="003056A9">
        <w:rPr>
          <w:rFonts w:cs="Arial"/>
          <w:spacing w:val="-1"/>
          <w:sz w:val="20"/>
          <w:szCs w:val="20"/>
        </w:rPr>
        <w:t>VAXNEUVANCE®</w:t>
      </w:r>
      <w:r w:rsidR="006C3745" w:rsidRPr="005B69F6">
        <w:rPr>
          <w:rFonts w:cs="Arial"/>
          <w:spacing w:val="-1"/>
          <w:sz w:val="20"/>
          <w:szCs w:val="20"/>
        </w:rPr>
        <w:t xml:space="preserve"> </w:t>
      </w:r>
      <w:r w:rsidR="007C2932" w:rsidRPr="005B69F6">
        <w:rPr>
          <w:rFonts w:cs="Arial"/>
          <w:spacing w:val="-1"/>
          <w:sz w:val="20"/>
          <w:szCs w:val="20"/>
        </w:rPr>
        <w:t>(</w:t>
      </w:r>
      <w:r w:rsidR="006C3745" w:rsidRPr="005B69F6">
        <w:rPr>
          <w:rFonts w:cs="Arial"/>
          <w:spacing w:val="-1"/>
          <w:sz w:val="20"/>
          <w:szCs w:val="20"/>
        </w:rPr>
        <w:t>Pneumococcal 15-valent Conjugate Vaccine [CRM</w:t>
      </w:r>
      <w:r w:rsidR="006C3745" w:rsidRPr="005B69F6">
        <w:rPr>
          <w:rFonts w:cs="Arial"/>
          <w:spacing w:val="-1"/>
          <w:sz w:val="20"/>
          <w:szCs w:val="20"/>
          <w:vertAlign w:val="subscript"/>
        </w:rPr>
        <w:t>197</w:t>
      </w:r>
      <w:r w:rsidR="006C3745" w:rsidRPr="005B69F6">
        <w:rPr>
          <w:rFonts w:cs="Arial"/>
          <w:spacing w:val="-1"/>
          <w:sz w:val="20"/>
          <w:szCs w:val="20"/>
        </w:rPr>
        <w:t xml:space="preserve"> Protein], adsorbed</w:t>
      </w:r>
      <w:r w:rsidR="007C2932" w:rsidRPr="005B69F6">
        <w:rPr>
          <w:rFonts w:cs="Arial"/>
          <w:spacing w:val="-1"/>
          <w:sz w:val="20"/>
          <w:szCs w:val="20"/>
        </w:rPr>
        <w:t>)</w:t>
      </w:r>
    </w:p>
    <w:p w14:paraId="597CE2A5" w14:textId="2867D4FD" w:rsidR="00927D2C" w:rsidRPr="005B69F6" w:rsidRDefault="00927D2C" w:rsidP="0019693E">
      <w:pPr>
        <w:rPr>
          <w:rFonts w:ascii="Arial" w:eastAsia="Cambria" w:hAnsi="Arial" w:cs="Arial"/>
          <w:b/>
          <w:bCs/>
          <w:sz w:val="20"/>
          <w:szCs w:val="20"/>
        </w:rPr>
      </w:pPr>
    </w:p>
    <w:p w14:paraId="3262B638" w14:textId="77777777" w:rsidR="000B5B2E" w:rsidRPr="005B69F6" w:rsidRDefault="000B5B2E" w:rsidP="0019693E">
      <w:pPr>
        <w:rPr>
          <w:rFonts w:ascii="Arial" w:eastAsia="Cambria" w:hAnsi="Arial" w:cs="Arial"/>
          <w:b/>
          <w:bCs/>
          <w:sz w:val="20"/>
          <w:szCs w:val="20"/>
        </w:rPr>
      </w:pPr>
    </w:p>
    <w:p w14:paraId="7EEC1234" w14:textId="77777777" w:rsidR="00F85F0D" w:rsidRPr="005B69F6" w:rsidRDefault="00B409FF" w:rsidP="0019693E">
      <w:pPr>
        <w:pStyle w:val="Heading1"/>
        <w:numPr>
          <w:ilvl w:val="0"/>
          <w:numId w:val="2"/>
        </w:numPr>
        <w:tabs>
          <w:tab w:val="left" w:pos="928"/>
        </w:tabs>
        <w:ind w:hanging="927"/>
        <w:rPr>
          <w:rFonts w:cs="Arial"/>
          <w:spacing w:val="-1"/>
          <w:sz w:val="20"/>
          <w:szCs w:val="20"/>
        </w:rPr>
      </w:pPr>
      <w:r w:rsidRPr="005B69F6">
        <w:rPr>
          <w:rFonts w:cs="Arial"/>
          <w:spacing w:val="-1"/>
          <w:sz w:val="20"/>
          <w:szCs w:val="20"/>
        </w:rPr>
        <w:t>NAME OF THE MEDICINE</w:t>
      </w:r>
    </w:p>
    <w:p w14:paraId="418363C7" w14:textId="77777777" w:rsidR="00F85F0D" w:rsidRPr="005B69F6" w:rsidRDefault="00F85F0D" w:rsidP="0019693E">
      <w:pPr>
        <w:rPr>
          <w:rFonts w:ascii="Arial" w:eastAsia="Cambria" w:hAnsi="Arial" w:cs="Arial"/>
          <w:b/>
          <w:bCs/>
          <w:sz w:val="20"/>
          <w:szCs w:val="20"/>
        </w:rPr>
      </w:pPr>
    </w:p>
    <w:p w14:paraId="270FC157" w14:textId="5AAA2B5D" w:rsidR="00927D2C" w:rsidRPr="005B69F6" w:rsidRDefault="003056A9" w:rsidP="00023783">
      <w:pPr>
        <w:jc w:val="both"/>
        <w:rPr>
          <w:rFonts w:ascii="Arial" w:eastAsia="Cambria" w:hAnsi="Arial" w:cs="Arial"/>
          <w:sz w:val="20"/>
          <w:szCs w:val="20"/>
        </w:rPr>
      </w:pPr>
      <w:r>
        <w:rPr>
          <w:rFonts w:ascii="Arial" w:eastAsia="Cambria" w:hAnsi="Arial" w:cs="Arial"/>
          <w:sz w:val="20"/>
          <w:szCs w:val="20"/>
        </w:rPr>
        <w:t>VAXNEUVANCE</w:t>
      </w:r>
      <w:r w:rsidR="001759E8" w:rsidRPr="005B69F6">
        <w:rPr>
          <w:rFonts w:ascii="Arial" w:eastAsia="Cambria" w:hAnsi="Arial" w:cs="Arial"/>
          <w:sz w:val="20"/>
          <w:szCs w:val="20"/>
        </w:rPr>
        <w:t xml:space="preserve"> </w:t>
      </w:r>
      <w:r w:rsidR="00E02807" w:rsidRPr="005B69F6">
        <w:rPr>
          <w:rFonts w:ascii="Arial" w:eastAsia="Cambria" w:hAnsi="Arial" w:cs="Arial"/>
          <w:sz w:val="20"/>
          <w:szCs w:val="20"/>
        </w:rPr>
        <w:t>(</w:t>
      </w:r>
      <w:r w:rsidR="006C3745" w:rsidRPr="005B69F6">
        <w:rPr>
          <w:rFonts w:ascii="Arial" w:eastAsia="Cambria" w:hAnsi="Arial" w:cs="Arial"/>
          <w:sz w:val="20"/>
          <w:szCs w:val="20"/>
        </w:rPr>
        <w:t>Pneumococcal 15-valent Conjugate Vaccine [CRM</w:t>
      </w:r>
      <w:r w:rsidR="006C3745" w:rsidRPr="005B69F6">
        <w:rPr>
          <w:rFonts w:ascii="Arial" w:eastAsia="Cambria" w:hAnsi="Arial" w:cs="Arial"/>
          <w:sz w:val="20"/>
          <w:szCs w:val="20"/>
          <w:vertAlign w:val="subscript"/>
        </w:rPr>
        <w:t>197</w:t>
      </w:r>
      <w:r w:rsidR="006C3745" w:rsidRPr="005B69F6">
        <w:rPr>
          <w:rFonts w:ascii="Arial" w:eastAsia="Cambria" w:hAnsi="Arial" w:cs="Arial"/>
          <w:sz w:val="20"/>
          <w:szCs w:val="20"/>
        </w:rPr>
        <w:t xml:space="preserve"> Protein], adsorbed</w:t>
      </w:r>
      <w:r w:rsidR="00E02807" w:rsidRPr="005B69F6">
        <w:rPr>
          <w:rFonts w:ascii="Arial" w:eastAsia="Cambria" w:hAnsi="Arial" w:cs="Arial"/>
          <w:sz w:val="20"/>
          <w:szCs w:val="20"/>
        </w:rPr>
        <w:t>)</w:t>
      </w:r>
    </w:p>
    <w:p w14:paraId="33462241" w14:textId="77777777" w:rsidR="006C3745" w:rsidRPr="005B69F6" w:rsidRDefault="006C3745" w:rsidP="0019693E">
      <w:pPr>
        <w:rPr>
          <w:rFonts w:ascii="Arial" w:eastAsia="Cambria" w:hAnsi="Arial" w:cs="Arial"/>
          <w:sz w:val="20"/>
          <w:szCs w:val="20"/>
        </w:rPr>
      </w:pPr>
    </w:p>
    <w:p w14:paraId="793AA3D0" w14:textId="48854ADB" w:rsidR="00F85F0D" w:rsidRPr="005B69F6" w:rsidRDefault="00B409FF" w:rsidP="0019693E">
      <w:pPr>
        <w:pStyle w:val="Heading1"/>
        <w:numPr>
          <w:ilvl w:val="0"/>
          <w:numId w:val="2"/>
        </w:numPr>
        <w:tabs>
          <w:tab w:val="left" w:pos="928"/>
        </w:tabs>
        <w:ind w:hanging="927"/>
        <w:rPr>
          <w:rFonts w:cs="Arial"/>
          <w:sz w:val="20"/>
          <w:szCs w:val="20"/>
        </w:rPr>
      </w:pPr>
      <w:r w:rsidRPr="005B69F6">
        <w:rPr>
          <w:rFonts w:cs="Arial"/>
          <w:spacing w:val="-1"/>
          <w:sz w:val="20"/>
          <w:szCs w:val="20"/>
        </w:rPr>
        <w:t>QUALITATIVE AND QUANTITATIVE COMPOSITION</w:t>
      </w:r>
    </w:p>
    <w:p w14:paraId="4E642675" w14:textId="77777777" w:rsidR="00FF7BD2" w:rsidRPr="005B69F6" w:rsidRDefault="00FF7BD2" w:rsidP="0019693E">
      <w:pPr>
        <w:rPr>
          <w:rFonts w:ascii="Arial" w:hAnsi="Arial" w:cs="Arial"/>
          <w:sz w:val="20"/>
          <w:szCs w:val="20"/>
        </w:rPr>
      </w:pPr>
    </w:p>
    <w:p w14:paraId="39D0666C" w14:textId="45025C20" w:rsidR="006B7E9F" w:rsidRPr="005B69F6" w:rsidRDefault="00D8452A" w:rsidP="0019693E">
      <w:pPr>
        <w:pStyle w:val="Body"/>
        <w:ind w:firstLine="0"/>
        <w:rPr>
          <w:rFonts w:cs="Arial"/>
        </w:rPr>
      </w:pPr>
      <w:bookmarkStart w:id="0" w:name="_Hlk54766998"/>
      <w:r w:rsidRPr="005B69F6">
        <w:rPr>
          <w:rFonts w:cs="Arial"/>
        </w:rPr>
        <w:t>Each 0.5 mL dose contains 32 </w:t>
      </w:r>
      <w:r w:rsidR="00906917" w:rsidRPr="005B69F6">
        <w:rPr>
          <w:rFonts w:cs="Arial"/>
        </w:rPr>
        <w:t xml:space="preserve">micrograms </w:t>
      </w:r>
      <w:r w:rsidRPr="005B69F6">
        <w:rPr>
          <w:rFonts w:cs="Arial"/>
        </w:rPr>
        <w:t xml:space="preserve">of total pneumococcal </w:t>
      </w:r>
      <w:r w:rsidR="000E2A94" w:rsidRPr="005B69F6">
        <w:rPr>
          <w:rFonts w:cs="Arial"/>
        </w:rPr>
        <w:t xml:space="preserve">purified capsular </w:t>
      </w:r>
      <w:r w:rsidRPr="005B69F6">
        <w:rPr>
          <w:rFonts w:cs="Arial"/>
        </w:rPr>
        <w:t>polysaccharide (2.0 </w:t>
      </w:r>
      <w:r w:rsidR="00906917" w:rsidRPr="005B69F6">
        <w:rPr>
          <w:rFonts w:cs="Arial"/>
        </w:rPr>
        <w:t xml:space="preserve">micrograms </w:t>
      </w:r>
      <w:r w:rsidRPr="005B69F6">
        <w:rPr>
          <w:rFonts w:cs="Arial"/>
        </w:rPr>
        <w:t>each of serotypes 1,</w:t>
      </w:r>
      <w:r w:rsidRPr="005B69F6" w:rsidDel="005D3E6D">
        <w:rPr>
          <w:rFonts w:cs="Arial"/>
        </w:rPr>
        <w:t xml:space="preserve"> </w:t>
      </w:r>
      <w:r w:rsidRPr="005B69F6">
        <w:rPr>
          <w:rFonts w:cs="Arial"/>
        </w:rPr>
        <w:t>3, 4, 5, 6A, 7F, 9V, 14, 18C, 19A, 19F, 22F, 23F, and 33F, and 4.0 </w:t>
      </w:r>
      <w:r w:rsidR="00906917" w:rsidRPr="005B69F6">
        <w:rPr>
          <w:rFonts w:cs="Arial"/>
        </w:rPr>
        <w:t xml:space="preserve">micrograms </w:t>
      </w:r>
      <w:r w:rsidRPr="005B69F6">
        <w:rPr>
          <w:rFonts w:cs="Arial"/>
        </w:rPr>
        <w:t>of serotype 6B) conjugated to 30 </w:t>
      </w:r>
      <w:r w:rsidR="00906917" w:rsidRPr="005B69F6">
        <w:rPr>
          <w:rFonts w:cs="Arial"/>
        </w:rPr>
        <w:t xml:space="preserve">micrograms </w:t>
      </w:r>
      <w:r w:rsidRPr="005B69F6">
        <w:rPr>
          <w:rFonts w:cs="Arial"/>
        </w:rPr>
        <w:t xml:space="preserve">of </w:t>
      </w:r>
      <w:r w:rsidR="00226A61" w:rsidRPr="005B69F6">
        <w:rPr>
          <w:rFonts w:cs="Arial"/>
        </w:rPr>
        <w:t>non-toxic d</w:t>
      </w:r>
      <w:r w:rsidR="000E2A94" w:rsidRPr="005B69F6">
        <w:rPr>
          <w:rFonts w:cs="Arial"/>
          <w:bCs/>
        </w:rPr>
        <w:t xml:space="preserve">iphtheria </w:t>
      </w:r>
      <w:r w:rsidRPr="005B69F6">
        <w:rPr>
          <w:rFonts w:cs="Arial"/>
        </w:rPr>
        <w:t>CRM</w:t>
      </w:r>
      <w:r w:rsidRPr="005B69F6">
        <w:rPr>
          <w:rFonts w:cs="Arial"/>
          <w:vertAlign w:val="subscript"/>
        </w:rPr>
        <w:t>197</w:t>
      </w:r>
      <w:r w:rsidRPr="005B69F6">
        <w:rPr>
          <w:rFonts w:cs="Arial"/>
        </w:rPr>
        <w:t xml:space="preserve"> protein</w:t>
      </w:r>
      <w:bookmarkEnd w:id="0"/>
      <w:r w:rsidR="00226A61" w:rsidRPr="005B69F6">
        <w:rPr>
          <w:rFonts w:cs="Arial"/>
        </w:rPr>
        <w:t>,</w:t>
      </w:r>
      <w:r w:rsidRPr="005B69F6">
        <w:rPr>
          <w:rFonts w:cs="Arial"/>
        </w:rPr>
        <w:t xml:space="preserve"> </w:t>
      </w:r>
      <w:r w:rsidR="006B7E9F" w:rsidRPr="005B69F6">
        <w:rPr>
          <w:rFonts w:cs="Arial"/>
        </w:rPr>
        <w:t xml:space="preserve">adsorbed on </w:t>
      </w:r>
      <w:r w:rsidRPr="005B69F6">
        <w:rPr>
          <w:rFonts w:cs="Arial"/>
        </w:rPr>
        <w:t>125 micrograms</w:t>
      </w:r>
      <w:r w:rsidR="00906917" w:rsidRPr="005B69F6">
        <w:rPr>
          <w:rFonts w:cs="Arial"/>
        </w:rPr>
        <w:t xml:space="preserve"> of</w:t>
      </w:r>
      <w:r w:rsidRPr="005B69F6">
        <w:rPr>
          <w:rFonts w:cs="Arial"/>
        </w:rPr>
        <w:t xml:space="preserve"> </w:t>
      </w:r>
      <w:proofErr w:type="spellStart"/>
      <w:r w:rsidR="006B7E9F" w:rsidRPr="005B69F6">
        <w:rPr>
          <w:rFonts w:cs="Arial"/>
        </w:rPr>
        <w:t>aluminium</w:t>
      </w:r>
      <w:proofErr w:type="spellEnd"/>
      <w:r w:rsidR="006B7E9F" w:rsidRPr="005B69F6">
        <w:rPr>
          <w:rFonts w:cs="Arial"/>
        </w:rPr>
        <w:t xml:space="preserve"> (as </w:t>
      </w:r>
      <w:proofErr w:type="spellStart"/>
      <w:r w:rsidR="006B7E9F" w:rsidRPr="005B69F6">
        <w:rPr>
          <w:rFonts w:cs="Arial"/>
        </w:rPr>
        <w:t>aluminium</w:t>
      </w:r>
      <w:proofErr w:type="spellEnd"/>
      <w:r w:rsidR="006B7E9F" w:rsidRPr="005B69F6">
        <w:rPr>
          <w:rFonts w:cs="Arial"/>
        </w:rPr>
        <w:t xml:space="preserve"> phosphate adjuvant).</w:t>
      </w:r>
    </w:p>
    <w:p w14:paraId="0AF608FE" w14:textId="77777777" w:rsidR="006B7E9F" w:rsidRPr="005B69F6" w:rsidRDefault="006B7E9F" w:rsidP="0019693E">
      <w:pPr>
        <w:tabs>
          <w:tab w:val="left" w:pos="6750"/>
        </w:tabs>
        <w:jc w:val="both"/>
        <w:rPr>
          <w:rFonts w:ascii="Arial" w:hAnsi="Arial" w:cs="Arial"/>
          <w:sz w:val="20"/>
          <w:szCs w:val="20"/>
        </w:rPr>
      </w:pPr>
    </w:p>
    <w:p w14:paraId="1BC39DE4" w14:textId="52DB7813" w:rsidR="006B7E9F" w:rsidRPr="005B69F6" w:rsidRDefault="006B7E9F" w:rsidP="0019693E">
      <w:pPr>
        <w:tabs>
          <w:tab w:val="left" w:pos="6750"/>
        </w:tabs>
        <w:jc w:val="both"/>
        <w:rPr>
          <w:rFonts w:ascii="Arial" w:hAnsi="Arial" w:cs="Arial"/>
          <w:sz w:val="20"/>
          <w:szCs w:val="20"/>
        </w:rPr>
      </w:pPr>
      <w:r w:rsidRPr="005B69F6">
        <w:rPr>
          <w:rFonts w:ascii="Arial" w:hAnsi="Arial" w:cs="Arial"/>
          <w:sz w:val="20"/>
          <w:szCs w:val="20"/>
        </w:rPr>
        <w:t xml:space="preserve">For the full list of excipients, see Section 6.1 </w:t>
      </w:r>
      <w:r w:rsidR="00CB58EB" w:rsidRPr="005B69F6">
        <w:rPr>
          <w:rFonts w:ascii="Arial" w:hAnsi="Arial" w:cs="Arial"/>
          <w:sz w:val="20"/>
          <w:szCs w:val="20"/>
        </w:rPr>
        <w:t>List of excipients</w:t>
      </w:r>
      <w:r w:rsidRPr="005B69F6">
        <w:rPr>
          <w:rFonts w:ascii="Arial" w:hAnsi="Arial" w:cs="Arial"/>
          <w:sz w:val="20"/>
          <w:szCs w:val="20"/>
        </w:rPr>
        <w:t>.</w:t>
      </w:r>
    </w:p>
    <w:p w14:paraId="7099EC6B" w14:textId="3C95842F" w:rsidR="00F85F0D" w:rsidRPr="005B69F6" w:rsidRDefault="00F85F0D" w:rsidP="0019693E">
      <w:pPr>
        <w:tabs>
          <w:tab w:val="left" w:pos="6750"/>
        </w:tabs>
        <w:jc w:val="both"/>
        <w:rPr>
          <w:rFonts w:ascii="Arial" w:eastAsia="Cambria" w:hAnsi="Arial" w:cs="Arial"/>
          <w:b/>
          <w:bCs/>
          <w:sz w:val="20"/>
          <w:szCs w:val="20"/>
        </w:rPr>
      </w:pPr>
    </w:p>
    <w:p w14:paraId="51E9FF68" w14:textId="45E31138" w:rsidR="006C3745" w:rsidRPr="005B69F6" w:rsidRDefault="006C3745" w:rsidP="0019693E">
      <w:pPr>
        <w:pStyle w:val="Heading1"/>
        <w:numPr>
          <w:ilvl w:val="0"/>
          <w:numId w:val="2"/>
        </w:numPr>
        <w:tabs>
          <w:tab w:val="left" w:pos="928"/>
        </w:tabs>
        <w:ind w:hanging="927"/>
        <w:rPr>
          <w:rFonts w:cs="Arial"/>
          <w:sz w:val="20"/>
          <w:szCs w:val="20"/>
        </w:rPr>
      </w:pPr>
      <w:r w:rsidRPr="005B69F6">
        <w:rPr>
          <w:rFonts w:cs="Arial"/>
          <w:spacing w:val="-1"/>
          <w:sz w:val="20"/>
          <w:szCs w:val="20"/>
        </w:rPr>
        <w:t>PHARMACEUTICAL FORM</w:t>
      </w:r>
    </w:p>
    <w:p w14:paraId="4EFCC3A2" w14:textId="77777777" w:rsidR="006C3745" w:rsidRPr="005B69F6" w:rsidRDefault="006C3745" w:rsidP="0019693E">
      <w:pPr>
        <w:tabs>
          <w:tab w:val="left" w:pos="6750"/>
        </w:tabs>
        <w:jc w:val="both"/>
        <w:rPr>
          <w:rFonts w:ascii="Arial" w:eastAsia="Cambria" w:hAnsi="Arial" w:cs="Arial"/>
          <w:b/>
          <w:bCs/>
          <w:sz w:val="20"/>
          <w:szCs w:val="20"/>
        </w:rPr>
      </w:pPr>
    </w:p>
    <w:p w14:paraId="25F6D7B3" w14:textId="4D4E7C08" w:rsidR="00222F3C" w:rsidRPr="005B69F6" w:rsidRDefault="003056A9" w:rsidP="00023783">
      <w:pPr>
        <w:jc w:val="both"/>
        <w:rPr>
          <w:rFonts w:ascii="Arial" w:eastAsia="Cambria" w:hAnsi="Arial" w:cs="Arial"/>
          <w:sz w:val="20"/>
          <w:szCs w:val="20"/>
        </w:rPr>
      </w:pPr>
      <w:r>
        <w:rPr>
          <w:rFonts w:ascii="Arial" w:eastAsia="Cambria" w:hAnsi="Arial" w:cs="Arial"/>
          <w:sz w:val="20"/>
          <w:szCs w:val="20"/>
        </w:rPr>
        <w:t>VAXNEUVANCE</w:t>
      </w:r>
      <w:r w:rsidR="00222F3C" w:rsidRPr="005B69F6">
        <w:rPr>
          <w:rFonts w:ascii="Arial" w:eastAsia="Cambria" w:hAnsi="Arial" w:cs="Arial"/>
          <w:sz w:val="20"/>
          <w:szCs w:val="20"/>
        </w:rPr>
        <w:t xml:space="preserve"> is a suspension for injection available in 0.5 mL single-dose prefilled syringes.</w:t>
      </w:r>
    </w:p>
    <w:p w14:paraId="7A45BBBF" w14:textId="77777777" w:rsidR="00222F3C" w:rsidRPr="005B69F6" w:rsidRDefault="00222F3C" w:rsidP="00023783">
      <w:pPr>
        <w:jc w:val="both"/>
        <w:rPr>
          <w:rFonts w:ascii="Arial" w:eastAsia="Cambria" w:hAnsi="Arial" w:cs="Arial"/>
          <w:sz w:val="20"/>
          <w:szCs w:val="20"/>
        </w:rPr>
      </w:pPr>
    </w:p>
    <w:p w14:paraId="31727B46" w14:textId="5AC2B279" w:rsidR="00DC70E4" w:rsidRPr="005B69F6" w:rsidRDefault="00222F3C" w:rsidP="00023783">
      <w:pPr>
        <w:jc w:val="both"/>
        <w:rPr>
          <w:rFonts w:ascii="Arial" w:eastAsia="Cambria" w:hAnsi="Arial" w:cs="Arial"/>
          <w:sz w:val="20"/>
          <w:szCs w:val="20"/>
        </w:rPr>
      </w:pPr>
      <w:r w:rsidRPr="005B69F6">
        <w:rPr>
          <w:rFonts w:ascii="Arial" w:eastAsia="Cambria" w:hAnsi="Arial" w:cs="Arial"/>
          <w:sz w:val="20"/>
          <w:szCs w:val="20"/>
        </w:rPr>
        <w:t>The vaccine is an opalescent suspension.</w:t>
      </w:r>
    </w:p>
    <w:p w14:paraId="194A8450" w14:textId="77777777" w:rsidR="00222F3C" w:rsidRPr="005B69F6" w:rsidRDefault="00222F3C" w:rsidP="00222F3C">
      <w:pPr>
        <w:rPr>
          <w:rFonts w:ascii="Arial" w:eastAsia="Cambria" w:hAnsi="Arial" w:cs="Arial"/>
          <w:b/>
          <w:bCs/>
          <w:sz w:val="20"/>
          <w:szCs w:val="20"/>
        </w:rPr>
      </w:pPr>
    </w:p>
    <w:p w14:paraId="4F4907F1" w14:textId="77777777"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CLINICAL PARTICULARS</w:t>
      </w:r>
    </w:p>
    <w:p w14:paraId="3FC29340" w14:textId="3004D59F" w:rsidR="00F85F0D" w:rsidRPr="005B69F6" w:rsidRDefault="00F85F0D" w:rsidP="0019693E">
      <w:pPr>
        <w:rPr>
          <w:rFonts w:ascii="Arial" w:eastAsia="Cambria" w:hAnsi="Arial" w:cs="Arial"/>
          <w:b/>
          <w:bCs/>
          <w:sz w:val="20"/>
          <w:szCs w:val="20"/>
        </w:rPr>
      </w:pPr>
    </w:p>
    <w:p w14:paraId="2697CAE7"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THERAPEUTIC INDICATIONS</w:t>
      </w:r>
    </w:p>
    <w:p w14:paraId="284FD2CA" w14:textId="77777777" w:rsidR="00F85F0D" w:rsidRPr="005B69F6" w:rsidRDefault="00F85F0D" w:rsidP="0019693E">
      <w:pPr>
        <w:rPr>
          <w:rFonts w:ascii="Arial" w:eastAsia="Cambria" w:hAnsi="Arial" w:cs="Arial"/>
          <w:b/>
          <w:bCs/>
          <w:sz w:val="20"/>
          <w:szCs w:val="20"/>
        </w:rPr>
      </w:pPr>
    </w:p>
    <w:p w14:paraId="1E127810" w14:textId="56F9124D" w:rsidR="00DC70E4" w:rsidRPr="005B69F6" w:rsidRDefault="003056A9" w:rsidP="00023783">
      <w:pPr>
        <w:jc w:val="both"/>
        <w:rPr>
          <w:rFonts w:ascii="Arial" w:eastAsia="Cambria" w:hAnsi="Arial" w:cs="Arial"/>
          <w:sz w:val="20"/>
          <w:szCs w:val="20"/>
        </w:rPr>
      </w:pPr>
      <w:r>
        <w:rPr>
          <w:rFonts w:ascii="Arial" w:eastAsia="Cambria" w:hAnsi="Arial" w:cs="Arial"/>
          <w:sz w:val="20"/>
          <w:szCs w:val="20"/>
        </w:rPr>
        <w:t>VAXNEUVANCE</w:t>
      </w:r>
      <w:r w:rsidR="006B7E9F" w:rsidRPr="005B69F6">
        <w:rPr>
          <w:rFonts w:ascii="Arial" w:eastAsia="Cambria" w:hAnsi="Arial" w:cs="Arial"/>
          <w:sz w:val="20"/>
          <w:szCs w:val="20"/>
        </w:rPr>
        <w:t xml:space="preserve"> is indicated for a</w:t>
      </w:r>
      <w:r w:rsidR="00DC70E4" w:rsidRPr="005B69F6">
        <w:rPr>
          <w:rFonts w:ascii="Arial" w:eastAsia="Cambria" w:hAnsi="Arial" w:cs="Arial"/>
          <w:sz w:val="20"/>
          <w:szCs w:val="20"/>
        </w:rPr>
        <w:t xml:space="preserve">ctive </w:t>
      </w:r>
      <w:proofErr w:type="spellStart"/>
      <w:r w:rsidR="00DC70E4" w:rsidRPr="005B69F6">
        <w:rPr>
          <w:rFonts w:ascii="Arial" w:eastAsia="Cambria" w:hAnsi="Arial" w:cs="Arial"/>
          <w:sz w:val="20"/>
          <w:szCs w:val="20"/>
        </w:rPr>
        <w:t>immunisation</w:t>
      </w:r>
      <w:proofErr w:type="spellEnd"/>
      <w:r w:rsidR="00DC70E4" w:rsidRPr="005B69F6">
        <w:rPr>
          <w:rFonts w:ascii="Arial" w:eastAsia="Cambria" w:hAnsi="Arial" w:cs="Arial"/>
          <w:sz w:val="20"/>
          <w:szCs w:val="20"/>
        </w:rPr>
        <w:t xml:space="preserve"> for the prevention of </w:t>
      </w:r>
      <w:r w:rsidR="006B7E9F" w:rsidRPr="005B69F6">
        <w:rPr>
          <w:rFonts w:ascii="Arial" w:eastAsia="Cambria" w:hAnsi="Arial" w:cs="Arial"/>
          <w:sz w:val="20"/>
          <w:szCs w:val="20"/>
        </w:rPr>
        <w:t xml:space="preserve">pneumococcal disease </w:t>
      </w:r>
      <w:r w:rsidR="00DC70E4" w:rsidRPr="005B69F6">
        <w:rPr>
          <w:rFonts w:ascii="Arial" w:eastAsia="Cambria" w:hAnsi="Arial" w:cs="Arial"/>
          <w:sz w:val="20"/>
          <w:szCs w:val="20"/>
        </w:rPr>
        <w:t xml:space="preserve">caused by </w:t>
      </w:r>
      <w:r w:rsidR="00DC70E4" w:rsidRPr="005B69F6">
        <w:rPr>
          <w:rFonts w:ascii="Arial" w:eastAsia="Cambria" w:hAnsi="Arial" w:cs="Arial"/>
          <w:i/>
          <w:iCs/>
          <w:sz w:val="20"/>
          <w:szCs w:val="20"/>
        </w:rPr>
        <w:t>Streptococcus pneumoniae</w:t>
      </w:r>
      <w:r w:rsidR="00DC70E4" w:rsidRPr="005B69F6">
        <w:rPr>
          <w:rFonts w:ascii="Arial" w:eastAsia="Cambria" w:hAnsi="Arial" w:cs="Arial"/>
          <w:sz w:val="20"/>
          <w:szCs w:val="20"/>
        </w:rPr>
        <w:t xml:space="preserve"> serotypes </w:t>
      </w:r>
      <w:r w:rsidR="006B7E9F" w:rsidRPr="005B69F6">
        <w:rPr>
          <w:rFonts w:ascii="Arial" w:eastAsia="Cambria" w:hAnsi="Arial" w:cs="Arial"/>
          <w:sz w:val="20"/>
          <w:szCs w:val="20"/>
        </w:rPr>
        <w:t>(</w:t>
      </w:r>
      <w:r w:rsidR="00DC70E4" w:rsidRPr="005B69F6">
        <w:rPr>
          <w:rFonts w:ascii="Arial" w:eastAsia="Cambria" w:hAnsi="Arial" w:cs="Arial"/>
          <w:sz w:val="20"/>
          <w:szCs w:val="20"/>
        </w:rPr>
        <w:t>1, 3, 4, 5, 6A, 6B, 7F, 9V, 14, 18C, 19A, 19F, 22F, 23F and 33F</w:t>
      </w:r>
      <w:r w:rsidR="006B7E9F" w:rsidRPr="005B69F6">
        <w:rPr>
          <w:rFonts w:ascii="Arial" w:eastAsia="Cambria" w:hAnsi="Arial" w:cs="Arial"/>
          <w:sz w:val="20"/>
          <w:szCs w:val="20"/>
        </w:rPr>
        <w:t>)</w:t>
      </w:r>
      <w:r w:rsidR="00DC70E4" w:rsidRPr="005B69F6">
        <w:rPr>
          <w:rFonts w:ascii="Arial" w:eastAsia="Cambria" w:hAnsi="Arial" w:cs="Arial"/>
          <w:sz w:val="20"/>
          <w:szCs w:val="20"/>
        </w:rPr>
        <w:t xml:space="preserve"> in adults 18 years of age and older.</w:t>
      </w:r>
    </w:p>
    <w:p w14:paraId="64F20C55" w14:textId="2A1ABD72" w:rsidR="006B7E9F" w:rsidRPr="005B69F6" w:rsidRDefault="006B7E9F" w:rsidP="00023783">
      <w:pPr>
        <w:jc w:val="both"/>
        <w:rPr>
          <w:rFonts w:ascii="Arial" w:eastAsia="Cambria" w:hAnsi="Arial" w:cs="Arial"/>
          <w:sz w:val="20"/>
          <w:szCs w:val="20"/>
        </w:rPr>
      </w:pPr>
    </w:p>
    <w:p w14:paraId="5EE290E9" w14:textId="2C3FF42F" w:rsidR="006B7E9F" w:rsidRPr="005B69F6" w:rsidRDefault="003056A9" w:rsidP="00023783">
      <w:pPr>
        <w:jc w:val="both"/>
        <w:rPr>
          <w:rFonts w:ascii="Arial" w:eastAsia="Cambria" w:hAnsi="Arial" w:cs="Arial"/>
          <w:sz w:val="20"/>
          <w:szCs w:val="20"/>
        </w:rPr>
      </w:pPr>
      <w:r>
        <w:rPr>
          <w:rFonts w:ascii="Arial" w:eastAsia="Cambria" w:hAnsi="Arial" w:cs="Arial"/>
          <w:sz w:val="20"/>
          <w:szCs w:val="20"/>
        </w:rPr>
        <w:t>VAXNEUVANCE</w:t>
      </w:r>
      <w:r w:rsidR="006B7E9F" w:rsidRPr="005B69F6">
        <w:rPr>
          <w:rFonts w:ascii="Arial" w:eastAsia="Cambria" w:hAnsi="Arial" w:cs="Arial"/>
          <w:sz w:val="20"/>
          <w:szCs w:val="20"/>
        </w:rPr>
        <w:t xml:space="preserve"> may not prevent disease caused by </w:t>
      </w:r>
      <w:r w:rsidR="006B7E9F" w:rsidRPr="005B69F6">
        <w:rPr>
          <w:rFonts w:ascii="Arial" w:eastAsia="Cambria" w:hAnsi="Arial" w:cs="Arial"/>
          <w:i/>
          <w:iCs/>
          <w:sz w:val="20"/>
          <w:szCs w:val="20"/>
        </w:rPr>
        <w:t>S. pneumoniae</w:t>
      </w:r>
      <w:r w:rsidR="006B7E9F" w:rsidRPr="005B69F6">
        <w:rPr>
          <w:rFonts w:ascii="Arial" w:eastAsia="Cambria" w:hAnsi="Arial" w:cs="Arial"/>
          <w:sz w:val="20"/>
          <w:szCs w:val="20"/>
        </w:rPr>
        <w:t xml:space="preserve"> serotypes that are not contained in the vaccine.</w:t>
      </w:r>
    </w:p>
    <w:p w14:paraId="4594BBB4" w14:textId="7802C044" w:rsidR="00DC70E4" w:rsidRDefault="00DC70E4" w:rsidP="00023783">
      <w:pPr>
        <w:jc w:val="both"/>
        <w:rPr>
          <w:rFonts w:ascii="Arial" w:eastAsia="Cambria" w:hAnsi="Arial" w:cs="Arial"/>
          <w:sz w:val="20"/>
          <w:szCs w:val="20"/>
        </w:rPr>
      </w:pPr>
    </w:p>
    <w:p w14:paraId="7002CC35" w14:textId="2C876B3E" w:rsidR="006B7E9F" w:rsidRPr="003E52AF" w:rsidRDefault="006B7E9F" w:rsidP="00023783">
      <w:pPr>
        <w:jc w:val="both"/>
        <w:rPr>
          <w:rFonts w:ascii="Arial" w:eastAsia="Cambria" w:hAnsi="Arial" w:cs="Arial"/>
          <w:sz w:val="20"/>
          <w:szCs w:val="20"/>
        </w:rPr>
      </w:pPr>
      <w:r w:rsidRPr="005B69F6">
        <w:rPr>
          <w:rFonts w:ascii="Arial" w:eastAsia="Cambria" w:hAnsi="Arial" w:cs="Arial"/>
          <w:sz w:val="20"/>
          <w:szCs w:val="20"/>
        </w:rPr>
        <w:t xml:space="preserve">The use of </w:t>
      </w:r>
      <w:r w:rsidR="003056A9">
        <w:rPr>
          <w:rFonts w:ascii="Arial" w:eastAsia="Cambria" w:hAnsi="Arial" w:cs="Arial"/>
          <w:sz w:val="20"/>
          <w:szCs w:val="20"/>
        </w:rPr>
        <w:t>VAXNEUVANCE</w:t>
      </w:r>
      <w:r w:rsidRPr="005B69F6">
        <w:rPr>
          <w:rFonts w:ascii="Arial" w:eastAsia="Cambria" w:hAnsi="Arial" w:cs="Arial"/>
          <w:sz w:val="20"/>
          <w:szCs w:val="20"/>
        </w:rPr>
        <w:t xml:space="preserve"> should be guided by official recommendations.</w:t>
      </w:r>
      <w:r w:rsidR="00171C0E">
        <w:rPr>
          <w:rFonts w:ascii="Arial" w:eastAsia="Cambria" w:hAnsi="Arial" w:cs="Arial"/>
          <w:sz w:val="20"/>
          <w:szCs w:val="20"/>
        </w:rPr>
        <w:t xml:space="preserve"> </w:t>
      </w:r>
    </w:p>
    <w:p w14:paraId="7657AAB9" w14:textId="77777777" w:rsidR="00A852D2" w:rsidRPr="005B69F6" w:rsidRDefault="00A852D2" w:rsidP="0019693E">
      <w:pPr>
        <w:rPr>
          <w:rFonts w:ascii="Arial" w:hAnsi="Arial" w:cs="Arial"/>
          <w:sz w:val="20"/>
          <w:szCs w:val="20"/>
        </w:rPr>
      </w:pPr>
    </w:p>
    <w:p w14:paraId="49E8B74F"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DOSE AND METHOD OF ADMINISTRATION</w:t>
      </w:r>
    </w:p>
    <w:p w14:paraId="7FCD1DD3" w14:textId="77777777" w:rsidR="00F85F0D" w:rsidRPr="005B69F6" w:rsidRDefault="00F85F0D" w:rsidP="0019693E">
      <w:pPr>
        <w:rPr>
          <w:rFonts w:ascii="Arial" w:eastAsia="Cambria" w:hAnsi="Arial" w:cs="Arial"/>
          <w:b/>
          <w:bCs/>
          <w:sz w:val="20"/>
          <w:szCs w:val="20"/>
        </w:rPr>
      </w:pPr>
    </w:p>
    <w:p w14:paraId="1749D98D" w14:textId="7C4F39D0" w:rsidR="00A852D2" w:rsidRPr="005B69F6" w:rsidRDefault="00A852D2" w:rsidP="00023783">
      <w:pPr>
        <w:pStyle w:val="Heading2"/>
        <w:jc w:val="both"/>
      </w:pPr>
      <w:r w:rsidRPr="005B69F6">
        <w:t>Dosage (dose and interval)</w:t>
      </w:r>
    </w:p>
    <w:p w14:paraId="3ADAF663" w14:textId="6229FDE4" w:rsidR="00E4743C" w:rsidRPr="005B69F6" w:rsidRDefault="00E4743C" w:rsidP="00E4743C">
      <w:pPr>
        <w:jc w:val="both"/>
        <w:rPr>
          <w:rFonts w:ascii="Arial" w:hAnsi="Arial" w:cs="Arial"/>
          <w:bCs/>
          <w:sz w:val="20"/>
          <w:szCs w:val="20"/>
        </w:rPr>
      </w:pPr>
      <w:r w:rsidRPr="005B69F6">
        <w:rPr>
          <w:rFonts w:ascii="Arial" w:hAnsi="Arial" w:cs="Arial"/>
          <w:bCs/>
          <w:sz w:val="20"/>
          <w:szCs w:val="20"/>
        </w:rPr>
        <w:t xml:space="preserve">Administer a 0.5 mL dose of </w:t>
      </w:r>
      <w:r w:rsidR="003056A9">
        <w:rPr>
          <w:rFonts w:ascii="Arial" w:hAnsi="Arial" w:cs="Arial"/>
          <w:bCs/>
          <w:sz w:val="20"/>
          <w:szCs w:val="20"/>
        </w:rPr>
        <w:t>VAXNEUVANCE</w:t>
      </w:r>
      <w:r w:rsidRPr="005B69F6">
        <w:rPr>
          <w:rFonts w:ascii="Arial" w:hAnsi="Arial" w:cs="Arial"/>
          <w:bCs/>
          <w:sz w:val="20"/>
          <w:szCs w:val="20"/>
        </w:rPr>
        <w:t xml:space="preserve"> intramuscularly.</w:t>
      </w:r>
    </w:p>
    <w:p w14:paraId="2158169D" w14:textId="77777777" w:rsidR="005340C5" w:rsidRPr="005B69F6" w:rsidRDefault="005340C5" w:rsidP="00023783">
      <w:pPr>
        <w:jc w:val="both"/>
        <w:rPr>
          <w:rFonts w:ascii="Arial" w:hAnsi="Arial" w:cs="Arial"/>
          <w:i/>
          <w:iCs/>
          <w:sz w:val="20"/>
          <w:szCs w:val="20"/>
          <w:u w:val="single"/>
        </w:rPr>
      </w:pPr>
    </w:p>
    <w:p w14:paraId="137554CE" w14:textId="31F8656F" w:rsidR="001D1B71" w:rsidRPr="00926646" w:rsidRDefault="001D1B71" w:rsidP="00023783">
      <w:pPr>
        <w:jc w:val="both"/>
        <w:rPr>
          <w:rFonts w:ascii="Arial" w:hAnsi="Arial" w:cs="Arial"/>
          <w:i/>
          <w:iCs/>
          <w:sz w:val="20"/>
          <w:szCs w:val="20"/>
        </w:rPr>
      </w:pPr>
      <w:r w:rsidRPr="00926646">
        <w:rPr>
          <w:rFonts w:ascii="Arial" w:hAnsi="Arial" w:cs="Arial"/>
          <w:i/>
          <w:iCs/>
          <w:sz w:val="20"/>
          <w:szCs w:val="20"/>
        </w:rPr>
        <w:t>Adults</w:t>
      </w:r>
    </w:p>
    <w:p w14:paraId="4699C05C" w14:textId="37B309E5" w:rsidR="001D1B71" w:rsidRPr="003E52AF" w:rsidRDefault="001D1B71" w:rsidP="0019693E">
      <w:pPr>
        <w:jc w:val="both"/>
        <w:rPr>
          <w:rFonts w:ascii="Arial" w:hAnsi="Arial" w:cs="Arial"/>
          <w:sz w:val="20"/>
          <w:szCs w:val="20"/>
          <w:highlight w:val="cyan"/>
          <w:lang w:val="en-AU"/>
        </w:rPr>
      </w:pPr>
      <w:r w:rsidRPr="005B69F6">
        <w:rPr>
          <w:rFonts w:ascii="Arial" w:hAnsi="Arial" w:cs="Arial"/>
          <w:sz w:val="20"/>
          <w:szCs w:val="20"/>
        </w:rPr>
        <w:t>One single dose (0.5 mL)</w:t>
      </w:r>
      <w:r w:rsidR="001759E8" w:rsidRPr="005B69F6">
        <w:rPr>
          <w:rFonts w:ascii="Arial" w:hAnsi="Arial" w:cs="Arial"/>
          <w:sz w:val="20"/>
          <w:szCs w:val="20"/>
        </w:rPr>
        <w:t>.</w:t>
      </w:r>
    </w:p>
    <w:p w14:paraId="2F39843E" w14:textId="299B015F" w:rsidR="00C44E21" w:rsidRPr="005B69F6" w:rsidRDefault="00C44E21" w:rsidP="0019693E">
      <w:pPr>
        <w:jc w:val="both"/>
        <w:rPr>
          <w:rFonts w:ascii="Arial" w:hAnsi="Arial" w:cs="Arial"/>
          <w:b/>
          <w:sz w:val="20"/>
          <w:szCs w:val="20"/>
        </w:rPr>
      </w:pPr>
    </w:p>
    <w:p w14:paraId="5266DD89" w14:textId="77777777" w:rsidR="00226A61" w:rsidRPr="00926646" w:rsidRDefault="00226A61" w:rsidP="00226A61">
      <w:pPr>
        <w:jc w:val="both"/>
        <w:rPr>
          <w:rFonts w:ascii="Arial" w:hAnsi="Arial" w:cs="Arial"/>
          <w:bCs/>
          <w:i/>
          <w:iCs/>
          <w:sz w:val="20"/>
          <w:szCs w:val="20"/>
        </w:rPr>
      </w:pPr>
      <w:r w:rsidRPr="00926646">
        <w:rPr>
          <w:rFonts w:ascii="Arial" w:hAnsi="Arial" w:cs="Arial"/>
          <w:bCs/>
          <w:i/>
          <w:iCs/>
          <w:sz w:val="20"/>
          <w:szCs w:val="20"/>
        </w:rPr>
        <w:t>Special Populations</w:t>
      </w:r>
    </w:p>
    <w:p w14:paraId="3A905C46" w14:textId="7FFE01E5" w:rsidR="00226A61" w:rsidRPr="005B69F6" w:rsidRDefault="00226A61" w:rsidP="00226A61">
      <w:pPr>
        <w:jc w:val="both"/>
        <w:rPr>
          <w:rFonts w:ascii="Arial" w:hAnsi="Arial" w:cs="Arial"/>
          <w:bCs/>
          <w:sz w:val="20"/>
          <w:szCs w:val="20"/>
        </w:rPr>
      </w:pPr>
      <w:r w:rsidRPr="005B69F6">
        <w:rPr>
          <w:rFonts w:ascii="Arial" w:hAnsi="Arial" w:cs="Arial"/>
          <w:bCs/>
          <w:sz w:val="20"/>
          <w:szCs w:val="20"/>
        </w:rPr>
        <w:t xml:space="preserve">The dosing schedule of </w:t>
      </w:r>
      <w:r w:rsidR="003056A9">
        <w:rPr>
          <w:rFonts w:ascii="Arial" w:hAnsi="Arial" w:cs="Arial"/>
          <w:bCs/>
          <w:sz w:val="20"/>
          <w:szCs w:val="20"/>
        </w:rPr>
        <w:t>VAXNEUVANCE</w:t>
      </w:r>
      <w:r w:rsidRPr="005B69F6">
        <w:rPr>
          <w:rFonts w:ascii="Arial" w:hAnsi="Arial" w:cs="Arial"/>
          <w:bCs/>
          <w:sz w:val="20"/>
          <w:szCs w:val="20"/>
        </w:rPr>
        <w:t xml:space="preserve"> in special populations should be guided by official recommendations.</w:t>
      </w:r>
    </w:p>
    <w:p w14:paraId="7B7B6172" w14:textId="77777777" w:rsidR="00226A61" w:rsidRPr="005B69F6" w:rsidRDefault="00226A61" w:rsidP="0019693E">
      <w:pPr>
        <w:jc w:val="both"/>
        <w:rPr>
          <w:rFonts w:ascii="Arial" w:hAnsi="Arial" w:cs="Arial"/>
          <w:b/>
          <w:sz w:val="20"/>
          <w:szCs w:val="20"/>
        </w:rPr>
      </w:pPr>
    </w:p>
    <w:p w14:paraId="072BC0EE" w14:textId="2F3F0D71" w:rsidR="00A852D2" w:rsidRPr="005B69F6" w:rsidRDefault="00A852D2" w:rsidP="00023783">
      <w:pPr>
        <w:pStyle w:val="Heading2"/>
        <w:jc w:val="both"/>
      </w:pPr>
      <w:r w:rsidRPr="005B69F6">
        <w:t>Method of administration</w:t>
      </w:r>
    </w:p>
    <w:p w14:paraId="468CB46A" w14:textId="53E67CD3" w:rsidR="006B7E9F" w:rsidRPr="005B69F6" w:rsidRDefault="006B7E9F" w:rsidP="00023783">
      <w:pPr>
        <w:jc w:val="both"/>
        <w:rPr>
          <w:rFonts w:ascii="Arial" w:hAnsi="Arial" w:cs="Arial"/>
          <w:sz w:val="20"/>
          <w:szCs w:val="20"/>
        </w:rPr>
      </w:pPr>
      <w:r w:rsidRPr="005B69F6">
        <w:rPr>
          <w:rFonts w:ascii="Arial" w:hAnsi="Arial" w:cs="Arial"/>
          <w:sz w:val="20"/>
          <w:szCs w:val="20"/>
        </w:rPr>
        <w:t>For intramuscular use only. Do not inject intravascularly.</w:t>
      </w:r>
    </w:p>
    <w:p w14:paraId="1EF21124" w14:textId="77777777" w:rsidR="006B7E9F" w:rsidRPr="005B69F6" w:rsidRDefault="006B7E9F" w:rsidP="00023783">
      <w:pPr>
        <w:jc w:val="both"/>
        <w:rPr>
          <w:rFonts w:ascii="Arial" w:hAnsi="Arial" w:cs="Arial"/>
          <w:sz w:val="20"/>
          <w:szCs w:val="20"/>
        </w:rPr>
      </w:pPr>
    </w:p>
    <w:p w14:paraId="3ED5E4B7" w14:textId="191213E1" w:rsidR="003A0223" w:rsidRPr="005B69F6" w:rsidRDefault="006B7E9F" w:rsidP="00023783">
      <w:pPr>
        <w:jc w:val="both"/>
        <w:rPr>
          <w:rFonts w:ascii="Arial" w:hAnsi="Arial" w:cs="Arial"/>
          <w:sz w:val="20"/>
          <w:szCs w:val="20"/>
        </w:rPr>
      </w:pPr>
      <w:r w:rsidRPr="005B69F6">
        <w:rPr>
          <w:rFonts w:ascii="Arial" w:hAnsi="Arial" w:cs="Arial"/>
          <w:sz w:val="20"/>
          <w:szCs w:val="20"/>
        </w:rPr>
        <w:t>The preferred site for injection is the deltoid muscle of the upper arm in adults. The vaccine should not be injected in the gluteal area or areas where there may be a major nerve trunk and/or blood vessel.</w:t>
      </w:r>
    </w:p>
    <w:p w14:paraId="5204CC2D" w14:textId="6A132720" w:rsidR="006B7E9F" w:rsidRPr="005B69F6" w:rsidRDefault="006B7E9F" w:rsidP="00023783">
      <w:pPr>
        <w:jc w:val="both"/>
        <w:rPr>
          <w:rFonts w:ascii="Arial" w:hAnsi="Arial" w:cs="Arial"/>
          <w:sz w:val="20"/>
          <w:szCs w:val="20"/>
        </w:rPr>
      </w:pPr>
    </w:p>
    <w:p w14:paraId="3C562FBC" w14:textId="77777777" w:rsidR="00947E0D" w:rsidRPr="005B69F6" w:rsidRDefault="00947E0D" w:rsidP="00023783">
      <w:pPr>
        <w:pStyle w:val="Heading2"/>
        <w:jc w:val="both"/>
      </w:pPr>
      <w:r w:rsidRPr="005B69F6">
        <w:t>Instruction for use</w:t>
      </w:r>
    </w:p>
    <w:p w14:paraId="2DA5A1E9" w14:textId="4E9BA7E0" w:rsidR="001F784B" w:rsidRPr="005B69F6" w:rsidRDefault="003056A9" w:rsidP="00023783">
      <w:pPr>
        <w:jc w:val="both"/>
        <w:rPr>
          <w:rFonts w:ascii="Arial" w:hAnsi="Arial" w:cs="Arial"/>
          <w:sz w:val="20"/>
          <w:szCs w:val="20"/>
        </w:rPr>
      </w:pPr>
      <w:r>
        <w:rPr>
          <w:rFonts w:ascii="Arial" w:hAnsi="Arial" w:cs="Arial"/>
          <w:sz w:val="20"/>
          <w:szCs w:val="20"/>
        </w:rPr>
        <w:t>VAXNEUVANCE</w:t>
      </w:r>
      <w:r w:rsidR="001D1B71" w:rsidRPr="005B69F6">
        <w:rPr>
          <w:rFonts w:ascii="Arial" w:hAnsi="Arial" w:cs="Arial"/>
          <w:sz w:val="20"/>
          <w:szCs w:val="20"/>
        </w:rPr>
        <w:t xml:space="preserve"> should not be diluted or mixed with other vaccines. </w:t>
      </w:r>
    </w:p>
    <w:p w14:paraId="50D31FB5" w14:textId="77777777" w:rsidR="001F784B" w:rsidRPr="005B69F6" w:rsidRDefault="001F784B" w:rsidP="00023783">
      <w:pPr>
        <w:jc w:val="both"/>
        <w:rPr>
          <w:rFonts w:ascii="Arial" w:hAnsi="Arial" w:cs="Arial"/>
          <w:sz w:val="20"/>
          <w:szCs w:val="20"/>
        </w:rPr>
      </w:pPr>
    </w:p>
    <w:p w14:paraId="3610205E" w14:textId="464143CE" w:rsidR="001D1B71" w:rsidRPr="005B69F6" w:rsidRDefault="001D1B71" w:rsidP="00023783">
      <w:pPr>
        <w:jc w:val="both"/>
        <w:rPr>
          <w:rFonts w:ascii="Arial" w:hAnsi="Arial" w:cs="Arial"/>
          <w:sz w:val="20"/>
          <w:szCs w:val="20"/>
        </w:rPr>
      </w:pPr>
      <w:r w:rsidRPr="005B69F6">
        <w:rPr>
          <w:rFonts w:ascii="Arial" w:hAnsi="Arial" w:cs="Arial"/>
          <w:sz w:val="20"/>
          <w:szCs w:val="20"/>
        </w:rPr>
        <w:t>The full recommended dose of the vaccine should be used.</w:t>
      </w:r>
    </w:p>
    <w:p w14:paraId="23B68D71" w14:textId="77777777" w:rsidR="001D1B71" w:rsidRPr="005B69F6" w:rsidRDefault="001D1B71" w:rsidP="00023783">
      <w:pPr>
        <w:jc w:val="both"/>
        <w:rPr>
          <w:rFonts w:ascii="Arial" w:hAnsi="Arial" w:cs="Arial"/>
          <w:sz w:val="20"/>
          <w:szCs w:val="20"/>
        </w:rPr>
      </w:pPr>
    </w:p>
    <w:p w14:paraId="2D5CF2FB" w14:textId="4484159D" w:rsidR="001D1B71" w:rsidRPr="005B69F6" w:rsidRDefault="001D1B71" w:rsidP="00023783">
      <w:pPr>
        <w:jc w:val="both"/>
        <w:rPr>
          <w:rFonts w:ascii="Arial" w:hAnsi="Arial" w:cs="Arial"/>
          <w:sz w:val="20"/>
          <w:szCs w:val="20"/>
        </w:rPr>
      </w:pPr>
      <w:r w:rsidRPr="005B69F6">
        <w:rPr>
          <w:rFonts w:ascii="Arial" w:hAnsi="Arial" w:cs="Arial"/>
          <w:sz w:val="20"/>
          <w:szCs w:val="20"/>
        </w:rPr>
        <w:t xml:space="preserve">When </w:t>
      </w:r>
      <w:r w:rsidR="003056A9">
        <w:rPr>
          <w:rFonts w:ascii="Arial" w:hAnsi="Arial" w:cs="Arial"/>
          <w:sz w:val="20"/>
          <w:szCs w:val="20"/>
        </w:rPr>
        <w:t>VAXNEUVANCE</w:t>
      </w:r>
      <w:r w:rsidRPr="005B69F6">
        <w:rPr>
          <w:rFonts w:ascii="Arial" w:hAnsi="Arial" w:cs="Arial"/>
          <w:sz w:val="20"/>
          <w:szCs w:val="20"/>
        </w:rPr>
        <w:t xml:space="preserve"> is administered at the same time as another injectable vaccine(s), the vaccines should always be given at different injection sites [see </w:t>
      </w:r>
      <w:r w:rsidR="00527642" w:rsidRPr="005B69F6">
        <w:rPr>
          <w:rFonts w:ascii="Arial" w:hAnsi="Arial" w:cs="Arial"/>
          <w:sz w:val="20"/>
          <w:szCs w:val="20"/>
        </w:rPr>
        <w:t xml:space="preserve">Section 4.5 </w:t>
      </w:r>
      <w:r w:rsidR="00CB58EB" w:rsidRPr="005B69F6">
        <w:rPr>
          <w:rFonts w:ascii="Arial" w:hAnsi="Arial" w:cs="Arial"/>
          <w:sz w:val="20"/>
          <w:szCs w:val="20"/>
        </w:rPr>
        <w:t>Interactions with other medicines and other forms of interactions</w:t>
      </w:r>
      <w:r w:rsidRPr="005B69F6">
        <w:rPr>
          <w:rFonts w:ascii="Arial" w:hAnsi="Arial" w:cs="Arial"/>
          <w:sz w:val="20"/>
          <w:szCs w:val="20"/>
        </w:rPr>
        <w:t>].</w:t>
      </w:r>
    </w:p>
    <w:p w14:paraId="61E2533C" w14:textId="77777777" w:rsidR="001D1B71" w:rsidRPr="005B69F6" w:rsidRDefault="001D1B71" w:rsidP="00023783">
      <w:pPr>
        <w:jc w:val="both"/>
        <w:rPr>
          <w:rFonts w:ascii="Arial" w:hAnsi="Arial" w:cs="Arial"/>
          <w:sz w:val="20"/>
          <w:szCs w:val="20"/>
        </w:rPr>
      </w:pPr>
    </w:p>
    <w:p w14:paraId="42A00CA6" w14:textId="12F4DAB1" w:rsidR="001D1B71" w:rsidRPr="005B69F6" w:rsidRDefault="001D1B71" w:rsidP="00023783">
      <w:pPr>
        <w:jc w:val="both"/>
        <w:rPr>
          <w:rFonts w:ascii="Arial" w:hAnsi="Arial" w:cs="Arial"/>
          <w:sz w:val="20"/>
          <w:szCs w:val="20"/>
        </w:rPr>
      </w:pPr>
      <w:r w:rsidRPr="005B69F6">
        <w:rPr>
          <w:rFonts w:ascii="Arial" w:hAnsi="Arial" w:cs="Arial"/>
          <w:sz w:val="20"/>
          <w:szCs w:val="20"/>
        </w:rPr>
        <w:t>Because this product is a suspension containing an adjuvant, hold horizontally and shake vigorously immediately prior to use to obtain an opalescent suspension in the vaccine container. Do not use the vaccine if it cannot be resuspended. Parenteral drug products should be inspected visually for particulate matter and discoloration prior to administration. This product should not be used if particulate matter or discoloration is found.</w:t>
      </w:r>
    </w:p>
    <w:p w14:paraId="11120CB5" w14:textId="77777777" w:rsidR="001D1B71" w:rsidRPr="005B69F6" w:rsidRDefault="001D1B71" w:rsidP="00023783">
      <w:pPr>
        <w:jc w:val="both"/>
        <w:rPr>
          <w:rFonts w:ascii="Arial" w:hAnsi="Arial" w:cs="Arial"/>
          <w:sz w:val="20"/>
          <w:szCs w:val="20"/>
        </w:rPr>
      </w:pPr>
    </w:p>
    <w:p w14:paraId="7BD0E60A" w14:textId="7C7E2B68" w:rsidR="001D1B71" w:rsidRPr="005B69F6" w:rsidRDefault="001D1B71" w:rsidP="00023783">
      <w:pPr>
        <w:jc w:val="both"/>
        <w:rPr>
          <w:rFonts w:ascii="Arial" w:hAnsi="Arial" w:cs="Arial"/>
          <w:sz w:val="20"/>
          <w:szCs w:val="20"/>
        </w:rPr>
      </w:pPr>
      <w:r w:rsidRPr="005B69F6">
        <w:rPr>
          <w:rFonts w:ascii="Arial" w:hAnsi="Arial" w:cs="Arial"/>
          <w:sz w:val="20"/>
          <w:szCs w:val="20"/>
        </w:rPr>
        <w:t>The prefilled syringe is for single use only and should not be used for more than one individual. Attach a needle by twisting in a clockwise direction until the needle fits securely on the syringe. Inject the entire contents of the syringe. Exercise caution to avoid harm from an accidental needle stick.</w:t>
      </w:r>
    </w:p>
    <w:p w14:paraId="4DFDDE38" w14:textId="77777777" w:rsidR="006B7E9F" w:rsidRPr="005B69F6" w:rsidRDefault="006B7E9F" w:rsidP="0019693E">
      <w:pPr>
        <w:rPr>
          <w:rFonts w:ascii="Arial" w:hAnsi="Arial" w:cs="Arial"/>
          <w:sz w:val="20"/>
          <w:szCs w:val="20"/>
        </w:rPr>
      </w:pPr>
    </w:p>
    <w:p w14:paraId="21BD857D"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CONTRAINDICATIONS</w:t>
      </w:r>
    </w:p>
    <w:p w14:paraId="7EB6BE62" w14:textId="77777777" w:rsidR="00F85F0D" w:rsidRPr="005B69F6" w:rsidRDefault="00F85F0D" w:rsidP="0019693E">
      <w:pPr>
        <w:rPr>
          <w:rFonts w:ascii="Arial" w:eastAsia="Cambria" w:hAnsi="Arial" w:cs="Arial"/>
          <w:b/>
          <w:bCs/>
          <w:sz w:val="20"/>
          <w:szCs w:val="20"/>
        </w:rPr>
      </w:pPr>
    </w:p>
    <w:p w14:paraId="391081F2" w14:textId="1A3E0EB1" w:rsidR="00735788" w:rsidRPr="005B69F6" w:rsidRDefault="003056A9" w:rsidP="0019693E">
      <w:pPr>
        <w:jc w:val="both"/>
        <w:rPr>
          <w:rFonts w:ascii="Arial" w:hAnsi="Arial" w:cs="Arial"/>
          <w:sz w:val="20"/>
          <w:szCs w:val="20"/>
        </w:rPr>
      </w:pPr>
      <w:r>
        <w:rPr>
          <w:rFonts w:ascii="Arial" w:hAnsi="Arial" w:cs="Arial"/>
          <w:sz w:val="20"/>
          <w:szCs w:val="20"/>
        </w:rPr>
        <w:t>VAXNEUVANCE</w:t>
      </w:r>
      <w:r w:rsidR="001D1B71" w:rsidRPr="005B69F6">
        <w:rPr>
          <w:rFonts w:ascii="Arial" w:hAnsi="Arial" w:cs="Arial"/>
          <w:sz w:val="20"/>
          <w:szCs w:val="20"/>
        </w:rPr>
        <w:t xml:space="preserve"> is contraindicated in individuals with a history of a severe allergic reaction (e.g., anaphylaxis) to any component of the vaccine or any diphtheria toxoid-containing vaccine [See </w:t>
      </w:r>
      <w:r w:rsidR="00527642" w:rsidRPr="005B69F6">
        <w:rPr>
          <w:rFonts w:ascii="Arial" w:hAnsi="Arial" w:cs="Arial"/>
          <w:sz w:val="20"/>
          <w:szCs w:val="20"/>
        </w:rPr>
        <w:t xml:space="preserve">Section 2 </w:t>
      </w:r>
      <w:r w:rsidR="00CB58EB" w:rsidRPr="005B69F6">
        <w:rPr>
          <w:rFonts w:ascii="Arial" w:hAnsi="Arial" w:cs="Arial"/>
          <w:sz w:val="20"/>
          <w:szCs w:val="20"/>
        </w:rPr>
        <w:t>Qualitative and quantitative composition</w:t>
      </w:r>
      <w:r w:rsidR="005340C5" w:rsidRPr="005B69F6">
        <w:rPr>
          <w:rFonts w:ascii="Arial" w:hAnsi="Arial" w:cs="Arial"/>
          <w:sz w:val="20"/>
          <w:szCs w:val="20"/>
        </w:rPr>
        <w:t xml:space="preserve"> and Section 6.1 List of excipients</w:t>
      </w:r>
      <w:r w:rsidR="001D1B71" w:rsidRPr="005B69F6">
        <w:rPr>
          <w:rFonts w:ascii="Arial" w:hAnsi="Arial" w:cs="Arial"/>
          <w:sz w:val="20"/>
          <w:szCs w:val="20"/>
        </w:rPr>
        <w:t>].</w:t>
      </w:r>
    </w:p>
    <w:p w14:paraId="1C8A063B" w14:textId="77777777" w:rsidR="00F85F0D" w:rsidRPr="005B69F6" w:rsidRDefault="00F85F0D" w:rsidP="0019693E">
      <w:pPr>
        <w:rPr>
          <w:rFonts w:ascii="Arial" w:eastAsia="Cambria" w:hAnsi="Arial" w:cs="Arial"/>
          <w:sz w:val="20"/>
          <w:szCs w:val="20"/>
        </w:rPr>
      </w:pPr>
    </w:p>
    <w:p w14:paraId="761DD501"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SPECIAL WARNINGS AND PRECAUTIONS FOR USE</w:t>
      </w:r>
    </w:p>
    <w:p w14:paraId="7AD097FF" w14:textId="77777777" w:rsidR="00F85F0D" w:rsidRPr="005B69F6" w:rsidRDefault="00F85F0D" w:rsidP="0019693E">
      <w:pPr>
        <w:rPr>
          <w:rFonts w:ascii="Arial" w:eastAsia="Cambria" w:hAnsi="Arial" w:cs="Arial"/>
          <w:sz w:val="20"/>
          <w:szCs w:val="20"/>
        </w:rPr>
      </w:pPr>
    </w:p>
    <w:p w14:paraId="509BB367" w14:textId="59C649EE" w:rsidR="001D1B71" w:rsidRPr="003E52AF" w:rsidRDefault="001D1B71" w:rsidP="0019693E">
      <w:pPr>
        <w:jc w:val="both"/>
        <w:rPr>
          <w:rFonts w:ascii="Arial" w:hAnsi="Arial" w:cs="Arial"/>
          <w:sz w:val="20"/>
          <w:szCs w:val="20"/>
          <w:highlight w:val="cyan"/>
          <w:lang w:val="en-AU"/>
        </w:rPr>
      </w:pPr>
      <w:r w:rsidRPr="005B69F6">
        <w:rPr>
          <w:rFonts w:ascii="Arial" w:hAnsi="Arial" w:cs="Arial"/>
          <w:sz w:val="20"/>
          <w:szCs w:val="20"/>
        </w:rPr>
        <w:t xml:space="preserve">Individuals with altered immunocompetence, including those receiving immunosuppressive therapy, may have a reduced immune response to </w:t>
      </w:r>
      <w:r w:rsidR="003056A9">
        <w:rPr>
          <w:rFonts w:ascii="Arial" w:hAnsi="Arial" w:cs="Arial"/>
          <w:sz w:val="20"/>
          <w:szCs w:val="20"/>
        </w:rPr>
        <w:t>VAXNEUVANCE</w:t>
      </w:r>
      <w:r w:rsidRPr="005B69F6">
        <w:rPr>
          <w:rFonts w:ascii="Arial" w:hAnsi="Arial" w:cs="Arial"/>
          <w:sz w:val="20"/>
          <w:szCs w:val="20"/>
        </w:rPr>
        <w:t xml:space="preserve"> [See</w:t>
      </w:r>
      <w:r w:rsidR="00CB58EB" w:rsidRPr="005B69F6">
        <w:rPr>
          <w:rFonts w:ascii="Arial" w:hAnsi="Arial" w:cs="Arial"/>
          <w:sz w:val="20"/>
          <w:szCs w:val="20"/>
        </w:rPr>
        <w:t xml:space="preserve"> Section 4.5 Interactions with other medicines and other forms of interactions</w:t>
      </w:r>
      <w:r w:rsidRPr="005B69F6">
        <w:rPr>
          <w:rFonts w:ascii="Arial" w:hAnsi="Arial" w:cs="Arial"/>
          <w:sz w:val="20"/>
          <w:szCs w:val="20"/>
        </w:rPr>
        <w:t>]</w:t>
      </w:r>
      <w:r w:rsidR="00CB58EB" w:rsidRPr="005B69F6">
        <w:rPr>
          <w:rFonts w:ascii="Arial" w:hAnsi="Arial" w:cs="Arial"/>
          <w:sz w:val="20"/>
          <w:szCs w:val="20"/>
        </w:rPr>
        <w:t>.</w:t>
      </w:r>
    </w:p>
    <w:p w14:paraId="003E65EA" w14:textId="77777777" w:rsidR="001D1B71" w:rsidRPr="005B69F6" w:rsidRDefault="001D1B71" w:rsidP="0019693E">
      <w:pPr>
        <w:jc w:val="both"/>
        <w:rPr>
          <w:rFonts w:ascii="Arial" w:hAnsi="Arial" w:cs="Arial"/>
          <w:sz w:val="20"/>
          <w:szCs w:val="20"/>
        </w:rPr>
      </w:pPr>
    </w:p>
    <w:p w14:paraId="5DAFF261" w14:textId="270F210E" w:rsidR="005661F8" w:rsidRPr="005B69F6" w:rsidRDefault="001D1B71" w:rsidP="0019693E">
      <w:pPr>
        <w:jc w:val="both"/>
        <w:rPr>
          <w:rFonts w:ascii="Arial" w:hAnsi="Arial" w:cs="Arial"/>
          <w:sz w:val="20"/>
          <w:szCs w:val="20"/>
        </w:rPr>
      </w:pPr>
      <w:r w:rsidRPr="005B69F6">
        <w:rPr>
          <w:rFonts w:ascii="Arial" w:hAnsi="Arial" w:cs="Arial"/>
          <w:sz w:val="20"/>
          <w:szCs w:val="20"/>
        </w:rPr>
        <w:t xml:space="preserve">As with any vaccine, </w:t>
      </w:r>
      <w:r w:rsidR="003056A9">
        <w:rPr>
          <w:rFonts w:ascii="Arial" w:hAnsi="Arial" w:cs="Arial"/>
          <w:sz w:val="20"/>
          <w:szCs w:val="20"/>
        </w:rPr>
        <w:t>VAXNEUVANCE</w:t>
      </w:r>
      <w:r w:rsidRPr="005B69F6">
        <w:rPr>
          <w:rFonts w:ascii="Arial" w:hAnsi="Arial" w:cs="Arial"/>
          <w:sz w:val="20"/>
          <w:szCs w:val="20"/>
        </w:rPr>
        <w:t xml:space="preserve"> may not protect all vaccine recipients.</w:t>
      </w:r>
    </w:p>
    <w:p w14:paraId="7510D625" w14:textId="21F44048" w:rsidR="00A746BF" w:rsidRPr="005B69F6" w:rsidRDefault="00A746BF" w:rsidP="0019693E">
      <w:pPr>
        <w:jc w:val="both"/>
        <w:rPr>
          <w:rFonts w:ascii="Arial" w:hAnsi="Arial" w:cs="Arial"/>
          <w:sz w:val="20"/>
          <w:szCs w:val="20"/>
        </w:rPr>
      </w:pPr>
    </w:p>
    <w:p w14:paraId="53085979" w14:textId="77777777" w:rsidR="003A0223" w:rsidRPr="005B69F6" w:rsidRDefault="00B409FF" w:rsidP="00023783">
      <w:pPr>
        <w:pStyle w:val="Heading2"/>
        <w:jc w:val="both"/>
      </w:pPr>
      <w:r w:rsidRPr="005B69F6">
        <w:t xml:space="preserve">Use in the elderly </w:t>
      </w:r>
    </w:p>
    <w:p w14:paraId="52FC9C3E" w14:textId="0A73D7A7" w:rsidR="003A0223" w:rsidRPr="003E52AF" w:rsidRDefault="001D1B71" w:rsidP="00023783">
      <w:pPr>
        <w:jc w:val="both"/>
        <w:rPr>
          <w:rFonts w:ascii="Arial" w:hAnsi="Arial" w:cs="Arial"/>
          <w:sz w:val="20"/>
          <w:szCs w:val="20"/>
          <w:highlight w:val="cyan"/>
          <w:lang w:val="en-AU"/>
        </w:rPr>
      </w:pPr>
      <w:r w:rsidRPr="005B69F6">
        <w:rPr>
          <w:rFonts w:ascii="Arial" w:hAnsi="Arial" w:cs="Arial"/>
          <w:sz w:val="20"/>
          <w:szCs w:val="20"/>
        </w:rPr>
        <w:t xml:space="preserve">Of the 4,344 individuals aged 50 years and older who received </w:t>
      </w:r>
      <w:r w:rsidR="003056A9">
        <w:rPr>
          <w:rFonts w:ascii="Arial" w:hAnsi="Arial" w:cs="Arial"/>
          <w:sz w:val="20"/>
          <w:szCs w:val="20"/>
        </w:rPr>
        <w:t>VAXNEUVANCE</w:t>
      </w:r>
      <w:r w:rsidRPr="005B69F6">
        <w:rPr>
          <w:rFonts w:ascii="Arial" w:hAnsi="Arial" w:cs="Arial"/>
          <w:sz w:val="20"/>
          <w:szCs w:val="20"/>
        </w:rPr>
        <w:t xml:space="preserve">, 2,470 (56.9%) were 65 years and older, and 479 (11.0%) were 75 years and older [see </w:t>
      </w:r>
      <w:r w:rsidR="00CB58EB" w:rsidRPr="005B69F6">
        <w:rPr>
          <w:rFonts w:ascii="Arial" w:hAnsi="Arial" w:cs="Arial"/>
          <w:sz w:val="20"/>
          <w:szCs w:val="20"/>
        </w:rPr>
        <w:t xml:space="preserve">Section 4.8 Adverse effects (Undesirable effects) </w:t>
      </w:r>
      <w:r w:rsidRPr="005B69F6">
        <w:rPr>
          <w:rFonts w:ascii="Arial" w:hAnsi="Arial" w:cs="Arial"/>
          <w:sz w:val="20"/>
          <w:szCs w:val="20"/>
        </w:rPr>
        <w:t xml:space="preserve">and </w:t>
      </w:r>
      <w:r w:rsidR="00CB58EB" w:rsidRPr="005B69F6">
        <w:rPr>
          <w:rFonts w:ascii="Arial" w:hAnsi="Arial" w:cs="Arial"/>
          <w:sz w:val="20"/>
          <w:szCs w:val="20"/>
        </w:rPr>
        <w:t>Section 5 Pharmacological properties – Clinical Trials</w:t>
      </w:r>
      <w:r w:rsidRPr="005B69F6">
        <w:rPr>
          <w:rFonts w:ascii="Arial" w:hAnsi="Arial" w:cs="Arial"/>
          <w:sz w:val="20"/>
          <w:szCs w:val="20"/>
        </w:rPr>
        <w:t>].</w:t>
      </w:r>
    </w:p>
    <w:p w14:paraId="78183768" w14:textId="77777777" w:rsidR="00432391" w:rsidRPr="005B69F6" w:rsidRDefault="00432391" w:rsidP="00023783">
      <w:pPr>
        <w:jc w:val="both"/>
        <w:rPr>
          <w:rFonts w:ascii="Arial" w:hAnsi="Arial" w:cs="Arial"/>
          <w:color w:val="001523"/>
          <w:spacing w:val="28"/>
          <w:w w:val="99"/>
          <w:sz w:val="20"/>
          <w:szCs w:val="20"/>
        </w:rPr>
      </w:pPr>
    </w:p>
    <w:p w14:paraId="02E21F46" w14:textId="54129B79" w:rsidR="003A0223" w:rsidRPr="005B69F6" w:rsidRDefault="00B409FF" w:rsidP="00023783">
      <w:pPr>
        <w:pStyle w:val="Heading2"/>
        <w:jc w:val="both"/>
      </w:pPr>
      <w:proofErr w:type="spellStart"/>
      <w:r w:rsidRPr="005B69F6">
        <w:t>Paediatric</w:t>
      </w:r>
      <w:proofErr w:type="spellEnd"/>
      <w:r w:rsidRPr="005B69F6">
        <w:t xml:space="preserve"> use</w:t>
      </w:r>
    </w:p>
    <w:p w14:paraId="64D1ACD0" w14:textId="1924D2AC" w:rsidR="001D1B71" w:rsidRPr="005B69F6" w:rsidRDefault="001D1B71" w:rsidP="0019693E">
      <w:pPr>
        <w:jc w:val="both"/>
        <w:rPr>
          <w:rFonts w:ascii="Arial" w:hAnsi="Arial" w:cs="Arial"/>
          <w:sz w:val="20"/>
          <w:szCs w:val="20"/>
        </w:rPr>
      </w:pPr>
      <w:r w:rsidRPr="005B69F6">
        <w:rPr>
          <w:rFonts w:ascii="Arial" w:hAnsi="Arial" w:cs="Arial"/>
          <w:sz w:val="20"/>
          <w:szCs w:val="20"/>
        </w:rPr>
        <w:t xml:space="preserve">The safety and effectiveness of </w:t>
      </w:r>
      <w:r w:rsidR="003056A9">
        <w:rPr>
          <w:rFonts w:ascii="Arial" w:hAnsi="Arial" w:cs="Arial"/>
          <w:sz w:val="20"/>
          <w:szCs w:val="20"/>
        </w:rPr>
        <w:t>VAXNEUVANCE</w:t>
      </w:r>
      <w:r w:rsidRPr="005B69F6">
        <w:rPr>
          <w:rFonts w:ascii="Arial" w:hAnsi="Arial" w:cs="Arial"/>
          <w:sz w:val="20"/>
          <w:szCs w:val="20"/>
        </w:rPr>
        <w:t xml:space="preserve"> in individuals younger than 18 years of age have not yet been established.</w:t>
      </w:r>
    </w:p>
    <w:p w14:paraId="1EA5B0CA" w14:textId="5385A56F" w:rsidR="001D1B71" w:rsidRPr="005B69F6" w:rsidRDefault="001D1B71" w:rsidP="0019693E">
      <w:pPr>
        <w:pStyle w:val="BodyText1"/>
        <w:spacing w:before="0"/>
        <w:ind w:firstLine="0"/>
        <w:jc w:val="both"/>
        <w:rPr>
          <w:rFonts w:ascii="Arial" w:hAnsi="Arial" w:cs="Arial"/>
          <w:sz w:val="20"/>
          <w:szCs w:val="20"/>
        </w:rPr>
      </w:pPr>
    </w:p>
    <w:p w14:paraId="29897F42" w14:textId="77777777" w:rsidR="00F85F0D" w:rsidRPr="005B69F6" w:rsidRDefault="00B409FF" w:rsidP="00023783">
      <w:pPr>
        <w:pStyle w:val="Heading2"/>
        <w:jc w:val="both"/>
      </w:pPr>
      <w:r w:rsidRPr="005B69F6">
        <w:t>Effects on laboratory tests</w:t>
      </w:r>
    </w:p>
    <w:p w14:paraId="37AB06B6" w14:textId="0D0FA521" w:rsidR="00A92351" w:rsidRPr="005B69F6" w:rsidRDefault="00A92351" w:rsidP="00023783">
      <w:pPr>
        <w:jc w:val="both"/>
        <w:rPr>
          <w:rFonts w:ascii="Arial" w:hAnsi="Arial" w:cs="Arial"/>
          <w:sz w:val="20"/>
          <w:szCs w:val="20"/>
        </w:rPr>
      </w:pPr>
      <w:r w:rsidRPr="005B69F6">
        <w:rPr>
          <w:rFonts w:ascii="Arial" w:hAnsi="Arial" w:cs="Arial"/>
          <w:sz w:val="20"/>
          <w:szCs w:val="20"/>
        </w:rPr>
        <w:t>Not applicable</w:t>
      </w:r>
      <w:r w:rsidR="00226A61" w:rsidRPr="005B69F6">
        <w:rPr>
          <w:rFonts w:ascii="Arial" w:hAnsi="Arial" w:cs="Arial"/>
          <w:sz w:val="20"/>
          <w:szCs w:val="20"/>
        </w:rPr>
        <w:t>.</w:t>
      </w:r>
    </w:p>
    <w:p w14:paraId="729A1E0E" w14:textId="77777777" w:rsidR="00DF776E" w:rsidRPr="005B69F6" w:rsidRDefault="00DF776E" w:rsidP="00023783">
      <w:pPr>
        <w:jc w:val="both"/>
        <w:rPr>
          <w:rFonts w:ascii="Arial" w:hAnsi="Arial" w:cs="Arial"/>
          <w:b/>
          <w:color w:val="001523"/>
          <w:sz w:val="20"/>
          <w:szCs w:val="20"/>
        </w:rPr>
      </w:pPr>
    </w:p>
    <w:p w14:paraId="30F87D56"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INTERACTIONS WITH OTHER MEDICINES AND OTHER FORMS OF INTERACTIONS</w:t>
      </w:r>
    </w:p>
    <w:p w14:paraId="47ED0DBB" w14:textId="77777777" w:rsidR="00F85F0D" w:rsidRPr="005B69F6" w:rsidRDefault="00F85F0D" w:rsidP="0019693E">
      <w:pPr>
        <w:rPr>
          <w:rFonts w:ascii="Arial" w:eastAsia="Cambria" w:hAnsi="Arial" w:cs="Arial"/>
          <w:b/>
          <w:bCs/>
          <w:sz w:val="20"/>
          <w:szCs w:val="20"/>
        </w:rPr>
      </w:pPr>
    </w:p>
    <w:p w14:paraId="7E1C5E2E" w14:textId="77777777" w:rsidR="003A0223" w:rsidRPr="005B69F6" w:rsidRDefault="003A0223" w:rsidP="00023783">
      <w:pPr>
        <w:pStyle w:val="Heading2"/>
        <w:jc w:val="both"/>
      </w:pPr>
      <w:r w:rsidRPr="005B69F6">
        <w:t>Use with Other Vaccines</w:t>
      </w:r>
    </w:p>
    <w:p w14:paraId="5A7278EB" w14:textId="4DA39188" w:rsidR="003A0223" w:rsidRPr="005B69F6" w:rsidRDefault="003056A9" w:rsidP="00023783">
      <w:pPr>
        <w:pStyle w:val="BodyText"/>
        <w:tabs>
          <w:tab w:val="left" w:pos="1210"/>
        </w:tabs>
        <w:ind w:left="0" w:firstLine="0"/>
        <w:jc w:val="both"/>
        <w:rPr>
          <w:rFonts w:ascii="Arial" w:eastAsiaTheme="minorHAnsi" w:hAnsi="Arial" w:cs="Arial"/>
          <w:sz w:val="20"/>
          <w:szCs w:val="20"/>
        </w:rPr>
      </w:pPr>
      <w:r>
        <w:rPr>
          <w:rFonts w:ascii="Arial" w:eastAsiaTheme="minorHAnsi" w:hAnsi="Arial" w:cs="Arial"/>
          <w:sz w:val="20"/>
          <w:szCs w:val="20"/>
        </w:rPr>
        <w:t>VAXNEUVANCE</w:t>
      </w:r>
      <w:r w:rsidR="001D1B71" w:rsidRPr="005B69F6">
        <w:rPr>
          <w:rFonts w:ascii="Arial" w:eastAsiaTheme="minorHAnsi" w:hAnsi="Arial" w:cs="Arial"/>
          <w:sz w:val="20"/>
          <w:szCs w:val="20"/>
        </w:rPr>
        <w:t xml:space="preserve"> can be administered concomitantly with inactivated influenza vaccine [see </w:t>
      </w:r>
      <w:r w:rsidR="00CB58EB" w:rsidRPr="005B69F6">
        <w:rPr>
          <w:rFonts w:ascii="Arial" w:hAnsi="Arial" w:cs="Arial"/>
          <w:sz w:val="20"/>
          <w:szCs w:val="20"/>
        </w:rPr>
        <w:t>Section 4.8 Adverse effects (Undesirable effects)</w:t>
      </w:r>
      <w:r w:rsidR="00226A61" w:rsidRPr="005B69F6">
        <w:rPr>
          <w:rFonts w:ascii="Arial" w:hAnsi="Arial" w:cs="Arial"/>
          <w:sz w:val="20"/>
          <w:szCs w:val="20"/>
        </w:rPr>
        <w:t xml:space="preserve"> and</w:t>
      </w:r>
      <w:r w:rsidR="00A92351" w:rsidRPr="005B69F6">
        <w:rPr>
          <w:rFonts w:ascii="Arial" w:hAnsi="Arial" w:cs="Arial"/>
          <w:sz w:val="20"/>
          <w:szCs w:val="20"/>
        </w:rPr>
        <w:t xml:space="preserve"> </w:t>
      </w:r>
      <w:r w:rsidR="00CB58EB" w:rsidRPr="005B69F6">
        <w:rPr>
          <w:rFonts w:ascii="Arial" w:hAnsi="Arial" w:cs="Arial"/>
          <w:sz w:val="20"/>
          <w:szCs w:val="20"/>
        </w:rPr>
        <w:t>Section 5 Pharmacological properties – Clinical Trials</w:t>
      </w:r>
      <w:r w:rsidR="001D1B71" w:rsidRPr="005B69F6">
        <w:rPr>
          <w:rFonts w:ascii="Arial" w:eastAsiaTheme="minorHAnsi" w:hAnsi="Arial" w:cs="Arial"/>
          <w:sz w:val="20"/>
          <w:szCs w:val="20"/>
        </w:rPr>
        <w:t xml:space="preserve">]. There are no data on the concomitant administration of </w:t>
      </w:r>
      <w:r>
        <w:rPr>
          <w:rFonts w:ascii="Arial" w:eastAsiaTheme="minorHAnsi" w:hAnsi="Arial" w:cs="Arial"/>
          <w:sz w:val="20"/>
          <w:szCs w:val="20"/>
        </w:rPr>
        <w:t>VAXNEUVANCE</w:t>
      </w:r>
      <w:r w:rsidR="001D1B71" w:rsidRPr="005B69F6">
        <w:rPr>
          <w:rFonts w:ascii="Arial" w:eastAsiaTheme="minorHAnsi" w:hAnsi="Arial" w:cs="Arial"/>
          <w:sz w:val="20"/>
          <w:szCs w:val="20"/>
        </w:rPr>
        <w:t xml:space="preserve"> with other vaccines.</w:t>
      </w:r>
    </w:p>
    <w:p w14:paraId="0565BDD9" w14:textId="77777777" w:rsidR="005C7E09" w:rsidRPr="005C7E09" w:rsidRDefault="005C7E09" w:rsidP="00023783">
      <w:pPr>
        <w:jc w:val="both"/>
      </w:pPr>
    </w:p>
    <w:p w14:paraId="0D09E260" w14:textId="648CB76D" w:rsidR="001D1B71" w:rsidRPr="005B69F6" w:rsidRDefault="001D1B71" w:rsidP="00023783">
      <w:pPr>
        <w:pStyle w:val="Heading2"/>
        <w:jc w:val="both"/>
      </w:pPr>
      <w:r w:rsidRPr="005B69F6">
        <w:t>Use with Immunosuppressive Therapies</w:t>
      </w:r>
    </w:p>
    <w:p w14:paraId="45F40F32" w14:textId="01484557" w:rsidR="001D1B71" w:rsidRPr="005B69F6" w:rsidRDefault="001D1B71" w:rsidP="00023783">
      <w:pPr>
        <w:pStyle w:val="BodyText"/>
        <w:tabs>
          <w:tab w:val="left" w:pos="1210"/>
        </w:tabs>
        <w:ind w:left="0" w:firstLine="0"/>
        <w:jc w:val="both"/>
        <w:rPr>
          <w:rFonts w:ascii="Arial" w:hAnsi="Arial" w:cs="Arial"/>
          <w:spacing w:val="-1"/>
          <w:sz w:val="20"/>
          <w:szCs w:val="20"/>
        </w:rPr>
      </w:pPr>
      <w:r w:rsidRPr="005B69F6">
        <w:rPr>
          <w:rFonts w:ascii="Arial" w:hAnsi="Arial" w:cs="Arial"/>
          <w:spacing w:val="-1"/>
          <w:sz w:val="20"/>
          <w:szCs w:val="20"/>
        </w:rPr>
        <w:t xml:space="preserve">Immunosuppressive therapies, including irradiation, antimetabolites, alkylating agents, cytotoxic drugs, corticosteroids, therapeutic proteins and targeted immunomodulators may reduce the immune responses to vaccines [see </w:t>
      </w:r>
      <w:r w:rsidR="00CB58EB" w:rsidRPr="005B69F6">
        <w:rPr>
          <w:rFonts w:ascii="Arial" w:hAnsi="Arial" w:cs="Arial"/>
          <w:spacing w:val="-1"/>
          <w:sz w:val="20"/>
          <w:szCs w:val="20"/>
        </w:rPr>
        <w:t>4.4 Special warnings and precautions for us</w:t>
      </w:r>
      <w:r w:rsidR="00A92351" w:rsidRPr="005B69F6">
        <w:rPr>
          <w:rFonts w:ascii="Arial" w:hAnsi="Arial" w:cs="Arial"/>
          <w:spacing w:val="-1"/>
          <w:sz w:val="20"/>
          <w:szCs w:val="20"/>
        </w:rPr>
        <w:t>e</w:t>
      </w:r>
      <w:r w:rsidRPr="005B69F6">
        <w:rPr>
          <w:rFonts w:ascii="Arial" w:hAnsi="Arial" w:cs="Arial"/>
          <w:spacing w:val="-1"/>
          <w:sz w:val="20"/>
          <w:szCs w:val="20"/>
        </w:rPr>
        <w:t>].</w:t>
      </w:r>
    </w:p>
    <w:p w14:paraId="39845AC8" w14:textId="7FA018C1" w:rsidR="000B5B2E" w:rsidRDefault="000B5B2E" w:rsidP="0019693E">
      <w:pPr>
        <w:pStyle w:val="BodyText"/>
        <w:tabs>
          <w:tab w:val="left" w:pos="1210"/>
        </w:tabs>
        <w:ind w:left="0" w:firstLine="0"/>
        <w:rPr>
          <w:rFonts w:ascii="Arial" w:hAnsi="Arial" w:cs="Arial"/>
          <w:spacing w:val="-1"/>
          <w:sz w:val="20"/>
          <w:szCs w:val="20"/>
        </w:rPr>
      </w:pPr>
    </w:p>
    <w:p w14:paraId="3BE28DB0" w14:textId="7D62703A" w:rsidR="00741FBE" w:rsidRDefault="00741FBE" w:rsidP="0019693E">
      <w:pPr>
        <w:pStyle w:val="BodyText"/>
        <w:tabs>
          <w:tab w:val="left" w:pos="1210"/>
        </w:tabs>
        <w:ind w:left="0" w:firstLine="0"/>
        <w:rPr>
          <w:rFonts w:ascii="Arial" w:hAnsi="Arial" w:cs="Arial"/>
          <w:spacing w:val="-1"/>
          <w:sz w:val="20"/>
          <w:szCs w:val="20"/>
        </w:rPr>
      </w:pPr>
    </w:p>
    <w:p w14:paraId="4478525D" w14:textId="77777777" w:rsidR="00741FBE" w:rsidRPr="005B69F6" w:rsidRDefault="00741FBE" w:rsidP="0019693E">
      <w:pPr>
        <w:pStyle w:val="BodyText"/>
        <w:tabs>
          <w:tab w:val="left" w:pos="1210"/>
        </w:tabs>
        <w:ind w:left="0" w:firstLine="0"/>
        <w:rPr>
          <w:rFonts w:ascii="Arial" w:hAnsi="Arial" w:cs="Arial"/>
          <w:spacing w:val="-1"/>
          <w:sz w:val="20"/>
          <w:szCs w:val="20"/>
        </w:rPr>
      </w:pPr>
    </w:p>
    <w:p w14:paraId="247DDE1A" w14:textId="77777777" w:rsidR="00F85F0D" w:rsidRPr="005B69F6" w:rsidRDefault="00B409FF" w:rsidP="00C62803">
      <w:pPr>
        <w:pStyle w:val="Heading1"/>
        <w:keepLines/>
        <w:numPr>
          <w:ilvl w:val="1"/>
          <w:numId w:val="1"/>
        </w:numPr>
        <w:tabs>
          <w:tab w:val="left" w:pos="928"/>
        </w:tabs>
        <w:ind w:hanging="927"/>
        <w:rPr>
          <w:rFonts w:cs="Arial"/>
          <w:spacing w:val="-1"/>
          <w:sz w:val="20"/>
          <w:szCs w:val="20"/>
        </w:rPr>
      </w:pPr>
      <w:r w:rsidRPr="005B69F6">
        <w:rPr>
          <w:rFonts w:cs="Arial"/>
          <w:spacing w:val="-1"/>
          <w:sz w:val="20"/>
          <w:szCs w:val="20"/>
        </w:rPr>
        <w:lastRenderedPageBreak/>
        <w:t>FERTILITY, PREGNANCY AND LACTATION</w:t>
      </w:r>
    </w:p>
    <w:p w14:paraId="0BBE4020" w14:textId="77777777" w:rsidR="00F85F0D" w:rsidRPr="005B69F6" w:rsidRDefault="00F85F0D" w:rsidP="00C62803">
      <w:pPr>
        <w:keepLines/>
        <w:rPr>
          <w:rFonts w:ascii="Arial" w:eastAsia="Cambria" w:hAnsi="Arial" w:cs="Arial"/>
          <w:b/>
          <w:bCs/>
          <w:sz w:val="20"/>
          <w:szCs w:val="20"/>
        </w:rPr>
      </w:pPr>
    </w:p>
    <w:p w14:paraId="578712EB" w14:textId="77777777" w:rsidR="00735788" w:rsidRPr="005B69F6" w:rsidRDefault="00B409FF" w:rsidP="00023783">
      <w:pPr>
        <w:pStyle w:val="Heading2"/>
        <w:jc w:val="both"/>
      </w:pPr>
      <w:r w:rsidRPr="005B69F6">
        <w:t>Effects on fertility</w:t>
      </w:r>
    </w:p>
    <w:p w14:paraId="25427E5D" w14:textId="4D8C71BA" w:rsidR="007C2932" w:rsidRPr="005B69F6" w:rsidRDefault="003056A9" w:rsidP="00C62803">
      <w:pPr>
        <w:keepLines/>
        <w:widowControl/>
        <w:tabs>
          <w:tab w:val="left" w:pos="0"/>
        </w:tabs>
        <w:jc w:val="both"/>
        <w:rPr>
          <w:rFonts w:ascii="Arial" w:eastAsia="MS Mincho" w:hAnsi="Arial" w:cs="Arial"/>
          <w:sz w:val="20"/>
          <w:szCs w:val="20"/>
          <w:lang w:eastAsia="ja-JP"/>
        </w:rPr>
      </w:pP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administered to female rats at a dose approximately 200 times the adult human dose on a </w:t>
      </w:r>
      <w:r w:rsidR="0031013B" w:rsidRPr="005B69F6">
        <w:rPr>
          <w:rFonts w:ascii="Arial" w:hAnsi="Arial" w:cs="Arial"/>
          <w:sz w:val="20"/>
          <w:szCs w:val="20"/>
        </w:rPr>
        <w:t>microgram</w:t>
      </w:r>
      <w:r w:rsidR="007C2932" w:rsidRPr="005B69F6">
        <w:rPr>
          <w:rFonts w:ascii="Arial" w:eastAsia="MS Mincho" w:hAnsi="Arial" w:cs="Arial"/>
          <w:sz w:val="20"/>
          <w:szCs w:val="20"/>
          <w:lang w:eastAsia="ja-JP"/>
        </w:rPr>
        <w:t xml:space="preserve">/kg basis had no effects on mating performance, </w:t>
      </w:r>
      <w:proofErr w:type="gramStart"/>
      <w:r w:rsidR="007C2932" w:rsidRPr="005B69F6">
        <w:rPr>
          <w:rFonts w:ascii="Arial" w:eastAsia="MS Mincho" w:hAnsi="Arial" w:cs="Arial"/>
          <w:sz w:val="20"/>
          <w:szCs w:val="20"/>
          <w:lang w:eastAsia="ja-JP"/>
        </w:rPr>
        <w:t>fertility</w:t>
      </w:r>
      <w:proofErr w:type="gramEnd"/>
      <w:r w:rsidR="007C2932" w:rsidRPr="005B69F6">
        <w:rPr>
          <w:rFonts w:ascii="Arial" w:eastAsia="MS Mincho" w:hAnsi="Arial" w:cs="Arial"/>
          <w:sz w:val="20"/>
          <w:szCs w:val="20"/>
          <w:lang w:eastAsia="ja-JP"/>
        </w:rPr>
        <w:t xml:space="preserve"> or embryonic/fetal survival.</w:t>
      </w:r>
    </w:p>
    <w:p w14:paraId="3CF89D18" w14:textId="77777777" w:rsidR="00A8531C" w:rsidRPr="005B69F6" w:rsidRDefault="00A8531C" w:rsidP="0019693E">
      <w:pPr>
        <w:widowControl/>
        <w:tabs>
          <w:tab w:val="left" w:pos="540"/>
        </w:tabs>
        <w:ind w:left="547" w:hanging="547"/>
        <w:jc w:val="both"/>
        <w:rPr>
          <w:rFonts w:ascii="Arial" w:eastAsia="MS Mincho" w:hAnsi="Arial" w:cs="Arial"/>
          <w:b/>
          <w:sz w:val="20"/>
          <w:szCs w:val="20"/>
          <w:lang w:eastAsia="ja-JP"/>
        </w:rPr>
      </w:pPr>
    </w:p>
    <w:p w14:paraId="04B7FF3B" w14:textId="5783630F" w:rsidR="006B7E9F" w:rsidRPr="005B69F6" w:rsidRDefault="00B409FF" w:rsidP="00023783">
      <w:pPr>
        <w:pStyle w:val="Heading2"/>
        <w:jc w:val="both"/>
      </w:pPr>
      <w:r w:rsidRPr="00926646">
        <w:t>Use</w:t>
      </w:r>
      <w:r w:rsidRPr="005B69F6">
        <w:t xml:space="preserve"> in pregnancy</w:t>
      </w:r>
      <w:r w:rsidR="00A8531C" w:rsidRPr="005B69F6">
        <w:t xml:space="preserve"> - </w:t>
      </w:r>
      <w:r w:rsidR="006B7E9F" w:rsidRPr="005B69F6">
        <w:t>Category B</w:t>
      </w:r>
      <w:r w:rsidR="00226A61" w:rsidRPr="005B69F6">
        <w:t>1</w:t>
      </w:r>
    </w:p>
    <w:p w14:paraId="6C9349B2" w14:textId="77777777" w:rsidR="00226A61" w:rsidRPr="00C62803" w:rsidRDefault="00226A61" w:rsidP="00023783">
      <w:pPr>
        <w:jc w:val="both"/>
        <w:rPr>
          <w:rFonts w:ascii="Arial" w:hAnsi="Arial" w:cs="Arial"/>
          <w:i/>
          <w:iCs/>
          <w:sz w:val="20"/>
          <w:szCs w:val="20"/>
        </w:rPr>
      </w:pPr>
      <w:r w:rsidRPr="00C62803">
        <w:rPr>
          <w:rFonts w:ascii="Arial" w:hAnsi="Arial" w:cs="Arial"/>
          <w:i/>
          <w:iCs/>
          <w:sz w:val="20"/>
          <w:szCs w:val="20"/>
        </w:rPr>
        <w:t>Animal Data</w:t>
      </w:r>
    </w:p>
    <w:p w14:paraId="2E7AFAD8" w14:textId="42EF695E" w:rsidR="00226A61" w:rsidRPr="003E52AF" w:rsidRDefault="00226A61" w:rsidP="00023783">
      <w:pPr>
        <w:jc w:val="both"/>
        <w:rPr>
          <w:rFonts w:ascii="Arial" w:hAnsi="Arial" w:cs="Arial"/>
          <w:sz w:val="20"/>
          <w:szCs w:val="20"/>
          <w:highlight w:val="cyan"/>
          <w:lang w:val="en-AU"/>
        </w:rPr>
      </w:pPr>
      <w:r w:rsidRPr="005C7E09">
        <w:rPr>
          <w:rFonts w:ascii="Arial" w:hAnsi="Arial" w:cs="Arial"/>
          <w:sz w:val="20"/>
          <w:szCs w:val="20"/>
        </w:rPr>
        <w:t xml:space="preserve">Developmental and reproductive toxicity studies have been performed in female rats at a dose approximately 200 times the adult human dose on a microgram/kg basis. In these studies, female rats received </w:t>
      </w:r>
      <w:r w:rsidR="003056A9">
        <w:rPr>
          <w:rFonts w:ascii="Arial" w:hAnsi="Arial" w:cs="Arial"/>
          <w:sz w:val="20"/>
          <w:szCs w:val="20"/>
        </w:rPr>
        <w:t>VAXNEUVANCE</w:t>
      </w:r>
      <w:r w:rsidRPr="005C7E09">
        <w:rPr>
          <w:rFonts w:ascii="Arial" w:hAnsi="Arial" w:cs="Arial"/>
          <w:sz w:val="20"/>
          <w:szCs w:val="20"/>
        </w:rPr>
        <w:t xml:space="preserve"> (32 micrograms/rat/dose) by intramuscular injection 28 days and 7 days prior to mating, on gestation day 6 and on lactation day 7. There was no evidence of embryofetal lethality or fetal malformations and variations and no adverse effects on pre-weaning development were observed. </w:t>
      </w:r>
      <w:r w:rsidRPr="005C7E09" w:rsidDel="00FF7105">
        <w:rPr>
          <w:rFonts w:ascii="Arial" w:hAnsi="Arial" w:cs="Arial"/>
          <w:sz w:val="20"/>
          <w:szCs w:val="20"/>
        </w:rPr>
        <w:t>Antibodies to all 15</w:t>
      </w:r>
      <w:r w:rsidRPr="005C7E09">
        <w:rPr>
          <w:rFonts w:ascii="Arial" w:hAnsi="Arial" w:cs="Arial"/>
          <w:sz w:val="20"/>
          <w:szCs w:val="20"/>
        </w:rPr>
        <w:t> </w:t>
      </w:r>
      <w:r w:rsidRPr="005C7E09" w:rsidDel="00FF7105">
        <w:rPr>
          <w:rFonts w:ascii="Arial" w:hAnsi="Arial" w:cs="Arial"/>
          <w:sz w:val="20"/>
          <w:szCs w:val="20"/>
        </w:rPr>
        <w:t xml:space="preserve">serotypes contained in </w:t>
      </w:r>
      <w:r w:rsidR="003056A9">
        <w:rPr>
          <w:rFonts w:ascii="Arial" w:hAnsi="Arial" w:cs="Arial"/>
          <w:sz w:val="20"/>
          <w:szCs w:val="20"/>
        </w:rPr>
        <w:t>VAXNEUVANCE</w:t>
      </w:r>
      <w:r w:rsidRPr="005C7E09" w:rsidDel="00FF7105">
        <w:rPr>
          <w:rFonts w:ascii="Arial" w:hAnsi="Arial" w:cs="Arial"/>
          <w:sz w:val="20"/>
          <w:szCs w:val="20"/>
        </w:rPr>
        <w:t xml:space="preserve"> were detected in offspring, attributable to the acquisition of maternal antibodies via placental transfer during gestation and possibly via lactation.</w:t>
      </w:r>
    </w:p>
    <w:p w14:paraId="7C24F657" w14:textId="77777777" w:rsidR="00226A61" w:rsidRPr="005B69F6" w:rsidRDefault="00226A61" w:rsidP="00023783">
      <w:pPr>
        <w:jc w:val="both"/>
        <w:rPr>
          <w:rFonts w:ascii="Arial" w:hAnsi="Arial" w:cs="Arial"/>
        </w:rPr>
      </w:pPr>
    </w:p>
    <w:p w14:paraId="1ACBA248" w14:textId="5719B0F5" w:rsidR="00226A61" w:rsidRPr="00C62803" w:rsidRDefault="00226A61" w:rsidP="00023783">
      <w:pPr>
        <w:jc w:val="both"/>
        <w:rPr>
          <w:rFonts w:ascii="Arial" w:hAnsi="Arial" w:cs="Arial"/>
          <w:i/>
          <w:iCs/>
          <w:sz w:val="20"/>
          <w:szCs w:val="20"/>
        </w:rPr>
      </w:pPr>
      <w:r w:rsidRPr="00C62803">
        <w:rPr>
          <w:rFonts w:ascii="Arial" w:hAnsi="Arial" w:cs="Arial"/>
          <w:i/>
          <w:iCs/>
          <w:sz w:val="20"/>
          <w:szCs w:val="20"/>
        </w:rPr>
        <w:t>Human Data</w:t>
      </w:r>
    </w:p>
    <w:p w14:paraId="297DB3FE" w14:textId="0977553B" w:rsidR="00F85F0D" w:rsidRPr="003E52AF" w:rsidRDefault="001D1B71" w:rsidP="00023783">
      <w:pPr>
        <w:jc w:val="both"/>
        <w:rPr>
          <w:rFonts w:ascii="Arial" w:hAnsi="Arial" w:cs="Arial"/>
          <w:sz w:val="20"/>
          <w:szCs w:val="20"/>
          <w:highlight w:val="cyan"/>
          <w:lang w:val="en-AU"/>
        </w:rPr>
      </w:pPr>
      <w:r w:rsidRPr="005B69F6">
        <w:rPr>
          <w:rFonts w:ascii="Arial" w:eastAsia="Cambria" w:hAnsi="Arial" w:cs="Arial"/>
          <w:sz w:val="20"/>
          <w:szCs w:val="20"/>
        </w:rPr>
        <w:t xml:space="preserve">There are no adequate and well-controlled studies of </w:t>
      </w:r>
      <w:r w:rsidR="003056A9">
        <w:rPr>
          <w:rFonts w:ascii="Arial" w:eastAsia="Cambria" w:hAnsi="Arial" w:cs="Arial"/>
          <w:sz w:val="20"/>
          <w:szCs w:val="20"/>
        </w:rPr>
        <w:t>VAXNEUVANCE</w:t>
      </w:r>
      <w:r w:rsidRPr="005B69F6">
        <w:rPr>
          <w:rFonts w:ascii="Arial" w:eastAsia="Cambria" w:hAnsi="Arial" w:cs="Arial"/>
          <w:sz w:val="20"/>
          <w:szCs w:val="20"/>
        </w:rPr>
        <w:t xml:space="preserve"> in pregnant women, and human data available from clinical trials with </w:t>
      </w:r>
      <w:r w:rsidR="003056A9">
        <w:rPr>
          <w:rFonts w:ascii="Arial" w:eastAsia="Cambria" w:hAnsi="Arial" w:cs="Arial"/>
          <w:sz w:val="20"/>
          <w:szCs w:val="20"/>
        </w:rPr>
        <w:t>VAXNEUVANCE</w:t>
      </w:r>
      <w:r w:rsidRPr="005B69F6">
        <w:rPr>
          <w:rFonts w:ascii="Arial" w:eastAsia="Cambria" w:hAnsi="Arial" w:cs="Arial"/>
          <w:sz w:val="20"/>
          <w:szCs w:val="20"/>
        </w:rPr>
        <w:t xml:space="preserve"> have not established the presence or absence of vaccine-associated risk during pregnancy. The decision to vaccinate a woman who is pregnant should consider the woman’s risk of exposure to </w:t>
      </w:r>
      <w:r w:rsidRPr="005B69F6">
        <w:rPr>
          <w:rFonts w:ascii="Arial" w:eastAsia="Cambria" w:hAnsi="Arial" w:cs="Arial"/>
          <w:i/>
          <w:iCs/>
          <w:sz w:val="20"/>
          <w:szCs w:val="20"/>
        </w:rPr>
        <w:t>S. pneumoniae</w:t>
      </w:r>
      <w:r w:rsidRPr="005B69F6">
        <w:rPr>
          <w:rFonts w:ascii="Arial" w:eastAsia="Cambria" w:hAnsi="Arial" w:cs="Arial"/>
          <w:sz w:val="20"/>
          <w:szCs w:val="20"/>
        </w:rPr>
        <w:t xml:space="preserve">; </w:t>
      </w:r>
      <w:r w:rsidR="003056A9">
        <w:rPr>
          <w:rFonts w:ascii="Arial" w:eastAsia="Cambria" w:hAnsi="Arial" w:cs="Arial"/>
          <w:sz w:val="20"/>
          <w:szCs w:val="20"/>
        </w:rPr>
        <w:t>VAXNEUVANCE</w:t>
      </w:r>
      <w:r w:rsidRPr="005B69F6">
        <w:rPr>
          <w:rFonts w:ascii="Arial" w:eastAsia="Cambria" w:hAnsi="Arial" w:cs="Arial"/>
          <w:sz w:val="20"/>
          <w:szCs w:val="20"/>
        </w:rPr>
        <w:t xml:space="preserve"> should be administered only if clearly needed.</w:t>
      </w:r>
    </w:p>
    <w:p w14:paraId="734F485F" w14:textId="77777777" w:rsidR="001D1B71" w:rsidRPr="005B69F6" w:rsidRDefault="001D1B71" w:rsidP="00023783">
      <w:pPr>
        <w:jc w:val="both"/>
        <w:rPr>
          <w:rFonts w:ascii="Arial" w:eastAsia="Cambria" w:hAnsi="Arial" w:cs="Arial"/>
          <w:sz w:val="20"/>
          <w:szCs w:val="20"/>
        </w:rPr>
      </w:pPr>
    </w:p>
    <w:p w14:paraId="566EEFC3" w14:textId="77777777" w:rsidR="00F85F0D" w:rsidRPr="005B69F6" w:rsidRDefault="00B409FF" w:rsidP="00023783">
      <w:pPr>
        <w:pStyle w:val="Heading2"/>
        <w:jc w:val="both"/>
      </w:pPr>
      <w:r w:rsidRPr="005B69F6">
        <w:t>Use in lactation</w:t>
      </w:r>
    </w:p>
    <w:p w14:paraId="51E5A56D" w14:textId="525505C2" w:rsidR="00927D2C" w:rsidRPr="005B69F6" w:rsidRDefault="001D1B71" w:rsidP="0019693E">
      <w:pPr>
        <w:jc w:val="both"/>
        <w:rPr>
          <w:rFonts w:ascii="Arial" w:hAnsi="Arial" w:cs="Arial"/>
          <w:sz w:val="20"/>
          <w:szCs w:val="20"/>
        </w:rPr>
      </w:pPr>
      <w:r w:rsidRPr="005B69F6">
        <w:rPr>
          <w:rFonts w:ascii="Arial" w:hAnsi="Arial" w:cs="Arial"/>
          <w:sz w:val="20"/>
          <w:szCs w:val="20"/>
        </w:rPr>
        <w:t>It is not known whether this vaccine is excreted in human milk.</w:t>
      </w:r>
    </w:p>
    <w:p w14:paraId="7DD56813" w14:textId="7F06A932" w:rsidR="001C4C8F" w:rsidRDefault="001C4C8F" w:rsidP="00971A75">
      <w:pPr>
        <w:jc w:val="both"/>
        <w:rPr>
          <w:rFonts w:ascii="Arial" w:hAnsi="Arial" w:cs="Arial"/>
          <w:sz w:val="20"/>
          <w:szCs w:val="20"/>
        </w:rPr>
      </w:pPr>
    </w:p>
    <w:p w14:paraId="18EB3D25" w14:textId="31CD306C" w:rsidR="00FF7105" w:rsidRDefault="001C4C8F" w:rsidP="0019693E">
      <w:pPr>
        <w:jc w:val="both"/>
        <w:rPr>
          <w:rFonts w:ascii="Arial" w:hAnsi="Arial" w:cs="Arial"/>
          <w:sz w:val="20"/>
          <w:szCs w:val="20"/>
        </w:rPr>
      </w:pPr>
      <w:r w:rsidRPr="001C4C8F">
        <w:rPr>
          <w:rFonts w:ascii="Arial" w:hAnsi="Arial" w:cs="Arial"/>
          <w:sz w:val="20"/>
          <w:szCs w:val="20"/>
        </w:rPr>
        <w:t xml:space="preserve">Vaccine-specific antibodies were detected in rat offspring via maternal transfer from </w:t>
      </w:r>
      <w:proofErr w:type="spellStart"/>
      <w:r w:rsidRPr="001C4C8F">
        <w:rPr>
          <w:rFonts w:ascii="Arial" w:hAnsi="Arial" w:cs="Arial"/>
          <w:sz w:val="20"/>
          <w:szCs w:val="20"/>
        </w:rPr>
        <w:t>immunised</w:t>
      </w:r>
      <w:proofErr w:type="spellEnd"/>
      <w:r w:rsidRPr="001C4C8F">
        <w:rPr>
          <w:rFonts w:ascii="Arial" w:hAnsi="Arial" w:cs="Arial"/>
          <w:sz w:val="20"/>
          <w:szCs w:val="20"/>
        </w:rPr>
        <w:t xml:space="preserve"> female rats [see Use in pregnancy]. Evaluation of antibody levels in animal milk was not conducted.</w:t>
      </w:r>
    </w:p>
    <w:p w14:paraId="27C771CF" w14:textId="77777777" w:rsidR="00C133D4" w:rsidRPr="005B69F6" w:rsidRDefault="00C133D4" w:rsidP="0019693E">
      <w:pPr>
        <w:jc w:val="both"/>
        <w:rPr>
          <w:rFonts w:ascii="Arial" w:hAnsi="Arial" w:cs="Arial"/>
          <w:sz w:val="20"/>
          <w:szCs w:val="20"/>
        </w:rPr>
      </w:pPr>
    </w:p>
    <w:p w14:paraId="4FA1D39C"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EFFECTS ON ABILITY TO DRIVE AND USE MACHINES</w:t>
      </w:r>
    </w:p>
    <w:p w14:paraId="1D45C4CA" w14:textId="77777777" w:rsidR="00E225A3" w:rsidRPr="005B69F6" w:rsidRDefault="00E225A3" w:rsidP="0019693E">
      <w:pPr>
        <w:rPr>
          <w:rFonts w:ascii="Arial" w:hAnsi="Arial" w:cs="Arial"/>
          <w:sz w:val="20"/>
          <w:szCs w:val="20"/>
        </w:rPr>
      </w:pPr>
    </w:p>
    <w:p w14:paraId="2C3DC1B1" w14:textId="3D07508A" w:rsidR="006B7E9F" w:rsidRPr="005B69F6" w:rsidRDefault="003056A9" w:rsidP="0019693E">
      <w:pPr>
        <w:rPr>
          <w:rFonts w:ascii="Arial" w:hAnsi="Arial" w:cs="Arial"/>
          <w:sz w:val="20"/>
          <w:szCs w:val="20"/>
        </w:rPr>
      </w:pPr>
      <w:r>
        <w:rPr>
          <w:rFonts w:ascii="Arial" w:hAnsi="Arial" w:cs="Arial"/>
          <w:sz w:val="20"/>
          <w:szCs w:val="20"/>
        </w:rPr>
        <w:t>VAXNEUVANCE</w:t>
      </w:r>
      <w:r w:rsidR="00A92351" w:rsidRPr="005B69F6">
        <w:rPr>
          <w:rFonts w:ascii="Arial" w:hAnsi="Arial" w:cs="Arial"/>
          <w:sz w:val="20"/>
          <w:szCs w:val="20"/>
        </w:rPr>
        <w:t xml:space="preserve"> has no, or negligible, influence on the ability to drive and use machines.</w:t>
      </w:r>
    </w:p>
    <w:p w14:paraId="5E15874D" w14:textId="77777777" w:rsidR="00F85F0D" w:rsidRPr="005B69F6" w:rsidRDefault="00F85F0D" w:rsidP="0019693E">
      <w:pPr>
        <w:rPr>
          <w:rFonts w:ascii="Arial" w:eastAsia="Cambria" w:hAnsi="Arial" w:cs="Arial"/>
          <w:sz w:val="20"/>
          <w:szCs w:val="20"/>
        </w:rPr>
      </w:pPr>
    </w:p>
    <w:p w14:paraId="7AF48B6E"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ADVERSE EFFECTS (UNDESIRABLE EFFECTS)</w:t>
      </w:r>
    </w:p>
    <w:p w14:paraId="129601D6" w14:textId="77777777" w:rsidR="00F85F0D" w:rsidRPr="005B69F6" w:rsidRDefault="00F85F0D" w:rsidP="0019693E">
      <w:pPr>
        <w:rPr>
          <w:rFonts w:ascii="Arial" w:eastAsia="Cambria" w:hAnsi="Arial" w:cs="Arial"/>
          <w:b/>
          <w:bCs/>
          <w:sz w:val="20"/>
          <w:szCs w:val="20"/>
        </w:rPr>
      </w:pPr>
    </w:p>
    <w:p w14:paraId="6E3FE4FE" w14:textId="77777777" w:rsidR="003B2BFE" w:rsidRPr="005B69F6" w:rsidRDefault="003B2BFE" w:rsidP="003242FD">
      <w:pPr>
        <w:pStyle w:val="Heading2"/>
      </w:pPr>
      <w:r w:rsidRPr="005B69F6">
        <w:t>Clinical Trials Experience</w:t>
      </w:r>
    </w:p>
    <w:p w14:paraId="2440CC5A" w14:textId="5CA9913A" w:rsidR="003B2BFE" w:rsidRPr="005B69F6" w:rsidRDefault="003B2BFE" w:rsidP="0019693E">
      <w:pPr>
        <w:pStyle w:val="BodyText1"/>
        <w:spacing w:before="0"/>
        <w:ind w:firstLine="0"/>
        <w:jc w:val="both"/>
        <w:rPr>
          <w:rFonts w:ascii="Arial" w:hAnsi="Arial" w:cs="Arial"/>
          <w:sz w:val="20"/>
          <w:szCs w:val="20"/>
        </w:rPr>
      </w:pPr>
      <w:r w:rsidRPr="005B69F6">
        <w:rPr>
          <w:rFonts w:ascii="Arial" w:hAnsi="Arial" w:cs="Arial"/>
          <w:sz w:val="20"/>
          <w:szCs w:val="20"/>
        </w:rPr>
        <w:t xml:space="preserve">The safety of </w:t>
      </w:r>
      <w:r w:rsidR="003056A9">
        <w:rPr>
          <w:rFonts w:ascii="Arial" w:hAnsi="Arial" w:cs="Arial"/>
          <w:sz w:val="20"/>
          <w:szCs w:val="20"/>
        </w:rPr>
        <w:t>VAXNEUVANCE</w:t>
      </w:r>
      <w:r w:rsidRPr="005B69F6">
        <w:rPr>
          <w:rFonts w:ascii="Arial" w:hAnsi="Arial" w:cs="Arial"/>
          <w:sz w:val="20"/>
          <w:szCs w:val="20"/>
        </w:rPr>
        <w:t xml:space="preserve"> in healthy and immunocompetent adults was assessed in 6 randomized, double-blind clinical studies (Protocol 007, Protocol 016, Protocol 017, Protocol 019, Protocol </w:t>
      </w:r>
      <w:proofErr w:type="gramStart"/>
      <w:r w:rsidRPr="005B69F6">
        <w:rPr>
          <w:rFonts w:ascii="Arial" w:hAnsi="Arial" w:cs="Arial"/>
          <w:sz w:val="20"/>
          <w:szCs w:val="20"/>
        </w:rPr>
        <w:t>020</w:t>
      </w:r>
      <w:proofErr w:type="gramEnd"/>
      <w:r w:rsidRPr="005B69F6">
        <w:rPr>
          <w:rFonts w:ascii="Arial" w:hAnsi="Arial" w:cs="Arial"/>
          <w:sz w:val="20"/>
          <w:szCs w:val="20"/>
        </w:rPr>
        <w:t xml:space="preserve"> and Protocol 021) conducted across the Americas, Europe and Asia Pacific, which included 7,136 adults ranging in age from 18 to 98 years. Each study enrolled adults with stable underlying medical conditions and/or risk factors that are known to increase the risk of pneumococcal disease.</w:t>
      </w:r>
    </w:p>
    <w:p w14:paraId="64EC57B5" w14:textId="77777777" w:rsidR="003B2BFE" w:rsidRPr="005B69F6" w:rsidRDefault="003B2BFE" w:rsidP="0019693E">
      <w:pPr>
        <w:pStyle w:val="BodyText1"/>
        <w:spacing w:before="0"/>
        <w:ind w:firstLine="0"/>
        <w:jc w:val="both"/>
        <w:rPr>
          <w:rFonts w:ascii="Arial" w:hAnsi="Arial" w:cs="Arial"/>
          <w:sz w:val="20"/>
          <w:szCs w:val="20"/>
        </w:rPr>
      </w:pPr>
    </w:p>
    <w:p w14:paraId="59EDB1BD" w14:textId="47357A38" w:rsidR="003B2BFE" w:rsidRPr="005B69F6" w:rsidRDefault="003056A9" w:rsidP="003E52AF">
      <w:pPr>
        <w:pStyle w:val="Paragraph"/>
        <w:spacing w:after="0"/>
        <w:rPr>
          <w:rFonts w:ascii="Arial" w:hAnsi="Arial" w:cs="Arial"/>
          <w:sz w:val="20"/>
          <w:szCs w:val="20"/>
        </w:rPr>
      </w:pPr>
      <w:r>
        <w:rPr>
          <w:rFonts w:ascii="Arial" w:hAnsi="Arial" w:cs="Arial"/>
          <w:sz w:val="20"/>
          <w:szCs w:val="20"/>
        </w:rPr>
        <w:t>VAXNEUVANCE</w:t>
      </w:r>
      <w:r w:rsidR="003B2BFE" w:rsidRPr="005B69F6">
        <w:rPr>
          <w:rFonts w:ascii="Arial" w:hAnsi="Arial" w:cs="Arial"/>
          <w:sz w:val="20"/>
          <w:szCs w:val="20"/>
        </w:rPr>
        <w:t xml:space="preserve"> was administered to 5,478 adults; 1,134 were 18 to 49 years of age, 1,874 were 50 to 64 years of age, and 2,470 were 65 years of age and older. Of those who received </w:t>
      </w:r>
      <w:r>
        <w:rPr>
          <w:rFonts w:ascii="Arial" w:hAnsi="Arial" w:cs="Arial"/>
          <w:sz w:val="20"/>
          <w:szCs w:val="20"/>
        </w:rPr>
        <w:t>VAXNEUVANCE</w:t>
      </w:r>
      <w:r w:rsidR="003B2BFE" w:rsidRPr="005B69F6">
        <w:rPr>
          <w:rFonts w:ascii="Arial" w:hAnsi="Arial" w:cs="Arial"/>
          <w:sz w:val="20"/>
          <w:szCs w:val="20"/>
        </w:rPr>
        <w:t>, 5,101 adults were pneumococcal vaccine</w:t>
      </w:r>
      <w:r w:rsidR="003B2BFE" w:rsidRPr="005B69F6">
        <w:rPr>
          <w:rFonts w:ascii="Arial" w:hAnsi="Arial" w:cs="Arial"/>
          <w:sz w:val="20"/>
          <w:szCs w:val="20"/>
        </w:rPr>
        <w:noBreakHyphen/>
        <w:t>naïve and 377 adults were previously vaccinated with PNEUMOVAX 23</w:t>
      </w:r>
      <w:r w:rsidR="00741FBE" w:rsidRPr="0048365F">
        <w:rPr>
          <w:rFonts w:ascii="Arial" w:hAnsi="Arial" w:cs="Arial"/>
          <w:color w:val="000000"/>
          <w:sz w:val="20"/>
          <w:szCs w:val="20"/>
          <w:vertAlign w:val="superscript"/>
          <w:lang w:eastAsia="zh-CN"/>
        </w:rPr>
        <w:t>®</w:t>
      </w:r>
      <w:r w:rsidR="00226A61" w:rsidRPr="005B69F6">
        <w:rPr>
          <w:rFonts w:ascii="Arial" w:hAnsi="Arial" w:cs="Arial"/>
          <w:sz w:val="20"/>
          <w:szCs w:val="20"/>
        </w:rPr>
        <w:t xml:space="preserve"> </w:t>
      </w:r>
      <w:r w:rsidR="00226A61" w:rsidRPr="005B69F6">
        <w:rPr>
          <w:rFonts w:ascii="Arial" w:hAnsi="Arial" w:cs="Arial"/>
          <w:color w:val="000000"/>
          <w:sz w:val="20"/>
          <w:szCs w:val="20"/>
          <w:lang w:eastAsia="zh-CN"/>
        </w:rPr>
        <w:t>[pneumococcal vaccine polyvalent]</w:t>
      </w:r>
      <w:r w:rsidR="003B2BFE" w:rsidRPr="005B69F6">
        <w:rPr>
          <w:rFonts w:ascii="Arial" w:hAnsi="Arial" w:cs="Arial"/>
          <w:sz w:val="20"/>
          <w:szCs w:val="20"/>
        </w:rPr>
        <w:t xml:space="preserve"> at least 1 year prior to enrollment.</w:t>
      </w:r>
    </w:p>
    <w:p w14:paraId="0EC88A96" w14:textId="77777777" w:rsidR="003B2BFE" w:rsidRPr="005B69F6" w:rsidRDefault="003B2BFE" w:rsidP="0019693E">
      <w:pPr>
        <w:pStyle w:val="BodyText1"/>
        <w:spacing w:before="0"/>
        <w:ind w:firstLine="0"/>
        <w:jc w:val="both"/>
        <w:rPr>
          <w:rFonts w:ascii="Arial" w:hAnsi="Arial" w:cs="Arial"/>
          <w:sz w:val="20"/>
          <w:szCs w:val="20"/>
        </w:rPr>
      </w:pPr>
    </w:p>
    <w:p w14:paraId="3E7957B0" w14:textId="308966D6" w:rsidR="003B2BFE" w:rsidRPr="005B69F6" w:rsidRDefault="003B2BFE" w:rsidP="0019693E">
      <w:pPr>
        <w:pStyle w:val="BodyText1"/>
        <w:spacing w:before="0"/>
        <w:ind w:firstLine="0"/>
        <w:jc w:val="both"/>
        <w:rPr>
          <w:rFonts w:ascii="Arial" w:hAnsi="Arial" w:cs="Arial"/>
          <w:sz w:val="20"/>
          <w:szCs w:val="20"/>
        </w:rPr>
      </w:pPr>
      <w:r w:rsidRPr="005B69F6">
        <w:rPr>
          <w:rFonts w:ascii="Arial" w:hAnsi="Arial" w:cs="Arial"/>
          <w:sz w:val="20"/>
          <w:szCs w:val="20"/>
        </w:rPr>
        <w:t xml:space="preserve">The safety of </w:t>
      </w:r>
      <w:r w:rsidR="003056A9">
        <w:rPr>
          <w:rFonts w:ascii="Arial" w:hAnsi="Arial" w:cs="Arial"/>
          <w:sz w:val="20"/>
          <w:szCs w:val="20"/>
        </w:rPr>
        <w:t>VAXNEUVANCE</w:t>
      </w:r>
      <w:r w:rsidRPr="005B69F6">
        <w:rPr>
          <w:rFonts w:ascii="Arial" w:hAnsi="Arial" w:cs="Arial"/>
          <w:sz w:val="20"/>
          <w:szCs w:val="20"/>
        </w:rPr>
        <w:t xml:space="preserve"> in pneumococcal vaccine-naïve adults 50 years of age and older was evaluated in 3 active comparator-controlled clinical studies (Protocol 016, Protocol </w:t>
      </w:r>
      <w:proofErr w:type="gramStart"/>
      <w:r w:rsidRPr="005B69F6">
        <w:rPr>
          <w:rFonts w:ascii="Arial" w:hAnsi="Arial" w:cs="Arial"/>
          <w:sz w:val="20"/>
          <w:szCs w:val="20"/>
        </w:rPr>
        <w:t>019</w:t>
      </w:r>
      <w:proofErr w:type="gramEnd"/>
      <w:r w:rsidRPr="005B69F6">
        <w:rPr>
          <w:rFonts w:ascii="Arial" w:hAnsi="Arial" w:cs="Arial"/>
          <w:sz w:val="20"/>
          <w:szCs w:val="20"/>
        </w:rPr>
        <w:t xml:space="preserve"> and Protocol 020) in which 3,032 participants received </w:t>
      </w:r>
      <w:r w:rsidR="003056A9">
        <w:rPr>
          <w:rFonts w:ascii="Arial" w:hAnsi="Arial" w:cs="Arial"/>
          <w:sz w:val="20"/>
          <w:szCs w:val="20"/>
        </w:rPr>
        <w:t>VAXNEUVANCE</w:t>
      </w:r>
      <w:r w:rsidRPr="005B69F6">
        <w:rPr>
          <w:rFonts w:ascii="Arial" w:hAnsi="Arial" w:cs="Arial"/>
          <w:sz w:val="20"/>
          <w:szCs w:val="20"/>
        </w:rPr>
        <w:t xml:space="preserve"> and 1,154 participants received </w:t>
      </w:r>
      <w:r w:rsidR="00D331B1" w:rsidRPr="005B69F6">
        <w:rPr>
          <w:rFonts w:ascii="Arial" w:hAnsi="Arial" w:cs="Arial"/>
          <w:sz w:val="20"/>
          <w:szCs w:val="20"/>
        </w:rPr>
        <w:t>Prevenar</w:t>
      </w:r>
      <w:r w:rsidRPr="005B69F6">
        <w:rPr>
          <w:rFonts w:ascii="Arial" w:hAnsi="Arial" w:cs="Arial"/>
          <w:sz w:val="20"/>
          <w:szCs w:val="20"/>
        </w:rPr>
        <w:t> 13</w:t>
      </w:r>
      <w:r w:rsidR="00226A61" w:rsidRPr="003242FD">
        <w:rPr>
          <w:rFonts w:ascii="Arial" w:hAnsi="Arial" w:cs="Arial"/>
          <w:color w:val="000000"/>
          <w:sz w:val="20"/>
          <w:szCs w:val="20"/>
          <w:vertAlign w:val="superscript"/>
          <w:lang w:eastAsia="zh-CN"/>
        </w:rPr>
        <w:t>®</w:t>
      </w:r>
      <w:r w:rsidR="00226A61" w:rsidRPr="005B69F6">
        <w:rPr>
          <w:rFonts w:ascii="Arial" w:hAnsi="Arial" w:cs="Arial"/>
          <w:color w:val="000000"/>
          <w:sz w:val="20"/>
          <w:szCs w:val="20"/>
          <w:lang w:eastAsia="zh-CN"/>
        </w:rPr>
        <w:t xml:space="preserve"> [Pneumococcal polysaccharide conjugate vaccine, 13-valent adsorbed] (PCV13)</w:t>
      </w:r>
      <w:r w:rsidRPr="005B69F6">
        <w:rPr>
          <w:rFonts w:ascii="Arial" w:hAnsi="Arial" w:cs="Arial"/>
          <w:sz w:val="20"/>
          <w:szCs w:val="20"/>
        </w:rPr>
        <w:t xml:space="preserve">. </w:t>
      </w:r>
      <w:bookmarkStart w:id="1" w:name="_Hlk52785010"/>
      <w:r w:rsidRPr="005B69F6">
        <w:rPr>
          <w:rFonts w:ascii="Arial" w:hAnsi="Arial" w:cs="Arial"/>
          <w:sz w:val="20"/>
          <w:szCs w:val="20"/>
        </w:rPr>
        <w:t xml:space="preserve">A descriptive study (Protocol 017) evaluated the safety of </w:t>
      </w:r>
      <w:r w:rsidR="003056A9">
        <w:rPr>
          <w:rFonts w:ascii="Arial" w:hAnsi="Arial" w:cs="Arial"/>
          <w:sz w:val="20"/>
          <w:szCs w:val="20"/>
        </w:rPr>
        <w:t>VAXNEUVANCE</w:t>
      </w:r>
      <w:r w:rsidRPr="005B69F6">
        <w:rPr>
          <w:rFonts w:ascii="Arial" w:hAnsi="Arial" w:cs="Arial"/>
          <w:sz w:val="20"/>
          <w:szCs w:val="20"/>
        </w:rPr>
        <w:t xml:space="preserve"> in pneumococcal vaccine-naïve adults 18 to 49 years of age.</w:t>
      </w:r>
    </w:p>
    <w:p w14:paraId="5025C172" w14:textId="77777777" w:rsidR="003B2BFE" w:rsidRPr="005B69F6" w:rsidRDefault="003B2BFE" w:rsidP="0019693E">
      <w:pPr>
        <w:pStyle w:val="BodyText1"/>
        <w:spacing w:before="0"/>
        <w:ind w:firstLine="0"/>
        <w:jc w:val="both"/>
        <w:rPr>
          <w:rFonts w:ascii="Arial" w:hAnsi="Arial" w:cs="Arial"/>
          <w:sz w:val="20"/>
          <w:szCs w:val="20"/>
        </w:rPr>
      </w:pPr>
    </w:p>
    <w:p w14:paraId="537B0954" w14:textId="4A5D9F20" w:rsidR="003B2BFE" w:rsidRPr="005B69F6" w:rsidRDefault="003B2BFE" w:rsidP="0019693E">
      <w:pPr>
        <w:pStyle w:val="BodyText1"/>
        <w:spacing w:before="0"/>
        <w:ind w:firstLine="0"/>
        <w:jc w:val="both"/>
        <w:rPr>
          <w:rFonts w:ascii="Arial" w:hAnsi="Arial" w:cs="Arial"/>
          <w:sz w:val="20"/>
          <w:szCs w:val="20"/>
        </w:rPr>
      </w:pPr>
      <w:r w:rsidRPr="005B69F6">
        <w:rPr>
          <w:rFonts w:ascii="Arial" w:hAnsi="Arial" w:cs="Arial"/>
          <w:sz w:val="20"/>
          <w:szCs w:val="20"/>
        </w:rPr>
        <w:t xml:space="preserve">The safety of </w:t>
      </w:r>
      <w:r w:rsidR="003056A9">
        <w:rPr>
          <w:rFonts w:ascii="Arial" w:hAnsi="Arial" w:cs="Arial"/>
          <w:sz w:val="20"/>
          <w:szCs w:val="20"/>
        </w:rPr>
        <w:t>VAXNEUVANCE</w:t>
      </w:r>
      <w:r w:rsidRPr="005B69F6">
        <w:rPr>
          <w:rFonts w:ascii="Arial" w:hAnsi="Arial" w:cs="Arial"/>
          <w:sz w:val="20"/>
          <w:szCs w:val="20"/>
        </w:rPr>
        <w:t xml:space="preserve"> in adults 65 years of age and older who were previously vaccinated with PNEUMOVAX 23 (at least 1 year prior to study entry) was evaluated in an additional descriptive study (Protocol 007).</w:t>
      </w:r>
    </w:p>
    <w:bookmarkEnd w:id="1"/>
    <w:p w14:paraId="3221D054" w14:textId="77777777" w:rsidR="003B2BFE" w:rsidRPr="005B69F6" w:rsidRDefault="003B2BFE" w:rsidP="0019693E">
      <w:pPr>
        <w:pStyle w:val="BodyText1"/>
        <w:spacing w:before="0"/>
        <w:ind w:firstLine="0"/>
        <w:jc w:val="both"/>
        <w:rPr>
          <w:rFonts w:ascii="Arial" w:hAnsi="Arial" w:cs="Arial"/>
          <w:sz w:val="20"/>
          <w:szCs w:val="20"/>
        </w:rPr>
      </w:pPr>
    </w:p>
    <w:p w14:paraId="5642072C" w14:textId="2210642B" w:rsidR="003B2BFE" w:rsidRPr="005B69F6" w:rsidRDefault="003B2BFE" w:rsidP="0019693E">
      <w:pPr>
        <w:pStyle w:val="BodyText1"/>
        <w:spacing w:before="0"/>
        <w:ind w:firstLine="0"/>
        <w:jc w:val="both"/>
        <w:rPr>
          <w:rFonts w:ascii="Arial" w:hAnsi="Arial" w:cs="Arial"/>
          <w:sz w:val="20"/>
          <w:szCs w:val="20"/>
        </w:rPr>
      </w:pPr>
      <w:r w:rsidRPr="005B69F6">
        <w:rPr>
          <w:rFonts w:ascii="Arial" w:hAnsi="Arial" w:cs="Arial"/>
          <w:sz w:val="20"/>
          <w:szCs w:val="20"/>
        </w:rPr>
        <w:lastRenderedPageBreak/>
        <w:t xml:space="preserve">The safety of concomitant administration of </w:t>
      </w:r>
      <w:r w:rsidR="003056A9">
        <w:rPr>
          <w:rFonts w:ascii="Arial" w:hAnsi="Arial" w:cs="Arial"/>
          <w:sz w:val="20"/>
          <w:szCs w:val="20"/>
        </w:rPr>
        <w:t>VAXNEUVANCE</w:t>
      </w:r>
      <w:r w:rsidRPr="005B69F6">
        <w:rPr>
          <w:rFonts w:ascii="Arial" w:hAnsi="Arial" w:cs="Arial"/>
          <w:sz w:val="20"/>
          <w:szCs w:val="20"/>
        </w:rPr>
        <w:t xml:space="preserve"> with seasonal inactivated influenza vaccine was evaluated in 1,196 adults 50 years of age and older</w:t>
      </w:r>
      <w:r w:rsidRPr="003E52AF">
        <w:rPr>
          <w:rFonts w:ascii="Arial" w:eastAsiaTheme="minorHAnsi" w:hAnsi="Arial" w:cs="Arial"/>
          <w:sz w:val="20"/>
          <w:szCs w:val="20"/>
          <w:lang w:val="en-AU"/>
        </w:rPr>
        <w:t>,</w:t>
      </w:r>
      <w:r w:rsidRPr="005B69F6">
        <w:rPr>
          <w:rFonts w:ascii="Arial" w:hAnsi="Arial" w:cs="Arial"/>
          <w:sz w:val="20"/>
          <w:szCs w:val="20"/>
        </w:rPr>
        <w:t xml:space="preserve"> including those with or without a history of prior vaccination with PNEUMOVAX 23 (Protocol 021).</w:t>
      </w:r>
    </w:p>
    <w:p w14:paraId="3E1A08F6" w14:textId="77777777" w:rsidR="003B2BFE" w:rsidRPr="005B69F6" w:rsidRDefault="003B2BFE" w:rsidP="0019693E">
      <w:pPr>
        <w:pStyle w:val="BodyText1"/>
        <w:spacing w:before="0"/>
        <w:ind w:firstLine="0"/>
        <w:jc w:val="both"/>
        <w:rPr>
          <w:rFonts w:ascii="Arial" w:hAnsi="Arial" w:cs="Arial"/>
          <w:sz w:val="20"/>
          <w:szCs w:val="20"/>
        </w:rPr>
      </w:pPr>
    </w:p>
    <w:p w14:paraId="07D6A761" w14:textId="69DF7DF7" w:rsidR="003B2BFE" w:rsidRPr="005B69F6" w:rsidRDefault="003B2BFE" w:rsidP="00897976">
      <w:pPr>
        <w:pStyle w:val="Paragraph"/>
        <w:spacing w:after="0"/>
        <w:rPr>
          <w:rFonts w:ascii="Arial" w:hAnsi="Arial" w:cs="Arial"/>
          <w:sz w:val="20"/>
          <w:szCs w:val="20"/>
        </w:rPr>
      </w:pPr>
      <w:r w:rsidRPr="005B69F6">
        <w:rPr>
          <w:rFonts w:ascii="Arial" w:hAnsi="Arial" w:cs="Arial"/>
          <w:sz w:val="20"/>
          <w:szCs w:val="20"/>
        </w:rPr>
        <w:t>Safety was evaluated using a Vaccination Report Card for up to 14 days postvaccination. Oral body temperature and injection</w:t>
      </w:r>
      <w:r w:rsidRPr="005B69F6">
        <w:rPr>
          <w:rFonts w:ascii="Arial" w:hAnsi="Arial" w:cs="Arial"/>
          <w:sz w:val="20"/>
          <w:szCs w:val="20"/>
        </w:rPr>
        <w:noBreakHyphen/>
        <w:t xml:space="preserve">site adverse events were solicited on Day 1 through Day 5 postvaccination. Systemic adverse events were solicited on Day 1 through Day 14 postvaccination. Unsolicited adverse events were reported on Day 1 through Day 14 postvaccination. The duration of the safety follow-up period postvaccination with </w:t>
      </w:r>
      <w:r w:rsidR="003056A9">
        <w:rPr>
          <w:rFonts w:ascii="Arial" w:hAnsi="Arial" w:cs="Arial"/>
          <w:sz w:val="20"/>
          <w:szCs w:val="20"/>
        </w:rPr>
        <w:t>VAXNEUVANCE</w:t>
      </w:r>
      <w:r w:rsidRPr="005B69F6">
        <w:rPr>
          <w:rFonts w:ascii="Arial" w:hAnsi="Arial" w:cs="Arial"/>
          <w:sz w:val="20"/>
          <w:szCs w:val="20"/>
        </w:rPr>
        <w:t xml:space="preserve"> was 1 month in Protocol 007, 6 months in Protocol 019, Protocol 020, Protocol 017 and Protocol 021 and 12 months in Protocol 016.</w:t>
      </w:r>
    </w:p>
    <w:p w14:paraId="50DFD7D4" w14:textId="77777777" w:rsidR="003B2BFE" w:rsidRPr="005B69F6" w:rsidRDefault="003B2BFE" w:rsidP="0019693E">
      <w:pPr>
        <w:pStyle w:val="BodyText1"/>
        <w:spacing w:before="0"/>
        <w:ind w:firstLine="0"/>
        <w:jc w:val="both"/>
        <w:rPr>
          <w:rFonts w:ascii="Arial" w:hAnsi="Arial" w:cs="Arial"/>
          <w:sz w:val="20"/>
          <w:szCs w:val="20"/>
        </w:rPr>
      </w:pPr>
    </w:p>
    <w:p w14:paraId="3667C492" w14:textId="77777777" w:rsidR="003B2BFE" w:rsidRPr="005F56CD" w:rsidRDefault="003B2BFE" w:rsidP="0019693E">
      <w:pPr>
        <w:pStyle w:val="BodyText1"/>
        <w:spacing w:before="0"/>
        <w:ind w:firstLine="0"/>
        <w:jc w:val="both"/>
        <w:rPr>
          <w:rFonts w:ascii="Arial" w:hAnsi="Arial" w:cs="Arial"/>
          <w:i/>
          <w:sz w:val="20"/>
          <w:szCs w:val="20"/>
        </w:rPr>
      </w:pPr>
      <w:r w:rsidRPr="005F56CD">
        <w:rPr>
          <w:rFonts w:ascii="Arial" w:hAnsi="Arial" w:cs="Arial"/>
          <w:i/>
          <w:sz w:val="20"/>
          <w:szCs w:val="20"/>
        </w:rPr>
        <w:t>Solicited Adverse Reactions</w:t>
      </w:r>
    </w:p>
    <w:p w14:paraId="45ECE5BD" w14:textId="4939F965" w:rsidR="003B2BFE" w:rsidRPr="005B69F6" w:rsidRDefault="003B2BFE" w:rsidP="0019693E">
      <w:pPr>
        <w:pStyle w:val="BodyText1"/>
        <w:spacing w:before="0"/>
        <w:ind w:firstLine="0"/>
        <w:jc w:val="both"/>
        <w:rPr>
          <w:rFonts w:ascii="Arial" w:hAnsi="Arial" w:cs="Arial"/>
          <w:sz w:val="20"/>
          <w:szCs w:val="20"/>
        </w:rPr>
      </w:pPr>
      <w:r w:rsidRPr="005B69F6">
        <w:rPr>
          <w:rFonts w:ascii="Arial" w:hAnsi="Arial" w:cs="Arial"/>
          <w:sz w:val="20"/>
          <w:szCs w:val="20"/>
        </w:rPr>
        <w:t xml:space="preserve">The percentage of participants with solicited adverse reactions that occurred within </w:t>
      </w:r>
      <w:proofErr w:type="gramStart"/>
      <w:r w:rsidRPr="005B69F6">
        <w:rPr>
          <w:rFonts w:ascii="Arial" w:hAnsi="Arial" w:cs="Arial"/>
          <w:sz w:val="20"/>
          <w:szCs w:val="20"/>
        </w:rPr>
        <w:t>5 or 14 days</w:t>
      </w:r>
      <w:proofErr w:type="gramEnd"/>
      <w:r w:rsidRPr="005B69F6">
        <w:rPr>
          <w:rFonts w:ascii="Arial" w:hAnsi="Arial" w:cs="Arial"/>
          <w:sz w:val="20"/>
          <w:szCs w:val="20"/>
        </w:rPr>
        <w:t xml:space="preserve"> following administration of </w:t>
      </w:r>
      <w:r w:rsidR="003056A9">
        <w:rPr>
          <w:rFonts w:ascii="Arial" w:hAnsi="Arial" w:cs="Arial"/>
          <w:sz w:val="20"/>
          <w:szCs w:val="20"/>
        </w:rPr>
        <w:t>VAXNEUVANCE</w:t>
      </w:r>
      <w:r w:rsidRPr="005B69F6">
        <w:rPr>
          <w:rFonts w:ascii="Arial" w:hAnsi="Arial" w:cs="Arial"/>
          <w:sz w:val="20"/>
          <w:szCs w:val="20"/>
        </w:rPr>
        <w:t xml:space="preserve"> or </w:t>
      </w:r>
      <w:r w:rsidR="00D331B1" w:rsidRPr="005B69F6">
        <w:rPr>
          <w:rFonts w:ascii="Arial" w:hAnsi="Arial" w:cs="Arial"/>
          <w:color w:val="000000"/>
          <w:sz w:val="20"/>
          <w:szCs w:val="20"/>
          <w:lang w:eastAsia="zh-CN"/>
        </w:rPr>
        <w:t>Prevenar</w:t>
      </w:r>
      <w:r w:rsidRPr="005B69F6">
        <w:rPr>
          <w:rFonts w:ascii="Arial" w:hAnsi="Arial" w:cs="Arial"/>
          <w:color w:val="000000"/>
          <w:sz w:val="20"/>
          <w:szCs w:val="20"/>
          <w:lang w:eastAsia="zh-CN"/>
        </w:rPr>
        <w:t xml:space="preserve"> 13 </w:t>
      </w:r>
      <w:r w:rsidRPr="005B69F6">
        <w:rPr>
          <w:rFonts w:ascii="Arial" w:hAnsi="Arial" w:cs="Arial"/>
          <w:sz w:val="20"/>
          <w:szCs w:val="20"/>
        </w:rPr>
        <w:t xml:space="preserve">in 5 studies are shown in Tables 1-2. All solicited adverse reactions occurred in ≥5% of participants with </w:t>
      </w:r>
      <w:r w:rsidR="003056A9">
        <w:rPr>
          <w:rFonts w:ascii="Arial" w:hAnsi="Arial" w:cs="Arial"/>
          <w:sz w:val="20"/>
          <w:szCs w:val="20"/>
        </w:rPr>
        <w:t>VAXNEUVANCE</w:t>
      </w:r>
      <w:r w:rsidRPr="005B69F6">
        <w:rPr>
          <w:rFonts w:ascii="Arial" w:hAnsi="Arial" w:cs="Arial"/>
          <w:sz w:val="20"/>
          <w:szCs w:val="20"/>
        </w:rPr>
        <w:t xml:space="preserve">; older adults reported fewer solicited adverse reactions than younger adults, regardless of vaccination group. The majority of solicited adverse reactions were mild (based on intensity or size) and of short duration (≤3 days); severe reactions </w:t>
      </w:r>
      <w:bookmarkStart w:id="2" w:name="_Hlk52969299"/>
      <w:r w:rsidRPr="005B69F6">
        <w:rPr>
          <w:rFonts w:ascii="Arial" w:hAnsi="Arial" w:cs="Arial"/>
          <w:sz w:val="20"/>
          <w:szCs w:val="20"/>
        </w:rPr>
        <w:t xml:space="preserve">(defined as an event that prevents normal daily activity or size &gt;10 cm) </w:t>
      </w:r>
      <w:bookmarkEnd w:id="2"/>
      <w:r w:rsidRPr="005B69F6">
        <w:rPr>
          <w:rFonts w:ascii="Arial" w:hAnsi="Arial" w:cs="Arial"/>
          <w:sz w:val="20"/>
          <w:szCs w:val="20"/>
        </w:rPr>
        <w:t xml:space="preserve">occurred in ≤1.5% of adults. </w:t>
      </w:r>
    </w:p>
    <w:p w14:paraId="2C364F30" w14:textId="77777777" w:rsidR="003B2BFE" w:rsidRPr="005B69F6" w:rsidRDefault="003B2BFE" w:rsidP="0019693E">
      <w:pPr>
        <w:pStyle w:val="BodyText1"/>
        <w:spacing w:before="0"/>
        <w:ind w:firstLine="0"/>
        <w:jc w:val="both"/>
        <w:rPr>
          <w:rFonts w:ascii="Arial" w:hAnsi="Arial" w:cs="Arial"/>
          <w:sz w:val="20"/>
          <w:szCs w:val="20"/>
        </w:rPr>
      </w:pPr>
    </w:p>
    <w:p w14:paraId="3A88C1E0" w14:textId="33F10891" w:rsidR="003B2BFE" w:rsidRDefault="003B2BFE" w:rsidP="0019693E">
      <w:pPr>
        <w:pStyle w:val="BodyText1"/>
        <w:keepNext/>
        <w:keepLines/>
        <w:spacing w:before="0"/>
        <w:ind w:firstLine="0"/>
        <w:jc w:val="center"/>
        <w:rPr>
          <w:rFonts w:ascii="Arial" w:hAnsi="Arial" w:cs="Arial"/>
          <w:b/>
          <w:bCs/>
          <w:sz w:val="18"/>
          <w:szCs w:val="18"/>
        </w:rPr>
      </w:pPr>
      <w:r w:rsidRPr="005B69F6">
        <w:rPr>
          <w:rFonts w:ascii="Arial" w:hAnsi="Arial" w:cs="Arial"/>
          <w:b/>
          <w:bCs/>
          <w:sz w:val="18"/>
          <w:szCs w:val="18"/>
        </w:rPr>
        <w:t>Table 1</w:t>
      </w:r>
      <w:r w:rsidR="00226A61" w:rsidRPr="005B69F6">
        <w:rPr>
          <w:rFonts w:ascii="Arial" w:hAnsi="Arial" w:cs="Arial"/>
          <w:b/>
          <w:bCs/>
          <w:sz w:val="18"/>
          <w:szCs w:val="18"/>
        </w:rPr>
        <w:t>:</w:t>
      </w:r>
      <w:r w:rsidRPr="005B69F6">
        <w:rPr>
          <w:rFonts w:ascii="Arial" w:hAnsi="Arial" w:cs="Arial"/>
          <w:b/>
          <w:bCs/>
          <w:sz w:val="18"/>
          <w:szCs w:val="18"/>
        </w:rPr>
        <w:t xml:space="preserve"> Percentage of Participants with Solicited Local and Systemic Adverse Reactions Within 5 or 14 Days Postvaccination in Pneumococcal Vaccine</w:t>
      </w:r>
      <w:r w:rsidRPr="005B69F6">
        <w:rPr>
          <w:rFonts w:ascii="Arial" w:hAnsi="Arial" w:cs="Arial"/>
          <w:b/>
          <w:bCs/>
          <w:sz w:val="18"/>
          <w:szCs w:val="18"/>
        </w:rPr>
        <w:noBreakHyphen/>
        <w:t>Naïve Adults</w:t>
      </w:r>
    </w:p>
    <w:p w14:paraId="0370CDB7" w14:textId="09F8212B" w:rsidR="00966763" w:rsidRPr="003E52AF" w:rsidRDefault="00966763" w:rsidP="00966763">
      <w:pPr>
        <w:pStyle w:val="Paragraph"/>
        <w:spacing w:after="0"/>
        <w:rPr>
          <w:rFonts w:ascii="Arial" w:eastAsiaTheme="minorHAnsi" w:hAnsi="Arial" w:cs="Arial"/>
          <w:sz w:val="20"/>
          <w:szCs w:val="20"/>
          <w:highlight w:val="cyan"/>
          <w:lang w:val="en-AU"/>
        </w:rPr>
      </w:pPr>
    </w:p>
    <w:p w14:paraId="2B827542" w14:textId="77777777" w:rsidR="003B2BFE" w:rsidRPr="005B69F6" w:rsidRDefault="003B2BFE" w:rsidP="0019693E">
      <w:pPr>
        <w:pStyle w:val="BodyText1"/>
        <w:keepNext/>
        <w:keepLines/>
        <w:spacing w:before="0"/>
        <w:ind w:firstLine="0"/>
        <w:jc w:val="both"/>
        <w:rPr>
          <w:rFonts w:ascii="Arial" w:hAnsi="Arial" w:cs="Arial"/>
          <w:sz w:val="18"/>
          <w:szCs w:val="18"/>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404"/>
        <w:gridCol w:w="706"/>
        <w:gridCol w:w="1403"/>
        <w:gridCol w:w="706"/>
        <w:gridCol w:w="1403"/>
        <w:gridCol w:w="706"/>
        <w:gridCol w:w="1403"/>
        <w:gridCol w:w="706"/>
      </w:tblGrid>
      <w:tr w:rsidR="003B2BFE" w:rsidRPr="005B69F6" w14:paraId="6F501E89" w14:textId="77777777" w:rsidTr="007C2932">
        <w:tc>
          <w:tcPr>
            <w:tcW w:w="1349" w:type="dxa"/>
            <w:shd w:val="clear" w:color="auto" w:fill="auto"/>
          </w:tcPr>
          <w:p w14:paraId="46D9385F" w14:textId="77777777" w:rsidR="003B2BFE" w:rsidRPr="005B69F6" w:rsidRDefault="003B2BFE" w:rsidP="0019693E">
            <w:pPr>
              <w:keepNext/>
              <w:keepLines/>
              <w:rPr>
                <w:rFonts w:ascii="Arial" w:eastAsia="Times New Roman" w:hAnsi="Arial" w:cs="Arial"/>
                <w:sz w:val="16"/>
                <w:szCs w:val="16"/>
              </w:rPr>
            </w:pPr>
          </w:p>
        </w:tc>
        <w:tc>
          <w:tcPr>
            <w:tcW w:w="1971" w:type="dxa"/>
            <w:gridSpan w:val="2"/>
            <w:shd w:val="clear" w:color="auto" w:fill="auto"/>
          </w:tcPr>
          <w:p w14:paraId="165474B9" w14:textId="77777777" w:rsidR="003B2BFE" w:rsidRPr="005B69F6" w:rsidRDefault="003B2BFE" w:rsidP="0019693E">
            <w:pPr>
              <w:keepNext/>
              <w:keepLines/>
              <w:jc w:val="center"/>
              <w:rPr>
                <w:rFonts w:ascii="Arial" w:eastAsia="Times New Roman" w:hAnsi="Arial" w:cs="Arial"/>
                <w:b/>
                <w:bCs/>
                <w:sz w:val="16"/>
                <w:szCs w:val="16"/>
              </w:rPr>
            </w:pPr>
            <w:r w:rsidRPr="005B69F6">
              <w:rPr>
                <w:rFonts w:ascii="Arial" w:eastAsia="Times New Roman" w:hAnsi="Arial" w:cs="Arial"/>
                <w:b/>
                <w:bCs/>
                <w:sz w:val="16"/>
                <w:szCs w:val="16"/>
              </w:rPr>
              <w:t>Protocol 019</w:t>
            </w:r>
          </w:p>
        </w:tc>
        <w:tc>
          <w:tcPr>
            <w:tcW w:w="1971" w:type="dxa"/>
            <w:gridSpan w:val="2"/>
            <w:shd w:val="clear" w:color="auto" w:fill="auto"/>
          </w:tcPr>
          <w:p w14:paraId="410E9960" w14:textId="77777777" w:rsidR="003B2BFE" w:rsidRPr="005B69F6" w:rsidRDefault="003B2BFE" w:rsidP="0019693E">
            <w:pPr>
              <w:keepNext/>
              <w:keepLines/>
              <w:jc w:val="center"/>
              <w:rPr>
                <w:rFonts w:ascii="Arial" w:eastAsia="Times New Roman" w:hAnsi="Arial" w:cs="Arial"/>
                <w:b/>
                <w:bCs/>
                <w:sz w:val="16"/>
                <w:szCs w:val="16"/>
              </w:rPr>
            </w:pPr>
            <w:r w:rsidRPr="005B69F6">
              <w:rPr>
                <w:rFonts w:ascii="Arial" w:eastAsia="Times New Roman" w:hAnsi="Arial" w:cs="Arial"/>
                <w:b/>
                <w:bCs/>
                <w:sz w:val="16"/>
                <w:szCs w:val="16"/>
              </w:rPr>
              <w:t>Protocol 020</w:t>
            </w:r>
          </w:p>
        </w:tc>
        <w:tc>
          <w:tcPr>
            <w:tcW w:w="1971" w:type="dxa"/>
            <w:gridSpan w:val="2"/>
            <w:shd w:val="clear" w:color="auto" w:fill="auto"/>
          </w:tcPr>
          <w:p w14:paraId="681ECC3E"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b/>
                <w:bCs/>
                <w:sz w:val="16"/>
                <w:szCs w:val="16"/>
              </w:rPr>
              <w:t>Protocol 016</w:t>
            </w:r>
          </w:p>
        </w:tc>
        <w:tc>
          <w:tcPr>
            <w:tcW w:w="1998" w:type="dxa"/>
            <w:gridSpan w:val="2"/>
            <w:shd w:val="clear" w:color="auto" w:fill="auto"/>
          </w:tcPr>
          <w:p w14:paraId="008E5499" w14:textId="77777777" w:rsidR="003B2BFE" w:rsidRPr="005B69F6" w:rsidRDefault="003B2BFE" w:rsidP="0019693E">
            <w:pPr>
              <w:keepNext/>
              <w:keepLines/>
              <w:jc w:val="center"/>
              <w:rPr>
                <w:rFonts w:ascii="Arial" w:eastAsia="Times New Roman" w:hAnsi="Arial" w:cs="Arial"/>
                <w:b/>
                <w:bCs/>
                <w:sz w:val="16"/>
                <w:szCs w:val="16"/>
              </w:rPr>
            </w:pPr>
            <w:r w:rsidRPr="005B69F6">
              <w:rPr>
                <w:rFonts w:ascii="Arial" w:eastAsia="Times New Roman" w:hAnsi="Arial" w:cs="Arial"/>
                <w:b/>
                <w:bCs/>
                <w:sz w:val="16"/>
                <w:szCs w:val="16"/>
              </w:rPr>
              <w:t>Protocol 017</w:t>
            </w:r>
          </w:p>
        </w:tc>
      </w:tr>
      <w:tr w:rsidR="003B2BFE" w:rsidRPr="005B69F6" w14:paraId="550764C4" w14:textId="77777777" w:rsidTr="007C2932">
        <w:tc>
          <w:tcPr>
            <w:tcW w:w="1349" w:type="dxa"/>
            <w:shd w:val="clear" w:color="auto" w:fill="auto"/>
          </w:tcPr>
          <w:p w14:paraId="6FB06D5F"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b/>
                <w:bCs/>
                <w:sz w:val="16"/>
                <w:szCs w:val="16"/>
              </w:rPr>
              <w:t>Age in Years</w:t>
            </w:r>
          </w:p>
        </w:tc>
        <w:tc>
          <w:tcPr>
            <w:tcW w:w="5913" w:type="dxa"/>
            <w:gridSpan w:val="6"/>
            <w:shd w:val="clear" w:color="auto" w:fill="auto"/>
          </w:tcPr>
          <w:p w14:paraId="5E60C7C7"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b/>
                <w:sz w:val="16"/>
                <w:szCs w:val="16"/>
              </w:rPr>
              <w:t>≥50</w:t>
            </w:r>
          </w:p>
        </w:tc>
        <w:tc>
          <w:tcPr>
            <w:tcW w:w="1998" w:type="dxa"/>
            <w:gridSpan w:val="2"/>
            <w:shd w:val="clear" w:color="auto" w:fill="auto"/>
          </w:tcPr>
          <w:p w14:paraId="41DCF748" w14:textId="77777777" w:rsidR="003B2BFE" w:rsidRPr="005B69F6" w:rsidRDefault="003B2BFE" w:rsidP="0019693E">
            <w:pPr>
              <w:keepNext/>
              <w:keepLines/>
              <w:jc w:val="center"/>
              <w:rPr>
                <w:rFonts w:ascii="Arial" w:eastAsia="Times New Roman" w:hAnsi="Arial" w:cs="Arial"/>
                <w:b/>
                <w:bCs/>
                <w:sz w:val="16"/>
                <w:szCs w:val="16"/>
              </w:rPr>
            </w:pPr>
            <w:r w:rsidRPr="005B69F6">
              <w:rPr>
                <w:rFonts w:ascii="Arial" w:eastAsia="Times New Roman" w:hAnsi="Arial" w:cs="Arial"/>
                <w:b/>
                <w:bCs/>
                <w:sz w:val="16"/>
                <w:szCs w:val="16"/>
              </w:rPr>
              <w:t>18-49</w:t>
            </w:r>
          </w:p>
        </w:tc>
      </w:tr>
      <w:tr w:rsidR="003B2BFE" w:rsidRPr="005B69F6" w14:paraId="2D3B25E5" w14:textId="77777777" w:rsidTr="007C2932">
        <w:tc>
          <w:tcPr>
            <w:tcW w:w="1349" w:type="dxa"/>
            <w:shd w:val="clear" w:color="auto" w:fill="auto"/>
          </w:tcPr>
          <w:p w14:paraId="17B1845A" w14:textId="77777777" w:rsidR="003B2BFE" w:rsidRPr="005B69F6" w:rsidRDefault="003B2BFE" w:rsidP="0019693E">
            <w:pPr>
              <w:keepNext/>
              <w:keepLines/>
              <w:rPr>
                <w:rFonts w:ascii="Arial" w:eastAsia="Times New Roman" w:hAnsi="Arial" w:cs="Arial"/>
                <w:sz w:val="16"/>
                <w:szCs w:val="16"/>
              </w:rPr>
            </w:pPr>
          </w:p>
        </w:tc>
        <w:tc>
          <w:tcPr>
            <w:tcW w:w="1248" w:type="dxa"/>
            <w:shd w:val="clear" w:color="auto" w:fill="auto"/>
          </w:tcPr>
          <w:p w14:paraId="102F3FAC" w14:textId="50217E44" w:rsidR="003B2BFE" w:rsidRPr="00747DDB" w:rsidRDefault="003056A9" w:rsidP="0019693E">
            <w:pPr>
              <w:keepNext/>
              <w:keepLines/>
              <w:jc w:val="center"/>
              <w:rPr>
                <w:rFonts w:ascii="Arial" w:eastAsia="Times New Roman" w:hAnsi="Arial" w:cs="Arial"/>
                <w:b/>
                <w:bCs/>
                <w:sz w:val="16"/>
                <w:szCs w:val="16"/>
              </w:rPr>
            </w:pPr>
            <w:r>
              <w:rPr>
                <w:rFonts w:ascii="Arial" w:eastAsia="Times New Roman" w:hAnsi="Arial" w:cs="Arial"/>
                <w:b/>
                <w:bCs/>
                <w:sz w:val="16"/>
                <w:szCs w:val="16"/>
              </w:rPr>
              <w:t>VAXNEUVANCE</w:t>
            </w:r>
            <w:r w:rsidR="003B2BFE" w:rsidRPr="00747DDB">
              <w:rPr>
                <w:rFonts w:ascii="Arial" w:eastAsia="Times New Roman" w:hAnsi="Arial" w:cs="Arial"/>
                <w:b/>
                <w:bCs/>
                <w:sz w:val="16"/>
                <w:szCs w:val="16"/>
              </w:rPr>
              <w:t xml:space="preserve"> (%)</w:t>
            </w:r>
          </w:p>
          <w:p w14:paraId="7FAA6E31"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N=602</w:t>
            </w:r>
          </w:p>
        </w:tc>
        <w:tc>
          <w:tcPr>
            <w:tcW w:w="723" w:type="dxa"/>
            <w:shd w:val="clear" w:color="auto" w:fill="auto"/>
          </w:tcPr>
          <w:p w14:paraId="48523D4B"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PCV13 (%)</w:t>
            </w:r>
          </w:p>
          <w:p w14:paraId="16064AE1"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N=600</w:t>
            </w:r>
          </w:p>
        </w:tc>
        <w:tc>
          <w:tcPr>
            <w:tcW w:w="1248" w:type="dxa"/>
            <w:shd w:val="clear" w:color="auto" w:fill="auto"/>
          </w:tcPr>
          <w:p w14:paraId="0A734B0B" w14:textId="2FF5EA18" w:rsidR="003B2BFE" w:rsidRPr="00747DDB" w:rsidRDefault="003056A9" w:rsidP="0019693E">
            <w:pPr>
              <w:keepNext/>
              <w:keepLines/>
              <w:jc w:val="center"/>
              <w:rPr>
                <w:rFonts w:ascii="Arial" w:eastAsia="Times New Roman" w:hAnsi="Arial" w:cs="Arial"/>
                <w:b/>
                <w:bCs/>
                <w:sz w:val="16"/>
                <w:szCs w:val="16"/>
              </w:rPr>
            </w:pPr>
            <w:r>
              <w:rPr>
                <w:rFonts w:ascii="Arial" w:eastAsia="Times New Roman" w:hAnsi="Arial" w:cs="Arial"/>
                <w:b/>
                <w:bCs/>
                <w:sz w:val="16"/>
                <w:szCs w:val="16"/>
              </w:rPr>
              <w:t>VAXNEUVANCE</w:t>
            </w:r>
            <w:r w:rsidR="003B2BFE" w:rsidRPr="00747DDB">
              <w:rPr>
                <w:rFonts w:ascii="Arial" w:eastAsia="Times New Roman" w:hAnsi="Arial" w:cs="Arial"/>
                <w:b/>
                <w:bCs/>
                <w:sz w:val="16"/>
                <w:szCs w:val="16"/>
              </w:rPr>
              <w:t xml:space="preserve"> (%)</w:t>
            </w:r>
          </w:p>
          <w:p w14:paraId="0412AC68"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N=2103</w:t>
            </w:r>
          </w:p>
        </w:tc>
        <w:tc>
          <w:tcPr>
            <w:tcW w:w="723" w:type="dxa"/>
            <w:shd w:val="clear" w:color="auto" w:fill="auto"/>
          </w:tcPr>
          <w:p w14:paraId="5B6CC93A"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PCV13 (%)</w:t>
            </w:r>
          </w:p>
          <w:p w14:paraId="77709FCB"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N=230</w:t>
            </w:r>
          </w:p>
        </w:tc>
        <w:tc>
          <w:tcPr>
            <w:tcW w:w="1248" w:type="dxa"/>
            <w:shd w:val="clear" w:color="auto" w:fill="auto"/>
          </w:tcPr>
          <w:p w14:paraId="36AF13E6" w14:textId="08226A12" w:rsidR="003B2BFE" w:rsidRPr="00747DDB" w:rsidRDefault="003056A9" w:rsidP="0019693E">
            <w:pPr>
              <w:keepNext/>
              <w:keepLines/>
              <w:jc w:val="center"/>
              <w:rPr>
                <w:rFonts w:ascii="Arial" w:eastAsia="Times New Roman" w:hAnsi="Arial" w:cs="Arial"/>
                <w:b/>
                <w:bCs/>
                <w:sz w:val="16"/>
                <w:szCs w:val="16"/>
              </w:rPr>
            </w:pPr>
            <w:r>
              <w:rPr>
                <w:rFonts w:ascii="Arial" w:eastAsia="Times New Roman" w:hAnsi="Arial" w:cs="Arial"/>
                <w:b/>
                <w:bCs/>
                <w:sz w:val="16"/>
                <w:szCs w:val="16"/>
              </w:rPr>
              <w:t>VAXNEUVANCE</w:t>
            </w:r>
            <w:r w:rsidR="003B2BFE" w:rsidRPr="00747DDB">
              <w:rPr>
                <w:rFonts w:ascii="Arial" w:eastAsia="Times New Roman" w:hAnsi="Arial" w:cs="Arial"/>
                <w:b/>
                <w:bCs/>
                <w:sz w:val="16"/>
                <w:szCs w:val="16"/>
              </w:rPr>
              <w:t xml:space="preserve"> (%)</w:t>
            </w:r>
          </w:p>
          <w:p w14:paraId="759B40C8"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N=327</w:t>
            </w:r>
          </w:p>
        </w:tc>
        <w:tc>
          <w:tcPr>
            <w:tcW w:w="723" w:type="dxa"/>
            <w:shd w:val="clear" w:color="auto" w:fill="auto"/>
          </w:tcPr>
          <w:p w14:paraId="60113DE1"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PCV13 (%)</w:t>
            </w:r>
          </w:p>
          <w:p w14:paraId="107FB915"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N=324</w:t>
            </w:r>
          </w:p>
        </w:tc>
        <w:tc>
          <w:tcPr>
            <w:tcW w:w="1248" w:type="dxa"/>
            <w:shd w:val="clear" w:color="auto" w:fill="auto"/>
          </w:tcPr>
          <w:p w14:paraId="0EEC1407" w14:textId="2B4BF5BA" w:rsidR="003B2BFE" w:rsidRPr="00747DDB" w:rsidRDefault="003056A9" w:rsidP="0019693E">
            <w:pPr>
              <w:keepNext/>
              <w:keepLines/>
              <w:jc w:val="center"/>
              <w:rPr>
                <w:rFonts w:ascii="Arial" w:eastAsia="Times New Roman" w:hAnsi="Arial" w:cs="Arial"/>
                <w:b/>
                <w:bCs/>
                <w:sz w:val="16"/>
                <w:szCs w:val="16"/>
              </w:rPr>
            </w:pPr>
            <w:r>
              <w:rPr>
                <w:rFonts w:ascii="Arial" w:eastAsia="Times New Roman" w:hAnsi="Arial" w:cs="Arial"/>
                <w:b/>
                <w:bCs/>
                <w:sz w:val="16"/>
                <w:szCs w:val="16"/>
              </w:rPr>
              <w:t>VAXNEUVANCE</w:t>
            </w:r>
            <w:r w:rsidR="003B2BFE" w:rsidRPr="00747DDB">
              <w:rPr>
                <w:rFonts w:ascii="Arial" w:eastAsia="Times New Roman" w:hAnsi="Arial" w:cs="Arial"/>
                <w:b/>
                <w:bCs/>
                <w:sz w:val="16"/>
                <w:szCs w:val="16"/>
              </w:rPr>
              <w:t xml:space="preserve"> (%)</w:t>
            </w:r>
          </w:p>
          <w:p w14:paraId="11C90944"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N=1134</w:t>
            </w:r>
          </w:p>
        </w:tc>
        <w:tc>
          <w:tcPr>
            <w:tcW w:w="750" w:type="dxa"/>
            <w:shd w:val="clear" w:color="auto" w:fill="auto"/>
          </w:tcPr>
          <w:p w14:paraId="68753C6F"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PCV13 (%)</w:t>
            </w:r>
          </w:p>
          <w:p w14:paraId="749C5A25"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N=378</w:t>
            </w:r>
          </w:p>
        </w:tc>
      </w:tr>
      <w:tr w:rsidR="003B2BFE" w:rsidRPr="005B69F6" w14:paraId="3FCA64D3" w14:textId="77777777" w:rsidTr="007C2932">
        <w:tc>
          <w:tcPr>
            <w:tcW w:w="9260" w:type="dxa"/>
            <w:gridSpan w:val="9"/>
            <w:shd w:val="clear" w:color="auto" w:fill="auto"/>
          </w:tcPr>
          <w:p w14:paraId="51297DC2" w14:textId="77777777" w:rsidR="003B2BFE" w:rsidRPr="005B69F6" w:rsidRDefault="003B2BFE" w:rsidP="0019693E">
            <w:pPr>
              <w:keepNext/>
              <w:keepLines/>
              <w:rPr>
                <w:rFonts w:ascii="Arial" w:eastAsia="Times New Roman" w:hAnsi="Arial" w:cs="Arial"/>
                <w:b/>
                <w:bCs/>
                <w:sz w:val="16"/>
                <w:szCs w:val="16"/>
              </w:rPr>
            </w:pPr>
            <w:r w:rsidRPr="005B69F6">
              <w:rPr>
                <w:rFonts w:ascii="Arial" w:eastAsia="Times New Roman" w:hAnsi="Arial" w:cs="Arial"/>
                <w:b/>
                <w:bCs/>
                <w:sz w:val="16"/>
                <w:szCs w:val="16"/>
              </w:rPr>
              <w:t>Local Reactions*</w:t>
            </w:r>
          </w:p>
        </w:tc>
      </w:tr>
      <w:tr w:rsidR="003B2BFE" w:rsidRPr="005B69F6" w14:paraId="6805AA37" w14:textId="77777777" w:rsidTr="007C2932">
        <w:tc>
          <w:tcPr>
            <w:tcW w:w="1349" w:type="dxa"/>
            <w:shd w:val="clear" w:color="auto" w:fill="auto"/>
          </w:tcPr>
          <w:p w14:paraId="528ADB54"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Pain</w:t>
            </w:r>
          </w:p>
        </w:tc>
        <w:tc>
          <w:tcPr>
            <w:tcW w:w="1248" w:type="dxa"/>
            <w:shd w:val="clear" w:color="auto" w:fill="auto"/>
          </w:tcPr>
          <w:p w14:paraId="340CF5D7"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54.0</w:t>
            </w:r>
          </w:p>
        </w:tc>
        <w:tc>
          <w:tcPr>
            <w:tcW w:w="723" w:type="dxa"/>
            <w:shd w:val="clear" w:color="auto" w:fill="auto"/>
          </w:tcPr>
          <w:p w14:paraId="70400827"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42.3</w:t>
            </w:r>
          </w:p>
        </w:tc>
        <w:tc>
          <w:tcPr>
            <w:tcW w:w="1248" w:type="dxa"/>
            <w:shd w:val="clear" w:color="auto" w:fill="auto"/>
          </w:tcPr>
          <w:p w14:paraId="6385B235"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66.8</w:t>
            </w:r>
          </w:p>
        </w:tc>
        <w:tc>
          <w:tcPr>
            <w:tcW w:w="723" w:type="dxa"/>
            <w:shd w:val="clear" w:color="auto" w:fill="auto"/>
          </w:tcPr>
          <w:p w14:paraId="1B1286C7"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52.2</w:t>
            </w:r>
          </w:p>
        </w:tc>
        <w:tc>
          <w:tcPr>
            <w:tcW w:w="1248" w:type="dxa"/>
            <w:shd w:val="clear" w:color="auto" w:fill="auto"/>
          </w:tcPr>
          <w:p w14:paraId="30C94CDF"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55.0</w:t>
            </w:r>
          </w:p>
        </w:tc>
        <w:tc>
          <w:tcPr>
            <w:tcW w:w="723" w:type="dxa"/>
            <w:shd w:val="clear" w:color="auto" w:fill="auto"/>
          </w:tcPr>
          <w:p w14:paraId="3596D2EA"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41.4</w:t>
            </w:r>
          </w:p>
        </w:tc>
        <w:tc>
          <w:tcPr>
            <w:tcW w:w="1248" w:type="dxa"/>
            <w:shd w:val="clear" w:color="auto" w:fill="auto"/>
          </w:tcPr>
          <w:p w14:paraId="762634EB"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75.8</w:t>
            </w:r>
          </w:p>
        </w:tc>
        <w:tc>
          <w:tcPr>
            <w:tcW w:w="750" w:type="dxa"/>
            <w:shd w:val="clear" w:color="auto" w:fill="auto"/>
          </w:tcPr>
          <w:p w14:paraId="32C91A60"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68.8</w:t>
            </w:r>
          </w:p>
        </w:tc>
      </w:tr>
      <w:tr w:rsidR="003B2BFE" w:rsidRPr="005B69F6" w14:paraId="496ECC87" w14:textId="77777777" w:rsidTr="007C2932">
        <w:tc>
          <w:tcPr>
            <w:tcW w:w="1349" w:type="dxa"/>
            <w:shd w:val="clear" w:color="auto" w:fill="auto"/>
          </w:tcPr>
          <w:p w14:paraId="3C5FFBEA"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Erythema</w:t>
            </w:r>
          </w:p>
        </w:tc>
        <w:tc>
          <w:tcPr>
            <w:tcW w:w="1248" w:type="dxa"/>
            <w:shd w:val="clear" w:color="auto" w:fill="auto"/>
          </w:tcPr>
          <w:p w14:paraId="4950041E"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9.0</w:t>
            </w:r>
          </w:p>
        </w:tc>
        <w:tc>
          <w:tcPr>
            <w:tcW w:w="723" w:type="dxa"/>
            <w:shd w:val="clear" w:color="auto" w:fill="auto"/>
          </w:tcPr>
          <w:p w14:paraId="1DBAD103"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11.3</w:t>
            </w:r>
          </w:p>
        </w:tc>
        <w:tc>
          <w:tcPr>
            <w:tcW w:w="1248" w:type="dxa"/>
            <w:shd w:val="clear" w:color="auto" w:fill="auto"/>
          </w:tcPr>
          <w:p w14:paraId="22F118F6"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10.9</w:t>
            </w:r>
          </w:p>
        </w:tc>
        <w:tc>
          <w:tcPr>
            <w:tcW w:w="723" w:type="dxa"/>
            <w:shd w:val="clear" w:color="auto" w:fill="auto"/>
          </w:tcPr>
          <w:p w14:paraId="16576A0A"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9.6</w:t>
            </w:r>
          </w:p>
        </w:tc>
        <w:tc>
          <w:tcPr>
            <w:tcW w:w="1248" w:type="dxa"/>
            <w:shd w:val="clear" w:color="auto" w:fill="auto"/>
          </w:tcPr>
          <w:p w14:paraId="328BBEDA"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9.8</w:t>
            </w:r>
          </w:p>
        </w:tc>
        <w:tc>
          <w:tcPr>
            <w:tcW w:w="723" w:type="dxa"/>
            <w:shd w:val="clear" w:color="auto" w:fill="auto"/>
          </w:tcPr>
          <w:p w14:paraId="36257408"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5.6</w:t>
            </w:r>
          </w:p>
        </w:tc>
        <w:tc>
          <w:tcPr>
            <w:tcW w:w="1248" w:type="dxa"/>
            <w:shd w:val="clear" w:color="auto" w:fill="auto"/>
          </w:tcPr>
          <w:p w14:paraId="55E131A5"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15.1</w:t>
            </w:r>
          </w:p>
        </w:tc>
        <w:tc>
          <w:tcPr>
            <w:tcW w:w="750" w:type="dxa"/>
            <w:shd w:val="clear" w:color="auto" w:fill="auto"/>
          </w:tcPr>
          <w:p w14:paraId="3B3A5F82"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14.0</w:t>
            </w:r>
          </w:p>
        </w:tc>
      </w:tr>
      <w:tr w:rsidR="003B2BFE" w:rsidRPr="005B69F6" w14:paraId="0E6681DE" w14:textId="77777777" w:rsidTr="007C2932">
        <w:tc>
          <w:tcPr>
            <w:tcW w:w="1349" w:type="dxa"/>
            <w:shd w:val="clear" w:color="auto" w:fill="auto"/>
          </w:tcPr>
          <w:p w14:paraId="3AA929C4"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Swelling</w:t>
            </w:r>
          </w:p>
        </w:tc>
        <w:tc>
          <w:tcPr>
            <w:tcW w:w="1248" w:type="dxa"/>
            <w:shd w:val="clear" w:color="auto" w:fill="auto"/>
          </w:tcPr>
          <w:p w14:paraId="06B40C10"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12.5</w:t>
            </w:r>
          </w:p>
        </w:tc>
        <w:tc>
          <w:tcPr>
            <w:tcW w:w="723" w:type="dxa"/>
            <w:shd w:val="clear" w:color="auto" w:fill="auto"/>
          </w:tcPr>
          <w:p w14:paraId="443F7CB5"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11.2</w:t>
            </w:r>
          </w:p>
        </w:tc>
        <w:tc>
          <w:tcPr>
            <w:tcW w:w="1248" w:type="dxa"/>
            <w:shd w:val="clear" w:color="auto" w:fill="auto"/>
          </w:tcPr>
          <w:p w14:paraId="529FFCC0"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15.4</w:t>
            </w:r>
          </w:p>
        </w:tc>
        <w:tc>
          <w:tcPr>
            <w:tcW w:w="723" w:type="dxa"/>
            <w:shd w:val="clear" w:color="auto" w:fill="auto"/>
          </w:tcPr>
          <w:p w14:paraId="5EB03926"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14.3</w:t>
            </w:r>
          </w:p>
        </w:tc>
        <w:tc>
          <w:tcPr>
            <w:tcW w:w="1248" w:type="dxa"/>
            <w:shd w:val="clear" w:color="auto" w:fill="auto"/>
          </w:tcPr>
          <w:p w14:paraId="298D5A1F"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16.2</w:t>
            </w:r>
          </w:p>
        </w:tc>
        <w:tc>
          <w:tcPr>
            <w:tcW w:w="723" w:type="dxa"/>
            <w:shd w:val="clear" w:color="auto" w:fill="auto"/>
          </w:tcPr>
          <w:p w14:paraId="2EC71FA5"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11.4</w:t>
            </w:r>
          </w:p>
        </w:tc>
        <w:tc>
          <w:tcPr>
            <w:tcW w:w="1248" w:type="dxa"/>
            <w:shd w:val="clear" w:color="auto" w:fill="auto"/>
          </w:tcPr>
          <w:p w14:paraId="2815C240"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21.7</w:t>
            </w:r>
          </w:p>
        </w:tc>
        <w:tc>
          <w:tcPr>
            <w:tcW w:w="750" w:type="dxa"/>
            <w:shd w:val="clear" w:color="auto" w:fill="auto"/>
          </w:tcPr>
          <w:p w14:paraId="65C9EBC3"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22.2</w:t>
            </w:r>
          </w:p>
        </w:tc>
      </w:tr>
      <w:tr w:rsidR="003B2BFE" w:rsidRPr="005B69F6" w14:paraId="086C9CE1" w14:textId="77777777" w:rsidTr="007C2932">
        <w:tc>
          <w:tcPr>
            <w:tcW w:w="9260" w:type="dxa"/>
            <w:gridSpan w:val="9"/>
            <w:shd w:val="clear" w:color="auto" w:fill="auto"/>
          </w:tcPr>
          <w:p w14:paraId="0D90D5F4" w14:textId="77777777" w:rsidR="003B2BFE" w:rsidRPr="005B69F6" w:rsidRDefault="003B2BFE" w:rsidP="0019693E">
            <w:pPr>
              <w:keepNext/>
              <w:keepLines/>
              <w:rPr>
                <w:rFonts w:ascii="Arial" w:eastAsia="Times New Roman" w:hAnsi="Arial" w:cs="Arial"/>
                <w:b/>
                <w:bCs/>
                <w:sz w:val="16"/>
                <w:szCs w:val="16"/>
              </w:rPr>
            </w:pPr>
            <w:r w:rsidRPr="005B69F6">
              <w:rPr>
                <w:rFonts w:ascii="Arial" w:eastAsia="Times New Roman" w:hAnsi="Arial" w:cs="Arial"/>
                <w:b/>
                <w:bCs/>
                <w:sz w:val="16"/>
                <w:szCs w:val="16"/>
              </w:rPr>
              <w:t>Systemic Reactions</w:t>
            </w:r>
            <w:r w:rsidRPr="005B69F6">
              <w:rPr>
                <w:rFonts w:ascii="Arial" w:eastAsia="Times New Roman" w:hAnsi="Arial" w:cs="Arial"/>
                <w:b/>
                <w:bCs/>
                <w:sz w:val="16"/>
                <w:szCs w:val="16"/>
                <w:vertAlign w:val="superscript"/>
              </w:rPr>
              <w:t>†</w:t>
            </w:r>
          </w:p>
        </w:tc>
      </w:tr>
      <w:tr w:rsidR="003B2BFE" w:rsidRPr="005B69F6" w14:paraId="5E148272" w14:textId="77777777" w:rsidTr="007C2932">
        <w:tc>
          <w:tcPr>
            <w:tcW w:w="1349" w:type="dxa"/>
            <w:shd w:val="clear" w:color="auto" w:fill="auto"/>
          </w:tcPr>
          <w:p w14:paraId="49CB0FCC"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Fatigue</w:t>
            </w:r>
          </w:p>
        </w:tc>
        <w:tc>
          <w:tcPr>
            <w:tcW w:w="1248" w:type="dxa"/>
            <w:shd w:val="clear" w:color="auto" w:fill="auto"/>
          </w:tcPr>
          <w:p w14:paraId="0E29D775"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17.4</w:t>
            </w:r>
          </w:p>
        </w:tc>
        <w:tc>
          <w:tcPr>
            <w:tcW w:w="723" w:type="dxa"/>
            <w:shd w:val="clear" w:color="auto" w:fill="auto"/>
          </w:tcPr>
          <w:p w14:paraId="763B6EE1"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17.3</w:t>
            </w:r>
          </w:p>
        </w:tc>
        <w:tc>
          <w:tcPr>
            <w:tcW w:w="1248" w:type="dxa"/>
            <w:shd w:val="clear" w:color="auto" w:fill="auto"/>
          </w:tcPr>
          <w:p w14:paraId="6119A399"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21.5</w:t>
            </w:r>
          </w:p>
        </w:tc>
        <w:tc>
          <w:tcPr>
            <w:tcW w:w="723" w:type="dxa"/>
            <w:shd w:val="clear" w:color="auto" w:fill="auto"/>
          </w:tcPr>
          <w:p w14:paraId="2FA61A25"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22.2</w:t>
            </w:r>
          </w:p>
        </w:tc>
        <w:tc>
          <w:tcPr>
            <w:tcW w:w="1248" w:type="dxa"/>
            <w:shd w:val="clear" w:color="auto" w:fill="auto"/>
          </w:tcPr>
          <w:p w14:paraId="1245D70F"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23.5</w:t>
            </w:r>
          </w:p>
        </w:tc>
        <w:tc>
          <w:tcPr>
            <w:tcW w:w="723" w:type="dxa"/>
            <w:shd w:val="clear" w:color="auto" w:fill="auto"/>
          </w:tcPr>
          <w:p w14:paraId="1C581738"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13.9</w:t>
            </w:r>
          </w:p>
        </w:tc>
        <w:tc>
          <w:tcPr>
            <w:tcW w:w="1248" w:type="dxa"/>
            <w:shd w:val="clear" w:color="auto" w:fill="auto"/>
          </w:tcPr>
          <w:p w14:paraId="7A7F7EBB"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34.3</w:t>
            </w:r>
          </w:p>
        </w:tc>
        <w:tc>
          <w:tcPr>
            <w:tcW w:w="750" w:type="dxa"/>
            <w:shd w:val="clear" w:color="auto" w:fill="auto"/>
          </w:tcPr>
          <w:p w14:paraId="082DBF67"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36.8</w:t>
            </w:r>
          </w:p>
        </w:tc>
      </w:tr>
      <w:tr w:rsidR="003B2BFE" w:rsidRPr="005B69F6" w14:paraId="72716A42" w14:textId="77777777" w:rsidTr="007C2932">
        <w:tc>
          <w:tcPr>
            <w:tcW w:w="1349" w:type="dxa"/>
            <w:shd w:val="clear" w:color="auto" w:fill="auto"/>
          </w:tcPr>
          <w:p w14:paraId="53DD39D0"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Headache</w:t>
            </w:r>
          </w:p>
        </w:tc>
        <w:tc>
          <w:tcPr>
            <w:tcW w:w="1248" w:type="dxa"/>
            <w:shd w:val="clear" w:color="auto" w:fill="auto"/>
          </w:tcPr>
          <w:p w14:paraId="68FFB7B4"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11.6</w:t>
            </w:r>
          </w:p>
        </w:tc>
        <w:tc>
          <w:tcPr>
            <w:tcW w:w="723" w:type="dxa"/>
            <w:shd w:val="clear" w:color="auto" w:fill="auto"/>
          </w:tcPr>
          <w:p w14:paraId="353757BF"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13.0</w:t>
            </w:r>
          </w:p>
        </w:tc>
        <w:tc>
          <w:tcPr>
            <w:tcW w:w="1248" w:type="dxa"/>
            <w:shd w:val="clear" w:color="auto" w:fill="auto"/>
          </w:tcPr>
          <w:p w14:paraId="272E0EAF"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18.9</w:t>
            </w:r>
          </w:p>
        </w:tc>
        <w:tc>
          <w:tcPr>
            <w:tcW w:w="723" w:type="dxa"/>
            <w:shd w:val="clear" w:color="auto" w:fill="auto"/>
          </w:tcPr>
          <w:p w14:paraId="2CF61050"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18.7</w:t>
            </w:r>
          </w:p>
        </w:tc>
        <w:tc>
          <w:tcPr>
            <w:tcW w:w="1248" w:type="dxa"/>
            <w:shd w:val="clear" w:color="auto" w:fill="auto"/>
          </w:tcPr>
          <w:p w14:paraId="76DCA480"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14.1</w:t>
            </w:r>
          </w:p>
        </w:tc>
        <w:tc>
          <w:tcPr>
            <w:tcW w:w="723" w:type="dxa"/>
            <w:shd w:val="clear" w:color="auto" w:fill="auto"/>
          </w:tcPr>
          <w:p w14:paraId="099FC1BB"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12.7</w:t>
            </w:r>
          </w:p>
        </w:tc>
        <w:tc>
          <w:tcPr>
            <w:tcW w:w="1248" w:type="dxa"/>
            <w:shd w:val="clear" w:color="auto" w:fill="auto"/>
          </w:tcPr>
          <w:p w14:paraId="50D7E6E5"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26.5</w:t>
            </w:r>
          </w:p>
        </w:tc>
        <w:tc>
          <w:tcPr>
            <w:tcW w:w="750" w:type="dxa"/>
            <w:shd w:val="clear" w:color="auto" w:fill="auto"/>
          </w:tcPr>
          <w:p w14:paraId="05C1AF5E"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24.9</w:t>
            </w:r>
          </w:p>
        </w:tc>
      </w:tr>
      <w:tr w:rsidR="003B2BFE" w:rsidRPr="005B69F6" w14:paraId="258F6F95" w14:textId="77777777" w:rsidTr="007C2932">
        <w:trPr>
          <w:trHeight w:val="206"/>
        </w:trPr>
        <w:tc>
          <w:tcPr>
            <w:tcW w:w="1349" w:type="dxa"/>
            <w:shd w:val="clear" w:color="auto" w:fill="auto"/>
          </w:tcPr>
          <w:p w14:paraId="04066043"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Myalgia</w:t>
            </w:r>
          </w:p>
        </w:tc>
        <w:tc>
          <w:tcPr>
            <w:tcW w:w="1248" w:type="dxa"/>
            <w:shd w:val="clear" w:color="auto" w:fill="auto"/>
          </w:tcPr>
          <w:p w14:paraId="03A7AE9B"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15.4</w:t>
            </w:r>
          </w:p>
        </w:tc>
        <w:tc>
          <w:tcPr>
            <w:tcW w:w="723" w:type="dxa"/>
            <w:shd w:val="clear" w:color="auto" w:fill="auto"/>
          </w:tcPr>
          <w:p w14:paraId="52E20FA1"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12.0</w:t>
            </w:r>
          </w:p>
        </w:tc>
        <w:tc>
          <w:tcPr>
            <w:tcW w:w="1248" w:type="dxa"/>
            <w:shd w:val="clear" w:color="auto" w:fill="auto"/>
          </w:tcPr>
          <w:p w14:paraId="457E6A7B"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26.9</w:t>
            </w:r>
          </w:p>
        </w:tc>
        <w:tc>
          <w:tcPr>
            <w:tcW w:w="723" w:type="dxa"/>
            <w:shd w:val="clear" w:color="auto" w:fill="auto"/>
          </w:tcPr>
          <w:p w14:paraId="1DC7C61B"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21.7</w:t>
            </w:r>
          </w:p>
        </w:tc>
        <w:tc>
          <w:tcPr>
            <w:tcW w:w="1248" w:type="dxa"/>
            <w:shd w:val="clear" w:color="auto" w:fill="auto"/>
          </w:tcPr>
          <w:p w14:paraId="1407AFFC"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17.7</w:t>
            </w:r>
          </w:p>
        </w:tc>
        <w:tc>
          <w:tcPr>
            <w:tcW w:w="723" w:type="dxa"/>
            <w:shd w:val="clear" w:color="auto" w:fill="auto"/>
          </w:tcPr>
          <w:p w14:paraId="05F7168A"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11.1</w:t>
            </w:r>
          </w:p>
        </w:tc>
        <w:tc>
          <w:tcPr>
            <w:tcW w:w="1248" w:type="dxa"/>
            <w:shd w:val="clear" w:color="auto" w:fill="auto"/>
          </w:tcPr>
          <w:p w14:paraId="73286440"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28.8</w:t>
            </w:r>
          </w:p>
        </w:tc>
        <w:tc>
          <w:tcPr>
            <w:tcW w:w="750" w:type="dxa"/>
            <w:shd w:val="clear" w:color="auto" w:fill="auto"/>
          </w:tcPr>
          <w:p w14:paraId="6F9AED53"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26.5</w:t>
            </w:r>
          </w:p>
        </w:tc>
      </w:tr>
      <w:tr w:rsidR="003B2BFE" w:rsidRPr="005B69F6" w14:paraId="15C8349A" w14:textId="77777777" w:rsidTr="007C2932">
        <w:tc>
          <w:tcPr>
            <w:tcW w:w="1349" w:type="dxa"/>
            <w:shd w:val="clear" w:color="auto" w:fill="auto"/>
          </w:tcPr>
          <w:p w14:paraId="0AB8664C"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Arthralgia</w:t>
            </w:r>
          </w:p>
        </w:tc>
        <w:tc>
          <w:tcPr>
            <w:tcW w:w="1248" w:type="dxa"/>
            <w:shd w:val="clear" w:color="auto" w:fill="auto"/>
          </w:tcPr>
          <w:p w14:paraId="5F3929CE"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5.3</w:t>
            </w:r>
          </w:p>
        </w:tc>
        <w:tc>
          <w:tcPr>
            <w:tcW w:w="723" w:type="dxa"/>
            <w:shd w:val="clear" w:color="auto" w:fill="auto"/>
          </w:tcPr>
          <w:p w14:paraId="2F05A685"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5.5</w:t>
            </w:r>
          </w:p>
        </w:tc>
        <w:tc>
          <w:tcPr>
            <w:tcW w:w="1248" w:type="dxa"/>
            <w:shd w:val="clear" w:color="auto" w:fill="auto"/>
          </w:tcPr>
          <w:p w14:paraId="06D1F843"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7.7</w:t>
            </w:r>
          </w:p>
        </w:tc>
        <w:tc>
          <w:tcPr>
            <w:tcW w:w="723" w:type="dxa"/>
            <w:shd w:val="clear" w:color="auto" w:fill="auto"/>
          </w:tcPr>
          <w:p w14:paraId="402DE1CE"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5.7</w:t>
            </w:r>
          </w:p>
        </w:tc>
        <w:tc>
          <w:tcPr>
            <w:tcW w:w="1248" w:type="dxa"/>
            <w:shd w:val="clear" w:color="auto" w:fill="auto"/>
          </w:tcPr>
          <w:p w14:paraId="3B3C6FE8"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6.4</w:t>
            </w:r>
          </w:p>
        </w:tc>
        <w:tc>
          <w:tcPr>
            <w:tcW w:w="723" w:type="dxa"/>
            <w:shd w:val="clear" w:color="auto" w:fill="auto"/>
          </w:tcPr>
          <w:p w14:paraId="189DE97B"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5.2</w:t>
            </w:r>
          </w:p>
        </w:tc>
        <w:tc>
          <w:tcPr>
            <w:tcW w:w="1248" w:type="dxa"/>
            <w:shd w:val="clear" w:color="auto" w:fill="auto"/>
          </w:tcPr>
          <w:p w14:paraId="7D12D11F"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12.7</w:t>
            </w:r>
          </w:p>
        </w:tc>
        <w:tc>
          <w:tcPr>
            <w:tcW w:w="750" w:type="dxa"/>
            <w:shd w:val="clear" w:color="auto" w:fill="auto"/>
          </w:tcPr>
          <w:p w14:paraId="55ED905D"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11.6</w:t>
            </w:r>
          </w:p>
        </w:tc>
      </w:tr>
      <w:tr w:rsidR="003B2BFE" w:rsidRPr="005B69F6" w14:paraId="7C40B422" w14:textId="77777777" w:rsidTr="007C2932">
        <w:tc>
          <w:tcPr>
            <w:tcW w:w="9260" w:type="dxa"/>
            <w:gridSpan w:val="9"/>
            <w:shd w:val="clear" w:color="auto" w:fill="auto"/>
          </w:tcPr>
          <w:p w14:paraId="3C96B23D"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Elevated Body Temperature*</w:t>
            </w:r>
            <w:r w:rsidRPr="005B69F6">
              <w:rPr>
                <w:rFonts w:ascii="Arial" w:eastAsia="Times New Roman" w:hAnsi="Arial" w:cs="Arial"/>
                <w:sz w:val="16"/>
                <w:szCs w:val="16"/>
                <w:vertAlign w:val="superscript"/>
              </w:rPr>
              <w:t>‡</w:t>
            </w:r>
          </w:p>
        </w:tc>
      </w:tr>
      <w:tr w:rsidR="003B2BFE" w:rsidRPr="005B69F6" w14:paraId="4490FE34" w14:textId="77777777" w:rsidTr="007C2932">
        <w:tc>
          <w:tcPr>
            <w:tcW w:w="1349" w:type="dxa"/>
            <w:shd w:val="clear" w:color="auto" w:fill="auto"/>
          </w:tcPr>
          <w:p w14:paraId="594B84B8"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 xml:space="preserve">  ≥38.0°C and &lt;39.0°C</w:t>
            </w:r>
          </w:p>
        </w:tc>
        <w:tc>
          <w:tcPr>
            <w:tcW w:w="1248" w:type="dxa"/>
            <w:shd w:val="clear" w:color="auto" w:fill="auto"/>
          </w:tcPr>
          <w:p w14:paraId="412F7729"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0.3</w:t>
            </w:r>
          </w:p>
        </w:tc>
        <w:tc>
          <w:tcPr>
            <w:tcW w:w="723" w:type="dxa"/>
            <w:shd w:val="clear" w:color="auto" w:fill="auto"/>
          </w:tcPr>
          <w:p w14:paraId="54FB4473"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1.3</w:t>
            </w:r>
          </w:p>
        </w:tc>
        <w:tc>
          <w:tcPr>
            <w:tcW w:w="1248" w:type="dxa"/>
            <w:shd w:val="clear" w:color="auto" w:fill="auto"/>
          </w:tcPr>
          <w:p w14:paraId="467DC07A"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0.7</w:t>
            </w:r>
          </w:p>
        </w:tc>
        <w:tc>
          <w:tcPr>
            <w:tcW w:w="723" w:type="dxa"/>
            <w:shd w:val="clear" w:color="auto" w:fill="auto"/>
          </w:tcPr>
          <w:p w14:paraId="614DD3D9"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0.4</w:t>
            </w:r>
          </w:p>
        </w:tc>
        <w:tc>
          <w:tcPr>
            <w:tcW w:w="1248" w:type="dxa"/>
            <w:shd w:val="clear" w:color="auto" w:fill="auto"/>
          </w:tcPr>
          <w:p w14:paraId="01C50946"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0.6</w:t>
            </w:r>
          </w:p>
        </w:tc>
        <w:tc>
          <w:tcPr>
            <w:tcW w:w="723" w:type="dxa"/>
            <w:shd w:val="clear" w:color="auto" w:fill="auto"/>
          </w:tcPr>
          <w:p w14:paraId="7F0162F2"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0.6</w:t>
            </w:r>
          </w:p>
        </w:tc>
        <w:tc>
          <w:tcPr>
            <w:tcW w:w="1248" w:type="dxa"/>
            <w:shd w:val="clear" w:color="auto" w:fill="auto"/>
          </w:tcPr>
          <w:p w14:paraId="733DD7AC"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1.3</w:t>
            </w:r>
          </w:p>
        </w:tc>
        <w:tc>
          <w:tcPr>
            <w:tcW w:w="750" w:type="dxa"/>
            <w:shd w:val="clear" w:color="auto" w:fill="auto"/>
          </w:tcPr>
          <w:p w14:paraId="2687D8B2"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0.3</w:t>
            </w:r>
          </w:p>
        </w:tc>
      </w:tr>
      <w:tr w:rsidR="003B2BFE" w:rsidRPr="005B69F6" w14:paraId="650E7B7A" w14:textId="77777777" w:rsidTr="007C2932">
        <w:tc>
          <w:tcPr>
            <w:tcW w:w="1349" w:type="dxa"/>
            <w:shd w:val="clear" w:color="auto" w:fill="auto"/>
          </w:tcPr>
          <w:p w14:paraId="0974ED0E"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 xml:space="preserve">  ≥39.0°C</w:t>
            </w:r>
          </w:p>
        </w:tc>
        <w:tc>
          <w:tcPr>
            <w:tcW w:w="1248" w:type="dxa"/>
            <w:shd w:val="clear" w:color="auto" w:fill="auto"/>
          </w:tcPr>
          <w:p w14:paraId="65B6F598"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0.2</w:t>
            </w:r>
          </w:p>
        </w:tc>
        <w:tc>
          <w:tcPr>
            <w:tcW w:w="723" w:type="dxa"/>
            <w:shd w:val="clear" w:color="auto" w:fill="auto"/>
          </w:tcPr>
          <w:p w14:paraId="36F8BB4F"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0.0</w:t>
            </w:r>
          </w:p>
        </w:tc>
        <w:tc>
          <w:tcPr>
            <w:tcW w:w="1248" w:type="dxa"/>
            <w:shd w:val="clear" w:color="auto" w:fill="auto"/>
          </w:tcPr>
          <w:p w14:paraId="7F369F89"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0.0</w:t>
            </w:r>
          </w:p>
        </w:tc>
        <w:tc>
          <w:tcPr>
            <w:tcW w:w="723" w:type="dxa"/>
            <w:shd w:val="clear" w:color="auto" w:fill="auto"/>
          </w:tcPr>
          <w:p w14:paraId="6D9342CD"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0.0</w:t>
            </w:r>
          </w:p>
        </w:tc>
        <w:tc>
          <w:tcPr>
            <w:tcW w:w="1248" w:type="dxa"/>
            <w:shd w:val="clear" w:color="auto" w:fill="auto"/>
          </w:tcPr>
          <w:p w14:paraId="4576B260"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0.6</w:t>
            </w:r>
          </w:p>
        </w:tc>
        <w:tc>
          <w:tcPr>
            <w:tcW w:w="723" w:type="dxa"/>
            <w:shd w:val="clear" w:color="auto" w:fill="auto"/>
          </w:tcPr>
          <w:p w14:paraId="75A5E91C"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0.6</w:t>
            </w:r>
          </w:p>
        </w:tc>
        <w:tc>
          <w:tcPr>
            <w:tcW w:w="1248" w:type="dxa"/>
            <w:shd w:val="clear" w:color="auto" w:fill="auto"/>
          </w:tcPr>
          <w:p w14:paraId="78ECC803"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0.2</w:t>
            </w:r>
          </w:p>
        </w:tc>
        <w:tc>
          <w:tcPr>
            <w:tcW w:w="750" w:type="dxa"/>
            <w:shd w:val="clear" w:color="auto" w:fill="auto"/>
          </w:tcPr>
          <w:p w14:paraId="2EC20A36"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0.0</w:t>
            </w:r>
          </w:p>
        </w:tc>
      </w:tr>
    </w:tbl>
    <w:p w14:paraId="77A3EA8F"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rPr>
        <w:t>* Solicited on Day 1 through Day 5 postvaccination</w:t>
      </w:r>
    </w:p>
    <w:p w14:paraId="666A57B9"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2"/>
          <w:vertAlign w:val="superscript"/>
        </w:rPr>
        <w:t>†</w:t>
      </w:r>
      <w:r w:rsidRPr="005B69F6">
        <w:rPr>
          <w:rFonts w:ascii="Arial" w:hAnsi="Arial" w:cs="Arial"/>
          <w:sz w:val="16"/>
          <w:szCs w:val="12"/>
        </w:rPr>
        <w:t xml:space="preserve"> </w:t>
      </w:r>
      <w:r w:rsidRPr="005B69F6">
        <w:rPr>
          <w:rFonts w:ascii="Arial" w:hAnsi="Arial" w:cs="Arial"/>
          <w:sz w:val="16"/>
          <w:szCs w:val="16"/>
        </w:rPr>
        <w:t>Solicited on Day 1 through Day 14 postvaccination</w:t>
      </w:r>
    </w:p>
    <w:p w14:paraId="18B44414"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vertAlign w:val="superscript"/>
        </w:rPr>
        <w:t>‡</w:t>
      </w:r>
      <w:r w:rsidRPr="005B69F6">
        <w:rPr>
          <w:rFonts w:ascii="Arial" w:hAnsi="Arial" w:cs="Arial"/>
          <w:sz w:val="16"/>
          <w:szCs w:val="16"/>
        </w:rPr>
        <w:t xml:space="preserve"> Percentages are based on the number of participants with temperature data</w:t>
      </w:r>
    </w:p>
    <w:p w14:paraId="56A46E02"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rPr>
        <w:t>N=Number of participants vaccinated</w:t>
      </w:r>
    </w:p>
    <w:p w14:paraId="25F9A600" w14:textId="77777777" w:rsidR="00A5511F" w:rsidRDefault="00A5511F">
      <w:pPr>
        <w:rPr>
          <w:rFonts w:ascii="Arial" w:eastAsia="Times New Roman" w:hAnsi="Arial" w:cs="Arial"/>
          <w:b/>
          <w:bCs/>
          <w:sz w:val="18"/>
          <w:szCs w:val="18"/>
        </w:rPr>
      </w:pPr>
      <w:r>
        <w:rPr>
          <w:rFonts w:ascii="Arial" w:hAnsi="Arial" w:cs="Arial"/>
          <w:b/>
          <w:bCs/>
          <w:sz w:val="18"/>
          <w:szCs w:val="18"/>
        </w:rPr>
        <w:br w:type="page"/>
      </w:r>
    </w:p>
    <w:p w14:paraId="4141061C" w14:textId="7D19AF35" w:rsidR="00966763" w:rsidRPr="003E52AF" w:rsidRDefault="003B2BFE" w:rsidP="003E52AF">
      <w:pPr>
        <w:pStyle w:val="Paragraph"/>
        <w:spacing w:after="0"/>
        <w:rPr>
          <w:rFonts w:ascii="Arial" w:eastAsiaTheme="minorHAnsi" w:hAnsi="Arial" w:cs="Arial"/>
          <w:sz w:val="20"/>
          <w:szCs w:val="20"/>
          <w:highlight w:val="cyan"/>
          <w:lang w:val="en-AU"/>
        </w:rPr>
      </w:pPr>
      <w:r w:rsidRPr="005B69F6">
        <w:rPr>
          <w:rFonts w:ascii="Arial" w:hAnsi="Arial" w:cs="Arial"/>
          <w:b/>
          <w:bCs/>
          <w:sz w:val="18"/>
          <w:szCs w:val="18"/>
        </w:rPr>
        <w:lastRenderedPageBreak/>
        <w:t>Table 2</w:t>
      </w:r>
      <w:r w:rsidR="00226A61" w:rsidRPr="005B69F6">
        <w:rPr>
          <w:rFonts w:ascii="Arial" w:hAnsi="Arial" w:cs="Arial"/>
          <w:b/>
          <w:bCs/>
          <w:sz w:val="18"/>
          <w:szCs w:val="18"/>
        </w:rPr>
        <w:t>:</w:t>
      </w:r>
      <w:r w:rsidRPr="005B69F6">
        <w:rPr>
          <w:rFonts w:ascii="Arial" w:hAnsi="Arial" w:cs="Arial"/>
          <w:b/>
          <w:bCs/>
          <w:sz w:val="18"/>
          <w:szCs w:val="18"/>
        </w:rPr>
        <w:t xml:space="preserve"> Percentage of Participants with Solicited Local and Systemic Adverse Reactions Within 5 or 14 Days Postvaccination in Adults with Previous Pneumococcal Vaccination</w:t>
      </w:r>
    </w:p>
    <w:p w14:paraId="4E2C1121" w14:textId="77777777" w:rsidR="003B2BFE" w:rsidRPr="005B69F6" w:rsidRDefault="003B2BFE" w:rsidP="0019693E">
      <w:pPr>
        <w:pStyle w:val="BodyText1"/>
        <w:keepNext/>
        <w:keepLines/>
        <w:spacing w:before="0"/>
        <w:ind w:firstLine="0"/>
        <w:jc w:val="both"/>
        <w:rPr>
          <w:rFonts w:ascii="Arial" w:hAnsi="Arial" w:cs="Arial"/>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5"/>
        <w:gridCol w:w="3117"/>
      </w:tblGrid>
      <w:tr w:rsidR="003B2BFE" w:rsidRPr="005B69F6" w14:paraId="2786E031" w14:textId="77777777" w:rsidTr="007C2932">
        <w:tc>
          <w:tcPr>
            <w:tcW w:w="2268" w:type="dxa"/>
            <w:shd w:val="clear" w:color="auto" w:fill="auto"/>
          </w:tcPr>
          <w:p w14:paraId="0B99FC5A" w14:textId="77777777" w:rsidR="003B2BFE" w:rsidRPr="005B69F6" w:rsidRDefault="003B2BFE" w:rsidP="0019693E">
            <w:pPr>
              <w:keepNext/>
              <w:keepLines/>
              <w:autoSpaceDE w:val="0"/>
              <w:autoSpaceDN w:val="0"/>
              <w:adjustRightInd w:val="0"/>
              <w:rPr>
                <w:rFonts w:ascii="Arial" w:eastAsia="Calibri" w:hAnsi="Arial" w:cs="Arial"/>
                <w:b/>
                <w:bCs/>
                <w:sz w:val="16"/>
                <w:szCs w:val="16"/>
              </w:rPr>
            </w:pPr>
          </w:p>
        </w:tc>
        <w:tc>
          <w:tcPr>
            <w:tcW w:w="7082" w:type="dxa"/>
            <w:gridSpan w:val="2"/>
            <w:shd w:val="clear" w:color="auto" w:fill="auto"/>
          </w:tcPr>
          <w:p w14:paraId="2D72C89C" w14:textId="77777777" w:rsidR="003B2BFE" w:rsidRPr="005B69F6" w:rsidRDefault="003B2BFE" w:rsidP="0019693E">
            <w:pPr>
              <w:keepNext/>
              <w:keepLines/>
              <w:autoSpaceDE w:val="0"/>
              <w:autoSpaceDN w:val="0"/>
              <w:adjustRightInd w:val="0"/>
              <w:jc w:val="center"/>
              <w:rPr>
                <w:rFonts w:ascii="Arial" w:eastAsia="Calibri" w:hAnsi="Arial" w:cs="Arial"/>
                <w:b/>
                <w:bCs/>
                <w:sz w:val="16"/>
                <w:szCs w:val="16"/>
              </w:rPr>
            </w:pPr>
            <w:r w:rsidRPr="005B69F6">
              <w:rPr>
                <w:rFonts w:ascii="Arial" w:eastAsia="Calibri" w:hAnsi="Arial" w:cs="Arial"/>
                <w:b/>
                <w:bCs/>
                <w:sz w:val="16"/>
                <w:szCs w:val="16"/>
              </w:rPr>
              <w:t>Protocol 007</w:t>
            </w:r>
          </w:p>
        </w:tc>
      </w:tr>
      <w:tr w:rsidR="003B2BFE" w:rsidRPr="005B69F6" w14:paraId="6C814A05" w14:textId="77777777" w:rsidTr="007C2932">
        <w:tc>
          <w:tcPr>
            <w:tcW w:w="2268" w:type="dxa"/>
            <w:shd w:val="clear" w:color="auto" w:fill="auto"/>
          </w:tcPr>
          <w:p w14:paraId="7C537144" w14:textId="77777777" w:rsidR="003B2BFE" w:rsidRPr="005B69F6" w:rsidRDefault="003B2BFE" w:rsidP="0019693E">
            <w:pPr>
              <w:keepNext/>
              <w:keepLines/>
              <w:autoSpaceDE w:val="0"/>
              <w:autoSpaceDN w:val="0"/>
              <w:adjustRightInd w:val="0"/>
              <w:rPr>
                <w:rFonts w:ascii="Arial" w:eastAsia="Calibri" w:hAnsi="Arial" w:cs="Arial"/>
                <w:b/>
                <w:bCs/>
                <w:sz w:val="16"/>
                <w:szCs w:val="16"/>
              </w:rPr>
            </w:pPr>
            <w:r w:rsidRPr="005B69F6">
              <w:rPr>
                <w:rFonts w:ascii="Arial" w:eastAsia="Calibri" w:hAnsi="Arial" w:cs="Arial"/>
                <w:b/>
                <w:bCs/>
                <w:sz w:val="16"/>
                <w:szCs w:val="16"/>
              </w:rPr>
              <w:t>Age in Years</w:t>
            </w:r>
          </w:p>
        </w:tc>
        <w:tc>
          <w:tcPr>
            <w:tcW w:w="7082" w:type="dxa"/>
            <w:gridSpan w:val="2"/>
            <w:shd w:val="clear" w:color="auto" w:fill="auto"/>
          </w:tcPr>
          <w:p w14:paraId="282D4A1F" w14:textId="77777777" w:rsidR="003B2BFE" w:rsidRPr="005B69F6" w:rsidRDefault="003B2BFE" w:rsidP="0019693E">
            <w:pPr>
              <w:keepNext/>
              <w:keepLines/>
              <w:autoSpaceDE w:val="0"/>
              <w:autoSpaceDN w:val="0"/>
              <w:adjustRightInd w:val="0"/>
              <w:jc w:val="center"/>
              <w:rPr>
                <w:rFonts w:ascii="Arial" w:eastAsia="Calibri" w:hAnsi="Arial" w:cs="Arial"/>
                <w:b/>
                <w:bCs/>
                <w:sz w:val="16"/>
                <w:szCs w:val="16"/>
              </w:rPr>
            </w:pPr>
            <w:r w:rsidRPr="005B69F6">
              <w:rPr>
                <w:rFonts w:ascii="Arial" w:eastAsia="Calibri" w:hAnsi="Arial" w:cs="Arial"/>
                <w:b/>
                <w:bCs/>
                <w:sz w:val="16"/>
                <w:szCs w:val="16"/>
              </w:rPr>
              <w:t>≥65</w:t>
            </w:r>
          </w:p>
        </w:tc>
      </w:tr>
      <w:tr w:rsidR="003B2BFE" w:rsidRPr="005B69F6" w14:paraId="062722F4" w14:textId="77777777" w:rsidTr="007C2932">
        <w:tc>
          <w:tcPr>
            <w:tcW w:w="2268" w:type="dxa"/>
            <w:shd w:val="clear" w:color="auto" w:fill="auto"/>
          </w:tcPr>
          <w:p w14:paraId="37019BF3" w14:textId="77777777" w:rsidR="003B2BFE" w:rsidRPr="005B69F6" w:rsidRDefault="003B2BFE" w:rsidP="0019693E">
            <w:pPr>
              <w:keepNext/>
              <w:keepLines/>
              <w:autoSpaceDE w:val="0"/>
              <w:autoSpaceDN w:val="0"/>
              <w:adjustRightInd w:val="0"/>
              <w:rPr>
                <w:rFonts w:ascii="Arial" w:eastAsia="Calibri" w:hAnsi="Arial" w:cs="Arial"/>
                <w:sz w:val="16"/>
                <w:szCs w:val="16"/>
              </w:rPr>
            </w:pPr>
          </w:p>
        </w:tc>
        <w:tc>
          <w:tcPr>
            <w:tcW w:w="3965" w:type="dxa"/>
            <w:shd w:val="clear" w:color="auto" w:fill="auto"/>
          </w:tcPr>
          <w:p w14:paraId="53C8961D" w14:textId="1C1EBB76" w:rsidR="003B2BFE" w:rsidRPr="005B69F6" w:rsidRDefault="003056A9" w:rsidP="0019693E">
            <w:pPr>
              <w:keepNext/>
              <w:keepLines/>
              <w:jc w:val="center"/>
              <w:rPr>
                <w:rFonts w:ascii="Arial" w:eastAsia="Calibri" w:hAnsi="Arial" w:cs="Arial"/>
                <w:b/>
                <w:bCs/>
                <w:sz w:val="16"/>
                <w:szCs w:val="16"/>
              </w:rPr>
            </w:pPr>
            <w:r>
              <w:rPr>
                <w:rFonts w:ascii="Arial" w:eastAsia="Calibri" w:hAnsi="Arial" w:cs="Arial"/>
                <w:b/>
                <w:bCs/>
                <w:sz w:val="16"/>
                <w:szCs w:val="16"/>
              </w:rPr>
              <w:t>VAXNEUVANCE</w:t>
            </w:r>
            <w:r w:rsidR="003B2BFE" w:rsidRPr="005B69F6">
              <w:rPr>
                <w:rFonts w:ascii="Arial" w:eastAsia="Calibri" w:hAnsi="Arial" w:cs="Arial"/>
                <w:b/>
                <w:bCs/>
                <w:sz w:val="16"/>
                <w:szCs w:val="16"/>
              </w:rPr>
              <w:t xml:space="preserve"> (%)</w:t>
            </w:r>
          </w:p>
          <w:p w14:paraId="5133B266" w14:textId="77777777" w:rsidR="003B2BFE" w:rsidRPr="005B69F6" w:rsidRDefault="003B2BFE" w:rsidP="0019693E">
            <w:pPr>
              <w:keepNext/>
              <w:keepLines/>
              <w:autoSpaceDE w:val="0"/>
              <w:autoSpaceDN w:val="0"/>
              <w:adjustRightInd w:val="0"/>
              <w:jc w:val="center"/>
              <w:rPr>
                <w:rFonts w:ascii="Arial" w:eastAsia="Calibri" w:hAnsi="Arial" w:cs="Arial"/>
                <w:b/>
                <w:bCs/>
                <w:sz w:val="16"/>
                <w:szCs w:val="16"/>
              </w:rPr>
            </w:pPr>
            <w:r w:rsidRPr="005B69F6">
              <w:rPr>
                <w:rFonts w:ascii="Arial" w:eastAsia="Calibri" w:hAnsi="Arial" w:cs="Arial"/>
                <w:b/>
                <w:bCs/>
                <w:sz w:val="16"/>
                <w:szCs w:val="16"/>
              </w:rPr>
              <w:t>N=127</w:t>
            </w:r>
          </w:p>
        </w:tc>
        <w:tc>
          <w:tcPr>
            <w:tcW w:w="3117" w:type="dxa"/>
            <w:shd w:val="clear" w:color="auto" w:fill="auto"/>
          </w:tcPr>
          <w:p w14:paraId="474FC10E" w14:textId="77777777" w:rsidR="003B2BFE" w:rsidRPr="005B69F6" w:rsidRDefault="003B2BFE" w:rsidP="0019693E">
            <w:pPr>
              <w:keepNext/>
              <w:keepLines/>
              <w:jc w:val="center"/>
              <w:rPr>
                <w:rFonts w:ascii="Arial" w:eastAsia="Calibri" w:hAnsi="Arial" w:cs="Arial"/>
                <w:b/>
                <w:bCs/>
                <w:sz w:val="16"/>
                <w:szCs w:val="16"/>
              </w:rPr>
            </w:pPr>
            <w:r w:rsidRPr="005B69F6">
              <w:rPr>
                <w:rFonts w:ascii="Arial" w:eastAsia="Calibri" w:hAnsi="Arial" w:cs="Arial"/>
                <w:b/>
                <w:bCs/>
                <w:sz w:val="16"/>
                <w:szCs w:val="16"/>
              </w:rPr>
              <w:t>PCV13 (%)</w:t>
            </w:r>
          </w:p>
          <w:p w14:paraId="59AE134C" w14:textId="77777777" w:rsidR="003B2BFE" w:rsidRPr="005B69F6" w:rsidRDefault="003B2BFE" w:rsidP="0019693E">
            <w:pPr>
              <w:keepNext/>
              <w:keepLines/>
              <w:jc w:val="center"/>
              <w:rPr>
                <w:rFonts w:ascii="Arial" w:eastAsia="Calibri" w:hAnsi="Arial" w:cs="Arial"/>
                <w:b/>
                <w:bCs/>
                <w:sz w:val="16"/>
                <w:szCs w:val="16"/>
              </w:rPr>
            </w:pPr>
            <w:r w:rsidRPr="005B69F6">
              <w:rPr>
                <w:rFonts w:ascii="Arial" w:eastAsia="Calibri" w:hAnsi="Arial" w:cs="Arial"/>
                <w:b/>
                <w:bCs/>
                <w:sz w:val="16"/>
                <w:szCs w:val="16"/>
              </w:rPr>
              <w:t>N=126</w:t>
            </w:r>
          </w:p>
        </w:tc>
      </w:tr>
      <w:tr w:rsidR="003B2BFE" w:rsidRPr="005B69F6" w14:paraId="63C5CC5A" w14:textId="77777777" w:rsidTr="007C2932">
        <w:tc>
          <w:tcPr>
            <w:tcW w:w="9350" w:type="dxa"/>
            <w:gridSpan w:val="3"/>
            <w:shd w:val="clear" w:color="auto" w:fill="auto"/>
          </w:tcPr>
          <w:p w14:paraId="2674A40A" w14:textId="77777777" w:rsidR="003B2BFE" w:rsidRPr="005B69F6" w:rsidRDefault="003B2BFE" w:rsidP="0019693E">
            <w:pPr>
              <w:keepNext/>
              <w:keepLines/>
              <w:autoSpaceDE w:val="0"/>
              <w:autoSpaceDN w:val="0"/>
              <w:adjustRightInd w:val="0"/>
              <w:rPr>
                <w:rFonts w:ascii="Arial" w:eastAsia="Calibri" w:hAnsi="Arial" w:cs="Arial"/>
                <w:b/>
                <w:bCs/>
                <w:sz w:val="16"/>
                <w:szCs w:val="16"/>
              </w:rPr>
            </w:pPr>
            <w:r w:rsidRPr="005B69F6">
              <w:rPr>
                <w:rFonts w:ascii="Arial" w:eastAsia="Times New Roman" w:hAnsi="Arial" w:cs="Arial"/>
                <w:b/>
                <w:bCs/>
                <w:sz w:val="16"/>
                <w:szCs w:val="16"/>
              </w:rPr>
              <w:t>Local Reactions*</w:t>
            </w:r>
          </w:p>
        </w:tc>
      </w:tr>
      <w:tr w:rsidR="003B2BFE" w:rsidRPr="005B69F6" w14:paraId="0963048A" w14:textId="77777777" w:rsidTr="007C2932">
        <w:tc>
          <w:tcPr>
            <w:tcW w:w="2268" w:type="dxa"/>
            <w:shd w:val="clear" w:color="auto" w:fill="auto"/>
          </w:tcPr>
          <w:p w14:paraId="363D85CB"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Pain</w:t>
            </w:r>
          </w:p>
        </w:tc>
        <w:tc>
          <w:tcPr>
            <w:tcW w:w="3965" w:type="dxa"/>
            <w:shd w:val="clear" w:color="auto" w:fill="auto"/>
          </w:tcPr>
          <w:p w14:paraId="71428234"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55.1</w:t>
            </w:r>
          </w:p>
        </w:tc>
        <w:tc>
          <w:tcPr>
            <w:tcW w:w="3117" w:type="dxa"/>
            <w:shd w:val="clear" w:color="auto" w:fill="auto"/>
          </w:tcPr>
          <w:p w14:paraId="1F89ED58"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44.4</w:t>
            </w:r>
          </w:p>
        </w:tc>
      </w:tr>
      <w:tr w:rsidR="003B2BFE" w:rsidRPr="005B69F6" w14:paraId="60D1219E" w14:textId="77777777" w:rsidTr="007C2932">
        <w:tc>
          <w:tcPr>
            <w:tcW w:w="2268" w:type="dxa"/>
            <w:shd w:val="clear" w:color="auto" w:fill="auto"/>
          </w:tcPr>
          <w:p w14:paraId="36B1E51F"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Erythema</w:t>
            </w:r>
          </w:p>
        </w:tc>
        <w:tc>
          <w:tcPr>
            <w:tcW w:w="3965" w:type="dxa"/>
            <w:shd w:val="clear" w:color="auto" w:fill="auto"/>
          </w:tcPr>
          <w:p w14:paraId="61AF9892"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7.9</w:t>
            </w:r>
          </w:p>
        </w:tc>
        <w:tc>
          <w:tcPr>
            <w:tcW w:w="3117" w:type="dxa"/>
            <w:shd w:val="clear" w:color="auto" w:fill="auto"/>
          </w:tcPr>
          <w:p w14:paraId="287D0FBA"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7.1</w:t>
            </w:r>
          </w:p>
        </w:tc>
      </w:tr>
      <w:tr w:rsidR="003B2BFE" w:rsidRPr="005B69F6" w14:paraId="331EAA49" w14:textId="77777777" w:rsidTr="007C2932">
        <w:tc>
          <w:tcPr>
            <w:tcW w:w="2268" w:type="dxa"/>
            <w:shd w:val="clear" w:color="auto" w:fill="auto"/>
          </w:tcPr>
          <w:p w14:paraId="52039C70"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Swelling</w:t>
            </w:r>
          </w:p>
        </w:tc>
        <w:tc>
          <w:tcPr>
            <w:tcW w:w="3965" w:type="dxa"/>
            <w:shd w:val="clear" w:color="auto" w:fill="auto"/>
          </w:tcPr>
          <w:p w14:paraId="6F95600F"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14.2</w:t>
            </w:r>
          </w:p>
        </w:tc>
        <w:tc>
          <w:tcPr>
            <w:tcW w:w="3117" w:type="dxa"/>
            <w:shd w:val="clear" w:color="auto" w:fill="auto"/>
          </w:tcPr>
          <w:p w14:paraId="50930474"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6.3</w:t>
            </w:r>
          </w:p>
        </w:tc>
      </w:tr>
      <w:tr w:rsidR="003B2BFE" w:rsidRPr="005B69F6" w14:paraId="17369843" w14:textId="77777777" w:rsidTr="007C2932">
        <w:tc>
          <w:tcPr>
            <w:tcW w:w="9350" w:type="dxa"/>
            <w:gridSpan w:val="3"/>
            <w:shd w:val="clear" w:color="auto" w:fill="auto"/>
          </w:tcPr>
          <w:p w14:paraId="3A778BAF" w14:textId="77777777" w:rsidR="003B2BFE" w:rsidRPr="005B69F6" w:rsidRDefault="003B2BFE" w:rsidP="0019693E">
            <w:pPr>
              <w:keepNext/>
              <w:keepLines/>
              <w:autoSpaceDE w:val="0"/>
              <w:autoSpaceDN w:val="0"/>
              <w:adjustRightInd w:val="0"/>
              <w:rPr>
                <w:rFonts w:ascii="Arial" w:eastAsia="Calibri" w:hAnsi="Arial" w:cs="Arial"/>
                <w:sz w:val="16"/>
                <w:szCs w:val="16"/>
                <w:u w:val="single"/>
              </w:rPr>
            </w:pPr>
            <w:r w:rsidRPr="005B69F6">
              <w:rPr>
                <w:rFonts w:ascii="Arial" w:eastAsia="Times New Roman" w:hAnsi="Arial" w:cs="Arial"/>
                <w:b/>
                <w:bCs/>
                <w:sz w:val="16"/>
                <w:szCs w:val="16"/>
              </w:rPr>
              <w:t>Systemic Reactions</w:t>
            </w:r>
            <w:r w:rsidRPr="005B69F6">
              <w:rPr>
                <w:rFonts w:ascii="Arial" w:eastAsia="Times New Roman" w:hAnsi="Arial" w:cs="Arial"/>
                <w:b/>
                <w:bCs/>
                <w:sz w:val="16"/>
                <w:szCs w:val="16"/>
                <w:vertAlign w:val="superscript"/>
              </w:rPr>
              <w:t>†</w:t>
            </w:r>
          </w:p>
        </w:tc>
      </w:tr>
      <w:tr w:rsidR="003B2BFE" w:rsidRPr="005B69F6" w14:paraId="000C1C06" w14:textId="77777777" w:rsidTr="007C2932">
        <w:tc>
          <w:tcPr>
            <w:tcW w:w="2268" w:type="dxa"/>
            <w:shd w:val="clear" w:color="auto" w:fill="auto"/>
          </w:tcPr>
          <w:p w14:paraId="247BF418"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Fatigue</w:t>
            </w:r>
          </w:p>
        </w:tc>
        <w:tc>
          <w:tcPr>
            <w:tcW w:w="3965" w:type="dxa"/>
            <w:shd w:val="clear" w:color="auto" w:fill="auto"/>
          </w:tcPr>
          <w:p w14:paraId="42500793"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18.1</w:t>
            </w:r>
          </w:p>
        </w:tc>
        <w:tc>
          <w:tcPr>
            <w:tcW w:w="3117" w:type="dxa"/>
            <w:shd w:val="clear" w:color="auto" w:fill="auto"/>
          </w:tcPr>
          <w:p w14:paraId="133F577D"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19.0</w:t>
            </w:r>
          </w:p>
        </w:tc>
      </w:tr>
      <w:tr w:rsidR="003B2BFE" w:rsidRPr="005B69F6" w14:paraId="3E1C55A7" w14:textId="77777777" w:rsidTr="007C2932">
        <w:tc>
          <w:tcPr>
            <w:tcW w:w="2268" w:type="dxa"/>
            <w:shd w:val="clear" w:color="auto" w:fill="auto"/>
          </w:tcPr>
          <w:p w14:paraId="6B9BBBD6"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Headache</w:t>
            </w:r>
          </w:p>
        </w:tc>
        <w:tc>
          <w:tcPr>
            <w:tcW w:w="3965" w:type="dxa"/>
            <w:shd w:val="clear" w:color="auto" w:fill="auto"/>
          </w:tcPr>
          <w:p w14:paraId="508200A5"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13.4</w:t>
            </w:r>
          </w:p>
        </w:tc>
        <w:tc>
          <w:tcPr>
            <w:tcW w:w="3117" w:type="dxa"/>
            <w:shd w:val="clear" w:color="auto" w:fill="auto"/>
          </w:tcPr>
          <w:p w14:paraId="265FA3D1"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15.9</w:t>
            </w:r>
          </w:p>
        </w:tc>
      </w:tr>
      <w:tr w:rsidR="003B2BFE" w:rsidRPr="005B69F6" w14:paraId="53CA9323" w14:textId="77777777" w:rsidTr="007C2932">
        <w:tc>
          <w:tcPr>
            <w:tcW w:w="2268" w:type="dxa"/>
            <w:shd w:val="clear" w:color="auto" w:fill="auto"/>
          </w:tcPr>
          <w:p w14:paraId="600EC181"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Myalgia</w:t>
            </w:r>
          </w:p>
        </w:tc>
        <w:tc>
          <w:tcPr>
            <w:tcW w:w="3965" w:type="dxa"/>
            <w:shd w:val="clear" w:color="auto" w:fill="auto"/>
          </w:tcPr>
          <w:p w14:paraId="312269E6"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15.7</w:t>
            </w:r>
          </w:p>
        </w:tc>
        <w:tc>
          <w:tcPr>
            <w:tcW w:w="3117" w:type="dxa"/>
            <w:shd w:val="clear" w:color="auto" w:fill="auto"/>
          </w:tcPr>
          <w:p w14:paraId="104575F3"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11.1</w:t>
            </w:r>
          </w:p>
        </w:tc>
      </w:tr>
      <w:tr w:rsidR="003B2BFE" w:rsidRPr="005B69F6" w14:paraId="5BDD2B12" w14:textId="77777777" w:rsidTr="007C2932">
        <w:tc>
          <w:tcPr>
            <w:tcW w:w="2268" w:type="dxa"/>
            <w:shd w:val="clear" w:color="auto" w:fill="auto"/>
          </w:tcPr>
          <w:p w14:paraId="1D7B97D5"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Arthralgia</w:t>
            </w:r>
          </w:p>
        </w:tc>
        <w:tc>
          <w:tcPr>
            <w:tcW w:w="3965" w:type="dxa"/>
            <w:shd w:val="clear" w:color="auto" w:fill="auto"/>
          </w:tcPr>
          <w:p w14:paraId="297C925C"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5.5</w:t>
            </w:r>
          </w:p>
        </w:tc>
        <w:tc>
          <w:tcPr>
            <w:tcW w:w="3117" w:type="dxa"/>
            <w:shd w:val="clear" w:color="auto" w:fill="auto"/>
          </w:tcPr>
          <w:p w14:paraId="2B078DF1"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8.7</w:t>
            </w:r>
          </w:p>
        </w:tc>
      </w:tr>
      <w:tr w:rsidR="003B2BFE" w:rsidRPr="005B69F6" w14:paraId="3C4E0127" w14:textId="77777777" w:rsidTr="007C2932">
        <w:tc>
          <w:tcPr>
            <w:tcW w:w="9350" w:type="dxa"/>
            <w:gridSpan w:val="3"/>
            <w:shd w:val="clear" w:color="auto" w:fill="auto"/>
          </w:tcPr>
          <w:p w14:paraId="4ECA272E"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Times New Roman" w:hAnsi="Arial" w:cs="Arial"/>
                <w:sz w:val="16"/>
                <w:szCs w:val="16"/>
              </w:rPr>
              <w:t>Elevated Body Temperature*</w:t>
            </w:r>
            <w:r w:rsidRPr="005B69F6">
              <w:rPr>
                <w:rFonts w:ascii="Arial" w:eastAsia="Times New Roman" w:hAnsi="Arial" w:cs="Arial"/>
                <w:sz w:val="16"/>
                <w:szCs w:val="16"/>
                <w:vertAlign w:val="superscript"/>
              </w:rPr>
              <w:t>‡</w:t>
            </w:r>
            <w:r w:rsidRPr="005B69F6">
              <w:rPr>
                <w:rFonts w:ascii="Arial" w:eastAsia="Times New Roman" w:hAnsi="Arial" w:cs="Arial"/>
                <w:sz w:val="16"/>
                <w:szCs w:val="16"/>
              </w:rPr>
              <w:t xml:space="preserve"> </w:t>
            </w:r>
          </w:p>
        </w:tc>
      </w:tr>
      <w:tr w:rsidR="003B2BFE" w:rsidRPr="005B69F6" w14:paraId="0CF0B70C" w14:textId="77777777" w:rsidTr="007C2932">
        <w:tc>
          <w:tcPr>
            <w:tcW w:w="2268" w:type="dxa"/>
            <w:shd w:val="clear" w:color="auto" w:fill="auto"/>
          </w:tcPr>
          <w:p w14:paraId="178F0F29"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Times New Roman" w:hAnsi="Arial" w:cs="Arial"/>
                <w:sz w:val="16"/>
                <w:szCs w:val="16"/>
              </w:rPr>
              <w:t xml:space="preserve">  ≥38.0°C and &lt;39.0°C</w:t>
            </w:r>
          </w:p>
        </w:tc>
        <w:tc>
          <w:tcPr>
            <w:tcW w:w="3965" w:type="dxa"/>
            <w:shd w:val="clear" w:color="auto" w:fill="auto"/>
          </w:tcPr>
          <w:p w14:paraId="66455123"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1.6</w:t>
            </w:r>
          </w:p>
        </w:tc>
        <w:tc>
          <w:tcPr>
            <w:tcW w:w="3117" w:type="dxa"/>
            <w:shd w:val="clear" w:color="auto" w:fill="auto"/>
          </w:tcPr>
          <w:p w14:paraId="0C46A33B"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0.0</w:t>
            </w:r>
          </w:p>
        </w:tc>
      </w:tr>
      <w:tr w:rsidR="003B2BFE" w:rsidRPr="005B69F6" w14:paraId="576D606B" w14:textId="77777777" w:rsidTr="007C2932">
        <w:tc>
          <w:tcPr>
            <w:tcW w:w="2268" w:type="dxa"/>
            <w:shd w:val="clear" w:color="auto" w:fill="auto"/>
          </w:tcPr>
          <w:p w14:paraId="09AB0C12"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Times New Roman" w:hAnsi="Arial" w:cs="Arial"/>
                <w:sz w:val="16"/>
                <w:szCs w:val="16"/>
              </w:rPr>
              <w:t xml:space="preserve">  ≥39.0°C</w:t>
            </w:r>
          </w:p>
        </w:tc>
        <w:tc>
          <w:tcPr>
            <w:tcW w:w="3965" w:type="dxa"/>
            <w:shd w:val="clear" w:color="auto" w:fill="auto"/>
          </w:tcPr>
          <w:p w14:paraId="01FAD7AC"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0.0</w:t>
            </w:r>
          </w:p>
        </w:tc>
        <w:tc>
          <w:tcPr>
            <w:tcW w:w="3117" w:type="dxa"/>
            <w:shd w:val="clear" w:color="auto" w:fill="auto"/>
          </w:tcPr>
          <w:p w14:paraId="0F309FC1"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0.0</w:t>
            </w:r>
          </w:p>
        </w:tc>
      </w:tr>
    </w:tbl>
    <w:p w14:paraId="1A18C749"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rPr>
        <w:t>* Solicited on Day 1 through Day 5 postvaccination</w:t>
      </w:r>
    </w:p>
    <w:p w14:paraId="43A1E9E6"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2"/>
          <w:vertAlign w:val="superscript"/>
        </w:rPr>
        <w:t>†</w:t>
      </w:r>
      <w:r w:rsidRPr="005B69F6">
        <w:rPr>
          <w:rFonts w:ascii="Arial" w:hAnsi="Arial" w:cs="Arial"/>
          <w:sz w:val="16"/>
          <w:szCs w:val="12"/>
        </w:rPr>
        <w:t xml:space="preserve"> </w:t>
      </w:r>
      <w:r w:rsidRPr="005B69F6">
        <w:rPr>
          <w:rFonts w:ascii="Arial" w:hAnsi="Arial" w:cs="Arial"/>
          <w:sz w:val="16"/>
          <w:szCs w:val="16"/>
        </w:rPr>
        <w:t>Solicited on Day 1 through Day 14 postvaccination</w:t>
      </w:r>
    </w:p>
    <w:p w14:paraId="3597071B"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vertAlign w:val="superscript"/>
        </w:rPr>
        <w:t>‡</w:t>
      </w:r>
      <w:r w:rsidRPr="005B69F6">
        <w:rPr>
          <w:rFonts w:ascii="Arial" w:hAnsi="Arial" w:cs="Arial"/>
          <w:sz w:val="16"/>
          <w:szCs w:val="16"/>
        </w:rPr>
        <w:t xml:space="preserve"> Percentages are based on the number of participants with temperature data</w:t>
      </w:r>
    </w:p>
    <w:p w14:paraId="7DF85585"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rPr>
        <w:t>N=Number of participants vaccinated</w:t>
      </w:r>
    </w:p>
    <w:p w14:paraId="3AF5D0CB" w14:textId="77777777" w:rsidR="003B2BFE" w:rsidRPr="005B69F6" w:rsidRDefault="003B2BFE" w:rsidP="0019693E">
      <w:pPr>
        <w:pStyle w:val="BodyText1"/>
        <w:spacing w:before="0"/>
        <w:ind w:firstLine="0"/>
        <w:jc w:val="both"/>
        <w:rPr>
          <w:rFonts w:ascii="Arial" w:hAnsi="Arial" w:cs="Arial"/>
          <w:iCs/>
          <w:sz w:val="18"/>
          <w:szCs w:val="18"/>
        </w:rPr>
      </w:pPr>
    </w:p>
    <w:p w14:paraId="0357D0CB" w14:textId="77777777" w:rsidR="003B2BFE" w:rsidRPr="005B69F6" w:rsidRDefault="003B2BFE" w:rsidP="0019693E">
      <w:pPr>
        <w:pStyle w:val="BodyText1"/>
        <w:spacing w:before="0"/>
        <w:ind w:firstLine="0"/>
        <w:jc w:val="both"/>
        <w:rPr>
          <w:rFonts w:ascii="Arial" w:hAnsi="Arial" w:cs="Arial"/>
          <w:i/>
          <w:sz w:val="20"/>
          <w:szCs w:val="20"/>
        </w:rPr>
      </w:pPr>
      <w:r w:rsidRPr="005B69F6">
        <w:rPr>
          <w:rFonts w:ascii="Arial" w:hAnsi="Arial" w:cs="Arial"/>
          <w:i/>
          <w:sz w:val="20"/>
          <w:szCs w:val="20"/>
        </w:rPr>
        <w:t>Unsolicited Adverse Reactions</w:t>
      </w:r>
    </w:p>
    <w:p w14:paraId="5AF1B571" w14:textId="620A5E01" w:rsidR="003B2BFE" w:rsidRPr="005B69F6" w:rsidRDefault="003B2BFE" w:rsidP="00966763">
      <w:pPr>
        <w:pStyle w:val="Paragraph"/>
        <w:spacing w:after="0"/>
        <w:rPr>
          <w:rFonts w:ascii="Arial" w:hAnsi="Arial" w:cs="Arial"/>
          <w:sz w:val="20"/>
          <w:szCs w:val="20"/>
        </w:rPr>
      </w:pPr>
      <w:r w:rsidRPr="005B69F6">
        <w:rPr>
          <w:rFonts w:ascii="Arial" w:hAnsi="Arial" w:cs="Arial"/>
          <w:sz w:val="20"/>
          <w:szCs w:val="20"/>
        </w:rPr>
        <w:t>Injection</w:t>
      </w:r>
      <w:r w:rsidRPr="005B69F6">
        <w:rPr>
          <w:rFonts w:ascii="Arial" w:hAnsi="Arial" w:cs="Arial"/>
          <w:sz w:val="20"/>
          <w:szCs w:val="20"/>
        </w:rPr>
        <w:noBreakHyphen/>
        <w:t xml:space="preserve">site pruritus occurred in 1.0% to 2.8% of pneumococcal vaccine-naïve adults vaccinated with </w:t>
      </w:r>
      <w:r w:rsidR="003056A9">
        <w:rPr>
          <w:rFonts w:ascii="Arial" w:hAnsi="Arial" w:cs="Arial"/>
          <w:sz w:val="20"/>
          <w:szCs w:val="20"/>
        </w:rPr>
        <w:t>VAXNEUVANCE</w:t>
      </w:r>
      <w:r w:rsidRPr="005B69F6">
        <w:rPr>
          <w:rFonts w:ascii="Arial" w:hAnsi="Arial" w:cs="Arial"/>
          <w:sz w:val="20"/>
          <w:szCs w:val="20"/>
        </w:rPr>
        <w:t>.</w:t>
      </w:r>
    </w:p>
    <w:p w14:paraId="0E68AA82" w14:textId="2183938B" w:rsidR="00226A61" w:rsidRDefault="00226A61" w:rsidP="0019693E">
      <w:pPr>
        <w:pStyle w:val="BodyText1"/>
        <w:spacing w:before="0"/>
        <w:ind w:firstLine="0"/>
        <w:jc w:val="both"/>
        <w:rPr>
          <w:rFonts w:ascii="Arial" w:hAnsi="Arial" w:cs="Arial"/>
          <w:sz w:val="20"/>
          <w:szCs w:val="20"/>
        </w:rPr>
      </w:pPr>
    </w:p>
    <w:p w14:paraId="4FC008D2" w14:textId="77777777" w:rsidR="00C62803" w:rsidRPr="005B69F6" w:rsidRDefault="00C62803" w:rsidP="0019693E">
      <w:pPr>
        <w:pStyle w:val="BodyText1"/>
        <w:spacing w:before="0"/>
        <w:ind w:firstLine="0"/>
        <w:jc w:val="both"/>
        <w:rPr>
          <w:rFonts w:ascii="Arial" w:hAnsi="Arial" w:cs="Arial"/>
          <w:sz w:val="20"/>
          <w:szCs w:val="20"/>
        </w:rPr>
      </w:pPr>
    </w:p>
    <w:p w14:paraId="45C5CC63" w14:textId="77777777" w:rsidR="00226A61" w:rsidRPr="00EB2FE2" w:rsidRDefault="00226A61" w:rsidP="00C62803">
      <w:pPr>
        <w:pStyle w:val="Heading2"/>
        <w:rPr>
          <w:b w:val="0"/>
          <w:i/>
        </w:rPr>
      </w:pPr>
      <w:r w:rsidRPr="00EB2FE2">
        <w:rPr>
          <w:b w:val="0"/>
          <w:i/>
        </w:rPr>
        <w:t>Additional Information in Special Populations</w:t>
      </w:r>
    </w:p>
    <w:p w14:paraId="503EBA1F" w14:textId="77777777" w:rsidR="00226A61" w:rsidRPr="005B69F6" w:rsidRDefault="00226A61" w:rsidP="00226A61">
      <w:pPr>
        <w:pStyle w:val="BodyText1"/>
        <w:spacing w:before="0"/>
        <w:ind w:firstLine="0"/>
        <w:jc w:val="both"/>
        <w:rPr>
          <w:rFonts w:ascii="Arial" w:hAnsi="Arial" w:cs="Arial"/>
          <w:iCs/>
          <w:sz w:val="20"/>
          <w:szCs w:val="20"/>
          <w:u w:val="single"/>
        </w:rPr>
      </w:pPr>
    </w:p>
    <w:p w14:paraId="11770E08" w14:textId="77777777" w:rsidR="00226A61" w:rsidRPr="00EB2FE2" w:rsidRDefault="00226A61" w:rsidP="00226A61">
      <w:pPr>
        <w:pStyle w:val="BodyText1"/>
        <w:spacing w:before="0"/>
        <w:ind w:firstLine="0"/>
        <w:jc w:val="both"/>
        <w:rPr>
          <w:rFonts w:ascii="Arial" w:hAnsi="Arial"/>
          <w:i/>
          <w:sz w:val="20"/>
          <w:u w:val="single"/>
        </w:rPr>
      </w:pPr>
      <w:r w:rsidRPr="00EB2FE2">
        <w:rPr>
          <w:rFonts w:ascii="Arial" w:hAnsi="Arial"/>
          <w:i/>
          <w:sz w:val="20"/>
          <w:u w:val="single"/>
        </w:rPr>
        <w:t>Populations at Increased Risk for Pneumococcal Disease</w:t>
      </w:r>
    </w:p>
    <w:p w14:paraId="1F62096C" w14:textId="77777777" w:rsidR="00226A61" w:rsidRPr="005B69F6" w:rsidRDefault="00226A61" w:rsidP="00226A61">
      <w:pPr>
        <w:pStyle w:val="BodyText1"/>
        <w:spacing w:before="0"/>
        <w:ind w:firstLine="0"/>
        <w:jc w:val="both"/>
        <w:rPr>
          <w:rFonts w:ascii="Arial" w:hAnsi="Arial" w:cs="Arial"/>
          <w:iCs/>
          <w:sz w:val="20"/>
          <w:szCs w:val="20"/>
        </w:rPr>
      </w:pPr>
    </w:p>
    <w:p w14:paraId="0F1036C6" w14:textId="77777777" w:rsidR="00226A61" w:rsidRPr="00EB2FE2" w:rsidRDefault="00226A61" w:rsidP="00226A61">
      <w:pPr>
        <w:pStyle w:val="BodyText1"/>
        <w:spacing w:before="0"/>
        <w:ind w:firstLine="0"/>
        <w:jc w:val="both"/>
        <w:rPr>
          <w:rFonts w:ascii="Arial" w:hAnsi="Arial"/>
          <w:sz w:val="20"/>
          <w:u w:val="single"/>
        </w:rPr>
      </w:pPr>
      <w:r w:rsidRPr="00EB2FE2">
        <w:rPr>
          <w:rFonts w:ascii="Arial" w:hAnsi="Arial"/>
          <w:sz w:val="20"/>
          <w:u w:val="single"/>
        </w:rPr>
        <w:t>Adults Living with HIV</w:t>
      </w:r>
    </w:p>
    <w:p w14:paraId="7C1208CB" w14:textId="42C538C9" w:rsidR="00226A61" w:rsidRPr="005B69F6" w:rsidRDefault="00226A61" w:rsidP="00226A61">
      <w:pPr>
        <w:pStyle w:val="BodyText1"/>
        <w:spacing w:before="0"/>
        <w:ind w:firstLine="0"/>
        <w:jc w:val="both"/>
        <w:rPr>
          <w:rFonts w:ascii="Arial" w:hAnsi="Arial" w:cs="Arial"/>
          <w:sz w:val="20"/>
          <w:szCs w:val="20"/>
        </w:rPr>
      </w:pPr>
      <w:r w:rsidRPr="005B69F6">
        <w:rPr>
          <w:rFonts w:ascii="Arial" w:hAnsi="Arial" w:cs="Arial"/>
          <w:iCs/>
          <w:sz w:val="20"/>
          <w:szCs w:val="20"/>
        </w:rPr>
        <w:t xml:space="preserve">In adults living with HIV (Protocol 018), the safety profile of </w:t>
      </w:r>
      <w:r w:rsidR="003056A9">
        <w:rPr>
          <w:rFonts w:ascii="Arial" w:hAnsi="Arial" w:cs="Arial"/>
          <w:iCs/>
          <w:sz w:val="20"/>
          <w:szCs w:val="20"/>
        </w:rPr>
        <w:t>VAXNEUVANCE</w:t>
      </w:r>
      <w:r w:rsidRPr="005B69F6">
        <w:rPr>
          <w:rFonts w:ascii="Arial" w:hAnsi="Arial" w:cs="Arial"/>
          <w:iCs/>
          <w:sz w:val="20"/>
          <w:szCs w:val="20"/>
        </w:rPr>
        <w:t xml:space="preserve"> </w:t>
      </w:r>
      <w:r w:rsidRPr="005B69F6">
        <w:rPr>
          <w:rFonts w:ascii="Arial" w:hAnsi="Arial" w:cs="Arial"/>
          <w:sz w:val="20"/>
          <w:szCs w:val="20"/>
        </w:rPr>
        <w:t>was generally consistent with its safety profile in immunocompetent pneumococcal vaccine-naïve adults.</w:t>
      </w:r>
    </w:p>
    <w:p w14:paraId="5AE83CCB" w14:textId="77777777" w:rsidR="00226A61" w:rsidRPr="005B69F6" w:rsidRDefault="00226A61" w:rsidP="00226A61">
      <w:pPr>
        <w:pStyle w:val="BodyText1"/>
        <w:spacing w:before="0"/>
        <w:ind w:firstLine="0"/>
        <w:jc w:val="both"/>
        <w:rPr>
          <w:rFonts w:ascii="Arial" w:hAnsi="Arial" w:cs="Arial"/>
          <w:sz w:val="20"/>
          <w:szCs w:val="20"/>
        </w:rPr>
      </w:pPr>
    </w:p>
    <w:p w14:paraId="1A712B10" w14:textId="77777777" w:rsidR="00226A61" w:rsidRPr="00EB2FE2" w:rsidRDefault="00226A61" w:rsidP="00226A61">
      <w:pPr>
        <w:pStyle w:val="BodyText1"/>
        <w:spacing w:before="0"/>
        <w:ind w:firstLine="0"/>
        <w:jc w:val="both"/>
        <w:rPr>
          <w:rFonts w:ascii="Arial" w:hAnsi="Arial"/>
          <w:sz w:val="20"/>
          <w:u w:val="single"/>
        </w:rPr>
      </w:pPr>
      <w:r w:rsidRPr="00EB2FE2">
        <w:rPr>
          <w:rFonts w:ascii="Arial" w:hAnsi="Arial"/>
          <w:sz w:val="20"/>
          <w:u w:val="single"/>
        </w:rPr>
        <w:t>Adults with Chronic Conditions and Other Risk Factors</w:t>
      </w:r>
    </w:p>
    <w:p w14:paraId="028DCD33" w14:textId="23204A7E" w:rsidR="00226A61" w:rsidRPr="003E52AF" w:rsidRDefault="00226A61" w:rsidP="00226A61">
      <w:pPr>
        <w:pStyle w:val="BodyText1"/>
        <w:spacing w:before="0"/>
        <w:ind w:firstLine="0"/>
        <w:jc w:val="both"/>
        <w:rPr>
          <w:rFonts w:ascii="Arial" w:eastAsiaTheme="minorHAnsi" w:hAnsi="Arial" w:cs="Arial"/>
          <w:sz w:val="20"/>
          <w:szCs w:val="20"/>
          <w:highlight w:val="cyan"/>
          <w:lang w:val="en-AU"/>
        </w:rPr>
      </w:pPr>
      <w:r w:rsidRPr="005B69F6">
        <w:rPr>
          <w:rFonts w:ascii="Arial" w:hAnsi="Arial" w:cs="Arial"/>
          <w:iCs/>
          <w:sz w:val="20"/>
          <w:szCs w:val="20"/>
        </w:rPr>
        <w:t xml:space="preserve">In adults 18 to 49 years of age with 1 risk factor or 2 or more risk factors for pneumococcal disease (Protocol 017), the safety profile of </w:t>
      </w:r>
      <w:r w:rsidR="003056A9">
        <w:rPr>
          <w:rFonts w:ascii="Arial" w:hAnsi="Arial" w:cs="Arial"/>
          <w:iCs/>
          <w:sz w:val="20"/>
          <w:szCs w:val="20"/>
        </w:rPr>
        <w:t>VAXNEUVANCE</w:t>
      </w:r>
      <w:r w:rsidRPr="005B69F6">
        <w:rPr>
          <w:rFonts w:ascii="Arial" w:hAnsi="Arial" w:cs="Arial"/>
          <w:iCs/>
          <w:sz w:val="20"/>
          <w:szCs w:val="20"/>
        </w:rPr>
        <w:t xml:space="preserve"> was generally consistent with its safety profile in the overall study population.</w:t>
      </w:r>
    </w:p>
    <w:p w14:paraId="2BA0756E" w14:textId="77777777" w:rsidR="00226A61" w:rsidRPr="005B69F6" w:rsidRDefault="00226A61" w:rsidP="0019693E">
      <w:pPr>
        <w:pStyle w:val="BodyText1"/>
        <w:spacing w:before="0"/>
        <w:ind w:firstLine="0"/>
        <w:jc w:val="both"/>
        <w:rPr>
          <w:rFonts w:ascii="Arial" w:hAnsi="Arial" w:cs="Arial"/>
          <w:sz w:val="20"/>
          <w:szCs w:val="20"/>
        </w:rPr>
      </w:pPr>
    </w:p>
    <w:p w14:paraId="454F8A8E" w14:textId="77777777" w:rsidR="003B2BFE" w:rsidRPr="005F56CD" w:rsidRDefault="003B2BFE" w:rsidP="0019693E">
      <w:pPr>
        <w:pStyle w:val="BodyText1"/>
        <w:spacing w:before="0"/>
        <w:ind w:firstLine="0"/>
        <w:jc w:val="both"/>
        <w:rPr>
          <w:rFonts w:ascii="Arial" w:hAnsi="Arial" w:cs="Arial"/>
          <w:sz w:val="20"/>
          <w:szCs w:val="20"/>
        </w:rPr>
      </w:pPr>
      <w:r w:rsidRPr="005F56CD">
        <w:rPr>
          <w:rFonts w:ascii="Arial" w:hAnsi="Arial" w:cs="Arial"/>
          <w:i/>
          <w:sz w:val="20"/>
          <w:szCs w:val="20"/>
        </w:rPr>
        <w:t>Safety with Concomitant Influenza Vaccine Administration</w:t>
      </w:r>
    </w:p>
    <w:p w14:paraId="1783308C" w14:textId="48A94CE7" w:rsidR="003B2BFE" w:rsidRPr="003E52AF" w:rsidRDefault="003B2BFE" w:rsidP="0019693E">
      <w:pPr>
        <w:pStyle w:val="BodyText1"/>
        <w:spacing w:before="0"/>
        <w:ind w:firstLine="0"/>
        <w:jc w:val="both"/>
        <w:rPr>
          <w:rFonts w:ascii="Arial" w:eastAsiaTheme="minorHAnsi" w:hAnsi="Arial" w:cs="Arial"/>
          <w:sz w:val="20"/>
          <w:szCs w:val="20"/>
          <w:highlight w:val="cyan"/>
          <w:lang w:val="en-AU"/>
        </w:rPr>
      </w:pPr>
      <w:r w:rsidRPr="005B69F6">
        <w:rPr>
          <w:rFonts w:ascii="Arial" w:hAnsi="Arial" w:cs="Arial"/>
          <w:sz w:val="20"/>
          <w:szCs w:val="20"/>
        </w:rPr>
        <w:t xml:space="preserve">The safety profile of </w:t>
      </w:r>
      <w:r w:rsidR="003056A9">
        <w:rPr>
          <w:rFonts w:ascii="Arial" w:hAnsi="Arial" w:cs="Arial"/>
          <w:sz w:val="20"/>
          <w:szCs w:val="20"/>
        </w:rPr>
        <w:t>VAXNEUVANCE</w:t>
      </w:r>
      <w:r w:rsidRPr="005B69F6">
        <w:rPr>
          <w:rFonts w:ascii="Arial" w:hAnsi="Arial" w:cs="Arial"/>
          <w:sz w:val="20"/>
          <w:szCs w:val="20"/>
        </w:rPr>
        <w:t xml:space="preserve"> when administered concomitantly with inactivated influenza vaccine was generally consistent with the safety profile of </w:t>
      </w:r>
      <w:r w:rsidR="003056A9">
        <w:rPr>
          <w:rFonts w:ascii="Arial" w:hAnsi="Arial" w:cs="Arial"/>
          <w:sz w:val="20"/>
          <w:szCs w:val="20"/>
        </w:rPr>
        <w:t>VAXNEUVANCE</w:t>
      </w:r>
      <w:r w:rsidRPr="005B69F6">
        <w:rPr>
          <w:rFonts w:ascii="Arial" w:hAnsi="Arial" w:cs="Arial"/>
          <w:sz w:val="20"/>
          <w:szCs w:val="20"/>
        </w:rPr>
        <w:t>.</w:t>
      </w:r>
    </w:p>
    <w:p w14:paraId="00134089" w14:textId="77777777" w:rsidR="00253860" w:rsidRPr="005B69F6" w:rsidRDefault="00253860" w:rsidP="0019693E">
      <w:pPr>
        <w:autoSpaceDE w:val="0"/>
        <w:autoSpaceDN w:val="0"/>
        <w:adjustRightInd w:val="0"/>
        <w:rPr>
          <w:rFonts w:ascii="Arial" w:hAnsi="Arial" w:cs="Arial"/>
          <w:b/>
          <w:i/>
          <w:sz w:val="20"/>
          <w:szCs w:val="20"/>
        </w:rPr>
      </w:pPr>
    </w:p>
    <w:p w14:paraId="174F2517" w14:textId="6C83319D" w:rsidR="00927371" w:rsidRPr="005B69F6" w:rsidRDefault="00927371" w:rsidP="00C62803">
      <w:pPr>
        <w:pStyle w:val="Heading2"/>
      </w:pPr>
      <w:r w:rsidRPr="005B69F6">
        <w:t>Reporting suspected adverse effects</w:t>
      </w:r>
    </w:p>
    <w:p w14:paraId="22482C2C" w14:textId="77777777" w:rsidR="006B7E9F" w:rsidRPr="005B69F6" w:rsidRDefault="006B7E9F" w:rsidP="0019693E">
      <w:pPr>
        <w:autoSpaceDE w:val="0"/>
        <w:autoSpaceDN w:val="0"/>
        <w:adjustRightInd w:val="0"/>
        <w:rPr>
          <w:rFonts w:ascii="Arial" w:hAnsi="Arial" w:cs="Arial"/>
          <w:sz w:val="20"/>
          <w:szCs w:val="20"/>
        </w:rPr>
      </w:pPr>
      <w:r w:rsidRPr="005B69F6">
        <w:rPr>
          <w:rFonts w:ascii="Arial" w:hAnsi="Arial" w:cs="Arial"/>
          <w:sz w:val="20"/>
          <w:szCs w:val="20"/>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Pr="005B69F6">
          <w:rPr>
            <w:rStyle w:val="Hyperlink"/>
            <w:rFonts w:ascii="Arial" w:hAnsi="Arial" w:cs="Arial"/>
            <w:sz w:val="20"/>
            <w:szCs w:val="20"/>
          </w:rPr>
          <w:t>http://www.tga.gov.au/reporting-problems</w:t>
        </w:r>
      </w:hyperlink>
      <w:r w:rsidRPr="005B69F6">
        <w:rPr>
          <w:rFonts w:ascii="Arial" w:hAnsi="Arial" w:cs="Arial"/>
          <w:sz w:val="20"/>
          <w:szCs w:val="20"/>
        </w:rPr>
        <w:t>.</w:t>
      </w:r>
    </w:p>
    <w:p w14:paraId="2D91E79D" w14:textId="77777777" w:rsidR="00FF7926" w:rsidRPr="005B69F6" w:rsidRDefault="00FF7926" w:rsidP="0019693E">
      <w:pPr>
        <w:autoSpaceDE w:val="0"/>
        <w:autoSpaceDN w:val="0"/>
        <w:adjustRightInd w:val="0"/>
        <w:rPr>
          <w:rFonts w:ascii="Arial" w:hAnsi="Arial" w:cs="Arial"/>
          <w:sz w:val="20"/>
          <w:szCs w:val="20"/>
        </w:rPr>
      </w:pPr>
    </w:p>
    <w:p w14:paraId="07E10181"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OVERDOSE</w:t>
      </w:r>
    </w:p>
    <w:p w14:paraId="5E0372C1" w14:textId="77777777" w:rsidR="00F85F0D" w:rsidRPr="005B69F6" w:rsidRDefault="00F85F0D" w:rsidP="0019693E">
      <w:pPr>
        <w:rPr>
          <w:rFonts w:ascii="Arial" w:eastAsia="Cambria" w:hAnsi="Arial" w:cs="Arial"/>
          <w:b/>
          <w:bCs/>
          <w:sz w:val="20"/>
          <w:szCs w:val="20"/>
        </w:rPr>
      </w:pPr>
    </w:p>
    <w:p w14:paraId="2CCA83B3" w14:textId="77777777" w:rsidR="00E02807" w:rsidRPr="005B69F6" w:rsidRDefault="00E02807" w:rsidP="00E02807">
      <w:pPr>
        <w:pStyle w:val="Body"/>
        <w:ind w:firstLine="0"/>
        <w:rPr>
          <w:rFonts w:cs="Arial"/>
        </w:rPr>
      </w:pPr>
      <w:r w:rsidRPr="005B69F6">
        <w:rPr>
          <w:rFonts w:cs="Arial"/>
        </w:rPr>
        <w:t xml:space="preserve">There are no data </w:t>
      </w:r>
      <w:proofErr w:type="gramStart"/>
      <w:r w:rsidRPr="005B69F6">
        <w:rPr>
          <w:rFonts w:cs="Arial"/>
        </w:rPr>
        <w:t>with regard to</w:t>
      </w:r>
      <w:proofErr w:type="gramEnd"/>
      <w:r w:rsidRPr="005B69F6">
        <w:rPr>
          <w:rFonts w:cs="Arial"/>
        </w:rPr>
        <w:t xml:space="preserve"> overdose.</w:t>
      </w:r>
    </w:p>
    <w:p w14:paraId="45814F7F" w14:textId="77777777" w:rsidR="00E02807" w:rsidRPr="005B69F6" w:rsidRDefault="00E02807" w:rsidP="00A82450">
      <w:pPr>
        <w:jc w:val="both"/>
        <w:rPr>
          <w:rFonts w:ascii="Arial" w:hAnsi="Arial" w:cs="Arial"/>
          <w:sz w:val="20"/>
          <w:szCs w:val="20"/>
          <w:lang w:val="en-GB"/>
        </w:rPr>
      </w:pPr>
    </w:p>
    <w:p w14:paraId="10B202E4" w14:textId="2173D29C" w:rsidR="007C2932" w:rsidRPr="005B69F6" w:rsidRDefault="00A82450" w:rsidP="0019693E">
      <w:pPr>
        <w:jc w:val="both"/>
        <w:rPr>
          <w:rFonts w:ascii="Arial" w:hAnsi="Arial" w:cs="Arial"/>
          <w:sz w:val="20"/>
          <w:szCs w:val="20"/>
          <w:lang w:val="en-GB"/>
        </w:rPr>
      </w:pPr>
      <w:r w:rsidRPr="005B69F6">
        <w:rPr>
          <w:rFonts w:ascii="Arial" w:hAnsi="Arial" w:cs="Arial"/>
          <w:sz w:val="20"/>
          <w:szCs w:val="20"/>
          <w:lang w:val="en-GB"/>
        </w:rPr>
        <w:t>For information on the management of overdose, contact the Poison Information Centre on 131126 (Australia).</w:t>
      </w:r>
    </w:p>
    <w:p w14:paraId="268A16D4" w14:textId="11E48BE1" w:rsidR="005F56CD" w:rsidRDefault="005F56CD">
      <w:pPr>
        <w:rPr>
          <w:rFonts w:cs="Arial"/>
          <w:spacing w:val="-1"/>
          <w:sz w:val="20"/>
          <w:szCs w:val="20"/>
        </w:rPr>
      </w:pPr>
    </w:p>
    <w:p w14:paraId="2211FED9" w14:textId="3CDCAC2E" w:rsidR="003626A4" w:rsidRDefault="003626A4">
      <w:pPr>
        <w:rPr>
          <w:rFonts w:ascii="Arial" w:eastAsia="Cambria" w:hAnsi="Arial" w:cs="Arial"/>
          <w:b/>
          <w:bCs/>
          <w:spacing w:val="-1"/>
          <w:sz w:val="20"/>
          <w:szCs w:val="20"/>
        </w:rPr>
      </w:pPr>
      <w:r>
        <w:rPr>
          <w:rFonts w:ascii="Arial" w:eastAsia="Cambria" w:hAnsi="Arial" w:cs="Arial"/>
          <w:b/>
          <w:bCs/>
          <w:spacing w:val="-1"/>
          <w:sz w:val="20"/>
          <w:szCs w:val="20"/>
        </w:rPr>
        <w:br w:type="page"/>
      </w:r>
    </w:p>
    <w:p w14:paraId="78C635AD" w14:textId="77777777" w:rsidR="00C62803" w:rsidRDefault="00C62803">
      <w:pPr>
        <w:rPr>
          <w:rFonts w:ascii="Arial" w:eastAsia="Cambria" w:hAnsi="Arial" w:cs="Arial"/>
          <w:b/>
          <w:bCs/>
          <w:spacing w:val="-1"/>
          <w:sz w:val="20"/>
          <w:szCs w:val="20"/>
        </w:rPr>
      </w:pPr>
    </w:p>
    <w:p w14:paraId="4C4CD23E" w14:textId="47D08BA5" w:rsidR="00F85F0D" w:rsidRPr="005B69F6" w:rsidRDefault="00B409FF" w:rsidP="00A8531C">
      <w:pPr>
        <w:pStyle w:val="Heading1"/>
        <w:numPr>
          <w:ilvl w:val="0"/>
          <w:numId w:val="6"/>
        </w:numPr>
        <w:tabs>
          <w:tab w:val="left" w:pos="928"/>
        </w:tabs>
        <w:ind w:hanging="927"/>
        <w:rPr>
          <w:rFonts w:cs="Arial"/>
          <w:spacing w:val="-1"/>
          <w:sz w:val="20"/>
          <w:szCs w:val="20"/>
        </w:rPr>
      </w:pPr>
      <w:r w:rsidRPr="005B69F6">
        <w:rPr>
          <w:rFonts w:cs="Arial"/>
          <w:spacing w:val="-1"/>
          <w:sz w:val="20"/>
          <w:szCs w:val="20"/>
        </w:rPr>
        <w:t>PHARMACOLOGICAL PROPERTIES</w:t>
      </w:r>
    </w:p>
    <w:p w14:paraId="04EEAE4C" w14:textId="77777777" w:rsidR="003B2BFE" w:rsidRPr="005B69F6" w:rsidRDefault="003B2BFE" w:rsidP="0019693E">
      <w:pPr>
        <w:rPr>
          <w:rFonts w:ascii="Arial" w:eastAsia="Cambria" w:hAnsi="Arial" w:cs="Arial"/>
          <w:b/>
          <w:bCs/>
          <w:sz w:val="20"/>
          <w:szCs w:val="20"/>
        </w:rPr>
      </w:pPr>
    </w:p>
    <w:p w14:paraId="098AEF71" w14:textId="77777777" w:rsidR="00F85F0D" w:rsidRPr="005B69F6" w:rsidRDefault="00B409FF" w:rsidP="00A8531C">
      <w:pPr>
        <w:pStyle w:val="Heading1"/>
        <w:numPr>
          <w:ilvl w:val="1"/>
          <w:numId w:val="5"/>
        </w:numPr>
        <w:tabs>
          <w:tab w:val="left" w:pos="928"/>
        </w:tabs>
        <w:ind w:hanging="927"/>
        <w:rPr>
          <w:rFonts w:cs="Arial"/>
          <w:spacing w:val="-1"/>
          <w:sz w:val="20"/>
          <w:szCs w:val="20"/>
        </w:rPr>
      </w:pPr>
      <w:r w:rsidRPr="005B69F6">
        <w:rPr>
          <w:rFonts w:cs="Arial"/>
          <w:spacing w:val="-1"/>
          <w:sz w:val="20"/>
          <w:szCs w:val="20"/>
        </w:rPr>
        <w:t>PHARMACODYNAMIC PROPERTIES</w:t>
      </w:r>
    </w:p>
    <w:p w14:paraId="2A3E38E2" w14:textId="77777777" w:rsidR="001742ED" w:rsidRPr="005B69F6" w:rsidRDefault="001742ED" w:rsidP="0019693E">
      <w:pPr>
        <w:rPr>
          <w:rFonts w:ascii="Arial" w:hAnsi="Arial" w:cs="Arial"/>
          <w:sz w:val="20"/>
          <w:szCs w:val="20"/>
        </w:rPr>
      </w:pPr>
    </w:p>
    <w:p w14:paraId="3E5C77FD" w14:textId="1614E89F" w:rsidR="00F85F0D" w:rsidRPr="005B69F6" w:rsidRDefault="00B409FF" w:rsidP="00FA5B01">
      <w:pPr>
        <w:pStyle w:val="Heading2"/>
      </w:pPr>
      <w:r w:rsidRPr="005B69F6">
        <w:t>Mechanism of action</w:t>
      </w:r>
    </w:p>
    <w:p w14:paraId="49C4771B" w14:textId="343E7B5E" w:rsidR="007C2932" w:rsidRPr="005B69F6" w:rsidRDefault="003056A9" w:rsidP="0019693E">
      <w:pPr>
        <w:pStyle w:val="NormalWeb"/>
        <w:spacing w:before="0" w:beforeAutospacing="0" w:after="0" w:afterAutospacing="0"/>
        <w:jc w:val="both"/>
        <w:rPr>
          <w:rFonts w:ascii="Arial" w:hAnsi="Arial" w:cs="Arial"/>
          <w:color w:val="000000"/>
          <w:sz w:val="20"/>
          <w:szCs w:val="20"/>
        </w:rPr>
      </w:pPr>
      <w:bookmarkStart w:id="3" w:name="_Hlk35596979"/>
      <w:r>
        <w:rPr>
          <w:rFonts w:ascii="Arial" w:hAnsi="Arial" w:cs="Arial"/>
          <w:color w:val="000000"/>
          <w:sz w:val="20"/>
          <w:szCs w:val="20"/>
        </w:rPr>
        <w:t>VAXNEUVANCE</w:t>
      </w:r>
      <w:r w:rsidR="007C2932" w:rsidRPr="005B69F6">
        <w:rPr>
          <w:rFonts w:ascii="Arial" w:hAnsi="Arial" w:cs="Arial"/>
          <w:color w:val="000000"/>
          <w:sz w:val="20"/>
          <w:szCs w:val="20"/>
        </w:rPr>
        <w:t xml:space="preserve"> contains serotype</w:t>
      </w:r>
      <w:r w:rsidR="007C2932" w:rsidRPr="005B69F6">
        <w:rPr>
          <w:rFonts w:ascii="Arial" w:hAnsi="Arial" w:cs="Arial"/>
          <w:color w:val="000000"/>
          <w:sz w:val="20"/>
          <w:szCs w:val="20"/>
        </w:rPr>
        <w:noBreakHyphen/>
        <w:t>specific pneumococcal capsular polysaccharides each of which is conjugated to a carrier protein (CRM</w:t>
      </w:r>
      <w:r w:rsidR="007C2932" w:rsidRPr="005B69F6">
        <w:rPr>
          <w:rFonts w:ascii="Arial" w:hAnsi="Arial" w:cs="Arial"/>
          <w:color w:val="000000"/>
          <w:sz w:val="20"/>
          <w:szCs w:val="20"/>
          <w:vertAlign w:val="subscript"/>
        </w:rPr>
        <w:t>197</w:t>
      </w:r>
      <w:r w:rsidR="007C2932" w:rsidRPr="005B69F6">
        <w:rPr>
          <w:rFonts w:ascii="Arial" w:hAnsi="Arial" w:cs="Arial"/>
          <w:color w:val="000000"/>
          <w:sz w:val="20"/>
          <w:szCs w:val="20"/>
        </w:rPr>
        <w:t xml:space="preserve">), and </w:t>
      </w:r>
      <w:bookmarkEnd w:id="3"/>
      <w:r w:rsidR="007C2932" w:rsidRPr="005B69F6">
        <w:rPr>
          <w:rFonts w:ascii="Arial" w:hAnsi="Arial" w:cs="Arial"/>
          <w:color w:val="000000"/>
          <w:sz w:val="20"/>
          <w:szCs w:val="20"/>
        </w:rPr>
        <w:t xml:space="preserve">elicits antibodies that enhance </w:t>
      </w:r>
      <w:proofErr w:type="spellStart"/>
      <w:r w:rsidR="007C2932" w:rsidRPr="005B69F6">
        <w:rPr>
          <w:rFonts w:ascii="Arial" w:hAnsi="Arial" w:cs="Arial"/>
          <w:color w:val="000000"/>
          <w:sz w:val="20"/>
          <w:szCs w:val="20"/>
        </w:rPr>
        <w:t>opsoni</w:t>
      </w:r>
      <w:r w:rsidR="00D8287B" w:rsidRPr="005B69F6">
        <w:rPr>
          <w:rFonts w:ascii="Arial" w:hAnsi="Arial" w:cs="Arial"/>
          <w:color w:val="000000"/>
          <w:sz w:val="20"/>
          <w:szCs w:val="20"/>
        </w:rPr>
        <w:t>s</w:t>
      </w:r>
      <w:r w:rsidR="007C2932" w:rsidRPr="005B69F6">
        <w:rPr>
          <w:rFonts w:ascii="Arial" w:hAnsi="Arial" w:cs="Arial"/>
          <w:color w:val="000000"/>
          <w:sz w:val="20"/>
          <w:szCs w:val="20"/>
        </w:rPr>
        <w:t>ation</w:t>
      </w:r>
      <w:proofErr w:type="spellEnd"/>
      <w:r w:rsidR="007C2932" w:rsidRPr="005B69F6">
        <w:rPr>
          <w:rFonts w:ascii="Arial" w:hAnsi="Arial" w:cs="Arial"/>
          <w:color w:val="000000"/>
          <w:sz w:val="20"/>
          <w:szCs w:val="20"/>
        </w:rPr>
        <w:t xml:space="preserve">, phagocytosis, and killing of pneumococci to protect against pneumococcal disease. </w:t>
      </w:r>
      <w:r>
        <w:rPr>
          <w:rFonts w:ascii="Arial" w:hAnsi="Arial" w:cs="Arial"/>
          <w:color w:val="000000"/>
          <w:sz w:val="20"/>
          <w:szCs w:val="20"/>
        </w:rPr>
        <w:t>VAXNEUVANCE</w:t>
      </w:r>
      <w:r w:rsidR="007C2932" w:rsidRPr="005B69F6">
        <w:rPr>
          <w:rFonts w:ascii="Arial" w:hAnsi="Arial" w:cs="Arial"/>
          <w:color w:val="000000"/>
          <w:sz w:val="20"/>
          <w:szCs w:val="20"/>
        </w:rPr>
        <w:t xml:space="preserve"> </w:t>
      </w:r>
      <w:r w:rsidR="00D523F3">
        <w:rPr>
          <w:rFonts w:ascii="Arial" w:hAnsi="Arial" w:cs="Arial"/>
          <w:color w:val="000000"/>
          <w:sz w:val="20"/>
          <w:szCs w:val="20"/>
        </w:rPr>
        <w:t xml:space="preserve">is also expected to </w:t>
      </w:r>
      <w:r w:rsidR="007C2932" w:rsidRPr="005B69F6">
        <w:rPr>
          <w:rFonts w:ascii="Arial" w:hAnsi="Arial" w:cs="Arial"/>
          <w:color w:val="000000"/>
          <w:sz w:val="20"/>
          <w:szCs w:val="20"/>
        </w:rPr>
        <w:t>elicit a T</w:t>
      </w:r>
      <w:r w:rsidR="007C2932" w:rsidRPr="005B69F6">
        <w:rPr>
          <w:rFonts w:ascii="Arial" w:hAnsi="Arial" w:cs="Arial"/>
          <w:color w:val="000000"/>
          <w:sz w:val="20"/>
          <w:szCs w:val="20"/>
        </w:rPr>
        <w:noBreakHyphen/>
        <w:t xml:space="preserve">cell dependent immune response. Carrier protein-specific helper T-cells support specificity, </w:t>
      </w:r>
      <w:proofErr w:type="gramStart"/>
      <w:r w:rsidR="007C2932" w:rsidRPr="005B69F6">
        <w:rPr>
          <w:rFonts w:ascii="Arial" w:hAnsi="Arial" w:cs="Arial"/>
          <w:color w:val="000000"/>
          <w:sz w:val="20"/>
          <w:szCs w:val="20"/>
        </w:rPr>
        <w:t>functionality</w:t>
      </w:r>
      <w:proofErr w:type="gramEnd"/>
      <w:r w:rsidR="007C2932" w:rsidRPr="005B69F6">
        <w:rPr>
          <w:rFonts w:ascii="Arial" w:hAnsi="Arial" w:cs="Arial"/>
          <w:color w:val="000000"/>
          <w:sz w:val="20"/>
          <w:szCs w:val="20"/>
        </w:rPr>
        <w:t xml:space="preserve"> and maturation of serotype</w:t>
      </w:r>
      <w:r w:rsidR="007C2932" w:rsidRPr="005B69F6">
        <w:rPr>
          <w:rFonts w:ascii="Arial" w:hAnsi="Arial" w:cs="Arial"/>
          <w:color w:val="000000"/>
          <w:sz w:val="20"/>
          <w:szCs w:val="20"/>
        </w:rPr>
        <w:noBreakHyphen/>
        <w:t>specific B cells.</w:t>
      </w:r>
    </w:p>
    <w:p w14:paraId="111A2A64" w14:textId="77777777" w:rsidR="007C2932" w:rsidRPr="005B69F6" w:rsidRDefault="007C2932" w:rsidP="0019693E">
      <w:pPr>
        <w:pStyle w:val="NormalWeb"/>
        <w:spacing w:before="0" w:beforeAutospacing="0" w:after="0" w:afterAutospacing="0"/>
        <w:jc w:val="both"/>
        <w:rPr>
          <w:rFonts w:ascii="Arial" w:hAnsi="Arial" w:cs="Arial"/>
          <w:color w:val="000000"/>
          <w:sz w:val="20"/>
          <w:szCs w:val="20"/>
        </w:rPr>
      </w:pPr>
    </w:p>
    <w:p w14:paraId="4E982E5B" w14:textId="5C0F8AD5" w:rsidR="007C2932" w:rsidRPr="005B69F6" w:rsidRDefault="007C2932" w:rsidP="0019693E">
      <w:pPr>
        <w:jc w:val="both"/>
        <w:rPr>
          <w:rFonts w:ascii="Arial" w:hAnsi="Arial" w:cs="Arial"/>
          <w:sz w:val="20"/>
          <w:szCs w:val="20"/>
        </w:rPr>
      </w:pPr>
      <w:r w:rsidRPr="005B69F6">
        <w:rPr>
          <w:rFonts w:ascii="Arial" w:hAnsi="Arial" w:cs="Arial"/>
          <w:color w:val="000000"/>
          <w:sz w:val="20"/>
          <w:szCs w:val="20"/>
        </w:rPr>
        <w:t xml:space="preserve">Immune responses following natural exposure to </w:t>
      </w:r>
      <w:r w:rsidRPr="005B69F6">
        <w:rPr>
          <w:rFonts w:ascii="Arial" w:hAnsi="Arial" w:cs="Arial"/>
          <w:i/>
          <w:color w:val="000000"/>
          <w:sz w:val="20"/>
          <w:szCs w:val="20"/>
        </w:rPr>
        <w:t>S. pneumoniae</w:t>
      </w:r>
      <w:r w:rsidRPr="005B69F6">
        <w:rPr>
          <w:rFonts w:ascii="Arial" w:hAnsi="Arial" w:cs="Arial"/>
          <w:color w:val="000000"/>
          <w:sz w:val="20"/>
          <w:szCs w:val="20"/>
        </w:rPr>
        <w:t xml:space="preserve"> or following pneumococcal vaccination can be determined through the measurements of </w:t>
      </w:r>
      <w:r w:rsidR="00FA5B01" w:rsidRPr="00FA5B01">
        <w:rPr>
          <w:rFonts w:ascii="Arial" w:hAnsi="Arial" w:cs="Arial"/>
          <w:color w:val="000000"/>
          <w:sz w:val="20"/>
          <w:szCs w:val="20"/>
        </w:rPr>
        <w:t xml:space="preserve">opsonophagocytic activity (OPA) </w:t>
      </w:r>
      <w:r w:rsidRPr="005B69F6">
        <w:rPr>
          <w:rFonts w:ascii="Arial" w:hAnsi="Arial" w:cs="Arial"/>
          <w:color w:val="000000"/>
          <w:sz w:val="20"/>
          <w:szCs w:val="20"/>
        </w:rPr>
        <w:t xml:space="preserve">and </w:t>
      </w:r>
      <w:r w:rsidR="00FA5B01" w:rsidRPr="005B69F6">
        <w:rPr>
          <w:rFonts w:ascii="Arial" w:eastAsia="Times New Roman" w:hAnsi="Arial" w:cs="Arial"/>
          <w:sz w:val="20"/>
          <w:szCs w:val="20"/>
        </w:rPr>
        <w:t>immunoglobulin G (IgG)</w:t>
      </w:r>
      <w:r w:rsidRPr="005B69F6">
        <w:rPr>
          <w:rFonts w:ascii="Arial" w:hAnsi="Arial" w:cs="Arial"/>
          <w:color w:val="000000"/>
          <w:sz w:val="20"/>
          <w:szCs w:val="20"/>
        </w:rPr>
        <w:t xml:space="preserve"> responses. OPA represents functional antibodies capable of </w:t>
      </w:r>
      <w:proofErr w:type="spellStart"/>
      <w:r w:rsidRPr="005B69F6">
        <w:rPr>
          <w:rFonts w:ascii="Arial" w:hAnsi="Arial" w:cs="Arial"/>
          <w:color w:val="000000"/>
          <w:sz w:val="20"/>
          <w:szCs w:val="20"/>
        </w:rPr>
        <w:t>opsoni</w:t>
      </w:r>
      <w:r w:rsidR="00D8287B" w:rsidRPr="005B69F6">
        <w:rPr>
          <w:rFonts w:ascii="Arial" w:hAnsi="Arial" w:cs="Arial"/>
          <w:color w:val="000000"/>
          <w:sz w:val="20"/>
          <w:szCs w:val="20"/>
        </w:rPr>
        <w:t>s</w:t>
      </w:r>
      <w:r w:rsidRPr="005B69F6">
        <w:rPr>
          <w:rFonts w:ascii="Arial" w:hAnsi="Arial" w:cs="Arial"/>
          <w:color w:val="000000"/>
          <w:sz w:val="20"/>
          <w:szCs w:val="20"/>
        </w:rPr>
        <w:t>ing</w:t>
      </w:r>
      <w:proofErr w:type="spellEnd"/>
      <w:r w:rsidRPr="005B69F6">
        <w:rPr>
          <w:rFonts w:ascii="Arial" w:hAnsi="Arial" w:cs="Arial"/>
          <w:color w:val="000000"/>
          <w:sz w:val="20"/>
          <w:szCs w:val="20"/>
        </w:rPr>
        <w:t xml:space="preserve"> pneumococcal capsular polysaccharides for presentation to phagocytic cells for engulfment and subsequent killing and are considered an important immunologic surrogate measure of protection against pneumococcal disease in adults. OPA titers are expressed as the reciprocal of the highest serum dilution that reduces survival of the pneumococci by at least 50%. A validated multiplexed opsonophagocytic assay (MOPA) was used to measure serotype</w:t>
      </w:r>
      <w:r w:rsidRPr="005B69F6">
        <w:rPr>
          <w:rFonts w:ascii="Arial" w:hAnsi="Arial" w:cs="Arial"/>
          <w:color w:val="000000"/>
          <w:sz w:val="20"/>
          <w:szCs w:val="20"/>
        </w:rPr>
        <w:noBreakHyphen/>
        <w:t xml:space="preserve">specific OPA titers for each of the 15 serotypes contained in </w:t>
      </w:r>
      <w:r w:rsidR="003056A9">
        <w:rPr>
          <w:rFonts w:ascii="Arial" w:hAnsi="Arial" w:cs="Arial"/>
          <w:color w:val="000000"/>
          <w:sz w:val="20"/>
          <w:szCs w:val="20"/>
        </w:rPr>
        <w:t>VAXNEUVANCE</w:t>
      </w:r>
      <w:r w:rsidRPr="005B69F6">
        <w:rPr>
          <w:rFonts w:ascii="Arial" w:hAnsi="Arial" w:cs="Arial"/>
          <w:color w:val="000000"/>
          <w:sz w:val="20"/>
          <w:szCs w:val="20"/>
        </w:rPr>
        <w:t>.</w:t>
      </w:r>
    </w:p>
    <w:p w14:paraId="14FAE8E8" w14:textId="77777777" w:rsidR="00F85F0D" w:rsidRPr="005B69F6" w:rsidRDefault="00F85F0D" w:rsidP="0019693E">
      <w:pPr>
        <w:rPr>
          <w:rFonts w:ascii="Arial" w:eastAsia="Cambria" w:hAnsi="Arial" w:cs="Arial"/>
          <w:sz w:val="20"/>
          <w:szCs w:val="20"/>
        </w:rPr>
      </w:pPr>
    </w:p>
    <w:p w14:paraId="649DE792" w14:textId="0B4B96B7" w:rsidR="00FE18E8" w:rsidRPr="005B69F6" w:rsidRDefault="00FE18E8" w:rsidP="00FE18E8">
      <w:pPr>
        <w:widowControl/>
        <w:jc w:val="both"/>
        <w:rPr>
          <w:rFonts w:ascii="Arial" w:eastAsia="MS Mincho" w:hAnsi="Arial" w:cs="Arial"/>
          <w:b/>
          <w:sz w:val="20"/>
          <w:szCs w:val="20"/>
          <w:lang w:eastAsia="ja-JP"/>
        </w:rPr>
      </w:pPr>
      <w:r w:rsidRPr="005B69F6">
        <w:rPr>
          <w:rFonts w:ascii="Arial" w:eastAsia="MS Mincho" w:hAnsi="Arial" w:cs="Arial"/>
          <w:b/>
          <w:sz w:val="20"/>
          <w:szCs w:val="20"/>
          <w:lang w:eastAsia="ja-JP"/>
        </w:rPr>
        <w:t>B</w:t>
      </w:r>
      <w:r w:rsidR="005F56CD">
        <w:rPr>
          <w:rFonts w:ascii="Arial" w:eastAsia="MS Mincho" w:hAnsi="Arial" w:cs="Arial"/>
          <w:b/>
          <w:sz w:val="20"/>
          <w:szCs w:val="20"/>
          <w:lang w:eastAsia="ja-JP"/>
        </w:rPr>
        <w:t>urden of Disease</w:t>
      </w:r>
    </w:p>
    <w:p w14:paraId="0CD35B8F" w14:textId="6DE19842" w:rsidR="00FE18E8" w:rsidRPr="005B69F6" w:rsidRDefault="00FE18E8" w:rsidP="00FE18E8">
      <w:pPr>
        <w:widowControl/>
        <w:autoSpaceDE w:val="0"/>
        <w:autoSpaceDN w:val="0"/>
        <w:adjustRightInd w:val="0"/>
        <w:jc w:val="both"/>
        <w:rPr>
          <w:rFonts w:ascii="Arial" w:eastAsia="MS Mincho" w:hAnsi="Arial" w:cs="Times New Roman"/>
          <w:sz w:val="20"/>
          <w:lang w:eastAsia="ja-JP"/>
        </w:rPr>
      </w:pPr>
      <w:r w:rsidRPr="005B69F6">
        <w:rPr>
          <w:rFonts w:ascii="Arial" w:eastAsia="MS Mincho" w:hAnsi="Arial" w:cs="Times New Roman"/>
          <w:sz w:val="20"/>
          <w:lang w:eastAsia="ja-JP"/>
        </w:rPr>
        <w:t>Pneumococcal disease is associated with significant morbidity and mortality in both children and adults worldwide. Although all age groups may be affected by pneumococcal disease, the highest rates of disease occur in young children &lt;5 years of age and adults ≥65 years of age. Furthermore, the incidence of invasive pneumococcal disease (IPD) in Aboriginal and Torres Straits Islanders (ATSI) adults is approximately 3 times higher than non-ATSI adults. Mortality rates are elevated in older adults, adults with comorbid conditions (e.g., diabetes mellitus, chronic lung disease, chronic liver disease), and especially in immunocompromised individuals (e.g., HIV infection, cancer, transplant, immunosuppressive therapies). Adults with 2 or more comorbid conditions may have a risk of pneumococcal disease that is comparable to that of immunocompromised individuals.</w:t>
      </w:r>
    </w:p>
    <w:p w14:paraId="2709C683" w14:textId="77777777" w:rsidR="00FE18E8" w:rsidRPr="005B69F6" w:rsidRDefault="00FE18E8" w:rsidP="00FE18E8">
      <w:pPr>
        <w:widowControl/>
        <w:autoSpaceDE w:val="0"/>
        <w:autoSpaceDN w:val="0"/>
        <w:adjustRightInd w:val="0"/>
        <w:jc w:val="both"/>
        <w:rPr>
          <w:rFonts w:ascii="Arial" w:eastAsia="MS Mincho" w:hAnsi="Arial" w:cs="Times New Roman"/>
          <w:sz w:val="20"/>
          <w:lang w:eastAsia="ja-JP"/>
        </w:rPr>
      </w:pPr>
    </w:p>
    <w:p w14:paraId="236C475B" w14:textId="7B6F5542" w:rsidR="00FE18E8" w:rsidRPr="005B69F6" w:rsidRDefault="00FE18E8" w:rsidP="00FE18E8">
      <w:pPr>
        <w:widowControl/>
        <w:autoSpaceDE w:val="0"/>
        <w:autoSpaceDN w:val="0"/>
        <w:adjustRightInd w:val="0"/>
        <w:jc w:val="both"/>
        <w:rPr>
          <w:rFonts w:ascii="Arial" w:eastAsia="MS Mincho" w:hAnsi="Arial" w:cs="Times New Roman"/>
          <w:sz w:val="20"/>
          <w:lang w:eastAsia="ja-JP"/>
        </w:rPr>
      </w:pPr>
      <w:r w:rsidRPr="005B69F6">
        <w:rPr>
          <w:rFonts w:ascii="Arial" w:eastAsia="MS Mincho" w:hAnsi="Arial" w:cs="Times New Roman"/>
          <w:sz w:val="20"/>
          <w:lang w:eastAsia="ja-JP"/>
        </w:rPr>
        <w:t>Clinical syndromes include both IPD (</w:t>
      </w:r>
      <w:proofErr w:type="gramStart"/>
      <w:r w:rsidRPr="005B69F6">
        <w:rPr>
          <w:rFonts w:ascii="Arial" w:eastAsia="MS Mincho" w:hAnsi="Arial" w:cs="Times New Roman"/>
          <w:sz w:val="20"/>
          <w:lang w:eastAsia="ja-JP"/>
        </w:rPr>
        <w:t>i.e.</w:t>
      </w:r>
      <w:proofErr w:type="gramEnd"/>
      <w:r w:rsidRPr="005B69F6">
        <w:rPr>
          <w:rFonts w:ascii="Arial" w:eastAsia="MS Mincho" w:hAnsi="Arial" w:cs="Times New Roman"/>
          <w:sz w:val="20"/>
          <w:lang w:eastAsia="ja-JP"/>
        </w:rPr>
        <w:t xml:space="preserve"> sepsis, meningitis, and </w:t>
      </w:r>
      <w:proofErr w:type="spellStart"/>
      <w:r w:rsidRPr="005B69F6">
        <w:rPr>
          <w:rFonts w:ascii="Arial" w:eastAsia="MS Mincho" w:hAnsi="Arial" w:cs="Times New Roman"/>
          <w:sz w:val="20"/>
          <w:lang w:eastAsia="ja-JP"/>
        </w:rPr>
        <w:t>bacteraemic</w:t>
      </w:r>
      <w:proofErr w:type="spellEnd"/>
      <w:r w:rsidRPr="005B69F6">
        <w:rPr>
          <w:rFonts w:ascii="Arial" w:eastAsia="MS Mincho" w:hAnsi="Arial" w:cs="Times New Roman"/>
          <w:sz w:val="20"/>
          <w:lang w:eastAsia="ja-JP"/>
        </w:rPr>
        <w:t xml:space="preserve"> pneumonia) and noninvasive disease (e.g., non- </w:t>
      </w:r>
      <w:proofErr w:type="spellStart"/>
      <w:r w:rsidRPr="005B69F6">
        <w:rPr>
          <w:rFonts w:ascii="Arial" w:eastAsia="MS Mincho" w:hAnsi="Arial" w:cs="Times New Roman"/>
          <w:sz w:val="20"/>
          <w:lang w:eastAsia="ja-JP"/>
        </w:rPr>
        <w:t>bacteraemic</w:t>
      </w:r>
      <w:proofErr w:type="spellEnd"/>
      <w:r w:rsidRPr="005B69F6">
        <w:rPr>
          <w:rFonts w:ascii="Arial" w:eastAsia="MS Mincho" w:hAnsi="Arial" w:cs="Times New Roman"/>
          <w:sz w:val="20"/>
          <w:lang w:eastAsia="ja-JP"/>
        </w:rPr>
        <w:t xml:space="preserve"> pneumonia). </w:t>
      </w:r>
      <w:proofErr w:type="spellStart"/>
      <w:r w:rsidRPr="005B69F6">
        <w:rPr>
          <w:rFonts w:ascii="Arial" w:eastAsia="MS Mincho" w:hAnsi="Arial" w:cs="Times New Roman"/>
          <w:sz w:val="20"/>
          <w:lang w:eastAsia="ja-JP"/>
        </w:rPr>
        <w:t>Bacteraemic</w:t>
      </w:r>
      <w:proofErr w:type="spellEnd"/>
      <w:r w:rsidRPr="005B69F6">
        <w:rPr>
          <w:rFonts w:ascii="Arial" w:eastAsia="MS Mincho" w:hAnsi="Arial" w:cs="Times New Roman"/>
          <w:sz w:val="20"/>
          <w:lang w:eastAsia="ja-JP"/>
        </w:rPr>
        <w:t xml:space="preserve"> pneumococcal pneumonia represents approximately 80-90% of IPD cases in adults. Community acquired pneumonia (CAP) remains one of the most important causes of death from infection in many countries, with </w:t>
      </w:r>
      <w:r w:rsidRPr="005F56CD">
        <w:rPr>
          <w:rFonts w:ascii="Arial" w:eastAsia="MS Mincho" w:hAnsi="Arial" w:cs="Times New Roman"/>
          <w:i/>
          <w:iCs/>
          <w:sz w:val="20"/>
          <w:lang w:eastAsia="ja-JP"/>
        </w:rPr>
        <w:t>S. pneumoniae</w:t>
      </w:r>
      <w:r w:rsidRPr="005B69F6">
        <w:rPr>
          <w:rFonts w:ascii="Arial" w:eastAsia="MS Mincho" w:hAnsi="Arial" w:cs="Times New Roman"/>
          <w:sz w:val="20"/>
          <w:lang w:eastAsia="ja-JP"/>
        </w:rPr>
        <w:t xml:space="preserve"> being one of the </w:t>
      </w:r>
      <w:proofErr w:type="gramStart"/>
      <w:r w:rsidRPr="005B69F6">
        <w:rPr>
          <w:rFonts w:ascii="Arial" w:eastAsia="MS Mincho" w:hAnsi="Arial" w:cs="Times New Roman"/>
          <w:sz w:val="20"/>
          <w:lang w:eastAsia="ja-JP"/>
        </w:rPr>
        <w:t>most commonly identified</w:t>
      </w:r>
      <w:proofErr w:type="gramEnd"/>
      <w:r w:rsidRPr="005B69F6">
        <w:rPr>
          <w:rFonts w:ascii="Arial" w:eastAsia="MS Mincho" w:hAnsi="Arial" w:cs="Times New Roman"/>
          <w:sz w:val="20"/>
          <w:lang w:eastAsia="ja-JP"/>
        </w:rPr>
        <w:t xml:space="preserve"> bacterial pathogens.</w:t>
      </w:r>
    </w:p>
    <w:p w14:paraId="18049E00" w14:textId="77777777" w:rsidR="00FE18E8" w:rsidRPr="005B69F6" w:rsidRDefault="00FE18E8" w:rsidP="005B69F6"/>
    <w:p w14:paraId="78C5CF44" w14:textId="0BFA2FB3" w:rsidR="00F85F0D" w:rsidRPr="005B69F6" w:rsidRDefault="00B409FF" w:rsidP="00FA5B01">
      <w:pPr>
        <w:pStyle w:val="Heading2"/>
      </w:pPr>
      <w:r w:rsidRPr="005B69F6">
        <w:t>Clinical trials</w:t>
      </w:r>
    </w:p>
    <w:p w14:paraId="21DB7514" w14:textId="5B4DE45F" w:rsidR="007C2932" w:rsidRPr="005B69F6" w:rsidRDefault="007C2932" w:rsidP="0019693E">
      <w:pPr>
        <w:widowControl/>
        <w:jc w:val="both"/>
        <w:rPr>
          <w:rFonts w:ascii="Arial" w:eastAsia="MS Mincho" w:hAnsi="Arial" w:cs="Arial"/>
          <w:sz w:val="20"/>
          <w:szCs w:val="20"/>
          <w:lang w:eastAsia="ja-JP"/>
        </w:rPr>
      </w:pPr>
      <w:r w:rsidRPr="005B69F6">
        <w:rPr>
          <w:rFonts w:ascii="Arial" w:eastAsia="MS Mincho" w:hAnsi="Arial" w:cs="Arial"/>
          <w:sz w:val="20"/>
          <w:szCs w:val="20"/>
          <w:lang w:eastAsia="ja-JP"/>
        </w:rPr>
        <w:t>Six double-blind, clinical studies (Protocol 007, Protocol 016, Protocol 017, Protocol 019, Protocol </w:t>
      </w:r>
      <w:proofErr w:type="gramStart"/>
      <w:r w:rsidRPr="005B69F6">
        <w:rPr>
          <w:rFonts w:ascii="Arial" w:eastAsia="MS Mincho" w:hAnsi="Arial" w:cs="Arial"/>
          <w:sz w:val="20"/>
          <w:szCs w:val="20"/>
          <w:lang w:eastAsia="ja-JP"/>
        </w:rPr>
        <w:t>020</w:t>
      </w:r>
      <w:proofErr w:type="gramEnd"/>
      <w:r w:rsidRPr="005B69F6">
        <w:rPr>
          <w:rFonts w:ascii="Arial" w:eastAsia="MS Mincho" w:hAnsi="Arial" w:cs="Arial"/>
          <w:sz w:val="20"/>
          <w:szCs w:val="20"/>
          <w:lang w:eastAsia="ja-JP"/>
        </w:rPr>
        <w:t xml:space="preserve"> and Protocol 021) conducted across the Americas, Europe and Asia Pacific evaluated the immunogenicity of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in healthy and immunocompetent adults across different age groups including individuals with or without previous pneumococcal vaccination. The clinical studies included adults with stable underlying medical conditions (e.g., diabetes mellitus, renal disorders, chronic heart disease, chronic liver disease, chronic lung disease including asthma) and/or behavioral risk factors (e.g., smoking, increased alcohol use) that are known to increase the risk of pneumococcal disease.</w:t>
      </w:r>
    </w:p>
    <w:p w14:paraId="7B274246" w14:textId="77777777" w:rsidR="007C2932" w:rsidRPr="005B69F6" w:rsidRDefault="007C2932" w:rsidP="0019693E">
      <w:pPr>
        <w:widowControl/>
        <w:jc w:val="both"/>
        <w:rPr>
          <w:rFonts w:ascii="Arial" w:eastAsia="MS Mincho" w:hAnsi="Arial" w:cs="Arial"/>
          <w:sz w:val="20"/>
          <w:szCs w:val="20"/>
          <w:lang w:eastAsia="ja-JP"/>
        </w:rPr>
      </w:pPr>
    </w:p>
    <w:p w14:paraId="2C26789C" w14:textId="4607B7FF" w:rsidR="007C2932" w:rsidRPr="005B69F6" w:rsidRDefault="007C2932" w:rsidP="0019693E">
      <w:pPr>
        <w:widowControl/>
        <w:jc w:val="both"/>
        <w:rPr>
          <w:rFonts w:ascii="Arial" w:eastAsia="Times New Roman" w:hAnsi="Arial" w:cs="Arial"/>
          <w:sz w:val="20"/>
          <w:szCs w:val="20"/>
        </w:rPr>
      </w:pPr>
      <w:r w:rsidRPr="005B69F6">
        <w:rPr>
          <w:rFonts w:ascii="Arial" w:eastAsia="Times New Roman" w:hAnsi="Arial" w:cs="Arial"/>
          <w:sz w:val="20"/>
          <w:szCs w:val="20"/>
        </w:rPr>
        <w:t>In each study, immunogenicity was assessed by serotype</w:t>
      </w:r>
      <w:r w:rsidRPr="005B69F6">
        <w:rPr>
          <w:rFonts w:ascii="Arial" w:eastAsia="Times New Roman" w:hAnsi="Arial" w:cs="Arial"/>
          <w:sz w:val="20"/>
          <w:szCs w:val="20"/>
        </w:rPr>
        <w:noBreakHyphen/>
        <w:t xml:space="preserve">specific opsonophagocytic activity (OPA) and immunoglobulin G (IgG) responses at 30 days postvaccination. Study endpoints included OPA geometric mean titers (GMTs) and IgG geometric mean concentrations (GMCs). The pivotal study (Protocol 19) was designed to show noninferiority of </w:t>
      </w:r>
      <w:r w:rsidR="00FE18E8" w:rsidRPr="005B69F6">
        <w:rPr>
          <w:rFonts w:ascii="Arial" w:eastAsia="Times New Roman" w:hAnsi="Arial" w:cs="Arial"/>
          <w:sz w:val="20"/>
          <w:szCs w:val="20"/>
        </w:rPr>
        <w:t xml:space="preserve">the </w:t>
      </w:r>
      <w:r w:rsidRPr="005B69F6">
        <w:rPr>
          <w:rFonts w:ascii="Arial" w:eastAsia="Times New Roman" w:hAnsi="Arial" w:cs="Arial"/>
          <w:sz w:val="20"/>
          <w:szCs w:val="20"/>
        </w:rPr>
        <w:t xml:space="preserve">OPA GMTs compared to </w:t>
      </w:r>
      <w:bookmarkStart w:id="4" w:name="_Hlk53521449"/>
      <w:r w:rsidR="00D331B1" w:rsidRPr="005B69F6">
        <w:rPr>
          <w:rFonts w:ascii="Arial" w:eastAsia="Times New Roman" w:hAnsi="Arial" w:cs="Arial"/>
          <w:sz w:val="20"/>
          <w:szCs w:val="20"/>
        </w:rPr>
        <w:t>Prevenar</w:t>
      </w:r>
      <w:r w:rsidRPr="005B69F6">
        <w:rPr>
          <w:rFonts w:ascii="Arial" w:eastAsia="Times New Roman" w:hAnsi="Arial" w:cs="Arial"/>
          <w:sz w:val="20"/>
          <w:szCs w:val="20"/>
        </w:rPr>
        <w:t xml:space="preserve"> 13 </w:t>
      </w:r>
      <w:bookmarkEnd w:id="4"/>
      <w:r w:rsidRPr="005B69F6">
        <w:rPr>
          <w:rFonts w:ascii="Arial" w:eastAsia="Times New Roman" w:hAnsi="Arial" w:cs="Arial"/>
          <w:sz w:val="20"/>
          <w:szCs w:val="20"/>
        </w:rPr>
        <w:t xml:space="preserve">for the 13 shared serotypes (in common between </w:t>
      </w:r>
      <w:r w:rsidR="003056A9">
        <w:rPr>
          <w:rFonts w:ascii="Arial" w:eastAsia="Times New Roman" w:hAnsi="Arial" w:cs="Arial"/>
          <w:sz w:val="20"/>
          <w:szCs w:val="20"/>
        </w:rPr>
        <w:t>VAXNEUVANCE</w:t>
      </w:r>
      <w:r w:rsidRPr="005B69F6">
        <w:rPr>
          <w:rFonts w:ascii="Arial" w:eastAsia="Times New Roman" w:hAnsi="Arial" w:cs="Arial"/>
          <w:sz w:val="20"/>
          <w:szCs w:val="20"/>
        </w:rPr>
        <w:t xml:space="preserve"> and </w:t>
      </w:r>
      <w:r w:rsidR="00D331B1" w:rsidRPr="005B69F6">
        <w:rPr>
          <w:rFonts w:ascii="Arial" w:eastAsia="Times New Roman" w:hAnsi="Arial" w:cs="Arial"/>
          <w:sz w:val="20"/>
          <w:szCs w:val="20"/>
        </w:rPr>
        <w:t>Prevenar</w:t>
      </w:r>
      <w:r w:rsidRPr="005B69F6">
        <w:rPr>
          <w:rFonts w:ascii="Arial" w:eastAsia="Times New Roman" w:hAnsi="Arial" w:cs="Arial"/>
          <w:sz w:val="20"/>
          <w:szCs w:val="20"/>
        </w:rPr>
        <w:t xml:space="preserve"> 13) and superiority for the 2 serotypes unique to </w:t>
      </w:r>
      <w:r w:rsidR="003056A9">
        <w:rPr>
          <w:rFonts w:ascii="Arial" w:eastAsia="Times New Roman" w:hAnsi="Arial" w:cs="Arial"/>
          <w:sz w:val="20"/>
          <w:szCs w:val="20"/>
        </w:rPr>
        <w:t>VAXNEUVANCE</w:t>
      </w:r>
      <w:r w:rsidRPr="005B69F6">
        <w:rPr>
          <w:rFonts w:ascii="Arial" w:eastAsia="Times New Roman" w:hAnsi="Arial" w:cs="Arial"/>
          <w:sz w:val="20"/>
          <w:szCs w:val="20"/>
        </w:rPr>
        <w:t xml:space="preserve"> </w:t>
      </w:r>
      <w:r w:rsidR="00FE18E8" w:rsidRPr="005B69F6">
        <w:rPr>
          <w:rFonts w:ascii="Arial" w:eastAsia="Times New Roman" w:hAnsi="Arial" w:cs="Arial"/>
          <w:sz w:val="20"/>
          <w:szCs w:val="20"/>
        </w:rPr>
        <w:t>(</w:t>
      </w:r>
      <w:r w:rsidRPr="005B69F6">
        <w:rPr>
          <w:rFonts w:ascii="Arial" w:eastAsia="Times New Roman" w:hAnsi="Arial" w:cs="Arial"/>
          <w:sz w:val="20"/>
          <w:szCs w:val="20"/>
        </w:rPr>
        <w:t>22F and 33F</w:t>
      </w:r>
      <w:r w:rsidR="00FE18E8" w:rsidRPr="005B69F6">
        <w:rPr>
          <w:rFonts w:ascii="Arial" w:eastAsia="Times New Roman" w:hAnsi="Arial" w:cs="Arial"/>
          <w:sz w:val="20"/>
          <w:szCs w:val="20"/>
        </w:rPr>
        <w:t>)</w:t>
      </w:r>
      <w:r w:rsidRPr="005B69F6">
        <w:rPr>
          <w:rFonts w:ascii="Arial" w:eastAsia="Times New Roman" w:hAnsi="Arial" w:cs="Arial"/>
          <w:sz w:val="20"/>
          <w:szCs w:val="20"/>
        </w:rPr>
        <w:t xml:space="preserve"> and for shared serotype 3. Superiority assessment was based on the between-group comparisons of OPA GMTs and proportions of participants with a ≥4-fold rise in serotype</w:t>
      </w:r>
      <w:r w:rsidRPr="005B69F6">
        <w:rPr>
          <w:rFonts w:ascii="Arial" w:eastAsia="Times New Roman" w:hAnsi="Arial" w:cs="Arial"/>
          <w:sz w:val="20"/>
          <w:szCs w:val="20"/>
        </w:rPr>
        <w:noBreakHyphen/>
        <w:t xml:space="preserve">specific OPA titers from </w:t>
      </w:r>
      <w:proofErr w:type="spellStart"/>
      <w:r w:rsidRPr="005B69F6">
        <w:rPr>
          <w:rFonts w:ascii="Arial" w:eastAsia="Times New Roman" w:hAnsi="Arial" w:cs="Arial"/>
          <w:sz w:val="20"/>
          <w:szCs w:val="20"/>
        </w:rPr>
        <w:t>prevaccination</w:t>
      </w:r>
      <w:proofErr w:type="spellEnd"/>
      <w:r w:rsidRPr="005B69F6">
        <w:rPr>
          <w:rFonts w:ascii="Arial" w:eastAsia="Times New Roman" w:hAnsi="Arial" w:cs="Arial"/>
          <w:sz w:val="20"/>
          <w:szCs w:val="20"/>
        </w:rPr>
        <w:t xml:space="preserve"> to 30 days postvaccination.</w:t>
      </w:r>
    </w:p>
    <w:p w14:paraId="5AEDB1D7" w14:textId="77777777" w:rsidR="007C2932" w:rsidRPr="005B69F6" w:rsidRDefault="007C2932" w:rsidP="0019693E">
      <w:pPr>
        <w:widowControl/>
        <w:jc w:val="both"/>
        <w:rPr>
          <w:rFonts w:ascii="Arial" w:eastAsia="MS Mincho" w:hAnsi="Arial" w:cs="Arial"/>
          <w:sz w:val="20"/>
          <w:szCs w:val="20"/>
          <w:lang w:eastAsia="ja-JP"/>
        </w:rPr>
      </w:pPr>
    </w:p>
    <w:p w14:paraId="6BCC75A5" w14:textId="77777777" w:rsidR="007C2932" w:rsidRPr="005B69F6" w:rsidRDefault="007C2932" w:rsidP="003242FD">
      <w:pPr>
        <w:keepNext/>
        <w:widowControl/>
        <w:jc w:val="both"/>
        <w:rPr>
          <w:rFonts w:ascii="Helvetica" w:eastAsia="Times New Roman" w:hAnsi="Helvetica" w:cs="Times New Roman"/>
          <w:i/>
          <w:iCs/>
          <w:sz w:val="20"/>
          <w:szCs w:val="20"/>
        </w:rPr>
      </w:pPr>
      <w:r w:rsidRPr="005B69F6">
        <w:rPr>
          <w:rFonts w:ascii="Arial" w:eastAsia="Times New Roman" w:hAnsi="Arial" w:cs="Arial"/>
          <w:i/>
          <w:iCs/>
          <w:sz w:val="20"/>
          <w:szCs w:val="20"/>
        </w:rPr>
        <w:t>Clinical Trials Conducted in Pneumococcal Vaccine</w:t>
      </w:r>
      <w:r w:rsidRPr="005B69F6">
        <w:rPr>
          <w:rFonts w:ascii="Arial" w:eastAsia="Times New Roman" w:hAnsi="Arial" w:cs="Arial"/>
          <w:i/>
          <w:iCs/>
          <w:sz w:val="20"/>
          <w:szCs w:val="20"/>
        </w:rPr>
        <w:noBreakHyphen/>
        <w:t>Naïve Adults</w:t>
      </w:r>
    </w:p>
    <w:p w14:paraId="1DCA3467" w14:textId="4A15A365" w:rsidR="007C2932" w:rsidRPr="005B69F6"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In the pivotal, double-blind, active comparator-controlled study (Protocol 019), 1,205 pneumococcal </w:t>
      </w:r>
      <w:proofErr w:type="gramStart"/>
      <w:r w:rsidRPr="005B69F6">
        <w:rPr>
          <w:rFonts w:ascii="Arial" w:eastAsia="MS Mincho" w:hAnsi="Arial" w:cs="Arial"/>
          <w:sz w:val="20"/>
          <w:szCs w:val="20"/>
          <w:lang w:eastAsia="ja-JP"/>
        </w:rPr>
        <w:t>vaccine</w:t>
      </w:r>
      <w:proofErr w:type="gramEnd"/>
      <w:r w:rsidRPr="005B69F6">
        <w:rPr>
          <w:rFonts w:ascii="Arial" w:eastAsia="MS Mincho" w:hAnsi="Arial" w:cs="Arial"/>
          <w:sz w:val="20"/>
          <w:szCs w:val="20"/>
          <w:lang w:eastAsia="ja-JP"/>
        </w:rPr>
        <w:noBreakHyphen/>
        <w:t xml:space="preserve">naïve adults aged 50 years or older were randomized to receive either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or </w:t>
      </w:r>
      <w:r w:rsidR="00D331B1" w:rsidRPr="005B69F6">
        <w:rPr>
          <w:rFonts w:ascii="Arial" w:eastAsia="MS Mincho" w:hAnsi="Arial" w:cs="Arial"/>
          <w:sz w:val="20"/>
          <w:szCs w:val="20"/>
          <w:lang w:eastAsia="ja-JP"/>
        </w:rPr>
        <w:t>Prevenar</w:t>
      </w:r>
      <w:r w:rsidRPr="005B69F6">
        <w:rPr>
          <w:rFonts w:ascii="Arial" w:eastAsia="MS Mincho" w:hAnsi="Arial" w:cs="Arial"/>
          <w:sz w:val="20"/>
          <w:szCs w:val="20"/>
          <w:lang w:eastAsia="ja-JP"/>
        </w:rPr>
        <w:t xml:space="preserve"> 13. The study demonstrated that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is noninferior to </w:t>
      </w:r>
      <w:r w:rsidR="00D331B1" w:rsidRPr="005B69F6">
        <w:rPr>
          <w:rFonts w:ascii="Arial" w:eastAsia="MS Mincho" w:hAnsi="Arial" w:cs="Arial"/>
          <w:sz w:val="20"/>
          <w:szCs w:val="20"/>
          <w:lang w:eastAsia="ja-JP"/>
        </w:rPr>
        <w:t>Prevenar</w:t>
      </w:r>
      <w:r w:rsidRPr="005B69F6">
        <w:rPr>
          <w:rFonts w:ascii="Arial" w:eastAsia="MS Mincho" w:hAnsi="Arial" w:cs="Arial"/>
          <w:sz w:val="20"/>
          <w:szCs w:val="20"/>
          <w:lang w:eastAsia="ja-JP"/>
        </w:rPr>
        <w:t xml:space="preserve"> 13 for the 13 shared </w:t>
      </w:r>
      <w:r w:rsidRPr="005B69F6">
        <w:rPr>
          <w:rFonts w:ascii="Arial" w:eastAsia="MS Mincho" w:hAnsi="Arial" w:cs="Arial"/>
          <w:sz w:val="20"/>
          <w:szCs w:val="20"/>
          <w:lang w:eastAsia="ja-JP"/>
        </w:rPr>
        <w:lastRenderedPageBreak/>
        <w:t xml:space="preserve">serotypes and superior for the 2 unique serotypes and for shared serotype 3. </w:t>
      </w:r>
      <w:bookmarkStart w:id="5" w:name="_Hlk53158642"/>
      <w:r w:rsidRPr="005B69F6">
        <w:rPr>
          <w:rFonts w:ascii="Arial" w:eastAsia="MS Mincho" w:hAnsi="Arial" w:cs="Arial"/>
          <w:sz w:val="20"/>
          <w:szCs w:val="20"/>
          <w:lang w:eastAsia="ja-JP"/>
        </w:rPr>
        <w:t>Table 3 summarizes the OPA GMTs at 30 days postvaccination.</w:t>
      </w:r>
      <w:bookmarkEnd w:id="5"/>
      <w:r w:rsidRPr="005B69F6">
        <w:rPr>
          <w:rFonts w:ascii="Arial" w:eastAsia="MS Mincho" w:hAnsi="Arial" w:cs="Arial"/>
          <w:sz w:val="20"/>
          <w:szCs w:val="20"/>
          <w:lang w:eastAsia="ja-JP"/>
        </w:rPr>
        <w:t xml:space="preserve"> Serotype</w:t>
      </w:r>
      <w:r w:rsidRPr="005B69F6">
        <w:rPr>
          <w:rFonts w:ascii="Arial" w:eastAsia="MS Mincho" w:hAnsi="Arial" w:cs="Arial"/>
          <w:sz w:val="20"/>
          <w:szCs w:val="20"/>
          <w:lang w:eastAsia="ja-JP"/>
        </w:rPr>
        <w:noBreakHyphen/>
        <w:t>specific IgG GMCs were generally consistent with the results observed for the OPA GMTs.</w:t>
      </w:r>
    </w:p>
    <w:p w14:paraId="714917D3" w14:textId="77777777" w:rsidR="007C2932" w:rsidRPr="005B69F6" w:rsidRDefault="007C2932" w:rsidP="0019693E">
      <w:pPr>
        <w:widowControl/>
        <w:autoSpaceDE w:val="0"/>
        <w:autoSpaceDN w:val="0"/>
        <w:jc w:val="both"/>
        <w:rPr>
          <w:rFonts w:ascii="Arial" w:eastAsia="MS Mincho" w:hAnsi="Arial" w:cs="Times New Roman"/>
          <w:sz w:val="20"/>
          <w:szCs w:val="20"/>
          <w:lang w:eastAsia="ja-JP"/>
        </w:rPr>
      </w:pPr>
    </w:p>
    <w:p w14:paraId="1C23F3A3" w14:textId="638EC71C"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Table 3: Serotype</w:t>
      </w:r>
      <w:r w:rsidRPr="005B69F6">
        <w:rPr>
          <w:rFonts w:ascii="Arial" w:eastAsia="MS Mincho" w:hAnsi="Arial" w:cs="Arial"/>
          <w:b/>
          <w:bCs/>
          <w:sz w:val="18"/>
          <w:szCs w:val="18"/>
          <w:lang w:eastAsia="ja-JP"/>
        </w:rPr>
        <w:noBreakHyphen/>
        <w:t>Specific OPA GMTs in Pneumococcal Vaccine-Naïve Adults ≥50 Years of Age (Protocol 019)</w:t>
      </w:r>
    </w:p>
    <w:p w14:paraId="2A4682F7" w14:textId="77777777" w:rsidR="007C2932" w:rsidRPr="005B69F6" w:rsidRDefault="007C2932" w:rsidP="0019693E">
      <w:pPr>
        <w:keepNext/>
        <w:keepLines/>
        <w:widowControl/>
        <w:autoSpaceDE w:val="0"/>
        <w:autoSpaceDN w:val="0"/>
        <w:rPr>
          <w:rFonts w:ascii="Arial" w:eastAsia="MS Mincho" w:hAnsi="Arial" w:cs="Arial"/>
          <w:b/>
          <w:bCs/>
          <w:sz w:val="18"/>
          <w:szCs w:val="18"/>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437"/>
        <w:gridCol w:w="917"/>
        <w:gridCol w:w="918"/>
        <w:gridCol w:w="917"/>
        <w:gridCol w:w="918"/>
        <w:gridCol w:w="2708"/>
      </w:tblGrid>
      <w:tr w:rsidR="007C2932" w:rsidRPr="005B69F6" w14:paraId="1CFCFAC3" w14:textId="77777777" w:rsidTr="007C2932">
        <w:trPr>
          <w:trHeight w:val="459"/>
          <w:jc w:val="center"/>
        </w:trPr>
        <w:tc>
          <w:tcPr>
            <w:tcW w:w="2437" w:type="dxa"/>
            <w:vMerge w:val="restart"/>
            <w:tcBorders>
              <w:bottom w:val="single" w:sz="4" w:space="0" w:color="auto"/>
            </w:tcBorders>
          </w:tcPr>
          <w:p w14:paraId="6E1B13E5"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Pneumococcal</w:t>
            </w:r>
          </w:p>
          <w:p w14:paraId="1FD7340D"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Serotype</w:t>
            </w:r>
          </w:p>
        </w:tc>
        <w:tc>
          <w:tcPr>
            <w:tcW w:w="1835" w:type="dxa"/>
            <w:gridSpan w:val="2"/>
            <w:tcBorders>
              <w:bottom w:val="single" w:sz="4" w:space="0" w:color="auto"/>
            </w:tcBorders>
          </w:tcPr>
          <w:p w14:paraId="1DF493F1" w14:textId="3B2A3567" w:rsidR="007C2932" w:rsidRPr="005B69F6" w:rsidRDefault="003056A9" w:rsidP="0019693E">
            <w:pPr>
              <w:keepNext/>
              <w:keepLines/>
              <w:autoSpaceDE w:val="0"/>
              <w:autoSpaceDN w:val="0"/>
              <w:adjustRightInd w:val="0"/>
              <w:jc w:val="center"/>
              <w:rPr>
                <w:rFonts w:ascii="Arial" w:eastAsia="MS Mincho" w:hAnsi="Arial" w:cs="Arial"/>
                <w:b/>
                <w:bCs/>
                <w:sz w:val="18"/>
                <w:szCs w:val="18"/>
                <w:lang w:eastAsia="ja-JP"/>
              </w:rPr>
            </w:pPr>
            <w:r>
              <w:rPr>
                <w:rFonts w:ascii="Arial" w:eastAsia="MS Mincho" w:hAnsi="Arial" w:cs="Arial"/>
                <w:b/>
                <w:bCs/>
                <w:sz w:val="18"/>
                <w:szCs w:val="18"/>
                <w:lang w:eastAsia="ja-JP"/>
              </w:rPr>
              <w:t>VAXNEUVANCE</w:t>
            </w:r>
          </w:p>
          <w:p w14:paraId="4ADC4763"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 = 602)</w:t>
            </w:r>
          </w:p>
        </w:tc>
        <w:tc>
          <w:tcPr>
            <w:tcW w:w="1835" w:type="dxa"/>
            <w:gridSpan w:val="2"/>
            <w:tcBorders>
              <w:bottom w:val="single" w:sz="4" w:space="0" w:color="auto"/>
            </w:tcBorders>
          </w:tcPr>
          <w:p w14:paraId="7FAB7BB3" w14:textId="41173CCE" w:rsidR="007C2932" w:rsidRPr="005B69F6" w:rsidRDefault="00D331B1"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Prevenar</w:t>
            </w:r>
            <w:r w:rsidR="007C2932" w:rsidRPr="005B69F6">
              <w:rPr>
                <w:rFonts w:ascii="Arial" w:eastAsia="MS Mincho" w:hAnsi="Arial" w:cs="Arial"/>
                <w:b/>
                <w:bCs/>
                <w:sz w:val="18"/>
                <w:szCs w:val="18"/>
                <w:lang w:eastAsia="ja-JP"/>
              </w:rPr>
              <w:t> 13</w:t>
            </w:r>
          </w:p>
          <w:p w14:paraId="70B580F4"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 = 600)</w:t>
            </w:r>
          </w:p>
        </w:tc>
        <w:tc>
          <w:tcPr>
            <w:tcW w:w="2708" w:type="dxa"/>
            <w:vMerge w:val="restart"/>
            <w:tcBorders>
              <w:bottom w:val="single" w:sz="4" w:space="0" w:color="auto"/>
            </w:tcBorders>
          </w:tcPr>
          <w:p w14:paraId="7E210573"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GMT Ratio*</w:t>
            </w:r>
          </w:p>
          <w:p w14:paraId="53DB13DF" w14:textId="5D4F96D8"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w:t>
            </w:r>
            <w:r w:rsidR="003056A9">
              <w:rPr>
                <w:rFonts w:ascii="Arial" w:eastAsia="MS Mincho" w:hAnsi="Arial" w:cs="Arial"/>
                <w:b/>
                <w:bCs/>
                <w:sz w:val="18"/>
                <w:szCs w:val="18"/>
                <w:lang w:eastAsia="ja-JP"/>
              </w:rPr>
              <w:t>VAXNEUVANCE</w:t>
            </w:r>
            <w:r w:rsidRPr="005B69F6">
              <w:rPr>
                <w:rFonts w:ascii="Arial" w:eastAsia="MS Mincho" w:hAnsi="Arial" w:cs="Arial"/>
                <w:b/>
                <w:bCs/>
                <w:sz w:val="18"/>
                <w:szCs w:val="18"/>
                <w:lang w:eastAsia="ja-JP"/>
              </w:rPr>
              <w:t>/</w:t>
            </w:r>
            <w:r w:rsidR="00D331B1" w:rsidRPr="005B69F6">
              <w:rPr>
                <w:rFonts w:ascii="Arial" w:eastAsia="MS Mincho" w:hAnsi="Arial" w:cs="Arial"/>
                <w:b/>
                <w:bCs/>
                <w:sz w:val="18"/>
                <w:szCs w:val="18"/>
                <w:lang w:eastAsia="ja-JP"/>
              </w:rPr>
              <w:t>Prevenar</w:t>
            </w:r>
            <w:r w:rsidRPr="005B69F6">
              <w:rPr>
                <w:rFonts w:ascii="Arial" w:eastAsia="MS Mincho" w:hAnsi="Arial" w:cs="Arial"/>
                <w:b/>
                <w:bCs/>
                <w:sz w:val="18"/>
                <w:szCs w:val="18"/>
                <w:lang w:eastAsia="ja-JP"/>
              </w:rPr>
              <w:t> 13)</w:t>
            </w:r>
          </w:p>
          <w:p w14:paraId="16963F09"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(95% </w:t>
            </w:r>
            <w:proofErr w:type="gramStart"/>
            <w:r w:rsidRPr="005B69F6">
              <w:rPr>
                <w:rFonts w:ascii="Arial" w:eastAsia="MS Mincho" w:hAnsi="Arial" w:cs="Arial"/>
                <w:b/>
                <w:bCs/>
                <w:sz w:val="18"/>
                <w:szCs w:val="18"/>
                <w:lang w:eastAsia="ja-JP"/>
              </w:rPr>
              <w:t>CI)*</w:t>
            </w:r>
            <w:proofErr w:type="gramEnd"/>
            <w:r w:rsidRPr="005B69F6">
              <w:rPr>
                <w:rFonts w:ascii="Arial" w:eastAsia="MS Mincho" w:hAnsi="Arial" w:cs="Arial"/>
                <w:sz w:val="18"/>
                <w:szCs w:val="18"/>
                <w:vertAlign w:val="superscript"/>
                <w:lang w:eastAsia="ja-JP"/>
              </w:rPr>
              <w:t xml:space="preserve"> </w:t>
            </w:r>
          </w:p>
        </w:tc>
      </w:tr>
      <w:tr w:rsidR="007C2932" w:rsidRPr="005B69F6" w14:paraId="35B8E8B4" w14:textId="77777777" w:rsidTr="007C2932">
        <w:trPr>
          <w:jc w:val="center"/>
        </w:trPr>
        <w:tc>
          <w:tcPr>
            <w:tcW w:w="2437" w:type="dxa"/>
            <w:vMerge/>
          </w:tcPr>
          <w:p w14:paraId="302CD10D"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p>
        </w:tc>
        <w:tc>
          <w:tcPr>
            <w:tcW w:w="917" w:type="dxa"/>
          </w:tcPr>
          <w:p w14:paraId="425C9AC4"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w:t>
            </w:r>
          </w:p>
        </w:tc>
        <w:tc>
          <w:tcPr>
            <w:tcW w:w="918" w:type="dxa"/>
          </w:tcPr>
          <w:p w14:paraId="75AA3022"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GMT*</w:t>
            </w:r>
          </w:p>
        </w:tc>
        <w:tc>
          <w:tcPr>
            <w:tcW w:w="917" w:type="dxa"/>
          </w:tcPr>
          <w:p w14:paraId="1D058DE0"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w:t>
            </w:r>
          </w:p>
        </w:tc>
        <w:tc>
          <w:tcPr>
            <w:tcW w:w="918" w:type="dxa"/>
          </w:tcPr>
          <w:p w14:paraId="79209839"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GMT*</w:t>
            </w:r>
          </w:p>
        </w:tc>
        <w:tc>
          <w:tcPr>
            <w:tcW w:w="2708" w:type="dxa"/>
            <w:vMerge/>
          </w:tcPr>
          <w:p w14:paraId="727CB857"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p>
        </w:tc>
      </w:tr>
      <w:tr w:rsidR="007C2932" w:rsidRPr="005B69F6" w14:paraId="28759937" w14:textId="77777777" w:rsidTr="007C2932">
        <w:trPr>
          <w:jc w:val="center"/>
        </w:trPr>
        <w:tc>
          <w:tcPr>
            <w:tcW w:w="8815" w:type="dxa"/>
            <w:gridSpan w:val="6"/>
          </w:tcPr>
          <w:p w14:paraId="11C4080D" w14:textId="77777777" w:rsidR="007C2932" w:rsidRPr="005B69F6" w:rsidRDefault="007C2932" w:rsidP="0019693E">
            <w:pPr>
              <w:keepNext/>
              <w:keepLines/>
              <w:autoSpaceDE w:val="0"/>
              <w:autoSpaceDN w:val="0"/>
              <w:adjustRightInd w:val="0"/>
              <w:rPr>
                <w:rFonts w:ascii="Arial" w:eastAsia="MS Mincho" w:hAnsi="Arial" w:cs="Arial"/>
                <w:b/>
                <w:bCs/>
                <w:sz w:val="18"/>
                <w:szCs w:val="18"/>
                <w:lang w:eastAsia="ja-JP"/>
              </w:rPr>
            </w:pPr>
            <w:r w:rsidRPr="005B69F6">
              <w:rPr>
                <w:rFonts w:ascii="Arial" w:eastAsia="MS Mincho" w:hAnsi="Arial" w:cs="Arial"/>
                <w:sz w:val="18"/>
                <w:szCs w:val="18"/>
                <w:lang w:eastAsia="ja-JP"/>
              </w:rPr>
              <w:t>13 Shared Serotypes</w:t>
            </w:r>
            <w:r w:rsidRPr="005B69F6">
              <w:rPr>
                <w:rFonts w:ascii="Arial" w:eastAsia="MS Mincho" w:hAnsi="Arial" w:cs="Arial"/>
                <w:sz w:val="18"/>
                <w:szCs w:val="18"/>
                <w:vertAlign w:val="superscript"/>
                <w:lang w:eastAsia="ja-JP"/>
              </w:rPr>
              <w:t>†</w:t>
            </w:r>
            <w:r w:rsidRPr="005B69F6">
              <w:rPr>
                <w:rFonts w:ascii="Arial" w:eastAsia="MS Mincho" w:hAnsi="Arial" w:cs="Arial"/>
                <w:sz w:val="18"/>
                <w:szCs w:val="18"/>
                <w:lang w:eastAsia="ja-JP"/>
              </w:rPr>
              <w:t xml:space="preserve"> </w:t>
            </w:r>
          </w:p>
        </w:tc>
      </w:tr>
      <w:tr w:rsidR="007C2932" w:rsidRPr="005B69F6" w14:paraId="2D83B412" w14:textId="77777777" w:rsidTr="007C2932">
        <w:trPr>
          <w:jc w:val="center"/>
        </w:trPr>
        <w:tc>
          <w:tcPr>
            <w:tcW w:w="2437" w:type="dxa"/>
          </w:tcPr>
          <w:p w14:paraId="4283993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w:t>
            </w:r>
          </w:p>
        </w:tc>
        <w:tc>
          <w:tcPr>
            <w:tcW w:w="917" w:type="dxa"/>
          </w:tcPr>
          <w:p w14:paraId="4D98A7D8"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746BE86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256.3</w:t>
            </w:r>
          </w:p>
        </w:tc>
        <w:tc>
          <w:tcPr>
            <w:tcW w:w="917" w:type="dxa"/>
          </w:tcPr>
          <w:p w14:paraId="6ABF9693"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5300799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322.6</w:t>
            </w:r>
          </w:p>
        </w:tc>
        <w:tc>
          <w:tcPr>
            <w:tcW w:w="2708" w:type="dxa"/>
          </w:tcPr>
          <w:p w14:paraId="544671A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0.79 (0.66, 0.96)</w:t>
            </w:r>
          </w:p>
        </w:tc>
      </w:tr>
      <w:tr w:rsidR="007C2932" w:rsidRPr="005B69F6" w14:paraId="188EA9DA" w14:textId="77777777" w:rsidTr="007C2932">
        <w:trPr>
          <w:jc w:val="center"/>
        </w:trPr>
        <w:tc>
          <w:tcPr>
            <w:tcW w:w="2437" w:type="dxa"/>
          </w:tcPr>
          <w:p w14:paraId="309FCF3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w:t>
            </w:r>
            <w:r w:rsidRPr="005B69F6">
              <w:rPr>
                <w:rFonts w:ascii="Arial" w:eastAsia="MS Mincho" w:hAnsi="Arial" w:cs="Arial"/>
                <w:sz w:val="18"/>
                <w:szCs w:val="18"/>
                <w:vertAlign w:val="superscript"/>
                <w:lang w:eastAsia="ja-JP"/>
              </w:rPr>
              <w:t>‡</w:t>
            </w:r>
          </w:p>
        </w:tc>
        <w:tc>
          <w:tcPr>
            <w:tcW w:w="917" w:type="dxa"/>
          </w:tcPr>
          <w:p w14:paraId="7DDC2433"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165A879"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216.2</w:t>
            </w:r>
          </w:p>
        </w:tc>
        <w:tc>
          <w:tcPr>
            <w:tcW w:w="917" w:type="dxa"/>
          </w:tcPr>
          <w:p w14:paraId="33FCEBD2"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8EFA42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135.1</w:t>
            </w:r>
          </w:p>
        </w:tc>
        <w:tc>
          <w:tcPr>
            <w:tcW w:w="2708" w:type="dxa"/>
          </w:tcPr>
          <w:p w14:paraId="6C79D288"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1.60 (1.38, 1.85)</w:t>
            </w:r>
          </w:p>
        </w:tc>
      </w:tr>
      <w:tr w:rsidR="007C2932" w:rsidRPr="005B69F6" w14:paraId="48336596" w14:textId="77777777" w:rsidTr="007C2932">
        <w:trPr>
          <w:jc w:val="center"/>
        </w:trPr>
        <w:tc>
          <w:tcPr>
            <w:tcW w:w="2437" w:type="dxa"/>
          </w:tcPr>
          <w:p w14:paraId="3416C46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4</w:t>
            </w:r>
          </w:p>
        </w:tc>
        <w:tc>
          <w:tcPr>
            <w:tcW w:w="917" w:type="dxa"/>
          </w:tcPr>
          <w:p w14:paraId="687A2DD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323E4DD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1125.6</w:t>
            </w:r>
          </w:p>
        </w:tc>
        <w:tc>
          <w:tcPr>
            <w:tcW w:w="917" w:type="dxa"/>
          </w:tcPr>
          <w:p w14:paraId="1B3C8FF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7D6CABC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1661.6</w:t>
            </w:r>
          </w:p>
        </w:tc>
        <w:tc>
          <w:tcPr>
            <w:tcW w:w="2708" w:type="dxa"/>
          </w:tcPr>
          <w:p w14:paraId="4D08084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0.68 (0.57, 0.80)</w:t>
            </w:r>
          </w:p>
        </w:tc>
      </w:tr>
      <w:tr w:rsidR="007C2932" w:rsidRPr="005B69F6" w14:paraId="363EAA55" w14:textId="77777777" w:rsidTr="007C2932">
        <w:trPr>
          <w:jc w:val="center"/>
        </w:trPr>
        <w:tc>
          <w:tcPr>
            <w:tcW w:w="2437" w:type="dxa"/>
          </w:tcPr>
          <w:p w14:paraId="76CD0FB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w:t>
            </w:r>
          </w:p>
        </w:tc>
        <w:tc>
          <w:tcPr>
            <w:tcW w:w="917" w:type="dxa"/>
          </w:tcPr>
          <w:p w14:paraId="33E1ED93"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7D63FC7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447.3</w:t>
            </w:r>
          </w:p>
        </w:tc>
        <w:tc>
          <w:tcPr>
            <w:tcW w:w="917" w:type="dxa"/>
          </w:tcPr>
          <w:p w14:paraId="7FDA2A5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6F963645"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563.5</w:t>
            </w:r>
          </w:p>
        </w:tc>
        <w:tc>
          <w:tcPr>
            <w:tcW w:w="2708" w:type="dxa"/>
          </w:tcPr>
          <w:p w14:paraId="70ACF4F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0.79 (0.64, 0.98)</w:t>
            </w:r>
          </w:p>
        </w:tc>
      </w:tr>
      <w:tr w:rsidR="007C2932" w:rsidRPr="005B69F6" w14:paraId="41BD62FC" w14:textId="77777777" w:rsidTr="007C2932">
        <w:trPr>
          <w:jc w:val="center"/>
        </w:trPr>
        <w:tc>
          <w:tcPr>
            <w:tcW w:w="2437" w:type="dxa"/>
          </w:tcPr>
          <w:p w14:paraId="1D19496F"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6A</w:t>
            </w:r>
          </w:p>
        </w:tc>
        <w:tc>
          <w:tcPr>
            <w:tcW w:w="917" w:type="dxa"/>
          </w:tcPr>
          <w:p w14:paraId="6E22F6E5"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596</w:t>
            </w:r>
          </w:p>
        </w:tc>
        <w:tc>
          <w:tcPr>
            <w:tcW w:w="918" w:type="dxa"/>
          </w:tcPr>
          <w:p w14:paraId="4E66ABA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5407.2</w:t>
            </w:r>
          </w:p>
        </w:tc>
        <w:tc>
          <w:tcPr>
            <w:tcW w:w="917" w:type="dxa"/>
          </w:tcPr>
          <w:p w14:paraId="53D3CDE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7F8F0582"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5424.5</w:t>
            </w:r>
          </w:p>
        </w:tc>
        <w:tc>
          <w:tcPr>
            <w:tcW w:w="2708" w:type="dxa"/>
          </w:tcPr>
          <w:p w14:paraId="2CD3505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1.00 (0.84, 1.19)</w:t>
            </w:r>
          </w:p>
        </w:tc>
      </w:tr>
      <w:tr w:rsidR="007C2932" w:rsidRPr="005B69F6" w14:paraId="09970005" w14:textId="77777777" w:rsidTr="007C2932">
        <w:trPr>
          <w:jc w:val="center"/>
        </w:trPr>
        <w:tc>
          <w:tcPr>
            <w:tcW w:w="2437" w:type="dxa"/>
          </w:tcPr>
          <w:p w14:paraId="198B276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6B</w:t>
            </w:r>
          </w:p>
        </w:tc>
        <w:tc>
          <w:tcPr>
            <w:tcW w:w="917" w:type="dxa"/>
          </w:tcPr>
          <w:p w14:paraId="0A745E3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2D4E05E5"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4011.7</w:t>
            </w:r>
          </w:p>
        </w:tc>
        <w:tc>
          <w:tcPr>
            <w:tcW w:w="917" w:type="dxa"/>
          </w:tcPr>
          <w:p w14:paraId="2544ED59"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605229E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3258.2</w:t>
            </w:r>
          </w:p>
        </w:tc>
        <w:tc>
          <w:tcPr>
            <w:tcW w:w="2708" w:type="dxa"/>
          </w:tcPr>
          <w:p w14:paraId="4B1F449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1.23 (1.02, 1.48)</w:t>
            </w:r>
          </w:p>
        </w:tc>
      </w:tr>
      <w:tr w:rsidR="007C2932" w:rsidRPr="005B69F6" w14:paraId="6815163B" w14:textId="77777777" w:rsidTr="007C2932">
        <w:trPr>
          <w:jc w:val="center"/>
        </w:trPr>
        <w:tc>
          <w:tcPr>
            <w:tcW w:w="2437" w:type="dxa"/>
          </w:tcPr>
          <w:p w14:paraId="00E864E9"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7F</w:t>
            </w:r>
          </w:p>
        </w:tc>
        <w:tc>
          <w:tcPr>
            <w:tcW w:w="917" w:type="dxa"/>
          </w:tcPr>
          <w:p w14:paraId="6E73EEBF"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597</w:t>
            </w:r>
          </w:p>
        </w:tc>
        <w:tc>
          <w:tcPr>
            <w:tcW w:w="918" w:type="dxa"/>
          </w:tcPr>
          <w:p w14:paraId="709B06C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4617.3</w:t>
            </w:r>
          </w:p>
        </w:tc>
        <w:tc>
          <w:tcPr>
            <w:tcW w:w="917" w:type="dxa"/>
          </w:tcPr>
          <w:p w14:paraId="065EF8C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479A11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5880.6</w:t>
            </w:r>
          </w:p>
        </w:tc>
        <w:tc>
          <w:tcPr>
            <w:tcW w:w="2708" w:type="dxa"/>
          </w:tcPr>
          <w:p w14:paraId="49269453"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0.79 (0.68, 0.90)</w:t>
            </w:r>
          </w:p>
        </w:tc>
      </w:tr>
      <w:tr w:rsidR="007C2932" w:rsidRPr="005B69F6" w14:paraId="50B802C8" w14:textId="77777777" w:rsidTr="007C2932">
        <w:trPr>
          <w:jc w:val="center"/>
        </w:trPr>
        <w:tc>
          <w:tcPr>
            <w:tcW w:w="2437" w:type="dxa"/>
          </w:tcPr>
          <w:p w14:paraId="0C02CCB9"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9V</w:t>
            </w:r>
          </w:p>
        </w:tc>
        <w:tc>
          <w:tcPr>
            <w:tcW w:w="917" w:type="dxa"/>
          </w:tcPr>
          <w:p w14:paraId="62748F4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2CA967D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1817.3</w:t>
            </w:r>
          </w:p>
        </w:tc>
        <w:tc>
          <w:tcPr>
            <w:tcW w:w="917" w:type="dxa"/>
          </w:tcPr>
          <w:p w14:paraId="7A0277A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597</w:t>
            </w:r>
          </w:p>
        </w:tc>
        <w:tc>
          <w:tcPr>
            <w:tcW w:w="918" w:type="dxa"/>
          </w:tcPr>
          <w:p w14:paraId="4BB530D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2232.9</w:t>
            </w:r>
          </w:p>
        </w:tc>
        <w:tc>
          <w:tcPr>
            <w:tcW w:w="2708" w:type="dxa"/>
          </w:tcPr>
          <w:p w14:paraId="0120570B"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0.81 (0.70, 0.94)</w:t>
            </w:r>
          </w:p>
        </w:tc>
      </w:tr>
      <w:tr w:rsidR="007C2932" w:rsidRPr="005B69F6" w14:paraId="20C89355" w14:textId="77777777" w:rsidTr="007C2932">
        <w:trPr>
          <w:jc w:val="center"/>
        </w:trPr>
        <w:tc>
          <w:tcPr>
            <w:tcW w:w="2437" w:type="dxa"/>
          </w:tcPr>
          <w:p w14:paraId="3E4F9EE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14</w:t>
            </w:r>
          </w:p>
        </w:tc>
        <w:tc>
          <w:tcPr>
            <w:tcW w:w="917" w:type="dxa"/>
          </w:tcPr>
          <w:p w14:paraId="0F90E17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44262CE8"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1999.3</w:t>
            </w:r>
          </w:p>
        </w:tc>
        <w:tc>
          <w:tcPr>
            <w:tcW w:w="917" w:type="dxa"/>
          </w:tcPr>
          <w:p w14:paraId="07958D3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F57FF2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2656.7</w:t>
            </w:r>
          </w:p>
        </w:tc>
        <w:tc>
          <w:tcPr>
            <w:tcW w:w="2708" w:type="dxa"/>
          </w:tcPr>
          <w:p w14:paraId="3DE54D05"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0.75 (0.64, 0.89)</w:t>
            </w:r>
          </w:p>
        </w:tc>
      </w:tr>
      <w:tr w:rsidR="007C2932" w:rsidRPr="005B69F6" w14:paraId="4F33217F" w14:textId="77777777" w:rsidTr="007C2932">
        <w:trPr>
          <w:jc w:val="center"/>
        </w:trPr>
        <w:tc>
          <w:tcPr>
            <w:tcW w:w="2437" w:type="dxa"/>
          </w:tcPr>
          <w:p w14:paraId="49C8E78A"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18C</w:t>
            </w:r>
          </w:p>
        </w:tc>
        <w:tc>
          <w:tcPr>
            <w:tcW w:w="917" w:type="dxa"/>
          </w:tcPr>
          <w:p w14:paraId="3B6773C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AD22AB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2757.7</w:t>
            </w:r>
          </w:p>
        </w:tc>
        <w:tc>
          <w:tcPr>
            <w:tcW w:w="917" w:type="dxa"/>
          </w:tcPr>
          <w:p w14:paraId="3BBD342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648774B1"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2583.7</w:t>
            </w:r>
          </w:p>
        </w:tc>
        <w:tc>
          <w:tcPr>
            <w:tcW w:w="2708" w:type="dxa"/>
          </w:tcPr>
          <w:p w14:paraId="3B949C0B"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1.07 (0.91, 1.26)</w:t>
            </w:r>
          </w:p>
        </w:tc>
      </w:tr>
      <w:tr w:rsidR="007C2932" w:rsidRPr="005B69F6" w14:paraId="64D76FF0" w14:textId="77777777" w:rsidTr="007C2932">
        <w:trPr>
          <w:jc w:val="center"/>
        </w:trPr>
        <w:tc>
          <w:tcPr>
            <w:tcW w:w="2437" w:type="dxa"/>
          </w:tcPr>
          <w:p w14:paraId="7798D442"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19A</w:t>
            </w:r>
          </w:p>
        </w:tc>
        <w:tc>
          <w:tcPr>
            <w:tcW w:w="917" w:type="dxa"/>
          </w:tcPr>
          <w:p w14:paraId="3D13E0F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3EAB0AE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3194.3</w:t>
            </w:r>
          </w:p>
        </w:tc>
        <w:tc>
          <w:tcPr>
            <w:tcW w:w="917" w:type="dxa"/>
          </w:tcPr>
          <w:p w14:paraId="42CCF95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4C870AE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3979.8</w:t>
            </w:r>
          </w:p>
        </w:tc>
        <w:tc>
          <w:tcPr>
            <w:tcW w:w="2708" w:type="dxa"/>
          </w:tcPr>
          <w:p w14:paraId="73BAEB0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0.80 (0.70, 0.93)</w:t>
            </w:r>
          </w:p>
        </w:tc>
      </w:tr>
      <w:tr w:rsidR="007C2932" w:rsidRPr="005B69F6" w14:paraId="76DE88EB" w14:textId="77777777" w:rsidTr="007C2932">
        <w:trPr>
          <w:jc w:val="center"/>
        </w:trPr>
        <w:tc>
          <w:tcPr>
            <w:tcW w:w="2437" w:type="dxa"/>
          </w:tcPr>
          <w:p w14:paraId="37EE48E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19F</w:t>
            </w:r>
          </w:p>
        </w:tc>
        <w:tc>
          <w:tcPr>
            <w:tcW w:w="917" w:type="dxa"/>
          </w:tcPr>
          <w:p w14:paraId="4B6F329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3F48395"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1695.1</w:t>
            </w:r>
          </w:p>
        </w:tc>
        <w:tc>
          <w:tcPr>
            <w:tcW w:w="917" w:type="dxa"/>
          </w:tcPr>
          <w:p w14:paraId="56688B7F"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3BC72F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1917.8</w:t>
            </w:r>
          </w:p>
        </w:tc>
        <w:tc>
          <w:tcPr>
            <w:tcW w:w="2708" w:type="dxa"/>
          </w:tcPr>
          <w:p w14:paraId="6F93097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0.88 (0.76, 1.02)</w:t>
            </w:r>
          </w:p>
        </w:tc>
      </w:tr>
      <w:tr w:rsidR="007C2932" w:rsidRPr="005B69F6" w14:paraId="4C76D3E8" w14:textId="77777777" w:rsidTr="007C2932">
        <w:trPr>
          <w:jc w:val="center"/>
        </w:trPr>
        <w:tc>
          <w:tcPr>
            <w:tcW w:w="2437" w:type="dxa"/>
          </w:tcPr>
          <w:p w14:paraId="5237A139"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23F</w:t>
            </w:r>
          </w:p>
        </w:tc>
        <w:tc>
          <w:tcPr>
            <w:tcW w:w="917" w:type="dxa"/>
          </w:tcPr>
          <w:p w14:paraId="3B30D94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5C0D57C1"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2045.4</w:t>
            </w:r>
          </w:p>
        </w:tc>
        <w:tc>
          <w:tcPr>
            <w:tcW w:w="917" w:type="dxa"/>
          </w:tcPr>
          <w:p w14:paraId="06EC7FD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39F08D08"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1740.4</w:t>
            </w:r>
          </w:p>
        </w:tc>
        <w:tc>
          <w:tcPr>
            <w:tcW w:w="2708" w:type="dxa"/>
          </w:tcPr>
          <w:p w14:paraId="5C5F3B6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1.18 (0.96, 1.44)</w:t>
            </w:r>
          </w:p>
        </w:tc>
      </w:tr>
      <w:tr w:rsidR="007C2932" w:rsidRPr="005B69F6" w14:paraId="3BD09459" w14:textId="77777777" w:rsidTr="007C2932">
        <w:trPr>
          <w:jc w:val="center"/>
        </w:trPr>
        <w:tc>
          <w:tcPr>
            <w:tcW w:w="8815" w:type="dxa"/>
            <w:gridSpan w:val="6"/>
          </w:tcPr>
          <w:p w14:paraId="05AC3DEE" w14:textId="515AC1EC" w:rsidR="007C2932" w:rsidRPr="005B69F6" w:rsidRDefault="007C2932" w:rsidP="0019693E">
            <w:pPr>
              <w:keepNext/>
              <w:keepLines/>
              <w:autoSpaceDE w:val="0"/>
              <w:autoSpaceDN w:val="0"/>
              <w:adjustRightInd w:val="0"/>
              <w:rPr>
                <w:rFonts w:ascii="Arial" w:eastAsia="MS Mincho" w:hAnsi="Arial" w:cs="Arial"/>
                <w:b/>
                <w:bCs/>
                <w:sz w:val="18"/>
                <w:szCs w:val="18"/>
                <w:lang w:eastAsia="ja-JP"/>
              </w:rPr>
            </w:pPr>
            <w:r w:rsidRPr="005B69F6">
              <w:rPr>
                <w:rFonts w:ascii="Arial" w:eastAsia="MS Mincho" w:hAnsi="Arial" w:cs="Arial"/>
                <w:sz w:val="18"/>
                <w:szCs w:val="18"/>
                <w:lang w:eastAsia="ja-JP"/>
              </w:rPr>
              <w:t xml:space="preserve">2 Serotypes Unique to </w:t>
            </w:r>
            <w:r w:rsidR="003056A9">
              <w:rPr>
                <w:rFonts w:ascii="Arial" w:eastAsia="MS Mincho" w:hAnsi="Arial" w:cs="Arial"/>
                <w:sz w:val="18"/>
                <w:szCs w:val="18"/>
                <w:lang w:eastAsia="ja-JP"/>
              </w:rPr>
              <w:t>VAXNEUVANCE</w:t>
            </w:r>
            <w:r w:rsidRPr="005B69F6">
              <w:rPr>
                <w:rFonts w:ascii="Arial" w:eastAsia="MS Mincho" w:hAnsi="Arial" w:cs="Arial"/>
                <w:sz w:val="18"/>
                <w:szCs w:val="18"/>
                <w:vertAlign w:val="superscript"/>
                <w:lang w:eastAsia="ja-JP"/>
              </w:rPr>
              <w:t>§</w:t>
            </w:r>
            <w:r w:rsidRPr="005B69F6">
              <w:rPr>
                <w:rFonts w:ascii="Arial" w:eastAsia="MS Mincho" w:hAnsi="Arial" w:cs="Arial"/>
                <w:sz w:val="18"/>
                <w:szCs w:val="18"/>
                <w:lang w:eastAsia="ja-JP"/>
              </w:rPr>
              <w:t xml:space="preserve"> </w:t>
            </w:r>
          </w:p>
        </w:tc>
      </w:tr>
      <w:tr w:rsidR="007C2932" w:rsidRPr="005B69F6" w14:paraId="7FA53853" w14:textId="77777777" w:rsidTr="007C2932">
        <w:trPr>
          <w:jc w:val="center"/>
        </w:trPr>
        <w:tc>
          <w:tcPr>
            <w:tcW w:w="2437" w:type="dxa"/>
          </w:tcPr>
          <w:p w14:paraId="4BD7FFB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22F</w:t>
            </w:r>
          </w:p>
        </w:tc>
        <w:tc>
          <w:tcPr>
            <w:tcW w:w="917" w:type="dxa"/>
          </w:tcPr>
          <w:p w14:paraId="3879B9B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594</w:t>
            </w:r>
          </w:p>
        </w:tc>
        <w:tc>
          <w:tcPr>
            <w:tcW w:w="918" w:type="dxa"/>
          </w:tcPr>
          <w:p w14:paraId="30D7729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2375.2</w:t>
            </w:r>
          </w:p>
        </w:tc>
        <w:tc>
          <w:tcPr>
            <w:tcW w:w="917" w:type="dxa"/>
          </w:tcPr>
          <w:p w14:paraId="54539FAF"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586</w:t>
            </w:r>
          </w:p>
        </w:tc>
        <w:tc>
          <w:tcPr>
            <w:tcW w:w="918" w:type="dxa"/>
          </w:tcPr>
          <w:p w14:paraId="2721E972"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74.6</w:t>
            </w:r>
          </w:p>
        </w:tc>
        <w:tc>
          <w:tcPr>
            <w:tcW w:w="2708" w:type="dxa"/>
          </w:tcPr>
          <w:p w14:paraId="5B05915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31.83 (25.35, 39.97)</w:t>
            </w:r>
          </w:p>
        </w:tc>
      </w:tr>
      <w:tr w:rsidR="007C2932" w:rsidRPr="005B69F6" w14:paraId="7B0B1FCD" w14:textId="77777777" w:rsidTr="007C2932">
        <w:trPr>
          <w:jc w:val="center"/>
        </w:trPr>
        <w:tc>
          <w:tcPr>
            <w:tcW w:w="2437" w:type="dxa"/>
          </w:tcPr>
          <w:p w14:paraId="006ECF2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33F</w:t>
            </w:r>
          </w:p>
        </w:tc>
        <w:tc>
          <w:tcPr>
            <w:tcW w:w="917" w:type="dxa"/>
          </w:tcPr>
          <w:p w14:paraId="360EB11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6CAD6F1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7994.7</w:t>
            </w:r>
          </w:p>
        </w:tc>
        <w:tc>
          <w:tcPr>
            <w:tcW w:w="917" w:type="dxa"/>
          </w:tcPr>
          <w:p w14:paraId="548C9F13"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597</w:t>
            </w:r>
          </w:p>
        </w:tc>
        <w:tc>
          <w:tcPr>
            <w:tcW w:w="918" w:type="dxa"/>
          </w:tcPr>
          <w:p w14:paraId="31BF795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1124.9</w:t>
            </w:r>
          </w:p>
        </w:tc>
        <w:tc>
          <w:tcPr>
            <w:tcW w:w="2708" w:type="dxa"/>
          </w:tcPr>
          <w:p w14:paraId="199EC57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7.11 (6.07, 8.32)</w:t>
            </w:r>
          </w:p>
        </w:tc>
      </w:tr>
    </w:tbl>
    <w:p w14:paraId="74D0020A" w14:textId="77777777" w:rsidR="007C2932" w:rsidRPr="005B69F6" w:rsidRDefault="007C2932" w:rsidP="0019693E">
      <w:pPr>
        <w:keepNext/>
        <w:keepLines/>
        <w:autoSpaceDE w:val="0"/>
        <w:autoSpaceDN w:val="0"/>
        <w:adjustRightInd w:val="0"/>
        <w:ind w:left="320" w:right="1" w:hanging="160"/>
        <w:rPr>
          <w:rFonts w:ascii="Arial" w:eastAsia="MS Mincho" w:hAnsi="Arial" w:cs="Arial"/>
          <w:sz w:val="18"/>
          <w:szCs w:val="14"/>
          <w:lang w:eastAsia="ja-JP"/>
        </w:rPr>
      </w:pPr>
      <w:r w:rsidRPr="005B69F6">
        <w:rPr>
          <w:rFonts w:ascii="Arial" w:eastAsia="MS Mincho" w:hAnsi="Arial" w:cs="Arial"/>
          <w:sz w:val="18"/>
          <w:szCs w:val="14"/>
          <w:lang w:eastAsia="ja-JP"/>
        </w:rPr>
        <w:t xml:space="preserve">* GMTs, GMT ratio, and 95% CI are estimated from a </w:t>
      </w:r>
      <w:proofErr w:type="spellStart"/>
      <w:r w:rsidRPr="005B69F6">
        <w:rPr>
          <w:rFonts w:ascii="Arial" w:eastAsia="MS Mincho" w:hAnsi="Arial" w:cs="Arial"/>
          <w:sz w:val="18"/>
          <w:szCs w:val="14"/>
          <w:lang w:eastAsia="ja-JP"/>
        </w:rPr>
        <w:t>cLDA</w:t>
      </w:r>
      <w:proofErr w:type="spellEnd"/>
      <w:r w:rsidRPr="005B69F6">
        <w:rPr>
          <w:rFonts w:ascii="Arial" w:eastAsia="MS Mincho" w:hAnsi="Arial" w:cs="Arial"/>
          <w:sz w:val="18"/>
          <w:szCs w:val="14"/>
          <w:lang w:eastAsia="ja-JP"/>
        </w:rPr>
        <w:t xml:space="preserve"> model.</w:t>
      </w:r>
    </w:p>
    <w:p w14:paraId="6AEB4286" w14:textId="21CE5254" w:rsidR="007C2932" w:rsidRPr="005B69F6" w:rsidRDefault="007C2932" w:rsidP="0019693E">
      <w:pPr>
        <w:keepNext/>
        <w:keepLines/>
        <w:autoSpaceDE w:val="0"/>
        <w:autoSpaceDN w:val="0"/>
        <w:adjustRightInd w:val="0"/>
        <w:ind w:left="320" w:right="1" w:hanging="160"/>
        <w:rPr>
          <w:rFonts w:ascii="Arial" w:eastAsia="MS Mincho" w:hAnsi="Arial" w:cs="Arial"/>
          <w:sz w:val="18"/>
          <w:szCs w:val="14"/>
          <w:lang w:eastAsia="ja-JP"/>
        </w:rPr>
      </w:pPr>
      <w:r w:rsidRPr="005B69F6">
        <w:rPr>
          <w:rFonts w:ascii="Arial" w:eastAsia="MS Mincho" w:hAnsi="Arial" w:cs="Arial"/>
          <w:sz w:val="18"/>
          <w:szCs w:val="14"/>
          <w:vertAlign w:val="superscript"/>
          <w:lang w:eastAsia="ja-JP"/>
        </w:rPr>
        <w:t>†</w:t>
      </w:r>
      <w:r w:rsidRPr="005B69F6">
        <w:rPr>
          <w:rFonts w:ascii="Arial" w:eastAsia="MS Mincho" w:hAnsi="Arial" w:cs="Arial"/>
          <w:sz w:val="18"/>
          <w:szCs w:val="14"/>
          <w:lang w:eastAsia="ja-JP"/>
        </w:rPr>
        <w:t xml:space="preserve"> A conclusion of non-inferiority for the 13 shared serotypes is based on the lower bound of the 95% CI for the estimated GMT ratio (</w:t>
      </w:r>
      <w:r w:rsidR="003056A9">
        <w:rPr>
          <w:rFonts w:ascii="Arial" w:eastAsia="MS Mincho" w:hAnsi="Arial" w:cs="Arial"/>
          <w:sz w:val="18"/>
          <w:szCs w:val="14"/>
          <w:lang w:eastAsia="ja-JP"/>
        </w:rPr>
        <w:t>VAXNEUVANCE</w:t>
      </w:r>
      <w:r w:rsidRPr="005B69F6">
        <w:rPr>
          <w:rFonts w:ascii="Arial" w:eastAsia="MS Mincho" w:hAnsi="Arial" w:cs="Arial"/>
          <w:sz w:val="18"/>
          <w:szCs w:val="14"/>
          <w:lang w:eastAsia="ja-JP"/>
        </w:rPr>
        <w:t>/</w:t>
      </w:r>
      <w:r w:rsidR="00D331B1" w:rsidRPr="005B69F6">
        <w:rPr>
          <w:rFonts w:ascii="Arial" w:eastAsia="MS Mincho" w:hAnsi="Arial" w:cs="Arial"/>
          <w:sz w:val="18"/>
          <w:szCs w:val="14"/>
          <w:lang w:eastAsia="ja-JP"/>
        </w:rPr>
        <w:t>Prevenar</w:t>
      </w:r>
      <w:r w:rsidRPr="005B69F6">
        <w:rPr>
          <w:rFonts w:ascii="Arial" w:eastAsia="MS Mincho" w:hAnsi="Arial" w:cs="Arial"/>
          <w:sz w:val="18"/>
          <w:szCs w:val="14"/>
          <w:lang w:eastAsia="ja-JP"/>
        </w:rPr>
        <w:t xml:space="preserve"> 13) being &gt; 0.5. </w:t>
      </w:r>
    </w:p>
    <w:p w14:paraId="5E64097C" w14:textId="033920F5" w:rsidR="007C2932" w:rsidRPr="005B69F6" w:rsidRDefault="007C2932" w:rsidP="0019693E">
      <w:pPr>
        <w:keepNext/>
        <w:keepLines/>
        <w:autoSpaceDE w:val="0"/>
        <w:autoSpaceDN w:val="0"/>
        <w:adjustRightInd w:val="0"/>
        <w:ind w:left="320" w:right="1" w:hanging="160"/>
        <w:rPr>
          <w:rFonts w:ascii="Arial" w:eastAsia="MS Mincho" w:hAnsi="Arial" w:cs="Arial"/>
          <w:sz w:val="18"/>
          <w:szCs w:val="18"/>
          <w:lang w:eastAsia="ja-JP"/>
        </w:rPr>
      </w:pPr>
      <w:r w:rsidRPr="005B69F6">
        <w:rPr>
          <w:rFonts w:ascii="Arial" w:eastAsia="MS Mincho" w:hAnsi="Arial" w:cs="Arial"/>
          <w:sz w:val="18"/>
          <w:szCs w:val="18"/>
          <w:vertAlign w:val="superscript"/>
          <w:lang w:eastAsia="ja-JP"/>
        </w:rPr>
        <w:t>‡</w:t>
      </w:r>
      <w:r w:rsidRPr="005B69F6">
        <w:rPr>
          <w:rFonts w:ascii="Arial" w:eastAsia="MS Mincho" w:hAnsi="Arial" w:cs="Arial"/>
          <w:sz w:val="18"/>
          <w:szCs w:val="18"/>
          <w:lang w:eastAsia="ja-JP"/>
        </w:rPr>
        <w:t xml:space="preserve"> A conclusion of superiority for serotype 3 is based on the lower bound of the 95% CI for the estimated GMT ratio (</w:t>
      </w:r>
      <w:r w:rsidR="003056A9">
        <w:rPr>
          <w:rFonts w:ascii="Arial" w:eastAsia="MS Mincho" w:hAnsi="Arial" w:cs="Arial"/>
          <w:sz w:val="18"/>
          <w:szCs w:val="18"/>
          <w:lang w:eastAsia="ja-JP"/>
        </w:rPr>
        <w:t>VAXNEUVANCE</w:t>
      </w:r>
      <w:r w:rsidRPr="005B69F6">
        <w:rPr>
          <w:rFonts w:ascii="Arial" w:eastAsia="MS Mincho" w:hAnsi="Arial" w:cs="Arial"/>
          <w:sz w:val="18"/>
          <w:szCs w:val="18"/>
          <w:lang w:eastAsia="ja-JP"/>
        </w:rPr>
        <w:t>/</w:t>
      </w:r>
      <w:r w:rsidR="00D331B1" w:rsidRPr="005B69F6">
        <w:rPr>
          <w:rFonts w:ascii="Arial" w:eastAsia="MS Mincho" w:hAnsi="Arial" w:cs="Arial"/>
          <w:sz w:val="18"/>
          <w:szCs w:val="18"/>
          <w:lang w:eastAsia="ja-JP"/>
        </w:rPr>
        <w:t>Prevenar</w:t>
      </w:r>
      <w:r w:rsidRPr="005B69F6">
        <w:rPr>
          <w:rFonts w:ascii="Arial" w:eastAsia="MS Mincho" w:hAnsi="Arial" w:cs="Arial"/>
          <w:sz w:val="18"/>
          <w:szCs w:val="18"/>
          <w:lang w:eastAsia="ja-JP"/>
        </w:rPr>
        <w:t> 13) being &gt; 1.2.</w:t>
      </w:r>
    </w:p>
    <w:p w14:paraId="3ECCCF29" w14:textId="41B21292" w:rsidR="007C2932" w:rsidRPr="005B69F6" w:rsidRDefault="007C2932" w:rsidP="0019693E">
      <w:pPr>
        <w:keepNext/>
        <w:keepLines/>
        <w:autoSpaceDE w:val="0"/>
        <w:autoSpaceDN w:val="0"/>
        <w:adjustRightInd w:val="0"/>
        <w:ind w:left="320" w:right="1" w:hanging="160"/>
        <w:rPr>
          <w:rFonts w:ascii="Arial" w:eastAsia="MS Mincho" w:hAnsi="Arial" w:cs="Arial"/>
          <w:sz w:val="18"/>
          <w:szCs w:val="14"/>
          <w:lang w:eastAsia="ja-JP"/>
        </w:rPr>
      </w:pPr>
      <w:r w:rsidRPr="005B69F6">
        <w:rPr>
          <w:rFonts w:ascii="Arial" w:eastAsia="MS Mincho" w:hAnsi="Arial" w:cs="Arial"/>
          <w:sz w:val="18"/>
          <w:szCs w:val="18"/>
          <w:vertAlign w:val="superscript"/>
          <w:lang w:eastAsia="ja-JP"/>
        </w:rPr>
        <w:t xml:space="preserve">§ </w:t>
      </w:r>
      <w:r w:rsidRPr="005B69F6">
        <w:rPr>
          <w:rFonts w:ascii="Arial" w:eastAsia="MS Mincho" w:hAnsi="Arial" w:cs="Arial"/>
          <w:sz w:val="18"/>
          <w:szCs w:val="14"/>
          <w:lang w:eastAsia="ja-JP"/>
        </w:rPr>
        <w:t>A conclusion of superiority for the 2 unique serotypes is based on the lower bound of the 95% CI for the estimated GMT ratio (</w:t>
      </w:r>
      <w:r w:rsidR="003056A9">
        <w:rPr>
          <w:rFonts w:ascii="Arial" w:eastAsia="MS Mincho" w:hAnsi="Arial" w:cs="Arial"/>
          <w:sz w:val="18"/>
          <w:szCs w:val="18"/>
          <w:lang w:eastAsia="ja-JP"/>
        </w:rPr>
        <w:t>VAXNEUVANCE</w:t>
      </w:r>
      <w:r w:rsidRPr="005B69F6">
        <w:rPr>
          <w:rFonts w:ascii="Arial" w:eastAsia="MS Mincho" w:hAnsi="Arial" w:cs="Arial"/>
          <w:sz w:val="18"/>
          <w:szCs w:val="18"/>
          <w:lang w:eastAsia="ja-JP"/>
        </w:rPr>
        <w:t>/</w:t>
      </w:r>
      <w:r w:rsidR="00D331B1" w:rsidRPr="005B69F6">
        <w:rPr>
          <w:rFonts w:ascii="Arial" w:eastAsia="MS Mincho" w:hAnsi="Arial" w:cs="Arial"/>
          <w:sz w:val="18"/>
          <w:szCs w:val="18"/>
          <w:lang w:eastAsia="ja-JP"/>
        </w:rPr>
        <w:t>Prevenar</w:t>
      </w:r>
      <w:r w:rsidRPr="005B69F6">
        <w:rPr>
          <w:rFonts w:ascii="Arial" w:eastAsia="MS Mincho" w:hAnsi="Arial" w:cs="Arial"/>
          <w:sz w:val="18"/>
          <w:szCs w:val="18"/>
          <w:lang w:eastAsia="ja-JP"/>
        </w:rPr>
        <w:t> 13</w:t>
      </w:r>
      <w:r w:rsidRPr="005B69F6">
        <w:rPr>
          <w:rFonts w:ascii="Arial" w:eastAsia="MS Mincho" w:hAnsi="Arial" w:cs="Arial"/>
          <w:sz w:val="18"/>
          <w:szCs w:val="14"/>
          <w:lang w:eastAsia="ja-JP"/>
        </w:rPr>
        <w:t>) being &gt; 2.0.</w:t>
      </w:r>
    </w:p>
    <w:p w14:paraId="52342E10" w14:textId="77777777" w:rsidR="007C2932" w:rsidRPr="005B69F6" w:rsidRDefault="007C2932" w:rsidP="0019693E">
      <w:pPr>
        <w:keepNext/>
        <w:keepLines/>
        <w:autoSpaceDE w:val="0"/>
        <w:autoSpaceDN w:val="0"/>
        <w:adjustRightInd w:val="0"/>
        <w:ind w:left="320" w:right="1" w:hanging="160"/>
        <w:rPr>
          <w:rFonts w:ascii="Arial" w:eastAsia="MS Mincho" w:hAnsi="Arial" w:cs="Arial"/>
          <w:sz w:val="18"/>
          <w:szCs w:val="14"/>
          <w:lang w:eastAsia="ja-JP"/>
        </w:rPr>
      </w:pPr>
      <w:r w:rsidRPr="005B69F6">
        <w:rPr>
          <w:rFonts w:ascii="Arial" w:eastAsia="MS Mincho" w:hAnsi="Arial" w:cs="Arial"/>
          <w:sz w:val="18"/>
          <w:szCs w:val="14"/>
          <w:lang w:eastAsia="ja-JP"/>
        </w:rPr>
        <w:t>N=Number of participants randomized and vaccinated; n=Number of participants contributing to the analysis.</w:t>
      </w:r>
    </w:p>
    <w:p w14:paraId="36D7F14E" w14:textId="77777777" w:rsidR="007C2932" w:rsidRPr="005B69F6" w:rsidRDefault="007C2932" w:rsidP="0019693E">
      <w:pPr>
        <w:keepNext/>
        <w:keepLines/>
        <w:widowControl/>
        <w:ind w:left="160"/>
        <w:rPr>
          <w:rFonts w:ascii="Arial" w:eastAsia="MS Mincho" w:hAnsi="Arial" w:cs="Arial"/>
          <w:sz w:val="18"/>
          <w:szCs w:val="18"/>
          <w:lang w:eastAsia="ja-JP"/>
        </w:rPr>
      </w:pPr>
      <w:r w:rsidRPr="005B69F6">
        <w:rPr>
          <w:rFonts w:ascii="Arial" w:eastAsia="MS Mincho" w:hAnsi="Arial" w:cs="Arial"/>
          <w:sz w:val="18"/>
          <w:szCs w:val="14"/>
          <w:lang w:eastAsia="ja-JP"/>
        </w:rPr>
        <w:t xml:space="preserve">CI=confidence interval; </w:t>
      </w:r>
      <w:proofErr w:type="spellStart"/>
      <w:r w:rsidRPr="005B69F6">
        <w:rPr>
          <w:rFonts w:ascii="Arial" w:eastAsia="MS Mincho" w:hAnsi="Arial" w:cs="Arial"/>
          <w:sz w:val="18"/>
          <w:szCs w:val="14"/>
          <w:lang w:eastAsia="ja-JP"/>
        </w:rPr>
        <w:t>cLDA</w:t>
      </w:r>
      <w:proofErr w:type="spellEnd"/>
      <w:r w:rsidRPr="005B69F6">
        <w:rPr>
          <w:rFonts w:ascii="Arial" w:eastAsia="MS Mincho" w:hAnsi="Arial" w:cs="Arial"/>
          <w:sz w:val="18"/>
          <w:szCs w:val="14"/>
          <w:lang w:eastAsia="ja-JP"/>
        </w:rPr>
        <w:t>=constrained longitudinal data analysis; GMT=geometric mean titer (1/</w:t>
      </w:r>
      <w:proofErr w:type="spellStart"/>
      <w:r w:rsidRPr="005B69F6">
        <w:rPr>
          <w:rFonts w:ascii="Arial" w:eastAsia="MS Mincho" w:hAnsi="Arial" w:cs="Arial"/>
          <w:sz w:val="18"/>
          <w:szCs w:val="14"/>
          <w:lang w:eastAsia="ja-JP"/>
        </w:rPr>
        <w:t>dil</w:t>
      </w:r>
      <w:proofErr w:type="spellEnd"/>
      <w:r w:rsidRPr="005B69F6">
        <w:rPr>
          <w:rFonts w:ascii="Arial" w:eastAsia="MS Mincho" w:hAnsi="Arial" w:cs="Arial"/>
          <w:sz w:val="18"/>
          <w:szCs w:val="14"/>
          <w:lang w:eastAsia="ja-JP"/>
        </w:rPr>
        <w:t>); OPA=opsonophagocytic activity</w:t>
      </w:r>
    </w:p>
    <w:p w14:paraId="155120D8"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6465BA56" w14:textId="1C862E78" w:rsidR="007C2932" w:rsidRPr="005B69F6"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In a </w:t>
      </w:r>
      <w:bookmarkStart w:id="6" w:name="_Hlk52987484"/>
      <w:r w:rsidRPr="005B69F6">
        <w:rPr>
          <w:rFonts w:ascii="Arial" w:eastAsia="MS Mincho" w:hAnsi="Arial" w:cs="Arial"/>
          <w:sz w:val="20"/>
          <w:szCs w:val="20"/>
          <w:lang w:eastAsia="ja-JP"/>
        </w:rPr>
        <w:t xml:space="preserve">double-blind, lot consistency study (Protocol 020), 2,340 pneumococcal vaccine-naïve adults 50 years of age and older were randomized in a 3:3:3:1 ratio to receive 1 of 3 lots of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or </w:t>
      </w:r>
      <w:r w:rsidR="00D331B1" w:rsidRPr="005B69F6">
        <w:rPr>
          <w:rFonts w:ascii="Arial" w:eastAsia="MS Mincho" w:hAnsi="Arial" w:cs="Arial"/>
          <w:color w:val="000000"/>
          <w:sz w:val="20"/>
          <w:szCs w:val="20"/>
          <w:lang w:eastAsia="zh-CN"/>
        </w:rPr>
        <w:t>Prevenar</w:t>
      </w:r>
      <w:r w:rsidRPr="005B69F6">
        <w:rPr>
          <w:rFonts w:ascii="Arial" w:eastAsia="MS Mincho" w:hAnsi="Arial" w:cs="Arial"/>
          <w:color w:val="000000"/>
          <w:sz w:val="20"/>
          <w:szCs w:val="20"/>
          <w:lang w:eastAsia="zh-CN"/>
        </w:rPr>
        <w:t> 13</w:t>
      </w:r>
      <w:r w:rsidRPr="005B69F6">
        <w:rPr>
          <w:rFonts w:ascii="Arial" w:eastAsia="MS Mincho" w:hAnsi="Arial" w:cs="Arial"/>
          <w:sz w:val="20"/>
          <w:szCs w:val="20"/>
          <w:lang w:eastAsia="ja-JP"/>
        </w:rPr>
        <w:t>. The study demonstrated that all 3 lots are equivalent as the lower and upper limits of the 95% CI of the serotype</w:t>
      </w:r>
      <w:r w:rsidRPr="005B69F6">
        <w:rPr>
          <w:rFonts w:ascii="Arial" w:eastAsia="MS Mincho" w:hAnsi="Arial" w:cs="Arial"/>
          <w:sz w:val="20"/>
          <w:szCs w:val="20"/>
          <w:lang w:eastAsia="ja-JP"/>
        </w:rPr>
        <w:noBreakHyphen/>
        <w:t>specific OPA GMT ratios between any 2 lots were within the equivalence margin (0.5 to 2.0) for all 15 serotypes</w:t>
      </w:r>
      <w:bookmarkEnd w:id="6"/>
      <w:r w:rsidRPr="005B69F6">
        <w:rPr>
          <w:rFonts w:ascii="Arial" w:eastAsia="MS Mincho" w:hAnsi="Arial" w:cs="Arial"/>
          <w:sz w:val="20"/>
          <w:szCs w:val="20"/>
          <w:lang w:eastAsia="ja-JP"/>
        </w:rPr>
        <w:t xml:space="preserve">. Immune responses following vaccination with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were comparable to </w:t>
      </w:r>
      <w:r w:rsidR="00D331B1" w:rsidRPr="005B69F6">
        <w:rPr>
          <w:rFonts w:ascii="Arial" w:eastAsia="MS Mincho" w:hAnsi="Arial" w:cs="Arial"/>
          <w:color w:val="000000"/>
          <w:sz w:val="20"/>
          <w:szCs w:val="20"/>
          <w:lang w:eastAsia="zh-CN"/>
        </w:rPr>
        <w:t>Prevenar</w:t>
      </w:r>
      <w:r w:rsidRPr="005B69F6">
        <w:rPr>
          <w:rFonts w:ascii="Arial" w:eastAsia="MS Mincho" w:hAnsi="Arial" w:cs="Arial"/>
          <w:color w:val="000000"/>
          <w:sz w:val="20"/>
          <w:szCs w:val="20"/>
          <w:lang w:eastAsia="zh-CN"/>
        </w:rPr>
        <w:t xml:space="preserve"> 13 </w:t>
      </w:r>
      <w:r w:rsidRPr="005B69F6">
        <w:rPr>
          <w:rFonts w:ascii="Arial" w:eastAsia="MS Mincho" w:hAnsi="Arial" w:cs="Arial"/>
          <w:sz w:val="20"/>
          <w:szCs w:val="20"/>
          <w:lang w:eastAsia="ja-JP"/>
        </w:rPr>
        <w:t>for the shared serotypes.</w:t>
      </w:r>
    </w:p>
    <w:p w14:paraId="2DAA541A"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7A6941A2" w14:textId="0DEB4C59" w:rsidR="007C2932" w:rsidRPr="005B69F6"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In a double-blind, descriptive study (Protocol 017), 1,515 immunocompetent adults 18 to 49 years of age with or without risk factors for pneumococcal disease were randomized 3:1 to receive either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or </w:t>
      </w:r>
      <w:r w:rsidR="00D331B1" w:rsidRPr="005B69F6">
        <w:rPr>
          <w:rFonts w:ascii="Arial" w:eastAsia="MS Mincho" w:hAnsi="Arial" w:cs="Arial"/>
          <w:color w:val="000000"/>
          <w:sz w:val="20"/>
          <w:szCs w:val="20"/>
          <w:lang w:eastAsia="zh-CN"/>
        </w:rPr>
        <w:t>Prevenar</w:t>
      </w:r>
      <w:r w:rsidRPr="005B69F6">
        <w:rPr>
          <w:rFonts w:ascii="Arial" w:eastAsia="MS Mincho" w:hAnsi="Arial" w:cs="Arial"/>
          <w:color w:val="000000"/>
          <w:sz w:val="20"/>
          <w:szCs w:val="20"/>
          <w:lang w:eastAsia="zh-CN"/>
        </w:rPr>
        <w:t> 13</w:t>
      </w:r>
      <w:r w:rsidRPr="005B69F6">
        <w:rPr>
          <w:rFonts w:ascii="Arial" w:eastAsia="MS Mincho" w:hAnsi="Arial" w:cs="Arial"/>
          <w:sz w:val="20"/>
          <w:szCs w:val="20"/>
          <w:lang w:eastAsia="ja-JP"/>
        </w:rPr>
        <w:t xml:space="preserve">, followed by PNEUMOVAX 23 six months later.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elicited immune responses to all 15 serotypes as assessed by OPA GMTs (Table 4) and IgG GMCs. OPA GMTs and IgG GMCs were generally comparable between the two vaccination groups for the 13 shared serotypes and higher in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for the 2 unique serotypes. Following vaccination with PNEUMOVAX 23, OPA GMTs and IgG GMCs were generally comparable between the two vaccination groups for all 15 serotypes in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w:t>
      </w:r>
    </w:p>
    <w:p w14:paraId="3307DC0A"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4F912C98" w14:textId="16DCA86F" w:rsidR="007C2932" w:rsidRPr="005B69F6"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Immune responses in adults with no risk factors (n=285; 25.2%) who received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were generally consistent with those observed in the overall study population.</w:t>
      </w:r>
    </w:p>
    <w:p w14:paraId="0F68AF91"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3E241A2E" w14:textId="2E5B1453"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bookmarkStart w:id="7" w:name="_Hlk52906336"/>
      <w:r w:rsidRPr="005B69F6">
        <w:rPr>
          <w:rFonts w:ascii="Arial" w:eastAsia="MS Mincho" w:hAnsi="Arial" w:cs="Arial"/>
          <w:b/>
          <w:bCs/>
          <w:sz w:val="18"/>
          <w:szCs w:val="18"/>
          <w:lang w:eastAsia="ja-JP"/>
        </w:rPr>
        <w:lastRenderedPageBreak/>
        <w:t>Table 4: Serotype</w:t>
      </w:r>
      <w:r w:rsidRPr="005B69F6">
        <w:rPr>
          <w:rFonts w:ascii="Arial" w:eastAsia="MS Mincho" w:hAnsi="Arial" w:cs="Arial"/>
          <w:b/>
          <w:bCs/>
          <w:sz w:val="18"/>
          <w:szCs w:val="18"/>
          <w:lang w:eastAsia="ja-JP"/>
        </w:rPr>
        <w:noBreakHyphen/>
        <w:t xml:space="preserve">Specific OPA GMTs in Pneumococcal Vaccine-Naïve Adults 18-49 Years of Age </w:t>
      </w:r>
      <w:proofErr w:type="gramStart"/>
      <w:r w:rsidRPr="005B69F6">
        <w:rPr>
          <w:rFonts w:ascii="Arial" w:eastAsia="MS Mincho" w:hAnsi="Arial" w:cs="Arial"/>
          <w:b/>
          <w:bCs/>
          <w:sz w:val="18"/>
          <w:szCs w:val="18"/>
          <w:lang w:eastAsia="ja-JP"/>
        </w:rPr>
        <w:t>With</w:t>
      </w:r>
      <w:proofErr w:type="gramEnd"/>
      <w:r w:rsidRPr="005B69F6">
        <w:rPr>
          <w:rFonts w:ascii="Arial" w:eastAsia="MS Mincho" w:hAnsi="Arial" w:cs="Arial"/>
          <w:b/>
          <w:bCs/>
          <w:sz w:val="18"/>
          <w:szCs w:val="18"/>
          <w:lang w:eastAsia="ja-JP"/>
        </w:rPr>
        <w:t xml:space="preserve"> or Without Risk Factors for Pneumococcal Disease (Protocol 017)</w:t>
      </w:r>
    </w:p>
    <w:p w14:paraId="0A0D1BA6" w14:textId="77777777" w:rsidR="007C2932" w:rsidRPr="005B69F6" w:rsidRDefault="007C2932" w:rsidP="0019693E">
      <w:pPr>
        <w:keepNext/>
        <w:keepLines/>
        <w:widowControl/>
        <w:autoSpaceDE w:val="0"/>
        <w:autoSpaceDN w:val="0"/>
        <w:jc w:val="both"/>
        <w:rPr>
          <w:rFonts w:ascii="Arial" w:eastAsia="MS Mincho" w:hAnsi="Arial" w:cs="Arial"/>
          <w:sz w:val="18"/>
          <w:szCs w:val="18"/>
          <w:lang w:eastAsia="ja-JP"/>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38"/>
        <w:gridCol w:w="1260"/>
        <w:gridCol w:w="1761"/>
        <w:gridCol w:w="939"/>
        <w:gridCol w:w="1350"/>
        <w:gridCol w:w="1641"/>
      </w:tblGrid>
      <w:tr w:rsidR="007C2932" w:rsidRPr="005B69F6" w14:paraId="4C6E164C" w14:textId="77777777" w:rsidTr="007C2932">
        <w:tc>
          <w:tcPr>
            <w:tcW w:w="1487" w:type="dxa"/>
            <w:shd w:val="clear" w:color="auto" w:fill="auto"/>
          </w:tcPr>
          <w:p w14:paraId="33EA66FA"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Pneumococcal</w:t>
            </w:r>
          </w:p>
          <w:p w14:paraId="427D5D1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b/>
                <w:bCs/>
                <w:sz w:val="18"/>
                <w:szCs w:val="18"/>
                <w:lang w:eastAsia="ja-JP"/>
              </w:rPr>
              <w:t>Serotype</w:t>
            </w:r>
          </w:p>
        </w:tc>
        <w:tc>
          <w:tcPr>
            <w:tcW w:w="3959" w:type="dxa"/>
            <w:gridSpan w:val="3"/>
            <w:shd w:val="clear" w:color="auto" w:fill="auto"/>
          </w:tcPr>
          <w:p w14:paraId="5E68EDC8" w14:textId="2A366359" w:rsidR="007C2932" w:rsidRPr="005B69F6" w:rsidRDefault="003056A9" w:rsidP="0019693E">
            <w:pPr>
              <w:keepNext/>
              <w:keepLines/>
              <w:autoSpaceDE w:val="0"/>
              <w:autoSpaceDN w:val="0"/>
              <w:adjustRightInd w:val="0"/>
              <w:jc w:val="center"/>
              <w:rPr>
                <w:rFonts w:ascii="Arial" w:eastAsia="MS Mincho" w:hAnsi="Arial" w:cs="Arial"/>
                <w:b/>
                <w:bCs/>
                <w:sz w:val="18"/>
                <w:szCs w:val="18"/>
                <w:lang w:eastAsia="ja-JP"/>
              </w:rPr>
            </w:pPr>
            <w:r>
              <w:rPr>
                <w:rFonts w:ascii="Arial" w:eastAsia="MS Mincho" w:hAnsi="Arial" w:cs="Arial"/>
                <w:b/>
                <w:bCs/>
                <w:sz w:val="18"/>
                <w:szCs w:val="18"/>
                <w:lang w:eastAsia="ja-JP"/>
              </w:rPr>
              <w:t>VAXNEUVANCE</w:t>
            </w:r>
          </w:p>
          <w:p w14:paraId="7A76F4D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b/>
                <w:bCs/>
                <w:sz w:val="18"/>
                <w:szCs w:val="18"/>
                <w:lang w:eastAsia="ja-JP"/>
              </w:rPr>
              <w:t>(N = 1,133)</w:t>
            </w:r>
          </w:p>
        </w:tc>
        <w:tc>
          <w:tcPr>
            <w:tcW w:w="3930" w:type="dxa"/>
            <w:gridSpan w:val="3"/>
            <w:shd w:val="clear" w:color="auto" w:fill="auto"/>
          </w:tcPr>
          <w:p w14:paraId="409C88A5" w14:textId="142106B8" w:rsidR="007C2932" w:rsidRPr="005B69F6" w:rsidRDefault="00D331B1"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Prevenar</w:t>
            </w:r>
            <w:r w:rsidR="007C2932" w:rsidRPr="005B69F6">
              <w:rPr>
                <w:rFonts w:ascii="Arial" w:eastAsia="MS Mincho" w:hAnsi="Arial" w:cs="Arial"/>
                <w:b/>
                <w:bCs/>
                <w:sz w:val="18"/>
                <w:szCs w:val="18"/>
                <w:lang w:eastAsia="ja-JP"/>
              </w:rPr>
              <w:t> 13</w:t>
            </w:r>
          </w:p>
          <w:p w14:paraId="5032EAF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b/>
                <w:bCs/>
                <w:sz w:val="18"/>
                <w:szCs w:val="18"/>
                <w:lang w:eastAsia="ja-JP"/>
              </w:rPr>
              <w:t>(N = 379)</w:t>
            </w:r>
          </w:p>
        </w:tc>
      </w:tr>
      <w:tr w:rsidR="007C2932" w:rsidRPr="005B69F6" w14:paraId="725FBB3E" w14:textId="77777777" w:rsidTr="007C2932">
        <w:tc>
          <w:tcPr>
            <w:tcW w:w="1487" w:type="dxa"/>
            <w:shd w:val="clear" w:color="auto" w:fill="auto"/>
          </w:tcPr>
          <w:p w14:paraId="365A3D6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p>
        </w:tc>
        <w:tc>
          <w:tcPr>
            <w:tcW w:w="938" w:type="dxa"/>
            <w:shd w:val="clear" w:color="auto" w:fill="auto"/>
          </w:tcPr>
          <w:p w14:paraId="3EF23916"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w:t>
            </w:r>
          </w:p>
        </w:tc>
        <w:tc>
          <w:tcPr>
            <w:tcW w:w="1260" w:type="dxa"/>
            <w:shd w:val="clear" w:color="auto" w:fill="auto"/>
          </w:tcPr>
          <w:p w14:paraId="6D84E252"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Observed GMT</w:t>
            </w:r>
          </w:p>
        </w:tc>
        <w:tc>
          <w:tcPr>
            <w:tcW w:w="1761" w:type="dxa"/>
            <w:shd w:val="clear" w:color="auto" w:fill="auto"/>
          </w:tcPr>
          <w:p w14:paraId="1DEB621F"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95% CI*</w:t>
            </w:r>
          </w:p>
        </w:tc>
        <w:tc>
          <w:tcPr>
            <w:tcW w:w="939" w:type="dxa"/>
            <w:shd w:val="clear" w:color="auto" w:fill="auto"/>
          </w:tcPr>
          <w:p w14:paraId="6A1FFC53"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w:t>
            </w:r>
          </w:p>
        </w:tc>
        <w:tc>
          <w:tcPr>
            <w:tcW w:w="1350" w:type="dxa"/>
            <w:shd w:val="clear" w:color="auto" w:fill="auto"/>
          </w:tcPr>
          <w:p w14:paraId="681FFDC7"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Observed GMT</w:t>
            </w:r>
          </w:p>
        </w:tc>
        <w:tc>
          <w:tcPr>
            <w:tcW w:w="1641" w:type="dxa"/>
            <w:shd w:val="clear" w:color="auto" w:fill="auto"/>
          </w:tcPr>
          <w:p w14:paraId="2E579E46"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95% CI*</w:t>
            </w:r>
          </w:p>
        </w:tc>
      </w:tr>
      <w:tr w:rsidR="007C2932" w:rsidRPr="005B69F6" w14:paraId="3FC9EE14" w14:textId="77777777" w:rsidTr="007C2932">
        <w:tc>
          <w:tcPr>
            <w:tcW w:w="9376" w:type="dxa"/>
            <w:gridSpan w:val="7"/>
            <w:shd w:val="clear" w:color="auto" w:fill="auto"/>
          </w:tcPr>
          <w:p w14:paraId="5D9F353B" w14:textId="77777777" w:rsidR="007C2932" w:rsidRPr="005B69F6" w:rsidRDefault="007C2932" w:rsidP="0019693E">
            <w:pPr>
              <w:keepNext/>
              <w:keepLines/>
              <w:widowControl/>
              <w:autoSpaceDE w:val="0"/>
              <w:autoSpaceDN w:val="0"/>
              <w:rPr>
                <w:rFonts w:ascii="Arial" w:eastAsia="MS Mincho" w:hAnsi="Arial" w:cs="Arial"/>
                <w:sz w:val="18"/>
                <w:szCs w:val="18"/>
                <w:lang w:eastAsia="ja-JP"/>
              </w:rPr>
            </w:pPr>
            <w:r w:rsidRPr="005B69F6">
              <w:rPr>
                <w:rFonts w:ascii="Arial" w:eastAsia="MS Mincho" w:hAnsi="Arial" w:cs="Arial"/>
                <w:sz w:val="18"/>
                <w:szCs w:val="18"/>
                <w:lang w:eastAsia="ja-JP"/>
              </w:rPr>
              <w:t>13 Shared Serotypes</w:t>
            </w:r>
          </w:p>
        </w:tc>
      </w:tr>
      <w:tr w:rsidR="007C2932" w:rsidRPr="005B69F6" w14:paraId="2D07C18D" w14:textId="77777777" w:rsidTr="007C2932">
        <w:tc>
          <w:tcPr>
            <w:tcW w:w="1487" w:type="dxa"/>
            <w:shd w:val="clear" w:color="auto" w:fill="auto"/>
          </w:tcPr>
          <w:p w14:paraId="40BF4058"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w:t>
            </w:r>
          </w:p>
        </w:tc>
        <w:tc>
          <w:tcPr>
            <w:tcW w:w="938" w:type="dxa"/>
            <w:shd w:val="clear" w:color="auto" w:fill="auto"/>
          </w:tcPr>
          <w:p w14:paraId="041449F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1019</w:t>
            </w:r>
          </w:p>
        </w:tc>
        <w:tc>
          <w:tcPr>
            <w:tcW w:w="1260" w:type="dxa"/>
            <w:shd w:val="clear" w:color="auto" w:fill="auto"/>
          </w:tcPr>
          <w:p w14:paraId="19661B9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268.6</w:t>
            </w:r>
          </w:p>
        </w:tc>
        <w:tc>
          <w:tcPr>
            <w:tcW w:w="1761" w:type="dxa"/>
            <w:shd w:val="clear" w:color="auto" w:fill="auto"/>
          </w:tcPr>
          <w:p w14:paraId="7D3E272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(243.7, 296.0)</w:t>
            </w:r>
          </w:p>
        </w:tc>
        <w:tc>
          <w:tcPr>
            <w:tcW w:w="939" w:type="dxa"/>
            <w:shd w:val="clear" w:color="auto" w:fill="auto"/>
          </w:tcPr>
          <w:p w14:paraId="5472050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341</w:t>
            </w:r>
          </w:p>
        </w:tc>
        <w:tc>
          <w:tcPr>
            <w:tcW w:w="1350" w:type="dxa"/>
            <w:shd w:val="clear" w:color="auto" w:fill="auto"/>
          </w:tcPr>
          <w:p w14:paraId="35388895"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267.2</w:t>
            </w:r>
          </w:p>
        </w:tc>
        <w:tc>
          <w:tcPr>
            <w:tcW w:w="1641" w:type="dxa"/>
            <w:shd w:val="clear" w:color="auto" w:fill="auto"/>
          </w:tcPr>
          <w:p w14:paraId="54DC9332"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(220.4, 323.9)</w:t>
            </w:r>
          </w:p>
        </w:tc>
      </w:tr>
      <w:tr w:rsidR="007C2932" w:rsidRPr="005B69F6" w14:paraId="0BC5210E" w14:textId="77777777" w:rsidTr="007C2932">
        <w:tc>
          <w:tcPr>
            <w:tcW w:w="1487" w:type="dxa"/>
            <w:shd w:val="clear" w:color="auto" w:fill="auto"/>
          </w:tcPr>
          <w:p w14:paraId="1D9916A4"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w:t>
            </w:r>
          </w:p>
        </w:tc>
        <w:tc>
          <w:tcPr>
            <w:tcW w:w="938" w:type="dxa"/>
            <w:shd w:val="clear" w:color="auto" w:fill="auto"/>
          </w:tcPr>
          <w:p w14:paraId="150651F2"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1004</w:t>
            </w:r>
          </w:p>
        </w:tc>
        <w:tc>
          <w:tcPr>
            <w:tcW w:w="1260" w:type="dxa"/>
            <w:shd w:val="clear" w:color="auto" w:fill="auto"/>
          </w:tcPr>
          <w:p w14:paraId="2E826584"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199.3</w:t>
            </w:r>
          </w:p>
        </w:tc>
        <w:tc>
          <w:tcPr>
            <w:tcW w:w="1761" w:type="dxa"/>
            <w:shd w:val="clear" w:color="auto" w:fill="auto"/>
          </w:tcPr>
          <w:p w14:paraId="5B7D400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(184.6, 215.2)</w:t>
            </w:r>
          </w:p>
        </w:tc>
        <w:tc>
          <w:tcPr>
            <w:tcW w:w="939" w:type="dxa"/>
            <w:shd w:val="clear" w:color="auto" w:fill="auto"/>
          </w:tcPr>
          <w:p w14:paraId="6F0F67B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340</w:t>
            </w:r>
          </w:p>
        </w:tc>
        <w:tc>
          <w:tcPr>
            <w:tcW w:w="1350" w:type="dxa"/>
            <w:shd w:val="clear" w:color="auto" w:fill="auto"/>
          </w:tcPr>
          <w:p w14:paraId="3D0C0498"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150.6</w:t>
            </w:r>
          </w:p>
        </w:tc>
        <w:tc>
          <w:tcPr>
            <w:tcW w:w="1641" w:type="dxa"/>
            <w:shd w:val="clear" w:color="auto" w:fill="auto"/>
          </w:tcPr>
          <w:p w14:paraId="11191EF4"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(130.6, 173.8)</w:t>
            </w:r>
          </w:p>
        </w:tc>
      </w:tr>
      <w:tr w:rsidR="007C2932" w:rsidRPr="005B69F6" w14:paraId="7318F3C0" w14:textId="77777777" w:rsidTr="007C2932">
        <w:tc>
          <w:tcPr>
            <w:tcW w:w="1487" w:type="dxa"/>
            <w:shd w:val="clear" w:color="auto" w:fill="auto"/>
          </w:tcPr>
          <w:p w14:paraId="2491C23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4</w:t>
            </w:r>
          </w:p>
        </w:tc>
        <w:tc>
          <w:tcPr>
            <w:tcW w:w="938" w:type="dxa"/>
            <w:shd w:val="clear" w:color="auto" w:fill="auto"/>
          </w:tcPr>
          <w:p w14:paraId="06D4B7A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1016</w:t>
            </w:r>
          </w:p>
        </w:tc>
        <w:tc>
          <w:tcPr>
            <w:tcW w:w="1260" w:type="dxa"/>
            <w:shd w:val="clear" w:color="auto" w:fill="auto"/>
          </w:tcPr>
          <w:p w14:paraId="299695A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1416.0</w:t>
            </w:r>
          </w:p>
        </w:tc>
        <w:tc>
          <w:tcPr>
            <w:tcW w:w="1761" w:type="dxa"/>
            <w:shd w:val="clear" w:color="auto" w:fill="auto"/>
          </w:tcPr>
          <w:p w14:paraId="10F7F78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(1308.9, 1531.8)</w:t>
            </w:r>
          </w:p>
        </w:tc>
        <w:tc>
          <w:tcPr>
            <w:tcW w:w="939" w:type="dxa"/>
            <w:shd w:val="clear" w:color="auto" w:fill="auto"/>
          </w:tcPr>
          <w:p w14:paraId="13E05B1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342</w:t>
            </w:r>
          </w:p>
        </w:tc>
        <w:tc>
          <w:tcPr>
            <w:tcW w:w="1350" w:type="dxa"/>
            <w:shd w:val="clear" w:color="auto" w:fill="auto"/>
          </w:tcPr>
          <w:p w14:paraId="2113B27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2576.1</w:t>
            </w:r>
          </w:p>
        </w:tc>
        <w:tc>
          <w:tcPr>
            <w:tcW w:w="1641" w:type="dxa"/>
            <w:shd w:val="clear" w:color="auto" w:fill="auto"/>
          </w:tcPr>
          <w:p w14:paraId="0BB3282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(2278.0, 2913.2)</w:t>
            </w:r>
          </w:p>
        </w:tc>
      </w:tr>
      <w:tr w:rsidR="007C2932" w:rsidRPr="005B69F6" w14:paraId="1094F4A8" w14:textId="77777777" w:rsidTr="007C2932">
        <w:tc>
          <w:tcPr>
            <w:tcW w:w="1487" w:type="dxa"/>
            <w:shd w:val="clear" w:color="auto" w:fill="auto"/>
          </w:tcPr>
          <w:p w14:paraId="1F4C0FC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w:t>
            </w:r>
          </w:p>
        </w:tc>
        <w:tc>
          <w:tcPr>
            <w:tcW w:w="938" w:type="dxa"/>
            <w:shd w:val="clear" w:color="auto" w:fill="auto"/>
          </w:tcPr>
          <w:p w14:paraId="4406F97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1018</w:t>
            </w:r>
          </w:p>
        </w:tc>
        <w:tc>
          <w:tcPr>
            <w:tcW w:w="1260" w:type="dxa"/>
            <w:shd w:val="clear" w:color="auto" w:fill="auto"/>
          </w:tcPr>
          <w:p w14:paraId="5A9D742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564.8</w:t>
            </w:r>
          </w:p>
        </w:tc>
        <w:tc>
          <w:tcPr>
            <w:tcW w:w="1761" w:type="dxa"/>
            <w:shd w:val="clear" w:color="auto" w:fill="auto"/>
          </w:tcPr>
          <w:p w14:paraId="657E6DF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(512.7, 622.2)</w:t>
            </w:r>
          </w:p>
        </w:tc>
        <w:tc>
          <w:tcPr>
            <w:tcW w:w="939" w:type="dxa"/>
            <w:shd w:val="clear" w:color="auto" w:fill="auto"/>
          </w:tcPr>
          <w:p w14:paraId="3E4D562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37EDE8B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731.1</w:t>
            </w:r>
          </w:p>
        </w:tc>
        <w:tc>
          <w:tcPr>
            <w:tcW w:w="1641" w:type="dxa"/>
            <w:shd w:val="clear" w:color="auto" w:fill="auto"/>
          </w:tcPr>
          <w:p w14:paraId="3D0554D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(613.6, 871.0)</w:t>
            </w:r>
          </w:p>
        </w:tc>
      </w:tr>
      <w:tr w:rsidR="007C2932" w:rsidRPr="005B69F6" w14:paraId="771E325A" w14:textId="77777777" w:rsidTr="007C2932">
        <w:tc>
          <w:tcPr>
            <w:tcW w:w="1487" w:type="dxa"/>
            <w:shd w:val="clear" w:color="auto" w:fill="auto"/>
          </w:tcPr>
          <w:p w14:paraId="3D7A931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6A</w:t>
            </w:r>
          </w:p>
        </w:tc>
        <w:tc>
          <w:tcPr>
            <w:tcW w:w="938" w:type="dxa"/>
            <w:shd w:val="clear" w:color="auto" w:fill="auto"/>
          </w:tcPr>
          <w:p w14:paraId="226AC7A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1006</w:t>
            </w:r>
          </w:p>
        </w:tc>
        <w:tc>
          <w:tcPr>
            <w:tcW w:w="1260" w:type="dxa"/>
            <w:shd w:val="clear" w:color="auto" w:fill="auto"/>
          </w:tcPr>
          <w:p w14:paraId="757B399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12928.8</w:t>
            </w:r>
          </w:p>
        </w:tc>
        <w:tc>
          <w:tcPr>
            <w:tcW w:w="1761" w:type="dxa"/>
            <w:shd w:val="clear" w:color="auto" w:fill="auto"/>
          </w:tcPr>
          <w:p w14:paraId="135E79A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(11923.4, 14019.0)</w:t>
            </w:r>
          </w:p>
        </w:tc>
        <w:tc>
          <w:tcPr>
            <w:tcW w:w="939" w:type="dxa"/>
            <w:shd w:val="clear" w:color="auto" w:fill="auto"/>
          </w:tcPr>
          <w:p w14:paraId="2A6ED7D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335</w:t>
            </w:r>
          </w:p>
        </w:tc>
        <w:tc>
          <w:tcPr>
            <w:tcW w:w="1350" w:type="dxa"/>
            <w:shd w:val="clear" w:color="auto" w:fill="auto"/>
          </w:tcPr>
          <w:p w14:paraId="795BEFF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11282.4</w:t>
            </w:r>
          </w:p>
        </w:tc>
        <w:tc>
          <w:tcPr>
            <w:tcW w:w="1641" w:type="dxa"/>
            <w:shd w:val="clear" w:color="auto" w:fill="auto"/>
          </w:tcPr>
          <w:p w14:paraId="571260F3"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(9718.8, 13097.5)</w:t>
            </w:r>
          </w:p>
        </w:tc>
      </w:tr>
      <w:tr w:rsidR="007C2932" w:rsidRPr="005B69F6" w14:paraId="191B079F" w14:textId="77777777" w:rsidTr="007C2932">
        <w:tc>
          <w:tcPr>
            <w:tcW w:w="1487" w:type="dxa"/>
            <w:shd w:val="clear" w:color="auto" w:fill="auto"/>
          </w:tcPr>
          <w:p w14:paraId="5C7E8BF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6B</w:t>
            </w:r>
          </w:p>
        </w:tc>
        <w:tc>
          <w:tcPr>
            <w:tcW w:w="938" w:type="dxa"/>
            <w:shd w:val="clear" w:color="auto" w:fill="auto"/>
          </w:tcPr>
          <w:p w14:paraId="7DCDA5A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1014</w:t>
            </w:r>
          </w:p>
        </w:tc>
        <w:tc>
          <w:tcPr>
            <w:tcW w:w="1260" w:type="dxa"/>
            <w:shd w:val="clear" w:color="auto" w:fill="auto"/>
          </w:tcPr>
          <w:p w14:paraId="5558E6B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10336.9</w:t>
            </w:r>
          </w:p>
        </w:tc>
        <w:tc>
          <w:tcPr>
            <w:tcW w:w="1761" w:type="dxa"/>
            <w:shd w:val="clear" w:color="auto" w:fill="auto"/>
          </w:tcPr>
          <w:p w14:paraId="4E97B573"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(9649.4, 11073.4)</w:t>
            </w:r>
          </w:p>
        </w:tc>
        <w:tc>
          <w:tcPr>
            <w:tcW w:w="939" w:type="dxa"/>
            <w:shd w:val="clear" w:color="auto" w:fill="auto"/>
          </w:tcPr>
          <w:p w14:paraId="2D18D4B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342</w:t>
            </w:r>
          </w:p>
        </w:tc>
        <w:tc>
          <w:tcPr>
            <w:tcW w:w="1350" w:type="dxa"/>
            <w:shd w:val="clear" w:color="auto" w:fill="auto"/>
          </w:tcPr>
          <w:p w14:paraId="2CA6604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6995.7</w:t>
            </w:r>
          </w:p>
        </w:tc>
        <w:tc>
          <w:tcPr>
            <w:tcW w:w="1641" w:type="dxa"/>
            <w:shd w:val="clear" w:color="auto" w:fill="auto"/>
          </w:tcPr>
          <w:p w14:paraId="05C95DA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(6024.7, 8123.2)</w:t>
            </w:r>
          </w:p>
        </w:tc>
      </w:tr>
      <w:tr w:rsidR="007C2932" w:rsidRPr="005B69F6" w14:paraId="475B5509" w14:textId="77777777" w:rsidTr="007C2932">
        <w:tc>
          <w:tcPr>
            <w:tcW w:w="1487" w:type="dxa"/>
            <w:shd w:val="clear" w:color="auto" w:fill="auto"/>
          </w:tcPr>
          <w:p w14:paraId="3D000F7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7F</w:t>
            </w:r>
          </w:p>
        </w:tc>
        <w:tc>
          <w:tcPr>
            <w:tcW w:w="938" w:type="dxa"/>
            <w:shd w:val="clear" w:color="auto" w:fill="auto"/>
          </w:tcPr>
          <w:p w14:paraId="465E249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1019</w:t>
            </w:r>
          </w:p>
        </w:tc>
        <w:tc>
          <w:tcPr>
            <w:tcW w:w="1260" w:type="dxa"/>
            <w:shd w:val="clear" w:color="auto" w:fill="auto"/>
          </w:tcPr>
          <w:p w14:paraId="24AF99D1"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5756.4</w:t>
            </w:r>
          </w:p>
        </w:tc>
        <w:tc>
          <w:tcPr>
            <w:tcW w:w="1761" w:type="dxa"/>
            <w:shd w:val="clear" w:color="auto" w:fill="auto"/>
          </w:tcPr>
          <w:p w14:paraId="7FACA74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(5410.4, 6124.6)</w:t>
            </w:r>
          </w:p>
        </w:tc>
        <w:tc>
          <w:tcPr>
            <w:tcW w:w="939" w:type="dxa"/>
            <w:shd w:val="clear" w:color="auto" w:fill="auto"/>
          </w:tcPr>
          <w:p w14:paraId="1D9A9CD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342</w:t>
            </w:r>
          </w:p>
        </w:tc>
        <w:tc>
          <w:tcPr>
            <w:tcW w:w="1350" w:type="dxa"/>
            <w:shd w:val="clear" w:color="auto" w:fill="auto"/>
          </w:tcPr>
          <w:p w14:paraId="4F7FF81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7588.9</w:t>
            </w:r>
          </w:p>
        </w:tc>
        <w:tc>
          <w:tcPr>
            <w:tcW w:w="1641" w:type="dxa"/>
            <w:shd w:val="clear" w:color="auto" w:fill="auto"/>
          </w:tcPr>
          <w:p w14:paraId="7B5D5A3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(6775.3, 8500.2)</w:t>
            </w:r>
          </w:p>
        </w:tc>
      </w:tr>
      <w:tr w:rsidR="007C2932" w:rsidRPr="005B69F6" w14:paraId="245B3A28" w14:textId="77777777" w:rsidTr="007C2932">
        <w:tc>
          <w:tcPr>
            <w:tcW w:w="1487" w:type="dxa"/>
            <w:shd w:val="clear" w:color="auto" w:fill="auto"/>
          </w:tcPr>
          <w:p w14:paraId="15DA1EC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9V</w:t>
            </w:r>
          </w:p>
        </w:tc>
        <w:tc>
          <w:tcPr>
            <w:tcW w:w="938" w:type="dxa"/>
            <w:shd w:val="clear" w:color="auto" w:fill="auto"/>
          </w:tcPr>
          <w:p w14:paraId="6BDA757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1015</w:t>
            </w:r>
          </w:p>
        </w:tc>
        <w:tc>
          <w:tcPr>
            <w:tcW w:w="1260" w:type="dxa"/>
            <w:shd w:val="clear" w:color="auto" w:fill="auto"/>
          </w:tcPr>
          <w:p w14:paraId="36D9BF55"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3355.1</w:t>
            </w:r>
          </w:p>
        </w:tc>
        <w:tc>
          <w:tcPr>
            <w:tcW w:w="1761" w:type="dxa"/>
            <w:shd w:val="clear" w:color="auto" w:fill="auto"/>
          </w:tcPr>
          <w:p w14:paraId="5A8DFD03"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(3135.4, 3590.1)</w:t>
            </w:r>
          </w:p>
        </w:tc>
        <w:tc>
          <w:tcPr>
            <w:tcW w:w="939" w:type="dxa"/>
            <w:shd w:val="clear" w:color="auto" w:fill="auto"/>
          </w:tcPr>
          <w:p w14:paraId="143053D4"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1D0CA98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3983.7</w:t>
            </w:r>
          </w:p>
        </w:tc>
        <w:tc>
          <w:tcPr>
            <w:tcW w:w="1641" w:type="dxa"/>
            <w:shd w:val="clear" w:color="auto" w:fill="auto"/>
          </w:tcPr>
          <w:p w14:paraId="09D0A51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(3557.8, 4460.7)</w:t>
            </w:r>
          </w:p>
        </w:tc>
      </w:tr>
      <w:tr w:rsidR="007C2932" w:rsidRPr="005B69F6" w14:paraId="6872BA1E" w14:textId="77777777" w:rsidTr="007C2932">
        <w:tc>
          <w:tcPr>
            <w:tcW w:w="1487" w:type="dxa"/>
            <w:shd w:val="clear" w:color="auto" w:fill="auto"/>
          </w:tcPr>
          <w:p w14:paraId="5AD2C43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14</w:t>
            </w:r>
          </w:p>
        </w:tc>
        <w:tc>
          <w:tcPr>
            <w:tcW w:w="938" w:type="dxa"/>
            <w:shd w:val="clear" w:color="auto" w:fill="auto"/>
          </w:tcPr>
          <w:p w14:paraId="62BEF202"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1016</w:t>
            </w:r>
          </w:p>
        </w:tc>
        <w:tc>
          <w:tcPr>
            <w:tcW w:w="1260" w:type="dxa"/>
            <w:shd w:val="clear" w:color="auto" w:fill="auto"/>
          </w:tcPr>
          <w:p w14:paraId="52572A1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5228.9</w:t>
            </w:r>
          </w:p>
        </w:tc>
        <w:tc>
          <w:tcPr>
            <w:tcW w:w="1761" w:type="dxa"/>
            <w:shd w:val="clear" w:color="auto" w:fill="auto"/>
          </w:tcPr>
          <w:p w14:paraId="74F7903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(4847.6, 5640.2)</w:t>
            </w:r>
          </w:p>
        </w:tc>
        <w:tc>
          <w:tcPr>
            <w:tcW w:w="939" w:type="dxa"/>
            <w:shd w:val="clear" w:color="auto" w:fill="auto"/>
          </w:tcPr>
          <w:p w14:paraId="5865A87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4EFBABB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5889.8</w:t>
            </w:r>
          </w:p>
        </w:tc>
        <w:tc>
          <w:tcPr>
            <w:tcW w:w="1641" w:type="dxa"/>
            <w:shd w:val="clear" w:color="auto" w:fill="auto"/>
          </w:tcPr>
          <w:p w14:paraId="27F7CCA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(5218.2, 6647.8)</w:t>
            </w:r>
          </w:p>
        </w:tc>
      </w:tr>
      <w:tr w:rsidR="007C2932" w:rsidRPr="005B69F6" w14:paraId="1788EDBE" w14:textId="77777777" w:rsidTr="007C2932">
        <w:tc>
          <w:tcPr>
            <w:tcW w:w="1487" w:type="dxa"/>
            <w:shd w:val="clear" w:color="auto" w:fill="auto"/>
          </w:tcPr>
          <w:p w14:paraId="145B0B7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18C</w:t>
            </w:r>
          </w:p>
        </w:tc>
        <w:tc>
          <w:tcPr>
            <w:tcW w:w="938" w:type="dxa"/>
            <w:shd w:val="clear" w:color="auto" w:fill="auto"/>
          </w:tcPr>
          <w:p w14:paraId="03D44DD2"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1014</w:t>
            </w:r>
          </w:p>
        </w:tc>
        <w:tc>
          <w:tcPr>
            <w:tcW w:w="1260" w:type="dxa"/>
            <w:shd w:val="clear" w:color="auto" w:fill="auto"/>
          </w:tcPr>
          <w:p w14:paraId="02BA267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5709.0</w:t>
            </w:r>
          </w:p>
        </w:tc>
        <w:tc>
          <w:tcPr>
            <w:tcW w:w="1761" w:type="dxa"/>
            <w:shd w:val="clear" w:color="auto" w:fill="auto"/>
          </w:tcPr>
          <w:p w14:paraId="3A6361E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(5331.1, 6113.6)</w:t>
            </w:r>
          </w:p>
        </w:tc>
        <w:tc>
          <w:tcPr>
            <w:tcW w:w="939" w:type="dxa"/>
            <w:shd w:val="clear" w:color="auto" w:fill="auto"/>
          </w:tcPr>
          <w:p w14:paraId="11AFA241"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19F05F1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3063.2</w:t>
            </w:r>
          </w:p>
        </w:tc>
        <w:tc>
          <w:tcPr>
            <w:tcW w:w="1641" w:type="dxa"/>
            <w:shd w:val="clear" w:color="auto" w:fill="auto"/>
          </w:tcPr>
          <w:p w14:paraId="357D008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(2699.8, 3475.5)</w:t>
            </w:r>
          </w:p>
        </w:tc>
      </w:tr>
      <w:tr w:rsidR="007C2932" w:rsidRPr="005B69F6" w14:paraId="181C3519" w14:textId="77777777" w:rsidTr="007C2932">
        <w:tc>
          <w:tcPr>
            <w:tcW w:w="1487" w:type="dxa"/>
            <w:shd w:val="clear" w:color="auto" w:fill="auto"/>
          </w:tcPr>
          <w:p w14:paraId="7B15512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19A</w:t>
            </w:r>
          </w:p>
        </w:tc>
        <w:tc>
          <w:tcPr>
            <w:tcW w:w="938" w:type="dxa"/>
            <w:shd w:val="clear" w:color="auto" w:fill="auto"/>
          </w:tcPr>
          <w:p w14:paraId="7BD87CF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1015</w:t>
            </w:r>
          </w:p>
        </w:tc>
        <w:tc>
          <w:tcPr>
            <w:tcW w:w="1260" w:type="dxa"/>
            <w:shd w:val="clear" w:color="auto" w:fill="auto"/>
          </w:tcPr>
          <w:p w14:paraId="3B402578"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5369.9</w:t>
            </w:r>
          </w:p>
        </w:tc>
        <w:tc>
          <w:tcPr>
            <w:tcW w:w="1761" w:type="dxa"/>
            <w:shd w:val="clear" w:color="auto" w:fill="auto"/>
          </w:tcPr>
          <w:p w14:paraId="26EA368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(5017.7, 5746.8)</w:t>
            </w:r>
          </w:p>
        </w:tc>
        <w:tc>
          <w:tcPr>
            <w:tcW w:w="939" w:type="dxa"/>
            <w:shd w:val="clear" w:color="auto" w:fill="auto"/>
          </w:tcPr>
          <w:p w14:paraId="023B7D6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3F471C35"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5888.0</w:t>
            </w:r>
          </w:p>
        </w:tc>
        <w:tc>
          <w:tcPr>
            <w:tcW w:w="1641" w:type="dxa"/>
            <w:shd w:val="clear" w:color="auto" w:fill="auto"/>
          </w:tcPr>
          <w:p w14:paraId="2611E8C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(5228.2, 6631.0)</w:t>
            </w:r>
          </w:p>
        </w:tc>
      </w:tr>
      <w:tr w:rsidR="007C2932" w:rsidRPr="005B69F6" w14:paraId="2E0C4087" w14:textId="77777777" w:rsidTr="007C2932">
        <w:tc>
          <w:tcPr>
            <w:tcW w:w="1487" w:type="dxa"/>
            <w:shd w:val="clear" w:color="auto" w:fill="auto"/>
          </w:tcPr>
          <w:p w14:paraId="0D2DBDE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19F</w:t>
            </w:r>
          </w:p>
        </w:tc>
        <w:tc>
          <w:tcPr>
            <w:tcW w:w="938" w:type="dxa"/>
            <w:shd w:val="clear" w:color="auto" w:fill="auto"/>
          </w:tcPr>
          <w:p w14:paraId="2EDAF4C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1018</w:t>
            </w:r>
          </w:p>
        </w:tc>
        <w:tc>
          <w:tcPr>
            <w:tcW w:w="1260" w:type="dxa"/>
            <w:shd w:val="clear" w:color="auto" w:fill="auto"/>
          </w:tcPr>
          <w:p w14:paraId="20ED3011"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3266.3</w:t>
            </w:r>
          </w:p>
        </w:tc>
        <w:tc>
          <w:tcPr>
            <w:tcW w:w="1761" w:type="dxa"/>
            <w:shd w:val="clear" w:color="auto" w:fill="auto"/>
          </w:tcPr>
          <w:p w14:paraId="4659B16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(3064.4, 3481.4)</w:t>
            </w:r>
          </w:p>
        </w:tc>
        <w:tc>
          <w:tcPr>
            <w:tcW w:w="939" w:type="dxa"/>
            <w:shd w:val="clear" w:color="auto" w:fill="auto"/>
          </w:tcPr>
          <w:p w14:paraId="79F6885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01DA457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3272.7</w:t>
            </w:r>
          </w:p>
        </w:tc>
        <w:tc>
          <w:tcPr>
            <w:tcW w:w="1641" w:type="dxa"/>
            <w:shd w:val="clear" w:color="auto" w:fill="auto"/>
          </w:tcPr>
          <w:p w14:paraId="2DA8568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(2948.2, 3632.9)</w:t>
            </w:r>
          </w:p>
        </w:tc>
      </w:tr>
      <w:tr w:rsidR="007C2932" w:rsidRPr="005B69F6" w14:paraId="2B32E75B" w14:textId="77777777" w:rsidTr="007C2932">
        <w:tc>
          <w:tcPr>
            <w:tcW w:w="1487" w:type="dxa"/>
            <w:shd w:val="clear" w:color="auto" w:fill="auto"/>
          </w:tcPr>
          <w:p w14:paraId="2714507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23F</w:t>
            </w:r>
          </w:p>
        </w:tc>
        <w:tc>
          <w:tcPr>
            <w:tcW w:w="938" w:type="dxa"/>
            <w:shd w:val="clear" w:color="auto" w:fill="auto"/>
          </w:tcPr>
          <w:p w14:paraId="515F9B6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1016</w:t>
            </w:r>
          </w:p>
        </w:tc>
        <w:tc>
          <w:tcPr>
            <w:tcW w:w="1260" w:type="dxa"/>
            <w:shd w:val="clear" w:color="auto" w:fill="auto"/>
          </w:tcPr>
          <w:p w14:paraId="5BD9A4C5"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4853.5</w:t>
            </w:r>
          </w:p>
        </w:tc>
        <w:tc>
          <w:tcPr>
            <w:tcW w:w="1761" w:type="dxa"/>
            <w:shd w:val="clear" w:color="auto" w:fill="auto"/>
          </w:tcPr>
          <w:p w14:paraId="4792F80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(4469.8, 5270.2)</w:t>
            </w:r>
          </w:p>
        </w:tc>
        <w:tc>
          <w:tcPr>
            <w:tcW w:w="939" w:type="dxa"/>
            <w:shd w:val="clear" w:color="auto" w:fill="auto"/>
          </w:tcPr>
          <w:p w14:paraId="6C42E66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340</w:t>
            </w:r>
          </w:p>
        </w:tc>
        <w:tc>
          <w:tcPr>
            <w:tcW w:w="1350" w:type="dxa"/>
            <w:shd w:val="clear" w:color="auto" w:fill="auto"/>
          </w:tcPr>
          <w:p w14:paraId="5D8F16C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3887.3</w:t>
            </w:r>
          </w:p>
        </w:tc>
        <w:tc>
          <w:tcPr>
            <w:tcW w:w="1641" w:type="dxa"/>
            <w:shd w:val="clear" w:color="auto" w:fill="auto"/>
          </w:tcPr>
          <w:p w14:paraId="5568A94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(3335.8, 4530.0)</w:t>
            </w:r>
          </w:p>
        </w:tc>
      </w:tr>
      <w:tr w:rsidR="007C2932" w:rsidRPr="005B69F6" w14:paraId="364C272F" w14:textId="77777777" w:rsidTr="007C2932">
        <w:tc>
          <w:tcPr>
            <w:tcW w:w="9376" w:type="dxa"/>
            <w:gridSpan w:val="7"/>
            <w:shd w:val="clear" w:color="auto" w:fill="auto"/>
          </w:tcPr>
          <w:p w14:paraId="5AE24A60" w14:textId="038E0994" w:rsidR="007C2932" w:rsidRPr="005B69F6" w:rsidRDefault="007C2932" w:rsidP="0019693E">
            <w:pPr>
              <w:keepNext/>
              <w:keepLines/>
              <w:widowControl/>
              <w:autoSpaceDE w:val="0"/>
              <w:autoSpaceDN w:val="0"/>
              <w:rPr>
                <w:rFonts w:ascii="Arial" w:eastAsia="MS Mincho" w:hAnsi="Arial" w:cs="Arial"/>
                <w:sz w:val="18"/>
                <w:szCs w:val="18"/>
                <w:lang w:eastAsia="ja-JP"/>
              </w:rPr>
            </w:pPr>
            <w:r w:rsidRPr="005B69F6">
              <w:rPr>
                <w:rFonts w:ascii="Arial" w:eastAsia="MS Mincho" w:hAnsi="Arial" w:cs="Arial"/>
                <w:sz w:val="18"/>
                <w:szCs w:val="18"/>
                <w:lang w:eastAsia="ja-JP"/>
              </w:rPr>
              <w:t xml:space="preserve">2 Serotypes Unique to </w:t>
            </w:r>
            <w:r w:rsidR="003056A9">
              <w:rPr>
                <w:rFonts w:ascii="Arial" w:eastAsia="MS Mincho" w:hAnsi="Arial" w:cs="Arial"/>
                <w:sz w:val="18"/>
                <w:szCs w:val="18"/>
                <w:lang w:eastAsia="ja-JP"/>
              </w:rPr>
              <w:t>VAXNEUVANCE</w:t>
            </w:r>
          </w:p>
        </w:tc>
      </w:tr>
      <w:tr w:rsidR="007C2932" w:rsidRPr="005B69F6" w14:paraId="6574ECBE" w14:textId="77777777" w:rsidTr="007C2932">
        <w:tc>
          <w:tcPr>
            <w:tcW w:w="1487" w:type="dxa"/>
            <w:shd w:val="clear" w:color="auto" w:fill="auto"/>
          </w:tcPr>
          <w:p w14:paraId="2287F58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22F</w:t>
            </w:r>
          </w:p>
        </w:tc>
        <w:tc>
          <w:tcPr>
            <w:tcW w:w="938" w:type="dxa"/>
            <w:shd w:val="clear" w:color="auto" w:fill="auto"/>
          </w:tcPr>
          <w:p w14:paraId="54E38334"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1005</w:t>
            </w:r>
          </w:p>
        </w:tc>
        <w:tc>
          <w:tcPr>
            <w:tcW w:w="1260" w:type="dxa"/>
            <w:shd w:val="clear" w:color="auto" w:fill="auto"/>
          </w:tcPr>
          <w:p w14:paraId="372D341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3926.5</w:t>
            </w:r>
          </w:p>
        </w:tc>
        <w:tc>
          <w:tcPr>
            <w:tcW w:w="1761" w:type="dxa"/>
            <w:shd w:val="clear" w:color="auto" w:fill="auto"/>
          </w:tcPr>
          <w:p w14:paraId="5C3413C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(3645.9, 4228.7)</w:t>
            </w:r>
          </w:p>
        </w:tc>
        <w:tc>
          <w:tcPr>
            <w:tcW w:w="939" w:type="dxa"/>
            <w:shd w:val="clear" w:color="auto" w:fill="auto"/>
          </w:tcPr>
          <w:p w14:paraId="54E850D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320</w:t>
            </w:r>
          </w:p>
        </w:tc>
        <w:tc>
          <w:tcPr>
            <w:tcW w:w="1350" w:type="dxa"/>
            <w:shd w:val="clear" w:color="auto" w:fill="auto"/>
          </w:tcPr>
          <w:p w14:paraId="6F728991"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291.6</w:t>
            </w:r>
          </w:p>
        </w:tc>
        <w:tc>
          <w:tcPr>
            <w:tcW w:w="1641" w:type="dxa"/>
            <w:shd w:val="clear" w:color="auto" w:fill="auto"/>
          </w:tcPr>
          <w:p w14:paraId="18147FB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(221.8, 383.6)</w:t>
            </w:r>
          </w:p>
        </w:tc>
      </w:tr>
      <w:tr w:rsidR="007C2932" w:rsidRPr="005B69F6" w14:paraId="2B8FA6D2" w14:textId="77777777" w:rsidTr="007C2932">
        <w:tc>
          <w:tcPr>
            <w:tcW w:w="1487" w:type="dxa"/>
            <w:shd w:val="clear" w:color="auto" w:fill="auto"/>
          </w:tcPr>
          <w:p w14:paraId="51AB1D9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33F</w:t>
            </w:r>
          </w:p>
        </w:tc>
        <w:tc>
          <w:tcPr>
            <w:tcW w:w="938" w:type="dxa"/>
            <w:shd w:val="clear" w:color="auto" w:fill="auto"/>
          </w:tcPr>
          <w:p w14:paraId="2C9C4C7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1014</w:t>
            </w:r>
          </w:p>
        </w:tc>
        <w:tc>
          <w:tcPr>
            <w:tcW w:w="1260" w:type="dxa"/>
            <w:shd w:val="clear" w:color="auto" w:fill="auto"/>
          </w:tcPr>
          <w:p w14:paraId="032EDDD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11627.8</w:t>
            </w:r>
          </w:p>
        </w:tc>
        <w:tc>
          <w:tcPr>
            <w:tcW w:w="1761" w:type="dxa"/>
            <w:shd w:val="clear" w:color="auto" w:fill="auto"/>
          </w:tcPr>
          <w:p w14:paraId="3801E5D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(10824.6, 12490.7)</w:t>
            </w:r>
          </w:p>
        </w:tc>
        <w:tc>
          <w:tcPr>
            <w:tcW w:w="939" w:type="dxa"/>
            <w:shd w:val="clear" w:color="auto" w:fill="auto"/>
          </w:tcPr>
          <w:p w14:paraId="3BDC17D2"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338</w:t>
            </w:r>
          </w:p>
        </w:tc>
        <w:tc>
          <w:tcPr>
            <w:tcW w:w="1350" w:type="dxa"/>
            <w:shd w:val="clear" w:color="auto" w:fill="auto"/>
          </w:tcPr>
          <w:p w14:paraId="058A972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2180.6</w:t>
            </w:r>
          </w:p>
        </w:tc>
        <w:tc>
          <w:tcPr>
            <w:tcW w:w="1641" w:type="dxa"/>
            <w:shd w:val="clear" w:color="auto" w:fill="auto"/>
          </w:tcPr>
          <w:p w14:paraId="30D6628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(1828.7, 2600.2)</w:t>
            </w:r>
          </w:p>
        </w:tc>
      </w:tr>
    </w:tbl>
    <w:p w14:paraId="40FF99D6" w14:textId="77777777" w:rsidR="007C2932" w:rsidRPr="005B69F6" w:rsidRDefault="007C2932" w:rsidP="0019693E">
      <w:pPr>
        <w:keepNext/>
        <w:keepLines/>
        <w:autoSpaceDE w:val="0"/>
        <w:autoSpaceDN w:val="0"/>
        <w:adjustRightInd w:val="0"/>
        <w:ind w:left="160" w:right="1" w:hanging="160"/>
        <w:rPr>
          <w:rFonts w:ascii="Arial" w:eastAsia="MS Mincho" w:hAnsi="Arial" w:cs="Arial"/>
          <w:sz w:val="18"/>
          <w:szCs w:val="18"/>
          <w:lang w:eastAsia="ja-JP"/>
        </w:rPr>
      </w:pPr>
      <w:r w:rsidRPr="005B69F6">
        <w:rPr>
          <w:rFonts w:ascii="Arial" w:eastAsia="MS Mincho" w:hAnsi="Arial" w:cs="Arial"/>
          <w:sz w:val="18"/>
          <w:szCs w:val="18"/>
          <w:lang w:eastAsia="ja-JP"/>
        </w:rPr>
        <w:t>* The within-group 95% CIs are obtained by exponentiating the CIs of the mean of the natural log values based on the t-distribution.</w:t>
      </w:r>
    </w:p>
    <w:p w14:paraId="28BD6E86" w14:textId="77777777" w:rsidR="007C2932" w:rsidRPr="005B69F6" w:rsidRDefault="007C2932" w:rsidP="0019693E">
      <w:pPr>
        <w:keepNext/>
        <w:keepLines/>
        <w:autoSpaceDE w:val="0"/>
        <w:autoSpaceDN w:val="0"/>
        <w:adjustRightInd w:val="0"/>
        <w:ind w:left="160" w:right="1" w:hanging="160"/>
        <w:rPr>
          <w:rFonts w:ascii="Arial" w:eastAsia="MS Mincho" w:hAnsi="Arial" w:cs="Arial"/>
          <w:sz w:val="18"/>
          <w:szCs w:val="18"/>
          <w:lang w:eastAsia="ja-JP"/>
        </w:rPr>
      </w:pPr>
      <w:r w:rsidRPr="005B69F6">
        <w:rPr>
          <w:rFonts w:ascii="Arial" w:eastAsia="MS Mincho" w:hAnsi="Arial" w:cs="Arial"/>
          <w:sz w:val="18"/>
          <w:szCs w:val="18"/>
          <w:lang w:eastAsia="ja-JP"/>
        </w:rPr>
        <w:t>N=Number of participants randomized and vaccinated; n=Number of participants contributing to the analysis.</w:t>
      </w:r>
    </w:p>
    <w:p w14:paraId="0645E4F9" w14:textId="77777777" w:rsidR="007C2932" w:rsidRPr="005B69F6" w:rsidRDefault="007C2932" w:rsidP="0019693E">
      <w:pPr>
        <w:keepNext/>
        <w:autoSpaceDE w:val="0"/>
        <w:autoSpaceDN w:val="0"/>
        <w:adjustRightInd w:val="0"/>
        <w:ind w:left="160" w:right="1" w:hanging="160"/>
        <w:rPr>
          <w:rFonts w:ascii="Arial" w:eastAsia="MS Mincho" w:hAnsi="Arial" w:cs="Arial"/>
          <w:sz w:val="18"/>
          <w:szCs w:val="18"/>
          <w:lang w:eastAsia="ja-JP"/>
        </w:rPr>
      </w:pPr>
      <w:bookmarkStart w:id="8" w:name="_Hlk52906972"/>
      <w:r w:rsidRPr="005B69F6">
        <w:rPr>
          <w:rFonts w:ascii="Arial" w:eastAsia="MS Mincho" w:hAnsi="Arial" w:cs="Arial"/>
          <w:sz w:val="18"/>
          <w:szCs w:val="18"/>
          <w:lang w:eastAsia="ja-JP"/>
        </w:rPr>
        <w:t>CI=confidence interval; GMT=geometric mean titer (1/</w:t>
      </w:r>
      <w:proofErr w:type="spellStart"/>
      <w:r w:rsidRPr="005B69F6">
        <w:rPr>
          <w:rFonts w:ascii="Arial" w:eastAsia="MS Mincho" w:hAnsi="Arial" w:cs="Arial"/>
          <w:sz w:val="18"/>
          <w:szCs w:val="18"/>
          <w:lang w:eastAsia="ja-JP"/>
        </w:rPr>
        <w:t>dil</w:t>
      </w:r>
      <w:proofErr w:type="spellEnd"/>
      <w:r w:rsidRPr="005B69F6">
        <w:rPr>
          <w:rFonts w:ascii="Arial" w:eastAsia="MS Mincho" w:hAnsi="Arial" w:cs="Arial"/>
          <w:sz w:val="18"/>
          <w:szCs w:val="18"/>
          <w:lang w:eastAsia="ja-JP"/>
        </w:rPr>
        <w:t>); OPA=opsonophagocytic activity</w:t>
      </w:r>
      <w:bookmarkEnd w:id="8"/>
      <w:r w:rsidRPr="005B69F6">
        <w:rPr>
          <w:rFonts w:ascii="Arial" w:eastAsia="MS Mincho" w:hAnsi="Arial" w:cs="Arial"/>
          <w:sz w:val="18"/>
          <w:szCs w:val="18"/>
          <w:lang w:eastAsia="ja-JP"/>
        </w:rPr>
        <w:t>.</w:t>
      </w:r>
    </w:p>
    <w:p w14:paraId="426DD336"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bookmarkEnd w:id="7"/>
    <w:p w14:paraId="0A4CA5A6" w14:textId="77777777" w:rsidR="007C2932" w:rsidRPr="003242FD" w:rsidRDefault="007C2932" w:rsidP="0019693E">
      <w:pPr>
        <w:widowControl/>
        <w:autoSpaceDE w:val="0"/>
        <w:autoSpaceDN w:val="0"/>
        <w:jc w:val="both"/>
        <w:rPr>
          <w:rFonts w:ascii="Arial" w:eastAsia="MS Mincho" w:hAnsi="Arial" w:cs="Arial"/>
          <w:i/>
          <w:iCs/>
          <w:sz w:val="20"/>
          <w:szCs w:val="20"/>
          <w:lang w:eastAsia="ja-JP"/>
        </w:rPr>
      </w:pPr>
      <w:r w:rsidRPr="003242FD">
        <w:rPr>
          <w:rFonts w:ascii="Arial" w:eastAsia="MS Mincho" w:hAnsi="Arial" w:cs="Arial"/>
          <w:i/>
          <w:iCs/>
          <w:sz w:val="20"/>
          <w:szCs w:val="20"/>
          <w:lang w:eastAsia="ja-JP"/>
        </w:rPr>
        <w:t>Sequential Administration of Pneumococcal Vaccines in Adults</w:t>
      </w:r>
    </w:p>
    <w:p w14:paraId="397B7B6A" w14:textId="7F66377A" w:rsidR="007C2932" w:rsidRPr="005B69F6" w:rsidRDefault="007C2932" w:rsidP="0019693E">
      <w:pPr>
        <w:widowControl/>
        <w:autoSpaceDE w:val="0"/>
        <w:autoSpaceDN w:val="0"/>
        <w:jc w:val="both"/>
        <w:rPr>
          <w:rFonts w:ascii="Arial" w:eastAsia="MS Mincho" w:hAnsi="Arial" w:cs="Arial"/>
          <w:sz w:val="20"/>
          <w:szCs w:val="20"/>
          <w:lang w:eastAsia="ja-JP"/>
        </w:rPr>
      </w:pPr>
      <w:bookmarkStart w:id="9" w:name="_Hlk52987658"/>
      <w:r w:rsidRPr="005B69F6">
        <w:rPr>
          <w:rFonts w:ascii="Arial" w:eastAsia="MS Mincho" w:hAnsi="Arial" w:cs="Arial"/>
          <w:sz w:val="20"/>
          <w:szCs w:val="20"/>
          <w:lang w:eastAsia="ja-JP"/>
        </w:rPr>
        <w:t xml:space="preserve">In a double-blind, active, comparator-controlled study (Protocol 016), 652 pneumococcal vaccine-naïve adults 50 years of age and older were randomized to receive either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or </w:t>
      </w:r>
      <w:r w:rsidR="00D331B1" w:rsidRPr="005B69F6">
        <w:rPr>
          <w:rFonts w:ascii="Arial" w:eastAsia="MS Mincho" w:hAnsi="Arial" w:cs="Arial"/>
          <w:color w:val="000000"/>
          <w:sz w:val="20"/>
          <w:szCs w:val="20"/>
          <w:lang w:eastAsia="zh-CN"/>
        </w:rPr>
        <w:t>Prevenar</w:t>
      </w:r>
      <w:r w:rsidRPr="005B69F6">
        <w:rPr>
          <w:rFonts w:ascii="Arial" w:eastAsia="MS Mincho" w:hAnsi="Arial" w:cs="Arial"/>
          <w:color w:val="000000"/>
          <w:sz w:val="20"/>
          <w:szCs w:val="20"/>
          <w:lang w:eastAsia="zh-CN"/>
        </w:rPr>
        <w:t> 13</w:t>
      </w:r>
      <w:r w:rsidRPr="005B69F6">
        <w:rPr>
          <w:rFonts w:ascii="Arial" w:eastAsia="MS Mincho" w:hAnsi="Arial" w:cs="Arial"/>
          <w:sz w:val="20"/>
          <w:szCs w:val="20"/>
          <w:lang w:eastAsia="ja-JP"/>
        </w:rPr>
        <w:t xml:space="preserve">, followed by PNEUMOVAX 23 one year later. Following vaccination with PNEUMOVAX 23, OPA GMTs and IgG GMCs were comparable between the two vaccination groups for all 15 serotypes in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w:t>
      </w:r>
    </w:p>
    <w:bookmarkEnd w:id="9"/>
    <w:p w14:paraId="513A6E7E"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49ADC192" w14:textId="6713B0DB" w:rsidR="007C2932" w:rsidRPr="005B69F6" w:rsidRDefault="007C2932" w:rsidP="0019693E">
      <w:pPr>
        <w:widowControl/>
        <w:autoSpaceDE w:val="0"/>
        <w:autoSpaceDN w:val="0"/>
        <w:jc w:val="both"/>
        <w:rPr>
          <w:rFonts w:ascii="Arial" w:eastAsia="MS Mincho" w:hAnsi="Arial" w:cs="Arial"/>
          <w:sz w:val="20"/>
          <w:szCs w:val="20"/>
          <w:lang w:eastAsia="ja-JP"/>
        </w:rPr>
      </w:pPr>
      <w:bookmarkStart w:id="10" w:name="_Hlk52800795"/>
      <w:r w:rsidRPr="005B69F6">
        <w:rPr>
          <w:rFonts w:ascii="Arial" w:eastAsia="MS Mincho" w:hAnsi="Arial" w:cs="Arial"/>
          <w:sz w:val="20"/>
          <w:szCs w:val="20"/>
          <w:lang w:eastAsia="ja-JP"/>
        </w:rPr>
        <w:t xml:space="preserve">Immune responses elicited by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persisted up to 12 months postvaccination as assessed by OPA GMTs and IgG GMCs. Immune responses at 30 days and 12 months postvaccination were comparable between the two vaccination groups for the 13 shared serotypes and higher in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for the 2 unique serotypes.</w:t>
      </w:r>
    </w:p>
    <w:p w14:paraId="29E7EA2A"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bookmarkEnd w:id="10"/>
    <w:p w14:paraId="410F04DB" w14:textId="0B3F7905" w:rsidR="007C2932"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The sequential administration of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followed by PNEUMOVAX 23 was evaluated with an interval of 2 months in immunocompromised individuals (Protocol 018) and an interval of 6 months in immunocompetent individuals with or without risk factors for pneumococcal disease (Protocol 017) [See </w:t>
      </w:r>
      <w:r w:rsidR="00FE18E8" w:rsidRPr="005B69F6">
        <w:rPr>
          <w:rFonts w:ascii="Arial" w:eastAsia="MS Mincho" w:hAnsi="Arial" w:cs="Arial"/>
          <w:sz w:val="20"/>
          <w:szCs w:val="20"/>
          <w:lang w:eastAsia="ja-JP"/>
        </w:rPr>
        <w:t>Clinical immunogenicity in special populations</w:t>
      </w:r>
      <w:r w:rsidRPr="005B69F6">
        <w:rPr>
          <w:rFonts w:ascii="Arial" w:eastAsia="MS Mincho" w:hAnsi="Arial" w:cs="Arial"/>
          <w:sz w:val="20"/>
          <w:szCs w:val="20"/>
          <w:lang w:eastAsia="ja-JP"/>
        </w:rPr>
        <w:t>]</w:t>
      </w:r>
      <w:r w:rsidR="00CB58EB" w:rsidRPr="005B69F6">
        <w:rPr>
          <w:rFonts w:ascii="Arial" w:eastAsia="MS Mincho" w:hAnsi="Arial" w:cs="Arial"/>
          <w:sz w:val="20"/>
          <w:szCs w:val="20"/>
          <w:lang w:eastAsia="ja-JP"/>
        </w:rPr>
        <w:t>.</w:t>
      </w:r>
    </w:p>
    <w:p w14:paraId="4623A5CD" w14:textId="6CB764A4" w:rsidR="00D871D6" w:rsidRDefault="00D871D6" w:rsidP="0019693E">
      <w:pPr>
        <w:widowControl/>
        <w:autoSpaceDE w:val="0"/>
        <w:autoSpaceDN w:val="0"/>
        <w:jc w:val="both"/>
        <w:rPr>
          <w:rFonts w:ascii="Arial" w:eastAsia="MS Mincho" w:hAnsi="Arial" w:cs="Arial"/>
          <w:sz w:val="20"/>
          <w:szCs w:val="20"/>
          <w:lang w:eastAsia="ja-JP"/>
        </w:rPr>
      </w:pPr>
    </w:p>
    <w:p w14:paraId="3C0B1DDC" w14:textId="77777777" w:rsidR="00D871D6" w:rsidRPr="00D871D6" w:rsidRDefault="00D871D6" w:rsidP="00D871D6">
      <w:pPr>
        <w:pStyle w:val="BodyText1"/>
        <w:spacing w:before="0"/>
        <w:ind w:firstLine="0"/>
        <w:jc w:val="both"/>
        <w:rPr>
          <w:rFonts w:ascii="Arial" w:hAnsi="Arial" w:cs="Arial"/>
          <w:i/>
          <w:sz w:val="20"/>
          <w:szCs w:val="20"/>
        </w:rPr>
      </w:pPr>
      <w:r w:rsidRPr="00D871D6">
        <w:rPr>
          <w:rFonts w:ascii="Arial" w:hAnsi="Arial" w:cs="Arial"/>
          <w:i/>
          <w:sz w:val="20"/>
          <w:szCs w:val="20"/>
        </w:rPr>
        <w:t>Clinical Trials Conducted in Adults with Prior Pneumococcal Vaccination</w:t>
      </w:r>
    </w:p>
    <w:p w14:paraId="529CDAD1" w14:textId="67A2069F" w:rsidR="00D871D6" w:rsidRPr="00D871D6" w:rsidRDefault="00D871D6" w:rsidP="00D871D6">
      <w:pPr>
        <w:widowControl/>
        <w:autoSpaceDE w:val="0"/>
        <w:autoSpaceDN w:val="0"/>
        <w:jc w:val="both"/>
        <w:rPr>
          <w:rFonts w:ascii="Arial" w:eastAsia="MS Mincho" w:hAnsi="Arial" w:cs="Arial"/>
          <w:sz w:val="20"/>
          <w:szCs w:val="20"/>
          <w:lang w:eastAsia="ja-JP"/>
        </w:rPr>
      </w:pPr>
      <w:r w:rsidRPr="00D871D6">
        <w:rPr>
          <w:rFonts w:ascii="Arial" w:eastAsia="MS Mincho" w:hAnsi="Arial" w:cs="Arial"/>
          <w:sz w:val="20"/>
          <w:szCs w:val="20"/>
          <w:lang w:eastAsia="ja-JP"/>
        </w:rPr>
        <w:t xml:space="preserve">In a double-blind, descriptive study (Protocol 007), 253 adults 65 years of age and older who were previously vaccinated with PNEUMOVAX 23 at least 1 year prior to study entry were randomized to receive either </w:t>
      </w:r>
      <w:r w:rsidR="003056A9">
        <w:rPr>
          <w:rFonts w:ascii="Arial" w:eastAsia="MS Mincho" w:hAnsi="Arial" w:cs="Arial"/>
          <w:sz w:val="20"/>
          <w:szCs w:val="20"/>
          <w:lang w:eastAsia="ja-JP"/>
        </w:rPr>
        <w:t>VAXNEUVANCE</w:t>
      </w:r>
      <w:r w:rsidRPr="00D871D6">
        <w:rPr>
          <w:rFonts w:ascii="Arial" w:eastAsia="MS Mincho" w:hAnsi="Arial" w:cs="Arial"/>
          <w:sz w:val="20"/>
          <w:szCs w:val="20"/>
          <w:lang w:eastAsia="ja-JP"/>
        </w:rPr>
        <w:t xml:space="preserve"> or Prevenar 13. IgG GMCs and OPA GMTs were generally comparable between the vaccination groups for the 13 shared serotypes and higher in </w:t>
      </w:r>
      <w:r w:rsidR="003056A9">
        <w:rPr>
          <w:rFonts w:ascii="Arial" w:eastAsia="MS Mincho" w:hAnsi="Arial" w:cs="Arial"/>
          <w:sz w:val="20"/>
          <w:szCs w:val="20"/>
          <w:lang w:eastAsia="ja-JP"/>
        </w:rPr>
        <w:t>VAXNEUVANCE</w:t>
      </w:r>
      <w:r w:rsidRPr="00D871D6">
        <w:rPr>
          <w:rFonts w:ascii="Arial" w:eastAsia="MS Mincho" w:hAnsi="Arial" w:cs="Arial"/>
          <w:sz w:val="20"/>
          <w:szCs w:val="20"/>
          <w:lang w:eastAsia="ja-JP"/>
        </w:rPr>
        <w:t xml:space="preserve"> for the 2 unique serotypes.</w:t>
      </w:r>
    </w:p>
    <w:p w14:paraId="783A16DA" w14:textId="77777777" w:rsidR="007C2932" w:rsidRPr="005B69F6" w:rsidRDefault="007C2932" w:rsidP="0019693E">
      <w:pPr>
        <w:widowControl/>
        <w:shd w:val="clear" w:color="auto" w:fill="FFFFFF"/>
        <w:jc w:val="both"/>
        <w:rPr>
          <w:rFonts w:ascii="Arial" w:eastAsia="Times New Roman" w:hAnsi="Arial" w:cs="Arial"/>
          <w:sz w:val="20"/>
          <w:szCs w:val="20"/>
          <w:lang w:eastAsia="ja-JP"/>
        </w:rPr>
      </w:pPr>
    </w:p>
    <w:p w14:paraId="3ACE9C34" w14:textId="77777777" w:rsidR="00FE18E8" w:rsidRPr="005F56CD" w:rsidRDefault="00FE18E8" w:rsidP="00FE18E8">
      <w:pPr>
        <w:pStyle w:val="BodyText1"/>
        <w:spacing w:before="0"/>
        <w:ind w:firstLine="0"/>
        <w:jc w:val="both"/>
        <w:rPr>
          <w:rFonts w:ascii="Arial" w:hAnsi="Arial" w:cs="Arial"/>
          <w:iCs/>
          <w:sz w:val="20"/>
          <w:szCs w:val="20"/>
        </w:rPr>
      </w:pPr>
      <w:r w:rsidRPr="005F56CD">
        <w:rPr>
          <w:rFonts w:ascii="Arial" w:hAnsi="Arial" w:cs="Arial"/>
          <w:i/>
          <w:sz w:val="20"/>
          <w:szCs w:val="20"/>
        </w:rPr>
        <w:t>Clinical Immunogenicity in Special Populations</w:t>
      </w:r>
    </w:p>
    <w:p w14:paraId="234B5AD9" w14:textId="77777777" w:rsidR="00FE18E8" w:rsidRPr="005B69F6" w:rsidRDefault="00FE18E8" w:rsidP="00FE18E8">
      <w:pPr>
        <w:pStyle w:val="BodyText1"/>
        <w:spacing w:before="0"/>
        <w:ind w:firstLine="0"/>
        <w:jc w:val="both"/>
        <w:rPr>
          <w:rFonts w:ascii="Arial" w:hAnsi="Arial" w:cs="Arial"/>
          <w:iCs/>
          <w:sz w:val="20"/>
          <w:szCs w:val="20"/>
          <w:u w:val="single"/>
        </w:rPr>
      </w:pPr>
    </w:p>
    <w:p w14:paraId="1CE8F626" w14:textId="77777777" w:rsidR="00FE18E8" w:rsidRPr="003242FD" w:rsidRDefault="00FE18E8" w:rsidP="00FE18E8">
      <w:pPr>
        <w:pStyle w:val="BodyText1"/>
        <w:spacing w:before="0"/>
        <w:ind w:firstLine="0"/>
        <w:jc w:val="both"/>
        <w:rPr>
          <w:rFonts w:ascii="Arial" w:hAnsi="Arial" w:cs="Arial"/>
          <w:i/>
          <w:sz w:val="20"/>
          <w:szCs w:val="20"/>
        </w:rPr>
      </w:pPr>
      <w:r w:rsidRPr="003242FD">
        <w:rPr>
          <w:rFonts w:ascii="Arial" w:hAnsi="Arial" w:cs="Arial"/>
          <w:i/>
          <w:sz w:val="20"/>
          <w:szCs w:val="20"/>
        </w:rPr>
        <w:t>Populations at Increased Risk for Pneumococcal Disease</w:t>
      </w:r>
    </w:p>
    <w:p w14:paraId="3037D5F0" w14:textId="77777777" w:rsidR="00FE18E8" w:rsidRPr="005B69F6" w:rsidRDefault="00FE18E8" w:rsidP="00FE18E8">
      <w:pPr>
        <w:pStyle w:val="BodyText1"/>
        <w:spacing w:before="0"/>
        <w:ind w:firstLine="0"/>
        <w:jc w:val="both"/>
        <w:rPr>
          <w:rFonts w:ascii="Arial" w:hAnsi="Arial" w:cs="Arial"/>
          <w:iCs/>
          <w:sz w:val="20"/>
          <w:szCs w:val="20"/>
        </w:rPr>
      </w:pPr>
    </w:p>
    <w:p w14:paraId="691732A0" w14:textId="77777777" w:rsidR="00FE18E8" w:rsidRPr="00926646" w:rsidRDefault="00FE18E8" w:rsidP="00FE18E8">
      <w:pPr>
        <w:pStyle w:val="BodyText1"/>
        <w:spacing w:before="0"/>
        <w:ind w:firstLine="0"/>
        <w:jc w:val="both"/>
        <w:rPr>
          <w:rFonts w:ascii="Arial" w:hAnsi="Arial" w:cs="Arial"/>
          <w:iCs/>
          <w:sz w:val="20"/>
          <w:szCs w:val="20"/>
        </w:rPr>
      </w:pPr>
      <w:r w:rsidRPr="003242FD">
        <w:rPr>
          <w:rFonts w:ascii="Arial" w:hAnsi="Arial" w:cs="Arial"/>
          <w:i/>
          <w:sz w:val="20"/>
          <w:szCs w:val="20"/>
        </w:rPr>
        <w:t>Adults with Chronic Conditions and Other Risk Factors</w:t>
      </w:r>
    </w:p>
    <w:p w14:paraId="39FE072E" w14:textId="5C4C84A6" w:rsidR="00FE18E8" w:rsidRPr="005B69F6" w:rsidRDefault="00FE18E8" w:rsidP="00FE18E8">
      <w:pPr>
        <w:pStyle w:val="BodyText1"/>
        <w:tabs>
          <w:tab w:val="left" w:pos="1202"/>
        </w:tabs>
        <w:spacing w:before="0"/>
        <w:ind w:firstLine="0"/>
        <w:jc w:val="both"/>
        <w:rPr>
          <w:rFonts w:ascii="Arial" w:hAnsi="Arial" w:cs="Arial"/>
          <w:color w:val="000000"/>
          <w:sz w:val="20"/>
          <w:szCs w:val="20"/>
          <w:lang w:eastAsia="zh-CN"/>
        </w:rPr>
      </w:pPr>
      <w:r w:rsidRPr="005B69F6">
        <w:rPr>
          <w:rFonts w:ascii="Arial" w:hAnsi="Arial" w:cs="Arial"/>
          <w:sz w:val="20"/>
          <w:szCs w:val="20"/>
        </w:rPr>
        <w:t xml:space="preserve">In the double-blind, descriptive study (Protocol 017), the immunogenicity of </w:t>
      </w:r>
      <w:r w:rsidR="003056A9">
        <w:rPr>
          <w:rFonts w:ascii="Arial" w:hAnsi="Arial" w:cs="Arial"/>
          <w:sz w:val="20"/>
          <w:szCs w:val="20"/>
        </w:rPr>
        <w:t>VAXNEUVANCE</w:t>
      </w:r>
      <w:r w:rsidRPr="005B69F6">
        <w:rPr>
          <w:rFonts w:ascii="Arial" w:hAnsi="Arial" w:cs="Arial"/>
          <w:sz w:val="20"/>
          <w:szCs w:val="20"/>
        </w:rPr>
        <w:t xml:space="preserve"> was evaluated in a subset of immunocompetent adults 18 to 49 years of age with one or more of the following risk factors for pneumococcal disease: diabetes mellitus, chronic heart disease including heart failure, chronic liver disease with compensated cirrhosis, chronic lung disease including persistent asthma and chronic obstructive pulmonary disease (COPD), current tobacco use and increased alcohol consumption. Of those </w:t>
      </w:r>
      <w:r w:rsidRPr="005B69F6">
        <w:rPr>
          <w:rFonts w:ascii="Arial" w:hAnsi="Arial" w:cs="Arial"/>
          <w:sz w:val="20"/>
          <w:szCs w:val="20"/>
        </w:rPr>
        <w:lastRenderedPageBreak/>
        <w:t xml:space="preserve">who received </w:t>
      </w:r>
      <w:r w:rsidR="003056A9">
        <w:rPr>
          <w:rFonts w:ascii="Arial" w:hAnsi="Arial" w:cs="Arial"/>
          <w:sz w:val="20"/>
          <w:szCs w:val="20"/>
        </w:rPr>
        <w:t>VAXNEUVANCE</w:t>
      </w:r>
      <w:r w:rsidRPr="005B69F6">
        <w:rPr>
          <w:rFonts w:ascii="Arial" w:hAnsi="Arial" w:cs="Arial"/>
          <w:sz w:val="20"/>
          <w:szCs w:val="20"/>
        </w:rPr>
        <w:t xml:space="preserve">, 54.7% (n=620) had 1 risk factor and 20.1% (n=228) had 2 or more risk factors. In </w:t>
      </w:r>
      <w:proofErr w:type="gramStart"/>
      <w:r w:rsidRPr="005B69F6">
        <w:rPr>
          <w:rFonts w:ascii="Arial" w:hAnsi="Arial" w:cs="Arial"/>
          <w:sz w:val="20"/>
          <w:szCs w:val="20"/>
        </w:rPr>
        <w:t>both of these</w:t>
      </w:r>
      <w:proofErr w:type="gramEnd"/>
      <w:r w:rsidRPr="005B69F6">
        <w:rPr>
          <w:rFonts w:ascii="Arial" w:hAnsi="Arial" w:cs="Arial"/>
          <w:sz w:val="20"/>
          <w:szCs w:val="20"/>
        </w:rPr>
        <w:t xml:space="preserve"> risk factor subgroups, </w:t>
      </w:r>
      <w:r w:rsidR="003056A9">
        <w:rPr>
          <w:rFonts w:ascii="Arial" w:hAnsi="Arial" w:cs="Arial"/>
          <w:sz w:val="20"/>
          <w:szCs w:val="20"/>
        </w:rPr>
        <w:t>VAXNEUVANCE</w:t>
      </w:r>
      <w:r w:rsidRPr="005B69F6">
        <w:rPr>
          <w:rFonts w:ascii="Arial" w:hAnsi="Arial" w:cs="Arial"/>
          <w:sz w:val="20"/>
          <w:szCs w:val="20"/>
        </w:rPr>
        <w:t xml:space="preserve"> elicited immune responses to all 15 serotypes contained in the vaccine as assessed by OPA GMTs and IgG GMCs at 30 days postvaccination, which were generally consistent with those observed in the overall study population.</w:t>
      </w:r>
      <w:r w:rsidRPr="005B69F6">
        <w:rPr>
          <w:rFonts w:ascii="Arial" w:hAnsi="Arial" w:cs="Arial"/>
          <w:color w:val="000000"/>
          <w:sz w:val="20"/>
          <w:szCs w:val="20"/>
          <w:lang w:eastAsia="zh-CN"/>
        </w:rPr>
        <w:t xml:space="preserve"> Sequential administration of </w:t>
      </w:r>
      <w:r w:rsidR="003056A9">
        <w:rPr>
          <w:rFonts w:ascii="Arial" w:hAnsi="Arial" w:cs="Arial"/>
          <w:color w:val="000000"/>
          <w:sz w:val="20"/>
          <w:szCs w:val="20"/>
          <w:lang w:eastAsia="zh-CN"/>
        </w:rPr>
        <w:t>VAXNEUVANCE</w:t>
      </w:r>
      <w:r w:rsidRPr="005B69F6">
        <w:rPr>
          <w:rFonts w:ascii="Arial" w:hAnsi="Arial" w:cs="Arial"/>
          <w:color w:val="000000"/>
          <w:sz w:val="20"/>
          <w:szCs w:val="20"/>
          <w:lang w:eastAsia="zh-CN"/>
        </w:rPr>
        <w:t xml:space="preserve"> followed by 6 months later by PNEUMOVAX 23 was also immunogenic for all 15 serotypes contained in the vaccine.</w:t>
      </w:r>
    </w:p>
    <w:p w14:paraId="61664E7E" w14:textId="77777777" w:rsidR="00FE18E8" w:rsidRPr="005B69F6" w:rsidRDefault="00FE18E8" w:rsidP="00FE18E8">
      <w:pPr>
        <w:pStyle w:val="BodyText1"/>
        <w:tabs>
          <w:tab w:val="left" w:pos="1202"/>
        </w:tabs>
        <w:spacing w:before="0"/>
        <w:ind w:firstLine="0"/>
        <w:jc w:val="both"/>
        <w:rPr>
          <w:rFonts w:ascii="Arial" w:hAnsi="Arial" w:cs="Arial"/>
          <w:color w:val="000000"/>
          <w:sz w:val="20"/>
          <w:szCs w:val="20"/>
          <w:lang w:eastAsia="zh-CN"/>
        </w:rPr>
      </w:pPr>
    </w:p>
    <w:p w14:paraId="2CDE2F5C" w14:textId="77777777" w:rsidR="00FE18E8" w:rsidRPr="003242FD" w:rsidRDefault="00FE18E8" w:rsidP="00FE18E8">
      <w:pPr>
        <w:pStyle w:val="BodyText1"/>
        <w:spacing w:before="0"/>
        <w:ind w:firstLine="0"/>
        <w:jc w:val="both"/>
        <w:rPr>
          <w:rFonts w:ascii="Arial" w:hAnsi="Arial" w:cs="Arial"/>
          <w:i/>
          <w:sz w:val="20"/>
          <w:szCs w:val="20"/>
        </w:rPr>
      </w:pPr>
      <w:r w:rsidRPr="003242FD">
        <w:rPr>
          <w:rFonts w:ascii="Arial" w:hAnsi="Arial" w:cs="Arial"/>
          <w:i/>
          <w:sz w:val="20"/>
          <w:szCs w:val="20"/>
        </w:rPr>
        <w:t>Adults Living with HIV</w:t>
      </w:r>
    </w:p>
    <w:p w14:paraId="58A32F7F" w14:textId="04D8FCE0" w:rsidR="00FE18E8" w:rsidRPr="005B69F6" w:rsidRDefault="00FE18E8" w:rsidP="00FE18E8">
      <w:pPr>
        <w:widowControl/>
        <w:jc w:val="both"/>
        <w:rPr>
          <w:rFonts w:ascii="Helvetica" w:eastAsia="Times New Roman" w:hAnsi="Helvetica" w:cs="Times New Roman"/>
          <w:b/>
          <w:bCs/>
          <w:i/>
          <w:iCs/>
          <w:sz w:val="20"/>
          <w:szCs w:val="20"/>
        </w:rPr>
      </w:pPr>
      <w:r w:rsidRPr="005B69F6">
        <w:rPr>
          <w:rFonts w:ascii="Arial" w:hAnsi="Arial" w:cs="Arial"/>
          <w:color w:val="000000"/>
          <w:sz w:val="20"/>
          <w:szCs w:val="20"/>
          <w:lang w:eastAsia="zh-CN"/>
        </w:rPr>
        <w:t>In a double-blind, descriptive study (Protocol 018), 302 </w:t>
      </w:r>
      <w:r w:rsidRPr="005B69F6">
        <w:rPr>
          <w:rFonts w:ascii="Arial" w:hAnsi="Arial" w:cs="Arial"/>
          <w:sz w:val="20"/>
          <w:szCs w:val="20"/>
        </w:rPr>
        <w:t xml:space="preserve">pneumococcal vaccine-naïve adults ≥18 years of age living with HIV with CD4+ T-cell count ≥50 cells per microliter and plasma HIV ribonucleic acid (RNA) &lt;50,000 copies/mL were randomized to receive </w:t>
      </w:r>
      <w:r w:rsidRPr="005B69F6">
        <w:rPr>
          <w:rFonts w:ascii="Arial" w:hAnsi="Arial" w:cs="Arial"/>
          <w:color w:val="000000"/>
          <w:sz w:val="20"/>
          <w:szCs w:val="20"/>
          <w:lang w:eastAsia="zh-CN"/>
        </w:rPr>
        <w:t xml:space="preserve">either </w:t>
      </w:r>
      <w:r w:rsidR="003056A9">
        <w:rPr>
          <w:rFonts w:ascii="Arial" w:hAnsi="Arial" w:cs="Arial"/>
          <w:color w:val="000000"/>
          <w:sz w:val="20"/>
          <w:szCs w:val="20"/>
          <w:lang w:eastAsia="zh-CN"/>
        </w:rPr>
        <w:t>VAXNEUVANCE</w:t>
      </w:r>
      <w:r w:rsidRPr="005B69F6">
        <w:rPr>
          <w:rFonts w:ascii="Arial" w:hAnsi="Arial" w:cs="Arial"/>
          <w:color w:val="000000"/>
          <w:sz w:val="20"/>
          <w:szCs w:val="20"/>
          <w:lang w:eastAsia="zh-CN"/>
        </w:rPr>
        <w:t xml:space="preserve"> or Prevenar 13, followed by PNEUMOVAX 23 two months later. </w:t>
      </w:r>
      <w:r w:rsidR="003056A9">
        <w:rPr>
          <w:rFonts w:ascii="Arial" w:hAnsi="Arial" w:cs="Arial"/>
          <w:sz w:val="20"/>
          <w:szCs w:val="20"/>
        </w:rPr>
        <w:t>VAXNEUVANCE</w:t>
      </w:r>
      <w:r w:rsidRPr="005B69F6">
        <w:rPr>
          <w:rFonts w:ascii="Arial" w:hAnsi="Arial" w:cs="Arial"/>
          <w:sz w:val="20"/>
          <w:szCs w:val="20"/>
        </w:rPr>
        <w:t xml:space="preserve"> elicited immune responses to all 15 serotypes contained in the vaccine as assessed by </w:t>
      </w:r>
      <w:r w:rsidRPr="005B69F6">
        <w:rPr>
          <w:rFonts w:ascii="Arial" w:hAnsi="Arial" w:cs="Arial"/>
          <w:color w:val="000000"/>
          <w:sz w:val="20"/>
          <w:szCs w:val="20"/>
          <w:lang w:eastAsia="zh-CN"/>
        </w:rPr>
        <w:t xml:space="preserve">OPA GMTs </w:t>
      </w:r>
      <w:r w:rsidRPr="005B69F6">
        <w:rPr>
          <w:rFonts w:ascii="Arial" w:hAnsi="Arial" w:cs="Arial"/>
          <w:sz w:val="20"/>
          <w:szCs w:val="20"/>
        </w:rPr>
        <w:t xml:space="preserve">and IgG GMCs at 30 days postvaccination. After sequential administration with </w:t>
      </w:r>
      <w:r w:rsidRPr="005B69F6">
        <w:rPr>
          <w:rFonts w:ascii="Arial" w:hAnsi="Arial" w:cs="Arial"/>
          <w:color w:val="000000"/>
          <w:sz w:val="20"/>
          <w:szCs w:val="20"/>
          <w:lang w:eastAsia="zh-CN"/>
        </w:rPr>
        <w:t xml:space="preserve">PNEUMOVAX 23, </w:t>
      </w:r>
      <w:r w:rsidRPr="005B69F6">
        <w:rPr>
          <w:rFonts w:ascii="Arial" w:hAnsi="Arial" w:cs="Arial"/>
          <w:sz w:val="20"/>
          <w:szCs w:val="20"/>
        </w:rPr>
        <w:t>OPA GMTs and IgG GMCs were generally comparable between the two vaccination groups for all 15 serotypes.</w:t>
      </w:r>
    </w:p>
    <w:p w14:paraId="54F7215F" w14:textId="77777777" w:rsidR="00FE18E8" w:rsidRPr="005B69F6" w:rsidRDefault="00FE18E8" w:rsidP="0019693E">
      <w:pPr>
        <w:widowControl/>
        <w:jc w:val="both"/>
        <w:rPr>
          <w:rFonts w:ascii="Helvetica" w:eastAsia="Times New Roman" w:hAnsi="Helvetica" w:cs="Times New Roman"/>
          <w:b/>
          <w:bCs/>
          <w:i/>
          <w:iCs/>
          <w:sz w:val="20"/>
          <w:szCs w:val="20"/>
        </w:rPr>
      </w:pPr>
    </w:p>
    <w:p w14:paraId="678BAC78" w14:textId="0761FB6C" w:rsidR="007C2932" w:rsidRPr="005F56CD" w:rsidRDefault="007C2932" w:rsidP="0019693E">
      <w:pPr>
        <w:widowControl/>
        <w:jc w:val="both"/>
        <w:rPr>
          <w:rFonts w:ascii="Arial" w:eastAsia="Times New Roman" w:hAnsi="Arial" w:cs="Arial"/>
          <w:i/>
          <w:iCs/>
          <w:sz w:val="20"/>
          <w:szCs w:val="20"/>
        </w:rPr>
      </w:pPr>
      <w:r w:rsidRPr="005F56CD">
        <w:rPr>
          <w:rFonts w:ascii="Helvetica" w:eastAsia="Times New Roman" w:hAnsi="Helvetica" w:cs="Times New Roman"/>
          <w:i/>
          <w:iCs/>
          <w:sz w:val="20"/>
          <w:szCs w:val="20"/>
        </w:rPr>
        <w:t>Clinical Trials Conducted in Adults with Prior Pneumococcal Vaccination</w:t>
      </w:r>
    </w:p>
    <w:p w14:paraId="74645A6C" w14:textId="5AB52CF0" w:rsidR="007C2932" w:rsidRPr="005B69F6"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In a double-blind, descriptive study (Protocol 007), 253 adults 65 years of age and older who were previously vaccinated with PNEUMOVAX 23 at least 1 year prior to study entry were randomized to receive either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or </w:t>
      </w:r>
      <w:r w:rsidR="00D331B1" w:rsidRPr="005B69F6">
        <w:rPr>
          <w:rFonts w:ascii="Arial" w:eastAsia="MS Mincho" w:hAnsi="Arial" w:cs="Arial"/>
          <w:color w:val="000000"/>
          <w:sz w:val="20"/>
          <w:szCs w:val="20"/>
          <w:lang w:eastAsia="zh-CN"/>
        </w:rPr>
        <w:t>Prevenar</w:t>
      </w:r>
      <w:r w:rsidRPr="005B69F6">
        <w:rPr>
          <w:rFonts w:ascii="Arial" w:eastAsia="MS Mincho" w:hAnsi="Arial" w:cs="Arial"/>
          <w:color w:val="000000"/>
          <w:sz w:val="20"/>
          <w:szCs w:val="20"/>
          <w:lang w:eastAsia="zh-CN"/>
        </w:rPr>
        <w:t> 13</w:t>
      </w:r>
      <w:r w:rsidRPr="005B69F6">
        <w:rPr>
          <w:rFonts w:ascii="Arial" w:eastAsia="MS Mincho" w:hAnsi="Arial" w:cs="Arial"/>
          <w:sz w:val="20"/>
          <w:szCs w:val="20"/>
          <w:lang w:eastAsia="ja-JP"/>
        </w:rPr>
        <w:t xml:space="preserve">. IgG GMCs and OPA GMTs were generally comparable between the vaccination groups for the 13 shared serotypes and higher in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for the 2 unique serotypes.</w:t>
      </w:r>
    </w:p>
    <w:p w14:paraId="48EDD17A" w14:textId="77777777" w:rsidR="007C2932" w:rsidRPr="005B69F6" w:rsidRDefault="007C2932" w:rsidP="0019693E">
      <w:pPr>
        <w:widowControl/>
        <w:jc w:val="both"/>
        <w:rPr>
          <w:rFonts w:ascii="Arial" w:eastAsia="MS Mincho" w:hAnsi="Arial" w:cs="Arial"/>
          <w:sz w:val="20"/>
          <w:szCs w:val="20"/>
          <w:lang w:eastAsia="ja-JP"/>
        </w:rPr>
      </w:pPr>
    </w:p>
    <w:p w14:paraId="668A130E" w14:textId="77777777" w:rsidR="007C2932" w:rsidRPr="003242FD" w:rsidRDefault="007C2932" w:rsidP="0019693E">
      <w:pPr>
        <w:widowControl/>
        <w:jc w:val="both"/>
        <w:rPr>
          <w:rFonts w:ascii="Arial" w:eastAsia="MS Mincho" w:hAnsi="Arial" w:cs="Arial"/>
          <w:bCs/>
          <w:i/>
          <w:iCs/>
          <w:sz w:val="20"/>
          <w:szCs w:val="20"/>
          <w:lang w:eastAsia="ja-JP"/>
        </w:rPr>
      </w:pPr>
      <w:r w:rsidRPr="003242FD">
        <w:rPr>
          <w:rFonts w:ascii="Arial" w:eastAsia="MS Mincho" w:hAnsi="Arial" w:cs="Arial"/>
          <w:bCs/>
          <w:i/>
          <w:iCs/>
          <w:sz w:val="20"/>
          <w:szCs w:val="20"/>
          <w:lang w:eastAsia="ja-JP"/>
        </w:rPr>
        <w:t>Concomitant Vaccination</w:t>
      </w:r>
    </w:p>
    <w:p w14:paraId="5A09E2D7" w14:textId="192EE32B" w:rsidR="007C2932" w:rsidRPr="005B69F6"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In a double-blind, randomized study (Protocol 021), 1,200 adults 50 years of age and older, with or without a history of prior PNEUMOVAX 23 </w:t>
      </w:r>
      <w:proofErr w:type="gramStart"/>
      <w:r w:rsidRPr="005B69F6">
        <w:rPr>
          <w:rFonts w:ascii="Arial" w:eastAsia="MS Mincho" w:hAnsi="Arial" w:cs="Arial"/>
          <w:sz w:val="20"/>
          <w:szCs w:val="20"/>
          <w:lang w:eastAsia="ja-JP"/>
        </w:rPr>
        <w:t>vaccination</w:t>
      </w:r>
      <w:proofErr w:type="gramEnd"/>
      <w:r w:rsidRPr="005B69F6">
        <w:rPr>
          <w:rFonts w:ascii="Arial" w:eastAsia="MS Mincho" w:hAnsi="Arial" w:cs="Arial"/>
          <w:sz w:val="20"/>
          <w:szCs w:val="20"/>
          <w:lang w:eastAsia="ja-JP"/>
        </w:rPr>
        <w:t xml:space="preserve">, were randomized to receive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concomitantly or </w:t>
      </w:r>
      <w:proofErr w:type="spellStart"/>
      <w:r w:rsidRPr="005B69F6">
        <w:rPr>
          <w:rFonts w:ascii="Arial" w:eastAsia="MS Mincho" w:hAnsi="Arial" w:cs="Arial"/>
          <w:sz w:val="20"/>
          <w:szCs w:val="20"/>
          <w:lang w:eastAsia="ja-JP"/>
        </w:rPr>
        <w:t>nonconcomitantly</w:t>
      </w:r>
      <w:proofErr w:type="spellEnd"/>
      <w:r w:rsidRPr="005B69F6">
        <w:rPr>
          <w:rFonts w:ascii="Arial" w:eastAsia="MS Mincho" w:hAnsi="Arial" w:cs="Arial"/>
          <w:sz w:val="20"/>
          <w:szCs w:val="20"/>
          <w:lang w:eastAsia="ja-JP"/>
        </w:rPr>
        <w:t xml:space="preserve"> with seasonal inactivated quadrivalent influenza vaccine (QIV). One vaccination group received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and QIV concomitantly, followed by placebo 30 days later. A second vaccination group received QIV and placebo concomitantly, followed by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30 days later.</w:t>
      </w:r>
    </w:p>
    <w:p w14:paraId="48503B61"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4902D9F2" w14:textId="28BCE2AB" w:rsidR="007C2932" w:rsidRPr="003E52AF" w:rsidRDefault="003056A9" w:rsidP="0019693E">
      <w:pPr>
        <w:widowControl/>
        <w:autoSpaceDE w:val="0"/>
        <w:autoSpaceDN w:val="0"/>
        <w:jc w:val="both"/>
        <w:rPr>
          <w:rFonts w:ascii="Arial" w:hAnsi="Arial" w:cs="Arial"/>
          <w:sz w:val="20"/>
          <w:szCs w:val="20"/>
          <w:highlight w:val="cyan"/>
          <w:lang w:val="en-AU"/>
        </w:rPr>
      </w:pP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administered concomitantly with QIV is noninferior to </w:t>
      </w: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administered </w:t>
      </w:r>
      <w:proofErr w:type="spellStart"/>
      <w:r w:rsidR="007C2932" w:rsidRPr="005B69F6">
        <w:rPr>
          <w:rFonts w:ascii="Arial" w:eastAsia="MS Mincho" w:hAnsi="Arial" w:cs="Arial"/>
          <w:sz w:val="20"/>
          <w:szCs w:val="20"/>
          <w:lang w:eastAsia="ja-JP"/>
        </w:rPr>
        <w:t>nonconcomitantly</w:t>
      </w:r>
      <w:proofErr w:type="spellEnd"/>
      <w:r w:rsidR="007C2932" w:rsidRPr="005B69F6">
        <w:rPr>
          <w:rFonts w:ascii="Arial" w:eastAsia="MS Mincho" w:hAnsi="Arial" w:cs="Arial"/>
          <w:sz w:val="20"/>
          <w:szCs w:val="20"/>
          <w:lang w:eastAsia="ja-JP"/>
        </w:rPr>
        <w:t xml:space="preserve"> with QIV (based on a 2-fold noninferiority margin), </w:t>
      </w:r>
      <w:bookmarkStart w:id="11" w:name="_Hlk44603591"/>
      <w:r w:rsidR="007C2932" w:rsidRPr="005B69F6">
        <w:rPr>
          <w:rFonts w:ascii="Arial" w:eastAsia="MS Mincho" w:hAnsi="Arial" w:cs="Arial"/>
          <w:sz w:val="20"/>
          <w:szCs w:val="20"/>
          <w:lang w:eastAsia="ja-JP"/>
        </w:rPr>
        <w:t xml:space="preserve">as assessed </w:t>
      </w:r>
      <w:bookmarkEnd w:id="11"/>
      <w:r w:rsidR="007C2932" w:rsidRPr="005B69F6">
        <w:rPr>
          <w:rFonts w:ascii="Arial" w:eastAsia="MS Mincho" w:hAnsi="Arial" w:cs="Arial"/>
          <w:sz w:val="20"/>
          <w:szCs w:val="20"/>
          <w:lang w:eastAsia="ja-JP"/>
        </w:rPr>
        <w:t xml:space="preserve">by pneumococcal OPA GMTs at 30 days </w:t>
      </w:r>
      <w:proofErr w:type="spellStart"/>
      <w:r w:rsidR="007C2932" w:rsidRPr="005B69F6">
        <w:rPr>
          <w:rFonts w:ascii="Arial" w:eastAsia="MS Mincho" w:hAnsi="Arial" w:cs="Arial"/>
          <w:sz w:val="20"/>
          <w:szCs w:val="20"/>
          <w:lang w:eastAsia="ja-JP"/>
        </w:rPr>
        <w:t>postvacci</w:t>
      </w:r>
      <w:r w:rsidR="002C4877">
        <w:rPr>
          <w:rFonts w:ascii="Arial" w:eastAsia="MS Mincho" w:hAnsi="Arial" w:cs="Arial"/>
          <w:sz w:val="20"/>
          <w:szCs w:val="20"/>
          <w:lang w:eastAsia="ja-JP"/>
        </w:rPr>
        <w:t>z</w:t>
      </w:r>
      <w:r w:rsidR="007C2932" w:rsidRPr="005B69F6">
        <w:rPr>
          <w:rFonts w:ascii="Arial" w:eastAsia="MS Mincho" w:hAnsi="Arial" w:cs="Arial"/>
          <w:sz w:val="20"/>
          <w:szCs w:val="20"/>
          <w:lang w:eastAsia="ja-JP"/>
        </w:rPr>
        <w:t>nation</w:t>
      </w:r>
      <w:proofErr w:type="spellEnd"/>
      <w:r w:rsidR="007C2932" w:rsidRPr="005B69F6">
        <w:rPr>
          <w:rFonts w:ascii="Arial" w:eastAsia="MS Mincho" w:hAnsi="Arial" w:cs="Arial"/>
          <w:sz w:val="20"/>
          <w:szCs w:val="20"/>
          <w:lang w:eastAsia="ja-JP"/>
        </w:rPr>
        <w:t xml:space="preserve"> with </w:t>
      </w: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for all 15 serotypes contained in the vaccine. </w:t>
      </w:r>
      <w:bookmarkStart w:id="12" w:name="_Hlk45107562"/>
      <w:r w:rsidR="007C2932" w:rsidRPr="005B69F6">
        <w:rPr>
          <w:rFonts w:ascii="Arial" w:eastAsia="MS Mincho" w:hAnsi="Arial" w:cs="Arial"/>
          <w:sz w:val="20"/>
          <w:szCs w:val="20"/>
          <w:lang w:eastAsia="ja-JP"/>
        </w:rPr>
        <w:t xml:space="preserve">OPA GMTs were slightly lower for some serotypes when </w:t>
      </w: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was administered concomitantly with QIV compared to </w:t>
      </w: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administered alone.</w:t>
      </w:r>
      <w:bookmarkEnd w:id="12"/>
      <w:r w:rsidR="007C2932" w:rsidRPr="005B69F6">
        <w:rPr>
          <w:rFonts w:ascii="Arial" w:eastAsia="MS Mincho" w:hAnsi="Arial" w:cs="Arial"/>
          <w:sz w:val="20"/>
          <w:szCs w:val="20"/>
          <w:lang w:eastAsia="ja-JP"/>
        </w:rPr>
        <w:t xml:space="preserve"> QIV administered concomitantly with </w:t>
      </w: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is noninferior to QIV administered </w:t>
      </w:r>
      <w:proofErr w:type="spellStart"/>
      <w:r w:rsidR="007C2932" w:rsidRPr="005B69F6">
        <w:rPr>
          <w:rFonts w:ascii="Arial" w:eastAsia="MS Mincho" w:hAnsi="Arial" w:cs="Arial"/>
          <w:sz w:val="20"/>
          <w:szCs w:val="20"/>
          <w:lang w:eastAsia="ja-JP"/>
        </w:rPr>
        <w:t>nonconcomitantly</w:t>
      </w:r>
      <w:proofErr w:type="spellEnd"/>
      <w:r w:rsidR="007C2932" w:rsidRPr="005B69F6">
        <w:rPr>
          <w:rFonts w:ascii="Arial" w:eastAsia="MS Mincho" w:hAnsi="Arial" w:cs="Arial"/>
          <w:sz w:val="20"/>
          <w:szCs w:val="20"/>
          <w:lang w:eastAsia="ja-JP"/>
        </w:rPr>
        <w:t xml:space="preserve"> (based on a 2-fold noninferiority margin) as assessed by influenza strain-specific hemagglutination inhibition (HAI) GMTs at 30 days postvaccination with QIV for all 4 influenza strains. </w:t>
      </w:r>
    </w:p>
    <w:p w14:paraId="2C6D5238" w14:textId="77777777" w:rsidR="00735788" w:rsidRPr="005B69F6" w:rsidRDefault="00735788" w:rsidP="0019693E">
      <w:pPr>
        <w:pStyle w:val="BodyText"/>
        <w:tabs>
          <w:tab w:val="left" w:pos="1210"/>
        </w:tabs>
        <w:ind w:right="355"/>
        <w:rPr>
          <w:rFonts w:ascii="Arial" w:hAnsi="Arial" w:cs="Arial"/>
          <w:spacing w:val="-1"/>
          <w:sz w:val="20"/>
          <w:szCs w:val="20"/>
        </w:rPr>
      </w:pPr>
    </w:p>
    <w:p w14:paraId="1624EDF1" w14:textId="77777777" w:rsidR="00F85F0D" w:rsidRPr="005B69F6" w:rsidRDefault="00B409FF" w:rsidP="00A8531C">
      <w:pPr>
        <w:pStyle w:val="Heading1"/>
        <w:numPr>
          <w:ilvl w:val="1"/>
          <w:numId w:val="5"/>
        </w:numPr>
        <w:tabs>
          <w:tab w:val="left" w:pos="928"/>
        </w:tabs>
        <w:ind w:hanging="927"/>
        <w:rPr>
          <w:rFonts w:cs="Arial"/>
          <w:spacing w:val="-1"/>
          <w:sz w:val="20"/>
          <w:szCs w:val="20"/>
        </w:rPr>
      </w:pPr>
      <w:r w:rsidRPr="005B69F6">
        <w:rPr>
          <w:rFonts w:cs="Arial"/>
          <w:spacing w:val="-1"/>
          <w:sz w:val="20"/>
          <w:szCs w:val="20"/>
        </w:rPr>
        <w:t>PHARMACOKINETIC PROPERTIES</w:t>
      </w:r>
    </w:p>
    <w:p w14:paraId="4EEDE1E1" w14:textId="77777777" w:rsidR="000D2009" w:rsidRPr="005B69F6" w:rsidRDefault="000D2009" w:rsidP="0019693E">
      <w:pPr>
        <w:rPr>
          <w:rFonts w:ascii="Arial" w:hAnsi="Arial" w:cs="Arial"/>
          <w:sz w:val="20"/>
          <w:szCs w:val="20"/>
        </w:rPr>
      </w:pPr>
    </w:p>
    <w:p w14:paraId="425DD46D" w14:textId="05D339E4" w:rsidR="006B7E9F" w:rsidRPr="005B69F6" w:rsidRDefault="001B4FB8" w:rsidP="0019693E">
      <w:pPr>
        <w:rPr>
          <w:rFonts w:ascii="Arial" w:hAnsi="Arial" w:cs="Arial"/>
          <w:sz w:val="20"/>
          <w:szCs w:val="20"/>
        </w:rPr>
      </w:pPr>
      <w:r w:rsidRPr="005B69F6">
        <w:rPr>
          <w:rFonts w:ascii="Arial" w:hAnsi="Arial" w:cs="Arial"/>
          <w:sz w:val="20"/>
          <w:szCs w:val="20"/>
        </w:rPr>
        <w:t>Not applicable.</w:t>
      </w:r>
    </w:p>
    <w:p w14:paraId="6EBF2B52" w14:textId="77777777" w:rsidR="000D2009" w:rsidRPr="005B69F6" w:rsidRDefault="000D2009" w:rsidP="0019693E">
      <w:pPr>
        <w:rPr>
          <w:rFonts w:ascii="Arial" w:hAnsi="Arial" w:cs="Arial"/>
          <w:sz w:val="20"/>
          <w:szCs w:val="20"/>
        </w:rPr>
      </w:pPr>
    </w:p>
    <w:p w14:paraId="0D1F029A" w14:textId="142F745C"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PRECLINICAL</w:t>
      </w:r>
      <w:r w:rsidR="003D332D" w:rsidRPr="005B69F6">
        <w:rPr>
          <w:rFonts w:cs="Arial"/>
          <w:spacing w:val="-1"/>
          <w:sz w:val="20"/>
          <w:szCs w:val="20"/>
        </w:rPr>
        <w:t xml:space="preserve"> </w:t>
      </w:r>
      <w:r w:rsidRPr="005B69F6">
        <w:rPr>
          <w:rFonts w:cs="Arial"/>
          <w:spacing w:val="-1"/>
          <w:sz w:val="20"/>
          <w:szCs w:val="20"/>
        </w:rPr>
        <w:t>SAFETY DATA</w:t>
      </w:r>
    </w:p>
    <w:p w14:paraId="79B39114" w14:textId="77777777" w:rsidR="00F85F0D" w:rsidRPr="005B69F6" w:rsidRDefault="00F85F0D" w:rsidP="0019693E">
      <w:pPr>
        <w:rPr>
          <w:rFonts w:ascii="Arial" w:eastAsia="Cambria" w:hAnsi="Arial" w:cs="Arial"/>
          <w:b/>
          <w:bCs/>
          <w:sz w:val="20"/>
          <w:szCs w:val="20"/>
        </w:rPr>
      </w:pPr>
    </w:p>
    <w:p w14:paraId="62AB2B45" w14:textId="4EB8EF60" w:rsidR="003A0223" w:rsidRPr="005B69F6" w:rsidRDefault="00B409FF" w:rsidP="00023783">
      <w:pPr>
        <w:pStyle w:val="Heading2"/>
        <w:jc w:val="both"/>
      </w:pPr>
      <w:r w:rsidRPr="005B69F6">
        <w:t xml:space="preserve">Genotoxicity </w:t>
      </w:r>
    </w:p>
    <w:p w14:paraId="23DD37EC" w14:textId="27C4102A" w:rsidR="006B7E9F" w:rsidRPr="003E52AF" w:rsidRDefault="003056A9" w:rsidP="00023783">
      <w:pPr>
        <w:jc w:val="both"/>
        <w:rPr>
          <w:rFonts w:ascii="Arial" w:hAnsi="Arial" w:cs="Arial"/>
          <w:sz w:val="20"/>
          <w:szCs w:val="20"/>
          <w:highlight w:val="cyan"/>
          <w:lang w:val="en-AU"/>
        </w:rPr>
      </w:pPr>
      <w:r>
        <w:rPr>
          <w:rFonts w:ascii="Arial" w:hAnsi="Arial" w:cs="Arial"/>
          <w:sz w:val="20"/>
          <w:szCs w:val="20"/>
        </w:rPr>
        <w:t>VAXNEUVANCE</w:t>
      </w:r>
      <w:r w:rsidR="007C2932" w:rsidRPr="005B69F6">
        <w:rPr>
          <w:rFonts w:ascii="Arial" w:hAnsi="Arial" w:cs="Arial"/>
          <w:sz w:val="20"/>
          <w:szCs w:val="20"/>
        </w:rPr>
        <w:t xml:space="preserve"> has not been evaluated for the potential to cause genotoxicity</w:t>
      </w:r>
      <w:r w:rsidR="007C2932" w:rsidRPr="005B69F6">
        <w:rPr>
          <w:rFonts w:ascii="Arial" w:hAnsi="Arial" w:cs="Arial"/>
          <w:i/>
          <w:sz w:val="20"/>
          <w:szCs w:val="20"/>
        </w:rPr>
        <w:t>.</w:t>
      </w:r>
    </w:p>
    <w:p w14:paraId="0D644BFC" w14:textId="77777777" w:rsidR="003A0223" w:rsidRPr="005B69F6" w:rsidRDefault="003A0223" w:rsidP="00023783">
      <w:pPr>
        <w:jc w:val="both"/>
        <w:rPr>
          <w:rFonts w:ascii="Arial" w:hAnsi="Arial" w:cs="Arial"/>
          <w:sz w:val="20"/>
          <w:szCs w:val="20"/>
        </w:rPr>
      </w:pPr>
    </w:p>
    <w:p w14:paraId="611F7D08" w14:textId="5BA7DC0B" w:rsidR="00F85F0D" w:rsidRPr="005B69F6" w:rsidRDefault="00B409FF" w:rsidP="00023783">
      <w:pPr>
        <w:pStyle w:val="Heading2"/>
        <w:jc w:val="both"/>
      </w:pPr>
      <w:r w:rsidRPr="005B69F6">
        <w:t>Carcinogenicity</w:t>
      </w:r>
    </w:p>
    <w:p w14:paraId="43A4A8BE" w14:textId="27ACF061" w:rsidR="007C2932" w:rsidRPr="00A34734" w:rsidRDefault="003056A9" w:rsidP="0019693E">
      <w:pPr>
        <w:pStyle w:val="BodyText1"/>
        <w:spacing w:before="0"/>
        <w:ind w:firstLine="0"/>
        <w:jc w:val="both"/>
        <w:rPr>
          <w:rFonts w:ascii="Arial" w:eastAsiaTheme="minorHAnsi" w:hAnsi="Arial" w:cs="Arial"/>
          <w:sz w:val="20"/>
          <w:szCs w:val="20"/>
          <w:highlight w:val="cyan"/>
          <w:lang w:val="en-AU"/>
        </w:rPr>
      </w:pPr>
      <w:r>
        <w:rPr>
          <w:rFonts w:ascii="Arial" w:hAnsi="Arial" w:cs="Arial"/>
          <w:sz w:val="20"/>
          <w:szCs w:val="20"/>
        </w:rPr>
        <w:t>VAXNEUVANCE</w:t>
      </w:r>
      <w:r w:rsidR="007C2932" w:rsidRPr="00A34734">
        <w:rPr>
          <w:rFonts w:ascii="Arial" w:hAnsi="Arial" w:cs="Arial"/>
          <w:sz w:val="20"/>
          <w:szCs w:val="20"/>
        </w:rPr>
        <w:t xml:space="preserve"> has not been evaluated for the potential to cause carcinogenicity</w:t>
      </w:r>
      <w:r w:rsidR="007C2932" w:rsidRPr="00A34734">
        <w:rPr>
          <w:rFonts w:ascii="Arial" w:eastAsiaTheme="minorHAnsi" w:hAnsi="Arial" w:cs="Arial"/>
          <w:sz w:val="20"/>
          <w:szCs w:val="20"/>
          <w:lang w:val="en-AU"/>
        </w:rPr>
        <w:t>.</w:t>
      </w:r>
    </w:p>
    <w:p w14:paraId="66091E6A" w14:textId="7EC9D967" w:rsidR="005F56CD" w:rsidRDefault="005F56CD">
      <w:pPr>
        <w:rPr>
          <w:rFonts w:ascii="Arial" w:eastAsia="Cambria" w:hAnsi="Arial" w:cs="Arial"/>
          <w:b/>
          <w:bCs/>
          <w:spacing w:val="-1"/>
          <w:sz w:val="20"/>
          <w:szCs w:val="20"/>
        </w:rPr>
      </w:pPr>
    </w:p>
    <w:p w14:paraId="100C89C1" w14:textId="2DE284B0"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PHARMACEUTICAL PARTICULARS</w:t>
      </w:r>
    </w:p>
    <w:p w14:paraId="67E547DE" w14:textId="4E66E3B0" w:rsidR="00F21E6E" w:rsidRPr="005B69F6" w:rsidRDefault="00F21E6E" w:rsidP="0019693E">
      <w:pPr>
        <w:pStyle w:val="ListParagraph"/>
        <w:numPr>
          <w:ilvl w:val="0"/>
          <w:numId w:val="5"/>
        </w:numPr>
        <w:tabs>
          <w:tab w:val="left" w:pos="928"/>
        </w:tabs>
        <w:outlineLvl w:val="0"/>
        <w:rPr>
          <w:rFonts w:ascii="Arial" w:eastAsia="Cambria" w:hAnsi="Arial" w:cs="Arial"/>
          <w:b/>
          <w:bCs/>
          <w:vanish/>
          <w:spacing w:val="-1"/>
          <w:sz w:val="20"/>
          <w:szCs w:val="20"/>
        </w:rPr>
      </w:pPr>
    </w:p>
    <w:p w14:paraId="3A7C73A5" w14:textId="320AEAFA"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LIST OF EXCIPIENTS</w:t>
      </w:r>
    </w:p>
    <w:p w14:paraId="714A2F02" w14:textId="77777777" w:rsidR="009A68C4" w:rsidRPr="005B69F6" w:rsidRDefault="009A68C4" w:rsidP="0019693E">
      <w:pPr>
        <w:jc w:val="both"/>
        <w:rPr>
          <w:rFonts w:ascii="Arial" w:hAnsi="Arial" w:cs="Arial"/>
          <w:snapToGrid w:val="0"/>
          <w:sz w:val="20"/>
          <w:szCs w:val="20"/>
        </w:rPr>
      </w:pPr>
    </w:p>
    <w:p w14:paraId="15533FCC" w14:textId="373FA260" w:rsidR="00D73901" w:rsidRPr="005B69F6" w:rsidRDefault="00E844ED" w:rsidP="0019693E">
      <w:pPr>
        <w:widowControl/>
        <w:jc w:val="both"/>
        <w:rPr>
          <w:rFonts w:ascii="Arial" w:eastAsia="MS Mincho" w:hAnsi="Arial" w:cs="Arial"/>
          <w:sz w:val="20"/>
          <w:szCs w:val="20"/>
          <w:lang w:eastAsia="ja-JP"/>
        </w:rPr>
      </w:pPr>
      <w:r w:rsidRPr="005B69F6">
        <w:rPr>
          <w:rFonts w:ascii="Arial" w:eastAsia="MS Mincho" w:hAnsi="Arial" w:cs="Arial"/>
          <w:sz w:val="20"/>
          <w:szCs w:val="20"/>
          <w:lang w:eastAsia="ja-JP"/>
        </w:rPr>
        <w:t>Histidine</w:t>
      </w:r>
    </w:p>
    <w:p w14:paraId="48A311EA" w14:textId="39964FDE" w:rsidR="00D73901" w:rsidRPr="005B69F6" w:rsidRDefault="00D73901" w:rsidP="0019693E">
      <w:pPr>
        <w:widowControl/>
        <w:jc w:val="both"/>
        <w:rPr>
          <w:rFonts w:ascii="Arial" w:eastAsia="MS Mincho" w:hAnsi="Arial" w:cs="Arial"/>
          <w:sz w:val="20"/>
          <w:szCs w:val="20"/>
          <w:lang w:eastAsia="ja-JP"/>
        </w:rPr>
      </w:pPr>
      <w:r w:rsidRPr="005B69F6">
        <w:rPr>
          <w:rFonts w:ascii="Arial" w:eastAsia="MS Mincho" w:hAnsi="Arial" w:cs="Arial"/>
          <w:sz w:val="20"/>
          <w:szCs w:val="20"/>
          <w:lang w:eastAsia="ja-JP"/>
        </w:rPr>
        <w:t>P</w:t>
      </w:r>
      <w:r w:rsidR="00E844ED" w:rsidRPr="005B69F6">
        <w:rPr>
          <w:rFonts w:ascii="Arial" w:eastAsia="MS Mincho" w:hAnsi="Arial" w:cs="Arial"/>
          <w:sz w:val="20"/>
          <w:szCs w:val="20"/>
          <w:lang w:eastAsia="ja-JP"/>
        </w:rPr>
        <w:t>olysorbate 20</w:t>
      </w:r>
    </w:p>
    <w:p w14:paraId="04AF615B" w14:textId="726C686F" w:rsidR="00D73901" w:rsidRPr="005B69F6" w:rsidRDefault="00D73901" w:rsidP="0019693E">
      <w:pPr>
        <w:widowControl/>
        <w:jc w:val="both"/>
        <w:rPr>
          <w:rFonts w:ascii="Arial" w:eastAsia="MS Mincho" w:hAnsi="Arial" w:cs="Arial"/>
          <w:sz w:val="20"/>
          <w:szCs w:val="20"/>
          <w:lang w:eastAsia="ja-JP"/>
        </w:rPr>
      </w:pPr>
      <w:r w:rsidRPr="005B69F6">
        <w:rPr>
          <w:rFonts w:ascii="Arial" w:eastAsia="MS Mincho" w:hAnsi="Arial" w:cs="Arial"/>
          <w:sz w:val="20"/>
          <w:szCs w:val="20"/>
          <w:lang w:eastAsia="ja-JP"/>
        </w:rPr>
        <w:t>S</w:t>
      </w:r>
      <w:r w:rsidR="00E844ED" w:rsidRPr="005B69F6">
        <w:rPr>
          <w:rFonts w:ascii="Arial" w:eastAsia="MS Mincho" w:hAnsi="Arial" w:cs="Arial"/>
          <w:sz w:val="20"/>
          <w:szCs w:val="20"/>
          <w:lang w:eastAsia="ja-JP"/>
        </w:rPr>
        <w:t>odium chloride</w:t>
      </w:r>
    </w:p>
    <w:p w14:paraId="2D2DE6B2" w14:textId="525534AF" w:rsidR="00F9101F" w:rsidRPr="005B69F6" w:rsidRDefault="00D73901" w:rsidP="0019693E">
      <w:pPr>
        <w:widowControl/>
        <w:jc w:val="both"/>
        <w:rPr>
          <w:rFonts w:ascii="Arial" w:eastAsia="MS Mincho" w:hAnsi="Arial" w:cs="Arial"/>
          <w:sz w:val="20"/>
          <w:szCs w:val="20"/>
          <w:lang w:eastAsia="ja-JP"/>
        </w:rPr>
      </w:pPr>
      <w:r w:rsidRPr="005B69F6">
        <w:rPr>
          <w:rFonts w:ascii="Arial" w:eastAsia="MS Mincho" w:hAnsi="Arial" w:cs="Arial"/>
          <w:sz w:val="20"/>
          <w:szCs w:val="20"/>
          <w:lang w:eastAsia="ja-JP"/>
        </w:rPr>
        <w:t>W</w:t>
      </w:r>
      <w:r w:rsidR="00E844ED" w:rsidRPr="005B69F6">
        <w:rPr>
          <w:rFonts w:ascii="Arial" w:eastAsia="MS Mincho" w:hAnsi="Arial" w:cs="Arial"/>
          <w:sz w:val="20"/>
          <w:szCs w:val="20"/>
          <w:lang w:eastAsia="ja-JP"/>
        </w:rPr>
        <w:t>ater for injection</w:t>
      </w:r>
      <w:r w:rsidRPr="005B69F6">
        <w:rPr>
          <w:rFonts w:ascii="Arial" w:eastAsia="MS Mincho" w:hAnsi="Arial" w:cs="Arial"/>
          <w:sz w:val="20"/>
          <w:szCs w:val="20"/>
          <w:lang w:eastAsia="ja-JP"/>
        </w:rPr>
        <w:t>s</w:t>
      </w:r>
    </w:p>
    <w:p w14:paraId="7C67F56F" w14:textId="29D2FE88" w:rsidR="00E844ED" w:rsidRPr="005B69F6" w:rsidRDefault="00E844ED" w:rsidP="005F56CD">
      <w:pPr>
        <w:widowControl/>
        <w:jc w:val="both"/>
        <w:rPr>
          <w:rFonts w:ascii="Arial" w:hAnsi="Arial" w:cs="Arial"/>
          <w:snapToGrid w:val="0"/>
          <w:sz w:val="20"/>
          <w:szCs w:val="20"/>
        </w:rPr>
      </w:pPr>
    </w:p>
    <w:p w14:paraId="286F45E9" w14:textId="7C7659CB" w:rsidR="00126A0F" w:rsidRPr="005B69F6" w:rsidRDefault="00126A0F" w:rsidP="0019693E">
      <w:pPr>
        <w:jc w:val="both"/>
        <w:rPr>
          <w:rFonts w:ascii="Arial" w:hAnsi="Arial" w:cs="Arial"/>
          <w:snapToGrid w:val="0"/>
          <w:sz w:val="20"/>
          <w:szCs w:val="20"/>
        </w:rPr>
      </w:pPr>
      <w:r w:rsidRPr="005B69F6">
        <w:rPr>
          <w:rFonts w:ascii="Arial" w:hAnsi="Arial" w:cs="Arial"/>
          <w:snapToGrid w:val="0"/>
          <w:sz w:val="20"/>
          <w:szCs w:val="20"/>
        </w:rPr>
        <w:lastRenderedPageBreak/>
        <w:t>For adjuvant, see Section 2 Qualitative and quantitative composition.</w:t>
      </w:r>
    </w:p>
    <w:p w14:paraId="08875622" w14:textId="77777777" w:rsidR="00126A0F" w:rsidRPr="005B69F6" w:rsidRDefault="00126A0F" w:rsidP="0019693E">
      <w:pPr>
        <w:jc w:val="both"/>
        <w:rPr>
          <w:rFonts w:ascii="Arial" w:hAnsi="Arial" w:cs="Arial"/>
          <w:snapToGrid w:val="0"/>
          <w:sz w:val="20"/>
          <w:szCs w:val="20"/>
        </w:rPr>
      </w:pPr>
    </w:p>
    <w:p w14:paraId="6B9D0BD1" w14:textId="02DB52B5" w:rsidR="009227C9" w:rsidRPr="005B69F6" w:rsidRDefault="009227C9" w:rsidP="009227C9">
      <w:pPr>
        <w:jc w:val="both"/>
        <w:rPr>
          <w:rFonts w:ascii="Arial" w:hAnsi="Arial" w:cs="Arial"/>
          <w:sz w:val="20"/>
          <w:szCs w:val="20"/>
        </w:rPr>
      </w:pPr>
      <w:r w:rsidRPr="005B69F6">
        <w:rPr>
          <w:rFonts w:ascii="Arial" w:hAnsi="Arial" w:cs="Arial"/>
          <w:snapToGrid w:val="0"/>
          <w:sz w:val="20"/>
          <w:szCs w:val="20"/>
        </w:rPr>
        <w:t>The product does not contain antimicrobial preservative.</w:t>
      </w:r>
    </w:p>
    <w:p w14:paraId="6130AE4A" w14:textId="77777777" w:rsidR="003E52AF" w:rsidRPr="005B69F6" w:rsidRDefault="003E52AF" w:rsidP="0019693E">
      <w:pPr>
        <w:rPr>
          <w:rFonts w:ascii="Arial" w:eastAsia="Cambria" w:hAnsi="Arial" w:cs="Arial"/>
          <w:sz w:val="20"/>
          <w:szCs w:val="20"/>
        </w:rPr>
      </w:pPr>
    </w:p>
    <w:p w14:paraId="4325218B" w14:textId="77777777"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INCOMPATIBILITIES</w:t>
      </w:r>
    </w:p>
    <w:p w14:paraId="0284A592" w14:textId="77777777" w:rsidR="00F85F0D" w:rsidRPr="005B69F6" w:rsidRDefault="00F85F0D" w:rsidP="0019693E">
      <w:pPr>
        <w:rPr>
          <w:rFonts w:ascii="Arial" w:eastAsia="Cambria" w:hAnsi="Arial" w:cs="Arial"/>
          <w:b/>
          <w:bCs/>
          <w:sz w:val="20"/>
          <w:szCs w:val="20"/>
        </w:rPr>
      </w:pPr>
    </w:p>
    <w:p w14:paraId="2D2843AD" w14:textId="20CD14E2" w:rsidR="006B7E9F" w:rsidRPr="005F56CD" w:rsidRDefault="00FE18E8" w:rsidP="005F56CD">
      <w:pPr>
        <w:jc w:val="both"/>
        <w:rPr>
          <w:rFonts w:ascii="Arial" w:hAnsi="Arial" w:cs="Arial"/>
          <w:snapToGrid w:val="0"/>
          <w:sz w:val="20"/>
          <w:szCs w:val="20"/>
        </w:rPr>
      </w:pPr>
      <w:r w:rsidRPr="005F56CD">
        <w:rPr>
          <w:rFonts w:ascii="Arial" w:hAnsi="Arial" w:cs="Arial"/>
          <w:snapToGrid w:val="0"/>
          <w:sz w:val="20"/>
          <w:szCs w:val="20"/>
        </w:rPr>
        <w:t>In the absence of compatibility studies, this vaccine must not be mixed with other medicinal products.</w:t>
      </w:r>
    </w:p>
    <w:p w14:paraId="3A08355B" w14:textId="77777777" w:rsidR="00FF7926" w:rsidRPr="005B69F6" w:rsidRDefault="00FF7926" w:rsidP="0019693E">
      <w:pPr>
        <w:rPr>
          <w:rFonts w:ascii="Arial" w:eastAsia="Cambria" w:hAnsi="Arial" w:cs="Arial"/>
          <w:b/>
          <w:bCs/>
          <w:sz w:val="20"/>
          <w:szCs w:val="20"/>
        </w:rPr>
      </w:pPr>
    </w:p>
    <w:p w14:paraId="4FDD08AA" w14:textId="77777777" w:rsidR="00F85F0D" w:rsidRPr="005B69F6" w:rsidRDefault="00B409FF" w:rsidP="00A8531C">
      <w:pPr>
        <w:pStyle w:val="Heading1"/>
        <w:numPr>
          <w:ilvl w:val="1"/>
          <w:numId w:val="5"/>
        </w:numPr>
        <w:tabs>
          <w:tab w:val="left" w:pos="928"/>
        </w:tabs>
        <w:ind w:hanging="927"/>
        <w:rPr>
          <w:rFonts w:cs="Arial"/>
          <w:spacing w:val="-1"/>
          <w:sz w:val="20"/>
          <w:szCs w:val="20"/>
        </w:rPr>
      </w:pPr>
      <w:r w:rsidRPr="005B69F6">
        <w:rPr>
          <w:rFonts w:cs="Arial"/>
          <w:spacing w:val="-1"/>
          <w:sz w:val="20"/>
          <w:szCs w:val="20"/>
        </w:rPr>
        <w:t>SHELF LIFE</w:t>
      </w:r>
    </w:p>
    <w:p w14:paraId="6F1A95A1" w14:textId="77777777" w:rsidR="00F85F0D" w:rsidRPr="005B69F6" w:rsidRDefault="00F85F0D" w:rsidP="0019693E">
      <w:pPr>
        <w:rPr>
          <w:rFonts w:ascii="Arial" w:eastAsia="Cambria" w:hAnsi="Arial" w:cs="Arial"/>
          <w:sz w:val="20"/>
          <w:szCs w:val="20"/>
        </w:rPr>
      </w:pPr>
    </w:p>
    <w:p w14:paraId="7D7F4C70" w14:textId="77777777" w:rsidR="006B7E9F" w:rsidRPr="005B69F6" w:rsidRDefault="006B7E9F" w:rsidP="00023783">
      <w:pPr>
        <w:jc w:val="both"/>
        <w:rPr>
          <w:rFonts w:ascii="Arial" w:hAnsi="Arial" w:cs="Arial"/>
          <w:sz w:val="20"/>
          <w:szCs w:val="20"/>
        </w:rPr>
      </w:pPr>
      <w:r w:rsidRPr="005B69F6">
        <w:rPr>
          <w:rFonts w:ascii="Arial" w:hAnsi="Arial" w:cs="Arial"/>
          <w:sz w:val="20"/>
          <w:szCs w:val="20"/>
        </w:rPr>
        <w:t>In Australia, information on the shelf life can be found on the public summary of the Australian Register of Therapeutic Goods (ARTG). The expiry date can be found on the packaging.</w:t>
      </w:r>
    </w:p>
    <w:p w14:paraId="68D6E6D9" w14:textId="77777777" w:rsidR="00927371" w:rsidRPr="005B69F6" w:rsidRDefault="00927371" w:rsidP="0019693E">
      <w:pPr>
        <w:rPr>
          <w:rFonts w:ascii="Arial" w:hAnsi="Arial" w:cs="Arial"/>
          <w:sz w:val="20"/>
          <w:szCs w:val="20"/>
        </w:rPr>
      </w:pPr>
    </w:p>
    <w:p w14:paraId="69EB28AA" w14:textId="77777777"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SPECIAL PRECAUTIONS FOR STORAGE</w:t>
      </w:r>
    </w:p>
    <w:p w14:paraId="7D83E03D" w14:textId="77777777" w:rsidR="00F85F0D" w:rsidRPr="005B69F6" w:rsidRDefault="00F85F0D" w:rsidP="0019693E">
      <w:pPr>
        <w:rPr>
          <w:rFonts w:ascii="Arial" w:eastAsia="Cambria" w:hAnsi="Arial" w:cs="Arial"/>
          <w:b/>
          <w:bCs/>
          <w:sz w:val="20"/>
          <w:szCs w:val="20"/>
        </w:rPr>
      </w:pPr>
    </w:p>
    <w:p w14:paraId="51719019" w14:textId="1CE4E5AF" w:rsidR="00E844ED" w:rsidRPr="005B69F6" w:rsidRDefault="00E844ED" w:rsidP="0019693E">
      <w:pPr>
        <w:widowControl/>
        <w:jc w:val="both"/>
        <w:rPr>
          <w:rFonts w:ascii="Arial" w:eastAsia="Times New Roman" w:hAnsi="Arial" w:cs="Arial"/>
          <w:sz w:val="20"/>
          <w:szCs w:val="20"/>
        </w:rPr>
      </w:pPr>
      <w:r w:rsidRPr="005B69F6">
        <w:rPr>
          <w:rFonts w:ascii="Arial" w:eastAsia="Times New Roman" w:hAnsi="Arial" w:cs="Arial"/>
          <w:sz w:val="20"/>
          <w:szCs w:val="20"/>
        </w:rPr>
        <w:t>Store refrigerated at 2</w:t>
      </w:r>
      <w:r w:rsidRPr="005B69F6">
        <w:rPr>
          <w:rFonts w:ascii="Arial" w:eastAsia="Times New Roman" w:hAnsi="Arial" w:cs="Times New Roman"/>
          <w:sz w:val="20"/>
          <w:szCs w:val="20"/>
        </w:rPr>
        <w:t>°</w:t>
      </w:r>
      <w:r w:rsidRPr="005B69F6">
        <w:rPr>
          <w:rFonts w:ascii="Arial" w:eastAsia="Times New Roman" w:hAnsi="Arial" w:cs="Arial"/>
          <w:sz w:val="20"/>
          <w:szCs w:val="20"/>
        </w:rPr>
        <w:t>C to 8</w:t>
      </w:r>
      <w:r w:rsidRPr="005B69F6">
        <w:rPr>
          <w:rFonts w:ascii="Arial" w:eastAsia="Times New Roman" w:hAnsi="Arial" w:cs="Times New Roman"/>
          <w:sz w:val="20"/>
          <w:szCs w:val="20"/>
        </w:rPr>
        <w:t>°</w:t>
      </w:r>
      <w:r w:rsidRPr="005B69F6">
        <w:rPr>
          <w:rFonts w:ascii="Arial" w:eastAsia="Times New Roman" w:hAnsi="Arial" w:cs="Arial"/>
          <w:sz w:val="20"/>
          <w:szCs w:val="20"/>
        </w:rPr>
        <w:t>C.</w:t>
      </w:r>
    </w:p>
    <w:p w14:paraId="4BDCD313" w14:textId="3CA5DB49" w:rsidR="00E844ED" w:rsidRPr="005B69F6" w:rsidRDefault="00E844ED" w:rsidP="0019693E">
      <w:pPr>
        <w:widowControl/>
        <w:jc w:val="both"/>
        <w:rPr>
          <w:rFonts w:ascii="Arial" w:eastAsia="Times New Roman" w:hAnsi="Arial" w:cs="Arial"/>
          <w:sz w:val="20"/>
          <w:szCs w:val="20"/>
        </w:rPr>
      </w:pPr>
      <w:r w:rsidRPr="005B69F6">
        <w:rPr>
          <w:rFonts w:ascii="Arial" w:eastAsia="Times New Roman" w:hAnsi="Arial" w:cs="Arial"/>
          <w:sz w:val="20"/>
          <w:szCs w:val="20"/>
        </w:rPr>
        <w:t xml:space="preserve">Do not freeze. </w:t>
      </w:r>
    </w:p>
    <w:p w14:paraId="590AB25A" w14:textId="35A52EF6" w:rsidR="003E52AF" w:rsidRPr="003E52AF" w:rsidRDefault="00E844ED" w:rsidP="003E52AF">
      <w:pPr>
        <w:pStyle w:val="Paragraph"/>
        <w:spacing w:after="0"/>
        <w:rPr>
          <w:rFonts w:ascii="Arial" w:eastAsiaTheme="minorHAnsi" w:hAnsi="Arial" w:cs="Arial"/>
          <w:sz w:val="20"/>
          <w:szCs w:val="20"/>
          <w:highlight w:val="cyan"/>
          <w:lang w:val="en-AU"/>
        </w:rPr>
      </w:pPr>
      <w:r w:rsidRPr="005B69F6">
        <w:rPr>
          <w:rFonts w:ascii="Arial" w:hAnsi="Arial" w:cs="Arial"/>
          <w:sz w:val="20"/>
          <w:szCs w:val="20"/>
        </w:rPr>
        <w:t>Protect from light.</w:t>
      </w:r>
    </w:p>
    <w:p w14:paraId="218648CB" w14:textId="77777777" w:rsidR="00E844ED" w:rsidRPr="005B69F6" w:rsidRDefault="00E844ED" w:rsidP="0019693E">
      <w:pPr>
        <w:widowControl/>
        <w:jc w:val="both"/>
        <w:rPr>
          <w:rFonts w:ascii="Arial" w:eastAsia="Times New Roman" w:hAnsi="Arial" w:cs="Arial"/>
          <w:sz w:val="20"/>
          <w:szCs w:val="20"/>
        </w:rPr>
      </w:pPr>
    </w:p>
    <w:p w14:paraId="780723B5" w14:textId="308E79E7" w:rsidR="003A0223" w:rsidRPr="005B69F6" w:rsidRDefault="003056A9" w:rsidP="0019693E">
      <w:pPr>
        <w:jc w:val="both"/>
        <w:rPr>
          <w:rFonts w:ascii="Arial" w:hAnsi="Arial" w:cs="Arial"/>
          <w:sz w:val="20"/>
          <w:szCs w:val="20"/>
        </w:rPr>
      </w:pPr>
      <w:r>
        <w:rPr>
          <w:rFonts w:ascii="Arial" w:eastAsia="MS Mincho" w:hAnsi="Arial" w:cs="Arial"/>
          <w:sz w:val="20"/>
          <w:szCs w:val="20"/>
          <w:lang w:eastAsia="ja-JP"/>
        </w:rPr>
        <w:t>VAXNEUVANCE</w:t>
      </w:r>
      <w:r w:rsidR="00E844ED" w:rsidRPr="005B69F6">
        <w:rPr>
          <w:rFonts w:ascii="Arial" w:eastAsia="MS Mincho" w:hAnsi="Arial" w:cs="Arial"/>
          <w:sz w:val="20"/>
          <w:szCs w:val="20"/>
          <w:lang w:eastAsia="ja-JP"/>
        </w:rPr>
        <w:t xml:space="preserve"> should be administered as soon as possible after being removed from the refrigerator.</w:t>
      </w:r>
    </w:p>
    <w:p w14:paraId="7EB17A5A" w14:textId="77777777" w:rsidR="000B5B2E" w:rsidRPr="005B69F6" w:rsidRDefault="000B5B2E" w:rsidP="0019693E">
      <w:pPr>
        <w:jc w:val="both"/>
        <w:rPr>
          <w:rFonts w:ascii="Arial" w:hAnsi="Arial" w:cs="Arial"/>
          <w:sz w:val="20"/>
          <w:szCs w:val="20"/>
        </w:rPr>
      </w:pPr>
    </w:p>
    <w:p w14:paraId="44E67A29" w14:textId="77777777"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NATURE AND CONTENTS OF CONTAINER</w:t>
      </w:r>
    </w:p>
    <w:p w14:paraId="5F234D18" w14:textId="5982C10B" w:rsidR="003A0223" w:rsidRPr="005B69F6" w:rsidRDefault="003A0223" w:rsidP="0019693E">
      <w:pPr>
        <w:jc w:val="both"/>
        <w:rPr>
          <w:rFonts w:ascii="Arial" w:hAnsi="Arial" w:cs="Arial"/>
          <w:b/>
          <w:sz w:val="20"/>
          <w:szCs w:val="20"/>
          <w:lang w:val="en-GB"/>
        </w:rPr>
      </w:pPr>
    </w:p>
    <w:p w14:paraId="3AE16C5B" w14:textId="64E76364" w:rsidR="00283766" w:rsidRPr="005B69F6" w:rsidRDefault="003056A9" w:rsidP="0019693E">
      <w:pPr>
        <w:autoSpaceDE w:val="0"/>
        <w:autoSpaceDN w:val="0"/>
        <w:adjustRightInd w:val="0"/>
        <w:jc w:val="both"/>
        <w:rPr>
          <w:rFonts w:ascii="Arial" w:hAnsi="Arial" w:cs="Arial"/>
          <w:sz w:val="20"/>
          <w:szCs w:val="20"/>
          <w:lang w:val="en-GB"/>
        </w:rPr>
      </w:pPr>
      <w:r>
        <w:rPr>
          <w:rFonts w:ascii="Arial" w:hAnsi="Arial" w:cs="Arial"/>
          <w:sz w:val="20"/>
          <w:szCs w:val="20"/>
          <w:lang w:val="en-GB"/>
        </w:rPr>
        <w:t>VAXNEUVANCE</w:t>
      </w:r>
      <w:r w:rsidR="00AA4B93" w:rsidRPr="005B69F6">
        <w:rPr>
          <w:rFonts w:ascii="Arial" w:hAnsi="Arial" w:cs="Arial"/>
          <w:sz w:val="20"/>
          <w:szCs w:val="20"/>
          <w:lang w:val="en-GB"/>
        </w:rPr>
        <w:t xml:space="preserve"> is presented as a suspension in 0.5 mL </w:t>
      </w:r>
      <w:r w:rsidR="00561452" w:rsidRPr="005B69F6">
        <w:rPr>
          <w:rFonts w:ascii="Arial" w:hAnsi="Arial" w:cs="Arial"/>
          <w:sz w:val="20"/>
          <w:szCs w:val="20"/>
          <w:lang w:val="en-GB"/>
        </w:rPr>
        <w:t xml:space="preserve">single-dose </w:t>
      </w:r>
      <w:r w:rsidR="00AA4B93" w:rsidRPr="005B69F6">
        <w:rPr>
          <w:rFonts w:ascii="Arial" w:hAnsi="Arial" w:cs="Arial"/>
          <w:sz w:val="20"/>
          <w:szCs w:val="20"/>
          <w:lang w:val="en-GB"/>
        </w:rPr>
        <w:t xml:space="preserve">pre-filled syringes (Type I glass) in packs of 1 and 10. </w:t>
      </w:r>
    </w:p>
    <w:p w14:paraId="1B581F1A" w14:textId="77777777" w:rsidR="00283766" w:rsidRPr="005B69F6" w:rsidRDefault="00283766" w:rsidP="0019693E">
      <w:pPr>
        <w:autoSpaceDE w:val="0"/>
        <w:autoSpaceDN w:val="0"/>
        <w:adjustRightInd w:val="0"/>
        <w:jc w:val="both"/>
        <w:rPr>
          <w:rFonts w:ascii="Arial" w:hAnsi="Arial" w:cs="Arial"/>
          <w:sz w:val="20"/>
          <w:szCs w:val="20"/>
          <w:lang w:val="en-GB"/>
        </w:rPr>
      </w:pPr>
    </w:p>
    <w:p w14:paraId="0E58F6E1" w14:textId="3D35471F" w:rsidR="0057625B" w:rsidRPr="003E52AF" w:rsidRDefault="00FE18E8" w:rsidP="00023783">
      <w:pPr>
        <w:jc w:val="both"/>
        <w:rPr>
          <w:rFonts w:ascii="Arial" w:hAnsi="Arial" w:cs="Arial"/>
          <w:sz w:val="20"/>
          <w:szCs w:val="20"/>
          <w:highlight w:val="cyan"/>
          <w:lang w:val="en-AU"/>
        </w:rPr>
      </w:pPr>
      <w:r w:rsidRPr="005B69F6">
        <w:rPr>
          <w:rFonts w:ascii="Arial" w:hAnsi="Arial" w:cs="Arial"/>
          <w:sz w:val="20"/>
          <w:szCs w:val="20"/>
          <w:lang w:val="en-GB"/>
        </w:rPr>
        <w:t>The tip cap and plunger stopper of the pre-filled syringe are not made with natural rubber latex.</w:t>
      </w:r>
    </w:p>
    <w:p w14:paraId="5C7B1E48" w14:textId="77777777" w:rsidR="00FE18E8" w:rsidRPr="005B69F6" w:rsidRDefault="00FE18E8" w:rsidP="00023783">
      <w:pPr>
        <w:jc w:val="both"/>
        <w:rPr>
          <w:rFonts w:ascii="Arial" w:eastAsia="Cambria" w:hAnsi="Arial" w:cs="Arial"/>
          <w:sz w:val="20"/>
          <w:szCs w:val="20"/>
        </w:rPr>
      </w:pPr>
    </w:p>
    <w:p w14:paraId="4D4C6A36" w14:textId="77777777"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SPECIAL PRECAUTIONS FOR DISPOSAL</w:t>
      </w:r>
    </w:p>
    <w:p w14:paraId="07936DC4" w14:textId="77777777" w:rsidR="00F85F0D" w:rsidRPr="005B69F6" w:rsidRDefault="00F85F0D" w:rsidP="0019693E">
      <w:pPr>
        <w:rPr>
          <w:rFonts w:ascii="Arial" w:eastAsia="Cambria" w:hAnsi="Arial" w:cs="Arial"/>
          <w:b/>
          <w:bCs/>
          <w:sz w:val="20"/>
          <w:szCs w:val="20"/>
        </w:rPr>
      </w:pPr>
    </w:p>
    <w:p w14:paraId="2ADF55A4" w14:textId="77777777" w:rsidR="006B7E9F" w:rsidRPr="005B69F6" w:rsidRDefault="006B7E9F" w:rsidP="0019693E">
      <w:pPr>
        <w:autoSpaceDE w:val="0"/>
        <w:autoSpaceDN w:val="0"/>
        <w:adjustRightInd w:val="0"/>
        <w:jc w:val="both"/>
        <w:rPr>
          <w:rFonts w:ascii="Arial" w:hAnsi="Arial" w:cs="Arial"/>
          <w:sz w:val="20"/>
          <w:szCs w:val="20"/>
        </w:rPr>
      </w:pPr>
      <w:r w:rsidRPr="005B69F6">
        <w:rPr>
          <w:rFonts w:ascii="Arial" w:hAnsi="Arial" w:cs="Arial"/>
          <w:sz w:val="20"/>
          <w:szCs w:val="20"/>
        </w:rPr>
        <w:t>In Australia, any unused medicine or waste material should be disposed of in accordance with local requirements.</w:t>
      </w:r>
    </w:p>
    <w:p w14:paraId="39B31131" w14:textId="77777777" w:rsidR="00FF7926" w:rsidRPr="005B69F6" w:rsidRDefault="00FF7926" w:rsidP="0019693E">
      <w:pPr>
        <w:rPr>
          <w:rFonts w:ascii="Arial" w:eastAsia="Cambria" w:hAnsi="Arial" w:cs="Arial"/>
          <w:b/>
          <w:bCs/>
          <w:sz w:val="20"/>
          <w:szCs w:val="20"/>
        </w:rPr>
      </w:pPr>
    </w:p>
    <w:p w14:paraId="59091579" w14:textId="44E9B238"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PHYSICOCHEMICAL PROPERTIES</w:t>
      </w:r>
    </w:p>
    <w:p w14:paraId="4C89B42C" w14:textId="007769E3" w:rsidR="00F85F0D" w:rsidRPr="005B69F6" w:rsidRDefault="00F85F0D" w:rsidP="0019693E">
      <w:pPr>
        <w:rPr>
          <w:rFonts w:ascii="Arial" w:eastAsia="Cambria" w:hAnsi="Arial" w:cs="Arial"/>
          <w:b/>
          <w:bCs/>
          <w:sz w:val="20"/>
          <w:szCs w:val="20"/>
        </w:rPr>
      </w:pPr>
    </w:p>
    <w:p w14:paraId="59D1E76E" w14:textId="4785BC21" w:rsidR="00F85F0D" w:rsidRPr="005B69F6" w:rsidRDefault="00B409FF" w:rsidP="00FA5B01">
      <w:pPr>
        <w:pStyle w:val="Heading2"/>
      </w:pPr>
      <w:r w:rsidRPr="005B69F6">
        <w:t>Chemical structure</w:t>
      </w:r>
    </w:p>
    <w:p w14:paraId="63936982" w14:textId="1D86DA5F" w:rsidR="00306A53" w:rsidRPr="005B69F6" w:rsidRDefault="006439BF" w:rsidP="0019693E">
      <w:pPr>
        <w:rPr>
          <w:rFonts w:ascii="Arial" w:hAnsi="Arial" w:cs="Arial"/>
          <w:sz w:val="20"/>
          <w:szCs w:val="20"/>
        </w:rPr>
      </w:pPr>
      <w:r w:rsidRPr="005B69F6">
        <w:rPr>
          <w:rFonts w:ascii="Arial" w:hAnsi="Arial" w:cs="Arial"/>
          <w:sz w:val="20"/>
          <w:szCs w:val="20"/>
        </w:rPr>
        <w:t>Not applicable.</w:t>
      </w:r>
    </w:p>
    <w:p w14:paraId="5E0622A6" w14:textId="179173D0" w:rsidR="00FF7926" w:rsidRPr="005B69F6" w:rsidRDefault="00FF7926" w:rsidP="0019693E">
      <w:pPr>
        <w:rPr>
          <w:rFonts w:ascii="Arial" w:hAnsi="Arial" w:cs="Arial"/>
          <w:sz w:val="20"/>
          <w:szCs w:val="20"/>
        </w:rPr>
      </w:pPr>
    </w:p>
    <w:p w14:paraId="2815FBD3" w14:textId="2E942F66" w:rsidR="00F85F0D" w:rsidRPr="005B69F6" w:rsidRDefault="00B409FF" w:rsidP="00FA5B01">
      <w:pPr>
        <w:pStyle w:val="Heading2"/>
      </w:pPr>
      <w:r w:rsidRPr="005B69F6">
        <w:t>CAS number</w:t>
      </w:r>
    </w:p>
    <w:p w14:paraId="64CA5F20" w14:textId="77777777" w:rsidR="006439BF" w:rsidRPr="005B69F6" w:rsidRDefault="006439BF" w:rsidP="006439BF">
      <w:pPr>
        <w:rPr>
          <w:rFonts w:ascii="Arial" w:hAnsi="Arial" w:cs="Arial"/>
          <w:sz w:val="20"/>
          <w:szCs w:val="20"/>
        </w:rPr>
      </w:pPr>
      <w:r w:rsidRPr="005B69F6">
        <w:rPr>
          <w:rFonts w:ascii="Arial" w:hAnsi="Arial" w:cs="Arial"/>
          <w:sz w:val="20"/>
          <w:szCs w:val="20"/>
        </w:rPr>
        <w:t>Not applicable.</w:t>
      </w:r>
    </w:p>
    <w:p w14:paraId="3686515C" w14:textId="77777777" w:rsidR="00F85F0D" w:rsidRPr="005B69F6" w:rsidRDefault="00F85F0D" w:rsidP="0019693E">
      <w:pPr>
        <w:rPr>
          <w:rFonts w:ascii="Arial" w:eastAsia="Cambria" w:hAnsi="Arial" w:cs="Arial"/>
          <w:sz w:val="20"/>
          <w:szCs w:val="20"/>
        </w:rPr>
      </w:pPr>
    </w:p>
    <w:p w14:paraId="59EC0AF1" w14:textId="77777777"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MEDICINE SCHEDULE (POISONS STANDARD)</w:t>
      </w:r>
    </w:p>
    <w:p w14:paraId="4F6C9531" w14:textId="77777777" w:rsidR="00F85F0D" w:rsidRPr="005B69F6" w:rsidRDefault="00F85F0D" w:rsidP="0019693E">
      <w:pPr>
        <w:rPr>
          <w:rFonts w:ascii="Arial" w:eastAsia="Cambria" w:hAnsi="Arial" w:cs="Arial"/>
          <w:b/>
          <w:bCs/>
          <w:sz w:val="20"/>
          <w:szCs w:val="20"/>
        </w:rPr>
      </w:pPr>
    </w:p>
    <w:p w14:paraId="47442E57" w14:textId="6DB54D75" w:rsidR="00BF4F4D" w:rsidRPr="005B69F6" w:rsidRDefault="00BF4F4D" w:rsidP="0019693E">
      <w:pPr>
        <w:rPr>
          <w:rFonts w:ascii="Arial" w:hAnsi="Arial" w:cs="Arial"/>
          <w:sz w:val="20"/>
          <w:szCs w:val="20"/>
        </w:rPr>
      </w:pPr>
      <w:r w:rsidRPr="005B69F6">
        <w:rPr>
          <w:rFonts w:ascii="Arial" w:hAnsi="Arial" w:cs="Arial"/>
          <w:sz w:val="20"/>
          <w:szCs w:val="20"/>
        </w:rPr>
        <w:t xml:space="preserve">Schedule 4 – Prescription </w:t>
      </w:r>
      <w:r w:rsidR="000D2009" w:rsidRPr="005B69F6">
        <w:rPr>
          <w:rFonts w:ascii="Arial" w:hAnsi="Arial" w:cs="Arial"/>
          <w:sz w:val="20"/>
          <w:szCs w:val="20"/>
        </w:rPr>
        <w:t xml:space="preserve">Only </w:t>
      </w:r>
      <w:r w:rsidRPr="005B69F6">
        <w:rPr>
          <w:rFonts w:ascii="Arial" w:hAnsi="Arial" w:cs="Arial"/>
          <w:sz w:val="20"/>
          <w:szCs w:val="20"/>
        </w:rPr>
        <w:t>Medicine</w:t>
      </w:r>
    </w:p>
    <w:p w14:paraId="35F65C6A" w14:textId="77777777" w:rsidR="00BF4F4D" w:rsidRPr="005B69F6" w:rsidRDefault="00BF4F4D" w:rsidP="0019693E">
      <w:pPr>
        <w:rPr>
          <w:rFonts w:ascii="Arial" w:eastAsia="Cambria" w:hAnsi="Arial" w:cs="Arial"/>
          <w:b/>
          <w:bCs/>
          <w:sz w:val="20"/>
          <w:szCs w:val="20"/>
        </w:rPr>
      </w:pPr>
    </w:p>
    <w:p w14:paraId="1FDCCF33" w14:textId="77777777"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SPONSOR</w:t>
      </w:r>
    </w:p>
    <w:p w14:paraId="7505A8AC" w14:textId="77777777" w:rsidR="00F85F0D" w:rsidRPr="005B69F6" w:rsidRDefault="00F85F0D" w:rsidP="0019693E">
      <w:pPr>
        <w:rPr>
          <w:rFonts w:ascii="Arial" w:eastAsia="Cambria" w:hAnsi="Arial" w:cs="Arial"/>
          <w:b/>
          <w:bCs/>
          <w:sz w:val="20"/>
          <w:szCs w:val="20"/>
        </w:rPr>
      </w:pPr>
    </w:p>
    <w:p w14:paraId="2308C238" w14:textId="77777777" w:rsidR="003A0223" w:rsidRPr="005B69F6" w:rsidRDefault="003A0223" w:rsidP="0019693E">
      <w:pPr>
        <w:rPr>
          <w:rFonts w:ascii="Arial" w:hAnsi="Arial" w:cs="Arial"/>
          <w:sz w:val="20"/>
          <w:szCs w:val="20"/>
        </w:rPr>
      </w:pPr>
      <w:r w:rsidRPr="005B69F6">
        <w:rPr>
          <w:rFonts w:ascii="Arial" w:hAnsi="Arial" w:cs="Arial"/>
          <w:sz w:val="20"/>
          <w:szCs w:val="20"/>
        </w:rPr>
        <w:t>Merck Sharp &amp; Dohme (Australia) Pty Limited</w:t>
      </w:r>
    </w:p>
    <w:p w14:paraId="4CEC3958" w14:textId="6F6F06B5" w:rsidR="003A0223" w:rsidRPr="005B69F6" w:rsidRDefault="003A0223" w:rsidP="0019693E">
      <w:pPr>
        <w:rPr>
          <w:rFonts w:ascii="Arial" w:hAnsi="Arial" w:cs="Arial"/>
          <w:sz w:val="20"/>
          <w:szCs w:val="20"/>
        </w:rPr>
      </w:pPr>
      <w:r w:rsidRPr="005B69F6">
        <w:rPr>
          <w:rFonts w:ascii="Arial" w:hAnsi="Arial" w:cs="Arial"/>
          <w:sz w:val="20"/>
          <w:szCs w:val="20"/>
        </w:rPr>
        <w:t>Level 1, Building A,</w:t>
      </w:r>
      <w:r w:rsidR="001F678E">
        <w:rPr>
          <w:rFonts w:ascii="Arial" w:hAnsi="Arial" w:cs="Arial"/>
          <w:sz w:val="20"/>
          <w:szCs w:val="20"/>
        </w:rPr>
        <w:t xml:space="preserve"> </w:t>
      </w:r>
      <w:r w:rsidRPr="005B69F6">
        <w:rPr>
          <w:rFonts w:ascii="Arial" w:hAnsi="Arial" w:cs="Arial"/>
          <w:sz w:val="20"/>
          <w:szCs w:val="20"/>
        </w:rPr>
        <w:t>26 Talavera Road</w:t>
      </w:r>
    </w:p>
    <w:p w14:paraId="1D60CDB9" w14:textId="77777777" w:rsidR="003A0223" w:rsidRPr="005B69F6" w:rsidRDefault="003A0223" w:rsidP="0019693E">
      <w:pPr>
        <w:rPr>
          <w:rFonts w:ascii="Arial" w:hAnsi="Arial" w:cs="Arial"/>
          <w:sz w:val="20"/>
          <w:szCs w:val="20"/>
        </w:rPr>
      </w:pPr>
      <w:r w:rsidRPr="005B69F6">
        <w:rPr>
          <w:rFonts w:ascii="Arial" w:hAnsi="Arial" w:cs="Arial"/>
          <w:sz w:val="20"/>
          <w:szCs w:val="20"/>
        </w:rPr>
        <w:t>Macquarie Park NSW 2113</w:t>
      </w:r>
    </w:p>
    <w:p w14:paraId="64B55231" w14:textId="77777777" w:rsidR="00927D2C" w:rsidRPr="005B69F6" w:rsidRDefault="00927D2C" w:rsidP="0019693E">
      <w:pPr>
        <w:rPr>
          <w:rFonts w:ascii="Arial" w:hAnsi="Arial" w:cs="Arial"/>
          <w:sz w:val="20"/>
          <w:szCs w:val="20"/>
        </w:rPr>
      </w:pPr>
    </w:p>
    <w:p w14:paraId="75AA3867" w14:textId="77777777"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DATE OF FIRST APPROVAL</w:t>
      </w:r>
    </w:p>
    <w:p w14:paraId="1E42C2E7" w14:textId="77777777" w:rsidR="00F85F0D" w:rsidRPr="005B69F6" w:rsidRDefault="00F85F0D" w:rsidP="0019693E">
      <w:pPr>
        <w:rPr>
          <w:rFonts w:ascii="Arial" w:eastAsia="Cambria" w:hAnsi="Arial" w:cs="Arial"/>
          <w:b/>
          <w:bCs/>
          <w:sz w:val="20"/>
          <w:szCs w:val="20"/>
        </w:rPr>
      </w:pPr>
    </w:p>
    <w:p w14:paraId="3ACC0EC9" w14:textId="2EE1B88D" w:rsidR="003A0223" w:rsidRPr="005B69F6" w:rsidRDefault="000B5B2E" w:rsidP="0019693E">
      <w:pPr>
        <w:rPr>
          <w:rFonts w:ascii="Arial" w:hAnsi="Arial" w:cs="Arial"/>
          <w:sz w:val="20"/>
          <w:szCs w:val="20"/>
        </w:rPr>
      </w:pPr>
      <w:r w:rsidRPr="005B69F6">
        <w:rPr>
          <w:rFonts w:ascii="Arial" w:hAnsi="Arial" w:cs="Arial"/>
          <w:sz w:val="20"/>
          <w:szCs w:val="20"/>
        </w:rPr>
        <w:t>XXXX</w:t>
      </w:r>
    </w:p>
    <w:p w14:paraId="415FFAEE" w14:textId="77777777" w:rsidR="003A0223" w:rsidRPr="005B69F6" w:rsidRDefault="003A0223" w:rsidP="0019693E">
      <w:pPr>
        <w:pStyle w:val="BodyText"/>
        <w:tabs>
          <w:tab w:val="left" w:pos="928"/>
          <w:tab w:val="left" w:pos="1210"/>
        </w:tabs>
        <w:ind w:right="2783"/>
        <w:rPr>
          <w:rFonts w:ascii="Arial" w:hAnsi="Arial" w:cs="Arial"/>
          <w:sz w:val="20"/>
          <w:szCs w:val="20"/>
        </w:rPr>
      </w:pPr>
    </w:p>
    <w:p w14:paraId="4CF09C9A" w14:textId="77777777"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DATE OF REVISION</w:t>
      </w:r>
    </w:p>
    <w:p w14:paraId="45B49CEF" w14:textId="77777777" w:rsidR="00F85F0D" w:rsidRPr="005B69F6" w:rsidRDefault="00F85F0D" w:rsidP="0019693E">
      <w:pPr>
        <w:rPr>
          <w:rFonts w:ascii="Arial" w:eastAsia="Cambria" w:hAnsi="Arial" w:cs="Arial"/>
          <w:b/>
          <w:bCs/>
          <w:sz w:val="20"/>
          <w:szCs w:val="20"/>
        </w:rPr>
      </w:pPr>
    </w:p>
    <w:p w14:paraId="02F0E495" w14:textId="77777777" w:rsidR="00035B11" w:rsidRPr="005B69F6" w:rsidRDefault="00035B11" w:rsidP="00035B11">
      <w:pPr>
        <w:rPr>
          <w:rFonts w:ascii="Arial" w:hAnsi="Arial" w:cs="Arial"/>
          <w:sz w:val="20"/>
          <w:szCs w:val="20"/>
        </w:rPr>
      </w:pPr>
      <w:r w:rsidRPr="005B69F6">
        <w:rPr>
          <w:rFonts w:ascii="Arial" w:hAnsi="Arial" w:cs="Arial"/>
          <w:sz w:val="20"/>
          <w:szCs w:val="20"/>
        </w:rPr>
        <w:t>Not applicable.</w:t>
      </w:r>
    </w:p>
    <w:p w14:paraId="62329CB1" w14:textId="4FA3C832" w:rsidR="003A0223" w:rsidRDefault="003A0223" w:rsidP="0019693E">
      <w:pPr>
        <w:rPr>
          <w:rFonts w:ascii="Arial" w:eastAsia="Cambria" w:hAnsi="Arial" w:cs="Arial"/>
          <w:sz w:val="20"/>
          <w:szCs w:val="20"/>
        </w:rPr>
      </w:pPr>
    </w:p>
    <w:p w14:paraId="594414FB" w14:textId="77777777" w:rsidR="00757B64" w:rsidRPr="005B69F6" w:rsidRDefault="00757B64" w:rsidP="0019693E">
      <w:pPr>
        <w:rPr>
          <w:rFonts w:ascii="Arial" w:eastAsia="Cambria" w:hAnsi="Arial" w:cs="Arial"/>
          <w:sz w:val="20"/>
          <w:szCs w:val="20"/>
        </w:rPr>
      </w:pPr>
    </w:p>
    <w:p w14:paraId="69C53070" w14:textId="65A8E5D1" w:rsidR="00F85F0D" w:rsidRPr="005B69F6" w:rsidRDefault="00B409FF" w:rsidP="00FA5B01">
      <w:pPr>
        <w:pStyle w:val="Heading2"/>
      </w:pPr>
      <w:r w:rsidRPr="005B69F6">
        <w:t>Summary table of changes</w:t>
      </w:r>
    </w:p>
    <w:p w14:paraId="4CE01FA3" w14:textId="77777777" w:rsidR="00F85F0D" w:rsidRPr="005B69F6" w:rsidRDefault="00F85F0D" w:rsidP="0019693E">
      <w:pPr>
        <w:rPr>
          <w:rFonts w:ascii="Arial" w:eastAsia="Cambria"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73"/>
        <w:gridCol w:w="7587"/>
      </w:tblGrid>
      <w:tr w:rsidR="00F85F0D" w:rsidRPr="005B69F6" w14:paraId="3F76E3B9" w14:textId="77777777" w:rsidTr="00926646">
        <w:trPr>
          <w:cantSplit/>
        </w:trPr>
        <w:tc>
          <w:tcPr>
            <w:tcW w:w="947" w:type="pct"/>
          </w:tcPr>
          <w:p w14:paraId="4D2AA015" w14:textId="77777777" w:rsidR="00F85F0D" w:rsidRPr="005B69F6" w:rsidRDefault="00B409FF" w:rsidP="0019693E">
            <w:pPr>
              <w:pStyle w:val="TableParagraph"/>
              <w:ind w:left="101" w:right="528"/>
              <w:rPr>
                <w:rFonts w:ascii="Arial" w:eastAsia="Cambria" w:hAnsi="Arial" w:cs="Arial"/>
                <w:sz w:val="20"/>
                <w:szCs w:val="20"/>
              </w:rPr>
            </w:pPr>
            <w:r w:rsidRPr="005B69F6">
              <w:rPr>
                <w:rFonts w:ascii="Arial" w:hAnsi="Arial" w:cs="Arial"/>
                <w:b/>
                <w:spacing w:val="-1"/>
                <w:sz w:val="20"/>
                <w:szCs w:val="20"/>
              </w:rPr>
              <w:t>Section</w:t>
            </w:r>
            <w:r w:rsidRPr="005B69F6">
              <w:rPr>
                <w:rFonts w:ascii="Arial" w:hAnsi="Arial" w:cs="Arial"/>
                <w:b/>
                <w:spacing w:val="25"/>
                <w:w w:val="99"/>
                <w:sz w:val="20"/>
                <w:szCs w:val="20"/>
              </w:rPr>
              <w:t xml:space="preserve"> </w:t>
            </w:r>
            <w:r w:rsidRPr="005B69F6">
              <w:rPr>
                <w:rFonts w:ascii="Arial" w:hAnsi="Arial" w:cs="Arial"/>
                <w:b/>
                <w:spacing w:val="-1"/>
                <w:sz w:val="20"/>
                <w:szCs w:val="20"/>
              </w:rPr>
              <w:t>changed</w:t>
            </w:r>
          </w:p>
        </w:tc>
        <w:tc>
          <w:tcPr>
            <w:tcW w:w="4053" w:type="pct"/>
          </w:tcPr>
          <w:p w14:paraId="774C26BC" w14:textId="77777777" w:rsidR="00F85F0D" w:rsidRPr="005B69F6" w:rsidRDefault="00B409FF" w:rsidP="0019693E">
            <w:pPr>
              <w:pStyle w:val="TableParagraph"/>
              <w:ind w:left="100"/>
              <w:rPr>
                <w:rFonts w:ascii="Arial" w:eastAsia="Cambria" w:hAnsi="Arial" w:cs="Arial"/>
                <w:sz w:val="20"/>
                <w:szCs w:val="20"/>
              </w:rPr>
            </w:pPr>
            <w:r w:rsidRPr="005B69F6">
              <w:rPr>
                <w:rFonts w:ascii="Arial" w:hAnsi="Arial" w:cs="Arial"/>
                <w:b/>
                <w:spacing w:val="-1"/>
                <w:sz w:val="20"/>
                <w:szCs w:val="20"/>
              </w:rPr>
              <w:t>Summary</w:t>
            </w:r>
            <w:r w:rsidRPr="005B69F6">
              <w:rPr>
                <w:rFonts w:ascii="Arial" w:hAnsi="Arial" w:cs="Arial"/>
                <w:b/>
                <w:spacing w:val="-9"/>
                <w:sz w:val="20"/>
                <w:szCs w:val="20"/>
              </w:rPr>
              <w:t xml:space="preserve"> </w:t>
            </w:r>
            <w:r w:rsidRPr="005B69F6">
              <w:rPr>
                <w:rFonts w:ascii="Arial" w:hAnsi="Arial" w:cs="Arial"/>
                <w:b/>
                <w:sz w:val="20"/>
                <w:szCs w:val="20"/>
              </w:rPr>
              <w:t>of</w:t>
            </w:r>
            <w:r w:rsidRPr="005B69F6">
              <w:rPr>
                <w:rFonts w:ascii="Arial" w:hAnsi="Arial" w:cs="Arial"/>
                <w:b/>
                <w:spacing w:val="-8"/>
                <w:sz w:val="20"/>
                <w:szCs w:val="20"/>
              </w:rPr>
              <w:t xml:space="preserve"> </w:t>
            </w:r>
            <w:r w:rsidRPr="005B69F6">
              <w:rPr>
                <w:rFonts w:ascii="Arial" w:hAnsi="Arial" w:cs="Arial"/>
                <w:b/>
                <w:sz w:val="20"/>
                <w:szCs w:val="20"/>
              </w:rPr>
              <w:t>new</w:t>
            </w:r>
            <w:r w:rsidRPr="005B69F6">
              <w:rPr>
                <w:rFonts w:ascii="Arial" w:hAnsi="Arial" w:cs="Arial"/>
                <w:b/>
                <w:spacing w:val="-9"/>
                <w:sz w:val="20"/>
                <w:szCs w:val="20"/>
              </w:rPr>
              <w:t xml:space="preserve"> </w:t>
            </w:r>
            <w:r w:rsidRPr="005B69F6">
              <w:rPr>
                <w:rFonts w:ascii="Arial" w:hAnsi="Arial" w:cs="Arial"/>
                <w:b/>
                <w:spacing w:val="-1"/>
                <w:sz w:val="20"/>
                <w:szCs w:val="20"/>
              </w:rPr>
              <w:t>information</w:t>
            </w:r>
          </w:p>
        </w:tc>
      </w:tr>
      <w:tr w:rsidR="0026690D" w:rsidRPr="005B69F6" w14:paraId="025B4C5B" w14:textId="77777777" w:rsidTr="00926646">
        <w:trPr>
          <w:cantSplit/>
        </w:trPr>
        <w:tc>
          <w:tcPr>
            <w:tcW w:w="947" w:type="pct"/>
          </w:tcPr>
          <w:p w14:paraId="4F0AF990" w14:textId="2EC65E4D" w:rsidR="0026690D" w:rsidRPr="005B69F6" w:rsidRDefault="0026690D" w:rsidP="0026690D">
            <w:pPr>
              <w:ind w:left="186" w:right="197"/>
              <w:rPr>
                <w:rFonts w:ascii="Arial" w:hAnsi="Arial" w:cs="Arial"/>
                <w:sz w:val="20"/>
                <w:szCs w:val="20"/>
              </w:rPr>
            </w:pPr>
            <w:r w:rsidRPr="005B69F6">
              <w:rPr>
                <w:rFonts w:ascii="Arial" w:hAnsi="Arial" w:cs="Arial"/>
                <w:sz w:val="20"/>
                <w:szCs w:val="20"/>
              </w:rPr>
              <w:t>New PI</w:t>
            </w:r>
          </w:p>
        </w:tc>
        <w:tc>
          <w:tcPr>
            <w:tcW w:w="4053" w:type="pct"/>
          </w:tcPr>
          <w:p w14:paraId="7314DC7B" w14:textId="0B1C6912" w:rsidR="0026690D" w:rsidRPr="005B69F6" w:rsidRDefault="0026690D" w:rsidP="0026690D">
            <w:pPr>
              <w:ind w:left="186"/>
              <w:rPr>
                <w:rFonts w:ascii="Arial" w:hAnsi="Arial" w:cs="Arial"/>
                <w:sz w:val="20"/>
                <w:szCs w:val="20"/>
              </w:rPr>
            </w:pPr>
            <w:r w:rsidRPr="005B69F6">
              <w:rPr>
                <w:rFonts w:ascii="Arial" w:hAnsi="Arial" w:cs="Arial"/>
                <w:sz w:val="20"/>
                <w:szCs w:val="20"/>
              </w:rPr>
              <w:t>New product</w:t>
            </w:r>
          </w:p>
        </w:tc>
      </w:tr>
    </w:tbl>
    <w:p w14:paraId="2C084DF5" w14:textId="0FBC7E26" w:rsidR="00597AC4" w:rsidRPr="005B69F6" w:rsidRDefault="00597AC4" w:rsidP="0019693E">
      <w:pPr>
        <w:rPr>
          <w:rFonts w:ascii="Arial" w:hAnsi="Arial" w:cs="Arial"/>
          <w:sz w:val="20"/>
          <w:szCs w:val="20"/>
        </w:rPr>
      </w:pPr>
    </w:p>
    <w:p w14:paraId="3990F676" w14:textId="1DAAA308" w:rsidR="00D45829" w:rsidRPr="005B69F6" w:rsidRDefault="00D45829" w:rsidP="00D45829">
      <w:pPr>
        <w:rPr>
          <w:rFonts w:ascii="Arial" w:hAnsi="Arial" w:cs="Arial"/>
          <w:sz w:val="20"/>
          <w:szCs w:val="20"/>
        </w:rPr>
      </w:pPr>
      <w:r w:rsidRPr="005B69F6">
        <w:rPr>
          <w:rFonts w:ascii="Arial" w:hAnsi="Arial" w:cs="Arial"/>
          <w:sz w:val="20"/>
          <w:szCs w:val="20"/>
        </w:rPr>
        <w:t>CCDS-V114-I-</w:t>
      </w:r>
      <w:r w:rsidR="00226A61" w:rsidRPr="005B69F6">
        <w:rPr>
          <w:rFonts w:ascii="Arial" w:hAnsi="Arial" w:cs="Arial"/>
          <w:sz w:val="20"/>
          <w:szCs w:val="20"/>
        </w:rPr>
        <w:t>112020</w:t>
      </w:r>
    </w:p>
    <w:p w14:paraId="094BED3B" w14:textId="3A99538B" w:rsidR="00D45829" w:rsidRPr="00FE18E8" w:rsidRDefault="00D45829" w:rsidP="00D45829">
      <w:pPr>
        <w:rPr>
          <w:rFonts w:ascii="Arial" w:hAnsi="Arial" w:cs="Arial"/>
          <w:sz w:val="20"/>
          <w:szCs w:val="20"/>
        </w:rPr>
      </w:pPr>
      <w:r w:rsidRPr="005B69F6">
        <w:rPr>
          <w:rFonts w:ascii="Arial" w:hAnsi="Arial" w:cs="Arial"/>
          <w:sz w:val="20"/>
          <w:szCs w:val="20"/>
        </w:rPr>
        <w:t xml:space="preserve">RCN: </w:t>
      </w:r>
      <w:r w:rsidR="00226A61" w:rsidRPr="005B69F6">
        <w:rPr>
          <w:rFonts w:ascii="Arial" w:hAnsi="Arial" w:cs="Arial"/>
          <w:sz w:val="20"/>
          <w:szCs w:val="20"/>
        </w:rPr>
        <w:t>000014094-AU</w:t>
      </w:r>
    </w:p>
    <w:p w14:paraId="4D403FF6" w14:textId="5021ABFD" w:rsidR="00D45829" w:rsidRDefault="00D45829" w:rsidP="0019693E">
      <w:pPr>
        <w:rPr>
          <w:rFonts w:ascii="Arial" w:hAnsi="Arial" w:cs="Arial"/>
          <w:sz w:val="20"/>
          <w:szCs w:val="20"/>
        </w:rPr>
      </w:pPr>
    </w:p>
    <w:p w14:paraId="36CFEC31" w14:textId="67062D4C" w:rsidR="001E1009" w:rsidRPr="00B25099" w:rsidRDefault="001E1009" w:rsidP="0019693E">
      <w:pPr>
        <w:rPr>
          <w:rFonts w:ascii="Arial" w:hAnsi="Arial" w:cs="Arial"/>
          <w:sz w:val="20"/>
          <w:szCs w:val="20"/>
        </w:rPr>
      </w:pPr>
      <w:r w:rsidRPr="001E1009">
        <w:rPr>
          <w:rFonts w:ascii="Arial" w:hAnsi="Arial" w:cs="Arial"/>
          <w:sz w:val="20"/>
          <w:szCs w:val="20"/>
        </w:rPr>
        <w:t>Copyright © (2021) Merck &amp; Co., Inc., Kenilworth, NJ, USA, and its affiliates. All rights reserved.</w:t>
      </w:r>
    </w:p>
    <w:sectPr w:rsidR="001E1009" w:rsidRPr="00B25099" w:rsidSect="00FE18E8">
      <w:headerReference w:type="even" r:id="rId14"/>
      <w:headerReference w:type="default" r:id="rId15"/>
      <w:footerReference w:type="even" r:id="rId16"/>
      <w:footerReference w:type="default" r:id="rId17"/>
      <w:headerReference w:type="first" r:id="rId18"/>
      <w:footerReference w:type="first" r:id="rId19"/>
      <w:pgSz w:w="11910" w:h="16840"/>
      <w:pgMar w:top="1580" w:right="1340" w:bottom="1300" w:left="1200" w:header="0" w:footer="6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CCE9" w14:textId="77777777" w:rsidR="002C4877" w:rsidRDefault="002C4877">
      <w:r>
        <w:separator/>
      </w:r>
    </w:p>
  </w:endnote>
  <w:endnote w:type="continuationSeparator" w:id="0">
    <w:p w14:paraId="4E9F8DD1" w14:textId="77777777" w:rsidR="002C4877" w:rsidRDefault="002C4877">
      <w:r>
        <w:continuationSeparator/>
      </w:r>
    </w:p>
  </w:endnote>
  <w:endnote w:type="continuationNotice" w:id="1">
    <w:p w14:paraId="1FFEFC8E" w14:textId="77777777" w:rsidR="002C4877" w:rsidRDefault="002C4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41AC" w14:textId="77777777" w:rsidR="004E7ABA" w:rsidRDefault="004E7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47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922873287"/>
          <w:docPartObj>
            <w:docPartGallery w:val="Page Numbers (Top of Page)"/>
            <w:docPartUnique/>
          </w:docPartObj>
        </w:sdtPr>
        <w:sdtEndPr/>
        <w:sdtContent>
          <w:p w14:paraId="284FE0AA" w14:textId="6273E010" w:rsidR="002C4877" w:rsidRPr="00FE18E8" w:rsidRDefault="002C4877">
            <w:pPr>
              <w:pStyle w:val="Footer"/>
              <w:jc w:val="right"/>
              <w:rPr>
                <w:rFonts w:ascii="Arial" w:hAnsi="Arial" w:cs="Arial"/>
                <w:sz w:val="16"/>
                <w:szCs w:val="16"/>
              </w:rPr>
            </w:pPr>
            <w:r w:rsidRPr="00FE18E8">
              <w:rPr>
                <w:rFonts w:ascii="Arial" w:hAnsi="Arial" w:cs="Arial"/>
                <w:sz w:val="16"/>
                <w:szCs w:val="16"/>
              </w:rPr>
              <w:t xml:space="preserve">Page </w:t>
            </w:r>
            <w:r w:rsidRPr="00FE18E8">
              <w:rPr>
                <w:rFonts w:ascii="Arial" w:hAnsi="Arial" w:cs="Arial"/>
                <w:b/>
                <w:bCs/>
                <w:sz w:val="16"/>
                <w:szCs w:val="16"/>
              </w:rPr>
              <w:fldChar w:fldCharType="begin"/>
            </w:r>
            <w:r w:rsidRPr="00FE18E8">
              <w:rPr>
                <w:rFonts w:ascii="Arial" w:hAnsi="Arial" w:cs="Arial"/>
                <w:b/>
                <w:bCs/>
                <w:sz w:val="16"/>
                <w:szCs w:val="16"/>
              </w:rPr>
              <w:instrText xml:space="preserve"> PAGE </w:instrText>
            </w:r>
            <w:r w:rsidRPr="00FE18E8">
              <w:rPr>
                <w:rFonts w:ascii="Arial" w:hAnsi="Arial" w:cs="Arial"/>
                <w:b/>
                <w:bCs/>
                <w:sz w:val="16"/>
                <w:szCs w:val="16"/>
              </w:rPr>
              <w:fldChar w:fldCharType="separate"/>
            </w:r>
            <w:r w:rsidRPr="00FE18E8">
              <w:rPr>
                <w:rFonts w:ascii="Arial" w:hAnsi="Arial" w:cs="Arial"/>
                <w:b/>
                <w:bCs/>
                <w:noProof/>
                <w:sz w:val="16"/>
                <w:szCs w:val="16"/>
              </w:rPr>
              <w:t>2</w:t>
            </w:r>
            <w:r w:rsidRPr="00FE18E8">
              <w:rPr>
                <w:rFonts w:ascii="Arial" w:hAnsi="Arial" w:cs="Arial"/>
                <w:b/>
                <w:bCs/>
                <w:sz w:val="16"/>
                <w:szCs w:val="16"/>
              </w:rPr>
              <w:fldChar w:fldCharType="end"/>
            </w:r>
            <w:r w:rsidRPr="00FE18E8">
              <w:rPr>
                <w:rFonts w:ascii="Arial" w:hAnsi="Arial" w:cs="Arial"/>
                <w:sz w:val="16"/>
                <w:szCs w:val="16"/>
              </w:rPr>
              <w:t xml:space="preserve"> of </w:t>
            </w:r>
            <w:r w:rsidRPr="00FE18E8">
              <w:rPr>
                <w:rFonts w:ascii="Arial" w:hAnsi="Arial" w:cs="Arial"/>
                <w:b/>
                <w:bCs/>
                <w:sz w:val="16"/>
                <w:szCs w:val="16"/>
              </w:rPr>
              <w:fldChar w:fldCharType="begin"/>
            </w:r>
            <w:r w:rsidRPr="00FE18E8">
              <w:rPr>
                <w:rFonts w:ascii="Arial" w:hAnsi="Arial" w:cs="Arial"/>
                <w:b/>
                <w:bCs/>
                <w:sz w:val="16"/>
                <w:szCs w:val="16"/>
              </w:rPr>
              <w:instrText xml:space="preserve"> NUMPAGES  </w:instrText>
            </w:r>
            <w:r w:rsidRPr="00FE18E8">
              <w:rPr>
                <w:rFonts w:ascii="Arial" w:hAnsi="Arial" w:cs="Arial"/>
                <w:b/>
                <w:bCs/>
                <w:sz w:val="16"/>
                <w:szCs w:val="16"/>
              </w:rPr>
              <w:fldChar w:fldCharType="separate"/>
            </w:r>
            <w:r w:rsidRPr="00FE18E8">
              <w:rPr>
                <w:rFonts w:ascii="Arial" w:hAnsi="Arial" w:cs="Arial"/>
                <w:b/>
                <w:bCs/>
                <w:noProof/>
                <w:sz w:val="16"/>
                <w:szCs w:val="16"/>
              </w:rPr>
              <w:t>2</w:t>
            </w:r>
            <w:r w:rsidRPr="00FE18E8">
              <w:rPr>
                <w:rFonts w:ascii="Arial" w:hAnsi="Arial" w:cs="Arial"/>
                <w:b/>
                <w:bCs/>
                <w:sz w:val="16"/>
                <w:szCs w:val="16"/>
              </w:rPr>
              <w:fldChar w:fldCharType="end"/>
            </w:r>
          </w:p>
        </w:sdtContent>
      </w:sdt>
    </w:sdtContent>
  </w:sdt>
  <w:p w14:paraId="29AF39CA" w14:textId="4411BB4A" w:rsidR="002C4877" w:rsidRPr="00FE18E8" w:rsidRDefault="002C4877" w:rsidP="00FE1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6232695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9E19CB6" w14:textId="077F9BB5" w:rsidR="002C4877" w:rsidRPr="005668A8" w:rsidRDefault="002C4877">
            <w:pPr>
              <w:pStyle w:val="Footer"/>
              <w:jc w:val="right"/>
              <w:rPr>
                <w:rFonts w:ascii="Arial" w:hAnsi="Arial" w:cs="Arial"/>
                <w:sz w:val="16"/>
                <w:szCs w:val="16"/>
              </w:rPr>
            </w:pPr>
            <w:r w:rsidRPr="005668A8">
              <w:rPr>
                <w:rFonts w:ascii="Arial" w:hAnsi="Arial" w:cs="Arial"/>
                <w:sz w:val="16"/>
                <w:szCs w:val="16"/>
              </w:rPr>
              <w:t xml:space="preserve">Page </w:t>
            </w:r>
            <w:r w:rsidRPr="005668A8">
              <w:rPr>
                <w:rFonts w:ascii="Arial" w:hAnsi="Arial" w:cs="Arial"/>
                <w:b/>
                <w:bCs/>
                <w:sz w:val="16"/>
                <w:szCs w:val="16"/>
              </w:rPr>
              <w:fldChar w:fldCharType="begin"/>
            </w:r>
            <w:r w:rsidRPr="005668A8">
              <w:rPr>
                <w:rFonts w:ascii="Arial" w:hAnsi="Arial" w:cs="Arial"/>
                <w:b/>
                <w:bCs/>
                <w:sz w:val="16"/>
                <w:szCs w:val="16"/>
              </w:rPr>
              <w:instrText xml:space="preserve"> PAGE </w:instrText>
            </w:r>
            <w:r w:rsidRPr="005668A8">
              <w:rPr>
                <w:rFonts w:ascii="Arial" w:hAnsi="Arial" w:cs="Arial"/>
                <w:b/>
                <w:bCs/>
                <w:sz w:val="16"/>
                <w:szCs w:val="16"/>
              </w:rPr>
              <w:fldChar w:fldCharType="separate"/>
            </w:r>
            <w:r w:rsidRPr="005668A8">
              <w:rPr>
                <w:rFonts w:ascii="Arial" w:hAnsi="Arial" w:cs="Arial"/>
                <w:b/>
                <w:bCs/>
                <w:noProof/>
                <w:sz w:val="16"/>
                <w:szCs w:val="16"/>
              </w:rPr>
              <w:t>2</w:t>
            </w:r>
            <w:r w:rsidRPr="005668A8">
              <w:rPr>
                <w:rFonts w:ascii="Arial" w:hAnsi="Arial" w:cs="Arial"/>
                <w:b/>
                <w:bCs/>
                <w:sz w:val="16"/>
                <w:szCs w:val="16"/>
              </w:rPr>
              <w:fldChar w:fldCharType="end"/>
            </w:r>
            <w:r w:rsidRPr="005668A8">
              <w:rPr>
                <w:rFonts w:ascii="Arial" w:hAnsi="Arial" w:cs="Arial"/>
                <w:sz w:val="16"/>
                <w:szCs w:val="16"/>
              </w:rPr>
              <w:t xml:space="preserve"> of </w:t>
            </w:r>
            <w:r w:rsidRPr="005668A8">
              <w:rPr>
                <w:rFonts w:ascii="Arial" w:hAnsi="Arial" w:cs="Arial"/>
                <w:b/>
                <w:bCs/>
                <w:sz w:val="16"/>
                <w:szCs w:val="16"/>
              </w:rPr>
              <w:fldChar w:fldCharType="begin"/>
            </w:r>
            <w:r w:rsidRPr="005668A8">
              <w:rPr>
                <w:rFonts w:ascii="Arial" w:hAnsi="Arial" w:cs="Arial"/>
                <w:b/>
                <w:bCs/>
                <w:sz w:val="16"/>
                <w:szCs w:val="16"/>
              </w:rPr>
              <w:instrText xml:space="preserve"> NUMPAGES  </w:instrText>
            </w:r>
            <w:r w:rsidRPr="005668A8">
              <w:rPr>
                <w:rFonts w:ascii="Arial" w:hAnsi="Arial" w:cs="Arial"/>
                <w:b/>
                <w:bCs/>
                <w:sz w:val="16"/>
                <w:szCs w:val="16"/>
              </w:rPr>
              <w:fldChar w:fldCharType="separate"/>
            </w:r>
            <w:r w:rsidRPr="005668A8">
              <w:rPr>
                <w:rFonts w:ascii="Arial" w:hAnsi="Arial" w:cs="Arial"/>
                <w:b/>
                <w:bCs/>
                <w:noProof/>
                <w:sz w:val="16"/>
                <w:szCs w:val="16"/>
              </w:rPr>
              <w:t>2</w:t>
            </w:r>
            <w:r w:rsidRPr="005668A8">
              <w:rPr>
                <w:rFonts w:ascii="Arial" w:hAnsi="Arial" w:cs="Arial"/>
                <w:b/>
                <w:bCs/>
                <w:sz w:val="16"/>
                <w:szCs w:val="16"/>
              </w:rPr>
              <w:fldChar w:fldCharType="end"/>
            </w:r>
          </w:p>
        </w:sdtContent>
      </w:sdt>
    </w:sdtContent>
  </w:sdt>
  <w:p w14:paraId="5457CAC6" w14:textId="30A0E201" w:rsidR="002C4877" w:rsidRPr="00566946" w:rsidRDefault="002C4877" w:rsidP="0056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ACB4" w14:textId="77777777" w:rsidR="002C4877" w:rsidRDefault="002C4877">
      <w:r>
        <w:separator/>
      </w:r>
    </w:p>
  </w:footnote>
  <w:footnote w:type="continuationSeparator" w:id="0">
    <w:p w14:paraId="0F883F24" w14:textId="77777777" w:rsidR="002C4877" w:rsidRDefault="002C4877">
      <w:r>
        <w:continuationSeparator/>
      </w:r>
    </w:p>
  </w:footnote>
  <w:footnote w:type="continuationNotice" w:id="1">
    <w:p w14:paraId="5D4CD64D" w14:textId="77777777" w:rsidR="002C4877" w:rsidRDefault="002C4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D567" w14:textId="77777777" w:rsidR="004E7ABA" w:rsidRDefault="004E7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8720"/>
    </w:tblGrid>
    <w:tr w:rsidR="004E7ABA" w14:paraId="49F1DA95" w14:textId="77777777" w:rsidTr="00A92426">
      <w:tc>
        <w:tcPr>
          <w:tcW w:w="8720" w:type="dxa"/>
          <w:shd w:val="clear" w:color="auto" w:fill="E4F2E0"/>
        </w:tcPr>
        <w:p w14:paraId="37977F0D" w14:textId="77777777" w:rsidR="004E7ABA" w:rsidRPr="007E3846" w:rsidRDefault="004E7ABA" w:rsidP="004E7ABA">
          <w:r w:rsidRPr="007E3846">
            <w:rPr>
              <w:b/>
            </w:rPr>
            <w:t xml:space="preserve">Attachment 1: Product information for </w:t>
          </w:r>
          <w:proofErr w:type="spellStart"/>
          <w:r w:rsidRPr="007E3846">
            <w:rPr>
              <w:b/>
            </w:rPr>
            <w:t>AusPAR</w:t>
          </w:r>
          <w:proofErr w:type="spellEnd"/>
          <w:r w:rsidRPr="007E3846">
            <w:rPr>
              <w:b/>
            </w:rPr>
            <w:t xml:space="preserve"> - </w:t>
          </w:r>
          <w:proofErr w:type="spellStart"/>
          <w:r w:rsidRPr="007E3846">
            <w:rPr>
              <w:b/>
            </w:rPr>
            <w:t>Vaxneuvance</w:t>
          </w:r>
          <w:proofErr w:type="spellEnd"/>
          <w:r w:rsidRPr="007E3846">
            <w:rPr>
              <w:b/>
            </w:rPr>
            <w:t xml:space="preserve"> - pneumococcal 15-valent conjugate vaccine (CRM</w:t>
          </w:r>
          <w:r w:rsidRPr="007E3846">
            <w:rPr>
              <w:b/>
              <w:vertAlign w:val="subscript"/>
            </w:rPr>
            <w:t>197</w:t>
          </w:r>
          <w:r w:rsidRPr="007E3846">
            <w:rPr>
              <w:b/>
            </w:rPr>
            <w:t xml:space="preserve"> protein), adsorbed - Merck Sharp &amp; Dohme (Australia) Pty Ltd - PM-2020-06364-1-2 Final 12 October 2022. This is the Product Information that was approved with the submission described in this </w:t>
          </w:r>
          <w:proofErr w:type="spellStart"/>
          <w:r w:rsidRPr="007E3846">
            <w:rPr>
              <w:b/>
            </w:rPr>
            <w:t>AusPAR</w:t>
          </w:r>
          <w:proofErr w:type="spellEnd"/>
          <w:r w:rsidRPr="007E3846">
            <w:rPr>
              <w:b/>
            </w:rPr>
            <w:t>. It may have been superseded. For the most recent PI, please refer to the TGA website at &lt;</w:t>
          </w:r>
          <w:hyperlink r:id="rId1" w:history="1">
            <w:r w:rsidRPr="007E3846">
              <w:rPr>
                <w:rStyle w:val="Hyperlink"/>
                <w:b/>
              </w:rPr>
              <w:t>https://www.tga.gov.au/products/australian-register-therapeutic-goods-artg/product-information-one</w:t>
            </w:r>
          </w:hyperlink>
          <w:r w:rsidRPr="007E3846">
            <w:rPr>
              <w:rStyle w:val="Hyperlink"/>
            </w:rPr>
            <w:t>&gt;</w:t>
          </w:r>
        </w:p>
      </w:tc>
    </w:tr>
  </w:tbl>
  <w:p w14:paraId="5C87747D" w14:textId="77777777" w:rsidR="004E7ABA" w:rsidRDefault="004E7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8720"/>
    </w:tblGrid>
    <w:tr w:rsidR="00496A99" w14:paraId="71A73A80" w14:textId="77777777" w:rsidTr="00A92426">
      <w:tc>
        <w:tcPr>
          <w:tcW w:w="8720" w:type="dxa"/>
          <w:shd w:val="clear" w:color="auto" w:fill="E4F2E0"/>
        </w:tcPr>
        <w:p w14:paraId="744762D3" w14:textId="77777777" w:rsidR="00496A99" w:rsidRPr="007E3846" w:rsidRDefault="00496A99" w:rsidP="00496A99">
          <w:r w:rsidRPr="007E3846">
            <w:rPr>
              <w:b/>
            </w:rPr>
            <w:t xml:space="preserve">Attachment 1: Product information for </w:t>
          </w:r>
          <w:proofErr w:type="spellStart"/>
          <w:r w:rsidRPr="007E3846">
            <w:rPr>
              <w:b/>
            </w:rPr>
            <w:t>AusPAR</w:t>
          </w:r>
          <w:proofErr w:type="spellEnd"/>
          <w:r w:rsidRPr="007E3846">
            <w:rPr>
              <w:b/>
            </w:rPr>
            <w:t xml:space="preserve"> - </w:t>
          </w:r>
          <w:proofErr w:type="spellStart"/>
          <w:r w:rsidRPr="007E3846">
            <w:rPr>
              <w:b/>
            </w:rPr>
            <w:t>Vaxneuvance</w:t>
          </w:r>
          <w:proofErr w:type="spellEnd"/>
          <w:r w:rsidRPr="007E3846">
            <w:rPr>
              <w:b/>
            </w:rPr>
            <w:t xml:space="preserve"> - pneumococcal 15-valent conjugate vaccine (CRM</w:t>
          </w:r>
          <w:r w:rsidRPr="007E3846">
            <w:rPr>
              <w:b/>
              <w:vertAlign w:val="subscript"/>
            </w:rPr>
            <w:t>197</w:t>
          </w:r>
          <w:r w:rsidRPr="007E3846">
            <w:rPr>
              <w:b/>
            </w:rPr>
            <w:t xml:space="preserve"> protein), adsorbed - Merck Sharp &amp; Dohme (Australia) Pty Ltd - PM-2020-06364-1-2 Final 12 October 2022. This is the Product Information that was approved with the submission described in this </w:t>
          </w:r>
          <w:proofErr w:type="spellStart"/>
          <w:r w:rsidRPr="007E3846">
            <w:rPr>
              <w:b/>
            </w:rPr>
            <w:t>AusPAR</w:t>
          </w:r>
          <w:proofErr w:type="spellEnd"/>
          <w:r w:rsidRPr="007E3846">
            <w:rPr>
              <w:b/>
            </w:rPr>
            <w:t>. It may have been superseded. For the most recent PI, please refer to the TGA website at &lt;</w:t>
          </w:r>
          <w:hyperlink r:id="rId1" w:history="1">
            <w:r w:rsidRPr="007E3846">
              <w:rPr>
                <w:rStyle w:val="Hyperlink"/>
                <w:b/>
              </w:rPr>
              <w:t>https://www.tga.gov.au/products/australian-register-therapeutic-goods-artg/product-information-one</w:t>
            </w:r>
          </w:hyperlink>
          <w:r w:rsidRPr="007E3846">
            <w:rPr>
              <w:rStyle w:val="Hyperlink"/>
            </w:rPr>
            <w:t>&gt;</w:t>
          </w:r>
        </w:p>
      </w:tc>
    </w:tr>
  </w:tbl>
  <w:p w14:paraId="60EA0A46" w14:textId="77777777" w:rsidR="00496A99" w:rsidRDefault="00496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B65"/>
    <w:multiLevelType w:val="hybridMultilevel"/>
    <w:tmpl w:val="AD6A3FFC"/>
    <w:lvl w:ilvl="0" w:tplc="04208BF4">
      <w:start w:val="1"/>
      <w:numFmt w:val="bullet"/>
      <w:pStyle w:val="expldot1"/>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037469"/>
    <w:multiLevelType w:val="hybridMultilevel"/>
    <w:tmpl w:val="687A8664"/>
    <w:lvl w:ilvl="0" w:tplc="0EF428D0">
      <w:start w:val="1"/>
      <w:numFmt w:val="decimal"/>
      <w:lvlText w:val="%1"/>
      <w:lvlJc w:val="left"/>
      <w:pPr>
        <w:ind w:left="927" w:hanging="710"/>
      </w:pPr>
      <w:rPr>
        <w:rFonts w:ascii="Arial" w:eastAsia="Cambria" w:hAnsi="Arial" w:hint="default"/>
        <w:b/>
        <w:bCs/>
        <w:sz w:val="21"/>
        <w:szCs w:val="21"/>
      </w:rPr>
    </w:lvl>
    <w:lvl w:ilvl="1" w:tplc="E5D24902">
      <w:start w:val="1"/>
      <w:numFmt w:val="bullet"/>
      <w:lvlText w:val=""/>
      <w:lvlJc w:val="left"/>
      <w:pPr>
        <w:ind w:left="927" w:hanging="370"/>
      </w:pPr>
      <w:rPr>
        <w:rFonts w:ascii="Symbol" w:eastAsia="Symbol" w:hAnsi="Symbol" w:hint="default"/>
        <w:w w:val="99"/>
        <w:sz w:val="19"/>
        <w:szCs w:val="19"/>
      </w:rPr>
    </w:lvl>
    <w:lvl w:ilvl="2" w:tplc="360E0778">
      <w:start w:val="1"/>
      <w:numFmt w:val="bullet"/>
      <w:lvlText w:val="o"/>
      <w:lvlJc w:val="left"/>
      <w:pPr>
        <w:ind w:left="1778" w:hanging="427"/>
      </w:pPr>
      <w:rPr>
        <w:rFonts w:ascii="Courier New" w:eastAsia="Courier New" w:hAnsi="Courier New" w:hint="default"/>
        <w:w w:val="99"/>
        <w:sz w:val="19"/>
        <w:szCs w:val="19"/>
      </w:rPr>
    </w:lvl>
    <w:lvl w:ilvl="3" w:tplc="D444DAC0">
      <w:start w:val="1"/>
      <w:numFmt w:val="bullet"/>
      <w:lvlText w:val="•"/>
      <w:lvlJc w:val="left"/>
      <w:pPr>
        <w:ind w:left="1778" w:hanging="427"/>
      </w:pPr>
      <w:rPr>
        <w:rFonts w:hint="default"/>
      </w:rPr>
    </w:lvl>
    <w:lvl w:ilvl="4" w:tplc="A23207C2">
      <w:start w:val="1"/>
      <w:numFmt w:val="bullet"/>
      <w:lvlText w:val="•"/>
      <w:lvlJc w:val="left"/>
      <w:pPr>
        <w:ind w:left="2862" w:hanging="427"/>
      </w:pPr>
      <w:rPr>
        <w:rFonts w:hint="default"/>
      </w:rPr>
    </w:lvl>
    <w:lvl w:ilvl="5" w:tplc="1564E12C">
      <w:start w:val="1"/>
      <w:numFmt w:val="bullet"/>
      <w:lvlText w:val="•"/>
      <w:lvlJc w:val="left"/>
      <w:pPr>
        <w:ind w:left="3946" w:hanging="427"/>
      </w:pPr>
      <w:rPr>
        <w:rFonts w:hint="default"/>
      </w:rPr>
    </w:lvl>
    <w:lvl w:ilvl="6" w:tplc="E2DA63D6">
      <w:start w:val="1"/>
      <w:numFmt w:val="bullet"/>
      <w:lvlText w:val="•"/>
      <w:lvlJc w:val="left"/>
      <w:pPr>
        <w:ind w:left="5030" w:hanging="427"/>
      </w:pPr>
      <w:rPr>
        <w:rFonts w:hint="default"/>
      </w:rPr>
    </w:lvl>
    <w:lvl w:ilvl="7" w:tplc="7C94CA76">
      <w:start w:val="1"/>
      <w:numFmt w:val="bullet"/>
      <w:lvlText w:val="•"/>
      <w:lvlJc w:val="left"/>
      <w:pPr>
        <w:ind w:left="6114" w:hanging="427"/>
      </w:pPr>
      <w:rPr>
        <w:rFonts w:hint="default"/>
      </w:rPr>
    </w:lvl>
    <w:lvl w:ilvl="8" w:tplc="CDF850D0">
      <w:start w:val="1"/>
      <w:numFmt w:val="bullet"/>
      <w:lvlText w:val="•"/>
      <w:lvlJc w:val="left"/>
      <w:pPr>
        <w:ind w:left="7198" w:hanging="427"/>
      </w:pPr>
      <w:rPr>
        <w:rFonts w:hint="default"/>
      </w:rPr>
    </w:lvl>
  </w:abstractNum>
  <w:abstractNum w:abstractNumId="2" w15:restartNumberingAfterBreak="0">
    <w:nsid w:val="130B40A0"/>
    <w:multiLevelType w:val="hybridMultilevel"/>
    <w:tmpl w:val="0212C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229A2797"/>
    <w:multiLevelType w:val="hybridMultilevel"/>
    <w:tmpl w:val="02328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7A6849"/>
    <w:multiLevelType w:val="hybridMultilevel"/>
    <w:tmpl w:val="EBA0FA56"/>
    <w:lvl w:ilvl="0" w:tplc="04090001">
      <w:start w:val="1"/>
      <w:numFmt w:val="bullet"/>
      <w:pStyle w:val="expldo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63B8E"/>
    <w:multiLevelType w:val="multilevel"/>
    <w:tmpl w:val="DB3E5A7A"/>
    <w:lvl w:ilvl="0">
      <w:start w:val="4"/>
      <w:numFmt w:val="decimal"/>
      <w:lvlText w:val="%1"/>
      <w:lvlJc w:val="left"/>
      <w:pPr>
        <w:ind w:left="927" w:hanging="710"/>
      </w:pPr>
      <w:rPr>
        <w:rFonts w:hint="default"/>
      </w:rPr>
    </w:lvl>
    <w:lvl w:ilvl="1">
      <w:start w:val="1"/>
      <w:numFmt w:val="decimal"/>
      <w:lvlText w:val="%1.%2"/>
      <w:lvlJc w:val="left"/>
      <w:pPr>
        <w:ind w:left="927" w:hanging="710"/>
      </w:pPr>
      <w:rPr>
        <w:rFonts w:ascii="Arial" w:eastAsia="Cambria" w:hAnsi="Arial" w:hint="default"/>
        <w:b/>
        <w:bCs/>
        <w:sz w:val="21"/>
        <w:szCs w:val="21"/>
      </w:rPr>
    </w:lvl>
    <w:lvl w:ilvl="2">
      <w:start w:val="1"/>
      <w:numFmt w:val="bullet"/>
      <w:lvlText w:val=""/>
      <w:lvlJc w:val="left"/>
      <w:pPr>
        <w:ind w:left="927" w:hanging="370"/>
      </w:pPr>
      <w:rPr>
        <w:rFonts w:ascii="Symbol" w:eastAsia="Symbol" w:hAnsi="Symbol" w:hint="default"/>
        <w:w w:val="99"/>
        <w:sz w:val="19"/>
        <w:szCs w:val="19"/>
      </w:rPr>
    </w:lvl>
    <w:lvl w:ilvl="3">
      <w:start w:val="1"/>
      <w:numFmt w:val="bullet"/>
      <w:lvlText w:val="o"/>
      <w:lvlJc w:val="left"/>
      <w:pPr>
        <w:ind w:left="1352" w:hanging="427"/>
      </w:pPr>
      <w:rPr>
        <w:rFonts w:ascii="Courier New" w:eastAsia="Courier New" w:hAnsi="Courier New" w:hint="default"/>
        <w:w w:val="99"/>
        <w:sz w:val="19"/>
        <w:szCs w:val="19"/>
      </w:rPr>
    </w:lvl>
    <w:lvl w:ilvl="4">
      <w:start w:val="1"/>
      <w:numFmt w:val="bullet"/>
      <w:lvlText w:val="•"/>
      <w:lvlJc w:val="left"/>
      <w:pPr>
        <w:ind w:left="927" w:hanging="427"/>
      </w:pPr>
      <w:rPr>
        <w:rFonts w:hint="default"/>
      </w:rPr>
    </w:lvl>
    <w:lvl w:ilvl="5">
      <w:start w:val="1"/>
      <w:numFmt w:val="bullet"/>
      <w:lvlText w:val="•"/>
      <w:lvlJc w:val="left"/>
      <w:pPr>
        <w:ind w:left="1352" w:hanging="427"/>
      </w:pPr>
      <w:rPr>
        <w:rFonts w:hint="default"/>
      </w:rPr>
    </w:lvl>
    <w:lvl w:ilvl="6">
      <w:start w:val="1"/>
      <w:numFmt w:val="bullet"/>
      <w:lvlText w:val="•"/>
      <w:lvlJc w:val="left"/>
      <w:pPr>
        <w:ind w:left="1778" w:hanging="427"/>
      </w:pPr>
      <w:rPr>
        <w:rFonts w:hint="default"/>
      </w:rPr>
    </w:lvl>
    <w:lvl w:ilvl="7">
      <w:start w:val="1"/>
      <w:numFmt w:val="bullet"/>
      <w:lvlText w:val="•"/>
      <w:lvlJc w:val="left"/>
      <w:pPr>
        <w:ind w:left="3675" w:hanging="427"/>
      </w:pPr>
      <w:rPr>
        <w:rFonts w:hint="default"/>
      </w:rPr>
    </w:lvl>
    <w:lvl w:ilvl="8">
      <w:start w:val="1"/>
      <w:numFmt w:val="bullet"/>
      <w:lvlText w:val="•"/>
      <w:lvlJc w:val="left"/>
      <w:pPr>
        <w:ind w:left="5572" w:hanging="427"/>
      </w:pPr>
      <w:rPr>
        <w:rFonts w:hint="default"/>
      </w:rPr>
    </w:lvl>
  </w:abstractNum>
  <w:abstractNum w:abstractNumId="7" w15:restartNumberingAfterBreak="0">
    <w:nsid w:val="78DC50BD"/>
    <w:multiLevelType w:val="hybridMultilevel"/>
    <w:tmpl w:val="17A8CC76"/>
    <w:lvl w:ilvl="0" w:tplc="55D2BDB2">
      <w:start w:val="4"/>
      <w:numFmt w:val="decimal"/>
      <w:lvlText w:val="%1"/>
      <w:lvlJc w:val="left"/>
      <w:pPr>
        <w:ind w:left="927" w:hanging="710"/>
      </w:pPr>
      <w:rPr>
        <w:rFonts w:ascii="Arial" w:eastAsia="Cambria" w:hAnsi="Arial" w:hint="default"/>
        <w:b/>
        <w:bCs/>
        <w:sz w:val="21"/>
        <w:szCs w:val="2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8B1F7D"/>
    <w:multiLevelType w:val="multilevel"/>
    <w:tmpl w:val="F266D22E"/>
    <w:lvl w:ilvl="0">
      <w:start w:val="5"/>
      <w:numFmt w:val="decimal"/>
      <w:lvlText w:val="%1"/>
      <w:lvlJc w:val="left"/>
      <w:pPr>
        <w:ind w:left="710" w:hanging="710"/>
      </w:pPr>
      <w:rPr>
        <w:rFonts w:ascii="Cambria" w:eastAsia="Cambria" w:hAnsi="Cambria" w:hint="default"/>
        <w:b/>
        <w:bCs/>
        <w:color w:val="FFFFFF" w:themeColor="background1"/>
        <w:sz w:val="21"/>
        <w:szCs w:val="21"/>
      </w:rPr>
    </w:lvl>
    <w:lvl w:ilvl="1">
      <w:start w:val="1"/>
      <w:numFmt w:val="decimal"/>
      <w:lvlText w:val="%1.%2"/>
      <w:lvlJc w:val="left"/>
      <w:pPr>
        <w:ind w:left="927" w:hanging="710"/>
      </w:pPr>
      <w:rPr>
        <w:rFonts w:ascii="Arial" w:eastAsia="Cambria" w:hAnsi="Arial" w:hint="default"/>
        <w:b/>
        <w:bCs/>
        <w:sz w:val="21"/>
        <w:szCs w:val="21"/>
      </w:rPr>
    </w:lvl>
    <w:lvl w:ilvl="2">
      <w:start w:val="1"/>
      <w:numFmt w:val="bullet"/>
      <w:lvlText w:val=""/>
      <w:lvlJc w:val="left"/>
      <w:pPr>
        <w:ind w:left="927" w:hanging="370"/>
      </w:pPr>
      <w:rPr>
        <w:rFonts w:ascii="Symbol" w:eastAsia="Symbol" w:hAnsi="Symbol" w:hint="default"/>
        <w:w w:val="99"/>
        <w:sz w:val="19"/>
        <w:szCs w:val="19"/>
      </w:rPr>
    </w:lvl>
    <w:lvl w:ilvl="3">
      <w:start w:val="1"/>
      <w:numFmt w:val="bullet"/>
      <w:lvlText w:val="o"/>
      <w:lvlJc w:val="left"/>
      <w:pPr>
        <w:ind w:left="1778" w:hanging="427"/>
      </w:pPr>
      <w:rPr>
        <w:rFonts w:ascii="Courier New" w:eastAsia="Courier New" w:hAnsi="Courier New" w:hint="default"/>
        <w:w w:val="99"/>
        <w:sz w:val="19"/>
        <w:szCs w:val="19"/>
      </w:rPr>
    </w:lvl>
    <w:lvl w:ilvl="4">
      <w:start w:val="1"/>
      <w:numFmt w:val="bullet"/>
      <w:lvlText w:val="•"/>
      <w:lvlJc w:val="left"/>
      <w:pPr>
        <w:ind w:left="927" w:hanging="427"/>
      </w:pPr>
      <w:rPr>
        <w:rFonts w:hint="default"/>
      </w:rPr>
    </w:lvl>
    <w:lvl w:ilvl="5">
      <w:start w:val="1"/>
      <w:numFmt w:val="bullet"/>
      <w:lvlText w:val="•"/>
      <w:lvlJc w:val="left"/>
      <w:pPr>
        <w:ind w:left="927" w:hanging="427"/>
      </w:pPr>
      <w:rPr>
        <w:rFonts w:hint="default"/>
      </w:rPr>
    </w:lvl>
    <w:lvl w:ilvl="6">
      <w:start w:val="1"/>
      <w:numFmt w:val="bullet"/>
      <w:lvlText w:val="•"/>
      <w:lvlJc w:val="left"/>
      <w:pPr>
        <w:ind w:left="927" w:hanging="427"/>
      </w:pPr>
      <w:rPr>
        <w:rFonts w:hint="default"/>
      </w:rPr>
    </w:lvl>
    <w:lvl w:ilvl="7">
      <w:start w:val="1"/>
      <w:numFmt w:val="bullet"/>
      <w:lvlText w:val="•"/>
      <w:lvlJc w:val="left"/>
      <w:pPr>
        <w:ind w:left="1778" w:hanging="427"/>
      </w:pPr>
      <w:rPr>
        <w:rFonts w:hint="default"/>
      </w:rPr>
    </w:lvl>
    <w:lvl w:ilvl="8">
      <w:start w:val="1"/>
      <w:numFmt w:val="bullet"/>
      <w:lvlText w:val="•"/>
      <w:lvlJc w:val="left"/>
      <w:pPr>
        <w:ind w:left="4307" w:hanging="427"/>
      </w:pPr>
      <w:rPr>
        <w:rFonts w:hint="default"/>
      </w:rPr>
    </w:lvl>
  </w:abstractNum>
  <w:num w:numId="1">
    <w:abstractNumId w:val="6"/>
  </w:num>
  <w:num w:numId="2">
    <w:abstractNumId w:val="1"/>
  </w:num>
  <w:num w:numId="3">
    <w:abstractNumId w:val="5"/>
  </w:num>
  <w:num w:numId="4">
    <w:abstractNumId w:val="0"/>
  </w:num>
  <w:num w:numId="5">
    <w:abstractNumId w:val="8"/>
  </w:num>
  <w:num w:numId="6">
    <w:abstractNumId w:val="7"/>
  </w:num>
  <w:num w:numId="7">
    <w:abstractNumId w:val="2"/>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0D"/>
    <w:rsid w:val="00016E0E"/>
    <w:rsid w:val="0001710B"/>
    <w:rsid w:val="00017C0B"/>
    <w:rsid w:val="00023783"/>
    <w:rsid w:val="00035234"/>
    <w:rsid w:val="00035365"/>
    <w:rsid w:val="00035B11"/>
    <w:rsid w:val="000411C3"/>
    <w:rsid w:val="00045271"/>
    <w:rsid w:val="000467F2"/>
    <w:rsid w:val="000502E3"/>
    <w:rsid w:val="0005507B"/>
    <w:rsid w:val="000616A6"/>
    <w:rsid w:val="00066E41"/>
    <w:rsid w:val="00074C88"/>
    <w:rsid w:val="00075766"/>
    <w:rsid w:val="00077580"/>
    <w:rsid w:val="0008233E"/>
    <w:rsid w:val="000A3083"/>
    <w:rsid w:val="000A4A64"/>
    <w:rsid w:val="000B1BBF"/>
    <w:rsid w:val="000B516A"/>
    <w:rsid w:val="000B5B2E"/>
    <w:rsid w:val="000C0DC6"/>
    <w:rsid w:val="000D2009"/>
    <w:rsid w:val="000E243F"/>
    <w:rsid w:val="000E2A94"/>
    <w:rsid w:val="000E4E3E"/>
    <w:rsid w:val="000F22B5"/>
    <w:rsid w:val="00102784"/>
    <w:rsid w:val="0010640D"/>
    <w:rsid w:val="00106CE8"/>
    <w:rsid w:val="00110089"/>
    <w:rsid w:val="00114CE4"/>
    <w:rsid w:val="00122E1D"/>
    <w:rsid w:val="00125EEA"/>
    <w:rsid w:val="00126A0F"/>
    <w:rsid w:val="001448F1"/>
    <w:rsid w:val="00147176"/>
    <w:rsid w:val="001525E0"/>
    <w:rsid w:val="001568FA"/>
    <w:rsid w:val="001612AF"/>
    <w:rsid w:val="00171C0E"/>
    <w:rsid w:val="001742ED"/>
    <w:rsid w:val="001759E8"/>
    <w:rsid w:val="00185D22"/>
    <w:rsid w:val="0019693E"/>
    <w:rsid w:val="001A046A"/>
    <w:rsid w:val="001A2C2B"/>
    <w:rsid w:val="001A3A6A"/>
    <w:rsid w:val="001B4FB8"/>
    <w:rsid w:val="001C4C8F"/>
    <w:rsid w:val="001D1B71"/>
    <w:rsid w:val="001D74E2"/>
    <w:rsid w:val="001E07E6"/>
    <w:rsid w:val="001E1009"/>
    <w:rsid w:val="001F38D5"/>
    <w:rsid w:val="001F502A"/>
    <w:rsid w:val="001F678E"/>
    <w:rsid w:val="001F784B"/>
    <w:rsid w:val="00207408"/>
    <w:rsid w:val="0021387D"/>
    <w:rsid w:val="00216621"/>
    <w:rsid w:val="00222F3C"/>
    <w:rsid w:val="00226A61"/>
    <w:rsid w:val="002337D9"/>
    <w:rsid w:val="002462FA"/>
    <w:rsid w:val="002478F8"/>
    <w:rsid w:val="00253860"/>
    <w:rsid w:val="00257E02"/>
    <w:rsid w:val="00264DBB"/>
    <w:rsid w:val="0026690D"/>
    <w:rsid w:val="0026718C"/>
    <w:rsid w:val="00270877"/>
    <w:rsid w:val="00283766"/>
    <w:rsid w:val="00285DEA"/>
    <w:rsid w:val="002A0590"/>
    <w:rsid w:val="002A5967"/>
    <w:rsid w:val="002A6851"/>
    <w:rsid w:val="002A779C"/>
    <w:rsid w:val="002C269E"/>
    <w:rsid w:val="002C4877"/>
    <w:rsid w:val="002C5859"/>
    <w:rsid w:val="002E4C78"/>
    <w:rsid w:val="002E4CD9"/>
    <w:rsid w:val="00303D44"/>
    <w:rsid w:val="003056A9"/>
    <w:rsid w:val="00306A53"/>
    <w:rsid w:val="0031013B"/>
    <w:rsid w:val="003242FD"/>
    <w:rsid w:val="0033127F"/>
    <w:rsid w:val="00337EFB"/>
    <w:rsid w:val="00350702"/>
    <w:rsid w:val="00354CEF"/>
    <w:rsid w:val="003626A4"/>
    <w:rsid w:val="00362E04"/>
    <w:rsid w:val="00373880"/>
    <w:rsid w:val="00394C7E"/>
    <w:rsid w:val="003A0223"/>
    <w:rsid w:val="003A053E"/>
    <w:rsid w:val="003A58B7"/>
    <w:rsid w:val="003B2BFE"/>
    <w:rsid w:val="003B5C94"/>
    <w:rsid w:val="003C09D6"/>
    <w:rsid w:val="003D332D"/>
    <w:rsid w:val="003D796F"/>
    <w:rsid w:val="003E4706"/>
    <w:rsid w:val="003E52AF"/>
    <w:rsid w:val="00402E6C"/>
    <w:rsid w:val="00412D55"/>
    <w:rsid w:val="00421B68"/>
    <w:rsid w:val="004244B6"/>
    <w:rsid w:val="00432391"/>
    <w:rsid w:val="00435473"/>
    <w:rsid w:val="00440CB2"/>
    <w:rsid w:val="00464487"/>
    <w:rsid w:val="00476832"/>
    <w:rsid w:val="00483CCF"/>
    <w:rsid w:val="00496A99"/>
    <w:rsid w:val="004A725C"/>
    <w:rsid w:val="004B1F4E"/>
    <w:rsid w:val="004C0963"/>
    <w:rsid w:val="004D404A"/>
    <w:rsid w:val="004D4E86"/>
    <w:rsid w:val="004D5761"/>
    <w:rsid w:val="004E705C"/>
    <w:rsid w:val="004E7ABA"/>
    <w:rsid w:val="005009A6"/>
    <w:rsid w:val="00523FB6"/>
    <w:rsid w:val="00525FEA"/>
    <w:rsid w:val="00527642"/>
    <w:rsid w:val="005328A0"/>
    <w:rsid w:val="00532CB9"/>
    <w:rsid w:val="005340C5"/>
    <w:rsid w:val="00561452"/>
    <w:rsid w:val="00561822"/>
    <w:rsid w:val="0056429A"/>
    <w:rsid w:val="005661F8"/>
    <w:rsid w:val="005668A8"/>
    <w:rsid w:val="00566946"/>
    <w:rsid w:val="0057625B"/>
    <w:rsid w:val="00591F06"/>
    <w:rsid w:val="00597AC4"/>
    <w:rsid w:val="005A2EDC"/>
    <w:rsid w:val="005B0299"/>
    <w:rsid w:val="005B69F6"/>
    <w:rsid w:val="005C6B2C"/>
    <w:rsid w:val="005C7DE7"/>
    <w:rsid w:val="005C7E09"/>
    <w:rsid w:val="005D5A51"/>
    <w:rsid w:val="005E51DF"/>
    <w:rsid w:val="005E5A3C"/>
    <w:rsid w:val="005E6B3C"/>
    <w:rsid w:val="005F4CD5"/>
    <w:rsid w:val="005F56CD"/>
    <w:rsid w:val="006224BD"/>
    <w:rsid w:val="0063796A"/>
    <w:rsid w:val="00640925"/>
    <w:rsid w:val="006439BF"/>
    <w:rsid w:val="00657005"/>
    <w:rsid w:val="006630BA"/>
    <w:rsid w:val="00667CB3"/>
    <w:rsid w:val="0067684D"/>
    <w:rsid w:val="00683017"/>
    <w:rsid w:val="006972AD"/>
    <w:rsid w:val="006B46BB"/>
    <w:rsid w:val="006B7E9F"/>
    <w:rsid w:val="006C3745"/>
    <w:rsid w:val="006D15E1"/>
    <w:rsid w:val="006F3793"/>
    <w:rsid w:val="006F69FE"/>
    <w:rsid w:val="00703BD4"/>
    <w:rsid w:val="00714B60"/>
    <w:rsid w:val="007308AF"/>
    <w:rsid w:val="00735788"/>
    <w:rsid w:val="00735DB9"/>
    <w:rsid w:val="007417DB"/>
    <w:rsid w:val="00741FBE"/>
    <w:rsid w:val="00747DDB"/>
    <w:rsid w:val="00751E21"/>
    <w:rsid w:val="00757B64"/>
    <w:rsid w:val="0076263F"/>
    <w:rsid w:val="0076368E"/>
    <w:rsid w:val="00772BAA"/>
    <w:rsid w:val="007852FE"/>
    <w:rsid w:val="00785E4E"/>
    <w:rsid w:val="007875D6"/>
    <w:rsid w:val="00794D67"/>
    <w:rsid w:val="0079546F"/>
    <w:rsid w:val="0079594E"/>
    <w:rsid w:val="007C21F9"/>
    <w:rsid w:val="007C2932"/>
    <w:rsid w:val="007D0DA7"/>
    <w:rsid w:val="007D709E"/>
    <w:rsid w:val="007E5286"/>
    <w:rsid w:val="00801D42"/>
    <w:rsid w:val="00820552"/>
    <w:rsid w:val="00823047"/>
    <w:rsid w:val="0085330B"/>
    <w:rsid w:val="008536E1"/>
    <w:rsid w:val="008559E9"/>
    <w:rsid w:val="00860BF0"/>
    <w:rsid w:val="00871C96"/>
    <w:rsid w:val="00897976"/>
    <w:rsid w:val="00897E52"/>
    <w:rsid w:val="008D42A1"/>
    <w:rsid w:val="008E7664"/>
    <w:rsid w:val="008F51B1"/>
    <w:rsid w:val="008F5FBE"/>
    <w:rsid w:val="00906917"/>
    <w:rsid w:val="009227C9"/>
    <w:rsid w:val="009256E1"/>
    <w:rsid w:val="00926646"/>
    <w:rsid w:val="00927371"/>
    <w:rsid w:val="00927D2C"/>
    <w:rsid w:val="00931582"/>
    <w:rsid w:val="009378D6"/>
    <w:rsid w:val="00947E0D"/>
    <w:rsid w:val="00966763"/>
    <w:rsid w:val="00971A75"/>
    <w:rsid w:val="00975451"/>
    <w:rsid w:val="009A68C4"/>
    <w:rsid w:val="009B5753"/>
    <w:rsid w:val="009B6726"/>
    <w:rsid w:val="009C4A9C"/>
    <w:rsid w:val="009E178E"/>
    <w:rsid w:val="009E5540"/>
    <w:rsid w:val="009F3194"/>
    <w:rsid w:val="009F6158"/>
    <w:rsid w:val="009F7E65"/>
    <w:rsid w:val="00A02EEC"/>
    <w:rsid w:val="00A12483"/>
    <w:rsid w:val="00A30EF5"/>
    <w:rsid w:val="00A34734"/>
    <w:rsid w:val="00A40C2D"/>
    <w:rsid w:val="00A43F43"/>
    <w:rsid w:val="00A46484"/>
    <w:rsid w:val="00A5511F"/>
    <w:rsid w:val="00A746BF"/>
    <w:rsid w:val="00A8177F"/>
    <w:rsid w:val="00A82450"/>
    <w:rsid w:val="00A852D2"/>
    <w:rsid w:val="00A8531C"/>
    <w:rsid w:val="00A9134C"/>
    <w:rsid w:val="00A92351"/>
    <w:rsid w:val="00A92876"/>
    <w:rsid w:val="00AA4B93"/>
    <w:rsid w:val="00AB0587"/>
    <w:rsid w:val="00AC2641"/>
    <w:rsid w:val="00AD2474"/>
    <w:rsid w:val="00AF0E87"/>
    <w:rsid w:val="00AF4240"/>
    <w:rsid w:val="00B17ED8"/>
    <w:rsid w:val="00B23E0A"/>
    <w:rsid w:val="00B25099"/>
    <w:rsid w:val="00B27918"/>
    <w:rsid w:val="00B316B8"/>
    <w:rsid w:val="00B34102"/>
    <w:rsid w:val="00B35790"/>
    <w:rsid w:val="00B409FF"/>
    <w:rsid w:val="00B4320B"/>
    <w:rsid w:val="00B56F8D"/>
    <w:rsid w:val="00B61CA1"/>
    <w:rsid w:val="00B61EA2"/>
    <w:rsid w:val="00B75B8F"/>
    <w:rsid w:val="00B76A6F"/>
    <w:rsid w:val="00B82F92"/>
    <w:rsid w:val="00B8720A"/>
    <w:rsid w:val="00B94DFA"/>
    <w:rsid w:val="00BA095B"/>
    <w:rsid w:val="00BD0DE1"/>
    <w:rsid w:val="00BD626E"/>
    <w:rsid w:val="00BE6C4E"/>
    <w:rsid w:val="00BF4F4D"/>
    <w:rsid w:val="00C133D4"/>
    <w:rsid w:val="00C16066"/>
    <w:rsid w:val="00C44B33"/>
    <w:rsid w:val="00C44E21"/>
    <w:rsid w:val="00C62803"/>
    <w:rsid w:val="00C66886"/>
    <w:rsid w:val="00C72ED3"/>
    <w:rsid w:val="00C9057B"/>
    <w:rsid w:val="00C96449"/>
    <w:rsid w:val="00C97DF2"/>
    <w:rsid w:val="00CA0FFE"/>
    <w:rsid w:val="00CB58EB"/>
    <w:rsid w:val="00CC337C"/>
    <w:rsid w:val="00CD0E1F"/>
    <w:rsid w:val="00CD4F7F"/>
    <w:rsid w:val="00CE1887"/>
    <w:rsid w:val="00CE3CFB"/>
    <w:rsid w:val="00CF4581"/>
    <w:rsid w:val="00D03504"/>
    <w:rsid w:val="00D170DB"/>
    <w:rsid w:val="00D211A3"/>
    <w:rsid w:val="00D266B7"/>
    <w:rsid w:val="00D331B1"/>
    <w:rsid w:val="00D45829"/>
    <w:rsid w:val="00D523F3"/>
    <w:rsid w:val="00D542FC"/>
    <w:rsid w:val="00D55B55"/>
    <w:rsid w:val="00D6233E"/>
    <w:rsid w:val="00D67A89"/>
    <w:rsid w:val="00D71C9A"/>
    <w:rsid w:val="00D73901"/>
    <w:rsid w:val="00D8287B"/>
    <w:rsid w:val="00D8452A"/>
    <w:rsid w:val="00D871D6"/>
    <w:rsid w:val="00D97DD6"/>
    <w:rsid w:val="00DC70E4"/>
    <w:rsid w:val="00DE6089"/>
    <w:rsid w:val="00DF776E"/>
    <w:rsid w:val="00E02807"/>
    <w:rsid w:val="00E03650"/>
    <w:rsid w:val="00E04D7D"/>
    <w:rsid w:val="00E15678"/>
    <w:rsid w:val="00E225A3"/>
    <w:rsid w:val="00E32AD6"/>
    <w:rsid w:val="00E4743C"/>
    <w:rsid w:val="00E55E11"/>
    <w:rsid w:val="00E71B6E"/>
    <w:rsid w:val="00E844ED"/>
    <w:rsid w:val="00E85B54"/>
    <w:rsid w:val="00E85BDA"/>
    <w:rsid w:val="00E94F2A"/>
    <w:rsid w:val="00EB2FE2"/>
    <w:rsid w:val="00EB76E7"/>
    <w:rsid w:val="00EC3B1E"/>
    <w:rsid w:val="00EC3ED7"/>
    <w:rsid w:val="00EF20D7"/>
    <w:rsid w:val="00EF62A5"/>
    <w:rsid w:val="00EF6E0A"/>
    <w:rsid w:val="00F218E6"/>
    <w:rsid w:val="00F21E6E"/>
    <w:rsid w:val="00F30A3D"/>
    <w:rsid w:val="00F4440A"/>
    <w:rsid w:val="00F648FE"/>
    <w:rsid w:val="00F6508C"/>
    <w:rsid w:val="00F67951"/>
    <w:rsid w:val="00F80A27"/>
    <w:rsid w:val="00F82310"/>
    <w:rsid w:val="00F84448"/>
    <w:rsid w:val="00F85F0D"/>
    <w:rsid w:val="00F90501"/>
    <w:rsid w:val="00F9101F"/>
    <w:rsid w:val="00FA3711"/>
    <w:rsid w:val="00FA5B01"/>
    <w:rsid w:val="00FB59B1"/>
    <w:rsid w:val="00FB6E79"/>
    <w:rsid w:val="00FC30DA"/>
    <w:rsid w:val="00FD59AD"/>
    <w:rsid w:val="00FE1815"/>
    <w:rsid w:val="00FE18E8"/>
    <w:rsid w:val="00FF0B9E"/>
    <w:rsid w:val="00FF7105"/>
    <w:rsid w:val="00FF7926"/>
    <w:rsid w:val="00FF7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A6E6F71"/>
  <w15:docId w15:val="{664D4BE7-2AB1-446D-A527-309B223F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09D6"/>
  </w:style>
  <w:style w:type="paragraph" w:styleId="Heading1">
    <w:name w:val="heading 1"/>
    <w:basedOn w:val="Normal"/>
    <w:qFormat/>
    <w:rsid w:val="00102784"/>
    <w:pPr>
      <w:keepNext/>
      <w:ind w:left="924" w:hanging="709"/>
      <w:outlineLvl w:val="0"/>
    </w:pPr>
    <w:rPr>
      <w:rFonts w:ascii="Arial" w:eastAsia="Cambria" w:hAnsi="Arial"/>
      <w:b/>
      <w:bCs/>
      <w:sz w:val="21"/>
      <w:szCs w:val="21"/>
    </w:rPr>
  </w:style>
  <w:style w:type="paragraph" w:styleId="Heading2">
    <w:name w:val="heading 2"/>
    <w:basedOn w:val="Normal"/>
    <w:qFormat/>
    <w:rsid w:val="00FA5B01"/>
    <w:pPr>
      <w:ind w:left="4253" w:right="4267" w:hanging="4253"/>
      <w:outlineLvl w:val="1"/>
    </w:pPr>
    <w:rPr>
      <w:rFonts w:ascii="Arial" w:eastAsia="Cambria" w:hAnsi="Arial" w:cs="Arial"/>
      <w:b/>
      <w:bCs/>
      <w:color w:val="001523"/>
      <w:sz w:val="20"/>
      <w:szCs w:val="20"/>
    </w:rPr>
  </w:style>
  <w:style w:type="paragraph" w:styleId="Heading3">
    <w:name w:val="heading 3"/>
    <w:basedOn w:val="Normal"/>
    <w:next w:val="Normal"/>
    <w:link w:val="Heading3Char"/>
    <w:qFormat/>
    <w:rsid w:val="00735788"/>
    <w:pPr>
      <w:keepNext/>
      <w:widowControl/>
      <w:jc w:val="center"/>
      <w:outlineLvl w:val="2"/>
    </w:pPr>
    <w:rPr>
      <w:rFonts w:ascii="Arial" w:eastAsia="Times New Roman" w:hAnsi="Arial" w:cs="Times New Roman"/>
      <w:b/>
      <w:szCs w:val="20"/>
      <w:u w:val="single"/>
    </w:rPr>
  </w:style>
  <w:style w:type="paragraph" w:styleId="Heading4">
    <w:name w:val="heading 4"/>
    <w:basedOn w:val="Normal"/>
    <w:next w:val="NormalIndent"/>
    <w:link w:val="Heading4Char"/>
    <w:qFormat/>
    <w:rsid w:val="007C2932"/>
    <w:pPr>
      <w:widowControl/>
      <w:ind w:left="360"/>
      <w:outlineLvl w:val="3"/>
    </w:pPr>
    <w:rPr>
      <w:rFonts w:ascii="Arial" w:eastAsia="MS Mincho" w:hAnsi="Arial" w:cs="Times New Roman"/>
      <w:sz w:val="24"/>
      <w:szCs w:val="20"/>
      <w:u w:val="single"/>
      <w:lang w:eastAsia="ja-JP"/>
    </w:rPr>
  </w:style>
  <w:style w:type="paragraph" w:styleId="Heading5">
    <w:name w:val="heading 5"/>
    <w:basedOn w:val="Normal"/>
    <w:next w:val="NormalIndent"/>
    <w:link w:val="Heading5Char"/>
    <w:qFormat/>
    <w:rsid w:val="007C2932"/>
    <w:pPr>
      <w:widowControl/>
      <w:ind w:left="720"/>
      <w:outlineLvl w:val="4"/>
    </w:pPr>
    <w:rPr>
      <w:rFonts w:ascii="Arial" w:eastAsia="MS Mincho" w:hAnsi="Arial" w:cs="Times New Roman"/>
      <w:b/>
      <w:sz w:val="20"/>
      <w:szCs w:val="20"/>
      <w:lang w:eastAsia="ja-JP"/>
    </w:rPr>
  </w:style>
  <w:style w:type="paragraph" w:styleId="Heading6">
    <w:name w:val="heading 6"/>
    <w:basedOn w:val="Normal"/>
    <w:next w:val="NormalIndent"/>
    <w:link w:val="Heading6Char"/>
    <w:qFormat/>
    <w:rsid w:val="007C2932"/>
    <w:pPr>
      <w:widowControl/>
      <w:ind w:left="720"/>
      <w:outlineLvl w:val="5"/>
    </w:pPr>
    <w:rPr>
      <w:rFonts w:ascii="Arial" w:eastAsia="MS Mincho" w:hAnsi="Arial" w:cs="Times New Roman"/>
      <w:sz w:val="20"/>
      <w:szCs w:val="20"/>
      <w:u w:val="single"/>
      <w:lang w:eastAsia="ja-JP"/>
    </w:rPr>
  </w:style>
  <w:style w:type="paragraph" w:styleId="Heading7">
    <w:name w:val="heading 7"/>
    <w:basedOn w:val="Normal"/>
    <w:next w:val="NormalIndent"/>
    <w:link w:val="Heading7Char"/>
    <w:qFormat/>
    <w:rsid w:val="007C2932"/>
    <w:pPr>
      <w:widowControl/>
      <w:ind w:left="720"/>
      <w:outlineLvl w:val="6"/>
    </w:pPr>
    <w:rPr>
      <w:rFonts w:ascii="Arial" w:eastAsia="MS Mincho" w:hAnsi="Arial" w:cs="Times New Roman"/>
      <w:i/>
      <w:sz w:val="20"/>
      <w:szCs w:val="20"/>
      <w:lang w:eastAsia="ja-JP"/>
    </w:rPr>
  </w:style>
  <w:style w:type="paragraph" w:styleId="Heading8">
    <w:name w:val="heading 8"/>
    <w:basedOn w:val="Normal"/>
    <w:next w:val="NormalIndent"/>
    <w:link w:val="Heading8Char"/>
    <w:qFormat/>
    <w:rsid w:val="007C2932"/>
    <w:pPr>
      <w:widowControl/>
      <w:ind w:left="720"/>
      <w:outlineLvl w:val="7"/>
    </w:pPr>
    <w:rPr>
      <w:rFonts w:ascii="Arial" w:eastAsia="MS Mincho" w:hAnsi="Arial" w:cs="Times New Roman"/>
      <w:i/>
      <w:sz w:val="20"/>
      <w:szCs w:val="20"/>
      <w:lang w:eastAsia="ja-JP"/>
    </w:rPr>
  </w:style>
  <w:style w:type="paragraph" w:styleId="Heading9">
    <w:name w:val="heading 9"/>
    <w:basedOn w:val="Normal"/>
    <w:next w:val="NormalIndent"/>
    <w:link w:val="Heading9Char"/>
    <w:qFormat/>
    <w:rsid w:val="007C2932"/>
    <w:pPr>
      <w:widowControl/>
      <w:ind w:left="720"/>
      <w:outlineLvl w:val="8"/>
    </w:pPr>
    <w:rPr>
      <w:rFonts w:ascii="Arial" w:eastAsia="MS Mincho" w:hAnsi="Arial" w:cs="Times New Roman"/>
      <w:i/>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1210" w:hanging="993"/>
    </w:pPr>
    <w:rPr>
      <w:rFonts w:ascii="Cambria" w:eastAsia="Cambria" w:hAnsi="Cambria"/>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91F06"/>
    <w:pPr>
      <w:tabs>
        <w:tab w:val="center" w:pos="4513"/>
        <w:tab w:val="right" w:pos="9026"/>
      </w:tabs>
    </w:pPr>
  </w:style>
  <w:style w:type="character" w:customStyle="1" w:styleId="HeaderChar">
    <w:name w:val="Header Char"/>
    <w:basedOn w:val="DefaultParagraphFont"/>
    <w:link w:val="Header"/>
    <w:uiPriority w:val="99"/>
    <w:rsid w:val="00591F06"/>
  </w:style>
  <w:style w:type="paragraph" w:styleId="Footer">
    <w:name w:val="footer"/>
    <w:basedOn w:val="Normal"/>
    <w:link w:val="FooterChar"/>
    <w:uiPriority w:val="99"/>
    <w:unhideWhenUsed/>
    <w:rsid w:val="00591F06"/>
    <w:pPr>
      <w:tabs>
        <w:tab w:val="center" w:pos="4513"/>
        <w:tab w:val="right" w:pos="9026"/>
      </w:tabs>
    </w:pPr>
  </w:style>
  <w:style w:type="character" w:customStyle="1" w:styleId="FooterChar">
    <w:name w:val="Footer Char"/>
    <w:basedOn w:val="DefaultParagraphFont"/>
    <w:link w:val="Footer"/>
    <w:uiPriority w:val="99"/>
    <w:rsid w:val="00591F06"/>
  </w:style>
  <w:style w:type="paragraph" w:styleId="BalloonText">
    <w:name w:val="Balloon Text"/>
    <w:basedOn w:val="Normal"/>
    <w:link w:val="BalloonTextChar"/>
    <w:semiHidden/>
    <w:unhideWhenUsed/>
    <w:rsid w:val="00045271"/>
    <w:rPr>
      <w:rFonts w:ascii="Tahoma" w:hAnsi="Tahoma" w:cs="Tahoma"/>
      <w:sz w:val="16"/>
      <w:szCs w:val="16"/>
    </w:rPr>
  </w:style>
  <w:style w:type="character" w:customStyle="1" w:styleId="BalloonTextChar">
    <w:name w:val="Balloon Text Char"/>
    <w:basedOn w:val="DefaultParagraphFont"/>
    <w:link w:val="BalloonText"/>
    <w:uiPriority w:val="99"/>
    <w:semiHidden/>
    <w:rsid w:val="00045271"/>
    <w:rPr>
      <w:rFonts w:ascii="Tahoma" w:hAnsi="Tahoma" w:cs="Tahoma"/>
      <w:sz w:val="16"/>
      <w:szCs w:val="16"/>
    </w:rPr>
  </w:style>
  <w:style w:type="character" w:customStyle="1" w:styleId="Heading3Char">
    <w:name w:val="Heading 3 Char"/>
    <w:basedOn w:val="DefaultParagraphFont"/>
    <w:link w:val="Heading3"/>
    <w:rsid w:val="00735788"/>
    <w:rPr>
      <w:rFonts w:ascii="Arial" w:eastAsia="Times New Roman" w:hAnsi="Arial" w:cs="Times New Roman"/>
      <w:b/>
      <w:szCs w:val="20"/>
      <w:u w:val="single"/>
    </w:rPr>
  </w:style>
  <w:style w:type="character" w:styleId="PageNumber">
    <w:name w:val="page number"/>
    <w:basedOn w:val="DefaultParagraphFont"/>
    <w:rsid w:val="00735788"/>
  </w:style>
  <w:style w:type="paragraph" w:styleId="FootnoteText">
    <w:name w:val="footnote text"/>
    <w:basedOn w:val="Normal"/>
    <w:link w:val="FootnoteTextChar"/>
    <w:semiHidden/>
    <w:rsid w:val="00735788"/>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788"/>
    <w:rPr>
      <w:rFonts w:ascii="Times New Roman" w:eastAsia="Times New Roman" w:hAnsi="Times New Roman" w:cs="Times New Roman"/>
      <w:sz w:val="20"/>
      <w:szCs w:val="20"/>
    </w:rPr>
  </w:style>
  <w:style w:type="character" w:styleId="FootnoteReference">
    <w:name w:val="footnote reference"/>
    <w:semiHidden/>
    <w:rsid w:val="00735788"/>
    <w:rPr>
      <w:vertAlign w:val="superscript"/>
    </w:rPr>
  </w:style>
  <w:style w:type="paragraph" w:styleId="BodyText2">
    <w:name w:val="Body Text 2"/>
    <w:basedOn w:val="Normal"/>
    <w:link w:val="BodyText2Char"/>
    <w:rsid w:val="00735788"/>
    <w:pPr>
      <w:widowControl/>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rsid w:val="00735788"/>
    <w:rPr>
      <w:rFonts w:ascii="Times New Roman" w:eastAsia="Times New Roman" w:hAnsi="Times New Roman" w:cs="Times New Roman"/>
      <w:sz w:val="18"/>
      <w:szCs w:val="20"/>
    </w:rPr>
  </w:style>
  <w:style w:type="paragraph" w:customStyle="1" w:styleId="Body">
    <w:name w:val="Body"/>
    <w:basedOn w:val="Normal"/>
    <w:link w:val="BodyChar"/>
    <w:rsid w:val="00735788"/>
    <w:pPr>
      <w:widowControl/>
      <w:ind w:firstLine="288"/>
      <w:jc w:val="both"/>
    </w:pPr>
    <w:rPr>
      <w:rFonts w:ascii="Arial" w:eastAsia="Times New Roman" w:hAnsi="Arial" w:cs="Times New Roman"/>
      <w:sz w:val="20"/>
      <w:szCs w:val="20"/>
    </w:rPr>
  </w:style>
  <w:style w:type="paragraph" w:styleId="BodyTextIndent">
    <w:name w:val="Body Text Indent"/>
    <w:basedOn w:val="Normal"/>
    <w:link w:val="BodyTextIndentChar"/>
    <w:rsid w:val="00735788"/>
    <w:pPr>
      <w:widowControl/>
      <w:ind w:left="90"/>
    </w:pPr>
    <w:rPr>
      <w:rFonts w:ascii="Arial" w:eastAsia="Times New Roman" w:hAnsi="Arial" w:cs="Times New Roman"/>
      <w:color w:val="0000FF"/>
      <w:sz w:val="20"/>
      <w:szCs w:val="20"/>
    </w:rPr>
  </w:style>
  <w:style w:type="character" w:customStyle="1" w:styleId="BodyTextIndentChar">
    <w:name w:val="Body Text Indent Char"/>
    <w:basedOn w:val="DefaultParagraphFont"/>
    <w:link w:val="BodyTextIndent"/>
    <w:rsid w:val="00735788"/>
    <w:rPr>
      <w:rFonts w:ascii="Arial" w:eastAsia="Times New Roman" w:hAnsi="Arial" w:cs="Times New Roman"/>
      <w:color w:val="0000FF"/>
      <w:sz w:val="20"/>
      <w:szCs w:val="20"/>
    </w:rPr>
  </w:style>
  <w:style w:type="paragraph" w:customStyle="1" w:styleId="NormalArial">
    <w:name w:val="Normal + Arial"/>
    <w:aliases w:val="11 pt,Justified,Left:  0.5&quot;,After:  11 pt"/>
    <w:basedOn w:val="Normal"/>
    <w:link w:val="NormalArialChar"/>
    <w:rsid w:val="00735788"/>
    <w:pPr>
      <w:widowControl/>
      <w:spacing w:after="120"/>
      <w:ind w:left="720"/>
      <w:jc w:val="both"/>
    </w:pPr>
    <w:rPr>
      <w:rFonts w:ascii="Arial" w:eastAsia="Times New Roman" w:hAnsi="Arial" w:cs="Arial"/>
    </w:rPr>
  </w:style>
  <w:style w:type="character" w:customStyle="1" w:styleId="NormalArialChar">
    <w:name w:val="Normal + Arial Char"/>
    <w:aliases w:val="11 pt Char,Justified Char,Left:  0.5&quot; Char,After:  11 pt Char"/>
    <w:link w:val="NormalArial"/>
    <w:rsid w:val="00735788"/>
    <w:rPr>
      <w:rFonts w:ascii="Arial" w:eastAsia="Times New Roman" w:hAnsi="Arial" w:cs="Arial"/>
    </w:rPr>
  </w:style>
  <w:style w:type="paragraph" w:customStyle="1" w:styleId="Tablecentered">
    <w:name w:val="Table: centered"/>
    <w:basedOn w:val="Normal"/>
    <w:rsid w:val="00735788"/>
    <w:pPr>
      <w:keepNext/>
      <w:keepLines/>
      <w:widowControl/>
      <w:jc w:val="center"/>
    </w:pPr>
    <w:rPr>
      <w:rFonts w:ascii="Helvetica" w:eastAsia="Times New Roman" w:hAnsi="Helvetica" w:cs="Times New Roman"/>
      <w:sz w:val="20"/>
      <w:szCs w:val="20"/>
    </w:rPr>
  </w:style>
  <w:style w:type="table" w:styleId="TableGrid">
    <w:name w:val="Table Grid"/>
    <w:basedOn w:val="TableNormal"/>
    <w:uiPriority w:val="59"/>
    <w:rsid w:val="00735788"/>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35788"/>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5788"/>
    <w:rPr>
      <w:rFonts w:ascii="Times New Roman" w:eastAsia="Times New Roman" w:hAnsi="Times New Roman" w:cs="Times New Roman"/>
      <w:sz w:val="20"/>
      <w:szCs w:val="20"/>
    </w:rPr>
  </w:style>
  <w:style w:type="paragraph" w:customStyle="1" w:styleId="AllText">
    <w:name w:val="AllText"/>
    <w:link w:val="AllTextChar"/>
    <w:rsid w:val="00735788"/>
    <w:pPr>
      <w:widowControl/>
      <w:spacing w:before="120"/>
      <w:jc w:val="both"/>
    </w:pPr>
    <w:rPr>
      <w:rFonts w:ascii="Times New Roman" w:eastAsia="Times New Roman" w:hAnsi="Times New Roman" w:cs="Times New Roman"/>
      <w:sz w:val="24"/>
      <w:szCs w:val="20"/>
    </w:rPr>
  </w:style>
  <w:style w:type="character" w:customStyle="1" w:styleId="AllTextChar">
    <w:name w:val="AllText Char"/>
    <w:link w:val="AllText"/>
    <w:rsid w:val="00735788"/>
    <w:rPr>
      <w:rFonts w:ascii="Times New Roman" w:eastAsia="Times New Roman" w:hAnsi="Times New Roman" w:cs="Times New Roman"/>
      <w:sz w:val="24"/>
      <w:szCs w:val="20"/>
    </w:rPr>
  </w:style>
  <w:style w:type="paragraph" w:styleId="NormalWeb">
    <w:name w:val="Normal (Web)"/>
    <w:basedOn w:val="Normal"/>
    <w:uiPriority w:val="99"/>
    <w:rsid w:val="00735788"/>
    <w:pPr>
      <w:widowControl/>
      <w:spacing w:before="100" w:beforeAutospacing="1" w:after="100" w:afterAutospacing="1"/>
    </w:pPr>
    <w:rPr>
      <w:rFonts w:ascii="Times New Roman" w:eastAsia="Times New Roman" w:hAnsi="Times New Roman" w:cs="Times New Roman"/>
      <w:sz w:val="24"/>
      <w:szCs w:val="24"/>
    </w:rPr>
  </w:style>
  <w:style w:type="character" w:customStyle="1" w:styleId="BodyChar">
    <w:name w:val="Body Char"/>
    <w:link w:val="Body"/>
    <w:rsid w:val="00735788"/>
    <w:rPr>
      <w:rFonts w:ascii="Arial" w:eastAsia="Times New Roman" w:hAnsi="Arial" w:cs="Times New Roman"/>
      <w:sz w:val="20"/>
      <w:szCs w:val="20"/>
    </w:rPr>
  </w:style>
  <w:style w:type="paragraph" w:customStyle="1" w:styleId="Tablebodynotab">
    <w:name w:val="Table: body. no tab"/>
    <w:basedOn w:val="Normal"/>
    <w:rsid w:val="00735788"/>
    <w:pPr>
      <w:keepNext/>
      <w:keepLines/>
      <w:widowControl/>
      <w:jc w:val="both"/>
    </w:pPr>
    <w:rPr>
      <w:rFonts w:ascii="Helvetica" w:eastAsia="Times New Roman" w:hAnsi="Helvetica" w:cs="Times New Roman"/>
      <w:sz w:val="20"/>
      <w:szCs w:val="20"/>
    </w:rPr>
  </w:style>
  <w:style w:type="paragraph" w:customStyle="1" w:styleId="SubSectionHeadings">
    <w:name w:val="Sub Section Headings"/>
    <w:basedOn w:val="Normal"/>
    <w:next w:val="Body"/>
    <w:link w:val="SubSectionHeadingsChar"/>
    <w:rsid w:val="00735788"/>
    <w:pPr>
      <w:keepNext/>
      <w:keepLines/>
      <w:widowControl/>
    </w:pPr>
    <w:rPr>
      <w:rFonts w:ascii="Helvetica" w:eastAsia="Times New Roman" w:hAnsi="Helvetica" w:cs="Times New Roman"/>
      <w:i/>
      <w:sz w:val="20"/>
      <w:szCs w:val="20"/>
    </w:rPr>
  </w:style>
  <w:style w:type="character" w:styleId="CommentReference">
    <w:name w:val="annotation reference"/>
    <w:uiPriority w:val="99"/>
    <w:rsid w:val="00735788"/>
    <w:rPr>
      <w:sz w:val="16"/>
      <w:szCs w:val="16"/>
    </w:rPr>
  </w:style>
  <w:style w:type="paragraph" w:styleId="CommentSubject">
    <w:name w:val="annotation subject"/>
    <w:basedOn w:val="CommentText"/>
    <w:next w:val="CommentText"/>
    <w:link w:val="CommentSubjectChar"/>
    <w:rsid w:val="00735788"/>
    <w:rPr>
      <w:b/>
      <w:bCs/>
    </w:rPr>
  </w:style>
  <w:style w:type="character" w:customStyle="1" w:styleId="CommentSubjectChar">
    <w:name w:val="Comment Subject Char"/>
    <w:basedOn w:val="CommentTextChar"/>
    <w:link w:val="CommentSubject"/>
    <w:rsid w:val="00735788"/>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735788"/>
    <w:pPr>
      <w:widowControl/>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35788"/>
    <w:rPr>
      <w:rFonts w:ascii="Tahoma" w:eastAsia="Times New Roman" w:hAnsi="Tahoma" w:cs="Tahoma"/>
      <w:sz w:val="20"/>
      <w:szCs w:val="20"/>
      <w:shd w:val="clear" w:color="auto" w:fill="000080"/>
    </w:rPr>
  </w:style>
  <w:style w:type="paragraph" w:customStyle="1" w:styleId="Bodynotab">
    <w:name w:val="Body: no tab"/>
    <w:basedOn w:val="Normal"/>
    <w:next w:val="Normal"/>
    <w:rsid w:val="00735788"/>
    <w:pPr>
      <w:widowControl/>
      <w:jc w:val="both"/>
    </w:pPr>
    <w:rPr>
      <w:rFonts w:ascii="Arial Narrow" w:eastAsia="Times New Roman" w:hAnsi="Arial Narrow" w:cs="Times New Roman"/>
      <w:sz w:val="20"/>
      <w:szCs w:val="20"/>
    </w:rPr>
  </w:style>
  <w:style w:type="paragraph" w:customStyle="1" w:styleId="List3xhangingindent">
    <w:name w:val="List: 3x hanging indent"/>
    <w:basedOn w:val="Normal"/>
    <w:next w:val="Body"/>
    <w:rsid w:val="00735788"/>
    <w:pPr>
      <w:widowControl/>
      <w:ind w:left="864" w:hanging="288"/>
    </w:pPr>
    <w:rPr>
      <w:rFonts w:ascii="Arial Narrow" w:eastAsia="Times New Roman" w:hAnsi="Arial Narrow" w:cs="Times New Roman"/>
      <w:sz w:val="20"/>
      <w:szCs w:val="20"/>
    </w:rPr>
  </w:style>
  <w:style w:type="paragraph" w:customStyle="1" w:styleId="Boxedtextbodynotab">
    <w:name w:val="Boxed text: body. no tab"/>
    <w:basedOn w:val="Bodynotab"/>
    <w:next w:val="Body"/>
    <w:rsid w:val="00735788"/>
    <w:pPr>
      <w:keepLines/>
    </w:pPr>
  </w:style>
  <w:style w:type="character" w:customStyle="1" w:styleId="SubSectionHeadingsChar">
    <w:name w:val="Sub Section Headings Char"/>
    <w:link w:val="SubSectionHeadings"/>
    <w:rsid w:val="00735788"/>
    <w:rPr>
      <w:rFonts w:ascii="Helvetica" w:eastAsia="Times New Roman" w:hAnsi="Helvetica" w:cs="Times New Roman"/>
      <w:i/>
      <w:sz w:val="20"/>
      <w:szCs w:val="20"/>
    </w:rPr>
  </w:style>
  <w:style w:type="character" w:styleId="LineNumber">
    <w:name w:val="line number"/>
    <w:basedOn w:val="DefaultParagraphFont"/>
    <w:rsid w:val="00735788"/>
  </w:style>
  <w:style w:type="paragraph" w:customStyle="1" w:styleId="Default">
    <w:name w:val="Default"/>
    <w:rsid w:val="00735788"/>
    <w:pPr>
      <w:widowControl/>
      <w:autoSpaceDE w:val="0"/>
      <w:autoSpaceDN w:val="0"/>
      <w:adjustRightInd w:val="0"/>
    </w:pPr>
    <w:rPr>
      <w:rFonts w:ascii="Courier New" w:eastAsia="Times New Roman" w:hAnsi="Courier New" w:cs="Courier New"/>
      <w:color w:val="000000"/>
      <w:sz w:val="24"/>
      <w:szCs w:val="24"/>
    </w:rPr>
  </w:style>
  <w:style w:type="paragraph" w:customStyle="1" w:styleId="Alltext0">
    <w:name w:val="All text"/>
    <w:basedOn w:val="Normal"/>
    <w:rsid w:val="00735788"/>
    <w:pPr>
      <w:widowControl/>
      <w:spacing w:after="240"/>
      <w:jc w:val="both"/>
    </w:pPr>
    <w:rPr>
      <w:rFonts w:ascii="Times New Roman" w:eastAsia="Times New Roman" w:hAnsi="Times New Roman" w:cs="Times New Roman"/>
      <w:sz w:val="24"/>
      <w:szCs w:val="20"/>
    </w:rPr>
  </w:style>
  <w:style w:type="paragraph" w:styleId="Revision">
    <w:name w:val="Revision"/>
    <w:hidden/>
    <w:uiPriority w:val="99"/>
    <w:semiHidden/>
    <w:rsid w:val="00735788"/>
    <w:pPr>
      <w:widowControl/>
    </w:pPr>
    <w:rPr>
      <w:rFonts w:ascii="Times New Roman" w:eastAsia="Times New Roman" w:hAnsi="Times New Roman" w:cs="Times New Roman"/>
      <w:sz w:val="20"/>
      <w:szCs w:val="20"/>
    </w:rPr>
  </w:style>
  <w:style w:type="character" w:styleId="Hyperlink">
    <w:name w:val="Hyperlink"/>
    <w:uiPriority w:val="99"/>
    <w:unhideWhenUsed/>
    <w:rsid w:val="00735788"/>
    <w:rPr>
      <w:color w:val="0000FF"/>
      <w:u w:val="single"/>
    </w:rPr>
  </w:style>
  <w:style w:type="paragraph" w:customStyle="1" w:styleId="expldot1">
    <w:name w:val="expldot1"/>
    <w:basedOn w:val="Normal"/>
    <w:uiPriority w:val="99"/>
    <w:rsid w:val="00735788"/>
    <w:pPr>
      <w:widowControl/>
      <w:numPr>
        <w:numId w:val="4"/>
      </w:numPr>
      <w:tabs>
        <w:tab w:val="left" w:pos="284"/>
        <w:tab w:val="left" w:pos="567"/>
        <w:tab w:val="left" w:pos="851"/>
        <w:tab w:val="left" w:pos="1134"/>
        <w:tab w:val="left" w:pos="1418"/>
      </w:tabs>
      <w:spacing w:before="20" w:after="80" w:line="260" w:lineRule="exact"/>
    </w:pPr>
    <w:rPr>
      <w:rFonts w:ascii="Times New Roman" w:eastAsia="Times New Roman" w:hAnsi="Times New Roman" w:cs="Times New Roman"/>
      <w:sz w:val="20"/>
      <w:szCs w:val="20"/>
      <w:lang w:val="en-AU" w:eastAsia="en-AU"/>
    </w:rPr>
  </w:style>
  <w:style w:type="paragraph" w:customStyle="1" w:styleId="expldot3">
    <w:name w:val="expldot3"/>
    <w:basedOn w:val="Normal"/>
    <w:link w:val="expldot3Char1"/>
    <w:uiPriority w:val="99"/>
    <w:rsid w:val="00735788"/>
    <w:pPr>
      <w:widowControl/>
      <w:numPr>
        <w:numId w:val="3"/>
      </w:numPr>
      <w:tabs>
        <w:tab w:val="left" w:pos="284"/>
        <w:tab w:val="left" w:pos="567"/>
        <w:tab w:val="left" w:pos="851"/>
        <w:tab w:val="left" w:pos="1134"/>
        <w:tab w:val="left" w:pos="1418"/>
      </w:tabs>
      <w:spacing w:before="20" w:after="80" w:line="260" w:lineRule="exact"/>
      <w:ind w:left="851"/>
    </w:pPr>
    <w:rPr>
      <w:rFonts w:ascii="Times New Roman" w:eastAsia="Times New Roman" w:hAnsi="Times New Roman" w:cs="Times New Roman"/>
      <w:sz w:val="20"/>
      <w:szCs w:val="20"/>
      <w:lang w:val="en-AU" w:eastAsia="en-AU"/>
    </w:rPr>
  </w:style>
  <w:style w:type="character" w:customStyle="1" w:styleId="expldot3Char1">
    <w:name w:val="expldot3 Char1"/>
    <w:link w:val="expldot3"/>
    <w:uiPriority w:val="99"/>
    <w:locked/>
    <w:rsid w:val="00735788"/>
    <w:rPr>
      <w:rFonts w:ascii="Times New Roman" w:eastAsia="Times New Roman" w:hAnsi="Times New Roman" w:cs="Times New Roman"/>
      <w:sz w:val="20"/>
      <w:szCs w:val="20"/>
      <w:lang w:val="en-AU" w:eastAsia="en-AU"/>
    </w:rPr>
  </w:style>
  <w:style w:type="character" w:styleId="UnresolvedMention">
    <w:name w:val="Unresolved Mention"/>
    <w:basedOn w:val="DefaultParagraphFont"/>
    <w:uiPriority w:val="99"/>
    <w:semiHidden/>
    <w:unhideWhenUsed/>
    <w:rsid w:val="000B5B2E"/>
    <w:rPr>
      <w:color w:val="605E5C"/>
      <w:shd w:val="clear" w:color="auto" w:fill="E1DFDD"/>
    </w:rPr>
  </w:style>
  <w:style w:type="paragraph" w:customStyle="1" w:styleId="BodyText1">
    <w:name w:val="BodyText1"/>
    <w:basedOn w:val="Normal"/>
    <w:rsid w:val="001D1B71"/>
    <w:pPr>
      <w:widowControl/>
      <w:spacing w:before="4"/>
      <w:ind w:firstLine="317"/>
    </w:pPr>
    <w:rPr>
      <w:rFonts w:ascii="Helvetica" w:eastAsia="Times New Roman" w:hAnsi="Helvetica" w:cs="Times New Roman"/>
      <w:sz w:val="16"/>
      <w:szCs w:val="24"/>
    </w:rPr>
  </w:style>
  <w:style w:type="character" w:customStyle="1" w:styleId="Heading4Char">
    <w:name w:val="Heading 4 Char"/>
    <w:basedOn w:val="DefaultParagraphFont"/>
    <w:link w:val="Heading4"/>
    <w:rsid w:val="007C2932"/>
    <w:rPr>
      <w:rFonts w:ascii="Arial" w:eastAsia="MS Mincho" w:hAnsi="Arial" w:cs="Times New Roman"/>
      <w:sz w:val="24"/>
      <w:szCs w:val="20"/>
      <w:u w:val="single"/>
      <w:lang w:eastAsia="ja-JP"/>
    </w:rPr>
  </w:style>
  <w:style w:type="character" w:customStyle="1" w:styleId="Heading5Char">
    <w:name w:val="Heading 5 Char"/>
    <w:basedOn w:val="DefaultParagraphFont"/>
    <w:link w:val="Heading5"/>
    <w:rsid w:val="007C2932"/>
    <w:rPr>
      <w:rFonts w:ascii="Arial" w:eastAsia="MS Mincho" w:hAnsi="Arial" w:cs="Times New Roman"/>
      <w:b/>
      <w:sz w:val="20"/>
      <w:szCs w:val="20"/>
      <w:lang w:eastAsia="ja-JP"/>
    </w:rPr>
  </w:style>
  <w:style w:type="character" w:customStyle="1" w:styleId="Heading6Char">
    <w:name w:val="Heading 6 Char"/>
    <w:basedOn w:val="DefaultParagraphFont"/>
    <w:link w:val="Heading6"/>
    <w:rsid w:val="007C2932"/>
    <w:rPr>
      <w:rFonts w:ascii="Arial" w:eastAsia="MS Mincho" w:hAnsi="Arial" w:cs="Times New Roman"/>
      <w:sz w:val="20"/>
      <w:szCs w:val="20"/>
      <w:u w:val="single"/>
      <w:lang w:eastAsia="ja-JP"/>
    </w:rPr>
  </w:style>
  <w:style w:type="character" w:customStyle="1" w:styleId="Heading7Char">
    <w:name w:val="Heading 7 Char"/>
    <w:basedOn w:val="DefaultParagraphFont"/>
    <w:link w:val="Heading7"/>
    <w:rsid w:val="007C2932"/>
    <w:rPr>
      <w:rFonts w:ascii="Arial" w:eastAsia="MS Mincho" w:hAnsi="Arial" w:cs="Times New Roman"/>
      <w:i/>
      <w:sz w:val="20"/>
      <w:szCs w:val="20"/>
      <w:lang w:eastAsia="ja-JP"/>
    </w:rPr>
  </w:style>
  <w:style w:type="character" w:customStyle="1" w:styleId="Heading8Char">
    <w:name w:val="Heading 8 Char"/>
    <w:basedOn w:val="DefaultParagraphFont"/>
    <w:link w:val="Heading8"/>
    <w:rsid w:val="007C2932"/>
    <w:rPr>
      <w:rFonts w:ascii="Arial" w:eastAsia="MS Mincho" w:hAnsi="Arial" w:cs="Times New Roman"/>
      <w:i/>
      <w:sz w:val="20"/>
      <w:szCs w:val="20"/>
      <w:lang w:eastAsia="ja-JP"/>
    </w:rPr>
  </w:style>
  <w:style w:type="character" w:customStyle="1" w:styleId="Heading9Char">
    <w:name w:val="Heading 9 Char"/>
    <w:basedOn w:val="DefaultParagraphFont"/>
    <w:link w:val="Heading9"/>
    <w:rsid w:val="007C2932"/>
    <w:rPr>
      <w:rFonts w:ascii="Arial" w:eastAsia="MS Mincho" w:hAnsi="Arial" w:cs="Times New Roman"/>
      <w:i/>
      <w:sz w:val="20"/>
      <w:szCs w:val="20"/>
      <w:lang w:eastAsia="ja-JP"/>
    </w:rPr>
  </w:style>
  <w:style w:type="numbering" w:customStyle="1" w:styleId="NoList1">
    <w:name w:val="No List1"/>
    <w:next w:val="NoList"/>
    <w:semiHidden/>
    <w:rsid w:val="007C2932"/>
  </w:style>
  <w:style w:type="paragraph" w:customStyle="1" w:styleId="Anomaly">
    <w:name w:val="Anomaly"/>
    <w:basedOn w:val="Normal"/>
    <w:next w:val="Normal"/>
    <w:rsid w:val="007C2932"/>
    <w:pPr>
      <w:widowControl/>
    </w:pPr>
    <w:rPr>
      <w:rFonts w:ascii="Arial" w:eastAsia="MS Mincho" w:hAnsi="Arial" w:cs="Times New Roman"/>
      <w:b/>
      <w:i/>
      <w:color w:val="FF00FF"/>
      <w:sz w:val="40"/>
      <w:szCs w:val="20"/>
      <w:lang w:eastAsia="ja-JP"/>
    </w:rPr>
  </w:style>
  <w:style w:type="paragraph" w:customStyle="1" w:styleId="Body2xhangingindent">
    <w:name w:val="Body: 2x hanging indent"/>
    <w:basedOn w:val="Body"/>
    <w:next w:val="Body"/>
    <w:rsid w:val="007C2932"/>
    <w:pPr>
      <w:ind w:left="576" w:hanging="288"/>
      <w:jc w:val="left"/>
    </w:pPr>
    <w:rPr>
      <w:rFonts w:eastAsia="MS Mincho"/>
      <w:lang w:eastAsia="ja-JP"/>
    </w:rPr>
  </w:style>
  <w:style w:type="paragraph" w:customStyle="1" w:styleId="Body3xhangingindent">
    <w:name w:val="Body: 3x hanging indent"/>
    <w:basedOn w:val="Body"/>
    <w:next w:val="Body"/>
    <w:rsid w:val="007C2932"/>
    <w:pPr>
      <w:ind w:left="864" w:hanging="288"/>
      <w:jc w:val="left"/>
    </w:pPr>
    <w:rPr>
      <w:rFonts w:eastAsia="MS Mincho"/>
      <w:lang w:eastAsia="ja-JP"/>
    </w:rPr>
  </w:style>
  <w:style w:type="paragraph" w:customStyle="1" w:styleId="Bodycentered">
    <w:name w:val="Body: centered"/>
    <w:basedOn w:val="Body"/>
    <w:next w:val="Body"/>
    <w:rsid w:val="007C2932"/>
    <w:pPr>
      <w:ind w:firstLine="0"/>
      <w:jc w:val="center"/>
    </w:pPr>
    <w:rPr>
      <w:rFonts w:eastAsia="MS Mincho"/>
      <w:lang w:eastAsia="ja-JP"/>
    </w:rPr>
  </w:style>
  <w:style w:type="paragraph" w:customStyle="1" w:styleId="Bodyhangingindent">
    <w:name w:val="Body: hanging indent"/>
    <w:basedOn w:val="Body"/>
    <w:next w:val="Body"/>
    <w:rsid w:val="007C2932"/>
    <w:pPr>
      <w:ind w:left="288" w:hanging="288"/>
      <w:jc w:val="left"/>
    </w:pPr>
    <w:rPr>
      <w:rFonts w:eastAsia="MS Mincho"/>
      <w:lang w:eastAsia="ja-JP"/>
    </w:rPr>
  </w:style>
  <w:style w:type="paragraph" w:customStyle="1" w:styleId="Bodyindent">
    <w:name w:val="Body: indent"/>
    <w:basedOn w:val="Body"/>
    <w:next w:val="Body"/>
    <w:rsid w:val="007C2932"/>
    <w:pPr>
      <w:ind w:left="288"/>
      <w:jc w:val="left"/>
    </w:pPr>
    <w:rPr>
      <w:rFonts w:eastAsia="MS Mincho"/>
      <w:lang w:eastAsia="ja-JP"/>
    </w:rPr>
  </w:style>
  <w:style w:type="paragraph" w:customStyle="1" w:styleId="Bodynotab2xindent">
    <w:name w:val="Body: no tab. 2x indent"/>
    <w:basedOn w:val="Body"/>
    <w:next w:val="Body"/>
    <w:rsid w:val="007C2932"/>
    <w:pPr>
      <w:ind w:left="576" w:firstLine="0"/>
      <w:jc w:val="left"/>
    </w:pPr>
    <w:rPr>
      <w:rFonts w:eastAsia="MS Mincho"/>
      <w:lang w:eastAsia="ja-JP"/>
    </w:rPr>
  </w:style>
  <w:style w:type="paragraph" w:customStyle="1" w:styleId="Bodynotabindent">
    <w:name w:val="Body: no tab. indent"/>
    <w:basedOn w:val="Body"/>
    <w:next w:val="Body"/>
    <w:rsid w:val="007C2932"/>
    <w:pPr>
      <w:ind w:left="288" w:firstLine="0"/>
      <w:jc w:val="left"/>
    </w:pPr>
    <w:rPr>
      <w:rFonts w:eastAsia="MS Mincho"/>
      <w:lang w:eastAsia="ja-JP"/>
    </w:rPr>
  </w:style>
  <w:style w:type="paragraph" w:customStyle="1" w:styleId="Boxedtextbody">
    <w:name w:val="Boxed text: body"/>
    <w:basedOn w:val="Body"/>
    <w:next w:val="Body"/>
    <w:rsid w:val="007C2932"/>
    <w:pPr>
      <w:keepLines/>
      <w:jc w:val="left"/>
    </w:pPr>
    <w:rPr>
      <w:rFonts w:eastAsia="MS Mincho"/>
      <w:lang w:eastAsia="ja-JP"/>
    </w:rPr>
  </w:style>
  <w:style w:type="paragraph" w:customStyle="1" w:styleId="Boxedtextcentered">
    <w:name w:val="Boxed text: centered"/>
    <w:basedOn w:val="Normal"/>
    <w:next w:val="Body"/>
    <w:rsid w:val="007C2932"/>
    <w:pPr>
      <w:keepLines/>
      <w:widowControl/>
      <w:jc w:val="center"/>
    </w:pPr>
    <w:rPr>
      <w:rFonts w:ascii="Arial" w:eastAsia="MS Mincho" w:hAnsi="Arial" w:cs="Times New Roman"/>
      <w:sz w:val="24"/>
      <w:szCs w:val="20"/>
      <w:lang w:eastAsia="ja-JP"/>
    </w:rPr>
  </w:style>
  <w:style w:type="paragraph" w:customStyle="1" w:styleId="Boxedtextheading">
    <w:name w:val="Boxed text: heading"/>
    <w:basedOn w:val="Normal"/>
    <w:next w:val="Boxedtextbody"/>
    <w:rsid w:val="007C2932"/>
    <w:pPr>
      <w:keepNext/>
      <w:keepLines/>
      <w:widowControl/>
      <w:spacing w:before="120" w:after="120"/>
    </w:pPr>
    <w:rPr>
      <w:rFonts w:ascii="Arial" w:eastAsia="MS Mincho" w:hAnsi="Arial" w:cs="Times New Roman"/>
      <w:b/>
      <w:caps/>
      <w:sz w:val="20"/>
      <w:szCs w:val="20"/>
      <w:lang w:eastAsia="ja-JP"/>
    </w:rPr>
  </w:style>
  <w:style w:type="paragraph" w:customStyle="1" w:styleId="CPCLH2">
    <w:name w:val="CPCLH2"/>
    <w:basedOn w:val="Normal"/>
    <w:rsid w:val="007C293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eastAsia="MS Mincho" w:hAnsi="Univers (W1)" w:cs="Times New Roman"/>
      <w:sz w:val="20"/>
      <w:szCs w:val="20"/>
      <w:u w:val="single"/>
      <w:lang w:eastAsia="ja-JP"/>
    </w:rPr>
  </w:style>
  <w:style w:type="paragraph" w:customStyle="1" w:styleId="CPCLH3">
    <w:name w:val="CPCLH3"/>
    <w:basedOn w:val="Normal"/>
    <w:rsid w:val="007C293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eastAsia="MS Mincho" w:hAnsi="Univers (W1)" w:cs="Times New Roman"/>
      <w:sz w:val="20"/>
      <w:szCs w:val="20"/>
      <w:lang w:eastAsia="ja-JP"/>
    </w:rPr>
  </w:style>
  <w:style w:type="paragraph" w:customStyle="1" w:styleId="CPCLH4">
    <w:name w:val="CPCLH4"/>
    <w:basedOn w:val="Normal"/>
    <w:rsid w:val="007C293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Courier New" w:eastAsia="MS Mincho" w:hAnsi="Courier New" w:cs="Times New Roman"/>
      <w:sz w:val="20"/>
      <w:szCs w:val="20"/>
      <w:lang w:eastAsia="ja-JP"/>
    </w:rPr>
  </w:style>
  <w:style w:type="paragraph" w:customStyle="1" w:styleId="DosageForm">
    <w:name w:val="Dosage Form"/>
    <w:basedOn w:val="Normal"/>
    <w:next w:val="Normal"/>
    <w:rsid w:val="007C2932"/>
    <w:pPr>
      <w:keepNext/>
      <w:keepLines/>
      <w:widowControl/>
    </w:pPr>
    <w:rPr>
      <w:rFonts w:ascii="Arial" w:eastAsia="MS Mincho" w:hAnsi="Arial" w:cs="Times New Roman"/>
      <w:sz w:val="24"/>
      <w:szCs w:val="20"/>
      <w:lang w:eastAsia="ja-JP"/>
    </w:rPr>
  </w:style>
  <w:style w:type="paragraph" w:customStyle="1" w:styleId="ExtraSpace">
    <w:name w:val="Extra Space"/>
    <w:basedOn w:val="Normal"/>
    <w:next w:val="Body"/>
    <w:rsid w:val="007C2932"/>
    <w:pPr>
      <w:widowControl/>
      <w:spacing w:line="120" w:lineRule="exact"/>
    </w:pPr>
    <w:rPr>
      <w:rFonts w:ascii="Arial" w:eastAsia="MS Mincho" w:hAnsi="Arial" w:cs="Times New Roman"/>
      <w:color w:val="00FF00"/>
      <w:sz w:val="20"/>
      <w:szCs w:val="20"/>
      <w:lang w:eastAsia="ja-JP"/>
    </w:rPr>
  </w:style>
  <w:style w:type="paragraph" w:customStyle="1" w:styleId="Footnote">
    <w:name w:val="Footnote"/>
    <w:basedOn w:val="Normal"/>
    <w:next w:val="Body"/>
    <w:rsid w:val="007C2932"/>
    <w:pPr>
      <w:keepLines/>
      <w:widowControl/>
      <w:tabs>
        <w:tab w:val="right" w:pos="317"/>
        <w:tab w:val="left" w:pos="346"/>
      </w:tabs>
      <w:ind w:left="346" w:hanging="346"/>
    </w:pPr>
    <w:rPr>
      <w:rFonts w:ascii="Arial" w:eastAsia="MS Mincho" w:hAnsi="Arial" w:cs="Times New Roman"/>
      <w:sz w:val="14"/>
      <w:szCs w:val="20"/>
      <w:lang w:eastAsia="ja-JP"/>
    </w:rPr>
  </w:style>
  <w:style w:type="paragraph" w:customStyle="1" w:styleId="GenericName">
    <w:name w:val="Generic Name"/>
    <w:basedOn w:val="Normal"/>
    <w:next w:val="Body"/>
    <w:rsid w:val="007C2932"/>
    <w:pPr>
      <w:keepNext/>
      <w:keepLines/>
      <w:widowControl/>
    </w:pPr>
    <w:rPr>
      <w:rFonts w:ascii="Arial" w:eastAsia="MS Mincho" w:hAnsi="Arial" w:cs="Times New Roman"/>
      <w:b/>
      <w:sz w:val="24"/>
      <w:szCs w:val="20"/>
      <w:lang w:eastAsia="ja-JP"/>
    </w:rPr>
  </w:style>
  <w:style w:type="paragraph" w:styleId="NormalIndent">
    <w:name w:val="Normal Indent"/>
    <w:basedOn w:val="Normal"/>
    <w:rsid w:val="007C2932"/>
    <w:pPr>
      <w:widowControl/>
      <w:ind w:left="720"/>
    </w:pPr>
    <w:rPr>
      <w:rFonts w:ascii="Arial" w:eastAsia="MS Mincho" w:hAnsi="Arial" w:cs="Times New Roman"/>
      <w:color w:val="FF00FF"/>
      <w:sz w:val="40"/>
      <w:szCs w:val="20"/>
      <w:lang w:eastAsia="ja-JP"/>
    </w:rPr>
  </w:style>
  <w:style w:type="paragraph" w:customStyle="1" w:styleId="List2xhangingindent">
    <w:name w:val="List: 2x hanging indent"/>
    <w:basedOn w:val="Normal"/>
    <w:next w:val="Body"/>
    <w:rsid w:val="007C2932"/>
    <w:pPr>
      <w:widowControl/>
      <w:ind w:left="576" w:hanging="288"/>
    </w:pPr>
    <w:rPr>
      <w:rFonts w:ascii="Arial" w:eastAsia="MS Mincho" w:hAnsi="Arial" w:cs="Times New Roman"/>
      <w:sz w:val="20"/>
      <w:szCs w:val="20"/>
      <w:lang w:eastAsia="ja-JP"/>
    </w:rPr>
  </w:style>
  <w:style w:type="paragraph" w:customStyle="1" w:styleId="Listhangingindent">
    <w:name w:val="List: hanging indent"/>
    <w:basedOn w:val="Normal"/>
    <w:next w:val="Body"/>
    <w:rsid w:val="007C2932"/>
    <w:pPr>
      <w:widowControl/>
      <w:ind w:left="288" w:hanging="288"/>
    </w:pPr>
    <w:rPr>
      <w:rFonts w:ascii="Arial" w:eastAsia="MS Mincho" w:hAnsi="Arial" w:cs="Times New Roman"/>
      <w:sz w:val="20"/>
      <w:szCs w:val="20"/>
      <w:lang w:eastAsia="ja-JP"/>
    </w:rPr>
  </w:style>
  <w:style w:type="paragraph" w:customStyle="1" w:styleId="Listnotab">
    <w:name w:val="List: no tab"/>
    <w:basedOn w:val="Normal"/>
    <w:next w:val="Body"/>
    <w:rsid w:val="007C2932"/>
    <w:pPr>
      <w:widowControl/>
    </w:pPr>
    <w:rPr>
      <w:rFonts w:ascii="Arial" w:eastAsia="MS Mincho" w:hAnsi="Arial" w:cs="Times New Roman"/>
      <w:sz w:val="20"/>
      <w:szCs w:val="20"/>
      <w:lang w:eastAsia="ja-JP"/>
    </w:rPr>
  </w:style>
  <w:style w:type="paragraph" w:customStyle="1" w:styleId="Listnotab2xindent">
    <w:name w:val="List: no tab. 2x indent"/>
    <w:basedOn w:val="Normal"/>
    <w:next w:val="Body"/>
    <w:rsid w:val="007C2932"/>
    <w:pPr>
      <w:widowControl/>
      <w:ind w:left="576"/>
    </w:pPr>
    <w:rPr>
      <w:rFonts w:ascii="Arial" w:eastAsia="MS Mincho" w:hAnsi="Arial" w:cs="Times New Roman"/>
      <w:sz w:val="20"/>
      <w:szCs w:val="20"/>
      <w:lang w:eastAsia="ja-JP"/>
    </w:rPr>
  </w:style>
  <w:style w:type="paragraph" w:customStyle="1" w:styleId="Listnotabindent">
    <w:name w:val="List: no tab. indent"/>
    <w:basedOn w:val="Normal"/>
    <w:next w:val="Body"/>
    <w:rsid w:val="007C2932"/>
    <w:pPr>
      <w:widowControl/>
      <w:ind w:left="288"/>
    </w:pPr>
    <w:rPr>
      <w:rFonts w:ascii="Arial" w:eastAsia="MS Mincho" w:hAnsi="Arial" w:cs="Times New Roman"/>
      <w:sz w:val="20"/>
      <w:szCs w:val="20"/>
      <w:lang w:eastAsia="ja-JP"/>
    </w:rPr>
  </w:style>
  <w:style w:type="paragraph" w:customStyle="1" w:styleId="ReferenceText">
    <w:name w:val="Reference Text"/>
    <w:basedOn w:val="Normal"/>
    <w:rsid w:val="007C2932"/>
    <w:pPr>
      <w:widowControl/>
      <w:tabs>
        <w:tab w:val="right" w:pos="230"/>
        <w:tab w:val="left" w:pos="288"/>
      </w:tabs>
      <w:spacing w:after="120"/>
      <w:ind w:left="288" w:hanging="288"/>
      <w:jc w:val="both"/>
    </w:pPr>
    <w:rPr>
      <w:rFonts w:ascii="Arial" w:eastAsia="MS Mincho" w:hAnsi="Arial" w:cs="Times New Roman"/>
      <w:sz w:val="16"/>
      <w:szCs w:val="20"/>
      <w:lang w:eastAsia="ja-JP"/>
    </w:rPr>
  </w:style>
  <w:style w:type="paragraph" w:customStyle="1" w:styleId="SectionHeadings">
    <w:name w:val="Section Headings"/>
    <w:basedOn w:val="Normal"/>
    <w:next w:val="Body"/>
    <w:rsid w:val="007C2932"/>
    <w:pPr>
      <w:keepNext/>
      <w:keepLines/>
      <w:widowControl/>
      <w:spacing w:before="240" w:after="120"/>
    </w:pPr>
    <w:rPr>
      <w:rFonts w:ascii="Arial" w:eastAsia="MS Mincho" w:hAnsi="Arial" w:cs="Times New Roman"/>
      <w:b/>
      <w:caps/>
      <w:sz w:val="20"/>
      <w:szCs w:val="20"/>
      <w:lang w:eastAsia="ja-JP"/>
    </w:rPr>
  </w:style>
  <w:style w:type="paragraph" w:customStyle="1" w:styleId="SeparationLine">
    <w:name w:val="Separation Line"/>
    <w:basedOn w:val="Normal"/>
    <w:next w:val="Normal"/>
    <w:rsid w:val="007C2932"/>
    <w:pPr>
      <w:widowControl/>
      <w:pBdr>
        <w:top w:val="single" w:sz="6" w:space="1" w:color="auto"/>
      </w:pBdr>
    </w:pPr>
    <w:rPr>
      <w:rFonts w:ascii="Arial" w:eastAsia="MS Mincho" w:hAnsi="Arial" w:cs="Times New Roman"/>
      <w:sz w:val="20"/>
      <w:szCs w:val="20"/>
      <w:lang w:eastAsia="ja-JP"/>
    </w:rPr>
  </w:style>
  <w:style w:type="paragraph" w:customStyle="1" w:styleId="SubSubSectionheading">
    <w:name w:val="SubSub Section heading"/>
    <w:basedOn w:val="Normal"/>
    <w:next w:val="Body"/>
    <w:link w:val="SubSubSectionheadingChar"/>
    <w:rsid w:val="007C2932"/>
    <w:pPr>
      <w:keepNext/>
      <w:keepLines/>
      <w:widowControl/>
    </w:pPr>
    <w:rPr>
      <w:rFonts w:ascii="Arial" w:eastAsia="MS Mincho" w:hAnsi="Arial" w:cs="Times New Roman"/>
      <w:i/>
      <w:sz w:val="20"/>
      <w:szCs w:val="20"/>
      <w:lang w:eastAsia="ja-JP"/>
    </w:rPr>
  </w:style>
  <w:style w:type="paragraph" w:customStyle="1" w:styleId="Tablebody">
    <w:name w:val="Table: body"/>
    <w:basedOn w:val="Body"/>
    <w:rsid w:val="007C2932"/>
    <w:pPr>
      <w:keepNext/>
      <w:keepLines/>
    </w:pPr>
    <w:rPr>
      <w:rFonts w:eastAsia="MS Mincho"/>
      <w:sz w:val="14"/>
      <w:lang w:eastAsia="ja-JP"/>
    </w:rPr>
  </w:style>
  <w:style w:type="paragraph" w:customStyle="1" w:styleId="Tablelist2xhanging">
    <w:name w:val="Table: list. 2x hanging"/>
    <w:basedOn w:val="Listnotab2xindent"/>
    <w:rsid w:val="007C2932"/>
    <w:pPr>
      <w:keepNext/>
      <w:keepLines/>
      <w:ind w:hanging="288"/>
    </w:pPr>
    <w:rPr>
      <w:sz w:val="14"/>
    </w:rPr>
  </w:style>
  <w:style w:type="paragraph" w:customStyle="1" w:styleId="Tablelist3xhanging">
    <w:name w:val="Table: list. 3x hanging"/>
    <w:basedOn w:val="List3xhangingindent"/>
    <w:rsid w:val="007C2932"/>
    <w:pPr>
      <w:keepNext/>
      <w:keepLines/>
    </w:pPr>
    <w:rPr>
      <w:rFonts w:ascii="Arial" w:eastAsia="MS Mincho" w:hAnsi="Arial"/>
      <w:sz w:val="14"/>
      <w:lang w:eastAsia="ja-JP"/>
    </w:rPr>
  </w:style>
  <w:style w:type="paragraph" w:customStyle="1" w:styleId="Tablelisthangingind">
    <w:name w:val="Table: list. hanging ind"/>
    <w:basedOn w:val="Listhangingindent"/>
    <w:rsid w:val="007C2932"/>
    <w:pPr>
      <w:keepNext/>
      <w:keepLines/>
    </w:pPr>
    <w:rPr>
      <w:sz w:val="14"/>
    </w:rPr>
  </w:style>
  <w:style w:type="paragraph" w:customStyle="1" w:styleId="Tablenormal0">
    <w:name w:val="Table: normal"/>
    <w:basedOn w:val="Normal"/>
    <w:rsid w:val="007C2932"/>
    <w:pPr>
      <w:keepNext/>
      <w:keepLines/>
      <w:widowControl/>
    </w:pPr>
    <w:rPr>
      <w:rFonts w:ascii="Arial" w:eastAsia="MS Mincho" w:hAnsi="Arial" w:cs="Times New Roman"/>
      <w:sz w:val="14"/>
      <w:szCs w:val="20"/>
      <w:lang w:eastAsia="ja-JP"/>
    </w:rPr>
  </w:style>
  <w:style w:type="paragraph" w:customStyle="1" w:styleId="Tablenormalindent">
    <w:name w:val="Table: normal. indent"/>
    <w:basedOn w:val="Bodyindent"/>
    <w:rsid w:val="007C2932"/>
    <w:pPr>
      <w:keepNext/>
      <w:keepLines/>
      <w:ind w:firstLine="0"/>
    </w:pPr>
    <w:rPr>
      <w:sz w:val="14"/>
    </w:rPr>
  </w:style>
  <w:style w:type="paragraph" w:customStyle="1" w:styleId="Tablebodyhanginginden">
    <w:name w:val="Table:body.hanging inden"/>
    <w:basedOn w:val="Bodyhangingindent"/>
    <w:rsid w:val="007C2932"/>
    <w:pPr>
      <w:keepNext/>
      <w:keepLines/>
      <w:jc w:val="both"/>
    </w:pPr>
    <w:rPr>
      <w:sz w:val="14"/>
    </w:rPr>
  </w:style>
  <w:style w:type="paragraph" w:styleId="TOC1">
    <w:name w:val="toc 1"/>
    <w:basedOn w:val="Normal"/>
    <w:next w:val="Normal"/>
    <w:autoRedefine/>
    <w:semiHidden/>
    <w:rsid w:val="007C2932"/>
    <w:pPr>
      <w:widowControl/>
      <w:tabs>
        <w:tab w:val="right" w:pos="630"/>
        <w:tab w:val="right" w:leader="dot" w:pos="9072"/>
      </w:tabs>
      <w:spacing w:before="240" w:after="120"/>
      <w:ind w:left="900" w:hanging="904"/>
    </w:pPr>
    <w:rPr>
      <w:rFonts w:ascii="Arial" w:eastAsia="MS Mincho" w:hAnsi="Arial" w:cs="Times New Roman"/>
      <w:caps/>
      <w:sz w:val="20"/>
      <w:szCs w:val="20"/>
      <w:lang w:eastAsia="ja-JP"/>
    </w:rPr>
  </w:style>
  <w:style w:type="paragraph" w:styleId="TOC2">
    <w:name w:val="toc 2"/>
    <w:basedOn w:val="Normal"/>
    <w:next w:val="Normal"/>
    <w:autoRedefine/>
    <w:semiHidden/>
    <w:rsid w:val="007C2932"/>
    <w:pPr>
      <w:widowControl/>
      <w:tabs>
        <w:tab w:val="left" w:pos="1710"/>
        <w:tab w:val="right" w:leader="dot" w:pos="9072"/>
      </w:tabs>
      <w:spacing w:after="120"/>
      <w:ind w:left="1260" w:hanging="360"/>
    </w:pPr>
    <w:rPr>
      <w:rFonts w:ascii="Arial" w:eastAsia="MS Mincho" w:hAnsi="Arial" w:cs="Times New Roman"/>
      <w:sz w:val="20"/>
      <w:szCs w:val="20"/>
      <w:lang w:eastAsia="ja-JP"/>
    </w:rPr>
  </w:style>
  <w:style w:type="paragraph" w:styleId="TOC3">
    <w:name w:val="toc 3"/>
    <w:basedOn w:val="Normal"/>
    <w:next w:val="Normal"/>
    <w:autoRedefine/>
    <w:semiHidden/>
    <w:rsid w:val="007C2932"/>
    <w:pPr>
      <w:widowControl/>
      <w:tabs>
        <w:tab w:val="right" w:leader="dot" w:pos="9072"/>
      </w:tabs>
      <w:ind w:left="1800" w:hanging="360"/>
    </w:pPr>
    <w:rPr>
      <w:rFonts w:ascii="Arial" w:eastAsia="MS Mincho" w:hAnsi="Arial" w:cs="Times New Roman"/>
      <w:sz w:val="20"/>
      <w:szCs w:val="20"/>
      <w:lang w:eastAsia="ja-JP"/>
    </w:rPr>
  </w:style>
  <w:style w:type="paragraph" w:styleId="TOC4">
    <w:name w:val="toc 4"/>
    <w:basedOn w:val="Normal"/>
    <w:next w:val="Normal"/>
    <w:autoRedefine/>
    <w:semiHidden/>
    <w:rsid w:val="007C2932"/>
    <w:pPr>
      <w:widowControl/>
      <w:tabs>
        <w:tab w:val="right" w:leader="dot" w:pos="9090"/>
      </w:tabs>
      <w:ind w:left="2160" w:hanging="360"/>
    </w:pPr>
    <w:rPr>
      <w:rFonts w:ascii="Arial" w:eastAsia="MS Mincho" w:hAnsi="Arial" w:cs="Times New Roman"/>
      <w:sz w:val="20"/>
      <w:szCs w:val="20"/>
      <w:lang w:eastAsia="ja-JP"/>
    </w:rPr>
  </w:style>
  <w:style w:type="paragraph" w:styleId="TOC5">
    <w:name w:val="toc 5"/>
    <w:basedOn w:val="TOC4"/>
    <w:autoRedefine/>
    <w:semiHidden/>
    <w:rsid w:val="007C2932"/>
    <w:pPr>
      <w:ind w:left="2520" w:hanging="720"/>
    </w:pPr>
  </w:style>
  <w:style w:type="paragraph" w:customStyle="1" w:styleId="TradeName">
    <w:name w:val="Trade Name"/>
    <w:basedOn w:val="Normal"/>
    <w:next w:val="GenericName"/>
    <w:rsid w:val="007C2932"/>
    <w:pPr>
      <w:keepNext/>
      <w:keepLines/>
      <w:widowControl/>
    </w:pPr>
    <w:rPr>
      <w:rFonts w:ascii="Arial" w:eastAsia="MS Mincho" w:hAnsi="Arial" w:cs="Times New Roman"/>
      <w:b/>
      <w:caps/>
      <w:sz w:val="30"/>
      <w:szCs w:val="20"/>
      <w:lang w:eastAsia="ja-JP"/>
    </w:rPr>
  </w:style>
  <w:style w:type="paragraph" w:customStyle="1" w:styleId="Turnedtext">
    <w:name w:val="Turned text"/>
    <w:basedOn w:val="Normal"/>
    <w:next w:val="Body"/>
    <w:rsid w:val="007C2932"/>
    <w:pPr>
      <w:keepLines/>
      <w:widowControl/>
      <w:jc w:val="center"/>
    </w:pPr>
    <w:rPr>
      <w:rFonts w:ascii="Arial" w:eastAsia="MS Mincho" w:hAnsi="Arial" w:cs="Times New Roman"/>
      <w:sz w:val="20"/>
      <w:szCs w:val="20"/>
      <w:lang w:eastAsia="ja-JP"/>
    </w:rPr>
  </w:style>
  <w:style w:type="table" w:customStyle="1" w:styleId="TableGrid1">
    <w:name w:val="Table Grid1"/>
    <w:basedOn w:val="TableNormal"/>
    <w:next w:val="TableGrid"/>
    <w:rsid w:val="007C2932"/>
    <w:pPr>
      <w:widowControl/>
    </w:pPr>
    <w:rPr>
      <w:rFonts w:ascii="Times New Roman" w:eastAsia="MS Mincho"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th2">
    <w:name w:val="rpt:h2"/>
    <w:basedOn w:val="Normal"/>
    <w:next w:val="Normal"/>
    <w:rsid w:val="007C2932"/>
    <w:pPr>
      <w:keepNext/>
      <w:keepLines/>
      <w:widowControl/>
      <w:tabs>
        <w:tab w:val="left" w:pos="0"/>
        <w:tab w:val="left" w:pos="720"/>
      </w:tabs>
      <w:spacing w:after="720"/>
      <w:ind w:left="720" w:hanging="720"/>
    </w:pPr>
    <w:rPr>
      <w:rFonts w:ascii="Arial" w:eastAsia="Times New Roman" w:hAnsi="Arial" w:cs="Times New Roman"/>
      <w:b/>
      <w:sz w:val="24"/>
      <w:szCs w:val="20"/>
    </w:rPr>
  </w:style>
  <w:style w:type="paragraph" w:customStyle="1" w:styleId="cellcent">
    <w:name w:val="cell:cent"/>
    <w:basedOn w:val="Normal"/>
    <w:next w:val="Normal"/>
    <w:rsid w:val="007C2932"/>
    <w:pPr>
      <w:widowControl/>
      <w:spacing w:after="43"/>
      <w:jc w:val="center"/>
    </w:pPr>
    <w:rPr>
      <w:rFonts w:ascii="Arial" w:eastAsia="Times New Roman" w:hAnsi="Arial" w:cs="Times New Roman"/>
      <w:sz w:val="24"/>
      <w:szCs w:val="20"/>
    </w:rPr>
  </w:style>
  <w:style w:type="paragraph" w:customStyle="1" w:styleId="centeredb">
    <w:name w:val="centered:b"/>
    <w:basedOn w:val="Normal"/>
    <w:next w:val="Normal"/>
    <w:rsid w:val="007C2932"/>
    <w:pPr>
      <w:widowControl/>
      <w:spacing w:after="331"/>
      <w:jc w:val="center"/>
    </w:pPr>
    <w:rPr>
      <w:rFonts w:ascii="Arial" w:eastAsia="Times New Roman" w:hAnsi="Arial" w:cs="Times New Roman"/>
      <w:b/>
      <w:sz w:val="24"/>
      <w:szCs w:val="20"/>
    </w:rPr>
  </w:style>
  <w:style w:type="character" w:styleId="Strong">
    <w:name w:val="Strong"/>
    <w:uiPriority w:val="22"/>
    <w:qFormat/>
    <w:rsid w:val="007C2932"/>
    <w:rPr>
      <w:b/>
      <w:bCs/>
    </w:rPr>
  </w:style>
  <w:style w:type="paragraph" w:customStyle="1" w:styleId="Indent1">
    <w:name w:val="Indent1"/>
    <w:basedOn w:val="Normal"/>
    <w:rsid w:val="007C2932"/>
    <w:pPr>
      <w:widowControl/>
      <w:spacing w:after="120" w:line="300" w:lineRule="atLeast"/>
      <w:ind w:left="709"/>
    </w:pPr>
    <w:rPr>
      <w:rFonts w:ascii="Arial" w:eastAsia="Times New Roman" w:hAnsi="Arial" w:cs="Times New Roman"/>
      <w:szCs w:val="20"/>
    </w:rPr>
  </w:style>
  <w:style w:type="character" w:customStyle="1" w:styleId="SubSubSectionheadingChar">
    <w:name w:val="SubSub Section heading Char"/>
    <w:link w:val="SubSubSectionheading"/>
    <w:rsid w:val="007C2932"/>
    <w:rPr>
      <w:rFonts w:ascii="Arial" w:eastAsia="MS Mincho" w:hAnsi="Arial" w:cs="Times New Roman"/>
      <w:i/>
      <w:sz w:val="20"/>
      <w:szCs w:val="20"/>
      <w:lang w:eastAsia="ja-JP"/>
    </w:rPr>
  </w:style>
  <w:style w:type="paragraph" w:customStyle="1" w:styleId="BodyText20">
    <w:name w:val="BodyText2"/>
    <w:basedOn w:val="Normal"/>
    <w:rsid w:val="007C2932"/>
    <w:pPr>
      <w:widowControl/>
      <w:spacing w:before="4"/>
      <w:ind w:firstLine="317"/>
    </w:pPr>
    <w:rPr>
      <w:rFonts w:ascii="Helvetica" w:eastAsia="Times New Roman" w:hAnsi="Helvetica" w:cs="Times New Roman"/>
      <w:sz w:val="16"/>
      <w:szCs w:val="24"/>
    </w:rPr>
  </w:style>
  <w:style w:type="character" w:styleId="EndnoteReference">
    <w:name w:val="endnote reference"/>
    <w:rsid w:val="007C2932"/>
    <w:rPr>
      <w:vertAlign w:val="superscript"/>
    </w:rPr>
  </w:style>
  <w:style w:type="paragraph" w:styleId="Caption">
    <w:name w:val="caption"/>
    <w:basedOn w:val="Normal"/>
    <w:next w:val="Normal"/>
    <w:link w:val="CaptionChar"/>
    <w:uiPriority w:val="99"/>
    <w:qFormat/>
    <w:rsid w:val="007C2932"/>
    <w:pPr>
      <w:widowControl/>
      <w:spacing w:before="120" w:after="120"/>
      <w:jc w:val="center"/>
    </w:pPr>
    <w:rPr>
      <w:rFonts w:ascii="Times New Roman" w:eastAsia="Times New Roman" w:hAnsi="Times New Roman" w:cs="Times New Roman"/>
      <w:bCs/>
      <w:sz w:val="24"/>
      <w:szCs w:val="20"/>
    </w:rPr>
  </w:style>
  <w:style w:type="character" w:customStyle="1" w:styleId="CaptionChar">
    <w:name w:val="Caption Char"/>
    <w:link w:val="Caption"/>
    <w:uiPriority w:val="99"/>
    <w:rsid w:val="007C2932"/>
    <w:rPr>
      <w:rFonts w:ascii="Times New Roman" w:eastAsia="Times New Roman" w:hAnsi="Times New Roman" w:cs="Times New Roman"/>
      <w:bCs/>
      <w:sz w:val="24"/>
      <w:szCs w:val="20"/>
    </w:rPr>
  </w:style>
  <w:style w:type="table" w:customStyle="1" w:styleId="TableGrid3">
    <w:name w:val="Table Grid3"/>
    <w:basedOn w:val="TableNormal"/>
    <w:next w:val="TableGrid"/>
    <w:rsid w:val="007C2932"/>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C2932"/>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0702"/>
    <w:rPr>
      <w:color w:val="800080" w:themeColor="followedHyperlink"/>
      <w:u w:val="single"/>
    </w:rPr>
  </w:style>
  <w:style w:type="paragraph" w:customStyle="1" w:styleId="Paragraph">
    <w:name w:val="Paragraph"/>
    <w:link w:val="ParagraphChar"/>
    <w:qFormat/>
    <w:rsid w:val="00435473"/>
    <w:pPr>
      <w:widowControl/>
      <w:spacing w:before="60" w:after="240"/>
    </w:pPr>
    <w:rPr>
      <w:rFonts w:ascii="Times New Roman" w:eastAsia="Times New Roman" w:hAnsi="Times New Roman" w:cs="Times New Roman"/>
      <w:sz w:val="24"/>
      <w:szCs w:val="24"/>
    </w:rPr>
  </w:style>
  <w:style w:type="character" w:customStyle="1" w:styleId="ParagraphChar">
    <w:name w:val="Paragraph Char"/>
    <w:link w:val="Paragraph"/>
    <w:rsid w:val="00435473"/>
    <w:rPr>
      <w:rFonts w:ascii="Times New Roman" w:eastAsia="Times New Roman" w:hAnsi="Times New Roman" w:cs="Times New Roman"/>
      <w:sz w:val="24"/>
      <w:szCs w:val="24"/>
    </w:rPr>
  </w:style>
  <w:style w:type="paragraph" w:styleId="ListBullet">
    <w:name w:val="List Bullet"/>
    <w:basedOn w:val="Normal"/>
    <w:uiPriority w:val="99"/>
    <w:qFormat/>
    <w:rsid w:val="00496A99"/>
    <w:pPr>
      <w:widowControl/>
      <w:numPr>
        <w:numId w:val="9"/>
      </w:numPr>
      <w:spacing w:before="120" w:after="180" w:line="240" w:lineRule="atLeast"/>
    </w:pPr>
    <w:rPr>
      <w:rFonts w:ascii="Cambria" w:eastAsia="Cambria" w:hAnsi="Cambria" w:cs="Times New Roman"/>
      <w:lang w:val="en-AU"/>
    </w:rPr>
  </w:style>
  <w:style w:type="paragraph" w:styleId="ListBullet2">
    <w:name w:val="List Bullet 2"/>
    <w:basedOn w:val="Normal"/>
    <w:uiPriority w:val="99"/>
    <w:qFormat/>
    <w:rsid w:val="00496A99"/>
    <w:pPr>
      <w:widowControl/>
      <w:numPr>
        <w:ilvl w:val="1"/>
        <w:numId w:val="9"/>
      </w:numPr>
      <w:spacing w:before="120" w:after="180" w:line="240" w:lineRule="atLeast"/>
    </w:pPr>
    <w:rPr>
      <w:rFonts w:ascii="Cambria" w:eastAsia="Cambria" w:hAnsi="Cambria" w:cs="Times New Roman"/>
      <w:lang w:val="en-AU"/>
    </w:rPr>
  </w:style>
  <w:style w:type="paragraph" w:styleId="ListBullet3">
    <w:name w:val="List Bullet 3"/>
    <w:basedOn w:val="Normal"/>
    <w:uiPriority w:val="99"/>
    <w:qFormat/>
    <w:rsid w:val="00496A99"/>
    <w:pPr>
      <w:widowControl/>
      <w:numPr>
        <w:ilvl w:val="2"/>
        <w:numId w:val="9"/>
      </w:numPr>
      <w:spacing w:before="120" w:after="180" w:line="240" w:lineRule="atLeast"/>
    </w:pPr>
    <w:rPr>
      <w:rFonts w:ascii="Cambria" w:eastAsia="Cambria" w:hAnsi="Cambria" w:cs="Times New Roman"/>
      <w:lang w:val="en-AU"/>
    </w:rPr>
  </w:style>
  <w:style w:type="numbering" w:customStyle="1" w:styleId="ListBullets">
    <w:name w:val="ListBullets"/>
    <w:uiPriority w:val="99"/>
    <w:locked/>
    <w:rsid w:val="00496A9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1149">
      <w:bodyDiv w:val="1"/>
      <w:marLeft w:val="0"/>
      <w:marRight w:val="0"/>
      <w:marTop w:val="0"/>
      <w:marBottom w:val="0"/>
      <w:divBdr>
        <w:top w:val="none" w:sz="0" w:space="0" w:color="auto"/>
        <w:left w:val="none" w:sz="0" w:space="0" w:color="auto"/>
        <w:bottom w:val="none" w:sz="0" w:space="0" w:color="auto"/>
        <w:right w:val="none" w:sz="0" w:space="0" w:color="auto"/>
      </w:divBdr>
    </w:div>
    <w:div w:id="1173186666">
      <w:bodyDiv w:val="1"/>
      <w:marLeft w:val="0"/>
      <w:marRight w:val="0"/>
      <w:marTop w:val="0"/>
      <w:marBottom w:val="0"/>
      <w:divBdr>
        <w:top w:val="none" w:sz="0" w:space="0" w:color="auto"/>
        <w:left w:val="none" w:sz="0" w:space="0" w:color="auto"/>
        <w:bottom w:val="none" w:sz="0" w:space="0" w:color="auto"/>
        <w:right w:val="none" w:sz="0" w:space="0" w:color="auto"/>
      </w:divBdr>
    </w:div>
    <w:div w:id="1667592791">
      <w:bodyDiv w:val="1"/>
      <w:marLeft w:val="0"/>
      <w:marRight w:val="0"/>
      <w:marTop w:val="0"/>
      <w:marBottom w:val="0"/>
      <w:divBdr>
        <w:top w:val="none" w:sz="0" w:space="0" w:color="auto"/>
        <w:left w:val="none" w:sz="0" w:space="0" w:color="auto"/>
        <w:bottom w:val="none" w:sz="0" w:space="0" w:color="auto"/>
        <w:right w:val="none" w:sz="0" w:space="0" w:color="auto"/>
      </w:divBdr>
      <w:divsChild>
        <w:div w:id="571046252">
          <w:marLeft w:val="2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ga.gov.au/reporting-problem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AAFF769D30864DB32681B6C11085F2" ma:contentTypeVersion="11" ma:contentTypeDescription="Create a new document." ma:contentTypeScope="" ma:versionID="f33f97409ee425d4c5e3be2cc1f2702d">
  <xsd:schema xmlns:xsd="http://www.w3.org/2001/XMLSchema" xmlns:xs="http://www.w3.org/2001/XMLSchema" xmlns:p="http://schemas.microsoft.com/office/2006/metadata/properties" xmlns:ns2="f8e007dd-a2ae-40d7-a15a-7fdace1322ad" xmlns:ns3="2da0982e-0f9d-4525-92cd-42452a6082d6" targetNamespace="http://schemas.microsoft.com/office/2006/metadata/properties" ma:root="true" ma:fieldsID="34fe521f7fead766f462f00f58cbd747" ns2:_="" ns3:_="">
    <xsd:import namespace="f8e007dd-a2ae-40d7-a15a-7fdace1322ad"/>
    <xsd:import namespace="2da0982e-0f9d-4525-92cd-42452a6082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007dd-a2ae-40d7-a15a-7fdace132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a0982e-0f9d-4525-92cd-42452a6082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495E1-1A7B-4B7A-8B85-2C74B553C6C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97FC9A-E1F0-4982-9D71-C4DE8A9564D5}">
  <ds:schemaRefs>
    <ds:schemaRef ds:uri="http://schemas.openxmlformats.org/officeDocument/2006/bibliography"/>
  </ds:schemaRefs>
</ds:datastoreItem>
</file>

<file path=customXml/itemProps3.xml><?xml version="1.0" encoding="utf-8"?>
<ds:datastoreItem xmlns:ds="http://schemas.openxmlformats.org/officeDocument/2006/customXml" ds:itemID="{4D5D0966-2FF7-4F5C-BA3F-1ADD6A325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007dd-a2ae-40d7-a15a-7fdace1322ad"/>
    <ds:schemaRef ds:uri="2da0982e-0f9d-4525-92cd-42452a608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5CE21-0C04-4E83-B026-6D2FB9BE391B}">
  <ds:schemaRefs>
    <ds:schemaRef ds:uri="http://schemas.microsoft.com/sharepoint/v3/contenttype/forms"/>
  </ds:schemaRefs>
</ds:datastoreItem>
</file>

<file path=customXml/itemProps5.xml><?xml version="1.0" encoding="utf-8"?>
<ds:datastoreItem xmlns:ds="http://schemas.openxmlformats.org/officeDocument/2006/customXml" ds:itemID="{044B49CC-4AAC-4D88-9ADB-D9C222C406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da0982e-0f9d-4525-92cd-42452a6082d6"/>
    <ds:schemaRef ds:uri="f8e007dd-a2ae-40d7-a15a-7fdace1322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4443</Words>
  <Characters>25640</Characters>
  <Application>Microsoft Office Word</Application>
  <DocSecurity>0</DocSecurity>
  <Lines>915</Lines>
  <Paragraphs>653</Paragraphs>
  <ScaleCrop>false</ScaleCrop>
  <HeadingPairs>
    <vt:vector size="2" baseType="variant">
      <vt:variant>
        <vt:lpstr>Title</vt:lpstr>
      </vt:variant>
      <vt:variant>
        <vt:i4>1</vt:i4>
      </vt:variant>
    </vt:vector>
  </HeadingPairs>
  <TitlesOfParts>
    <vt:vector size="1" baseType="lpstr">
      <vt:lpstr>AusPAR Attachment 1: Product Information for Vaxneuvance</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Vaxneuvance</dc:title>
  <dc:subject>therapeutic goods regulation</dc:subject>
  <dc:creator>Merck Sharp &amp; Dohme (Australia) Pty Ltd</dc:creator>
  <cp:keywords>AusPARs</cp:keywords>
  <cp:lastModifiedBy>PITKIN, Brendan</cp:lastModifiedBy>
  <cp:revision>5</cp:revision>
  <cp:lastPrinted>2021-08-20T05:39:00Z</cp:lastPrinted>
  <dcterms:created xsi:type="dcterms:W3CDTF">2022-07-24T08:35:00Z</dcterms:created>
  <dcterms:modified xsi:type="dcterms:W3CDTF">2022-10-20T04:38:00Z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2017-11-27T00:00:00Z</vt:filetime>
  </property>
  <property fmtid="{D5CDD505-2E9C-101B-9397-08002B2CF9AE}" pid="4" name="_AdHocReviewCycleID">
    <vt:i4>1664976004</vt:i4>
  </property>
  <property fmtid="{D5CDD505-2E9C-101B-9397-08002B2CF9AE}" pid="5" name="_NewReviewCycle">
    <vt:lpwstr/>
  </property>
  <property fmtid="{D5CDD505-2E9C-101B-9397-08002B2CF9AE}" pid="6" name="_EmailSubject">
    <vt:lpwstr>Gardasil 9 AU PI Reformat </vt:lpwstr>
  </property>
  <property fmtid="{D5CDD505-2E9C-101B-9397-08002B2CF9AE}" pid="7" name="_AuthorEmail">
    <vt:lpwstr>elizabeth.gipps@merck.com</vt:lpwstr>
  </property>
  <property fmtid="{D5CDD505-2E9C-101B-9397-08002B2CF9AE}" pid="8" name="_AuthorEmailDisplayName">
    <vt:lpwstr>Gipps, Elizabeth</vt:lpwstr>
  </property>
  <property fmtid="{D5CDD505-2E9C-101B-9397-08002B2CF9AE}" pid="9" name="docIndexRef">
    <vt:lpwstr>b9b13ddf-63d9-4276-9122-fcce7bcf14a6</vt:lpwstr>
  </property>
  <property fmtid="{D5CDD505-2E9C-101B-9397-08002B2CF9AE}" pid="10" name="bjSaver">
    <vt:lpwstr>dOS+hff5/JuDZvkWN56fsD4Q5AX/Z/SA</vt:lpwstr>
  </property>
  <property fmtid="{D5CDD505-2E9C-101B-9397-08002B2CF9AE}" pid="11" name="ContentTypeId">
    <vt:lpwstr>0x010100BEAAFF769D30864DB32681B6C11085F2</vt:lpwstr>
  </property>
  <property fmtid="{D5CDD505-2E9C-101B-9397-08002B2CF9AE}" pid="12" name="_dlc_DocIdItemGuid">
    <vt:lpwstr>bc522626-85ce-432c-a423-fdf215f6026b</vt:lpwstr>
  </property>
  <property fmtid="{D5CDD505-2E9C-101B-9397-08002B2CF9AE}" pid="13" name="_PreviousAdHocReviewCycleID">
    <vt:i4>-225506479</vt:i4>
  </property>
  <property fmtid="{D5CDD505-2E9C-101B-9397-08002B2CF9AE}" pid="14" name="bjDocumentSecurityLabel">
    <vt:lpwstr>Not Classified</vt:lpwstr>
  </property>
  <property fmtid="{D5CDD505-2E9C-101B-9397-08002B2CF9AE}" pid="15" name="_ReviewingToolsShownOnce">
    <vt:lpwstr/>
  </property>
  <property fmtid="{D5CDD505-2E9C-101B-9397-08002B2CF9AE}" pid="1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7" name="bjDocumentLabelXML-0">
    <vt:lpwstr>ames.com/2008/01/sie/internal/label"&gt;&lt;element uid="9920fcc9-9f43-4d43-9e3e-b98a219cfd55" value="" /&gt;&lt;/sisl&gt;</vt:lpwstr>
  </property>
</Properties>
</file>